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A9D43A">
      <w:pPr>
        <w:pStyle w:val="13"/>
        <w:spacing w:before="120" w:beforeAutospacing="0" w:after="120" w:afterAutospacing="0" w:line="360" w:lineRule="auto"/>
        <w:rPr>
          <w:highlight w:val="none"/>
        </w:rPr>
      </w:pPr>
      <w:r>
        <w:rPr>
          <w:highlight w:val="none"/>
        </w:rPr>
        <w:t> </w:t>
      </w:r>
    </w:p>
    <w:p w14:paraId="4ACB3DA4">
      <w:pPr>
        <w:pStyle w:val="13"/>
        <w:spacing w:before="120" w:beforeAutospacing="0" w:after="120" w:afterAutospacing="0" w:line="360" w:lineRule="auto"/>
        <w:jc w:val="center"/>
        <w:rPr>
          <w:highlight w:val="none"/>
        </w:rPr>
      </w:pPr>
      <w:r>
        <w:rPr>
          <w:rFonts w:ascii="Arial" w:hAnsi="Arial" w:cs="Arial"/>
          <w:b/>
          <w:color w:val="000000"/>
          <w:sz w:val="84"/>
          <w:szCs w:val="84"/>
          <w:highlight w:val="none"/>
        </w:rPr>
        <w:t>招 标 文 件</w:t>
      </w:r>
    </w:p>
    <w:p w14:paraId="54A826D2">
      <w:pPr>
        <w:pStyle w:val="13"/>
        <w:spacing w:before="120" w:beforeAutospacing="0" w:after="120" w:afterAutospacing="0" w:line="360" w:lineRule="auto"/>
        <w:jc w:val="center"/>
        <w:rPr>
          <w:rFonts w:ascii="Arial" w:hAnsi="Arial" w:cs="Arial"/>
          <w:b/>
          <w:color w:val="000000"/>
          <w:sz w:val="32"/>
          <w:szCs w:val="32"/>
          <w:highlight w:val="none"/>
        </w:rPr>
      </w:pPr>
    </w:p>
    <w:p w14:paraId="568EA975">
      <w:pPr>
        <w:pStyle w:val="13"/>
        <w:spacing w:before="120" w:beforeAutospacing="0" w:after="120" w:afterAutospacing="0" w:line="360" w:lineRule="auto"/>
        <w:jc w:val="center"/>
        <w:rPr>
          <w:highlight w:val="none"/>
        </w:rPr>
      </w:pPr>
      <w:r>
        <w:rPr>
          <w:rFonts w:ascii="Arial" w:hAnsi="Arial" w:cs="Arial"/>
          <w:b/>
          <w:color w:val="000000"/>
          <w:sz w:val="32"/>
          <w:szCs w:val="32"/>
          <w:highlight w:val="none"/>
        </w:rPr>
        <w:t>项目名称：</w:t>
      </w:r>
      <w:r>
        <w:rPr>
          <w:rFonts w:hint="eastAsia" w:ascii="Arial" w:hAnsi="Arial" w:cs="Arial"/>
          <w:b/>
          <w:color w:val="000000"/>
          <w:sz w:val="32"/>
          <w:szCs w:val="32"/>
          <w:highlight w:val="none"/>
        </w:rPr>
        <w:t>三灶镇三份港、射阳河海事处水质自动监测站建设及</w:t>
      </w:r>
      <w:r>
        <w:rPr>
          <w:rFonts w:hint="eastAsia" w:ascii="Arial" w:hAnsi="Arial" w:cs="Arial"/>
          <w:b/>
          <w:color w:val="000000"/>
          <w:sz w:val="32"/>
          <w:szCs w:val="32"/>
          <w:highlight w:val="none"/>
          <w:lang w:val="en-US" w:eastAsia="zh-CN"/>
        </w:rPr>
        <w:t>三</w:t>
      </w:r>
      <w:r>
        <w:rPr>
          <w:rFonts w:hint="eastAsia" w:ascii="Arial" w:hAnsi="Arial" w:cs="Arial"/>
          <w:b/>
          <w:color w:val="000000"/>
          <w:sz w:val="32"/>
          <w:szCs w:val="32"/>
          <w:highlight w:val="none"/>
          <w:lang w:eastAsia="zh-CN"/>
        </w:rPr>
        <w:t>年</w:t>
      </w:r>
      <w:r>
        <w:rPr>
          <w:rFonts w:hint="eastAsia" w:ascii="Arial" w:hAnsi="Arial" w:cs="Arial"/>
          <w:b/>
          <w:color w:val="000000"/>
          <w:sz w:val="32"/>
          <w:szCs w:val="32"/>
          <w:highlight w:val="none"/>
        </w:rPr>
        <w:t>运维服务项目</w:t>
      </w:r>
    </w:p>
    <w:p w14:paraId="422E4C47">
      <w:pPr>
        <w:spacing w:before="120" w:after="120" w:line="480" w:lineRule="auto"/>
        <w:jc w:val="both"/>
        <w:rPr>
          <w:rFonts w:hint="eastAsia" w:ascii="Arial" w:hAnsi="Arial" w:cs="Arial" w:eastAsiaTheme="minorEastAsia"/>
          <w:b/>
          <w:color w:val="000000"/>
          <w:kern w:val="0"/>
          <w:sz w:val="32"/>
          <w:szCs w:val="32"/>
          <w:highlight w:val="none"/>
          <w:lang w:val="en-US" w:eastAsia="zh-CN" w:bidi="ar-SA"/>
        </w:rPr>
      </w:pPr>
      <w:r>
        <w:rPr>
          <w:rFonts w:hint="eastAsia" w:ascii="Arial" w:hAnsi="Arial" w:cs="Arial" w:eastAsiaTheme="minorEastAsia"/>
          <w:b/>
          <w:color w:val="000000"/>
          <w:kern w:val="0"/>
          <w:sz w:val="32"/>
          <w:szCs w:val="32"/>
          <w:highlight w:val="none"/>
          <w:lang w:val="en-US" w:eastAsia="zh-CN" w:bidi="ar-SA"/>
        </w:rPr>
        <w:t>项目编号：JSZC-320923-YCYH-G2026-0003</w:t>
      </w:r>
    </w:p>
    <w:p w14:paraId="175FB7C5">
      <w:pPr>
        <w:spacing w:before="120" w:after="120" w:line="480" w:lineRule="auto"/>
        <w:jc w:val="both"/>
        <w:rPr>
          <w:rFonts w:hint="eastAsia" w:ascii="Arial" w:hAnsi="Arial" w:cs="Arial" w:eastAsiaTheme="minorEastAsia"/>
          <w:b/>
          <w:color w:val="000000"/>
          <w:kern w:val="0"/>
          <w:sz w:val="32"/>
          <w:szCs w:val="32"/>
          <w:highlight w:val="none"/>
          <w:lang w:val="en-US" w:eastAsia="zh-CN" w:bidi="ar-SA"/>
        </w:rPr>
      </w:pPr>
    </w:p>
    <w:p w14:paraId="39CF6E7D">
      <w:pPr>
        <w:pStyle w:val="13"/>
        <w:spacing w:before="120" w:beforeAutospacing="0" w:after="120" w:afterAutospacing="0" w:line="360" w:lineRule="auto"/>
        <w:jc w:val="both"/>
        <w:rPr>
          <w:highlight w:val="none"/>
        </w:rPr>
      </w:pPr>
    </w:p>
    <w:p w14:paraId="2926E52A">
      <w:pPr>
        <w:pStyle w:val="13"/>
        <w:spacing w:beforeAutospacing="0" w:afterAutospacing="0" w:line="360" w:lineRule="auto"/>
        <w:rPr>
          <w:highlight w:val="none"/>
        </w:rPr>
      </w:pPr>
      <w:r>
        <w:rPr>
          <w:highlight w:val="none"/>
        </w:rPr>
        <w:t> </w:t>
      </w:r>
    </w:p>
    <w:p w14:paraId="69D65287">
      <w:pPr>
        <w:pStyle w:val="13"/>
        <w:spacing w:beforeAutospacing="0" w:afterAutospacing="0" w:line="360" w:lineRule="auto"/>
        <w:rPr>
          <w:highlight w:val="none"/>
        </w:rPr>
      </w:pPr>
    </w:p>
    <w:p w14:paraId="4E950423">
      <w:pPr>
        <w:pStyle w:val="13"/>
        <w:spacing w:beforeAutospacing="0" w:afterAutospacing="0" w:line="360" w:lineRule="auto"/>
        <w:rPr>
          <w:highlight w:val="none"/>
        </w:rPr>
      </w:pPr>
    </w:p>
    <w:p w14:paraId="4A18F958">
      <w:pPr>
        <w:pStyle w:val="13"/>
        <w:spacing w:beforeAutospacing="0" w:afterAutospacing="0" w:line="360" w:lineRule="auto"/>
        <w:rPr>
          <w:highlight w:val="none"/>
        </w:rPr>
      </w:pPr>
    </w:p>
    <w:p w14:paraId="4C180711">
      <w:pPr>
        <w:pStyle w:val="13"/>
        <w:spacing w:beforeAutospacing="0" w:afterAutospacing="0" w:line="360" w:lineRule="auto"/>
        <w:rPr>
          <w:highlight w:val="none"/>
        </w:rPr>
      </w:pPr>
    </w:p>
    <w:p w14:paraId="3260F04D">
      <w:pPr>
        <w:pStyle w:val="13"/>
        <w:spacing w:beforeAutospacing="0" w:afterAutospacing="0" w:line="360" w:lineRule="auto"/>
        <w:rPr>
          <w:highlight w:val="none"/>
        </w:rPr>
      </w:pPr>
      <w:r>
        <w:rPr>
          <w:highlight w:val="none"/>
        </w:rPr>
        <w:t> </w:t>
      </w:r>
    </w:p>
    <w:p w14:paraId="7B85D1C1">
      <w:pPr>
        <w:pStyle w:val="13"/>
        <w:spacing w:beforeAutospacing="0" w:afterAutospacing="0" w:line="360" w:lineRule="auto"/>
        <w:rPr>
          <w:highlight w:val="none"/>
        </w:rPr>
      </w:pPr>
      <w:r>
        <w:rPr>
          <w:highlight w:val="none"/>
        </w:rPr>
        <w:t> </w:t>
      </w:r>
    </w:p>
    <w:p w14:paraId="7CD43564">
      <w:pPr>
        <w:spacing w:before="120" w:after="120" w:line="600" w:lineRule="auto"/>
        <w:jc w:val="center"/>
        <w:rPr>
          <w:rFonts w:hint="eastAsia" w:ascii="黑体" w:hAnsi="黑体" w:eastAsia="黑体"/>
          <w:bCs/>
          <w:color w:val="auto"/>
          <w:sz w:val="36"/>
          <w:szCs w:val="24"/>
          <w:highlight w:val="none"/>
          <w:lang w:eastAsia="zh-CN"/>
        </w:rPr>
      </w:pPr>
      <w:r>
        <w:rPr>
          <w:highlight w:val="none"/>
        </w:rPr>
        <w:t> </w:t>
      </w:r>
      <w:r>
        <w:rPr>
          <w:rFonts w:hint="eastAsia" w:ascii="黑体" w:hAnsi="黑体" w:eastAsia="黑体"/>
          <w:bCs/>
          <w:color w:val="auto"/>
          <w:sz w:val="36"/>
          <w:szCs w:val="24"/>
          <w:highlight w:val="none"/>
        </w:rPr>
        <w:t>采购单位：</w:t>
      </w:r>
      <w:r>
        <w:rPr>
          <w:rStyle w:val="27"/>
          <w:rFonts w:hint="eastAsia" w:ascii="黑体" w:hAnsi="黑体" w:eastAsia="黑体"/>
          <w:color w:val="auto"/>
          <w:sz w:val="36"/>
          <w:szCs w:val="30"/>
          <w:highlight w:val="none"/>
          <w:lang w:eastAsia="zh-CN"/>
        </w:rPr>
        <w:t>盐城市阜宁生态环境局</w:t>
      </w:r>
    </w:p>
    <w:p w14:paraId="4F4502C6">
      <w:pPr>
        <w:spacing w:before="120" w:after="120" w:line="600" w:lineRule="auto"/>
        <w:jc w:val="center"/>
        <w:rPr>
          <w:rFonts w:hint="eastAsia" w:ascii="黑体" w:hAnsi="黑体" w:eastAsia="黑体"/>
          <w:bCs/>
          <w:color w:val="auto"/>
          <w:sz w:val="36"/>
          <w:szCs w:val="24"/>
          <w:highlight w:val="none"/>
          <w:lang w:eastAsia="zh-CN"/>
        </w:rPr>
      </w:pPr>
      <w:r>
        <w:rPr>
          <w:rFonts w:hint="eastAsia" w:ascii="黑体" w:hAnsi="黑体" w:eastAsia="黑体"/>
          <w:bCs/>
          <w:color w:val="auto"/>
          <w:sz w:val="36"/>
          <w:szCs w:val="24"/>
          <w:highlight w:val="none"/>
          <w:lang w:eastAsia="zh-CN"/>
        </w:rPr>
        <w:t>2026年</w:t>
      </w:r>
      <w:r>
        <w:rPr>
          <w:rFonts w:hint="eastAsia" w:ascii="黑体" w:hAnsi="黑体" w:eastAsia="黑体"/>
          <w:bCs/>
          <w:color w:val="auto"/>
          <w:sz w:val="36"/>
          <w:szCs w:val="24"/>
          <w:highlight w:val="none"/>
          <w:lang w:val="en-US" w:eastAsia="zh-CN"/>
        </w:rPr>
        <w:t>07</w:t>
      </w:r>
      <w:r>
        <w:rPr>
          <w:rFonts w:hint="eastAsia" w:ascii="黑体" w:hAnsi="黑体" w:eastAsia="黑体"/>
          <w:bCs/>
          <w:color w:val="auto"/>
          <w:sz w:val="36"/>
          <w:szCs w:val="24"/>
          <w:highlight w:val="none"/>
          <w:lang w:eastAsia="zh-CN"/>
        </w:rPr>
        <w:t>月</w:t>
      </w:r>
      <w:r>
        <w:rPr>
          <w:rFonts w:hint="eastAsia" w:ascii="黑体" w:hAnsi="黑体" w:eastAsia="黑体"/>
          <w:bCs/>
          <w:color w:val="auto"/>
          <w:sz w:val="36"/>
          <w:szCs w:val="24"/>
          <w:highlight w:val="none"/>
          <w:lang w:val="en-US" w:eastAsia="zh-CN"/>
        </w:rPr>
        <w:t>10</w:t>
      </w:r>
      <w:r>
        <w:rPr>
          <w:rFonts w:hint="eastAsia" w:ascii="黑体" w:hAnsi="黑体" w:eastAsia="黑体"/>
          <w:bCs/>
          <w:color w:val="auto"/>
          <w:sz w:val="36"/>
          <w:szCs w:val="24"/>
          <w:highlight w:val="none"/>
          <w:lang w:eastAsia="zh-CN"/>
        </w:rPr>
        <w:t>日</w:t>
      </w:r>
    </w:p>
    <w:p w14:paraId="585BB828">
      <w:pPr>
        <w:pStyle w:val="13"/>
        <w:spacing w:before="120" w:beforeAutospacing="0" w:after="120" w:afterAutospacing="0" w:line="360" w:lineRule="auto"/>
        <w:jc w:val="center"/>
        <w:rPr>
          <w:highlight w:val="none"/>
        </w:rPr>
      </w:pPr>
    </w:p>
    <w:p w14:paraId="1A1FF07E">
      <w:pPr>
        <w:pStyle w:val="13"/>
        <w:spacing w:before="120" w:beforeAutospacing="0" w:after="120" w:afterAutospacing="0" w:line="360" w:lineRule="auto"/>
        <w:rPr>
          <w:highlight w:val="none"/>
        </w:rPr>
      </w:pPr>
      <w:r>
        <w:rPr>
          <w:rFonts w:ascii="Arial" w:hAnsi="Arial" w:cs="Arial"/>
          <w:color w:val="000000"/>
          <w:highlight w:val="none"/>
        </w:rPr>
        <w:t xml:space="preserve">                        </w:t>
      </w:r>
    </w:p>
    <w:p w14:paraId="6D9B04D7">
      <w:pPr>
        <w:pStyle w:val="13"/>
        <w:spacing w:before="120" w:beforeAutospacing="0" w:after="120" w:afterAutospacing="0" w:line="360" w:lineRule="auto"/>
        <w:jc w:val="center"/>
        <w:rPr>
          <w:highlight w:val="none"/>
        </w:rPr>
      </w:pPr>
      <w:r>
        <w:rPr>
          <w:highlight w:val="none"/>
        </w:rPr>
        <w:t> </w:t>
      </w:r>
    </w:p>
    <w:p w14:paraId="1B0A0FCC">
      <w:pPr>
        <w:pStyle w:val="13"/>
        <w:spacing w:beforeAutospacing="0" w:afterAutospacing="0" w:line="480" w:lineRule="auto"/>
        <w:jc w:val="center"/>
        <w:rPr>
          <w:highlight w:val="none"/>
        </w:rPr>
      </w:pPr>
      <w:r>
        <w:rPr>
          <w:rFonts w:ascii="Times New Roman" w:hAnsi="Times New Roman"/>
          <w:color w:val="000000"/>
          <w:sz w:val="21"/>
          <w:szCs w:val="21"/>
          <w:highlight w:val="none"/>
        </w:rPr>
        <w:br w:type="page"/>
      </w:r>
      <w:r>
        <w:rPr>
          <w:rFonts w:ascii="Times New Roman" w:hAnsi="Times New Roman"/>
          <w:color w:val="000000"/>
          <w:sz w:val="21"/>
          <w:szCs w:val="21"/>
          <w:highlight w:val="none"/>
        </w:rPr>
        <w:t> </w:t>
      </w:r>
      <w:bookmarkStart w:id="0" w:name="_Toc16938516"/>
      <w:bookmarkStart w:id="1" w:name="_Toc479757206"/>
      <w:bookmarkStart w:id="2" w:name="_Toc523127445"/>
      <w:bookmarkStart w:id="3" w:name="_Toc120614210"/>
      <w:bookmarkStart w:id="4" w:name="_Toc513029200"/>
      <w:bookmarkStart w:id="5" w:name="_Toc20823272"/>
      <w:r>
        <w:rPr>
          <w:rFonts w:ascii="黑体" w:hAnsi="宋体" w:eastAsia="黑体" w:cs="黑体"/>
          <w:b/>
          <w:color w:val="000000"/>
          <w:sz w:val="44"/>
          <w:szCs w:val="44"/>
          <w:highlight w:val="none"/>
        </w:rPr>
        <w:t>总  目  录</w:t>
      </w:r>
      <w:bookmarkEnd w:id="0"/>
      <w:bookmarkEnd w:id="1"/>
      <w:bookmarkEnd w:id="2"/>
      <w:bookmarkEnd w:id="3"/>
      <w:bookmarkEnd w:id="4"/>
      <w:bookmarkEnd w:id="5"/>
    </w:p>
    <w:p w14:paraId="24BB874F">
      <w:pPr>
        <w:pStyle w:val="13"/>
        <w:spacing w:beforeAutospacing="0" w:afterAutospacing="0" w:line="480" w:lineRule="auto"/>
        <w:jc w:val="both"/>
        <w:rPr>
          <w:highlight w:val="none"/>
        </w:rPr>
      </w:pPr>
      <w:r>
        <w:rPr>
          <w:highlight w:val="none"/>
        </w:rPr>
        <w:t> </w:t>
      </w:r>
    </w:p>
    <w:p w14:paraId="0BE109DC">
      <w:pPr>
        <w:pStyle w:val="13"/>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lang w:val="en-US" w:eastAsia="zh-CN"/>
        </w:rPr>
        <w:t>招标公告</w:t>
      </w:r>
      <w:r>
        <w:rPr>
          <w:rFonts w:hint="eastAsia" w:ascii="黑体" w:hAnsi="宋体" w:eastAsia="黑体" w:cs="黑体"/>
          <w:color w:val="000000"/>
          <w:sz w:val="36"/>
          <w:szCs w:val="36"/>
          <w:highlight w:val="none"/>
        </w:rPr>
        <w:t xml:space="preserve">…………………………………… </w:t>
      </w:r>
    </w:p>
    <w:p w14:paraId="7C522B2E">
      <w:pPr>
        <w:pStyle w:val="13"/>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 xml:space="preserve">投标人须知…………………………………  </w:t>
      </w:r>
    </w:p>
    <w:p w14:paraId="4B510CDE">
      <w:pPr>
        <w:pStyle w:val="13"/>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合同</w:t>
      </w:r>
      <w:r>
        <w:rPr>
          <w:rFonts w:hint="eastAsia" w:ascii="黑体" w:hAnsi="宋体" w:eastAsia="黑体" w:cs="黑体"/>
          <w:color w:val="000000"/>
          <w:sz w:val="36"/>
          <w:szCs w:val="36"/>
          <w:highlight w:val="none"/>
          <w:lang w:eastAsia="zh-CN"/>
        </w:rPr>
        <w:t>条款</w:t>
      </w:r>
      <w:r>
        <w:rPr>
          <w:rFonts w:hint="eastAsia" w:ascii="黑体" w:hAnsi="宋体" w:eastAsia="黑体" w:cs="黑体"/>
          <w:color w:val="000000"/>
          <w:sz w:val="36"/>
          <w:szCs w:val="36"/>
          <w:highlight w:val="none"/>
        </w:rPr>
        <w:t>……………………………………</w:t>
      </w:r>
    </w:p>
    <w:p w14:paraId="35CAB5B5">
      <w:pPr>
        <w:pStyle w:val="13"/>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采购需求……………………………………</w:t>
      </w:r>
    </w:p>
    <w:p w14:paraId="12FD980E">
      <w:pPr>
        <w:pStyle w:val="13"/>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评标方法与评标标准………………………</w:t>
      </w:r>
    </w:p>
    <w:p w14:paraId="15602893">
      <w:pPr>
        <w:pStyle w:val="13"/>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投标文件格式………………………………</w:t>
      </w:r>
    </w:p>
    <w:p w14:paraId="534DE13F">
      <w:pPr>
        <w:pStyle w:val="13"/>
        <w:spacing w:beforeAutospacing="0" w:afterAutospacing="0"/>
        <w:jc w:val="both"/>
        <w:rPr>
          <w:highlight w:val="none"/>
        </w:rPr>
      </w:pPr>
      <w:r>
        <w:rPr>
          <w:highlight w:val="none"/>
        </w:rPr>
        <w:t> </w:t>
      </w:r>
    </w:p>
    <w:p w14:paraId="5B3C47C5">
      <w:pPr>
        <w:pStyle w:val="13"/>
        <w:spacing w:beforeAutospacing="0" w:afterAutospacing="0"/>
        <w:jc w:val="both"/>
        <w:rPr>
          <w:highlight w:val="none"/>
        </w:rPr>
      </w:pPr>
      <w:r>
        <w:rPr>
          <w:highlight w:val="none"/>
        </w:rPr>
        <w:t> </w:t>
      </w:r>
    </w:p>
    <w:p w14:paraId="1026E6EC">
      <w:pPr>
        <w:pStyle w:val="13"/>
        <w:spacing w:beforeAutospacing="0" w:afterAutospacing="0"/>
        <w:jc w:val="both"/>
        <w:rPr>
          <w:highlight w:val="none"/>
        </w:rPr>
      </w:pPr>
      <w:r>
        <w:rPr>
          <w:highlight w:val="none"/>
        </w:rPr>
        <w:t> </w:t>
      </w:r>
    </w:p>
    <w:p w14:paraId="77EDD784">
      <w:pPr>
        <w:pStyle w:val="13"/>
        <w:spacing w:beforeAutospacing="0" w:afterAutospacing="0"/>
        <w:jc w:val="both"/>
        <w:rPr>
          <w:highlight w:val="none"/>
        </w:rPr>
      </w:pPr>
      <w:r>
        <w:rPr>
          <w:highlight w:val="none"/>
        </w:rPr>
        <w:t> </w:t>
      </w:r>
    </w:p>
    <w:p w14:paraId="0CEF2CA3">
      <w:pPr>
        <w:pStyle w:val="13"/>
        <w:spacing w:beforeAutospacing="0" w:afterAutospacing="0"/>
        <w:jc w:val="both"/>
        <w:rPr>
          <w:highlight w:val="none"/>
        </w:rPr>
      </w:pPr>
      <w:r>
        <w:rPr>
          <w:highlight w:val="none"/>
        </w:rPr>
        <w:t> </w:t>
      </w:r>
    </w:p>
    <w:p w14:paraId="199834B7">
      <w:pPr>
        <w:pStyle w:val="13"/>
        <w:spacing w:beforeAutospacing="0" w:afterAutospacing="0"/>
        <w:jc w:val="both"/>
        <w:rPr>
          <w:highlight w:val="none"/>
        </w:rPr>
      </w:pPr>
      <w:r>
        <w:rPr>
          <w:highlight w:val="none"/>
        </w:rPr>
        <w:t> </w:t>
      </w:r>
    </w:p>
    <w:p w14:paraId="5973B429">
      <w:pPr>
        <w:pStyle w:val="13"/>
        <w:spacing w:beforeAutospacing="0" w:afterAutospacing="0"/>
        <w:jc w:val="both"/>
        <w:rPr>
          <w:highlight w:val="none"/>
        </w:rPr>
      </w:pPr>
      <w:r>
        <w:rPr>
          <w:highlight w:val="none"/>
        </w:rPr>
        <w:t> </w:t>
      </w:r>
    </w:p>
    <w:p w14:paraId="002C7EB7">
      <w:pPr>
        <w:pStyle w:val="13"/>
        <w:spacing w:beforeAutospacing="0" w:afterAutospacing="0"/>
        <w:jc w:val="both"/>
        <w:rPr>
          <w:highlight w:val="none"/>
        </w:rPr>
      </w:pPr>
      <w:r>
        <w:rPr>
          <w:highlight w:val="none"/>
        </w:rPr>
        <w:t> </w:t>
      </w:r>
    </w:p>
    <w:p w14:paraId="4F9CAB0B">
      <w:pPr>
        <w:pStyle w:val="13"/>
        <w:spacing w:beforeAutospacing="0" w:afterAutospacing="0"/>
        <w:jc w:val="both"/>
        <w:rPr>
          <w:highlight w:val="none"/>
        </w:rPr>
      </w:pPr>
      <w:r>
        <w:rPr>
          <w:highlight w:val="none"/>
        </w:rPr>
        <w:t> </w:t>
      </w:r>
    </w:p>
    <w:p w14:paraId="2E059227">
      <w:pPr>
        <w:pStyle w:val="13"/>
        <w:spacing w:beforeAutospacing="0" w:afterAutospacing="0"/>
        <w:jc w:val="both"/>
        <w:rPr>
          <w:highlight w:val="none"/>
        </w:rPr>
      </w:pPr>
      <w:r>
        <w:rPr>
          <w:highlight w:val="none"/>
        </w:rPr>
        <w:t> </w:t>
      </w:r>
    </w:p>
    <w:p w14:paraId="377E3A45">
      <w:pPr>
        <w:pStyle w:val="13"/>
        <w:spacing w:beforeAutospacing="0" w:afterAutospacing="0"/>
        <w:jc w:val="both"/>
        <w:rPr>
          <w:highlight w:val="none"/>
        </w:rPr>
      </w:pPr>
      <w:r>
        <w:rPr>
          <w:highlight w:val="none"/>
        </w:rPr>
        <w:t> </w:t>
      </w:r>
    </w:p>
    <w:p w14:paraId="0902FF10">
      <w:pPr>
        <w:pStyle w:val="13"/>
        <w:spacing w:beforeAutospacing="0" w:afterAutospacing="0"/>
        <w:jc w:val="both"/>
        <w:rPr>
          <w:highlight w:val="none"/>
        </w:rPr>
      </w:pPr>
      <w:r>
        <w:rPr>
          <w:highlight w:val="none"/>
        </w:rPr>
        <w:t> </w:t>
      </w:r>
    </w:p>
    <w:p w14:paraId="6551063F">
      <w:pPr>
        <w:pStyle w:val="13"/>
        <w:spacing w:beforeAutospacing="0" w:afterAutospacing="0"/>
        <w:jc w:val="both"/>
        <w:rPr>
          <w:highlight w:val="none"/>
        </w:rPr>
      </w:pPr>
      <w:r>
        <w:rPr>
          <w:highlight w:val="none"/>
        </w:rPr>
        <w:t> </w:t>
      </w:r>
    </w:p>
    <w:p w14:paraId="191BFA28">
      <w:pPr>
        <w:pStyle w:val="13"/>
        <w:spacing w:beforeAutospacing="0" w:afterAutospacing="0"/>
        <w:jc w:val="both"/>
        <w:rPr>
          <w:highlight w:val="none"/>
        </w:rPr>
      </w:pPr>
      <w:r>
        <w:rPr>
          <w:highlight w:val="none"/>
        </w:rPr>
        <w:t> </w:t>
      </w:r>
    </w:p>
    <w:p w14:paraId="2C46ADC8">
      <w:pPr>
        <w:pStyle w:val="13"/>
        <w:spacing w:beforeAutospacing="0" w:afterAutospacing="0"/>
        <w:jc w:val="both"/>
        <w:rPr>
          <w:highlight w:val="none"/>
        </w:rPr>
      </w:pPr>
      <w:r>
        <w:rPr>
          <w:highlight w:val="none"/>
        </w:rPr>
        <w:t> </w:t>
      </w:r>
    </w:p>
    <w:p w14:paraId="2900AB90">
      <w:pPr>
        <w:pStyle w:val="13"/>
        <w:spacing w:beforeAutospacing="0" w:afterAutospacing="0"/>
        <w:jc w:val="both"/>
        <w:rPr>
          <w:highlight w:val="none"/>
        </w:rPr>
      </w:pPr>
      <w:r>
        <w:rPr>
          <w:highlight w:val="none"/>
        </w:rPr>
        <w:t> </w:t>
      </w:r>
    </w:p>
    <w:p w14:paraId="60DE5FF6">
      <w:pPr>
        <w:pStyle w:val="13"/>
        <w:spacing w:beforeAutospacing="0" w:afterAutospacing="0"/>
        <w:jc w:val="both"/>
        <w:rPr>
          <w:highlight w:val="none"/>
        </w:rPr>
      </w:pPr>
      <w:r>
        <w:rPr>
          <w:highlight w:val="none"/>
        </w:rPr>
        <w:t> </w:t>
      </w:r>
    </w:p>
    <w:p w14:paraId="4B476BA0">
      <w:pPr>
        <w:pStyle w:val="13"/>
        <w:spacing w:beforeAutospacing="0" w:afterAutospacing="0"/>
        <w:jc w:val="both"/>
        <w:rPr>
          <w:highlight w:val="none"/>
        </w:rPr>
      </w:pPr>
      <w:r>
        <w:rPr>
          <w:highlight w:val="none"/>
        </w:rPr>
        <w:t> </w:t>
      </w:r>
    </w:p>
    <w:p w14:paraId="66234C8E">
      <w:pPr>
        <w:pStyle w:val="13"/>
        <w:spacing w:beforeAutospacing="0" w:afterAutospacing="0"/>
        <w:jc w:val="both"/>
        <w:rPr>
          <w:highlight w:val="none"/>
        </w:rPr>
      </w:pPr>
      <w:r>
        <w:rPr>
          <w:highlight w:val="none"/>
        </w:rPr>
        <w:t> </w:t>
      </w:r>
    </w:p>
    <w:p w14:paraId="43F4AD00">
      <w:pPr>
        <w:pStyle w:val="13"/>
        <w:spacing w:beforeAutospacing="0" w:afterAutospacing="0"/>
        <w:jc w:val="both"/>
        <w:rPr>
          <w:highlight w:val="none"/>
        </w:rPr>
      </w:pPr>
      <w:r>
        <w:rPr>
          <w:highlight w:val="none"/>
        </w:rPr>
        <w:t> </w:t>
      </w:r>
    </w:p>
    <w:p w14:paraId="19406DE9">
      <w:pPr>
        <w:pStyle w:val="13"/>
        <w:spacing w:beforeAutospacing="0" w:afterAutospacing="0"/>
        <w:jc w:val="both"/>
        <w:rPr>
          <w:highlight w:val="none"/>
        </w:rPr>
      </w:pPr>
      <w:r>
        <w:rPr>
          <w:highlight w:val="none"/>
        </w:rPr>
        <w:t> </w:t>
      </w:r>
    </w:p>
    <w:p w14:paraId="5410DC49">
      <w:pPr>
        <w:pStyle w:val="13"/>
        <w:spacing w:beforeAutospacing="0" w:afterAutospacing="0"/>
        <w:jc w:val="both"/>
        <w:rPr>
          <w:highlight w:val="none"/>
        </w:rPr>
      </w:pPr>
      <w:r>
        <w:rPr>
          <w:highlight w:val="none"/>
        </w:rPr>
        <w:t> </w:t>
      </w:r>
    </w:p>
    <w:p w14:paraId="6B4B44CE">
      <w:pPr>
        <w:pStyle w:val="13"/>
        <w:keepNext/>
        <w:spacing w:beforeAutospacing="0" w:afterAutospacing="0"/>
        <w:jc w:val="center"/>
        <w:rPr>
          <w:rFonts w:hint="default" w:eastAsia="黑体"/>
          <w:highlight w:val="none"/>
          <w:lang w:val="en-US" w:eastAsia="zh-CN"/>
        </w:rPr>
      </w:pPr>
      <w:bookmarkStart w:id="6" w:name="_Toc479757211"/>
      <w:bookmarkStart w:id="7" w:name="_Toc20823346"/>
      <w:bookmarkStart w:id="8" w:name="_Hlt16619350"/>
      <w:bookmarkStart w:id="9" w:name="_Toc120614244"/>
      <w:bookmarkStart w:id="10" w:name="_Toc462564139"/>
      <w:bookmarkStart w:id="11" w:name="_Toc16938590"/>
      <w:bookmarkStart w:id="12" w:name="_Hlt26954848"/>
      <w:bookmarkStart w:id="13" w:name="_Hlt26954838"/>
      <w:bookmarkStart w:id="14" w:name="_Hlt26670486"/>
      <w:bookmarkStart w:id="15" w:name="_Hlt26670482"/>
      <w:bookmarkStart w:id="16" w:name="_Hlt26670360"/>
      <w:bookmarkStart w:id="17" w:name="_Toc28359086"/>
      <w:bookmarkStart w:id="18" w:name="_Hlt26668975"/>
      <w:bookmarkStart w:id="19" w:name="_Hlt26954739"/>
      <w:bookmarkStart w:id="20" w:name="_Hlt26954852"/>
      <w:bookmarkStart w:id="21" w:name="_Hlt26954846"/>
      <w:bookmarkStart w:id="22" w:name="_Hlt16619369"/>
      <w:bookmarkStart w:id="23" w:name="_Hlt16619475"/>
      <w:bookmarkStart w:id="24" w:name="_Hlt26954731"/>
      <w:bookmarkStart w:id="25" w:name="_Toc513029226"/>
      <w:r>
        <w:rPr>
          <w:rFonts w:hint="eastAsia" w:ascii="黑体" w:hAnsi="宋体" w:eastAsia="黑体" w:cs="黑体"/>
          <w:color w:val="000000"/>
          <w:sz w:val="44"/>
          <w:szCs w:val="44"/>
          <w:highlight w:val="none"/>
        </w:rPr>
        <w:t>第一章 </w:t>
      </w:r>
      <w:r>
        <w:rPr>
          <w:rFonts w:hint="eastAsia" w:ascii="黑体" w:hAnsi="宋体" w:eastAsia="黑体" w:cs="黑体"/>
          <w:color w:val="000000"/>
          <w:sz w:val="44"/>
          <w:szCs w:val="44"/>
          <w:highlight w:val="none"/>
          <w:lang w:val="en-US" w:eastAsia="zh-CN"/>
        </w:rPr>
        <w:t>招标公告</w:t>
      </w:r>
    </w:p>
    <w:p w14:paraId="067B83BA">
      <w:pPr>
        <w:pStyle w:val="13"/>
        <w:pBdr>
          <w:top w:val="single" w:color="000000" w:sz="4" w:space="0"/>
          <w:left w:val="single" w:color="000000" w:sz="4" w:space="0"/>
          <w:bottom w:val="single" w:color="000000" w:sz="4" w:space="0"/>
          <w:right w:val="single" w:color="000000" w:sz="4" w:space="0"/>
        </w:pBdr>
        <w:spacing w:beforeAutospacing="0" w:afterAutospacing="0"/>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项目概况</w:t>
      </w:r>
    </w:p>
    <w:p w14:paraId="3FD28F85">
      <w:pPr>
        <w:pStyle w:val="13"/>
        <w:pBdr>
          <w:top w:val="single" w:color="000000" w:sz="4" w:space="0"/>
          <w:left w:val="single" w:color="000000" w:sz="4" w:space="0"/>
          <w:bottom w:val="single" w:color="000000" w:sz="4" w:space="0"/>
          <w:right w:val="single" w:color="000000" w:sz="4" w:space="0"/>
        </w:pBdr>
        <w:spacing w:beforeAutospacing="0" w:afterAutospacing="0"/>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rPr>
        <w:t>三灶镇三份港、射阳河海事处水质自动监测站建设及</w:t>
      </w:r>
      <w:r>
        <w:rPr>
          <w:rFonts w:hint="eastAsia" w:ascii="宋体" w:hAnsi="宋体" w:eastAsia="宋体" w:cs="宋体"/>
          <w:color w:val="000000"/>
          <w:sz w:val="24"/>
          <w:szCs w:val="24"/>
          <w:highlight w:val="none"/>
          <w:u w:val="single"/>
          <w:lang w:eastAsia="zh-CN"/>
        </w:rPr>
        <w:t>三年</w:t>
      </w:r>
      <w:r>
        <w:rPr>
          <w:rFonts w:hint="eastAsia" w:ascii="宋体" w:hAnsi="宋体" w:eastAsia="宋体" w:cs="宋体"/>
          <w:color w:val="000000"/>
          <w:sz w:val="24"/>
          <w:szCs w:val="24"/>
          <w:highlight w:val="none"/>
          <w:u w:val="single"/>
        </w:rPr>
        <w:t xml:space="preserve">运维服务项目 </w:t>
      </w:r>
      <w:r>
        <w:rPr>
          <w:rFonts w:hint="eastAsia" w:ascii="宋体" w:hAnsi="宋体" w:eastAsia="宋体" w:cs="宋体"/>
          <w:color w:val="000000"/>
          <w:sz w:val="24"/>
          <w:szCs w:val="24"/>
          <w:highlight w:val="none"/>
        </w:rPr>
        <w:t>招标项目的潜在投标人</w:t>
      </w:r>
      <w:r>
        <w:rPr>
          <w:rFonts w:hint="eastAsia" w:ascii="宋体" w:hAnsi="宋体" w:eastAsia="宋体" w:cs="宋体"/>
          <w:color w:val="000000"/>
          <w:sz w:val="24"/>
          <w:szCs w:val="24"/>
          <w:highlight w:val="none"/>
          <w:lang w:val="en-US" w:eastAsia="zh-CN"/>
        </w:rPr>
        <w:t>应</w:t>
      </w:r>
      <w:r>
        <w:rPr>
          <w:rFonts w:hint="eastAsia" w:ascii="宋体" w:hAnsi="宋体" w:eastAsia="宋体" w:cs="宋体"/>
          <w:color w:val="000000"/>
          <w:sz w:val="24"/>
          <w:szCs w:val="24"/>
          <w:highlight w:val="none"/>
        </w:rPr>
        <w:t>在</w:t>
      </w:r>
      <w:r>
        <w:rPr>
          <w:rFonts w:hint="eastAsia" w:ascii="宋体" w:hAnsi="宋体" w:eastAsia="宋体" w:cs="宋体"/>
          <w:i w:val="0"/>
          <w:iCs w:val="0"/>
          <w:caps w:val="0"/>
          <w:color w:val="333333"/>
          <w:spacing w:val="0"/>
          <w:sz w:val="24"/>
          <w:szCs w:val="24"/>
          <w:highlight w:val="none"/>
          <w:shd w:val="clear" w:fill="FFFFFF"/>
        </w:rPr>
        <w:t>“苏采云”系统内免费下载（投标人必须在苏采云系统中获取采购文件，方能参与政府采购项目）</w:t>
      </w:r>
      <w:r>
        <w:rPr>
          <w:rFonts w:hint="eastAsia" w:ascii="宋体" w:hAnsi="宋体" w:eastAsia="宋体" w:cs="宋体"/>
          <w:color w:val="000000"/>
          <w:sz w:val="24"/>
          <w:szCs w:val="24"/>
          <w:highlight w:val="none"/>
        </w:rPr>
        <w:t>，并于</w:t>
      </w:r>
      <w:r>
        <w:rPr>
          <w:rFonts w:hint="eastAsia" w:ascii="宋体" w:hAnsi="宋体" w:eastAsia="宋体" w:cs="宋体"/>
          <w:color w:val="000000"/>
          <w:sz w:val="24"/>
          <w:szCs w:val="24"/>
          <w:highlight w:val="none"/>
          <w:u w:val="single"/>
          <w:lang w:val="en-US" w:eastAsia="zh-CN"/>
        </w:rPr>
        <w:t>2026</w:t>
      </w:r>
      <w:r>
        <w:rPr>
          <w:rFonts w:hint="eastAsia" w:ascii="宋体" w:hAnsi="宋体" w:eastAsia="宋体" w:cs="宋体"/>
          <w:color w:val="000000"/>
          <w:sz w:val="24"/>
          <w:szCs w:val="24"/>
          <w:highlight w:val="none"/>
          <w:u w:val="single"/>
        </w:rPr>
        <w:t xml:space="preserve"> 年</w:t>
      </w:r>
      <w:r>
        <w:rPr>
          <w:rFonts w:hint="eastAsia" w:ascii="宋体" w:hAnsi="宋体" w:eastAsia="宋体" w:cs="宋体"/>
          <w:color w:val="000000"/>
          <w:sz w:val="24"/>
          <w:szCs w:val="24"/>
          <w:highlight w:val="none"/>
          <w:u w:val="single"/>
          <w:lang w:val="en-US" w:eastAsia="zh-CN"/>
        </w:rPr>
        <w:t>08</w:t>
      </w:r>
      <w:r>
        <w:rPr>
          <w:rFonts w:hint="eastAsia" w:ascii="宋体" w:hAnsi="宋体" w:eastAsia="宋体" w:cs="宋体"/>
          <w:color w:val="000000"/>
          <w:sz w:val="24"/>
          <w:szCs w:val="24"/>
          <w:highlight w:val="none"/>
          <w:u w:val="single"/>
        </w:rPr>
        <w:t>月</w:t>
      </w:r>
      <w:r>
        <w:rPr>
          <w:rFonts w:hint="eastAsia" w:ascii="宋体" w:hAnsi="宋体" w:eastAsia="宋体" w:cs="宋体"/>
          <w:color w:val="000000"/>
          <w:sz w:val="24"/>
          <w:szCs w:val="24"/>
          <w:highlight w:val="none"/>
          <w:u w:val="single"/>
          <w:lang w:val="en-US" w:eastAsia="zh-CN"/>
        </w:rPr>
        <w:t>03</w:t>
      </w:r>
      <w:r>
        <w:rPr>
          <w:rFonts w:hint="eastAsia" w:ascii="宋体" w:hAnsi="宋体" w:eastAsia="宋体" w:cs="宋体"/>
          <w:color w:val="000000"/>
          <w:sz w:val="24"/>
          <w:szCs w:val="24"/>
          <w:highlight w:val="none"/>
          <w:u w:val="single"/>
        </w:rPr>
        <w:t>日</w:t>
      </w:r>
      <w:r>
        <w:rPr>
          <w:rFonts w:hint="eastAsia" w:ascii="宋体" w:hAnsi="宋体" w:eastAsia="宋体" w:cs="宋体"/>
          <w:color w:val="000000"/>
          <w:sz w:val="24"/>
          <w:szCs w:val="24"/>
          <w:highlight w:val="none"/>
          <w:u w:val="single"/>
          <w:lang w:val="en-US" w:eastAsia="zh-CN"/>
        </w:rPr>
        <w:t>09</w:t>
      </w:r>
      <w:r>
        <w:rPr>
          <w:rFonts w:hint="eastAsia" w:ascii="宋体" w:hAnsi="宋体" w:eastAsia="宋体" w:cs="宋体"/>
          <w:color w:val="000000"/>
          <w:sz w:val="24"/>
          <w:szCs w:val="24"/>
          <w:highlight w:val="none"/>
          <w:u w:val="single"/>
        </w:rPr>
        <w:t xml:space="preserve"> 点</w:t>
      </w:r>
      <w:r>
        <w:rPr>
          <w:rFonts w:hint="eastAsia" w:ascii="宋体" w:hAnsi="宋体" w:eastAsia="宋体" w:cs="宋体"/>
          <w:color w:val="000000"/>
          <w:sz w:val="24"/>
          <w:szCs w:val="24"/>
          <w:highlight w:val="none"/>
          <w:u w:val="single"/>
          <w:lang w:val="en-US" w:eastAsia="zh-CN"/>
        </w:rPr>
        <w:t>00</w:t>
      </w:r>
      <w:r>
        <w:rPr>
          <w:rFonts w:hint="eastAsia" w:ascii="宋体" w:hAnsi="宋体" w:eastAsia="宋体" w:cs="宋体"/>
          <w:color w:val="000000"/>
          <w:sz w:val="24"/>
          <w:szCs w:val="24"/>
          <w:highlight w:val="none"/>
          <w:u w:val="single"/>
        </w:rPr>
        <w:t xml:space="preserve"> 分（</w:t>
      </w:r>
      <w:r>
        <w:rPr>
          <w:rFonts w:hint="eastAsia" w:ascii="宋体" w:hAnsi="宋体" w:eastAsia="宋体" w:cs="宋体"/>
          <w:color w:val="000000"/>
          <w:sz w:val="24"/>
          <w:szCs w:val="24"/>
          <w:highlight w:val="none"/>
        </w:rPr>
        <w:t>北京时间）前递交投标文件。</w:t>
      </w:r>
    </w:p>
    <w:p w14:paraId="75795C71">
      <w:pPr>
        <w:pStyle w:val="13"/>
        <w:keepNext/>
        <w:keepLines/>
        <w:spacing w:before="145" w:beforeAutospacing="0" w:after="145" w:afterAutospacing="0" w:line="360" w:lineRule="auto"/>
        <w:ind w:firstLine="498"/>
        <w:jc w:val="both"/>
        <w:rPr>
          <w:rFonts w:hint="eastAsia" w:ascii="宋体" w:hAnsi="宋体" w:eastAsia="宋体" w:cs="宋体"/>
          <w:sz w:val="24"/>
          <w:szCs w:val="24"/>
          <w:highlight w:val="none"/>
        </w:rPr>
      </w:pPr>
      <w:bookmarkStart w:id="26" w:name="_Toc38985263"/>
      <w:bookmarkStart w:id="27" w:name="_Toc28359079"/>
      <w:bookmarkStart w:id="28" w:name="_Hlk24379207"/>
      <w:bookmarkStart w:id="29" w:name="_Toc28359002"/>
      <w:bookmarkStart w:id="30" w:name="_Toc35393790"/>
      <w:bookmarkStart w:id="31" w:name="_Toc35393621"/>
      <w:r>
        <w:rPr>
          <w:rFonts w:hint="eastAsia" w:ascii="宋体" w:hAnsi="宋体" w:eastAsia="宋体" w:cs="宋体"/>
          <w:b/>
          <w:color w:val="000000"/>
          <w:sz w:val="24"/>
          <w:szCs w:val="24"/>
          <w:highlight w:val="none"/>
        </w:rPr>
        <w:t>一、项目基本情况</w:t>
      </w:r>
      <w:bookmarkEnd w:id="26"/>
      <w:bookmarkEnd w:id="27"/>
      <w:bookmarkEnd w:id="28"/>
      <w:bookmarkEnd w:id="29"/>
      <w:bookmarkEnd w:id="30"/>
      <w:bookmarkEnd w:id="31"/>
    </w:p>
    <w:p w14:paraId="22795015">
      <w:pPr>
        <w:pStyle w:val="13"/>
        <w:spacing w:beforeAutospacing="0" w:afterAutospacing="0"/>
        <w:ind w:firstLine="480"/>
        <w:jc w:val="both"/>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1.项目编号：</w:t>
      </w:r>
    </w:p>
    <w:p w14:paraId="7D0259E6">
      <w:pPr>
        <w:pStyle w:val="13"/>
        <w:spacing w:beforeAutospacing="0" w:afterAutospacing="0"/>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rPr>
        <w:t>2.项</w:t>
      </w:r>
      <w:r>
        <w:rPr>
          <w:rFonts w:hint="eastAsia" w:ascii="宋体" w:hAnsi="宋体" w:eastAsia="宋体" w:cs="宋体"/>
          <w:color w:val="000000"/>
          <w:sz w:val="24"/>
          <w:szCs w:val="24"/>
          <w:highlight w:val="none"/>
          <w:shd w:val="clear" w:color="auto" w:fill="auto"/>
        </w:rPr>
        <w:t>目名称：</w:t>
      </w:r>
      <w:r>
        <w:rPr>
          <w:rFonts w:hint="eastAsia" w:ascii="宋体" w:hAnsi="宋体" w:cs="宋体"/>
          <w:bCs/>
          <w:sz w:val="24"/>
          <w:szCs w:val="24"/>
          <w:highlight w:val="none"/>
          <w:lang w:eastAsia="zh-CN"/>
        </w:rPr>
        <w:t>三灶镇三份港、射阳河海事处水质自动监测站建设及三年运维服务</w:t>
      </w:r>
      <w:r>
        <w:rPr>
          <w:rFonts w:hint="eastAsia" w:ascii="宋体" w:hAnsi="宋体" w:cs="宋体"/>
          <w:bCs/>
          <w:sz w:val="24"/>
          <w:szCs w:val="24"/>
          <w:highlight w:val="none"/>
          <w:lang w:val="en-US" w:eastAsia="zh-CN"/>
        </w:rPr>
        <w:t>项目</w:t>
      </w:r>
    </w:p>
    <w:p w14:paraId="4BBA6B29">
      <w:pPr>
        <w:pStyle w:val="13"/>
        <w:spacing w:beforeAutospacing="0" w:afterAutospacing="0"/>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3.</w:t>
      </w:r>
      <w:r>
        <w:rPr>
          <w:rFonts w:hint="eastAsia" w:ascii="宋体" w:hAnsi="宋体" w:eastAsia="宋体" w:cs="宋体"/>
          <w:i w:val="0"/>
          <w:iCs w:val="0"/>
          <w:caps w:val="0"/>
          <w:color w:val="333333"/>
          <w:spacing w:val="0"/>
          <w:sz w:val="24"/>
          <w:szCs w:val="24"/>
          <w:highlight w:val="none"/>
          <w:shd w:val="clear" w:fill="FFFFFF"/>
        </w:rPr>
        <w:t>采购方式：</w:t>
      </w:r>
      <w:r>
        <w:rPr>
          <w:rFonts w:hint="eastAsia" w:ascii="宋体" w:hAnsi="宋体" w:eastAsia="宋体" w:cs="宋体"/>
          <w:i w:val="0"/>
          <w:iCs w:val="0"/>
          <w:caps w:val="0"/>
          <w:color w:val="333333"/>
          <w:spacing w:val="0"/>
          <w:sz w:val="24"/>
          <w:szCs w:val="24"/>
          <w:highlight w:val="none"/>
          <w:shd w:val="clear" w:fill="FFFFFF"/>
          <w:lang w:val="en-US" w:eastAsia="zh-CN"/>
        </w:rPr>
        <w:t>公开招标</w:t>
      </w:r>
    </w:p>
    <w:p w14:paraId="4A5BDE43">
      <w:pPr>
        <w:pStyle w:val="13"/>
        <w:spacing w:beforeAutospacing="0" w:afterAutospacing="0"/>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.预算金额：</w:t>
      </w:r>
      <w:r>
        <w:rPr>
          <w:rFonts w:hint="eastAsia" w:ascii="宋体" w:hAnsi="宋体" w:eastAsia="宋体" w:cs="宋体"/>
          <w:color w:val="000000"/>
          <w:sz w:val="24"/>
          <w:szCs w:val="24"/>
          <w:highlight w:val="none"/>
          <w:lang w:val="en-US" w:eastAsia="zh-CN"/>
        </w:rPr>
        <w:t>180万</w:t>
      </w:r>
    </w:p>
    <w:p w14:paraId="6592E65D">
      <w:pPr>
        <w:pStyle w:val="13"/>
        <w:spacing w:beforeAutospacing="0" w:afterAutospacing="0"/>
        <w:ind w:firstLine="480"/>
        <w:jc w:val="both"/>
        <w:rPr>
          <w:rFonts w:hint="eastAsia" w:ascii="宋体" w:hAnsi="宋体" w:eastAsia="宋体" w:cs="宋体"/>
          <w:color w:val="000000"/>
          <w:sz w:val="24"/>
          <w:szCs w:val="24"/>
          <w:highlight w:val="none"/>
          <w:shd w:val="clear" w:color="FFFFFF" w:fill="D9D9D9"/>
        </w:rPr>
      </w:pPr>
      <w:r>
        <w:rPr>
          <w:rFonts w:hint="eastAsia" w:ascii="宋体" w:hAnsi="宋体" w:eastAsia="宋体" w:cs="宋体"/>
          <w:i w:val="0"/>
          <w:iCs w:val="0"/>
          <w:caps w:val="0"/>
          <w:color w:val="333333"/>
          <w:spacing w:val="0"/>
          <w:sz w:val="24"/>
          <w:szCs w:val="24"/>
          <w:highlight w:val="none"/>
          <w:shd w:val="clear" w:fill="FFFFFF"/>
          <w:lang w:val="en-US" w:eastAsia="zh-CN"/>
        </w:rPr>
        <w:t>5.</w:t>
      </w:r>
      <w:r>
        <w:rPr>
          <w:rFonts w:hint="eastAsia" w:ascii="宋体" w:hAnsi="宋体" w:eastAsia="宋体" w:cs="宋体"/>
          <w:i w:val="0"/>
          <w:iCs w:val="0"/>
          <w:caps w:val="0"/>
          <w:color w:val="333333"/>
          <w:spacing w:val="0"/>
          <w:sz w:val="24"/>
          <w:szCs w:val="24"/>
          <w:highlight w:val="none"/>
          <w:shd w:val="clear" w:fill="FFFFFF"/>
        </w:rPr>
        <w:t>最高限价：180万</w:t>
      </w:r>
    </w:p>
    <w:p w14:paraId="45AD3716">
      <w:pPr>
        <w:widowControl w:val="0"/>
        <w:spacing w:line="360" w:lineRule="auto"/>
        <w:ind w:firstLine="482"/>
        <w:jc w:val="both"/>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shd w:val="clear" w:color="auto" w:fill="auto"/>
          <w:lang w:val="en-US" w:eastAsia="zh-CN"/>
        </w:rPr>
        <w:t>6</w:t>
      </w:r>
      <w:r>
        <w:rPr>
          <w:rFonts w:hint="eastAsia" w:ascii="宋体" w:hAnsi="宋体" w:eastAsia="宋体" w:cs="宋体"/>
          <w:color w:val="000000"/>
          <w:sz w:val="24"/>
          <w:szCs w:val="24"/>
          <w:highlight w:val="none"/>
          <w:shd w:val="clear" w:color="auto" w:fill="auto"/>
        </w:rPr>
        <w:t>.采购需求：</w:t>
      </w:r>
      <w:r>
        <w:rPr>
          <w:rFonts w:hint="eastAsia" w:ascii="宋体" w:hAnsi="宋体" w:cs="宋体"/>
          <w:bCs/>
          <w:sz w:val="24"/>
          <w:szCs w:val="24"/>
          <w:highlight w:val="none"/>
          <w:lang w:eastAsia="zh-CN"/>
        </w:rPr>
        <w:t>三灶镇三份港、射阳河海事处水质自动监测站建设及三年运维服务</w:t>
      </w:r>
      <w:r>
        <w:rPr>
          <w:rFonts w:hint="eastAsia" w:ascii="宋体" w:hAnsi="宋体" w:cs="宋体"/>
          <w:bCs/>
          <w:sz w:val="24"/>
          <w:szCs w:val="24"/>
          <w:highlight w:val="none"/>
          <w:lang w:val="en-US" w:eastAsia="zh-CN"/>
        </w:rPr>
        <w:t>项目，主要内容为</w:t>
      </w:r>
      <w:r>
        <w:rPr>
          <w:rFonts w:hint="eastAsia" w:ascii="宋体" w:hAnsi="宋体" w:eastAsia="宋体"/>
          <w:color w:val="auto"/>
          <w:spacing w:val="0"/>
          <w:sz w:val="24"/>
          <w:szCs w:val="24"/>
        </w:rPr>
        <w:t>项目内新建水站</w:t>
      </w:r>
      <w:r>
        <w:rPr>
          <w:rFonts w:hint="eastAsia" w:ascii="宋体" w:hAnsi="宋体" w:eastAsia="宋体"/>
          <w:color w:val="auto"/>
          <w:spacing w:val="0"/>
          <w:sz w:val="24"/>
          <w:szCs w:val="24"/>
          <w:lang w:val="en-US" w:eastAsia="zh-CN"/>
        </w:rPr>
        <w:t>及</w:t>
      </w:r>
      <w:r>
        <w:rPr>
          <w:rFonts w:hint="eastAsia" w:ascii="宋体" w:hAnsi="宋体" w:eastAsia="宋体"/>
          <w:color w:val="auto"/>
          <w:spacing w:val="0"/>
          <w:sz w:val="24"/>
          <w:szCs w:val="24"/>
          <w:highlight w:val="none"/>
        </w:rPr>
        <w:t>常规水质五参数(水温、PH值、电导率、溶解氧、浊度)。监测因子:高锰酸盐指数、化学需氧量、总磷、总氮、氨氮、流向流速仪。微型标准集成站房，三通一平(自来水、电、网络、场地平整)，</w:t>
      </w:r>
      <w:r>
        <w:rPr>
          <w:rFonts w:hint="eastAsia" w:ascii="宋体" w:hAnsi="宋体" w:eastAsia="宋体"/>
          <w:color w:val="auto"/>
          <w:spacing w:val="0"/>
          <w:sz w:val="24"/>
          <w:szCs w:val="24"/>
          <w:highlight w:val="none"/>
          <w:lang w:eastAsia="zh-CN"/>
        </w:rPr>
        <w:t>三年</w:t>
      </w:r>
      <w:r>
        <w:rPr>
          <w:rFonts w:hint="eastAsia" w:ascii="宋体" w:hAnsi="宋体" w:eastAsia="宋体"/>
          <w:color w:val="auto"/>
          <w:spacing w:val="0"/>
          <w:sz w:val="24"/>
          <w:szCs w:val="24"/>
          <w:highlight w:val="none"/>
        </w:rPr>
        <w:t>运维服务</w:t>
      </w:r>
      <w:r>
        <w:rPr>
          <w:rFonts w:hint="eastAsia" w:ascii="宋体" w:hAnsi="宋体" w:eastAsia="宋体"/>
          <w:color w:val="auto"/>
          <w:spacing w:val="0"/>
          <w:sz w:val="24"/>
          <w:szCs w:val="24"/>
          <w:highlight w:val="none"/>
          <w:lang w:val="en-US" w:eastAsia="zh-CN"/>
        </w:rPr>
        <w:t>等</w:t>
      </w:r>
      <w:r>
        <w:rPr>
          <w:rFonts w:hint="eastAsia" w:ascii="宋体" w:hAnsi="宋体" w:eastAsia="宋体" w:cs="宋体"/>
          <w:color w:val="000000"/>
          <w:sz w:val="24"/>
          <w:szCs w:val="24"/>
          <w:highlight w:val="none"/>
          <w:shd w:val="clear" w:color="auto" w:fill="auto"/>
        </w:rPr>
        <w:t>（详</w:t>
      </w:r>
      <w:r>
        <w:rPr>
          <w:rFonts w:hint="eastAsia" w:ascii="宋体" w:hAnsi="宋体" w:eastAsia="宋体" w:cs="宋体"/>
          <w:color w:val="000000"/>
          <w:sz w:val="24"/>
          <w:szCs w:val="24"/>
          <w:highlight w:val="none"/>
        </w:rPr>
        <w:t>细内容见本</w:t>
      </w:r>
      <w:r>
        <w:rPr>
          <w:rFonts w:hint="eastAsia" w:ascii="宋体" w:hAnsi="宋体" w:eastAsia="宋体" w:cs="宋体"/>
          <w:color w:val="000000"/>
          <w:sz w:val="24"/>
          <w:szCs w:val="24"/>
          <w:highlight w:val="none"/>
          <w:lang w:val="en-US" w:eastAsia="zh-CN"/>
        </w:rPr>
        <w:t>招标</w:t>
      </w:r>
      <w:r>
        <w:rPr>
          <w:rFonts w:hint="eastAsia" w:ascii="宋体" w:hAnsi="宋体" w:eastAsia="宋体" w:cs="宋体"/>
          <w:color w:val="000000"/>
          <w:sz w:val="24"/>
          <w:szCs w:val="24"/>
          <w:highlight w:val="none"/>
        </w:rPr>
        <w:t>文件第四章）</w:t>
      </w:r>
      <w:r>
        <w:rPr>
          <w:rFonts w:hint="eastAsia" w:ascii="宋体" w:hAnsi="宋体" w:eastAsia="宋体" w:cs="宋体"/>
          <w:color w:val="000000"/>
          <w:sz w:val="24"/>
          <w:szCs w:val="24"/>
          <w:highlight w:val="none"/>
          <w:lang w:eastAsia="zh-CN"/>
        </w:rPr>
        <w:t>。</w:t>
      </w:r>
    </w:p>
    <w:p w14:paraId="18DCC8DC">
      <w:pPr>
        <w:pStyle w:val="13"/>
        <w:spacing w:beforeAutospacing="0" w:afterAutospacing="0"/>
        <w:ind w:firstLine="480"/>
        <w:jc w:val="both"/>
        <w:rPr>
          <w:rFonts w:hint="eastAsia" w:ascii="宋体" w:hAnsi="宋体" w:eastAsia="宋体" w:cs="宋体"/>
          <w:color w:val="000000"/>
          <w:sz w:val="24"/>
          <w:szCs w:val="24"/>
          <w:highlight w:val="green"/>
          <w:lang w:val="en-US" w:eastAsia="zh-CN"/>
        </w:rPr>
      </w:pPr>
      <w:r>
        <w:rPr>
          <w:rFonts w:hint="eastAsia" w:ascii="宋体" w:hAnsi="宋体" w:eastAsia="宋体" w:cs="宋体"/>
          <w:color w:val="000000"/>
          <w:sz w:val="24"/>
          <w:szCs w:val="24"/>
          <w:highlight w:val="green"/>
          <w:lang w:val="en-US" w:eastAsia="zh-CN"/>
        </w:rPr>
        <w:t>7</w:t>
      </w:r>
      <w:r>
        <w:rPr>
          <w:rFonts w:hint="eastAsia" w:ascii="宋体" w:hAnsi="宋体" w:eastAsia="宋体" w:cs="宋体"/>
          <w:color w:val="000000"/>
          <w:sz w:val="24"/>
          <w:szCs w:val="24"/>
          <w:highlight w:val="green"/>
        </w:rPr>
        <w:t>.</w:t>
      </w:r>
      <w:r>
        <w:rPr>
          <w:rFonts w:hint="eastAsia" w:ascii="宋体" w:hAnsi="宋体" w:eastAsia="宋体" w:cs="宋体"/>
          <w:color w:val="000000"/>
          <w:sz w:val="24"/>
          <w:szCs w:val="24"/>
          <w:highlight w:val="green"/>
          <w:lang w:eastAsia="zh-CN"/>
        </w:rPr>
        <w:t>合同履行期限：</w:t>
      </w:r>
      <w:r>
        <w:rPr>
          <w:rFonts w:hint="eastAsia" w:ascii="宋体" w:hAnsi="宋体" w:eastAsia="宋体" w:cs="宋体"/>
          <w:color w:val="000000"/>
          <w:sz w:val="24"/>
          <w:szCs w:val="24"/>
          <w:highlight w:val="green"/>
          <w:lang w:val="en-US" w:eastAsia="zh-CN"/>
        </w:rPr>
        <w:t>设备安装及站房建设60日天，运维</w:t>
      </w:r>
      <w:r>
        <w:rPr>
          <w:rFonts w:hint="eastAsia" w:ascii="宋体" w:hAnsi="宋体" w:eastAsia="宋体" w:cs="宋体"/>
          <w:color w:val="000000"/>
          <w:sz w:val="24"/>
          <w:szCs w:val="24"/>
          <w:highlight w:val="green"/>
          <w:lang w:eastAsia="zh-CN"/>
        </w:rPr>
        <w:t>三年。</w:t>
      </w:r>
    </w:p>
    <w:p w14:paraId="07C6611A">
      <w:pPr>
        <w:pStyle w:val="13"/>
        <w:keepNext/>
        <w:keepLines/>
        <w:spacing w:before="145" w:beforeAutospacing="0" w:after="145" w:afterAutospacing="0" w:line="360" w:lineRule="auto"/>
        <w:ind w:firstLine="498"/>
        <w:jc w:val="both"/>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8.</w:t>
      </w:r>
      <w:bookmarkStart w:id="32" w:name="_Toc38985264"/>
      <w:bookmarkStart w:id="33" w:name="_Toc28359080"/>
      <w:bookmarkStart w:id="34" w:name="_Toc28359003"/>
      <w:bookmarkStart w:id="35" w:name="_Toc35393791"/>
      <w:bookmarkStart w:id="36" w:name="_Toc35393622"/>
      <w:r>
        <w:rPr>
          <w:rFonts w:hint="eastAsia" w:ascii="宋体" w:hAnsi="宋体" w:eastAsia="宋体" w:cs="宋体"/>
          <w:i w:val="0"/>
          <w:iCs w:val="0"/>
          <w:caps w:val="0"/>
          <w:color w:val="333333"/>
          <w:spacing w:val="0"/>
          <w:sz w:val="24"/>
          <w:szCs w:val="24"/>
          <w:highlight w:val="none"/>
          <w:shd w:val="clear" w:fill="FFFFFF"/>
          <w:lang w:val="en-US" w:eastAsia="zh-CN"/>
        </w:rPr>
        <w:t>本项目（是/否）接受联合体：否。</w:t>
      </w:r>
    </w:p>
    <w:p w14:paraId="4702CF41">
      <w:pPr>
        <w:pStyle w:val="13"/>
        <w:keepNext/>
        <w:keepLines/>
        <w:spacing w:before="145" w:beforeAutospacing="0" w:after="145" w:afterAutospacing="0" w:line="360" w:lineRule="auto"/>
        <w:ind w:firstLine="498"/>
        <w:jc w:val="both"/>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二、申请人的资格要求：</w:t>
      </w:r>
      <w:bookmarkEnd w:id="32"/>
      <w:bookmarkEnd w:id="33"/>
      <w:bookmarkEnd w:id="34"/>
      <w:bookmarkEnd w:id="35"/>
      <w:bookmarkEnd w:id="36"/>
    </w:p>
    <w:p w14:paraId="305066AA">
      <w:pPr>
        <w:pStyle w:val="13"/>
        <w:spacing w:beforeAutospacing="0" w:afterAutospacing="0"/>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1.满足《中华人民共和国政府采购法》第二十二条规定，并提供下列材料：</w:t>
      </w:r>
    </w:p>
    <w:p w14:paraId="56156D8F">
      <w:pPr>
        <w:pStyle w:val="13"/>
        <w:spacing w:beforeAutospacing="0" w:afterAutospacing="0"/>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1.1 法人或者其他组织的营业执照等证明文件，自然人的身份证明；</w:t>
      </w:r>
    </w:p>
    <w:p w14:paraId="2BA052FA">
      <w:pPr>
        <w:pStyle w:val="13"/>
        <w:spacing w:beforeAutospacing="0" w:afterAutospacing="0"/>
        <w:ind w:firstLine="48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1.2</w:t>
      </w:r>
      <w:r>
        <w:rPr>
          <w:rFonts w:hint="eastAsia" w:ascii="宋体" w:hAnsi="宋体" w:eastAsia="宋体" w:cs="宋体"/>
          <w:color w:val="000000"/>
          <w:sz w:val="24"/>
          <w:szCs w:val="24"/>
          <w:highlight w:val="none"/>
          <w:lang w:eastAsia="zh-CN"/>
        </w:rPr>
        <w:t>上一年度（2025年度）的财务状况报告（财务报告至少应包括资产负债表、利润表，距投标截止之日止，成立不满一年的投标人无需提供）；</w:t>
      </w:r>
    </w:p>
    <w:p w14:paraId="258E5644">
      <w:pPr>
        <w:pStyle w:val="13"/>
        <w:spacing w:beforeAutospacing="0" w:afterAutospacing="0"/>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1.3</w:t>
      </w:r>
      <w:r>
        <w:rPr>
          <w:rFonts w:hint="eastAsia" w:ascii="宋体" w:hAnsi="宋体" w:eastAsia="宋体" w:cs="宋体"/>
          <w:color w:val="000000"/>
          <w:sz w:val="24"/>
          <w:szCs w:val="24"/>
          <w:highlight w:val="none"/>
        </w:rPr>
        <w:t>具备履行合同所必需的设备和专业技术能力的书面声明；</w:t>
      </w:r>
    </w:p>
    <w:p w14:paraId="6D330BF5">
      <w:pPr>
        <w:pStyle w:val="13"/>
        <w:spacing w:beforeAutospacing="0" w:afterAutospacing="0"/>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19A6E36D">
      <w:pPr>
        <w:pStyle w:val="13"/>
        <w:spacing w:beforeAutospacing="0" w:afterAutospacing="0"/>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.5参加政府采购活动前3年内在经营活动中没有重大违法记录的书面声明。</w:t>
      </w:r>
    </w:p>
    <w:p w14:paraId="38F83718">
      <w:pPr>
        <w:pStyle w:val="13"/>
        <w:spacing w:beforeAutospacing="0" w:afterAutospacing="0"/>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1.6法律、行政法规规定的其他条件。</w:t>
      </w:r>
    </w:p>
    <w:p w14:paraId="6E4CA09E">
      <w:pPr>
        <w:pStyle w:val="13"/>
        <w:spacing w:beforeAutospacing="0" w:afterAutospacing="0"/>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1.7</w:t>
      </w:r>
      <w:r>
        <w:rPr>
          <w:rFonts w:hint="eastAsia" w:ascii="宋体" w:hAnsi="宋体" w:eastAsia="宋体" w:cs="宋体"/>
          <w:color w:val="000000"/>
          <w:sz w:val="24"/>
          <w:szCs w:val="24"/>
          <w:highlight w:val="none"/>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126368E2">
      <w:pPr>
        <w:pStyle w:val="13"/>
        <w:spacing w:beforeAutospacing="0" w:afterAutospacing="0" w:line="360" w:lineRule="auto"/>
        <w:ind w:firstLine="480"/>
        <w:jc w:val="both"/>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lang w:val="en-US" w:eastAsia="zh-CN"/>
        </w:rPr>
        <w:t>1.8</w:t>
      </w:r>
      <w:r>
        <w:rPr>
          <w:rFonts w:hint="eastAsia" w:ascii="宋体" w:hAnsi="宋体" w:eastAsia="宋体" w:cs="宋体"/>
          <w:color w:val="000000"/>
          <w:sz w:val="24"/>
          <w:szCs w:val="24"/>
          <w:highlight w:val="none"/>
        </w:rPr>
        <w:t>单位负责人为同一人或者存在直接控股、管理关系的不同供应</w:t>
      </w:r>
      <w:r>
        <w:rPr>
          <w:rFonts w:hint="eastAsia" w:ascii="宋体" w:hAnsi="宋体" w:eastAsia="宋体" w:cs="宋体"/>
          <w:color w:val="000000"/>
          <w:sz w:val="24"/>
          <w:szCs w:val="24"/>
          <w:highlight w:val="none"/>
          <w:shd w:val="clear" w:color="auto" w:fill="auto"/>
        </w:rPr>
        <w:t>商，不得参加同一合同项下的政府采购活动。</w:t>
      </w:r>
    </w:p>
    <w:p w14:paraId="7FD4AB74">
      <w:pPr>
        <w:spacing w:line="450" w:lineRule="exact"/>
        <w:ind w:firstLine="480"/>
        <w:rPr>
          <w:rFonts w:hint="eastAsia" w:ascii="宋体" w:hAnsi="宋体"/>
          <w:b/>
          <w:bCs/>
          <w:color w:val="auto"/>
          <w:sz w:val="24"/>
          <w:szCs w:val="24"/>
          <w:highlight w:val="none"/>
        </w:rPr>
      </w:pPr>
      <w:r>
        <w:rPr>
          <w:rFonts w:hint="eastAsia" w:ascii="宋体" w:hAnsi="宋体" w:eastAsia="宋体"/>
          <w:b/>
          <w:bCs/>
          <w:color w:val="auto"/>
          <w:sz w:val="24"/>
          <w:szCs w:val="24"/>
          <w:highlight w:val="none"/>
        </w:rPr>
        <w:t>2.落实政府采购政策需满足的资格要求：</w:t>
      </w:r>
      <w:r>
        <w:rPr>
          <w:rFonts w:hint="eastAsia" w:ascii="宋体" w:hAnsi="宋体"/>
          <w:b/>
          <w:bCs/>
          <w:color w:val="auto"/>
          <w:sz w:val="24"/>
          <w:szCs w:val="24"/>
          <w:highlight w:val="none"/>
        </w:rPr>
        <w:t>本项目专门面向中小企业采购，只接受中小微企业投标，响应文件中提供《中小企业声明函》并加盖公章。</w:t>
      </w:r>
    </w:p>
    <w:p w14:paraId="1A240BBD">
      <w:pPr>
        <w:spacing w:line="450" w:lineRule="exact"/>
        <w:ind w:firstLine="480"/>
        <w:rPr>
          <w:rFonts w:hint="eastAsia" w:ascii="宋体" w:hAnsi="宋体"/>
          <w:b/>
          <w:bCs/>
          <w:color w:val="auto"/>
          <w:sz w:val="24"/>
          <w:szCs w:val="24"/>
          <w:highlight w:val="none"/>
        </w:rPr>
      </w:pPr>
      <w:r>
        <w:rPr>
          <w:rFonts w:hint="eastAsia" w:ascii="宋体" w:hAnsi="宋体"/>
          <w:b/>
          <w:bCs/>
          <w:color w:val="auto"/>
          <w:sz w:val="24"/>
          <w:szCs w:val="24"/>
          <w:highlight w:val="none"/>
        </w:rPr>
        <w:t>特别说明：</w:t>
      </w:r>
      <w:r>
        <w:rPr>
          <w:rFonts w:hint="eastAsia" w:ascii="宋体" w:hAnsi="宋体"/>
          <w:b/>
          <w:bCs/>
          <w:color w:val="auto"/>
          <w:sz w:val="24"/>
          <w:szCs w:val="24"/>
          <w:highlight w:val="none"/>
          <w:lang w:eastAsia="zh-CN"/>
        </w:rPr>
        <w:t>投标人</w:t>
      </w:r>
      <w:r>
        <w:rPr>
          <w:rFonts w:hint="eastAsia" w:ascii="宋体" w:hAnsi="宋体"/>
          <w:b/>
          <w:bCs/>
          <w:color w:val="auto"/>
          <w:sz w:val="24"/>
          <w:szCs w:val="24"/>
          <w:highlight w:val="none"/>
        </w:rPr>
        <w:t>按照《政府采购促进中小企业发展管理办法》（财库〔2020〕46号）规定要求提供声明函内容不实的，即不属于中小企业参与本项目投标的，属于提供虚假材料谋取中标、成交，依照《中华人民共和国政府采购法》等国家有关规定追究相应责任，请各</w:t>
      </w:r>
      <w:r>
        <w:rPr>
          <w:rFonts w:hint="eastAsia" w:ascii="宋体" w:hAnsi="宋体"/>
          <w:b/>
          <w:bCs/>
          <w:color w:val="auto"/>
          <w:sz w:val="24"/>
          <w:szCs w:val="24"/>
          <w:highlight w:val="none"/>
          <w:lang w:eastAsia="zh-CN"/>
        </w:rPr>
        <w:t>投标人</w:t>
      </w:r>
      <w:r>
        <w:rPr>
          <w:rFonts w:hint="eastAsia" w:ascii="宋体" w:hAnsi="宋体"/>
          <w:b/>
          <w:bCs/>
          <w:color w:val="auto"/>
          <w:sz w:val="24"/>
          <w:szCs w:val="24"/>
          <w:highlight w:val="none"/>
        </w:rPr>
        <w:t>予以关注。</w:t>
      </w:r>
    </w:p>
    <w:p w14:paraId="7E27817B">
      <w:pPr>
        <w:pageBreakBefore w:val="0"/>
        <w:kinsoku/>
        <w:wordWrap/>
        <w:overflowPunct/>
        <w:topLinePunct w:val="0"/>
        <w:autoSpaceDE/>
        <w:autoSpaceDN/>
        <w:bidi w:val="0"/>
        <w:adjustRightInd/>
        <w:snapToGrid/>
        <w:spacing w:line="400" w:lineRule="exact"/>
        <w:ind w:firstLine="480"/>
        <w:textAlignment w:val="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3.本项目的特定资格要求：无</w:t>
      </w:r>
      <w:r>
        <w:rPr>
          <w:rFonts w:hint="eastAsia" w:ascii="宋体" w:hAnsi="宋体" w:eastAsia="宋体"/>
          <w:color w:val="auto"/>
          <w:sz w:val="24"/>
          <w:szCs w:val="24"/>
          <w:highlight w:val="none"/>
          <w:lang w:eastAsia="zh-CN"/>
        </w:rPr>
        <w:t>。</w:t>
      </w:r>
    </w:p>
    <w:p w14:paraId="2CA3EDA7">
      <w:pPr>
        <w:pStyle w:val="13"/>
        <w:keepNext/>
        <w:keepLines/>
        <w:spacing w:before="145" w:beforeAutospacing="0" w:after="145" w:afterAutospacing="0" w:line="360" w:lineRule="auto"/>
        <w:ind w:firstLine="498"/>
        <w:jc w:val="both"/>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三、获取招标文件</w:t>
      </w:r>
    </w:p>
    <w:p w14:paraId="24DE1147">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3" w:lineRule="atLeast"/>
        <w:ind w:left="0" w:right="0" w:firstLine="540"/>
        <w:jc w:val="both"/>
        <w:rPr>
          <w:rFonts w:hint="eastAsia" w:ascii="宋体" w:hAnsi="宋体" w:eastAsia="宋体" w:cs="宋体"/>
          <w:color w:val="000000"/>
          <w:sz w:val="24"/>
          <w:szCs w:val="24"/>
          <w:highlight w:val="none"/>
          <w:shd w:val="clear" w:color="auto" w:fill="auto"/>
        </w:rPr>
      </w:pPr>
      <w:bookmarkStart w:id="37" w:name="_Toc35393793"/>
      <w:bookmarkStart w:id="38" w:name="_Toc38985266"/>
      <w:bookmarkStart w:id="39" w:name="_Toc28359082"/>
      <w:bookmarkStart w:id="40" w:name="_Toc35393624"/>
      <w:bookmarkStart w:id="41" w:name="_Toc28359005"/>
      <w:r>
        <w:rPr>
          <w:rFonts w:hint="eastAsia" w:ascii="宋体" w:hAnsi="宋体" w:eastAsia="宋体" w:cs="宋体"/>
          <w:color w:val="000000"/>
          <w:sz w:val="24"/>
          <w:szCs w:val="24"/>
          <w:highlight w:val="none"/>
          <w:shd w:val="clear" w:color="auto" w:fill="auto"/>
        </w:rPr>
        <w:t>1.时间：</w:t>
      </w:r>
      <w:bookmarkEnd w:id="37"/>
      <w:bookmarkEnd w:id="38"/>
      <w:bookmarkEnd w:id="39"/>
      <w:bookmarkEnd w:id="40"/>
      <w:bookmarkEnd w:id="41"/>
      <w:r>
        <w:rPr>
          <w:rFonts w:hint="eastAsia" w:ascii="宋体" w:hAnsi="宋体" w:eastAsia="宋体" w:cs="宋体"/>
          <w:color w:val="000000"/>
          <w:sz w:val="24"/>
          <w:szCs w:val="24"/>
          <w:highlight w:val="none"/>
          <w:shd w:val="clear" w:color="auto" w:fill="auto"/>
        </w:rPr>
        <w:t>自招标文件公告发布之日起5个工作日 。</w:t>
      </w:r>
    </w:p>
    <w:p w14:paraId="0AFDAD71">
      <w:pPr>
        <w:keepNext w:val="0"/>
        <w:keepLines w:val="0"/>
        <w:widowControl/>
        <w:suppressLineNumbers w:val="0"/>
        <w:ind w:firstLine="480" w:firstLineChars="200"/>
        <w:jc w:val="left"/>
        <w:rPr>
          <w:rFonts w:hint="eastAsia" w:ascii="宋体" w:hAnsi="宋体" w:eastAsia="宋体" w:cs="宋体"/>
          <w:color w:val="000000"/>
          <w:kern w:val="0"/>
          <w:sz w:val="24"/>
          <w:szCs w:val="24"/>
          <w:highlight w:val="none"/>
          <w:shd w:val="clear" w:color="auto" w:fill="auto"/>
          <w:lang w:val="en-US" w:eastAsia="zh-CN" w:bidi="ar-SA"/>
        </w:rPr>
      </w:pPr>
      <w:r>
        <w:rPr>
          <w:rFonts w:hint="eastAsia" w:ascii="宋体" w:hAnsi="宋体" w:eastAsia="宋体" w:cs="宋体"/>
          <w:color w:val="000000"/>
          <w:kern w:val="0"/>
          <w:sz w:val="24"/>
          <w:szCs w:val="24"/>
          <w:highlight w:val="none"/>
          <w:shd w:val="clear" w:color="auto" w:fill="auto"/>
          <w:lang w:val="en-US" w:eastAsia="zh-CN" w:bidi="ar-SA"/>
        </w:rPr>
        <w:t>2.地点：“苏采云”系统内免费下载（投标人必须在苏采云系统中获取采购文件，方能参与政府采购项目）；</w:t>
      </w:r>
    </w:p>
    <w:p w14:paraId="6DEC5800">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3" w:lineRule="atLeast"/>
        <w:ind w:left="0" w:right="0" w:firstLine="540"/>
        <w:jc w:val="both"/>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3.方式：本项目采用网上注册登记方式。 </w:t>
      </w:r>
    </w:p>
    <w:p w14:paraId="4ED4A4EB">
      <w:pPr>
        <w:widowControl/>
        <w:spacing w:line="560" w:lineRule="exact"/>
        <w:ind w:firstLine="480" w:firstLineChars="200"/>
        <w:jc w:val="left"/>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4.售价：0元</w:t>
      </w:r>
    </w:p>
    <w:p w14:paraId="228C1A6E">
      <w:pPr>
        <w:pStyle w:val="13"/>
        <w:keepNext/>
        <w:keepLines/>
        <w:spacing w:before="145" w:beforeAutospacing="0" w:after="145" w:afterAutospacing="0" w:line="360" w:lineRule="auto"/>
        <w:ind w:firstLine="498"/>
        <w:jc w:val="both"/>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四、提交投标文件截止时间、开标时间和地点</w:t>
      </w:r>
    </w:p>
    <w:p w14:paraId="6314FD1F">
      <w:pPr>
        <w:pageBreakBefore w:val="0"/>
        <w:kinsoku/>
        <w:wordWrap/>
        <w:overflowPunct/>
        <w:topLinePunct w:val="0"/>
        <w:autoSpaceDE/>
        <w:autoSpaceDN/>
        <w:bidi w:val="0"/>
        <w:adjustRightInd/>
        <w:snapToGrid/>
        <w:spacing w:line="400" w:lineRule="exact"/>
        <w:ind w:firstLine="480"/>
        <w:textAlignment w:val="auto"/>
        <w:rPr>
          <w:rFonts w:hint="eastAsia" w:ascii="宋体" w:hAnsi="宋体"/>
          <w:color w:val="auto"/>
          <w:sz w:val="24"/>
          <w:szCs w:val="24"/>
          <w:highlight w:val="none"/>
        </w:rPr>
      </w:pPr>
      <w:r>
        <w:rPr>
          <w:rFonts w:hint="eastAsia" w:ascii="宋体" w:hAnsi="宋体"/>
          <w:color w:val="auto"/>
          <w:sz w:val="24"/>
          <w:szCs w:val="24"/>
          <w:highlight w:val="none"/>
        </w:rPr>
        <w:t>1、时间：</w:t>
      </w:r>
      <w:r>
        <w:rPr>
          <w:rFonts w:hint="eastAsia" w:ascii="宋体" w:hAnsi="宋体"/>
          <w:color w:val="auto"/>
          <w:sz w:val="24"/>
          <w:szCs w:val="24"/>
          <w:highlight w:val="none"/>
          <w:lang w:eastAsia="zh-CN"/>
        </w:rPr>
        <w:t>2026年0</w:t>
      </w:r>
      <w:r>
        <w:rPr>
          <w:rFonts w:hint="eastAsia" w:ascii="宋体" w:hAnsi="宋体"/>
          <w:color w:val="auto"/>
          <w:sz w:val="24"/>
          <w:szCs w:val="24"/>
          <w:highlight w:val="none"/>
          <w:lang w:val="en-US" w:eastAsia="zh-CN"/>
        </w:rPr>
        <w:t>8</w:t>
      </w:r>
      <w:r>
        <w:rPr>
          <w:rFonts w:hint="eastAsia" w:ascii="宋体" w:hAnsi="宋体"/>
          <w:color w:val="auto"/>
          <w:sz w:val="24"/>
          <w:szCs w:val="24"/>
          <w:highlight w:val="none"/>
          <w:lang w:eastAsia="zh-CN"/>
        </w:rPr>
        <w:t>月</w:t>
      </w:r>
      <w:r>
        <w:rPr>
          <w:rFonts w:hint="eastAsia" w:ascii="宋体" w:hAnsi="宋体"/>
          <w:color w:val="auto"/>
          <w:sz w:val="24"/>
          <w:szCs w:val="24"/>
          <w:highlight w:val="none"/>
          <w:lang w:val="en-US" w:eastAsia="zh-CN"/>
        </w:rPr>
        <w:t>03</w:t>
      </w:r>
      <w:r>
        <w:rPr>
          <w:rFonts w:hint="eastAsia" w:ascii="宋体" w:hAnsi="宋体"/>
          <w:color w:val="auto"/>
          <w:sz w:val="24"/>
          <w:szCs w:val="24"/>
          <w:highlight w:val="none"/>
          <w:lang w:eastAsia="zh-CN"/>
        </w:rPr>
        <w:t>日</w:t>
      </w:r>
      <w:r>
        <w:rPr>
          <w:rFonts w:hint="eastAsia" w:ascii="宋体" w:hAnsi="宋体"/>
          <w:color w:val="auto"/>
          <w:sz w:val="24"/>
          <w:szCs w:val="24"/>
          <w:highlight w:val="none"/>
          <w:lang w:val="en-US" w:eastAsia="zh-CN"/>
        </w:rPr>
        <w:t>09</w:t>
      </w:r>
      <w:r>
        <w:rPr>
          <w:rFonts w:hint="eastAsia" w:ascii="宋体" w:hAnsi="宋体"/>
          <w:color w:val="auto"/>
          <w:sz w:val="24"/>
          <w:szCs w:val="24"/>
          <w:highlight w:val="none"/>
          <w:lang w:eastAsia="zh-CN"/>
        </w:rPr>
        <w:t>点00分</w:t>
      </w:r>
      <w:r>
        <w:rPr>
          <w:rFonts w:hint="eastAsia" w:ascii="宋体" w:hAnsi="宋体"/>
          <w:color w:val="auto"/>
          <w:sz w:val="24"/>
          <w:szCs w:val="24"/>
          <w:highlight w:val="none"/>
        </w:rPr>
        <w:t>（北京时间）</w:t>
      </w:r>
    </w:p>
    <w:p w14:paraId="7782E27C">
      <w:pPr>
        <w:pStyle w:val="13"/>
        <w:spacing w:beforeAutospacing="0" w:afterAutospacing="0"/>
        <w:ind w:firstLine="480"/>
        <w:jc w:val="both"/>
        <w:rPr>
          <w:rFonts w:hint="eastAsia" w:ascii="宋体" w:hAnsi="宋体" w:eastAsia="宋体" w:cs="宋体"/>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2.地点：苏采云“不见面”开标大厅 </w:t>
      </w:r>
      <w:r>
        <w:rPr>
          <w:rFonts w:hint="eastAsia" w:ascii="宋体" w:hAnsi="宋体" w:eastAsia="宋体" w:cs="宋体"/>
          <w:color w:val="000000"/>
          <w:sz w:val="24"/>
          <w:szCs w:val="24"/>
          <w:highlight w:val="none"/>
          <w:shd w:val="clear" w:color="auto" w:fill="auto"/>
          <w:lang w:eastAsia="zh-CN"/>
        </w:rPr>
        <w:t>。</w:t>
      </w:r>
    </w:p>
    <w:p w14:paraId="44FB4A02">
      <w:pPr>
        <w:pStyle w:val="13"/>
        <w:keepNext/>
        <w:keepLines/>
        <w:spacing w:before="145" w:beforeAutospacing="0" w:after="145" w:afterAutospacing="0" w:line="360" w:lineRule="auto"/>
        <w:ind w:firstLine="498"/>
        <w:jc w:val="both"/>
        <w:rPr>
          <w:rFonts w:hint="eastAsia" w:ascii="宋体" w:hAnsi="宋体" w:eastAsia="宋体" w:cs="宋体"/>
          <w:sz w:val="24"/>
          <w:szCs w:val="24"/>
          <w:highlight w:val="none"/>
        </w:rPr>
      </w:pPr>
      <w:bookmarkStart w:id="42" w:name="_Toc35393794"/>
      <w:bookmarkStart w:id="43" w:name="_Toc38985267"/>
      <w:bookmarkStart w:id="44" w:name="_Toc28359084"/>
      <w:bookmarkStart w:id="45" w:name="_Toc35393625"/>
      <w:bookmarkStart w:id="46" w:name="_Toc28359007"/>
      <w:r>
        <w:rPr>
          <w:rFonts w:hint="eastAsia" w:ascii="宋体" w:hAnsi="宋体" w:eastAsia="宋体" w:cs="宋体"/>
          <w:b/>
          <w:color w:val="000000"/>
          <w:sz w:val="24"/>
          <w:szCs w:val="24"/>
          <w:highlight w:val="none"/>
        </w:rPr>
        <w:t>五、公告期限</w:t>
      </w:r>
      <w:bookmarkEnd w:id="42"/>
      <w:bookmarkEnd w:id="43"/>
      <w:bookmarkEnd w:id="44"/>
      <w:bookmarkEnd w:id="45"/>
      <w:bookmarkEnd w:id="46"/>
    </w:p>
    <w:p w14:paraId="4FC1E28A">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bookmarkStart w:id="47" w:name="_Toc38985268"/>
      <w:bookmarkStart w:id="48" w:name="_Toc35393795"/>
      <w:bookmarkStart w:id="49" w:name="_Toc35393626"/>
      <w:r>
        <w:rPr>
          <w:rFonts w:hint="eastAsia" w:ascii="宋体" w:hAnsi="宋体" w:eastAsia="宋体" w:cs="宋体"/>
          <w:i w:val="0"/>
          <w:iCs w:val="0"/>
          <w:caps w:val="0"/>
          <w:color w:val="333333"/>
          <w:spacing w:val="0"/>
          <w:sz w:val="24"/>
          <w:szCs w:val="24"/>
          <w:highlight w:val="none"/>
          <w:shd w:val="clear" w:fill="FFFFFF"/>
          <w:lang w:val="en-US" w:eastAsia="zh-CN"/>
        </w:rPr>
        <w:t>自本公告发布之日起5个工作日。</w:t>
      </w:r>
      <w:bookmarkEnd w:id="47"/>
      <w:bookmarkEnd w:id="48"/>
      <w:bookmarkEnd w:id="49"/>
    </w:p>
    <w:p w14:paraId="02477187">
      <w:pPr>
        <w:pStyle w:val="13"/>
        <w:keepNext/>
        <w:keepLines/>
        <w:spacing w:before="145" w:beforeAutospacing="0" w:after="145" w:afterAutospacing="0" w:line="360" w:lineRule="auto"/>
        <w:ind w:firstLine="498"/>
        <w:jc w:val="both"/>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六、其他补充事宜</w:t>
      </w:r>
    </w:p>
    <w:p w14:paraId="44443F13">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bookmarkStart w:id="50" w:name="_Toc28359018"/>
      <w:r>
        <w:rPr>
          <w:rFonts w:hint="eastAsia" w:ascii="宋体" w:hAnsi="宋体" w:eastAsia="宋体" w:cs="宋体"/>
          <w:i w:val="0"/>
          <w:iCs w:val="0"/>
          <w:caps w:val="0"/>
          <w:color w:val="333333"/>
          <w:spacing w:val="0"/>
          <w:sz w:val="24"/>
          <w:szCs w:val="24"/>
          <w:highlight w:val="none"/>
          <w:shd w:val="clear" w:fill="FFFFFF"/>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4F7176C1">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26A202F5">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3" w:lineRule="atLeast"/>
        <w:ind w:left="0" w:right="0" w:firstLine="54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2.潜在供应商访问电子招标响应交易平台的网络地址和方法： </w:t>
      </w:r>
    </w:p>
    <w:p w14:paraId="031E05E9">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3" w:lineRule="atLeast"/>
        <w:ind w:left="0" w:right="0" w:firstLine="54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0BC9149F">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3" w:lineRule="atLeast"/>
        <w:ind w:left="0" w:right="0" w:firstLine="54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 潜在投标人访问“苏采云”系统方法：江苏省政府采购网首页-“苏采云”链接。 </w:t>
      </w:r>
    </w:p>
    <w:p w14:paraId="3C97E30A">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3" w:lineRule="atLeast"/>
        <w:ind w:left="0" w:right="0" w:firstLine="54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 采购文件（后缀名为“.kedt”）、供应商操作手册及政府采购客户端 工具可通过“苏采云”系统相应链接进行下载。 </w:t>
      </w:r>
    </w:p>
    <w:p w14:paraId="3E2F2AEB">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3" w:lineRule="atLeast"/>
        <w:ind w:left="0" w:right="0" w:firstLine="54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 采购代理机构将数据电文形式的采购文件加载至“苏采云”系统，供潜在供应商下载或者查阅。 </w:t>
      </w:r>
    </w:p>
    <w:p w14:paraId="09AB41B1">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3" w:lineRule="atLeast"/>
        <w:ind w:left="0" w:right="0" w:firstLine="54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 请潜在投标单位提前安装相应的控件（详见《“苏采云”系统供应商操作手册》）并使用谷歌浏览器登录“苏采云”系统参与不见面开评标。 </w:t>
      </w:r>
    </w:p>
    <w:p w14:paraId="0706BA6A">
      <w:pPr>
        <w:keepNext w:val="0"/>
        <w:keepLines w:val="0"/>
        <w:widowControl/>
        <w:suppressLineNumbers w:val="0"/>
        <w:ind w:firstLine="480" w:firstLineChars="200"/>
        <w:jc w:val="left"/>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color w:val="000000"/>
          <w:kern w:val="0"/>
          <w:sz w:val="24"/>
          <w:szCs w:val="24"/>
          <w:highlight w:val="none"/>
          <w:lang w:val="en-US" w:eastAsia="zh-CN" w:bidi="ar-SA"/>
        </w:rPr>
        <w:t>如潜在投标人未按上述要求操作，将自行承担所产生的风险。</w:t>
      </w:r>
    </w:p>
    <w:p w14:paraId="54E8D8A4">
      <w:pPr>
        <w:pageBreakBefore w:val="0"/>
        <w:kinsoku/>
        <w:wordWrap/>
        <w:overflowPunct/>
        <w:topLinePunct w:val="0"/>
        <w:autoSpaceDE/>
        <w:autoSpaceDN/>
        <w:bidi w:val="0"/>
        <w:adjustRightInd/>
        <w:snapToGrid/>
        <w:spacing w:line="400" w:lineRule="exact"/>
        <w:ind w:firstLine="480"/>
        <w:textAlignment w:val="auto"/>
        <w:rPr>
          <w:rFonts w:hint="eastAsia" w:ascii="宋体" w:hAnsi="宋体"/>
          <w:bCs/>
          <w:color w:val="auto"/>
          <w:sz w:val="24"/>
          <w:szCs w:val="24"/>
          <w:highlight w:val="none"/>
        </w:rPr>
      </w:pPr>
      <w:r>
        <w:rPr>
          <w:rFonts w:hint="eastAsia" w:ascii="宋体" w:hAnsi="宋体" w:eastAsia="宋体" w:cs="宋体"/>
          <w:i w:val="0"/>
          <w:iCs w:val="0"/>
          <w:caps w:val="0"/>
          <w:color w:val="333333"/>
          <w:spacing w:val="0"/>
          <w:sz w:val="24"/>
          <w:szCs w:val="24"/>
          <w:highlight w:val="none"/>
          <w:shd w:val="clear" w:fill="FFFFFF"/>
          <w:lang w:val="en-US" w:eastAsia="zh-CN"/>
        </w:rPr>
        <w:t>3.</w:t>
      </w:r>
      <w:r>
        <w:rPr>
          <w:rFonts w:hint="eastAsia" w:ascii="宋体" w:hAnsi="宋体"/>
          <w:bCs/>
          <w:color w:val="auto"/>
          <w:sz w:val="24"/>
          <w:szCs w:val="24"/>
          <w:highlight w:val="none"/>
        </w:rPr>
        <w:t>有关本次招标的事项若存在变动或修改，敬请及时关注采购人及采购代理机构在“中国政府采购网”、“江苏政府采购网”、“盐城市政府采购网”、“阜宁县公共资源电子化服务平台”发布的更正公告。</w:t>
      </w:r>
    </w:p>
    <w:p w14:paraId="1588F0C6">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4.本次招标不收取投标保证金，不收取质量保证金，不收履约保证金。</w:t>
      </w:r>
    </w:p>
    <w:p w14:paraId="4B3AC9B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3" w:lineRule="atLeast"/>
        <w:ind w:left="0" w:right="0" w:firstLine="480" w:firstLineChars="200"/>
        <w:jc w:val="both"/>
        <w:rPr>
          <w:rFonts w:hint="eastAsia" w:ascii="宋体" w:hAnsi="宋体" w:eastAsia="宋体" w:cs="宋体"/>
          <w:b w:val="0"/>
          <w:bCs w:val="0"/>
          <w:i w:val="0"/>
          <w:iCs w:val="0"/>
          <w:caps w:val="0"/>
          <w:color w:val="333333"/>
          <w:spacing w:val="0"/>
          <w:sz w:val="24"/>
          <w:szCs w:val="24"/>
          <w:highlight w:val="none"/>
        </w:rPr>
      </w:pPr>
      <w:r>
        <w:rPr>
          <w:rFonts w:hint="eastAsia" w:ascii="宋体" w:hAnsi="宋体" w:eastAsia="宋体" w:cs="宋体"/>
          <w:b w:val="0"/>
          <w:bCs w:val="0"/>
          <w:i w:val="0"/>
          <w:iCs w:val="0"/>
          <w:caps w:val="0"/>
          <w:color w:val="333333"/>
          <w:spacing w:val="0"/>
          <w:sz w:val="24"/>
          <w:szCs w:val="24"/>
          <w:highlight w:val="none"/>
          <w:u w:val="none"/>
          <w:shd w:val="clear" w:fill="FFFFFF"/>
          <w:lang w:val="en-US" w:eastAsia="zh-CN"/>
        </w:rPr>
        <w:t>七</w:t>
      </w:r>
      <w:r>
        <w:rPr>
          <w:rFonts w:hint="eastAsia" w:ascii="宋体" w:hAnsi="宋体" w:eastAsia="宋体" w:cs="宋体"/>
          <w:b w:val="0"/>
          <w:bCs w:val="0"/>
          <w:i w:val="0"/>
          <w:iCs w:val="0"/>
          <w:caps w:val="0"/>
          <w:color w:val="333333"/>
          <w:spacing w:val="0"/>
          <w:sz w:val="24"/>
          <w:szCs w:val="24"/>
          <w:highlight w:val="none"/>
          <w:u w:val="none"/>
          <w:shd w:val="clear" w:fill="FFFFFF"/>
        </w:rPr>
        <w:t>、对本次</w:t>
      </w:r>
      <w:r>
        <w:rPr>
          <w:rFonts w:hint="eastAsia" w:ascii="宋体" w:hAnsi="宋体" w:eastAsia="宋体" w:cs="宋体"/>
          <w:b w:val="0"/>
          <w:bCs w:val="0"/>
          <w:i w:val="0"/>
          <w:iCs w:val="0"/>
          <w:caps w:val="0"/>
          <w:color w:val="333333"/>
          <w:spacing w:val="0"/>
          <w:sz w:val="24"/>
          <w:szCs w:val="24"/>
          <w:highlight w:val="none"/>
          <w:u w:val="none"/>
          <w:shd w:val="clear" w:fill="FFFFFF"/>
          <w:lang w:val="en-US" w:eastAsia="zh-CN"/>
        </w:rPr>
        <w:t>招标</w:t>
      </w:r>
      <w:r>
        <w:rPr>
          <w:rFonts w:hint="eastAsia" w:ascii="宋体" w:hAnsi="宋体" w:eastAsia="宋体" w:cs="宋体"/>
          <w:b w:val="0"/>
          <w:bCs w:val="0"/>
          <w:i w:val="0"/>
          <w:iCs w:val="0"/>
          <w:caps w:val="0"/>
          <w:color w:val="333333"/>
          <w:spacing w:val="0"/>
          <w:sz w:val="24"/>
          <w:szCs w:val="24"/>
          <w:highlight w:val="none"/>
          <w:u w:val="none"/>
          <w:shd w:val="clear" w:fill="FFFFFF"/>
        </w:rPr>
        <w:t>提出询问，请按以下方式联系。</w:t>
      </w:r>
      <w:bookmarkEnd w:id="50"/>
    </w:p>
    <w:p w14:paraId="5A8C51E2">
      <w:pPr>
        <w:pStyle w:val="13"/>
        <w:pageBreakBefore w:val="0"/>
        <w:kinsoku/>
        <w:wordWrap/>
        <w:overflowPunct/>
        <w:topLinePunct w:val="0"/>
        <w:autoSpaceDE/>
        <w:autoSpaceDN/>
        <w:bidi w:val="0"/>
        <w:adjustRightInd/>
        <w:snapToGrid/>
        <w:spacing w:beforeAutospacing="0" w:afterAutospacing="0" w:line="360" w:lineRule="exact"/>
        <w:ind w:firstLine="240" w:firstLineChars="10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1.采购人信息</w:t>
      </w:r>
    </w:p>
    <w:p w14:paraId="590BEE9F">
      <w:pPr>
        <w:pStyle w:val="13"/>
        <w:pageBreakBefore w:val="0"/>
        <w:kinsoku/>
        <w:wordWrap/>
        <w:overflowPunct/>
        <w:topLinePunct w:val="0"/>
        <w:autoSpaceDE/>
        <w:autoSpaceDN/>
        <w:bidi w:val="0"/>
        <w:adjustRightInd/>
        <w:snapToGrid/>
        <w:spacing w:beforeAutospacing="0" w:afterAutospacing="0" w:line="360" w:lineRule="exact"/>
        <w:ind w:firstLine="54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名 称：盐城市阜宁生态环境局  </w:t>
      </w:r>
    </w:p>
    <w:p w14:paraId="66E22655">
      <w:pPr>
        <w:pStyle w:val="13"/>
        <w:pageBreakBefore w:val="0"/>
        <w:kinsoku/>
        <w:wordWrap/>
        <w:overflowPunct/>
        <w:topLinePunct w:val="0"/>
        <w:autoSpaceDE/>
        <w:autoSpaceDN/>
        <w:bidi w:val="0"/>
        <w:adjustRightInd/>
        <w:snapToGrid/>
        <w:spacing w:beforeAutospacing="0" w:afterAutospacing="0" w:line="360" w:lineRule="exact"/>
        <w:ind w:firstLine="54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地 址：阜宁县城南大厦C座 </w:t>
      </w:r>
    </w:p>
    <w:p w14:paraId="20A5E0B1">
      <w:pPr>
        <w:pStyle w:val="13"/>
        <w:pageBreakBefore w:val="0"/>
        <w:kinsoku/>
        <w:wordWrap/>
        <w:overflowPunct/>
        <w:topLinePunct w:val="0"/>
        <w:autoSpaceDE/>
        <w:autoSpaceDN/>
        <w:bidi w:val="0"/>
        <w:adjustRightInd/>
        <w:snapToGrid/>
        <w:spacing w:beforeAutospacing="0" w:afterAutospacing="0" w:line="360" w:lineRule="exact"/>
        <w:ind w:firstLine="54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联系人：魏政            </w:t>
      </w:r>
    </w:p>
    <w:p w14:paraId="7D56CCDF">
      <w:pPr>
        <w:pStyle w:val="13"/>
        <w:pageBreakBefore w:val="0"/>
        <w:kinsoku/>
        <w:wordWrap/>
        <w:overflowPunct/>
        <w:topLinePunct w:val="0"/>
        <w:autoSpaceDE/>
        <w:autoSpaceDN/>
        <w:bidi w:val="0"/>
        <w:adjustRightInd/>
        <w:snapToGrid/>
        <w:spacing w:beforeAutospacing="0" w:afterAutospacing="0" w:line="360" w:lineRule="exact"/>
        <w:ind w:firstLine="54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联系方式：13912564909           </w:t>
      </w:r>
    </w:p>
    <w:p w14:paraId="58CDCA9A">
      <w:pPr>
        <w:pStyle w:val="13"/>
        <w:pageBreakBefore w:val="0"/>
        <w:kinsoku/>
        <w:wordWrap/>
        <w:overflowPunct/>
        <w:topLinePunct w:val="0"/>
        <w:autoSpaceDE/>
        <w:autoSpaceDN/>
        <w:bidi w:val="0"/>
        <w:adjustRightInd/>
        <w:snapToGrid/>
        <w:spacing w:beforeAutospacing="0" w:afterAutospacing="0" w:line="360" w:lineRule="exact"/>
        <w:ind w:firstLine="54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2.采购代理机构信息</w:t>
      </w:r>
    </w:p>
    <w:p w14:paraId="47C53C15">
      <w:pPr>
        <w:pStyle w:val="13"/>
        <w:pageBreakBefore w:val="0"/>
        <w:kinsoku/>
        <w:wordWrap/>
        <w:overflowPunct/>
        <w:topLinePunct w:val="0"/>
        <w:autoSpaceDE/>
        <w:autoSpaceDN/>
        <w:bidi w:val="0"/>
        <w:adjustRightInd/>
        <w:snapToGrid/>
        <w:spacing w:beforeAutospacing="0" w:afterAutospacing="0" w:line="360" w:lineRule="exact"/>
        <w:ind w:firstLine="54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名 称：盐城云晖工程造价咨询有限公司  </w:t>
      </w:r>
    </w:p>
    <w:p w14:paraId="15D05E5F">
      <w:pPr>
        <w:pStyle w:val="13"/>
        <w:pageBreakBefore w:val="0"/>
        <w:kinsoku/>
        <w:wordWrap/>
        <w:overflowPunct/>
        <w:topLinePunct w:val="0"/>
        <w:autoSpaceDE/>
        <w:autoSpaceDN/>
        <w:bidi w:val="0"/>
        <w:adjustRightInd/>
        <w:snapToGrid/>
        <w:spacing w:beforeAutospacing="0" w:afterAutospacing="0" w:line="360" w:lineRule="exact"/>
        <w:ind w:firstLine="54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地 址：阜宁宝丰国际商博城42号楼210室 </w:t>
      </w:r>
    </w:p>
    <w:p w14:paraId="52D7110A">
      <w:pPr>
        <w:pStyle w:val="13"/>
        <w:pageBreakBefore w:val="0"/>
        <w:kinsoku/>
        <w:wordWrap/>
        <w:overflowPunct/>
        <w:topLinePunct w:val="0"/>
        <w:autoSpaceDE/>
        <w:autoSpaceDN/>
        <w:bidi w:val="0"/>
        <w:adjustRightInd/>
        <w:snapToGrid/>
        <w:spacing w:beforeAutospacing="0" w:afterAutospacing="0" w:line="360" w:lineRule="exact"/>
        <w:ind w:firstLine="54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联系人：刘涛                   </w:t>
      </w:r>
    </w:p>
    <w:p w14:paraId="5CB30E30">
      <w:pPr>
        <w:pStyle w:val="13"/>
        <w:pageBreakBefore w:val="0"/>
        <w:widowControl/>
        <w:shd w:val="clear" w:color="auto" w:fill="FFFFFF"/>
        <w:kinsoku/>
        <w:wordWrap/>
        <w:overflowPunct/>
        <w:topLinePunct w:val="0"/>
        <w:autoSpaceDE/>
        <w:autoSpaceDN/>
        <w:bidi w:val="0"/>
        <w:adjustRightInd/>
        <w:snapToGrid/>
        <w:spacing w:beforeAutospacing="0" w:afterAutospacing="0" w:line="360" w:lineRule="exact"/>
        <w:ind w:firstLine="56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联系方式：</w:t>
      </w:r>
      <w:bookmarkStart w:id="51" w:name="_Toc28359087"/>
      <w:bookmarkStart w:id="52" w:name="_Toc28359010"/>
      <w:r>
        <w:rPr>
          <w:rFonts w:hint="eastAsia" w:ascii="宋体" w:hAnsi="宋体" w:eastAsia="宋体" w:cs="宋体"/>
          <w:color w:val="000000"/>
          <w:kern w:val="0"/>
          <w:sz w:val="24"/>
          <w:szCs w:val="24"/>
          <w:highlight w:val="none"/>
          <w:lang w:val="en-US" w:eastAsia="zh-CN" w:bidi="ar-SA"/>
        </w:rPr>
        <w:t>18912541327   </w:t>
      </w:r>
      <w:bookmarkEnd w:id="51"/>
      <w:bookmarkEnd w:id="52"/>
      <w:r>
        <w:rPr>
          <w:rFonts w:hint="eastAsia" w:ascii="宋体" w:hAnsi="宋体" w:eastAsia="宋体" w:cs="宋体"/>
          <w:color w:val="000000"/>
          <w:kern w:val="0"/>
          <w:sz w:val="24"/>
          <w:szCs w:val="24"/>
          <w:highlight w:val="none"/>
          <w:lang w:val="en-US" w:eastAsia="zh-CN" w:bidi="ar-SA"/>
        </w:rPr>
        <w:t xml:space="preserve">         </w:t>
      </w:r>
    </w:p>
    <w:p w14:paraId="060092A4">
      <w:pPr>
        <w:pStyle w:val="13"/>
        <w:pageBreakBefore w:val="0"/>
        <w:widowControl/>
        <w:shd w:val="clear" w:color="auto" w:fill="FFFFFF"/>
        <w:kinsoku/>
        <w:wordWrap/>
        <w:overflowPunct/>
        <w:topLinePunct w:val="0"/>
        <w:autoSpaceDE/>
        <w:autoSpaceDN/>
        <w:bidi w:val="0"/>
        <w:adjustRightInd/>
        <w:snapToGrid/>
        <w:spacing w:beforeAutospacing="0" w:afterAutospacing="0" w:line="360" w:lineRule="exact"/>
        <w:ind w:firstLine="560"/>
        <w:jc w:val="both"/>
        <w:textAlignment w:val="auto"/>
        <w:rPr>
          <w:rFonts w:hint="eastAsia" w:ascii="宋体" w:hAnsi="宋体" w:eastAsia="宋体" w:cs="宋体"/>
          <w:color w:val="000000"/>
          <w:kern w:val="0"/>
          <w:sz w:val="24"/>
          <w:szCs w:val="24"/>
          <w:highlight w:val="none"/>
          <w:lang w:val="en-US" w:eastAsia="zh-CN" w:bidi="ar-SA"/>
        </w:rPr>
      </w:pPr>
      <w:bookmarkStart w:id="53" w:name="_Toc28359021"/>
      <w:r>
        <w:rPr>
          <w:rFonts w:hint="eastAsia" w:ascii="宋体" w:hAnsi="宋体" w:eastAsia="宋体" w:cs="宋体"/>
          <w:color w:val="000000"/>
          <w:kern w:val="0"/>
          <w:sz w:val="24"/>
          <w:szCs w:val="24"/>
          <w:highlight w:val="none"/>
          <w:lang w:val="en-US" w:eastAsia="zh-CN" w:bidi="ar-SA"/>
        </w:rPr>
        <w:t>3.</w:t>
      </w:r>
      <w:bookmarkEnd w:id="53"/>
      <w:r>
        <w:rPr>
          <w:rFonts w:hint="eastAsia" w:ascii="宋体" w:hAnsi="宋体" w:eastAsia="宋体" w:cs="宋体"/>
          <w:color w:val="000000"/>
          <w:kern w:val="0"/>
          <w:sz w:val="24"/>
          <w:szCs w:val="24"/>
          <w:highlight w:val="none"/>
          <w:lang w:val="en-US" w:eastAsia="zh-CN" w:bidi="ar-SA"/>
        </w:rPr>
        <w:t>项目联系方式</w:t>
      </w:r>
    </w:p>
    <w:p w14:paraId="74F96827">
      <w:pPr>
        <w:pStyle w:val="13"/>
        <w:pageBreakBefore w:val="0"/>
        <w:widowControl/>
        <w:shd w:val="clear" w:color="auto" w:fill="FFFFFF"/>
        <w:kinsoku/>
        <w:wordWrap/>
        <w:overflowPunct/>
        <w:topLinePunct w:val="0"/>
        <w:autoSpaceDE/>
        <w:autoSpaceDN/>
        <w:bidi w:val="0"/>
        <w:adjustRightInd/>
        <w:snapToGrid/>
        <w:spacing w:beforeAutospacing="0" w:afterAutospacing="0" w:line="360" w:lineRule="exact"/>
        <w:ind w:firstLine="560"/>
        <w:jc w:val="both"/>
        <w:textAlignment w:val="auto"/>
        <w:rPr>
          <w:rFonts w:hint="default"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项目联系人：魏政、刘涛</w:t>
      </w:r>
    </w:p>
    <w:p w14:paraId="16DAAC09">
      <w:pPr>
        <w:pStyle w:val="13"/>
        <w:pageBreakBefore w:val="0"/>
        <w:widowControl/>
        <w:shd w:val="clear" w:color="auto" w:fill="FFFFFF"/>
        <w:kinsoku/>
        <w:wordWrap/>
        <w:overflowPunct/>
        <w:topLinePunct w:val="0"/>
        <w:autoSpaceDE/>
        <w:autoSpaceDN/>
        <w:bidi w:val="0"/>
        <w:adjustRightInd/>
        <w:snapToGrid/>
        <w:spacing w:beforeAutospacing="0" w:afterAutospacing="0" w:line="360" w:lineRule="exact"/>
        <w:ind w:firstLine="56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电　　 话：13912564909、18912541327　</w:t>
      </w:r>
    </w:p>
    <w:p w14:paraId="4B5FD73E">
      <w:pPr>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7B72C305">
      <w:pPr>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br w:type="page"/>
      </w:r>
      <w:bookmarkStart w:id="54" w:name="_Toc120614211"/>
    </w:p>
    <w:p w14:paraId="298A4706">
      <w:pPr>
        <w:pStyle w:val="13"/>
        <w:keepNext/>
        <w:keepLines/>
        <w:spacing w:before="260" w:beforeAutospacing="0" w:after="260" w:afterAutospacing="0" w:line="415" w:lineRule="auto"/>
        <w:ind w:firstLine="2429"/>
        <w:jc w:val="both"/>
        <w:rPr>
          <w:highlight w:val="none"/>
        </w:rPr>
      </w:pPr>
      <w:r>
        <w:rPr>
          <w:rFonts w:hint="eastAsia" w:ascii="黑体" w:hAnsi="宋体" w:eastAsia="黑体" w:cs="黑体"/>
          <w:b/>
          <w:color w:val="000000"/>
          <w:sz w:val="44"/>
          <w:szCs w:val="44"/>
          <w:highlight w:val="none"/>
        </w:rPr>
        <w:t xml:space="preserve">第二章  </w:t>
      </w:r>
      <w:bookmarkEnd w:id="54"/>
      <w:bookmarkStart w:id="55" w:name="_Toc513029202"/>
      <w:bookmarkStart w:id="56" w:name="_Toc120614213"/>
      <w:bookmarkStart w:id="57" w:name="_Toc20823274"/>
      <w:bookmarkStart w:id="58" w:name="_Toc16938518"/>
      <w:r>
        <w:rPr>
          <w:rFonts w:hint="eastAsia" w:ascii="黑体" w:hAnsi="宋体" w:eastAsia="黑体" w:cs="黑体"/>
          <w:b/>
          <w:color w:val="000000"/>
          <w:sz w:val="44"/>
          <w:szCs w:val="44"/>
          <w:highlight w:val="none"/>
        </w:rPr>
        <w:t>投标人须知</w:t>
      </w:r>
      <w:bookmarkEnd w:id="55"/>
      <w:bookmarkEnd w:id="56"/>
      <w:bookmarkEnd w:id="57"/>
      <w:bookmarkEnd w:id="58"/>
    </w:p>
    <w:p w14:paraId="31DA71FC">
      <w:pPr>
        <w:pStyle w:val="13"/>
        <w:keepNext/>
        <w:keepLines/>
        <w:spacing w:before="145" w:beforeAutospacing="0" w:after="145" w:afterAutospacing="0" w:line="360" w:lineRule="auto"/>
        <w:ind w:firstLine="498"/>
        <w:jc w:val="both"/>
        <w:rPr>
          <w:rFonts w:hint="eastAsia" w:ascii="宋体" w:hAnsi="宋体" w:eastAsia="宋体" w:cs="宋体"/>
          <w:sz w:val="24"/>
          <w:szCs w:val="24"/>
          <w:highlight w:val="none"/>
        </w:rPr>
      </w:pPr>
      <w:bookmarkStart w:id="59" w:name="_Toc20823275"/>
      <w:bookmarkStart w:id="60" w:name="_Toc513029203"/>
      <w:bookmarkStart w:id="61" w:name="_Toc16938519"/>
      <w:bookmarkStart w:id="62" w:name="_Toc120614214"/>
      <w:r>
        <w:rPr>
          <w:rFonts w:hint="eastAsia" w:ascii="宋体" w:hAnsi="宋体" w:eastAsia="宋体" w:cs="宋体"/>
          <w:b/>
          <w:color w:val="000000"/>
          <w:sz w:val="24"/>
          <w:szCs w:val="24"/>
          <w:highlight w:val="none"/>
        </w:rPr>
        <w:t>一、总则</w:t>
      </w:r>
      <w:bookmarkEnd w:id="59"/>
      <w:bookmarkEnd w:id="60"/>
      <w:bookmarkEnd w:id="61"/>
      <w:bookmarkEnd w:id="62"/>
    </w:p>
    <w:p w14:paraId="24D6D006">
      <w:pPr>
        <w:pStyle w:val="13"/>
        <w:keepNext/>
        <w:keepLines/>
        <w:spacing w:beforeAutospacing="0" w:afterAutospacing="0"/>
        <w:ind w:firstLine="420"/>
        <w:jc w:val="both"/>
        <w:rPr>
          <w:rFonts w:hint="eastAsia" w:ascii="宋体" w:hAnsi="宋体" w:eastAsia="宋体" w:cs="宋体"/>
          <w:sz w:val="24"/>
          <w:szCs w:val="24"/>
          <w:highlight w:val="none"/>
        </w:rPr>
      </w:pPr>
      <w:bookmarkStart w:id="63" w:name="_Toc20823276"/>
      <w:bookmarkStart w:id="64" w:name="_Toc458694821"/>
      <w:bookmarkStart w:id="65" w:name="_Toc513029204"/>
      <w:bookmarkStart w:id="66" w:name="_Toc16938520"/>
      <w:r>
        <w:rPr>
          <w:rFonts w:hint="eastAsia" w:ascii="宋体" w:hAnsi="宋体" w:eastAsia="宋体" w:cs="宋体"/>
          <w:color w:val="000000"/>
          <w:sz w:val="24"/>
          <w:szCs w:val="24"/>
          <w:highlight w:val="none"/>
        </w:rPr>
        <w:t>1</w:t>
      </w:r>
      <w:bookmarkEnd w:id="63"/>
      <w:r>
        <w:rPr>
          <w:rFonts w:hint="eastAsia" w:ascii="宋体" w:hAnsi="宋体" w:eastAsia="宋体" w:cs="宋体"/>
          <w:color w:val="000000"/>
          <w:sz w:val="24"/>
          <w:szCs w:val="24"/>
          <w:highlight w:val="none"/>
        </w:rPr>
        <w:t>、招标方式</w:t>
      </w:r>
      <w:bookmarkEnd w:id="64"/>
      <w:bookmarkEnd w:id="65"/>
      <w:bookmarkEnd w:id="66"/>
    </w:p>
    <w:p w14:paraId="0413EBB1">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1.1 本次招标采取公开招标方式，本招标文件仅适用于招标公告中所述项目。</w:t>
      </w:r>
    </w:p>
    <w:p w14:paraId="666FC50C">
      <w:pPr>
        <w:pStyle w:val="13"/>
        <w:keepNext/>
        <w:keepLines/>
        <w:spacing w:beforeAutospacing="0" w:afterAutospacing="0"/>
        <w:ind w:firstLine="420"/>
        <w:jc w:val="both"/>
        <w:rPr>
          <w:rFonts w:hint="eastAsia" w:ascii="宋体" w:hAnsi="宋体" w:eastAsia="宋体" w:cs="宋体"/>
          <w:sz w:val="24"/>
          <w:szCs w:val="24"/>
          <w:highlight w:val="none"/>
        </w:rPr>
      </w:pPr>
      <w:bookmarkStart w:id="67" w:name="_Toc513029205"/>
      <w:bookmarkStart w:id="68" w:name="_Toc16938521"/>
      <w:bookmarkStart w:id="69" w:name="_Toc20823277"/>
      <w:r>
        <w:rPr>
          <w:rFonts w:hint="eastAsia" w:ascii="宋体" w:hAnsi="宋体" w:eastAsia="宋体" w:cs="宋体"/>
          <w:color w:val="000000"/>
          <w:sz w:val="24"/>
          <w:szCs w:val="24"/>
          <w:highlight w:val="none"/>
        </w:rPr>
        <w:t>2、合格的投标人</w:t>
      </w:r>
      <w:bookmarkEnd w:id="67"/>
      <w:bookmarkEnd w:id="68"/>
      <w:bookmarkEnd w:id="69"/>
    </w:p>
    <w:p w14:paraId="3A2CBC72">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2.1满足招标公告中供应商的资格要求的规定。</w:t>
      </w:r>
    </w:p>
    <w:p w14:paraId="79BFE25D">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2.2 满足本文件实质性要求和条件的规定。</w:t>
      </w:r>
    </w:p>
    <w:p w14:paraId="291F5DBC">
      <w:pPr>
        <w:spacing w:line="400" w:lineRule="exact"/>
        <w:ind w:firstLine="420" w:firstLineChars="175"/>
        <w:rPr>
          <w:rFonts w:hint="eastAsia" w:ascii="宋体" w:hAnsi="宋体" w:eastAsia="宋体" w:cs="宋体"/>
          <w:color w:val="000000"/>
          <w:kern w:val="0"/>
          <w:sz w:val="24"/>
          <w:szCs w:val="24"/>
          <w:highlight w:val="none"/>
          <w:lang w:val="en-US" w:eastAsia="zh-CN" w:bidi="ar-SA"/>
        </w:rPr>
      </w:pPr>
      <w:bookmarkStart w:id="70" w:name="_Toc16938522"/>
      <w:bookmarkStart w:id="71" w:name="_Toc20823278"/>
      <w:bookmarkStart w:id="72" w:name="_Toc513029206"/>
      <w:r>
        <w:rPr>
          <w:rFonts w:hint="eastAsia" w:ascii="宋体" w:hAnsi="宋体" w:eastAsia="宋体" w:cs="宋体"/>
          <w:color w:val="000000"/>
          <w:kern w:val="0"/>
          <w:sz w:val="24"/>
          <w:szCs w:val="24"/>
          <w:highlight w:val="none"/>
          <w:lang w:val="en-US" w:eastAsia="zh-CN" w:bidi="ar-SA"/>
        </w:rPr>
        <w:t>3、适用法律</w:t>
      </w:r>
      <w:bookmarkEnd w:id="70"/>
      <w:bookmarkEnd w:id="71"/>
      <w:bookmarkEnd w:id="72"/>
      <w:r>
        <w:rPr>
          <w:rFonts w:hint="eastAsia" w:ascii="宋体" w:hAnsi="宋体" w:eastAsia="宋体" w:cs="宋体"/>
          <w:color w:val="000000"/>
          <w:kern w:val="0"/>
          <w:sz w:val="24"/>
          <w:szCs w:val="24"/>
          <w:highlight w:val="none"/>
          <w:lang w:val="en-US" w:eastAsia="zh-CN" w:bidi="ar-SA"/>
        </w:rPr>
        <w:t>和标准</w:t>
      </w:r>
    </w:p>
    <w:p w14:paraId="5523924E">
      <w:pPr>
        <w:pStyle w:val="13"/>
        <w:spacing w:beforeAutospacing="0" w:afterAutospacing="0" w:line="0" w:lineRule="atLeast"/>
        <w:ind w:firstLine="420"/>
        <w:jc w:val="both"/>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3.1 本次招标及由此产生的合同受中华人民共和国有关的法律法规制约和保护。</w:t>
      </w:r>
    </w:p>
    <w:p w14:paraId="0938B548">
      <w:pPr>
        <w:spacing w:line="400" w:lineRule="exact"/>
        <w:ind w:firstLine="420" w:firstLineChars="175"/>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3.2 在本项目政府采购活动过程中，如果所执行的标准有更新的，按照最新标准执行。</w:t>
      </w:r>
    </w:p>
    <w:p w14:paraId="5F3760EF">
      <w:pPr>
        <w:pStyle w:val="13"/>
        <w:keepNext/>
        <w:keepLines/>
        <w:spacing w:beforeAutospacing="0" w:afterAutospacing="0"/>
        <w:ind w:firstLine="420"/>
        <w:jc w:val="both"/>
        <w:rPr>
          <w:rFonts w:hint="eastAsia" w:ascii="宋体" w:hAnsi="宋体" w:eastAsia="宋体" w:cs="宋体"/>
          <w:sz w:val="24"/>
          <w:szCs w:val="24"/>
          <w:highlight w:val="none"/>
        </w:rPr>
      </w:pPr>
      <w:bookmarkStart w:id="73" w:name="_Toc20823279"/>
      <w:bookmarkStart w:id="74" w:name="_Toc16938523"/>
      <w:bookmarkStart w:id="75" w:name="_Toc513029207"/>
      <w:bookmarkStart w:id="76" w:name="_Toc462564067"/>
      <w:r>
        <w:rPr>
          <w:rFonts w:hint="eastAsia" w:ascii="宋体" w:hAnsi="宋体" w:eastAsia="宋体" w:cs="宋体"/>
          <w:color w:val="000000"/>
          <w:sz w:val="24"/>
          <w:szCs w:val="24"/>
          <w:highlight w:val="none"/>
        </w:rPr>
        <w:t>4、投标费用</w:t>
      </w:r>
      <w:bookmarkEnd w:id="73"/>
      <w:bookmarkEnd w:id="74"/>
      <w:bookmarkEnd w:id="75"/>
      <w:bookmarkEnd w:id="76"/>
    </w:p>
    <w:p w14:paraId="7491F535">
      <w:pPr>
        <w:tabs>
          <w:tab w:val="left" w:pos="3262"/>
        </w:tabs>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4.1 投标人应自行承担所有与参加投标有关的费用，无论投标过程中的做法和结果如何，采购人或采购代理机构在任何情况下均无义务和责任承担这些费用。</w:t>
      </w:r>
    </w:p>
    <w:p w14:paraId="6535905E">
      <w:pPr>
        <w:tabs>
          <w:tab w:val="left" w:pos="3262"/>
        </w:tabs>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4.2代理</w:t>
      </w:r>
      <w:r>
        <w:rPr>
          <w:rFonts w:hint="eastAsia" w:ascii="宋体" w:hAnsi="宋体"/>
          <w:color w:val="000000" w:themeColor="text1"/>
          <w:sz w:val="24"/>
          <w:szCs w:val="24"/>
          <w:highlight w:val="none"/>
          <w14:textFill>
            <w14:solidFill>
              <w14:schemeClr w14:val="tx1"/>
            </w14:solidFill>
          </w14:textFill>
        </w:rPr>
        <w:t>机构将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根据</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代理合同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按</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中标价</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1.</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向中标人收取服务费用</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潜在供应商在报价时充分考虑其费用</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color w:val="auto"/>
          <w:sz w:val="24"/>
          <w:szCs w:val="24"/>
          <w:highlight w:val="none"/>
        </w:rPr>
        <w:t>由中标人在领取中标通知书前一次性支付</w:t>
      </w:r>
      <w:r>
        <w:rPr>
          <w:rFonts w:hint="eastAsia" w:ascii="宋体" w:hAnsi="宋体"/>
          <w:color w:val="auto"/>
          <w:sz w:val="24"/>
          <w:szCs w:val="24"/>
          <w:highlight w:val="none"/>
        </w:rPr>
        <w:t>。</w:t>
      </w:r>
    </w:p>
    <w:p w14:paraId="66C2558E">
      <w:pPr>
        <w:pStyle w:val="13"/>
        <w:keepNext/>
        <w:keepLines/>
        <w:spacing w:beforeAutospacing="0" w:afterAutospacing="0" w:line="0" w:lineRule="atLeast"/>
        <w:ind w:firstLine="602"/>
        <w:jc w:val="both"/>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5、</w:t>
      </w:r>
      <w:r>
        <w:rPr>
          <w:rFonts w:hint="eastAsia" w:ascii="宋体" w:hAnsi="宋体" w:eastAsia="宋体" w:cs="宋体"/>
          <w:color w:val="000000"/>
          <w:sz w:val="24"/>
          <w:szCs w:val="24"/>
          <w:highlight w:val="none"/>
        </w:rPr>
        <w:t>招标文件的约束力</w:t>
      </w:r>
    </w:p>
    <w:p w14:paraId="05936149">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5.1 投标人一旦参加本项目采购活动，即被认为接受了本招标文件的规定和约束。</w:t>
      </w:r>
    </w:p>
    <w:p w14:paraId="24AFF1BA">
      <w:pPr>
        <w:pStyle w:val="13"/>
        <w:keepNext/>
        <w:keepLines/>
        <w:spacing w:before="145" w:beforeAutospacing="0" w:after="145" w:afterAutospacing="0" w:line="360" w:lineRule="auto"/>
        <w:ind w:firstLine="321"/>
        <w:jc w:val="both"/>
        <w:rPr>
          <w:rFonts w:hint="eastAsia" w:ascii="宋体" w:hAnsi="宋体" w:eastAsia="宋体" w:cs="宋体"/>
          <w:sz w:val="24"/>
          <w:szCs w:val="24"/>
          <w:highlight w:val="none"/>
        </w:rPr>
      </w:pPr>
      <w:bookmarkStart w:id="77" w:name="_Toc20823281"/>
      <w:bookmarkStart w:id="78" w:name="_Toc120614215"/>
      <w:bookmarkStart w:id="79" w:name="_Toc513029209"/>
      <w:bookmarkStart w:id="80" w:name="_Toc16938525"/>
      <w:r>
        <w:rPr>
          <w:rFonts w:hint="eastAsia" w:ascii="宋体" w:hAnsi="宋体" w:eastAsia="宋体" w:cs="宋体"/>
          <w:b/>
          <w:color w:val="000000"/>
          <w:sz w:val="24"/>
          <w:szCs w:val="24"/>
          <w:highlight w:val="none"/>
        </w:rPr>
        <w:t>二、招标文件</w:t>
      </w:r>
      <w:bookmarkEnd w:id="77"/>
      <w:bookmarkEnd w:id="78"/>
      <w:bookmarkEnd w:id="79"/>
      <w:bookmarkEnd w:id="80"/>
    </w:p>
    <w:p w14:paraId="05AFFB21">
      <w:pPr>
        <w:pStyle w:val="13"/>
        <w:keepNext/>
        <w:keepLines/>
        <w:spacing w:beforeAutospacing="0" w:afterAutospacing="0"/>
        <w:ind w:firstLine="420"/>
        <w:jc w:val="both"/>
        <w:rPr>
          <w:rFonts w:hint="eastAsia" w:ascii="宋体" w:hAnsi="宋体" w:eastAsia="宋体" w:cs="宋体"/>
          <w:sz w:val="24"/>
          <w:szCs w:val="24"/>
          <w:highlight w:val="none"/>
        </w:rPr>
      </w:pPr>
      <w:bookmarkStart w:id="81" w:name="_Toc16938526"/>
      <w:bookmarkStart w:id="82" w:name="_Toc20823282"/>
      <w:bookmarkStart w:id="83" w:name="_Toc513029210"/>
      <w:r>
        <w:rPr>
          <w:rFonts w:hint="eastAsia" w:ascii="宋体" w:hAnsi="宋体" w:eastAsia="宋体" w:cs="宋体"/>
          <w:color w:val="000000"/>
          <w:sz w:val="24"/>
          <w:szCs w:val="24"/>
          <w:highlight w:val="none"/>
        </w:rPr>
        <w:t>6、招标文件构成</w:t>
      </w:r>
      <w:bookmarkEnd w:id="81"/>
      <w:bookmarkEnd w:id="82"/>
      <w:bookmarkEnd w:id="83"/>
    </w:p>
    <w:p w14:paraId="620EC99B">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6.1 招标文件由以下部分组成：</w:t>
      </w:r>
    </w:p>
    <w:p w14:paraId="166E4228">
      <w:pPr>
        <w:pStyle w:val="13"/>
        <w:spacing w:beforeAutospacing="0" w:afterAutospacing="0" w:line="0" w:lineRule="atLeast"/>
        <w:ind w:firstLine="36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招标公告</w:t>
      </w:r>
    </w:p>
    <w:p w14:paraId="7604B1BD">
      <w:pPr>
        <w:pStyle w:val="13"/>
        <w:spacing w:beforeAutospacing="0" w:afterAutospacing="0" w:line="0" w:lineRule="atLeast"/>
        <w:ind w:firstLine="3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（2）投标人须知</w:t>
      </w:r>
    </w:p>
    <w:p w14:paraId="00AFEA68">
      <w:pPr>
        <w:pStyle w:val="13"/>
        <w:spacing w:beforeAutospacing="0" w:afterAutospacing="0" w:line="0" w:lineRule="atLeast"/>
        <w:ind w:firstLine="3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（3）合同文本</w:t>
      </w:r>
    </w:p>
    <w:p w14:paraId="3363528A">
      <w:pPr>
        <w:pStyle w:val="13"/>
        <w:spacing w:beforeAutospacing="0" w:afterAutospacing="0" w:line="0" w:lineRule="atLeast"/>
        <w:ind w:firstLine="3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（4）采购需求</w:t>
      </w:r>
    </w:p>
    <w:p w14:paraId="2D8BFFD7">
      <w:pPr>
        <w:pStyle w:val="13"/>
        <w:spacing w:beforeAutospacing="0" w:afterAutospacing="0"/>
        <w:ind w:firstLine="3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（5）评标方法与评标标准</w:t>
      </w:r>
    </w:p>
    <w:p w14:paraId="6639FE14">
      <w:pPr>
        <w:pStyle w:val="13"/>
        <w:spacing w:beforeAutospacing="0" w:afterAutospacing="0" w:line="0" w:lineRule="atLeast"/>
        <w:ind w:firstLine="3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（6）投标文件格式</w:t>
      </w:r>
    </w:p>
    <w:p w14:paraId="1D750CD2">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请仔细检查招标文件是否齐全，如有缺漏请立即与</w:t>
      </w:r>
      <w:r>
        <w:rPr>
          <w:rFonts w:hint="eastAsia" w:ascii="宋体" w:hAnsi="宋体" w:eastAsia="宋体" w:cs="宋体"/>
          <w:color w:val="000000"/>
          <w:sz w:val="24"/>
          <w:szCs w:val="24"/>
          <w:highlight w:val="none"/>
          <w:lang w:eastAsia="zh-CN"/>
        </w:rPr>
        <w:t>采购人或采购代理机构</w:t>
      </w:r>
      <w:r>
        <w:rPr>
          <w:rFonts w:hint="eastAsia" w:ascii="宋体" w:hAnsi="宋体" w:eastAsia="宋体" w:cs="宋体"/>
          <w:color w:val="000000"/>
          <w:sz w:val="24"/>
          <w:szCs w:val="24"/>
          <w:highlight w:val="none"/>
        </w:rPr>
        <w:t>联系解决。</w:t>
      </w:r>
    </w:p>
    <w:p w14:paraId="097F887E">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6CE22C2">
      <w:pPr>
        <w:pStyle w:val="13"/>
        <w:keepNext/>
        <w:keepLines/>
        <w:spacing w:beforeAutospacing="0" w:afterAutospacing="0"/>
        <w:ind w:firstLine="560"/>
        <w:jc w:val="both"/>
        <w:rPr>
          <w:rFonts w:hint="eastAsia" w:ascii="宋体" w:hAnsi="宋体" w:eastAsia="宋体" w:cs="宋体"/>
          <w:sz w:val="24"/>
          <w:szCs w:val="24"/>
          <w:highlight w:val="none"/>
        </w:rPr>
      </w:pPr>
      <w:bookmarkStart w:id="84" w:name="_Toc20823283"/>
      <w:bookmarkStart w:id="85" w:name="_Toc513029211"/>
      <w:bookmarkStart w:id="86" w:name="_Toc462564070"/>
      <w:bookmarkStart w:id="87" w:name="_Toc16938527"/>
      <w:r>
        <w:rPr>
          <w:rFonts w:hint="eastAsia" w:ascii="宋体" w:hAnsi="宋体" w:eastAsia="宋体" w:cs="宋体"/>
          <w:color w:val="000000"/>
          <w:sz w:val="24"/>
          <w:szCs w:val="24"/>
          <w:highlight w:val="none"/>
        </w:rPr>
        <w:t>7、招标文件的澄清</w:t>
      </w:r>
      <w:bookmarkEnd w:id="84"/>
      <w:bookmarkEnd w:id="85"/>
      <w:bookmarkEnd w:id="86"/>
      <w:bookmarkEnd w:id="87"/>
    </w:p>
    <w:p w14:paraId="4AA56791">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7.1 任何要求对招标文件进行澄清的投标人，应在投标截止期</w:t>
      </w:r>
      <w:r>
        <w:rPr>
          <w:rFonts w:hint="eastAsia" w:ascii="宋体" w:hAnsi="宋体" w:eastAsia="宋体" w:cs="宋体"/>
          <w:b/>
          <w:color w:val="000000"/>
          <w:sz w:val="24"/>
          <w:szCs w:val="24"/>
          <w:highlight w:val="none"/>
        </w:rPr>
        <w:t>十日</w:t>
      </w:r>
      <w:r>
        <w:rPr>
          <w:rFonts w:hint="eastAsia" w:ascii="宋体" w:hAnsi="宋体" w:eastAsia="宋体" w:cs="宋体"/>
          <w:color w:val="000000"/>
          <w:sz w:val="24"/>
          <w:szCs w:val="24"/>
          <w:highlight w:val="none"/>
        </w:rPr>
        <w:t>前按招标公告中的通讯地址，以书面形式通知</w:t>
      </w:r>
      <w:r>
        <w:rPr>
          <w:rFonts w:hint="eastAsia" w:ascii="宋体" w:hAnsi="宋体" w:eastAsia="宋体" w:cs="宋体"/>
          <w:color w:val="000000"/>
          <w:sz w:val="24"/>
          <w:szCs w:val="24"/>
          <w:highlight w:val="none"/>
          <w:lang w:eastAsia="zh-CN"/>
        </w:rPr>
        <w:t>采购人或采购代理机构</w:t>
      </w:r>
      <w:r>
        <w:rPr>
          <w:rFonts w:hint="eastAsia" w:ascii="宋体" w:hAnsi="宋体" w:eastAsia="宋体" w:cs="宋体"/>
          <w:color w:val="000000"/>
          <w:sz w:val="24"/>
          <w:szCs w:val="24"/>
          <w:highlight w:val="none"/>
        </w:rPr>
        <w:t>。</w:t>
      </w:r>
    </w:p>
    <w:p w14:paraId="1C0E09A7">
      <w:pPr>
        <w:pStyle w:val="13"/>
        <w:keepNext/>
        <w:keepLines/>
        <w:spacing w:beforeAutospacing="0" w:afterAutospacing="0"/>
        <w:ind w:firstLine="560"/>
        <w:jc w:val="both"/>
        <w:rPr>
          <w:rFonts w:hint="eastAsia" w:ascii="宋体" w:hAnsi="宋体" w:eastAsia="宋体" w:cs="宋体"/>
          <w:sz w:val="24"/>
          <w:szCs w:val="24"/>
          <w:highlight w:val="none"/>
        </w:rPr>
      </w:pPr>
      <w:bookmarkStart w:id="88" w:name="_Toc20823284"/>
      <w:bookmarkStart w:id="89" w:name="_Toc513029212"/>
      <w:bookmarkStart w:id="90" w:name="_Toc462564071"/>
      <w:bookmarkStart w:id="91" w:name="_Toc16938528"/>
      <w:r>
        <w:rPr>
          <w:rFonts w:hint="eastAsia" w:ascii="宋体" w:hAnsi="宋体" w:eastAsia="宋体" w:cs="宋体"/>
          <w:color w:val="000000"/>
          <w:sz w:val="24"/>
          <w:szCs w:val="24"/>
          <w:highlight w:val="none"/>
        </w:rPr>
        <w:t>8、招标文件的修改</w:t>
      </w:r>
      <w:bookmarkEnd w:id="88"/>
      <w:bookmarkEnd w:id="89"/>
      <w:bookmarkEnd w:id="90"/>
      <w:bookmarkEnd w:id="91"/>
    </w:p>
    <w:p w14:paraId="2D8DD39F">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8.1 在投标截止时间前，</w:t>
      </w:r>
      <w:r>
        <w:rPr>
          <w:rFonts w:hint="eastAsia" w:ascii="宋体" w:hAnsi="宋体" w:eastAsia="宋体" w:cs="宋体"/>
          <w:color w:val="000000"/>
          <w:sz w:val="24"/>
          <w:szCs w:val="24"/>
          <w:highlight w:val="none"/>
          <w:lang w:eastAsia="zh-CN"/>
        </w:rPr>
        <w:t>采购人或采购代理机构</w:t>
      </w:r>
      <w:r>
        <w:rPr>
          <w:rFonts w:hint="eastAsia" w:ascii="宋体" w:hAnsi="宋体" w:eastAsia="宋体" w:cs="宋体"/>
          <w:color w:val="000000"/>
          <w:sz w:val="24"/>
          <w:szCs w:val="24"/>
          <w:highlight w:val="none"/>
        </w:rPr>
        <w:t>可以对招标文件进行修改。</w:t>
      </w:r>
    </w:p>
    <w:p w14:paraId="25842384">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 </w:t>
      </w:r>
      <w:r>
        <w:rPr>
          <w:rFonts w:hint="eastAsia" w:ascii="宋体" w:hAnsi="宋体" w:eastAsia="宋体" w:cs="宋体"/>
          <w:color w:val="000000"/>
          <w:sz w:val="24"/>
          <w:szCs w:val="24"/>
          <w:highlight w:val="none"/>
          <w:lang w:eastAsia="zh-CN"/>
        </w:rPr>
        <w:t>采购人或采购代理机构</w:t>
      </w:r>
      <w:r>
        <w:rPr>
          <w:rFonts w:hint="eastAsia" w:ascii="宋体" w:hAnsi="宋体" w:eastAsia="宋体" w:cs="宋体"/>
          <w:color w:val="000000"/>
          <w:sz w:val="24"/>
          <w:szCs w:val="24"/>
          <w:highlight w:val="none"/>
        </w:rPr>
        <w:t>有权按照法定的要求推迟投标截止日期和开标日期。</w:t>
      </w:r>
    </w:p>
    <w:p w14:paraId="2CAC50A8">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8.3 招标文件的修改将在</w:t>
      </w:r>
      <w:r>
        <w:rPr>
          <w:rFonts w:hint="eastAsia" w:ascii="宋体" w:hAnsi="宋体" w:eastAsia="宋体" w:cs="宋体"/>
          <w:color w:val="000000"/>
          <w:kern w:val="0"/>
          <w:sz w:val="24"/>
          <w:szCs w:val="24"/>
          <w:highlight w:val="none"/>
          <w:lang w:val="en-US" w:eastAsia="zh-CN" w:bidi="ar-SA"/>
        </w:rPr>
        <w:t>中国政府采购网</w:t>
      </w:r>
      <w:r>
        <w:rPr>
          <w:rFonts w:hint="eastAsia" w:ascii="宋体" w:hAnsi="宋体" w:eastAsia="宋体" w:cs="宋体"/>
          <w:i w:val="0"/>
          <w:iCs w:val="0"/>
          <w:caps w:val="0"/>
          <w:color w:val="333333"/>
          <w:spacing w:val="0"/>
          <w:sz w:val="24"/>
          <w:szCs w:val="24"/>
          <w:highlight w:val="none"/>
          <w:shd w:val="clear" w:fill="FFFFFF"/>
          <w:lang w:val="en-US" w:eastAsia="zh-CN"/>
        </w:rPr>
        <w:t>、</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盐城市政府采购网</w:t>
      </w:r>
      <w:r>
        <w:rPr>
          <w:rFonts w:hint="eastAsia" w:ascii="宋体" w:hAnsi="宋体" w:eastAsia="宋体" w:cs="宋体"/>
          <w:color w:val="000000"/>
          <w:sz w:val="24"/>
          <w:szCs w:val="24"/>
          <w:highlight w:val="none"/>
        </w:rPr>
        <w:t>公布，补充文件将作为招标文件的组成部分，并对投标人具有约束力。</w:t>
      </w:r>
    </w:p>
    <w:p w14:paraId="71085D79">
      <w:pPr>
        <w:pStyle w:val="13"/>
        <w:keepNext/>
        <w:keepLines/>
        <w:spacing w:before="145" w:beforeAutospacing="0" w:after="145" w:afterAutospacing="0" w:line="360" w:lineRule="auto"/>
        <w:ind w:firstLine="482"/>
        <w:jc w:val="both"/>
        <w:rPr>
          <w:rFonts w:hint="eastAsia" w:ascii="宋体" w:hAnsi="宋体" w:eastAsia="宋体" w:cs="宋体"/>
          <w:sz w:val="24"/>
          <w:szCs w:val="24"/>
          <w:highlight w:val="none"/>
        </w:rPr>
      </w:pPr>
      <w:bookmarkStart w:id="92" w:name="_Toc20823285"/>
      <w:bookmarkStart w:id="93" w:name="_Toc120614216"/>
      <w:bookmarkStart w:id="94" w:name="_Toc462564072"/>
      <w:bookmarkStart w:id="95" w:name="_Toc513029213"/>
      <w:bookmarkStart w:id="96" w:name="_Toc16938529"/>
      <w:r>
        <w:rPr>
          <w:rFonts w:hint="eastAsia" w:ascii="宋体" w:hAnsi="宋体" w:eastAsia="宋体" w:cs="宋体"/>
          <w:b/>
          <w:color w:val="000000"/>
          <w:sz w:val="24"/>
          <w:szCs w:val="24"/>
          <w:highlight w:val="none"/>
        </w:rPr>
        <w:t>三、投标文件的编制</w:t>
      </w:r>
      <w:bookmarkEnd w:id="92"/>
      <w:bookmarkEnd w:id="93"/>
      <w:bookmarkEnd w:id="94"/>
      <w:bookmarkEnd w:id="95"/>
      <w:bookmarkEnd w:id="96"/>
    </w:p>
    <w:p w14:paraId="38314D8E">
      <w:pPr>
        <w:pStyle w:val="13"/>
        <w:keepNext/>
        <w:keepLines/>
        <w:spacing w:beforeAutospacing="0" w:afterAutospacing="0"/>
        <w:ind w:firstLine="560"/>
        <w:jc w:val="both"/>
        <w:rPr>
          <w:rFonts w:hint="eastAsia" w:ascii="宋体" w:hAnsi="宋体" w:eastAsia="宋体" w:cs="宋体"/>
          <w:sz w:val="24"/>
          <w:szCs w:val="24"/>
          <w:highlight w:val="none"/>
        </w:rPr>
      </w:pPr>
      <w:bookmarkStart w:id="97" w:name="_Toc16938530"/>
      <w:bookmarkStart w:id="98" w:name="_Toc20823286"/>
      <w:bookmarkStart w:id="99" w:name="_Toc462564073"/>
      <w:bookmarkStart w:id="100" w:name="_Toc513029214"/>
      <w:r>
        <w:rPr>
          <w:rFonts w:hint="eastAsia" w:ascii="宋体" w:hAnsi="宋体" w:eastAsia="宋体" w:cs="宋体"/>
          <w:color w:val="000000"/>
          <w:sz w:val="24"/>
          <w:szCs w:val="24"/>
          <w:highlight w:val="none"/>
        </w:rPr>
        <w:t>9、投标文件的语言及度量衡单位</w:t>
      </w:r>
      <w:bookmarkEnd w:id="97"/>
      <w:bookmarkEnd w:id="98"/>
      <w:bookmarkEnd w:id="99"/>
      <w:bookmarkEnd w:id="100"/>
    </w:p>
    <w:p w14:paraId="77406717">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9.1 投标人提交的投标文件以及投标人与</w:t>
      </w:r>
      <w:r>
        <w:rPr>
          <w:rFonts w:hint="eastAsia" w:ascii="宋体" w:hAnsi="宋体" w:eastAsia="宋体" w:cs="宋体"/>
          <w:color w:val="000000"/>
          <w:sz w:val="24"/>
          <w:szCs w:val="24"/>
          <w:highlight w:val="none"/>
          <w:lang w:eastAsia="zh-CN"/>
        </w:rPr>
        <w:t>采购人或采购代理机构</w:t>
      </w:r>
      <w:r>
        <w:rPr>
          <w:rFonts w:hint="eastAsia" w:ascii="宋体" w:hAnsi="宋体" w:eastAsia="宋体" w:cs="宋体"/>
          <w:color w:val="000000"/>
          <w:sz w:val="24"/>
          <w:szCs w:val="24"/>
          <w:highlight w:val="none"/>
        </w:rPr>
        <w:t>就有关投标的所有来往通知、函件和文件均应使用</w:t>
      </w:r>
      <w:r>
        <w:rPr>
          <w:rFonts w:hint="eastAsia" w:ascii="宋体" w:hAnsi="宋体" w:eastAsia="宋体" w:cs="宋体"/>
          <w:b/>
          <w:color w:val="000000"/>
          <w:sz w:val="24"/>
          <w:szCs w:val="24"/>
          <w:highlight w:val="none"/>
        </w:rPr>
        <w:t>简体中文</w:t>
      </w:r>
      <w:r>
        <w:rPr>
          <w:rFonts w:hint="eastAsia" w:ascii="宋体" w:hAnsi="宋体" w:eastAsia="宋体" w:cs="宋体"/>
          <w:color w:val="000000"/>
          <w:sz w:val="24"/>
          <w:szCs w:val="24"/>
          <w:highlight w:val="none"/>
        </w:rPr>
        <w:t>。</w:t>
      </w:r>
    </w:p>
    <w:p w14:paraId="6D33EC53">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9.2 除技术性能另有规定外，投标文件所使用的度量衡单位，均须采用国家法定计量单位。</w:t>
      </w:r>
    </w:p>
    <w:p w14:paraId="4F966796">
      <w:pPr>
        <w:pStyle w:val="13"/>
        <w:keepNext/>
        <w:keepLines/>
        <w:spacing w:beforeAutospacing="0" w:afterAutospacing="0"/>
        <w:ind w:firstLine="420"/>
        <w:jc w:val="both"/>
        <w:rPr>
          <w:rFonts w:hint="eastAsia" w:ascii="宋体" w:hAnsi="宋体" w:eastAsia="宋体" w:cs="宋体"/>
          <w:sz w:val="24"/>
          <w:szCs w:val="24"/>
          <w:highlight w:val="none"/>
        </w:rPr>
      </w:pPr>
      <w:bookmarkStart w:id="101" w:name="_Toc16938531"/>
      <w:bookmarkStart w:id="102" w:name="_Toc513029215"/>
      <w:bookmarkStart w:id="103" w:name="_Toc20823287"/>
      <w:bookmarkStart w:id="104" w:name="_Toc462564074"/>
      <w:r>
        <w:rPr>
          <w:rFonts w:hint="eastAsia" w:ascii="宋体" w:hAnsi="宋体" w:eastAsia="宋体" w:cs="宋体"/>
          <w:color w:val="000000"/>
          <w:sz w:val="24"/>
          <w:szCs w:val="24"/>
          <w:highlight w:val="none"/>
        </w:rPr>
        <w:t>10、投标文件构成</w:t>
      </w:r>
      <w:bookmarkEnd w:id="101"/>
      <w:bookmarkEnd w:id="102"/>
      <w:bookmarkEnd w:id="103"/>
      <w:bookmarkEnd w:id="104"/>
    </w:p>
    <w:p w14:paraId="6F4F6435">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10.1 投标人编写的投标文件应包括资格证明文件、符合性证明文件、投标分项报价表、技术要求响应及偏离表、商务要求响应及偏离表、其他证明文件、投标函、开标一览表等部分。</w:t>
      </w:r>
    </w:p>
    <w:p w14:paraId="7F1EFF4A">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10.2 如标书制作工具中格式和内容与</w:t>
      </w:r>
      <w:r>
        <w:rPr>
          <w:rFonts w:hint="eastAsia" w:ascii="宋体" w:hAnsi="宋体" w:eastAsia="宋体" w:cs="宋体"/>
          <w:i w:val="0"/>
          <w:iCs w:val="0"/>
          <w:caps w:val="0"/>
          <w:color w:val="333333"/>
          <w:spacing w:val="0"/>
          <w:sz w:val="24"/>
          <w:szCs w:val="24"/>
          <w:highlight w:val="none"/>
          <w:shd w:val="clear" w:fill="FFFFFF"/>
          <w:lang w:val="en-US" w:eastAsia="zh-CN"/>
        </w:rPr>
        <w:t>“</w:t>
      </w:r>
      <w:r>
        <w:rPr>
          <w:rFonts w:hint="eastAsia" w:ascii="宋体" w:hAnsi="宋体" w:eastAsia="宋体" w:cs="宋体"/>
          <w:color w:val="000000"/>
          <w:kern w:val="0"/>
          <w:sz w:val="24"/>
          <w:szCs w:val="24"/>
          <w:highlight w:val="none"/>
          <w:lang w:val="en-US" w:eastAsia="zh-CN" w:bidi="ar-SA"/>
        </w:rPr>
        <w:t>中国政府采购网”“</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盐城市政府采购网</w:t>
      </w:r>
      <w:r>
        <w:rPr>
          <w:rFonts w:hint="eastAsia" w:ascii="宋体" w:hAnsi="宋体" w:eastAsia="宋体" w:cs="宋体"/>
          <w:i w:val="0"/>
          <w:iCs w:val="0"/>
          <w:caps w:val="0"/>
          <w:color w:val="333333"/>
          <w:spacing w:val="0"/>
          <w:sz w:val="24"/>
          <w:szCs w:val="24"/>
          <w:highlight w:val="none"/>
          <w:shd w:val="clear" w:fill="FFFFFF"/>
          <w:lang w:val="en-US" w:eastAsia="zh-CN"/>
        </w:rPr>
        <w:t>”</w:t>
      </w:r>
      <w:r>
        <w:rPr>
          <w:rFonts w:hint="eastAsia" w:ascii="宋体" w:hAnsi="宋体" w:eastAsia="宋体" w:cs="宋体"/>
          <w:color w:val="000000"/>
          <w:sz w:val="24"/>
          <w:szCs w:val="24"/>
          <w:highlight w:val="none"/>
        </w:rPr>
        <w:t>发布的招标文件不一致，请以</w:t>
      </w:r>
      <w:r>
        <w:rPr>
          <w:rFonts w:hint="eastAsia" w:ascii="宋体" w:hAnsi="宋体" w:eastAsia="宋体" w:cs="宋体"/>
          <w:color w:val="000000"/>
          <w:kern w:val="0"/>
          <w:sz w:val="24"/>
          <w:szCs w:val="24"/>
          <w:highlight w:val="none"/>
          <w:lang w:val="en-US" w:eastAsia="zh-CN" w:bidi="ar-SA"/>
        </w:rPr>
        <w:t>中国政府采购网”“</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盐城市政府采购网</w:t>
      </w:r>
      <w:r>
        <w:rPr>
          <w:rFonts w:hint="eastAsia" w:ascii="宋体" w:hAnsi="宋体" w:eastAsia="宋体" w:cs="宋体"/>
          <w:i w:val="0"/>
          <w:iCs w:val="0"/>
          <w:caps w:val="0"/>
          <w:color w:val="333333"/>
          <w:spacing w:val="0"/>
          <w:sz w:val="24"/>
          <w:szCs w:val="24"/>
          <w:highlight w:val="none"/>
          <w:shd w:val="clear" w:fill="FFFFFF"/>
          <w:lang w:val="en-US" w:eastAsia="zh-CN"/>
        </w:rPr>
        <w:t>”</w:t>
      </w:r>
      <w:r>
        <w:rPr>
          <w:rFonts w:hint="eastAsia" w:ascii="宋体" w:hAnsi="宋体" w:eastAsia="宋体" w:cs="宋体"/>
          <w:color w:val="000000"/>
          <w:sz w:val="24"/>
          <w:szCs w:val="24"/>
          <w:highlight w:val="none"/>
        </w:rPr>
        <w:t>发布的招标文件为准。</w:t>
      </w:r>
    </w:p>
    <w:p w14:paraId="1BC93634">
      <w:pPr>
        <w:pStyle w:val="13"/>
        <w:keepNext/>
        <w:keepLines/>
        <w:spacing w:beforeAutospacing="0" w:afterAutospacing="0"/>
        <w:ind w:firstLine="420"/>
        <w:jc w:val="both"/>
        <w:rPr>
          <w:rFonts w:hint="eastAsia" w:ascii="宋体" w:hAnsi="宋体" w:eastAsia="宋体" w:cs="宋体"/>
          <w:sz w:val="24"/>
          <w:szCs w:val="24"/>
          <w:highlight w:val="none"/>
        </w:rPr>
      </w:pPr>
      <w:bookmarkStart w:id="105" w:name="_Toc14577354"/>
      <w:bookmarkStart w:id="106" w:name="_Toc49090509"/>
      <w:bookmarkStart w:id="107" w:name="_Toc14577355"/>
      <w:bookmarkStart w:id="108" w:name="_Toc14577357"/>
      <w:bookmarkStart w:id="109" w:name="_Toc513029216"/>
      <w:bookmarkStart w:id="110" w:name="_Toc49090508"/>
      <w:bookmarkStart w:id="111" w:name="_Toc513029219"/>
      <w:bookmarkStart w:id="112" w:name="_Toc49090507"/>
      <w:r>
        <w:rPr>
          <w:rFonts w:hint="eastAsia" w:ascii="宋体" w:hAnsi="宋体" w:eastAsia="宋体" w:cs="宋体"/>
          <w:color w:val="000000"/>
          <w:sz w:val="24"/>
          <w:szCs w:val="24"/>
          <w:highlight w:val="none"/>
        </w:rPr>
        <w:t>11、证明投标人及投标标的符合招标文件规定的文件</w:t>
      </w:r>
      <w:bookmarkEnd w:id="105"/>
      <w:bookmarkEnd w:id="106"/>
      <w:bookmarkEnd w:id="107"/>
      <w:bookmarkEnd w:id="108"/>
      <w:bookmarkEnd w:id="109"/>
      <w:bookmarkEnd w:id="110"/>
      <w:bookmarkEnd w:id="111"/>
      <w:bookmarkEnd w:id="112"/>
    </w:p>
    <w:p w14:paraId="00CEB8DE">
      <w:pPr>
        <w:pStyle w:val="13"/>
        <w:spacing w:beforeAutospacing="0" w:afterAutospacing="0" w:line="0" w:lineRule="atLeast"/>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11.1 投标人应按照招标文件要求提交证明文件，证明其及投标标的符合招标文件规定。</w:t>
      </w:r>
    </w:p>
    <w:p w14:paraId="5587EA95">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11.2招标文件对证明文件无明确形式要求的，证明文件可以以文字资料、图纸和数据等形式提交。</w:t>
      </w:r>
    </w:p>
    <w:p w14:paraId="233424B5">
      <w:pPr>
        <w:pStyle w:val="13"/>
        <w:keepNext/>
        <w:keepLines/>
        <w:spacing w:beforeAutospacing="0" w:afterAutospacing="0"/>
        <w:ind w:firstLine="42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12、投标分项报价表</w:t>
      </w:r>
    </w:p>
    <w:p w14:paraId="1ABC487B">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12.1 投标人应按照招标文件规定格式填报投标分项报价表。</w:t>
      </w:r>
    </w:p>
    <w:p w14:paraId="694A2D0D">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12.2投标货币。投标文件中的单价和总价无特殊规定的采用人民币报价，以元为单位标注。招标文件中另有规定的按规定执行。</w:t>
      </w:r>
    </w:p>
    <w:p w14:paraId="37434289">
      <w:pPr>
        <w:pStyle w:val="13"/>
        <w:keepNext/>
        <w:keepLines/>
        <w:spacing w:beforeAutospacing="0" w:afterAutospacing="0"/>
        <w:ind w:firstLine="42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13、技术要求响应及偏离表、商务要求响应及偏离表</w:t>
      </w:r>
    </w:p>
    <w:p w14:paraId="0CC85BAE">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13.1 投标人需对招标文件中的技术要求与商务要求逐项作出响应或偏离，并说明原因。</w:t>
      </w:r>
    </w:p>
    <w:p w14:paraId="34DA99F1">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13.2 投标人可在投标文件中提供认为需要的其他技术文件或说明。</w:t>
      </w:r>
    </w:p>
    <w:p w14:paraId="7DC470C0">
      <w:pPr>
        <w:pStyle w:val="13"/>
        <w:keepNext/>
        <w:keepLines/>
        <w:spacing w:beforeAutospacing="0" w:afterAutospacing="0"/>
        <w:ind w:firstLine="42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14、服务承诺、培训计划、人员安排及其他</w:t>
      </w:r>
    </w:p>
    <w:p w14:paraId="3A56D51E">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14.1 投标人需根据招标文件要求提供有关售后服务的管理制度，售后服务机构的分布情况，售后服务人员的数量、素质、技术水平及售后服务的反应能力等。</w:t>
      </w:r>
    </w:p>
    <w:p w14:paraId="3E3ADBCC">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14.2 投标人需根据招标文件要求提供培训计划。</w:t>
      </w:r>
    </w:p>
    <w:p w14:paraId="44654946">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14.3  投标人需根据招标文件要求提供所投标的的主要组成部分、功能设计、实现思路及关键技术等。</w:t>
      </w:r>
    </w:p>
    <w:p w14:paraId="3D8889EC">
      <w:pPr>
        <w:pStyle w:val="13"/>
        <w:keepNext/>
        <w:keepLines/>
        <w:spacing w:beforeAutospacing="0" w:afterAutospacing="0"/>
        <w:ind w:firstLine="420"/>
        <w:jc w:val="both"/>
        <w:rPr>
          <w:rFonts w:hint="eastAsia" w:ascii="宋体" w:hAnsi="宋体" w:eastAsia="宋体" w:cs="宋体"/>
          <w:sz w:val="24"/>
          <w:szCs w:val="24"/>
          <w:highlight w:val="none"/>
        </w:rPr>
      </w:pPr>
      <w:bookmarkStart w:id="113" w:name="_Toc14577359"/>
      <w:bookmarkStart w:id="114" w:name="_Toc49090510"/>
      <w:r>
        <w:rPr>
          <w:rFonts w:hint="eastAsia" w:ascii="宋体" w:hAnsi="宋体" w:eastAsia="宋体" w:cs="宋体"/>
          <w:color w:val="000000"/>
          <w:sz w:val="24"/>
          <w:szCs w:val="24"/>
          <w:highlight w:val="none"/>
        </w:rPr>
        <w:t>15、投标函和开标一览表</w:t>
      </w:r>
      <w:bookmarkEnd w:id="113"/>
      <w:bookmarkEnd w:id="114"/>
    </w:p>
    <w:p w14:paraId="6D7E1E92">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15.1 投标人应按照招标文件中提供的格式完整、正确填写投标函、开标一览表。</w:t>
      </w:r>
    </w:p>
    <w:p w14:paraId="6BFB24EF">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15.2 对于采用货币报价的项目，开标一览表中的投标总报价应与投标分项报价表中的投标总报价一致，如不一致，不作为无效投标处理，但评标时按开标一览表中价格为准。</w:t>
      </w:r>
    </w:p>
    <w:p w14:paraId="3C92A756">
      <w:pPr>
        <w:pStyle w:val="13"/>
        <w:keepNext/>
        <w:keepLines/>
        <w:spacing w:beforeAutospacing="0" w:afterAutospacing="0"/>
        <w:ind w:firstLine="420"/>
        <w:jc w:val="both"/>
        <w:rPr>
          <w:rFonts w:hint="eastAsia" w:ascii="宋体" w:hAnsi="宋体" w:eastAsia="宋体" w:cs="宋体"/>
          <w:sz w:val="24"/>
          <w:szCs w:val="24"/>
          <w:highlight w:val="none"/>
        </w:rPr>
      </w:pPr>
      <w:bookmarkStart w:id="115" w:name="_Toc49090511"/>
      <w:bookmarkStart w:id="116" w:name="_Toc14577360"/>
      <w:r>
        <w:rPr>
          <w:rFonts w:hint="eastAsia" w:ascii="宋体" w:hAnsi="宋体" w:eastAsia="宋体" w:cs="宋体"/>
          <w:color w:val="000000"/>
          <w:sz w:val="24"/>
          <w:szCs w:val="24"/>
          <w:highlight w:val="none"/>
        </w:rPr>
        <w:t>16、投标有效期</w:t>
      </w:r>
      <w:bookmarkEnd w:id="115"/>
      <w:bookmarkEnd w:id="116"/>
    </w:p>
    <w:p w14:paraId="3D7254D6">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16.1投标有效期为</w:t>
      </w:r>
      <w:r>
        <w:rPr>
          <w:rFonts w:hint="eastAsia" w:ascii="宋体" w:hAnsi="宋体" w:eastAsia="宋体" w:cs="宋体"/>
          <w:color w:val="000000"/>
          <w:sz w:val="24"/>
          <w:szCs w:val="24"/>
          <w:highlight w:val="none"/>
          <w:lang w:eastAsia="zh-CN"/>
        </w:rPr>
        <w:t>采购人或采购代理机构</w:t>
      </w:r>
      <w:r>
        <w:rPr>
          <w:rFonts w:hint="eastAsia" w:ascii="宋体" w:hAnsi="宋体" w:eastAsia="宋体" w:cs="宋体"/>
          <w:color w:val="000000"/>
          <w:sz w:val="24"/>
          <w:szCs w:val="24"/>
          <w:highlight w:val="none"/>
        </w:rPr>
        <w:t>规定的开标之日后</w:t>
      </w:r>
      <w:r>
        <w:rPr>
          <w:rFonts w:hint="eastAsia" w:ascii="宋体" w:hAnsi="宋体" w:eastAsia="宋体" w:cs="宋体"/>
          <w:b/>
          <w:color w:val="auto"/>
          <w:sz w:val="24"/>
          <w:szCs w:val="24"/>
          <w:highlight w:val="none"/>
          <w:u w:val="single"/>
          <w:lang w:val="en-US" w:eastAsia="zh-CN"/>
        </w:rPr>
        <w:t>九</w:t>
      </w:r>
      <w:r>
        <w:rPr>
          <w:rFonts w:hint="eastAsia" w:ascii="宋体" w:hAnsi="宋体" w:eastAsia="宋体" w:cs="宋体"/>
          <w:b/>
          <w:color w:val="auto"/>
          <w:sz w:val="24"/>
          <w:szCs w:val="24"/>
          <w:highlight w:val="none"/>
          <w:u w:val="single"/>
        </w:rPr>
        <w:t>十（</w:t>
      </w:r>
      <w:r>
        <w:rPr>
          <w:rFonts w:hint="eastAsia" w:ascii="宋体" w:hAnsi="宋体" w:eastAsia="宋体" w:cs="宋体"/>
          <w:b/>
          <w:color w:val="auto"/>
          <w:sz w:val="24"/>
          <w:szCs w:val="24"/>
          <w:highlight w:val="none"/>
          <w:u w:val="single"/>
          <w:lang w:val="en-US" w:eastAsia="zh-CN"/>
        </w:rPr>
        <w:t>9</w:t>
      </w:r>
      <w:r>
        <w:rPr>
          <w:rFonts w:hint="eastAsia" w:ascii="宋体" w:hAnsi="宋体" w:eastAsia="宋体" w:cs="宋体"/>
          <w:b/>
          <w:color w:val="auto"/>
          <w:sz w:val="24"/>
          <w:szCs w:val="24"/>
          <w:highlight w:val="none"/>
          <w:u w:val="single"/>
        </w:rPr>
        <w:t>0）天</w:t>
      </w:r>
      <w:r>
        <w:rPr>
          <w:rFonts w:hint="eastAsia" w:ascii="宋体" w:hAnsi="宋体" w:eastAsia="宋体" w:cs="宋体"/>
          <w:color w:val="000000"/>
          <w:sz w:val="24"/>
          <w:szCs w:val="24"/>
          <w:highlight w:val="none"/>
        </w:rPr>
        <w:t>。投标有效期比规定短的将被视为未实质性响应招标文件而予以拒绝。</w:t>
      </w:r>
    </w:p>
    <w:p w14:paraId="13E428E5">
      <w:pPr>
        <w:pStyle w:val="13"/>
        <w:keepNext/>
        <w:keepLines/>
        <w:spacing w:beforeAutospacing="0" w:afterAutospacing="0"/>
        <w:ind w:firstLine="42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17、投标有效期的延长</w:t>
      </w:r>
    </w:p>
    <w:p w14:paraId="1D945574">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17.1在特殊情况下，</w:t>
      </w:r>
      <w:r>
        <w:rPr>
          <w:rFonts w:hint="eastAsia" w:ascii="宋体" w:hAnsi="宋体" w:eastAsia="宋体" w:cs="宋体"/>
          <w:color w:val="000000"/>
          <w:sz w:val="24"/>
          <w:szCs w:val="24"/>
          <w:highlight w:val="none"/>
          <w:lang w:eastAsia="zh-CN"/>
        </w:rPr>
        <w:t>采购人或采购代理机构</w:t>
      </w:r>
      <w:r>
        <w:rPr>
          <w:rFonts w:hint="eastAsia" w:ascii="宋体" w:hAnsi="宋体" w:eastAsia="宋体" w:cs="宋体"/>
          <w:color w:val="000000"/>
          <w:sz w:val="24"/>
          <w:szCs w:val="24"/>
          <w:highlight w:val="none"/>
        </w:rPr>
        <w:t>于原投标有效期满之前，可向投标人提出延长投标有效期的要求。这种要求与答复均应采用书面形式。投标人可以拒绝</w:t>
      </w:r>
      <w:r>
        <w:rPr>
          <w:rFonts w:hint="eastAsia" w:ascii="宋体" w:hAnsi="宋体" w:eastAsia="宋体" w:cs="宋体"/>
          <w:color w:val="000000"/>
          <w:sz w:val="24"/>
          <w:szCs w:val="24"/>
          <w:highlight w:val="none"/>
          <w:lang w:eastAsia="zh-CN"/>
        </w:rPr>
        <w:t>采购人或采购代理机构</w:t>
      </w:r>
      <w:r>
        <w:rPr>
          <w:rFonts w:hint="eastAsia" w:ascii="宋体" w:hAnsi="宋体" w:eastAsia="宋体" w:cs="宋体"/>
          <w:color w:val="000000"/>
          <w:sz w:val="24"/>
          <w:szCs w:val="24"/>
          <w:highlight w:val="none"/>
        </w:rPr>
        <w:t>的这一要求而放弃投标，同意延长投标有效期的投标人既不能要求也不允许修改其投标文件。受投标有效期约束的所有权利与义务均延长至新的有效期。</w:t>
      </w:r>
    </w:p>
    <w:p w14:paraId="4CCFB7D1">
      <w:pPr>
        <w:pStyle w:val="13"/>
        <w:keepNext/>
        <w:keepLines/>
        <w:spacing w:before="145" w:beforeAutospacing="0" w:after="145" w:afterAutospacing="0" w:line="360" w:lineRule="auto"/>
        <w:jc w:val="both"/>
        <w:rPr>
          <w:rFonts w:hint="eastAsia" w:ascii="宋体" w:hAnsi="宋体" w:eastAsia="宋体" w:cs="宋体"/>
          <w:sz w:val="24"/>
          <w:szCs w:val="24"/>
          <w:highlight w:val="none"/>
        </w:rPr>
      </w:pPr>
      <w:bookmarkStart w:id="117" w:name="_Toc120614217"/>
      <w:bookmarkStart w:id="118" w:name="_Toc513029224"/>
      <w:bookmarkStart w:id="119" w:name="_Toc16938540"/>
      <w:bookmarkStart w:id="120" w:name="_Toc20823296"/>
      <w:r>
        <w:rPr>
          <w:rFonts w:hint="eastAsia" w:ascii="宋体" w:hAnsi="宋体" w:eastAsia="宋体" w:cs="宋体"/>
          <w:b/>
          <w:color w:val="000000"/>
          <w:sz w:val="24"/>
          <w:szCs w:val="24"/>
          <w:highlight w:val="none"/>
        </w:rPr>
        <w:t>四、投标文件的递交</w:t>
      </w:r>
      <w:bookmarkEnd w:id="117"/>
      <w:bookmarkEnd w:id="118"/>
      <w:bookmarkEnd w:id="119"/>
      <w:bookmarkEnd w:id="120"/>
    </w:p>
    <w:p w14:paraId="331429FC">
      <w:pPr>
        <w:pStyle w:val="13"/>
        <w:keepNext/>
        <w:keepLines/>
        <w:spacing w:beforeAutospacing="0" w:afterAutospacing="0"/>
        <w:ind w:firstLine="420"/>
        <w:jc w:val="both"/>
        <w:rPr>
          <w:rFonts w:hint="eastAsia" w:ascii="宋体" w:hAnsi="宋体" w:eastAsia="宋体" w:cs="宋体"/>
          <w:sz w:val="24"/>
          <w:szCs w:val="24"/>
          <w:highlight w:val="none"/>
        </w:rPr>
      </w:pPr>
      <w:bookmarkStart w:id="121" w:name="_Toc462564084"/>
      <w:bookmarkStart w:id="122" w:name="_Toc513029225"/>
      <w:bookmarkStart w:id="123" w:name="_Toc20823297"/>
      <w:bookmarkStart w:id="124" w:name="_Toc16938541"/>
      <w:r>
        <w:rPr>
          <w:rFonts w:hint="eastAsia" w:ascii="宋体" w:hAnsi="宋体" w:eastAsia="宋体" w:cs="宋体"/>
          <w:color w:val="000000"/>
          <w:sz w:val="24"/>
          <w:szCs w:val="24"/>
          <w:highlight w:val="none"/>
        </w:rPr>
        <w:t>18、电子投标文件</w:t>
      </w:r>
      <w:bookmarkEnd w:id="121"/>
      <w:bookmarkEnd w:id="122"/>
      <w:bookmarkEnd w:id="123"/>
      <w:bookmarkEnd w:id="124"/>
      <w:r>
        <w:rPr>
          <w:rFonts w:hint="eastAsia" w:ascii="宋体" w:hAnsi="宋体" w:eastAsia="宋体" w:cs="宋体"/>
          <w:color w:val="000000"/>
          <w:sz w:val="24"/>
          <w:szCs w:val="24"/>
          <w:highlight w:val="none"/>
        </w:rPr>
        <w:t>的递交</w:t>
      </w:r>
    </w:p>
    <w:p w14:paraId="33A72D4C">
      <w:pPr>
        <w:pStyle w:val="13"/>
        <w:pageBreakBefore w:val="0"/>
        <w:widowControl w:val="0"/>
        <w:kinsoku/>
        <w:wordWrap/>
        <w:overflowPunct/>
        <w:topLinePunct w:val="0"/>
        <w:autoSpaceDE/>
        <w:autoSpaceDN/>
        <w:bidi w:val="0"/>
        <w:adjustRightInd/>
        <w:snapToGrid/>
        <w:spacing w:beforeAutospacing="0" w:afterAutospacing="0" w:line="260" w:lineRule="exact"/>
        <w:ind w:left="525"/>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18.1投标人应当按照《操作手册》规定，在投标截止时间前制作并上传电子投标</w:t>
      </w:r>
    </w:p>
    <w:p w14:paraId="3BABEF1F">
      <w:pPr>
        <w:pStyle w:val="13"/>
        <w:pageBreakBefore w:val="0"/>
        <w:widowControl w:val="0"/>
        <w:kinsoku/>
        <w:wordWrap/>
        <w:overflowPunct/>
        <w:topLinePunct w:val="0"/>
        <w:autoSpaceDE/>
        <w:autoSpaceDN/>
        <w:bidi w:val="0"/>
        <w:adjustRightInd/>
        <w:snapToGrid/>
        <w:spacing w:beforeAutospacing="0" w:afterAutospacing="0" w:line="260" w:lineRule="exact"/>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文件。</w:t>
      </w:r>
      <w:bookmarkStart w:id="125" w:name="_Toc16938542"/>
      <w:bookmarkEnd w:id="125"/>
      <w:bookmarkStart w:id="126" w:name="_Toc20823298"/>
      <w:bookmarkEnd w:id="126"/>
    </w:p>
    <w:p w14:paraId="30E224F4">
      <w:pPr>
        <w:pStyle w:val="13"/>
        <w:pageBreakBefore w:val="0"/>
        <w:widowControl w:val="0"/>
        <w:kinsoku/>
        <w:wordWrap/>
        <w:overflowPunct/>
        <w:topLinePunct w:val="0"/>
        <w:autoSpaceDE/>
        <w:autoSpaceDN/>
        <w:bidi w:val="0"/>
        <w:adjustRightInd/>
        <w:snapToGrid/>
        <w:spacing w:beforeAutospacing="0" w:afterAutospacing="0" w:line="260" w:lineRule="exac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19、投标截止日期</w:t>
      </w:r>
    </w:p>
    <w:p w14:paraId="032A68CC">
      <w:pPr>
        <w:pStyle w:val="13"/>
        <w:pageBreakBefore w:val="0"/>
        <w:widowControl w:val="0"/>
        <w:kinsoku/>
        <w:wordWrap/>
        <w:overflowPunct/>
        <w:topLinePunct w:val="0"/>
        <w:autoSpaceDE/>
        <w:autoSpaceDN/>
        <w:bidi w:val="0"/>
        <w:adjustRightInd/>
        <w:snapToGrid/>
        <w:spacing w:beforeAutospacing="0" w:afterAutospacing="0" w:line="2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19.1 投标人上传电子投标文件的时间不得迟于招标公告中规定的投标截止时间。</w:t>
      </w:r>
    </w:p>
    <w:p w14:paraId="1963C32B">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投标人应充分考虑到网络环境、网络带宽等风险因素，如因投标人自身原因造成的电子投标文件上传不成功的按照本招标文件第二章第27.1.2条规定做无效投标处理。</w:t>
      </w:r>
    </w:p>
    <w:p w14:paraId="3FF95AC9">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19.2 </w:t>
      </w:r>
      <w:r>
        <w:rPr>
          <w:rFonts w:hint="eastAsia" w:ascii="宋体" w:hAnsi="宋体" w:eastAsia="宋体" w:cs="宋体"/>
          <w:color w:val="000000"/>
          <w:sz w:val="24"/>
          <w:szCs w:val="24"/>
          <w:highlight w:val="none"/>
          <w:lang w:eastAsia="zh-CN"/>
        </w:rPr>
        <w:t>采购人或采购代理机构</w:t>
      </w:r>
      <w:r>
        <w:rPr>
          <w:rFonts w:hint="eastAsia" w:ascii="宋体" w:hAnsi="宋体" w:eastAsia="宋体" w:cs="宋体"/>
          <w:color w:val="000000"/>
          <w:sz w:val="24"/>
          <w:szCs w:val="24"/>
          <w:highlight w:val="none"/>
        </w:rPr>
        <w:t>可以按照规定，通过修改招标文件酌情延长投标截止日期，在此情况下，投标人的所有权利和义务以及投标人受制的截止日期均应以延长后新的截止日期为准。</w:t>
      </w:r>
    </w:p>
    <w:p w14:paraId="228A629B">
      <w:pPr>
        <w:pStyle w:val="13"/>
        <w:keepNext/>
        <w:keepLines/>
        <w:spacing w:beforeAutospacing="0" w:afterAutospacing="0"/>
        <w:ind w:firstLine="420"/>
        <w:jc w:val="both"/>
        <w:rPr>
          <w:rFonts w:hint="eastAsia" w:ascii="宋体" w:hAnsi="宋体" w:eastAsia="宋体" w:cs="宋体"/>
          <w:sz w:val="24"/>
          <w:szCs w:val="24"/>
          <w:highlight w:val="none"/>
        </w:rPr>
      </w:pPr>
      <w:bookmarkStart w:id="127" w:name="_Toc20823299"/>
      <w:bookmarkStart w:id="128" w:name="_Toc513029227"/>
      <w:bookmarkStart w:id="129" w:name="_Toc16938543"/>
      <w:r>
        <w:rPr>
          <w:rFonts w:hint="eastAsia" w:ascii="宋体" w:hAnsi="宋体" w:eastAsia="宋体" w:cs="宋体"/>
          <w:color w:val="000000"/>
          <w:sz w:val="24"/>
          <w:szCs w:val="24"/>
          <w:highlight w:val="none"/>
        </w:rPr>
        <w:t>20、投标文件</w:t>
      </w:r>
      <w:bookmarkEnd w:id="127"/>
      <w:bookmarkEnd w:id="128"/>
      <w:bookmarkEnd w:id="129"/>
      <w:r>
        <w:rPr>
          <w:rFonts w:hint="eastAsia" w:ascii="宋体" w:hAnsi="宋体" w:eastAsia="宋体" w:cs="宋体"/>
          <w:color w:val="000000"/>
          <w:sz w:val="24"/>
          <w:szCs w:val="24"/>
          <w:highlight w:val="none"/>
        </w:rPr>
        <w:t>的拒收</w:t>
      </w:r>
    </w:p>
    <w:p w14:paraId="07E56E62">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 </w:t>
      </w:r>
      <w:r>
        <w:rPr>
          <w:rFonts w:hint="eastAsia" w:ascii="宋体" w:hAnsi="宋体" w:eastAsia="宋体" w:cs="宋体"/>
          <w:color w:val="000000"/>
          <w:sz w:val="24"/>
          <w:szCs w:val="24"/>
          <w:highlight w:val="none"/>
          <w:lang w:eastAsia="zh-CN"/>
        </w:rPr>
        <w:t>采购人或采购代理机构</w:t>
      </w:r>
      <w:r>
        <w:rPr>
          <w:rFonts w:hint="eastAsia" w:ascii="宋体" w:hAnsi="宋体" w:eastAsia="宋体" w:cs="宋体"/>
          <w:color w:val="000000"/>
          <w:sz w:val="24"/>
          <w:szCs w:val="24"/>
          <w:highlight w:val="none"/>
        </w:rPr>
        <w:t>拒绝接收在其规定的投标截止时间后上传的任何投标文件。</w:t>
      </w:r>
    </w:p>
    <w:p w14:paraId="3B8563AA">
      <w:pPr>
        <w:pStyle w:val="13"/>
        <w:keepNext/>
        <w:keepLines/>
        <w:spacing w:beforeAutospacing="0" w:afterAutospacing="0"/>
        <w:ind w:firstLine="420"/>
        <w:jc w:val="both"/>
        <w:rPr>
          <w:rFonts w:hint="eastAsia" w:ascii="宋体" w:hAnsi="宋体" w:eastAsia="宋体" w:cs="宋体"/>
          <w:sz w:val="24"/>
          <w:szCs w:val="24"/>
          <w:highlight w:val="none"/>
        </w:rPr>
      </w:pPr>
      <w:bookmarkStart w:id="130" w:name="_Toc16938544"/>
      <w:bookmarkStart w:id="131" w:name="_Toc20823300"/>
      <w:bookmarkStart w:id="132" w:name="_Toc513029228"/>
      <w:r>
        <w:rPr>
          <w:rFonts w:hint="eastAsia" w:ascii="宋体" w:hAnsi="宋体" w:eastAsia="宋体" w:cs="宋体"/>
          <w:color w:val="000000"/>
          <w:sz w:val="24"/>
          <w:szCs w:val="24"/>
          <w:highlight w:val="none"/>
        </w:rPr>
        <w:t>21、投标文件的撤回和修改</w:t>
      </w:r>
      <w:bookmarkEnd w:id="130"/>
      <w:bookmarkEnd w:id="131"/>
      <w:bookmarkEnd w:id="132"/>
    </w:p>
    <w:p w14:paraId="21A8EFE5">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21.1 投标文件的撤回</w:t>
      </w:r>
    </w:p>
    <w:p w14:paraId="37C6CCD2">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21.1.1 电子投标文件的撤回</w:t>
      </w:r>
    </w:p>
    <w:p w14:paraId="1C019CE3">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投标人可在投标截止时间前，撤回其电子投标文件，具体操作方法见《操作手册》。</w:t>
      </w:r>
    </w:p>
    <w:p w14:paraId="0788FECE">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21.1.2 投标人撤回电子投标文件，则认为其不再参与本项目投标活动。</w:t>
      </w:r>
    </w:p>
    <w:p w14:paraId="3E609E87">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21.2 投标文件的修改</w:t>
      </w:r>
    </w:p>
    <w:p w14:paraId="3AABEF99">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21.2.1投标人可在投标截止时间前，对其电子投标文件进行修改，具体操作方法见《操作手册》。</w:t>
      </w:r>
    </w:p>
    <w:p w14:paraId="27BCFEFC">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21.2.2 在投标截止时间之后，投标人不得对其电子投标文件作任何修改。</w:t>
      </w:r>
    </w:p>
    <w:p w14:paraId="2670FB77">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21.3 在投标截止时间至招标文件中规定的投标有效期满之间的这段时间内，投标人不得撤回其投标。</w:t>
      </w:r>
    </w:p>
    <w:p w14:paraId="7AEA1C11">
      <w:pPr>
        <w:pStyle w:val="13"/>
        <w:keepNext/>
        <w:keepLines/>
        <w:spacing w:before="145" w:beforeAutospacing="0" w:after="145" w:afterAutospacing="0" w:line="360" w:lineRule="auto"/>
        <w:ind w:firstLine="482"/>
        <w:jc w:val="both"/>
        <w:rPr>
          <w:rFonts w:hint="eastAsia" w:ascii="宋体" w:hAnsi="宋体" w:eastAsia="宋体" w:cs="宋体"/>
          <w:sz w:val="24"/>
          <w:szCs w:val="24"/>
          <w:highlight w:val="none"/>
        </w:rPr>
      </w:pPr>
      <w:bookmarkStart w:id="133" w:name="_Toc20823301"/>
      <w:bookmarkStart w:id="134" w:name="_Toc16938545"/>
      <w:bookmarkStart w:id="135" w:name="_Toc120614218"/>
      <w:bookmarkStart w:id="136" w:name="_Toc513029229"/>
      <w:r>
        <w:rPr>
          <w:rFonts w:hint="eastAsia" w:ascii="宋体" w:hAnsi="宋体" w:eastAsia="宋体" w:cs="宋体"/>
          <w:b/>
          <w:color w:val="000000"/>
          <w:sz w:val="24"/>
          <w:szCs w:val="24"/>
          <w:highlight w:val="none"/>
        </w:rPr>
        <w:t>五、开标与评标</w:t>
      </w:r>
      <w:bookmarkEnd w:id="133"/>
      <w:bookmarkEnd w:id="134"/>
      <w:bookmarkEnd w:id="135"/>
      <w:bookmarkEnd w:id="136"/>
    </w:p>
    <w:p w14:paraId="18358FEF">
      <w:pPr>
        <w:pStyle w:val="13"/>
        <w:keepNext/>
        <w:keepLines/>
        <w:spacing w:beforeAutospacing="0" w:afterAutospacing="0"/>
        <w:ind w:firstLine="420"/>
        <w:jc w:val="both"/>
        <w:rPr>
          <w:rFonts w:hint="eastAsia" w:ascii="宋体" w:hAnsi="宋体" w:eastAsia="宋体" w:cs="宋体"/>
          <w:sz w:val="24"/>
          <w:szCs w:val="24"/>
          <w:highlight w:val="none"/>
        </w:rPr>
      </w:pPr>
      <w:bookmarkStart w:id="137" w:name="_Toc513029230"/>
      <w:bookmarkStart w:id="138" w:name="_Toc16938546"/>
      <w:bookmarkStart w:id="139" w:name="_Toc20823302"/>
      <w:r>
        <w:rPr>
          <w:rFonts w:hint="eastAsia" w:ascii="宋体" w:hAnsi="宋体" w:eastAsia="宋体" w:cs="宋体"/>
          <w:color w:val="000000"/>
          <w:sz w:val="24"/>
          <w:szCs w:val="24"/>
          <w:highlight w:val="none"/>
        </w:rPr>
        <w:t>22、开标</w:t>
      </w:r>
      <w:bookmarkEnd w:id="137"/>
      <w:bookmarkEnd w:id="138"/>
      <w:bookmarkEnd w:id="139"/>
    </w:p>
    <w:p w14:paraId="20505487">
      <w:pPr>
        <w:pStyle w:val="13"/>
        <w:spacing w:beforeAutospacing="0" w:afterAutospacing="0"/>
        <w:ind w:firstLine="360"/>
        <w:jc w:val="both"/>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22.1 </w:t>
      </w:r>
      <w:r>
        <w:rPr>
          <w:rFonts w:hint="eastAsia" w:ascii="宋体" w:hAnsi="宋体" w:eastAsia="宋体" w:cs="宋体"/>
          <w:color w:val="000000"/>
          <w:sz w:val="24"/>
          <w:szCs w:val="24"/>
          <w:highlight w:val="none"/>
          <w:lang w:eastAsia="zh-CN"/>
        </w:rPr>
        <w:t>采购人或采购代理机构</w:t>
      </w:r>
      <w:r>
        <w:rPr>
          <w:rFonts w:hint="eastAsia" w:ascii="宋体" w:hAnsi="宋体" w:eastAsia="宋体" w:cs="宋体"/>
          <w:color w:val="000000"/>
          <w:sz w:val="24"/>
          <w:szCs w:val="24"/>
          <w:highlight w:val="none"/>
        </w:rPr>
        <w:t>将在招标公告中规定的时间和地点组织公开开标。投标人应当按照《操作手册》规定，参加开标活动</w:t>
      </w:r>
      <w:r>
        <w:rPr>
          <w:rFonts w:hint="eastAsia" w:ascii="宋体" w:hAnsi="宋体" w:eastAsia="宋体" w:cs="宋体"/>
          <w:color w:val="auto"/>
          <w:sz w:val="24"/>
          <w:szCs w:val="24"/>
          <w:highlight w:val="none"/>
        </w:rPr>
        <w:t>和在苏采云系统规定的时间内对投标文件进行解密。</w:t>
      </w:r>
    </w:p>
    <w:p w14:paraId="31DEE188">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22.2开标仪式由</w:t>
      </w:r>
      <w:r>
        <w:rPr>
          <w:rFonts w:hint="eastAsia" w:ascii="宋体" w:hAnsi="宋体" w:eastAsia="宋体" w:cs="宋体"/>
          <w:color w:val="auto"/>
          <w:sz w:val="24"/>
          <w:szCs w:val="24"/>
          <w:highlight w:val="none"/>
          <w:lang w:eastAsia="zh-CN"/>
        </w:rPr>
        <w:t>采购人或采购代理机构</w:t>
      </w:r>
      <w:r>
        <w:rPr>
          <w:rFonts w:hint="eastAsia" w:ascii="宋体" w:hAnsi="宋体" w:eastAsia="宋体" w:cs="宋体"/>
          <w:color w:val="auto"/>
          <w:sz w:val="24"/>
          <w:szCs w:val="24"/>
          <w:highlight w:val="none"/>
        </w:rPr>
        <w:t>组织。苏采云系统将自动对项目进行开标，并宣布各投标人名称和投标价格。</w:t>
      </w:r>
    </w:p>
    <w:p w14:paraId="6855DE8D">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22.3投标人在开标过程中涉及到的投标文件解密、开标结果确认等工作，应按照《操作手册》规定执行。</w:t>
      </w:r>
    </w:p>
    <w:p w14:paraId="2ACE9FB6">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22.4投标人如果对开标过程和开标记录有疑义，应当根据《操作手册》规定提出，如 苏采云系统中《开标记录表》宣布后5分钟内未提出的</w:t>
      </w:r>
      <w:r>
        <w:rPr>
          <w:rFonts w:hint="eastAsia" w:ascii="宋体" w:hAnsi="宋体" w:eastAsia="宋体" w:cs="宋体"/>
          <w:color w:val="000000"/>
          <w:sz w:val="24"/>
          <w:szCs w:val="24"/>
          <w:highlight w:val="none"/>
        </w:rPr>
        <w:t>，视同认可开标结果。</w:t>
      </w:r>
    </w:p>
    <w:p w14:paraId="4440C909">
      <w:pPr>
        <w:pStyle w:val="13"/>
        <w:keepNext/>
        <w:keepLines/>
        <w:spacing w:beforeAutospacing="0" w:afterAutospacing="0"/>
        <w:ind w:firstLine="420"/>
        <w:jc w:val="both"/>
        <w:rPr>
          <w:rFonts w:hint="eastAsia" w:ascii="宋体" w:hAnsi="宋体" w:eastAsia="宋体" w:cs="宋体"/>
          <w:sz w:val="24"/>
          <w:szCs w:val="24"/>
          <w:highlight w:val="none"/>
        </w:rPr>
      </w:pPr>
      <w:bookmarkStart w:id="140" w:name="_Toc20823303"/>
      <w:bookmarkStart w:id="141" w:name="_Toc16938547"/>
      <w:bookmarkStart w:id="142" w:name="_Toc513029231"/>
      <w:r>
        <w:rPr>
          <w:rFonts w:hint="eastAsia" w:ascii="宋体" w:hAnsi="宋体" w:eastAsia="宋体" w:cs="宋体"/>
          <w:color w:val="000000"/>
          <w:sz w:val="24"/>
          <w:szCs w:val="24"/>
          <w:highlight w:val="none"/>
        </w:rPr>
        <w:t>23、评标委员会</w:t>
      </w:r>
      <w:bookmarkEnd w:id="140"/>
      <w:bookmarkEnd w:id="141"/>
      <w:bookmarkEnd w:id="142"/>
    </w:p>
    <w:p w14:paraId="6EE29179">
      <w:pPr>
        <w:pStyle w:val="13"/>
        <w:spacing w:beforeAutospacing="0" w:afterAutospacing="0" w:line="0" w:lineRule="atLeast"/>
        <w:jc w:val="both"/>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23.1</w:t>
      </w:r>
      <w:r>
        <w:rPr>
          <w:rFonts w:hint="eastAsia" w:ascii="宋体" w:hAnsi="宋体" w:eastAsia="宋体" w:cs="宋体"/>
          <w:b/>
          <w:color w:val="000000"/>
          <w:sz w:val="24"/>
          <w:szCs w:val="24"/>
          <w:highlight w:val="none"/>
        </w:rPr>
        <w:t> </w:t>
      </w:r>
      <w:r>
        <w:rPr>
          <w:rFonts w:hint="eastAsia" w:ascii="宋体" w:hAnsi="宋体" w:eastAsia="宋体" w:cs="宋体"/>
          <w:color w:val="000000"/>
          <w:sz w:val="24"/>
          <w:szCs w:val="24"/>
          <w:highlight w:val="none"/>
        </w:rPr>
        <w:t>开标后，</w:t>
      </w:r>
      <w:r>
        <w:rPr>
          <w:rFonts w:hint="eastAsia" w:ascii="宋体" w:hAnsi="宋体" w:eastAsia="宋体" w:cs="宋体"/>
          <w:color w:val="000000"/>
          <w:sz w:val="24"/>
          <w:szCs w:val="24"/>
          <w:highlight w:val="none"/>
          <w:lang w:eastAsia="zh-CN"/>
        </w:rPr>
        <w:t>采购人或采购代理机构</w:t>
      </w:r>
      <w:r>
        <w:rPr>
          <w:rFonts w:hint="eastAsia" w:ascii="宋体" w:hAnsi="宋体" w:eastAsia="宋体" w:cs="宋体"/>
          <w:color w:val="000000"/>
          <w:sz w:val="24"/>
          <w:szCs w:val="24"/>
          <w:highlight w:val="none"/>
        </w:rPr>
        <w:t>将立即组织评标委员会（以下简称评委会）进行评标。</w:t>
      </w:r>
    </w:p>
    <w:p w14:paraId="3D20F99A">
      <w:pPr>
        <w:pStyle w:val="13"/>
        <w:spacing w:beforeAutospacing="0" w:afterAutospacing="0" w:line="0" w:lineRule="atLeast"/>
        <w:jc w:val="both"/>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23.2 评委会由采购人代表和有关技术、经济等方面的专家组成，且人员构成符合政府采购有关规定。</w:t>
      </w:r>
    </w:p>
    <w:p w14:paraId="5DD3A290">
      <w:pPr>
        <w:pStyle w:val="13"/>
        <w:spacing w:beforeAutospacing="0" w:afterAutospacing="0" w:line="0" w:lineRule="atLeast"/>
        <w:jc w:val="both"/>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23.3评委会独立工作，负责评审所有投标文件并确定中标</w:t>
      </w:r>
      <w:r>
        <w:rPr>
          <w:rFonts w:hint="eastAsia" w:ascii="宋体" w:hAnsi="宋体" w:eastAsia="宋体" w:cs="宋体"/>
          <w:color w:val="000000"/>
          <w:sz w:val="24"/>
          <w:szCs w:val="24"/>
          <w:highlight w:val="none"/>
          <w:lang w:eastAsia="zh-CN"/>
        </w:rPr>
        <w:t>候选人</w:t>
      </w:r>
      <w:r>
        <w:rPr>
          <w:rFonts w:hint="eastAsia" w:ascii="宋体" w:hAnsi="宋体" w:eastAsia="宋体" w:cs="宋体"/>
          <w:color w:val="000000"/>
          <w:sz w:val="24"/>
          <w:szCs w:val="24"/>
          <w:highlight w:val="none"/>
        </w:rPr>
        <w:t>。</w:t>
      </w:r>
    </w:p>
    <w:p w14:paraId="2924801B">
      <w:pPr>
        <w:pStyle w:val="13"/>
        <w:keepNext/>
        <w:keepLines/>
        <w:spacing w:beforeAutospacing="0" w:afterAutospacing="0"/>
        <w:ind w:firstLine="42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24．评标过程的保密与公正</w:t>
      </w:r>
    </w:p>
    <w:p w14:paraId="2E46C6F8">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24.1凡是与审查、澄清、评价和比较投标的有关资料以及授标建议等，采购人、评委、</w:t>
      </w:r>
      <w:r>
        <w:rPr>
          <w:rFonts w:hint="eastAsia" w:ascii="宋体" w:hAnsi="宋体" w:eastAsia="宋体" w:cs="宋体"/>
          <w:color w:val="000000"/>
          <w:sz w:val="24"/>
          <w:szCs w:val="24"/>
          <w:highlight w:val="none"/>
          <w:lang w:eastAsia="zh-CN"/>
        </w:rPr>
        <w:t>采购人或采购代理机构</w:t>
      </w:r>
      <w:r>
        <w:rPr>
          <w:rFonts w:hint="eastAsia" w:ascii="宋体" w:hAnsi="宋体" w:eastAsia="宋体" w:cs="宋体"/>
          <w:color w:val="000000"/>
          <w:sz w:val="24"/>
          <w:szCs w:val="24"/>
          <w:highlight w:val="none"/>
        </w:rPr>
        <w:t>均不得向投标人或与评标无关的其他人员透露。</w:t>
      </w:r>
    </w:p>
    <w:p w14:paraId="0EF5A12A">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24.2在评标过程中，投标人不得以任何行为影响评标过程，否则其投标文件将被作为无效投标文件。</w:t>
      </w:r>
    </w:p>
    <w:p w14:paraId="1C8B09BF">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24.3 </w:t>
      </w:r>
      <w:r>
        <w:rPr>
          <w:rFonts w:hint="eastAsia" w:ascii="宋体" w:hAnsi="宋体" w:eastAsia="宋体" w:cs="宋体"/>
          <w:color w:val="000000"/>
          <w:sz w:val="24"/>
          <w:szCs w:val="24"/>
          <w:highlight w:val="none"/>
          <w:lang w:eastAsia="zh-CN"/>
        </w:rPr>
        <w:t>采购人或采购代理机构</w:t>
      </w:r>
      <w:r>
        <w:rPr>
          <w:rFonts w:hint="eastAsia" w:ascii="宋体" w:hAnsi="宋体" w:eastAsia="宋体" w:cs="宋体"/>
          <w:color w:val="000000"/>
          <w:sz w:val="24"/>
          <w:szCs w:val="24"/>
          <w:highlight w:val="none"/>
        </w:rPr>
        <w:t>和评标委员会不向未中标的投标人解释未中标原因，也不公布评标过程中的相关</w:t>
      </w:r>
      <w:r>
        <w:rPr>
          <w:rFonts w:hint="eastAsia" w:ascii="宋体" w:hAnsi="宋体" w:eastAsia="宋体" w:cs="宋体"/>
          <w:color w:val="auto"/>
          <w:sz w:val="24"/>
          <w:szCs w:val="24"/>
          <w:highlight w:val="none"/>
        </w:rPr>
        <w:t>细节。</w:t>
      </w:r>
    </w:p>
    <w:p w14:paraId="035BCE1D">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24.4 采用综合评分法的项目，未中标的投标人可于中标结果公告期限届满之日起通过苏采云系统查看自己的评审得分及</w:t>
      </w:r>
      <w:r>
        <w:rPr>
          <w:rFonts w:hint="eastAsia" w:ascii="宋体" w:hAnsi="宋体" w:eastAsia="宋体" w:cs="宋体"/>
          <w:color w:val="000000"/>
          <w:sz w:val="24"/>
          <w:szCs w:val="24"/>
          <w:highlight w:val="none"/>
        </w:rPr>
        <w:t>排序情况。</w:t>
      </w:r>
      <w:r>
        <w:rPr>
          <w:rFonts w:hint="eastAsia" w:ascii="宋体" w:hAnsi="宋体" w:eastAsia="宋体" w:cs="宋体"/>
          <w:color w:val="000000"/>
          <w:sz w:val="24"/>
          <w:szCs w:val="24"/>
          <w:highlight w:val="none"/>
          <w:shd w:val="clear" w:color="auto" w:fill="auto"/>
        </w:rPr>
        <w:t>（提醒：经</w:t>
      </w:r>
      <w:r>
        <w:rPr>
          <w:rFonts w:hint="eastAsia" w:ascii="宋体" w:hAnsi="宋体" w:eastAsia="宋体" w:cs="宋体"/>
          <w:color w:val="auto"/>
          <w:sz w:val="24"/>
          <w:szCs w:val="24"/>
          <w:highlight w:val="none"/>
          <w:shd w:val="clear" w:color="auto" w:fill="auto"/>
        </w:rPr>
        <w:t>办人在苏采云系统查询到中标结果公告后，再点击推送。招标文件定稿后该提醒删除）</w:t>
      </w:r>
    </w:p>
    <w:p w14:paraId="73161E7F">
      <w:pPr>
        <w:pStyle w:val="13"/>
        <w:keepNext/>
        <w:keepLines/>
        <w:spacing w:beforeAutospacing="0" w:afterAutospacing="0"/>
        <w:ind w:firstLine="420"/>
        <w:jc w:val="both"/>
        <w:rPr>
          <w:rFonts w:hint="eastAsia" w:ascii="宋体" w:hAnsi="宋体" w:eastAsia="宋体" w:cs="宋体"/>
          <w:sz w:val="24"/>
          <w:szCs w:val="24"/>
          <w:highlight w:val="none"/>
        </w:rPr>
      </w:pPr>
      <w:bookmarkStart w:id="143" w:name="_Toc513029232"/>
      <w:bookmarkStart w:id="144" w:name="_Toc16938548"/>
      <w:bookmarkStart w:id="145" w:name="_Toc20823304"/>
      <w:r>
        <w:rPr>
          <w:rFonts w:hint="eastAsia" w:ascii="宋体" w:hAnsi="宋体" w:eastAsia="宋体" w:cs="宋体"/>
          <w:color w:val="000000"/>
          <w:sz w:val="24"/>
          <w:szCs w:val="24"/>
          <w:highlight w:val="none"/>
        </w:rPr>
        <w:t>25．投标文件的澄清</w:t>
      </w:r>
      <w:bookmarkEnd w:id="143"/>
      <w:bookmarkEnd w:id="144"/>
      <w:bookmarkEnd w:id="145"/>
    </w:p>
    <w:p w14:paraId="0FEDB370">
      <w:pPr>
        <w:pStyle w:val="13"/>
        <w:spacing w:beforeAutospacing="0" w:afterAutospacing="0" w:line="0" w:lineRule="atLeast"/>
        <w:ind w:firstLine="480"/>
        <w:jc w:val="both"/>
        <w:rPr>
          <w:rFonts w:hint="eastAsia" w:ascii="宋体" w:hAnsi="宋体" w:eastAsia="宋体" w:cs="宋体"/>
          <w:sz w:val="24"/>
          <w:szCs w:val="24"/>
          <w:highlight w:val="none"/>
        </w:rPr>
      </w:pPr>
      <w:bookmarkStart w:id="146" w:name="_Toc16938549"/>
      <w:bookmarkStart w:id="147" w:name="_Toc513029233"/>
      <w:bookmarkStart w:id="148" w:name="_Toc20823305"/>
      <w:r>
        <w:rPr>
          <w:rFonts w:hint="eastAsia" w:ascii="宋体" w:hAnsi="宋体" w:eastAsia="宋体" w:cs="宋体"/>
          <w:color w:val="000000"/>
          <w:sz w:val="24"/>
          <w:szCs w:val="24"/>
          <w:highlight w:val="none"/>
        </w:rPr>
        <w:t>25.1评标期间，评委会对投标文件中含义不明确、同类问题表述不一致或者有明显文字和计算错误的内容 ，有权要求投标人作出必要的澄清、说明或者补正。</w:t>
      </w:r>
      <w:bookmarkEnd w:id="146"/>
      <w:bookmarkEnd w:id="147"/>
      <w:bookmarkEnd w:id="148"/>
    </w:p>
    <w:p w14:paraId="1094B6B4">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投标人的澄清、说明或者补正不得超出投标文件的范围或者改变投标文件的实质性内容。</w:t>
      </w:r>
    </w:p>
    <w:p w14:paraId="680F1154">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评标委员会并非对每个投标人都做澄清要求。</w:t>
      </w:r>
    </w:p>
    <w:p w14:paraId="628F7036">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4011F499">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25.3 接到评委会澄清、说明和补正要求的投标人如未按规定</w:t>
      </w:r>
      <w:r>
        <w:rPr>
          <w:rFonts w:hint="eastAsia" w:ascii="宋体" w:hAnsi="宋体" w:eastAsia="宋体" w:cs="宋体"/>
          <w:color w:val="auto"/>
          <w:sz w:val="24"/>
          <w:szCs w:val="24"/>
          <w:highlight w:val="none"/>
          <w:lang w:val="en-US" w:eastAsia="zh-CN"/>
        </w:rPr>
        <w:t>作</w:t>
      </w:r>
      <w:r>
        <w:rPr>
          <w:rFonts w:hint="eastAsia" w:ascii="宋体" w:hAnsi="宋体" w:eastAsia="宋体" w:cs="宋体"/>
          <w:color w:val="auto"/>
          <w:sz w:val="24"/>
          <w:szCs w:val="24"/>
          <w:highlight w:val="none"/>
        </w:rPr>
        <w:t>出澄清、</w:t>
      </w:r>
      <w:r>
        <w:rPr>
          <w:rFonts w:hint="eastAsia" w:ascii="宋体" w:hAnsi="宋体" w:eastAsia="宋体" w:cs="宋体"/>
          <w:color w:val="000000"/>
          <w:sz w:val="24"/>
          <w:szCs w:val="24"/>
          <w:highlight w:val="none"/>
        </w:rPr>
        <w:t>说明和补正，其风险由投标人自行承担。</w:t>
      </w:r>
    </w:p>
    <w:p w14:paraId="3A4E31D9">
      <w:pPr>
        <w:pStyle w:val="13"/>
        <w:keepNext/>
        <w:keepLines/>
        <w:spacing w:beforeAutospacing="0" w:afterAutospacing="0"/>
        <w:ind w:firstLine="42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26、对投标文件的初审</w:t>
      </w:r>
    </w:p>
    <w:p w14:paraId="4A3C013B">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26.1投标文件初审分为资格审查和符合性审查。</w:t>
      </w:r>
    </w:p>
    <w:p w14:paraId="2EA0A15B">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26.1.1 资格审查：依据法律法规和招标文件的规定，由采购人对投标文件中的资格证明文件进行审查。资格审查的结论，采购人以书面形式向评委会进行反馈。</w:t>
      </w:r>
    </w:p>
    <w:p w14:paraId="0C5749A8">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采购人在进行资格性审查的同时，将在“信用中国”网站（www.creditchina.gov.cn）查询投标人的信用记录，以确定投标人是否具备投标资格,查询结果留存并归档。</w:t>
      </w:r>
    </w:p>
    <w:p w14:paraId="0432129A">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5AFA5A98">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26.1.2 符合性审查：依据招标文件的规定，由评委会从投标文件的有效性、完整性和对招标文件的响应程度进行审查，以确定是否对招标文件的实质性要求作出响应。</w:t>
      </w:r>
    </w:p>
    <w:p w14:paraId="1DCB991D">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26.1.3 未通过资格审查或符合性审查的投标人，</w:t>
      </w:r>
      <w:r>
        <w:rPr>
          <w:rFonts w:hint="eastAsia" w:ascii="宋体" w:hAnsi="宋体" w:eastAsia="宋体" w:cs="宋体"/>
          <w:color w:val="000000"/>
          <w:sz w:val="24"/>
          <w:szCs w:val="24"/>
          <w:highlight w:val="none"/>
          <w:lang w:eastAsia="zh-CN"/>
        </w:rPr>
        <w:t>采购人或采购代理机构</w:t>
      </w:r>
      <w:r>
        <w:rPr>
          <w:rFonts w:hint="eastAsia" w:ascii="宋体" w:hAnsi="宋体" w:eastAsia="宋体" w:cs="宋体"/>
          <w:color w:val="000000"/>
          <w:sz w:val="24"/>
          <w:szCs w:val="24"/>
          <w:highlight w:val="none"/>
        </w:rPr>
        <w:t>将</w:t>
      </w:r>
      <w:r>
        <w:rPr>
          <w:rFonts w:hint="eastAsia" w:ascii="宋体" w:hAnsi="宋体" w:eastAsia="宋体" w:cs="宋体"/>
          <w:color w:val="auto"/>
          <w:sz w:val="24"/>
          <w:szCs w:val="24"/>
          <w:highlight w:val="none"/>
        </w:rPr>
        <w:t>在苏采云系统中告知未通过资格审查或符合性审查的原因，评审结束后，</w:t>
      </w:r>
      <w:r>
        <w:rPr>
          <w:rFonts w:hint="eastAsia" w:ascii="宋体" w:hAnsi="宋体" w:eastAsia="宋体" w:cs="宋体"/>
          <w:color w:val="auto"/>
          <w:sz w:val="24"/>
          <w:szCs w:val="24"/>
          <w:highlight w:val="none"/>
          <w:lang w:eastAsia="zh-CN"/>
        </w:rPr>
        <w:t>采购人或采购代理机构</w:t>
      </w:r>
      <w:r>
        <w:rPr>
          <w:rFonts w:hint="eastAsia" w:ascii="宋体" w:hAnsi="宋体" w:eastAsia="宋体" w:cs="宋体"/>
          <w:color w:val="auto"/>
          <w:sz w:val="24"/>
          <w:szCs w:val="24"/>
          <w:highlight w:val="none"/>
        </w:rPr>
        <w:t>将不再告知未通过资格审查或符合性审查的原因。</w:t>
      </w:r>
    </w:p>
    <w:p w14:paraId="557C442E">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26.2在详细评标之前，评委会将首先审查每份投标文件是否实质性响应了招标文件的要求。实质性响应的投标应该是与招标文件要求的全部条款、条件和规格相符，没有重大偏离或保留的投标。</w:t>
      </w:r>
    </w:p>
    <w:p w14:paraId="2E296484">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highlight w:val="none"/>
          <w:lang w:eastAsia="zh-CN"/>
        </w:rPr>
        <w:t>采购人或采购代理机构</w:t>
      </w:r>
      <w:r>
        <w:rPr>
          <w:rFonts w:hint="eastAsia" w:ascii="宋体" w:hAnsi="宋体" w:eastAsia="宋体" w:cs="宋体"/>
          <w:color w:val="000000"/>
          <w:sz w:val="24"/>
          <w:szCs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4AC5DB7">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26.3如果投标文件实质上没有响应招标文件的要求，评委会将予以拒绝，投标人不得通过修改或撤销不</w:t>
      </w:r>
      <w:r>
        <w:rPr>
          <w:rFonts w:hint="eastAsia" w:ascii="宋体" w:hAnsi="宋体" w:eastAsia="宋体" w:cs="宋体"/>
          <w:color w:val="000000"/>
          <w:sz w:val="24"/>
          <w:szCs w:val="24"/>
          <w:highlight w:val="none"/>
          <w:lang w:val="en-US" w:eastAsia="zh-CN"/>
        </w:rPr>
        <w:t>符</w:t>
      </w:r>
      <w:r>
        <w:rPr>
          <w:rFonts w:hint="eastAsia" w:ascii="宋体" w:hAnsi="宋体" w:eastAsia="宋体" w:cs="宋体"/>
          <w:color w:val="000000"/>
          <w:sz w:val="24"/>
          <w:szCs w:val="24"/>
          <w:highlight w:val="none"/>
        </w:rPr>
        <w:t>合要求的偏离或保留而使其投标成为实质性响应的投标。</w:t>
      </w:r>
    </w:p>
    <w:p w14:paraId="6AB5DA46">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26.4评委会将对确定为实质性响应的投标进行进一步审核，看其是否有计算上或累加上的算术错误，修正错误的原则如下：</w:t>
      </w:r>
    </w:p>
    <w:p w14:paraId="2B9AFFB6">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（1）投标文件中开标一览表内容与投标文件中相应内容不一致的，以开标一览表为准。</w:t>
      </w:r>
    </w:p>
    <w:p w14:paraId="0EA6542B">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（2）大写金额和小写金额不一致的，以大写金额为准。</w:t>
      </w:r>
    </w:p>
    <w:p w14:paraId="2E304646">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（3）单价金额小数点或者百分比有明显错位的，以开标一览表的总价为准，并修改单价。</w:t>
      </w:r>
    </w:p>
    <w:p w14:paraId="1CEA625A">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（4）总价金额与按单价汇总金额不一致的，以单价金额计算结果为准。</w:t>
      </w:r>
    </w:p>
    <w:p w14:paraId="29B36241">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同时出现两种以上错误的，按照前款规定的顺序修正。</w:t>
      </w:r>
    </w:p>
    <w:p w14:paraId="7598F020">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26.5评委会将按上述修正错误的方法调整投标文件中的投标报价，并通过苏采云系统告知投标人，调整后的价格应对投标人具有约束力。如果投标人不接受修正后的价格，则其投标将被拒绝。</w:t>
      </w:r>
    </w:p>
    <w:p w14:paraId="39505D2B">
      <w:pPr>
        <w:pStyle w:val="13"/>
        <w:spacing w:beforeAutospacing="0" w:afterAutospacing="0" w:line="0" w:lineRule="atLeast"/>
        <w:ind w:firstLine="480"/>
        <w:jc w:val="both"/>
        <w:rPr>
          <w:rFonts w:hint="eastAsia" w:ascii="宋体" w:hAnsi="宋体" w:eastAsia="宋体" w:cs="宋体"/>
          <w:sz w:val="24"/>
          <w:szCs w:val="24"/>
          <w:highlight w:val="none"/>
        </w:rPr>
      </w:pPr>
      <w:bookmarkStart w:id="149" w:name="_Toc20823306"/>
      <w:bookmarkStart w:id="150" w:name="_Toc513029234"/>
      <w:bookmarkStart w:id="151" w:name="_Toc16938550"/>
      <w:r>
        <w:rPr>
          <w:rFonts w:hint="eastAsia" w:ascii="宋体" w:hAnsi="宋体" w:eastAsia="宋体" w:cs="宋体"/>
          <w:color w:val="000000"/>
          <w:sz w:val="24"/>
          <w:szCs w:val="24"/>
          <w:highlight w:val="none"/>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9"/>
      <w:bookmarkEnd w:id="150"/>
      <w:bookmarkEnd w:id="151"/>
    </w:p>
    <w:p w14:paraId="40996438">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2DBF4AB3">
      <w:pPr>
        <w:pStyle w:val="13"/>
        <w:spacing w:beforeAutospacing="0" w:afterAutospacing="0" w:line="0" w:lineRule="atLeast"/>
        <w:ind w:firstLine="420"/>
        <w:jc w:val="both"/>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非单一产品采购项目，招标文件中将载明其中的核心产品。多家投标人提供的核心产品品牌相同的，按前两款规定处理。</w:t>
      </w:r>
    </w:p>
    <w:p w14:paraId="61DA2E1E">
      <w:pPr>
        <w:pStyle w:val="13"/>
        <w:spacing w:beforeAutospacing="0" w:afterAutospacing="0" w:line="0" w:lineRule="atLeast"/>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26.7投标人在开、评标全过程中应</w:t>
      </w:r>
      <w:r>
        <w:rPr>
          <w:rFonts w:hint="eastAsia" w:ascii="宋体" w:hAnsi="宋体" w:eastAsia="宋体" w:cs="宋体"/>
          <w:color w:val="auto"/>
          <w:sz w:val="24"/>
          <w:szCs w:val="24"/>
          <w:highlight w:val="none"/>
          <w:lang w:eastAsia="zh-CN"/>
        </w:rPr>
        <w:t>保持通信畅通</w:t>
      </w:r>
      <w:r>
        <w:rPr>
          <w:rFonts w:hint="eastAsia" w:ascii="宋体" w:hAnsi="宋体" w:eastAsia="宋体" w:cs="宋体"/>
          <w:color w:val="auto"/>
          <w:sz w:val="24"/>
          <w:szCs w:val="24"/>
          <w:highlight w:val="none"/>
        </w:rPr>
        <w:t>，及时登录苏采云系统查阅、答复相关信息，并安排专人与</w:t>
      </w:r>
      <w:r>
        <w:rPr>
          <w:rFonts w:hint="eastAsia" w:ascii="宋体" w:hAnsi="宋体" w:eastAsia="宋体" w:cs="宋体"/>
          <w:color w:val="auto"/>
          <w:sz w:val="24"/>
          <w:szCs w:val="24"/>
          <w:highlight w:val="none"/>
          <w:lang w:eastAsia="zh-CN"/>
        </w:rPr>
        <w:t>采购人或采购代理机构</w:t>
      </w:r>
      <w:r>
        <w:rPr>
          <w:rFonts w:hint="eastAsia" w:ascii="宋体" w:hAnsi="宋体" w:eastAsia="宋体" w:cs="宋体"/>
          <w:color w:val="auto"/>
          <w:sz w:val="24"/>
          <w:szCs w:val="24"/>
          <w:highlight w:val="none"/>
        </w:rPr>
        <w:t>及评标委员会联系。</w:t>
      </w:r>
    </w:p>
    <w:p w14:paraId="660F0DB6">
      <w:pPr>
        <w:pStyle w:val="13"/>
        <w:keepNext/>
        <w:keepLines/>
        <w:spacing w:beforeAutospacing="0" w:afterAutospacing="0"/>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27、无效投标条款和废标条款</w:t>
      </w:r>
    </w:p>
    <w:p w14:paraId="51033E30">
      <w:pPr>
        <w:pStyle w:val="13"/>
        <w:spacing w:beforeAutospacing="0" w:afterAutospacing="0" w:line="0" w:lineRule="atLeast"/>
        <w:ind w:left="479"/>
        <w:jc w:val="both"/>
        <w:rPr>
          <w:rFonts w:hint="eastAsia" w:ascii="宋体" w:hAnsi="宋体" w:eastAsia="宋体" w:cs="宋体"/>
          <w:color w:val="auto"/>
          <w:sz w:val="24"/>
          <w:szCs w:val="24"/>
          <w:highlight w:val="none"/>
        </w:rPr>
      </w:pPr>
      <w:bookmarkStart w:id="152" w:name="_Toc20823307"/>
      <w:bookmarkStart w:id="153" w:name="_Toc16938551"/>
      <w:bookmarkStart w:id="154" w:name="_Toc513029235"/>
      <w:r>
        <w:rPr>
          <w:rFonts w:hint="eastAsia" w:ascii="宋体" w:hAnsi="宋体" w:eastAsia="宋体" w:cs="宋体"/>
          <w:color w:val="auto"/>
          <w:sz w:val="24"/>
          <w:szCs w:val="24"/>
          <w:highlight w:val="none"/>
        </w:rPr>
        <w:t>27.1无效投标条款</w:t>
      </w:r>
      <w:bookmarkEnd w:id="152"/>
      <w:bookmarkEnd w:id="153"/>
      <w:bookmarkEnd w:id="154"/>
    </w:p>
    <w:p w14:paraId="48CBF126">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 投标人在苏采云系统规定的时间内未成功解密电子投标文件的。</w:t>
      </w:r>
    </w:p>
    <w:p w14:paraId="0C4308AC">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27.1.2 投标人未按照招标文件要求上传电子投标文件的。</w:t>
      </w:r>
    </w:p>
    <w:p w14:paraId="7B270373">
      <w:pPr>
        <w:pStyle w:val="13"/>
        <w:spacing w:beforeAutospacing="0" w:afterAutospacing="0" w:line="0" w:lineRule="atLeast"/>
        <w:ind w:left="479"/>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27.1.3同一投标人提交两个（含两个）以上不同的投标报价的。</w:t>
      </w:r>
    </w:p>
    <w:p w14:paraId="0F4C7279">
      <w:pPr>
        <w:pStyle w:val="13"/>
        <w:spacing w:beforeAutospacing="0" w:afterAutospacing="0" w:line="0" w:lineRule="atLeast"/>
        <w:ind w:left="479"/>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27.1.4投标人不具备招标文件中规定资格要求的。</w:t>
      </w:r>
    </w:p>
    <w:p w14:paraId="0E06C114">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27.1.5投标人的报价超过了采购预算或最高限价的。</w:t>
      </w:r>
    </w:p>
    <w:p w14:paraId="6E020BD3">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27.1.6未通过符合性审查的。</w:t>
      </w:r>
    </w:p>
    <w:p w14:paraId="3863F0EC">
      <w:pPr>
        <w:pStyle w:val="13"/>
        <w:spacing w:beforeAutospacing="0" w:afterAutospacing="0" w:line="0" w:lineRule="atLeast"/>
        <w:ind w:firstLine="3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27.1.7不符合招标文件中规定的实质性要求和条件的（</w:t>
      </w:r>
      <w:r>
        <w:rPr>
          <w:rFonts w:hint="eastAsia" w:ascii="宋体" w:hAnsi="宋体" w:eastAsia="宋体" w:cs="宋体"/>
          <w:i/>
          <w:color w:val="000000"/>
          <w:sz w:val="24"/>
          <w:szCs w:val="24"/>
          <w:highlight w:val="none"/>
          <w:u w:val="single"/>
        </w:rPr>
        <w:t>本招标文件中斜体且有下划线部分为实质性要求和条件）。</w:t>
      </w:r>
    </w:p>
    <w:p w14:paraId="0945CF37">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2969DCF3">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27.1.9投标文件含有采购人不能接受的附加条件的。</w:t>
      </w:r>
    </w:p>
    <w:p w14:paraId="104C78DC">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.1.10</w:t>
      </w:r>
      <w:r>
        <w:rPr>
          <w:rFonts w:hint="eastAsia" w:ascii="宋体" w:hAnsi="宋体" w:eastAsia="宋体" w:cs="宋体"/>
          <w:color w:val="auto"/>
          <w:sz w:val="24"/>
          <w:szCs w:val="24"/>
          <w:highlight w:val="none"/>
        </w:rPr>
        <w:t>投标人不能证明其报价合理性的，评</w:t>
      </w:r>
      <w:r>
        <w:rPr>
          <w:rFonts w:hint="eastAsia" w:ascii="宋体" w:hAnsi="宋体" w:eastAsia="宋体" w:cs="宋体"/>
          <w:color w:val="auto"/>
          <w:sz w:val="24"/>
          <w:szCs w:val="24"/>
          <w:highlight w:val="none"/>
          <w:lang w:val="en-US" w:eastAsia="zh-CN"/>
        </w:rPr>
        <w:t>标</w:t>
      </w:r>
      <w:r>
        <w:rPr>
          <w:rFonts w:hint="eastAsia" w:ascii="宋体" w:hAnsi="宋体" w:eastAsia="宋体" w:cs="宋体"/>
          <w:color w:val="auto"/>
          <w:sz w:val="24"/>
          <w:szCs w:val="24"/>
          <w:highlight w:val="none"/>
        </w:rPr>
        <w:t>委员会应当将其作为无效投标处理。</w:t>
      </w:r>
    </w:p>
    <w:p w14:paraId="557ECE83">
      <w:pPr>
        <w:pStyle w:val="13"/>
        <w:spacing w:beforeAutospacing="0" w:afterAutospacing="0" w:line="0" w:lineRule="atLeast"/>
        <w:ind w:firstLine="480"/>
        <w:jc w:val="both"/>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（一）评审过程中出现下列情形之一的，评标委员会应当启动异常低价投标审查程序：</w:t>
      </w:r>
    </w:p>
    <w:p w14:paraId="7F0F9B1C">
      <w:pPr>
        <w:pStyle w:val="13"/>
        <w:spacing w:beforeAutospacing="0" w:afterAutospacing="0" w:line="0" w:lineRule="atLeast"/>
        <w:ind w:firstLine="480"/>
        <w:jc w:val="both"/>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1.投标报价低于采购项目预算50%的，即投标报价&lt;采购项目预算×50%；</w:t>
      </w:r>
    </w:p>
    <w:p w14:paraId="00631939">
      <w:pPr>
        <w:pStyle w:val="13"/>
        <w:spacing w:beforeAutospacing="0" w:afterAutospacing="0" w:line="0" w:lineRule="atLeast"/>
        <w:ind w:firstLine="480"/>
        <w:jc w:val="both"/>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2.投标报价低于采购项目最高限价45%的，即投标报价&lt;采购项目最高限价×45%；</w:t>
      </w:r>
    </w:p>
    <w:p w14:paraId="1A723813">
      <w:pPr>
        <w:pStyle w:val="13"/>
        <w:spacing w:beforeAutospacing="0" w:afterAutospacing="0" w:line="0" w:lineRule="atLeast"/>
        <w:ind w:firstLine="480"/>
        <w:jc w:val="both"/>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3.评标委员会认定的供应商报价过低、有可能影响产品质量或者不能诚信履约的其他情形。</w:t>
      </w:r>
    </w:p>
    <w:p w14:paraId="249BA3A7">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000000"/>
          <w:kern w:val="0"/>
          <w:sz w:val="24"/>
          <w:szCs w:val="24"/>
          <w:highlight w:val="none"/>
          <w:lang w:val="en-US" w:eastAsia="zh-CN" w:bidi="ar-SA"/>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p>
    <w:p w14:paraId="05FB342D">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27.1.11 本项目采购产品被财政部、</w:t>
      </w:r>
      <w:r>
        <w:rPr>
          <w:rFonts w:hint="eastAsia" w:ascii="宋体" w:hAnsi="宋体" w:eastAsia="宋体" w:cs="宋体"/>
          <w:color w:val="auto"/>
          <w:sz w:val="24"/>
          <w:szCs w:val="24"/>
          <w:highlight w:val="none"/>
          <w:lang w:eastAsia="zh-CN"/>
        </w:rPr>
        <w:t>国家发展改革委</w:t>
      </w:r>
      <w:r>
        <w:rPr>
          <w:rFonts w:hint="eastAsia" w:ascii="宋体" w:hAnsi="宋体" w:eastAsia="宋体" w:cs="宋体"/>
          <w:color w:val="auto"/>
          <w:sz w:val="24"/>
          <w:szCs w:val="24"/>
          <w:highlight w:val="none"/>
        </w:rPr>
        <w:t>、生态环境部等列入“节能产品品目清单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216B70E0">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27.1.12 投标文件未按照招标文件要求加盖CA电子公章的。</w:t>
      </w:r>
    </w:p>
    <w:p w14:paraId="016BA060">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27.1.13其他法律、法规及本招标文件规定的属无效投标的情形。</w:t>
      </w:r>
    </w:p>
    <w:p w14:paraId="5E0EC0A4">
      <w:pPr>
        <w:pStyle w:val="13"/>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27.2废标条款</w:t>
      </w:r>
    </w:p>
    <w:p w14:paraId="7869739D">
      <w:pPr>
        <w:pStyle w:val="13"/>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27.2.1符合专业条件的供应商或者对招标文件作实质响应的供应商不足三家的。27.2.2出现影响采购公正的违法、违规行为的。</w:t>
      </w:r>
    </w:p>
    <w:p w14:paraId="0F4E4346">
      <w:pPr>
        <w:pStyle w:val="13"/>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27.2.3因重大变故，采购任务取消的。</w:t>
      </w:r>
    </w:p>
    <w:p w14:paraId="1C61E063">
      <w:pPr>
        <w:pStyle w:val="13"/>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27.2.4评标委员会认定招标文件存在歧义、重大缺陷导致评审工作无法进行。</w:t>
      </w:r>
    </w:p>
    <w:p w14:paraId="5D57E83C">
      <w:pPr>
        <w:pStyle w:val="13"/>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27.2.5 因苏采云</w:t>
      </w:r>
      <w:r>
        <w:rPr>
          <w:rFonts w:hint="eastAsia" w:ascii="宋体" w:hAnsi="宋体" w:eastAsia="宋体" w:cs="宋体"/>
          <w:color w:val="auto"/>
          <w:sz w:val="24"/>
          <w:szCs w:val="24"/>
          <w:highlight w:val="none"/>
          <w:lang w:eastAsia="zh-CN"/>
        </w:rPr>
        <w:t>系统故障</w:t>
      </w:r>
      <w:r>
        <w:rPr>
          <w:rFonts w:hint="eastAsia" w:ascii="宋体" w:hAnsi="宋体" w:eastAsia="宋体" w:cs="宋体"/>
          <w:color w:val="auto"/>
          <w:sz w:val="24"/>
          <w:szCs w:val="24"/>
          <w:highlight w:val="none"/>
        </w:rPr>
        <w:t>原因造成开标不成功的。</w:t>
      </w:r>
    </w:p>
    <w:p w14:paraId="7F0729A6">
      <w:pPr>
        <w:pStyle w:val="13"/>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 投标截止时间结束后参加投标的供应商不足三家的处理：</w:t>
      </w:r>
    </w:p>
    <w:p w14:paraId="3BCD4731">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27.3.1如出现投标截止时间结束后参加投标的供应商或者</w:t>
      </w:r>
      <w:r>
        <w:rPr>
          <w:rFonts w:hint="eastAsia" w:ascii="宋体" w:hAnsi="宋体" w:eastAsia="宋体" w:cs="宋体"/>
          <w:color w:val="000000"/>
          <w:sz w:val="24"/>
          <w:szCs w:val="24"/>
          <w:highlight w:val="none"/>
        </w:rPr>
        <w:t>在评标期间对招标文件做出实质响应的供应商不足三家情况，按政府采购相关规定执行。</w:t>
      </w:r>
    </w:p>
    <w:p w14:paraId="1CEF311A">
      <w:pPr>
        <w:pStyle w:val="13"/>
        <w:keepNext/>
        <w:keepLines/>
        <w:spacing w:before="145" w:beforeAutospacing="0" w:after="145" w:afterAutospacing="0" w:line="360" w:lineRule="auto"/>
        <w:ind w:firstLine="482"/>
        <w:jc w:val="both"/>
        <w:rPr>
          <w:rFonts w:hint="eastAsia" w:ascii="宋体" w:hAnsi="宋体" w:eastAsia="宋体" w:cs="宋体"/>
          <w:sz w:val="24"/>
          <w:szCs w:val="24"/>
          <w:highlight w:val="none"/>
        </w:rPr>
      </w:pPr>
      <w:bookmarkStart w:id="155" w:name="_Toc120614219"/>
      <w:r>
        <w:rPr>
          <w:rFonts w:hint="eastAsia" w:ascii="宋体" w:hAnsi="宋体" w:eastAsia="宋体" w:cs="宋体"/>
          <w:b/>
          <w:color w:val="000000"/>
          <w:sz w:val="24"/>
          <w:szCs w:val="24"/>
          <w:highlight w:val="none"/>
        </w:rPr>
        <w:t>六、定标</w:t>
      </w:r>
      <w:bookmarkEnd w:id="155"/>
    </w:p>
    <w:p w14:paraId="07295C49">
      <w:pPr>
        <w:pStyle w:val="13"/>
        <w:keepNext/>
        <w:keepLines/>
        <w:spacing w:beforeAutospacing="0" w:afterAutospacing="0"/>
        <w:ind w:firstLine="600"/>
        <w:jc w:val="both"/>
        <w:rPr>
          <w:rFonts w:hint="eastAsia" w:ascii="宋体" w:hAnsi="宋体" w:eastAsia="宋体" w:cs="宋体"/>
          <w:sz w:val="24"/>
          <w:szCs w:val="24"/>
          <w:highlight w:val="none"/>
        </w:rPr>
      </w:pPr>
      <w:bookmarkStart w:id="156" w:name="_Toc20823310"/>
      <w:bookmarkStart w:id="157" w:name="_Toc16938554"/>
      <w:bookmarkStart w:id="158" w:name="_Toc513029238"/>
      <w:r>
        <w:rPr>
          <w:rFonts w:hint="eastAsia" w:ascii="宋体" w:hAnsi="宋体" w:eastAsia="宋体" w:cs="宋体"/>
          <w:color w:val="000000"/>
          <w:sz w:val="24"/>
          <w:szCs w:val="24"/>
          <w:highlight w:val="none"/>
        </w:rPr>
        <w:t>28、</w:t>
      </w:r>
      <w:bookmarkEnd w:id="156"/>
      <w:r>
        <w:rPr>
          <w:rFonts w:hint="eastAsia" w:ascii="宋体" w:hAnsi="宋体" w:eastAsia="宋体" w:cs="宋体"/>
          <w:color w:val="000000"/>
          <w:sz w:val="24"/>
          <w:szCs w:val="24"/>
          <w:highlight w:val="none"/>
        </w:rPr>
        <w:t>确定</w:t>
      </w:r>
      <w:bookmarkEnd w:id="157"/>
      <w:bookmarkEnd w:id="158"/>
      <w:r>
        <w:rPr>
          <w:rFonts w:hint="eastAsia" w:ascii="宋体" w:hAnsi="宋体" w:eastAsia="宋体" w:cs="宋体"/>
          <w:color w:val="000000"/>
          <w:sz w:val="24"/>
          <w:szCs w:val="24"/>
          <w:highlight w:val="none"/>
        </w:rPr>
        <w:t>中标单位</w:t>
      </w:r>
    </w:p>
    <w:p w14:paraId="428DAAE5">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28.1中标候选人的选取原则和数量见招标文件第五章规定。 </w:t>
      </w:r>
    </w:p>
    <w:p w14:paraId="453400CA">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28.2 采购人应根据评委会推荐的中标候选人确定中标人。</w:t>
      </w:r>
    </w:p>
    <w:p w14:paraId="528DC723">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 </w:t>
      </w:r>
      <w:r>
        <w:rPr>
          <w:rFonts w:hint="eastAsia" w:ascii="宋体" w:hAnsi="宋体" w:eastAsia="宋体" w:cs="宋体"/>
          <w:color w:val="000000"/>
          <w:sz w:val="24"/>
          <w:szCs w:val="24"/>
          <w:highlight w:val="none"/>
          <w:lang w:eastAsia="zh-CN"/>
        </w:rPr>
        <w:t>采购人或采购代理机构</w:t>
      </w:r>
      <w:r>
        <w:rPr>
          <w:rFonts w:hint="eastAsia" w:ascii="宋体" w:hAnsi="宋体" w:eastAsia="宋体" w:cs="宋体"/>
          <w:color w:val="000000"/>
          <w:sz w:val="24"/>
          <w:szCs w:val="24"/>
          <w:highlight w:val="none"/>
        </w:rPr>
        <w:t>将在</w:t>
      </w:r>
      <w:r>
        <w:rPr>
          <w:rFonts w:hint="eastAsia" w:ascii="宋体" w:hAnsi="宋体" w:eastAsia="宋体" w:cs="宋体"/>
          <w:color w:val="000000"/>
          <w:kern w:val="0"/>
          <w:sz w:val="24"/>
          <w:szCs w:val="24"/>
          <w:highlight w:val="none"/>
          <w:lang w:val="en-US" w:eastAsia="zh-CN" w:bidi="ar-SA"/>
        </w:rPr>
        <w:t>中国政府采购网”“</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盐城市政府采购网</w:t>
      </w:r>
      <w:r>
        <w:rPr>
          <w:rFonts w:hint="eastAsia" w:ascii="宋体" w:hAnsi="宋体" w:eastAsia="宋体" w:cs="宋体"/>
          <w:i w:val="0"/>
          <w:iCs w:val="0"/>
          <w:caps w:val="0"/>
          <w:color w:val="333333"/>
          <w:spacing w:val="0"/>
          <w:sz w:val="24"/>
          <w:szCs w:val="24"/>
          <w:highlight w:val="none"/>
          <w:shd w:val="clear" w:fill="FFFFFF"/>
          <w:lang w:val="en-US" w:eastAsia="zh-CN"/>
        </w:rPr>
        <w:t>”</w:t>
      </w:r>
      <w:r>
        <w:rPr>
          <w:rFonts w:hint="eastAsia" w:ascii="宋体" w:hAnsi="宋体" w:eastAsia="宋体" w:cs="宋体"/>
          <w:color w:val="000000"/>
          <w:sz w:val="24"/>
          <w:szCs w:val="24"/>
          <w:highlight w:val="none"/>
        </w:rPr>
        <w:t>发布中标公告，公告期限为1个工作日。</w:t>
      </w:r>
    </w:p>
    <w:p w14:paraId="522CBB13">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28.4  若有充分证据证明，中标人出现下列情况之一的，一经查实，将被取消中标资格：</w:t>
      </w:r>
    </w:p>
    <w:p w14:paraId="5BCD0A3D">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28.4.1提供虚假材料谋取中标的。</w:t>
      </w:r>
    </w:p>
    <w:p w14:paraId="2C63A9CF">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28.4.2向采购人、</w:t>
      </w:r>
      <w:r>
        <w:rPr>
          <w:rFonts w:hint="eastAsia" w:ascii="宋体" w:hAnsi="宋体" w:eastAsia="宋体" w:cs="宋体"/>
          <w:color w:val="000000"/>
          <w:sz w:val="24"/>
          <w:szCs w:val="24"/>
          <w:highlight w:val="none"/>
          <w:lang w:eastAsia="zh-CN"/>
        </w:rPr>
        <w:t>采购人或采购代理机构</w:t>
      </w:r>
      <w:r>
        <w:rPr>
          <w:rFonts w:hint="eastAsia" w:ascii="宋体" w:hAnsi="宋体" w:eastAsia="宋体" w:cs="宋体"/>
          <w:color w:val="000000"/>
          <w:sz w:val="24"/>
          <w:szCs w:val="24"/>
          <w:highlight w:val="none"/>
        </w:rPr>
        <w:t>行贿或者提供其他不正当利益的。</w:t>
      </w:r>
    </w:p>
    <w:p w14:paraId="10106939">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28.4.3属于本文件规定的无效条件，但在评标过程中又未被评委会发现的。</w:t>
      </w:r>
    </w:p>
    <w:p w14:paraId="4325AFBA">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28.4.4与采购人或者其他供应商恶意串通的。</w:t>
      </w:r>
    </w:p>
    <w:p w14:paraId="7C3CA691">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28.4.5采取不正当手段诋毁、排挤其他供应商的。</w:t>
      </w:r>
    </w:p>
    <w:p w14:paraId="0EDA96B5">
      <w:pPr>
        <w:pStyle w:val="13"/>
        <w:spacing w:beforeAutospacing="0" w:afterAutospacing="0" w:line="0" w:lineRule="atLeast"/>
        <w:ind w:firstLine="480"/>
        <w:jc w:val="both"/>
        <w:rPr>
          <w:rFonts w:hint="eastAsia" w:ascii="宋体" w:hAnsi="宋体" w:eastAsia="宋体" w:cs="宋体"/>
          <w:sz w:val="24"/>
          <w:szCs w:val="24"/>
          <w:highlight w:val="none"/>
        </w:rPr>
      </w:pPr>
      <w:bookmarkStart w:id="159" w:name="_Toc200451960"/>
      <w:r>
        <w:rPr>
          <w:rFonts w:hint="eastAsia" w:ascii="宋体" w:hAnsi="宋体" w:eastAsia="宋体" w:cs="宋体"/>
          <w:color w:val="000000"/>
          <w:sz w:val="24"/>
          <w:szCs w:val="24"/>
          <w:highlight w:val="none"/>
        </w:rPr>
        <w:t>28.5. 有下列情形之一的，视为投标人串通投标，投标无效：</w:t>
      </w:r>
      <w:bookmarkEnd w:id="159"/>
    </w:p>
    <w:p w14:paraId="00D6B4B7">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28.5.1不同投标人的投标文件由同一单位或者个人编制；</w:t>
      </w:r>
    </w:p>
    <w:p w14:paraId="6805FB16">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28.5.2不同投标人委托同一单位或者个人办理投标事宜；</w:t>
      </w:r>
    </w:p>
    <w:p w14:paraId="4E2AF6CC">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28.5.3 不同投标人的投标文件载明的项目管理成员或者联系人员为同一人；</w:t>
      </w:r>
    </w:p>
    <w:p w14:paraId="4661EAF5">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28.5.4不同投标人的投标文件异常一致或者投标报价呈规律性差异；</w:t>
      </w:r>
    </w:p>
    <w:p w14:paraId="0B0F91CA">
      <w:pPr>
        <w:pStyle w:val="13"/>
        <w:keepNext/>
        <w:keepLines/>
        <w:spacing w:beforeAutospacing="0" w:afterAutospacing="0"/>
        <w:ind w:firstLine="60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29、质疑处理</w:t>
      </w:r>
    </w:p>
    <w:p w14:paraId="0AD7C269">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29.1 提出质疑的供应商应当是参与所质疑项目采购活动的供应商。潜在供应商依法获取其可质疑的采购文件的，可以对采购文件提出质疑。</w:t>
      </w:r>
    </w:p>
    <w:p w14:paraId="5EDF8CC2">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000000"/>
          <w:sz w:val="24"/>
          <w:szCs w:val="24"/>
          <w:highlight w:val="none"/>
          <w:lang w:eastAsia="zh-CN"/>
        </w:rPr>
        <w:t>采购人或采购代理机构</w:t>
      </w:r>
      <w:r>
        <w:rPr>
          <w:rFonts w:hint="eastAsia" w:ascii="宋体" w:hAnsi="宋体" w:eastAsia="宋体" w:cs="宋体"/>
          <w:color w:val="000000"/>
          <w:sz w:val="24"/>
          <w:szCs w:val="24"/>
          <w:highlight w:val="none"/>
        </w:rPr>
        <w:t>或采购人提出质疑。上述应知其权益受到损害之日，是指：</w:t>
      </w:r>
    </w:p>
    <w:p w14:paraId="6C3AA07B">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29.2.1对可以质疑的采购文件提出质疑的，为收到采购文件之日或者采购文件公告期限届满之日；</w:t>
      </w:r>
      <w:r>
        <w:rPr>
          <w:rFonts w:hint="eastAsia" w:ascii="宋体" w:hAnsi="宋体" w:eastAsia="宋体" w:cs="宋体"/>
          <w:color w:val="000000"/>
          <w:sz w:val="24"/>
          <w:szCs w:val="24"/>
          <w:highlight w:val="none"/>
        </w:rPr>
        <w:br w:type="textWrapping"/>
      </w:r>
      <w:r>
        <w:rPr>
          <w:rFonts w:hint="eastAsia" w:ascii="宋体" w:hAnsi="宋体" w:eastAsia="宋体" w:cs="宋体"/>
          <w:color w:val="000000"/>
          <w:sz w:val="24"/>
          <w:szCs w:val="24"/>
          <w:highlight w:val="none"/>
        </w:rPr>
        <w:t>   29.2.2对采购过程提出质疑的，为各采购程序环节结束之日；</w:t>
      </w:r>
      <w:r>
        <w:rPr>
          <w:rFonts w:hint="eastAsia" w:ascii="宋体" w:hAnsi="宋体" w:eastAsia="宋体" w:cs="宋体"/>
          <w:color w:val="000000"/>
          <w:sz w:val="24"/>
          <w:szCs w:val="24"/>
          <w:highlight w:val="none"/>
        </w:rPr>
        <w:br w:type="textWrapping"/>
      </w:r>
      <w:r>
        <w:rPr>
          <w:rFonts w:hint="eastAsia" w:ascii="宋体" w:hAnsi="宋体" w:eastAsia="宋体" w:cs="宋体"/>
          <w:color w:val="000000"/>
          <w:sz w:val="24"/>
          <w:szCs w:val="24"/>
          <w:highlight w:val="none"/>
        </w:rPr>
        <w:t>   29.2.3对中标或者成交结果提出质疑的，为中标或者成交结果公告期限届满之日。</w:t>
      </w:r>
    </w:p>
    <w:p w14:paraId="66D396C3">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采购人或采购代理机构</w:t>
      </w:r>
      <w:r>
        <w:rPr>
          <w:rFonts w:hint="eastAsia" w:ascii="宋体" w:hAnsi="宋体" w:eastAsia="宋体" w:cs="宋体"/>
          <w:color w:val="000000"/>
          <w:sz w:val="24"/>
          <w:szCs w:val="24"/>
          <w:highlight w:val="none"/>
        </w:rPr>
        <w:t>、采购人将只对供应商第一次质疑作出答复。</w:t>
      </w:r>
    </w:p>
    <w:p w14:paraId="2C03BE04">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29.3质疑函必须按照本招标文件中《质疑函范本》要求的格式和内容进行填写。供应商如组成联合体参加投标，则《质疑函范本》中要求签字、盖章、加盖公章之处，联合体各方均须按要求签字、盖章、加盖公章。</w:t>
      </w:r>
    </w:p>
    <w:p w14:paraId="4AB97750">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29.4 供应</w:t>
      </w:r>
      <w:r>
        <w:rPr>
          <w:rFonts w:hint="eastAsia" w:ascii="宋体" w:hAnsi="宋体" w:eastAsia="宋体" w:cs="宋体"/>
          <w:color w:val="auto"/>
          <w:sz w:val="24"/>
          <w:szCs w:val="24"/>
          <w:highlight w:val="none"/>
        </w:rPr>
        <w:t>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color w:val="auto"/>
          <w:sz w:val="24"/>
          <w:szCs w:val="24"/>
          <w:highlight w:val="none"/>
          <w:lang w:eastAsia="zh-CN"/>
        </w:rPr>
        <w:t>采购人或采购代理机构</w:t>
      </w:r>
      <w:r>
        <w:rPr>
          <w:rFonts w:hint="eastAsia" w:ascii="宋体" w:hAnsi="宋体" w:eastAsia="宋体" w:cs="宋体"/>
          <w:color w:val="auto"/>
          <w:sz w:val="24"/>
          <w:szCs w:val="24"/>
          <w:highlight w:val="none"/>
        </w:rPr>
        <w:t>提出，由</w:t>
      </w:r>
      <w:r>
        <w:rPr>
          <w:rFonts w:hint="eastAsia" w:ascii="宋体" w:hAnsi="宋体" w:eastAsia="宋体" w:cs="宋体"/>
          <w:color w:val="auto"/>
          <w:sz w:val="24"/>
          <w:szCs w:val="24"/>
          <w:highlight w:val="none"/>
          <w:lang w:eastAsia="zh-CN"/>
        </w:rPr>
        <w:t>采购人或采购代理机构</w:t>
      </w:r>
      <w:r>
        <w:rPr>
          <w:rFonts w:hint="eastAsia" w:ascii="宋体" w:hAnsi="宋体" w:eastAsia="宋体" w:cs="宋体"/>
          <w:color w:val="auto"/>
          <w:sz w:val="24"/>
          <w:szCs w:val="24"/>
          <w:highlight w:val="none"/>
        </w:rPr>
        <w:t>负责答复。</w:t>
      </w:r>
    </w:p>
    <w:p w14:paraId="649DEC7F">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采购人及</w:t>
      </w:r>
      <w:r>
        <w:rPr>
          <w:rFonts w:hint="eastAsia" w:ascii="宋体" w:hAnsi="宋体" w:eastAsia="宋体" w:cs="宋体"/>
          <w:color w:val="auto"/>
          <w:sz w:val="24"/>
          <w:szCs w:val="24"/>
          <w:highlight w:val="none"/>
          <w:lang w:eastAsia="zh-CN"/>
        </w:rPr>
        <w:t>采购人或采购代理机构</w:t>
      </w:r>
      <w:r>
        <w:rPr>
          <w:rFonts w:hint="eastAsia" w:ascii="宋体" w:hAnsi="宋体" w:eastAsia="宋体" w:cs="宋体"/>
          <w:color w:val="auto"/>
          <w:sz w:val="24"/>
          <w:szCs w:val="24"/>
          <w:highlight w:val="none"/>
        </w:rPr>
        <w:t>只接收以纸质原件形式送达的质疑,采购人和</w:t>
      </w:r>
      <w:r>
        <w:rPr>
          <w:rFonts w:hint="eastAsia" w:ascii="宋体" w:hAnsi="宋体" w:eastAsia="宋体" w:cs="宋体"/>
          <w:color w:val="auto"/>
          <w:sz w:val="24"/>
          <w:szCs w:val="24"/>
          <w:highlight w:val="none"/>
          <w:lang w:eastAsia="zh-CN"/>
        </w:rPr>
        <w:t>采购人或采购代理机构</w:t>
      </w:r>
      <w:r>
        <w:rPr>
          <w:rFonts w:hint="eastAsia" w:ascii="宋体" w:hAnsi="宋体" w:eastAsia="宋体" w:cs="宋体"/>
          <w:color w:val="auto"/>
          <w:sz w:val="24"/>
          <w:szCs w:val="24"/>
          <w:highlight w:val="none"/>
        </w:rPr>
        <w:t>不接受未填写快递运单的快件。质疑接收部门为</w:t>
      </w:r>
      <w:r>
        <w:rPr>
          <w:rFonts w:hint="eastAsia" w:ascii="宋体" w:hAnsi="宋体" w:eastAsia="宋体" w:cs="宋体"/>
          <w:color w:val="auto"/>
          <w:sz w:val="24"/>
          <w:szCs w:val="24"/>
          <w:highlight w:val="none"/>
          <w:lang w:val="en-US" w:eastAsia="zh-CN"/>
        </w:rPr>
        <w:t>公共资源交易中心业务</w:t>
      </w:r>
      <w:r>
        <w:rPr>
          <w:rFonts w:hint="eastAsia" w:ascii="宋体" w:hAnsi="宋体" w:eastAsia="宋体" w:cs="宋体"/>
          <w:color w:val="auto"/>
          <w:sz w:val="24"/>
          <w:szCs w:val="24"/>
          <w:highlight w:val="none"/>
        </w:rPr>
        <w:t>受理处，联系地址：盐城市府西路1号市公共资源交易中心522，联系电话：0515-86665052。</w:t>
      </w:r>
    </w:p>
    <w:p w14:paraId="2FED3D9F">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29.5 以下情形的质疑不予受理</w:t>
      </w:r>
    </w:p>
    <w:p w14:paraId="24A81F8D">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29.5.1 内容不符合《政府采购质疑和投诉办法》第十二条规定的质疑。</w:t>
      </w:r>
    </w:p>
    <w:p w14:paraId="698CEEA0">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29.5.2 超出政府采购法定期限的质疑。</w:t>
      </w:r>
    </w:p>
    <w:p w14:paraId="4C253659">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29.5.3 以传真、电子邮件等方式递交的非原件形式的质疑。</w:t>
      </w:r>
    </w:p>
    <w:p w14:paraId="240C5053">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29.5.4 未参加投标活动的供应商或在投标活动中自身权益未受到损害的供应商所提出的质疑。</w:t>
      </w:r>
    </w:p>
    <w:p w14:paraId="5FF18D18">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29.5.5供应商组成联合体参加投标，联合体中任何一方或多方未按要求签字、盖章、加盖公章的质疑。</w:t>
      </w:r>
    </w:p>
    <w:p w14:paraId="50090B5A">
      <w:pPr>
        <w:pStyle w:val="13"/>
        <w:spacing w:beforeAutospacing="0" w:afterAutospacing="0" w:line="0" w:lineRule="atLeast"/>
        <w:ind w:firstLine="468"/>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29.6  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采购人或采购代理机构</w:t>
      </w:r>
      <w:r>
        <w:rPr>
          <w:rFonts w:hint="eastAsia" w:ascii="宋体" w:hAnsi="宋体" w:eastAsia="宋体" w:cs="宋体"/>
          <w:color w:val="000000"/>
          <w:sz w:val="24"/>
          <w:szCs w:val="24"/>
          <w:highlight w:val="none"/>
        </w:rPr>
        <w:t>有权依据政府采购的有关规定，报请政府采购监管部门对该供应商进行相应的行政处罚和记录该供应商的失信信息。</w:t>
      </w:r>
    </w:p>
    <w:p w14:paraId="65B740CC">
      <w:pPr>
        <w:pStyle w:val="13"/>
        <w:keepNext/>
        <w:keepLines/>
        <w:spacing w:beforeAutospacing="0" w:afterAutospacing="0"/>
        <w:ind w:firstLine="60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30、中标通知书</w:t>
      </w:r>
    </w:p>
    <w:p w14:paraId="6DF3F15D">
      <w:pPr>
        <w:pStyle w:val="13"/>
        <w:spacing w:beforeAutospacing="0" w:afterAutospacing="0" w:line="0" w:lineRule="atLeast"/>
        <w:ind w:firstLine="60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30.l</w:t>
      </w:r>
      <w:r>
        <w:rPr>
          <w:rFonts w:hint="eastAsia" w:ascii="宋体" w:hAnsi="宋体" w:eastAsia="宋体" w:cs="宋体"/>
          <w:b/>
          <w:color w:val="000000"/>
          <w:sz w:val="24"/>
          <w:szCs w:val="24"/>
          <w:highlight w:val="none"/>
        </w:rPr>
        <w:t> </w:t>
      </w:r>
      <w:r>
        <w:rPr>
          <w:rFonts w:hint="eastAsia" w:ascii="宋体" w:hAnsi="宋体" w:eastAsia="宋体" w:cs="宋体"/>
          <w:color w:val="000000"/>
          <w:sz w:val="24"/>
          <w:szCs w:val="24"/>
          <w:highlight w:val="none"/>
        </w:rPr>
        <w:t>中标结果确定后，</w:t>
      </w:r>
      <w:r>
        <w:rPr>
          <w:rFonts w:hint="eastAsia" w:ascii="宋体" w:hAnsi="宋体" w:eastAsia="宋体" w:cs="宋体"/>
          <w:color w:val="000000"/>
          <w:sz w:val="24"/>
          <w:szCs w:val="24"/>
          <w:highlight w:val="none"/>
          <w:lang w:eastAsia="zh-CN"/>
        </w:rPr>
        <w:t>采购人或采购代理机构</w:t>
      </w:r>
      <w:r>
        <w:rPr>
          <w:rFonts w:hint="eastAsia" w:ascii="宋体" w:hAnsi="宋体" w:eastAsia="宋体" w:cs="宋体"/>
          <w:color w:val="000000"/>
          <w:sz w:val="24"/>
          <w:szCs w:val="24"/>
          <w:highlight w:val="none"/>
        </w:rPr>
        <w:t>将向中标人发出中标通知书。请中标人在中标结果公告届满之日起30日内,使用CA数字证书</w:t>
      </w:r>
      <w:r>
        <w:rPr>
          <w:rFonts w:hint="eastAsia" w:ascii="宋体" w:hAnsi="宋体" w:eastAsia="宋体" w:cs="宋体"/>
          <w:color w:val="auto"/>
          <w:sz w:val="24"/>
          <w:szCs w:val="24"/>
          <w:highlight w:val="none"/>
        </w:rPr>
        <w:t>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sz w:val="24"/>
          <w:szCs w:val="24"/>
          <w:highlight w:val="none"/>
        </w:rPr>
        <w:t>标人自行承担。</w:t>
      </w:r>
    </w:p>
    <w:p w14:paraId="33898990">
      <w:pPr>
        <w:pStyle w:val="13"/>
        <w:spacing w:beforeAutospacing="0" w:afterAutospacing="0" w:line="0" w:lineRule="atLeast"/>
        <w:ind w:firstLine="60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30.2中标通知书将是合同的一个组成部分。对采购人和中标供应商均具有法律效力。中标通知书发出后，采购人改变中标结果的，或者中标供应商放弃中标项目的，应当依法承担法律责任。</w:t>
      </w:r>
    </w:p>
    <w:p w14:paraId="55B4097A">
      <w:pPr>
        <w:pStyle w:val="13"/>
        <w:keepNext/>
        <w:keepLines/>
        <w:spacing w:before="145" w:beforeAutospacing="0" w:after="145" w:afterAutospacing="0" w:line="360" w:lineRule="auto"/>
        <w:jc w:val="both"/>
        <w:rPr>
          <w:rFonts w:hint="eastAsia" w:ascii="宋体" w:hAnsi="宋体" w:eastAsia="宋体" w:cs="宋体"/>
          <w:sz w:val="24"/>
          <w:szCs w:val="24"/>
          <w:highlight w:val="none"/>
        </w:rPr>
      </w:pPr>
      <w:bookmarkStart w:id="160" w:name="_Toc513029236"/>
      <w:bookmarkStart w:id="161" w:name="_Toc16938552"/>
      <w:bookmarkStart w:id="162" w:name="_Toc120614220"/>
      <w:bookmarkStart w:id="163" w:name="_Toc20823308"/>
      <w:r>
        <w:rPr>
          <w:rFonts w:hint="eastAsia" w:ascii="宋体" w:hAnsi="宋体" w:eastAsia="宋体" w:cs="宋体"/>
          <w:b/>
          <w:color w:val="000000"/>
          <w:sz w:val="24"/>
          <w:szCs w:val="24"/>
          <w:highlight w:val="none"/>
        </w:rPr>
        <w:t>七、授予合同</w:t>
      </w:r>
      <w:bookmarkEnd w:id="160"/>
      <w:bookmarkEnd w:id="161"/>
      <w:bookmarkEnd w:id="162"/>
      <w:bookmarkEnd w:id="163"/>
    </w:p>
    <w:p w14:paraId="5CF704D9">
      <w:pPr>
        <w:pStyle w:val="13"/>
        <w:keepNext/>
        <w:keepLines/>
        <w:spacing w:beforeAutospacing="0" w:afterAutospacing="0"/>
        <w:ind w:firstLine="600"/>
        <w:jc w:val="both"/>
        <w:rPr>
          <w:rFonts w:hint="eastAsia" w:ascii="宋体" w:hAnsi="宋体" w:eastAsia="宋体" w:cs="宋体"/>
          <w:sz w:val="24"/>
          <w:szCs w:val="24"/>
          <w:highlight w:val="none"/>
        </w:rPr>
      </w:pPr>
      <w:bookmarkStart w:id="164" w:name="_Toc513029237"/>
      <w:bookmarkStart w:id="165" w:name="_Toc20823309"/>
      <w:bookmarkStart w:id="166" w:name="_Toc16938553"/>
      <w:r>
        <w:rPr>
          <w:rFonts w:hint="eastAsia" w:ascii="宋体" w:hAnsi="宋体" w:eastAsia="宋体" w:cs="宋体"/>
          <w:color w:val="000000"/>
          <w:sz w:val="24"/>
          <w:szCs w:val="24"/>
          <w:highlight w:val="none"/>
        </w:rPr>
        <w:t>31. 签订合同</w:t>
      </w:r>
      <w:bookmarkEnd w:id="164"/>
      <w:bookmarkEnd w:id="165"/>
      <w:bookmarkEnd w:id="166"/>
    </w:p>
    <w:p w14:paraId="31F905FB">
      <w:pPr>
        <w:pStyle w:val="13"/>
        <w:spacing w:beforeAutospacing="0" w:afterAutospacing="0" w:line="0" w:lineRule="atLeast"/>
        <w:ind w:firstLine="60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31.l中标人应当在中标通知书发出之日起三十日内，按照招标文件确定的事项与采购人签订政府采购合同。</w:t>
      </w:r>
    </w:p>
    <w:p w14:paraId="06AB8552">
      <w:pPr>
        <w:pStyle w:val="13"/>
        <w:spacing w:beforeAutospacing="0" w:afterAutospacing="0" w:line="0" w:lineRule="atLeast"/>
        <w:ind w:firstLine="60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31.2招标文件、中标人的投标文件及招标过程中有关澄清、承诺文件均应作为合同附件。</w:t>
      </w:r>
    </w:p>
    <w:p w14:paraId="3B217CE8">
      <w:pPr>
        <w:pStyle w:val="13"/>
        <w:spacing w:beforeAutospacing="0" w:afterAutospacing="0" w:line="0" w:lineRule="atLeast"/>
        <w:ind w:firstLine="600"/>
        <w:jc w:val="both"/>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rPr>
        <w:t>31.3 签订合同后，</w:t>
      </w:r>
      <w:r>
        <w:rPr>
          <w:rFonts w:hint="eastAsia" w:ascii="宋体" w:hAnsi="宋体" w:eastAsia="宋体" w:cs="宋体"/>
          <w:i/>
          <w:color w:val="000000"/>
          <w:sz w:val="24"/>
          <w:szCs w:val="24"/>
          <w:highlight w:val="none"/>
          <w:u w:val="single"/>
        </w:rPr>
        <w:t>中标人不得将合同标的进行转包</w:t>
      </w:r>
      <w:r>
        <w:rPr>
          <w:rFonts w:hint="eastAsia" w:ascii="宋体" w:hAnsi="宋体" w:eastAsia="宋体" w:cs="宋体"/>
          <w:color w:val="000000"/>
          <w:sz w:val="24"/>
          <w:szCs w:val="24"/>
          <w:highlight w:val="none"/>
        </w:rPr>
        <w:t>。未经采购人同意，中标人也不得采用分包的形式履行合同，否则采购人有权终止合同。转包或分包造成采</w:t>
      </w:r>
      <w:r>
        <w:rPr>
          <w:rFonts w:hint="eastAsia" w:ascii="宋体" w:hAnsi="宋体" w:eastAsia="宋体" w:cs="宋体"/>
          <w:color w:val="000000"/>
          <w:sz w:val="24"/>
          <w:szCs w:val="24"/>
          <w:highlight w:val="none"/>
          <w:shd w:val="clear" w:color="auto" w:fill="auto"/>
        </w:rPr>
        <w:t>购人损失的，中标人应承担相应赔偿责任。</w:t>
      </w:r>
    </w:p>
    <w:p w14:paraId="07FD5066">
      <w:pPr>
        <w:pStyle w:val="13"/>
        <w:spacing w:beforeAutospacing="0" w:afterAutospacing="0" w:line="0" w:lineRule="atLeast"/>
        <w:ind w:firstLine="600"/>
        <w:jc w:val="both"/>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rPr>
        <w:t>（备注：项目经办人在发标前应与采购人商定是否允许中标人分包履行合同，确定后该备注删除）</w:t>
      </w:r>
    </w:p>
    <w:p w14:paraId="7809391D">
      <w:pPr>
        <w:pStyle w:val="13"/>
        <w:keepNext/>
        <w:keepLines/>
        <w:spacing w:beforeAutospacing="0" w:afterAutospacing="0"/>
        <w:ind w:firstLine="60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32、货物（包含与货物相关的服务）的追加</w:t>
      </w:r>
    </w:p>
    <w:p w14:paraId="07296D02">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62C2317F">
      <w:pPr>
        <w:pStyle w:val="13"/>
        <w:numPr>
          <w:ilvl w:val="0"/>
          <w:numId w:val="0"/>
        </w:numPr>
        <w:spacing w:beforeAutospacing="0" w:afterAutospacing="0"/>
        <w:ind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33.政府采购政策功能落实</w:t>
      </w:r>
    </w:p>
    <w:p w14:paraId="72020EE5">
      <w:pPr>
        <w:pStyle w:val="13"/>
        <w:keepNext/>
        <w:keepLines/>
        <w:spacing w:beforeAutospacing="0" w:afterAutospacing="0"/>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33.1</w:t>
      </w:r>
      <w:r>
        <w:rPr>
          <w:rFonts w:hint="eastAsia" w:ascii="宋体" w:hAnsi="宋体" w:eastAsia="宋体" w:cs="宋体"/>
          <w:color w:val="auto"/>
          <w:sz w:val="24"/>
          <w:szCs w:val="24"/>
          <w:highlight w:val="none"/>
        </w:rPr>
        <w:t>政府采购</w:t>
      </w:r>
      <w:r>
        <w:rPr>
          <w:rFonts w:hint="eastAsia" w:ascii="宋体" w:hAnsi="宋体" w:eastAsia="宋体" w:cs="宋体"/>
          <w:color w:val="auto"/>
          <w:sz w:val="24"/>
          <w:szCs w:val="24"/>
          <w:highlight w:val="none"/>
          <w:lang w:eastAsia="zh-CN"/>
        </w:rPr>
        <w:t>线上合同信用融资</w:t>
      </w:r>
      <w:r>
        <w:rPr>
          <w:rFonts w:hint="eastAsia" w:ascii="宋体" w:hAnsi="宋体" w:eastAsia="宋体" w:cs="宋体"/>
          <w:color w:val="auto"/>
          <w:sz w:val="24"/>
          <w:szCs w:val="24"/>
          <w:highlight w:val="none"/>
        </w:rPr>
        <w:t>政策</w:t>
      </w:r>
    </w:p>
    <w:p w14:paraId="468219B3">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根据《转发江苏省财政厅 中国人民银行南京分行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关于深入推进政府采购线上合同信用融资工作的通知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江苏省</w:t>
      </w:r>
      <w:r>
        <w:rPr>
          <w:rFonts w:hint="eastAsia" w:ascii="宋体" w:hAnsi="宋体" w:eastAsia="宋体" w:cs="宋体"/>
          <w:color w:val="auto"/>
          <w:sz w:val="24"/>
          <w:szCs w:val="24"/>
          <w:highlight w:val="none"/>
        </w:rPr>
        <w:t>政府采购网“政采贷”栏目）申请贷款，相关金融机构按照双方自愿的原则提供便捷、优惠的贷款服务；具体操作流程请参考苏采云系统中操作手册。 </w:t>
      </w:r>
    </w:p>
    <w:p w14:paraId="2DCB4F9F">
      <w:pPr>
        <w:tabs>
          <w:tab w:val="left" w:pos="1381"/>
        </w:tabs>
        <w:spacing w:line="480" w:lineRule="exact"/>
        <w:ind w:firstLine="482"/>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33.2进口产品</w:t>
      </w:r>
    </w:p>
    <w:p w14:paraId="5B3CB82A">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进口产品</w:t>
      </w:r>
      <w:r>
        <w:rPr>
          <w:rFonts w:hint="eastAsia" w:ascii="宋体" w:hAnsi="宋体" w:eastAsia="宋体" w:cs="宋体"/>
          <w:color w:val="auto"/>
          <w:sz w:val="24"/>
          <w:szCs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07E33F6">
      <w:pPr>
        <w:tabs>
          <w:tab w:val="left" w:pos="1381"/>
        </w:tabs>
        <w:spacing w:line="480" w:lineRule="exact"/>
        <w:ind w:firstLine="482"/>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33.3中小企业、监狱企业及残疾人福利性单位</w:t>
      </w:r>
    </w:p>
    <w:p w14:paraId="21D560DE">
      <w:pPr>
        <w:spacing w:line="48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.3.1中小企业定义：</w:t>
      </w:r>
    </w:p>
    <w:p w14:paraId="410D15A0">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政府采购促进中小企业发展管理办法》（财库〔2020〕46号）、《关于印发中小企业划型标准规定的通知》（工信部联企业〔2011〕300 号）、《国务院关于进一步促进中小企业发展的若干意见》（国发〔2009〕36 号）。</w:t>
      </w:r>
    </w:p>
    <w:p w14:paraId="01AA9FC7">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.3.2供应商提供的货物、工程或者服务符合下列情形的，享受中小企业扶持政策：</w:t>
      </w:r>
    </w:p>
    <w:p w14:paraId="202AF8A2">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.3.2.1在货物采购项目中，货物由中小企业制造，即货物由中小企业生产且使用该中小企业商号或者注册商标；</w:t>
      </w:r>
    </w:p>
    <w:p w14:paraId="1AF87494">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.3.2.2在工程采购项目中，工程由中小企业承建，即工程施工单位为中小企业；</w:t>
      </w:r>
    </w:p>
    <w:p w14:paraId="7E7C0B7E">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.3.2.3在服务采购项目中，服务由中小企业承接，即提供服务的人员为中小企业依照《中华人民共和国劳动合同法》订立劳动合同的从业人员。</w:t>
      </w:r>
    </w:p>
    <w:p w14:paraId="44F2C26E">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.3.3在货物采购项目中，供应商提供的货物既有中小企业制造货物，也有大型企业制造货物的，不享受中小企业扶持政策。</w:t>
      </w:r>
    </w:p>
    <w:p w14:paraId="242DCB61">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.3.4以联合体形式参加政府采购活动，联合体各方均为中小企业的，联合体视同中小企业。其中，联合体各方均为小微企业的，联合体视同小微企业。</w:t>
      </w:r>
    </w:p>
    <w:p w14:paraId="25625AC2">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D52BBF2">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.3.6残疾人福利单位定义：享受政府采购支持政策的残疾人福利性单位应当同时满足以下条件：</w:t>
      </w:r>
    </w:p>
    <w:p w14:paraId="17CA8247">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.3.6.1安置的残疾人占本单位在职职工人数的比例不低于25%（含25%），并且安置的残疾人人数不少于10 人（含10 人）；</w:t>
      </w:r>
    </w:p>
    <w:p w14:paraId="7B1BA55D">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.3.6.2依法与安置的每位残疾人签订了一年以上（含一年）的劳动合同或服务协议；</w:t>
      </w:r>
    </w:p>
    <w:p w14:paraId="573748E6">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.3.6.3为安置的每位残疾人按月足额缴纳了基本养老保险、基本医疗保险、失业保险、工伤保险和生育保险等社会保险费；</w:t>
      </w:r>
    </w:p>
    <w:p w14:paraId="4E6DFDAD">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.3.6.4通过银行等金融机构向安置的每位残疾人，按月支付了不低于单位所在区县适用的经省级人民政府批准的月最低工资标准的工资；</w:t>
      </w:r>
    </w:p>
    <w:p w14:paraId="4EB8AE13">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.3.6.5提供本单位制造的货物、承担的工程或者服务（以下简称产品），或者提供其他残疾人福利性单位制造的货物（不包括使用非残疾人福利性单位注册商标的货物）；</w:t>
      </w:r>
    </w:p>
    <w:p w14:paraId="1EAEFDAE">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0CD6A952">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.3.7本项目是否专门面向中小企业预留采购份额见第一章《</w:t>
      </w:r>
      <w:r>
        <w:rPr>
          <w:rFonts w:hint="eastAsia" w:ascii="宋体" w:hAnsi="宋体" w:eastAsia="宋体" w:cs="宋体"/>
          <w:color w:val="auto"/>
          <w:sz w:val="24"/>
          <w:szCs w:val="24"/>
          <w:highlight w:val="none"/>
          <w:lang w:val="en-US" w:eastAsia="zh-CN"/>
        </w:rPr>
        <w:t>招标公告</w:t>
      </w:r>
      <w:r>
        <w:rPr>
          <w:rFonts w:hint="eastAsia" w:ascii="宋体" w:hAnsi="宋体" w:eastAsia="宋体" w:cs="宋体"/>
          <w:color w:val="auto"/>
          <w:sz w:val="24"/>
          <w:szCs w:val="24"/>
          <w:highlight w:val="none"/>
        </w:rPr>
        <w:t>》。</w:t>
      </w:r>
    </w:p>
    <w:p w14:paraId="24ABDBED">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33</w:t>
      </w:r>
      <w:r>
        <w:rPr>
          <w:rFonts w:hint="eastAsia" w:ascii="宋体" w:hAnsi="宋体" w:eastAsia="宋体" w:cs="宋体"/>
          <w:color w:val="auto"/>
          <w:sz w:val="24"/>
          <w:szCs w:val="24"/>
          <w:highlight w:val="none"/>
        </w:rPr>
        <w:t>.3.8采购标的对应的中小企业划分标准所属行业见第四章《采购需求》。</w:t>
      </w:r>
    </w:p>
    <w:p w14:paraId="0DB12764">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.3.9小微企业价格评审优惠的政策：见第五章《评标方法和评标标准》。</w:t>
      </w:r>
    </w:p>
    <w:p w14:paraId="7D3FAAFB">
      <w:pPr>
        <w:tabs>
          <w:tab w:val="left" w:pos="1381"/>
        </w:tabs>
        <w:spacing w:line="480" w:lineRule="exact"/>
        <w:ind w:firstLine="482"/>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33.4政府采购节能产品、环境标志产品</w:t>
      </w:r>
    </w:p>
    <w:p w14:paraId="644FF39E">
      <w:pPr>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.4.1</w:t>
      </w:r>
      <w:r>
        <w:rPr>
          <w:rFonts w:hint="eastAsia" w:ascii="宋体" w:hAnsi="宋体" w:eastAsia="宋体" w:cs="宋体"/>
          <w:color w:val="auto"/>
          <w:kern w:val="0"/>
          <w:sz w:val="24"/>
          <w:szCs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szCs w:val="24"/>
          <w:highlight w:val="none"/>
        </w:rPr>
        <w:t>如属政府强制采购产品未提供认证证书的或认证证书提供不全的将视为未实质性响应采购要求</w:t>
      </w:r>
      <w:r>
        <w:rPr>
          <w:rFonts w:hint="eastAsia" w:ascii="宋体" w:hAnsi="宋体" w:eastAsia="宋体" w:cs="宋体"/>
          <w:i/>
          <w:color w:val="auto"/>
          <w:kern w:val="0"/>
          <w:sz w:val="24"/>
          <w:szCs w:val="24"/>
          <w:highlight w:val="none"/>
        </w:rPr>
        <w:t>。</w:t>
      </w:r>
      <w:r>
        <w:rPr>
          <w:rFonts w:hint="eastAsia" w:ascii="宋体" w:hAnsi="宋体" w:eastAsia="宋体" w:cs="宋体"/>
          <w:color w:val="auto"/>
          <w:kern w:val="0"/>
          <w:sz w:val="24"/>
          <w:szCs w:val="24"/>
          <w:highlight w:val="none"/>
        </w:rPr>
        <w:t>其他条件相同情况下，应当优先采购节能产品、环境标志产品。</w:t>
      </w:r>
    </w:p>
    <w:p w14:paraId="71815768">
      <w:pPr>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.4.2</w:t>
      </w:r>
      <w:r>
        <w:rPr>
          <w:rFonts w:hint="eastAsia" w:ascii="宋体" w:hAnsi="宋体" w:eastAsia="宋体" w:cs="宋体"/>
          <w:color w:val="auto"/>
          <w:kern w:val="0"/>
          <w:sz w:val="24"/>
          <w:szCs w:val="24"/>
          <w:highlight w:val="none"/>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2976CB9B">
      <w:pPr>
        <w:tabs>
          <w:tab w:val="left" w:pos="1381"/>
        </w:tabs>
        <w:spacing w:line="480" w:lineRule="exact"/>
        <w:ind w:firstLine="482"/>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33.5绿色包装</w:t>
      </w:r>
    </w:p>
    <w:p w14:paraId="58C0A02A">
      <w:pPr>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本项目中涉及商品的包装应按照“财办库〔2020〕123号《关于印发《商品包装政府采购需求标准（试行）》《快递包装政府采购需求标准（试行）》的通知》”执行,在供货、安装过程中能做到低碳物流、环保节约、提高资源利用率。</w:t>
      </w:r>
    </w:p>
    <w:p w14:paraId="16EC5B66">
      <w:pPr>
        <w:tabs>
          <w:tab w:val="left" w:pos="1381"/>
        </w:tabs>
        <w:spacing w:line="480" w:lineRule="exact"/>
        <w:ind w:firstLine="482"/>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33.6政府采购创新产品</w:t>
      </w:r>
    </w:p>
    <w:p w14:paraId="231B5B6A">
      <w:pPr>
        <w:pBdr>
          <w:top w:val="none" w:color="000000" w:sz="0" w:space="0"/>
          <w:left w:val="none" w:color="000000" w:sz="0" w:space="0"/>
          <w:bottom w:val="none" w:color="000000" w:sz="0" w:space="0"/>
          <w:right w:val="none" w:color="000000" w:sz="0" w:space="0"/>
        </w:pBdr>
        <w:spacing w:before="0" w:after="0" w:line="85" w:lineRule="atLeast"/>
        <w:ind w:left="0" w:right="0" w:firstLine="478"/>
        <w:jc w:val="both"/>
        <w:rPr>
          <w:rFonts w:hint="eastAsia" w:ascii="宋体" w:hAnsi="宋体" w:eastAsia="宋体" w:cs="宋体"/>
          <w:color w:val="000000"/>
          <w:sz w:val="24"/>
          <w:szCs w:val="24"/>
          <w:highlight w:val="none"/>
        </w:rPr>
      </w:pPr>
      <w:r>
        <w:rPr>
          <w:rFonts w:hint="eastAsia" w:ascii="宋体" w:hAnsi="宋体" w:eastAsia="宋体" w:cs="宋体"/>
          <w:color w:val="auto"/>
          <w:kern w:val="0"/>
          <w:sz w:val="24"/>
          <w:szCs w:val="24"/>
          <w:highlight w:val="none"/>
          <w:lang w:val="en-US" w:eastAsia="zh-CN" w:bidi="ar-SA"/>
        </w:rPr>
        <w:t>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t>。</w:t>
      </w:r>
    </w:p>
    <w:p w14:paraId="5AB515E0">
      <w:pPr>
        <w:tabs>
          <w:tab w:val="left" w:pos="1381"/>
        </w:tabs>
        <w:spacing w:line="480" w:lineRule="exact"/>
        <w:ind w:firstLine="482"/>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33.7绿色数据中心政策 </w:t>
      </w:r>
    </w:p>
    <w:p w14:paraId="7D05E22B">
      <w:pPr>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135F55A9">
      <w:pPr>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33.8实施本国产品标准及相关政策</w:t>
      </w:r>
    </w:p>
    <w:p w14:paraId="24DAD475">
      <w:pPr>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1.本项目对采购本国产品给予政策支持，具体内容见招标文件“第五章 评标方法与评标标准”。</w:t>
      </w:r>
    </w:p>
    <w:p w14:paraId="1B42E08A">
      <w:pPr>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86DFA8D">
      <w:pPr>
        <w:ind w:firstLine="480" w:firstLineChars="200"/>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56C1620">
      <w:pPr>
        <w:tabs>
          <w:tab w:val="left" w:pos="1381"/>
        </w:tabs>
        <w:spacing w:line="480" w:lineRule="exact"/>
        <w:ind w:firstLine="482"/>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33.9履约保证金政策</w:t>
      </w:r>
    </w:p>
    <w:p w14:paraId="51656CCE">
      <w:pPr>
        <w:pStyle w:val="25"/>
        <w:spacing w:after="0" w:line="360" w:lineRule="auto"/>
        <w:ind w:left="0" w:firstLine="560"/>
        <w:rPr>
          <w:rFonts w:ascii="宋体" w:hAnsi="宋体" w:eastAsia="宋体" w:cs="宋体"/>
          <w:kern w:val="0"/>
          <w:sz w:val="24"/>
        </w:rPr>
      </w:pPr>
      <w:r>
        <w:rPr>
          <w:rFonts w:hint="eastAsia" w:ascii="宋体" w:hAnsi="宋体" w:eastAsia="宋体" w:cs="宋体"/>
          <w:kern w:val="0"/>
          <w:sz w:val="24"/>
        </w:rPr>
        <w:t>履约保证金的缴纳形式：</w:t>
      </w:r>
    </w:p>
    <w:p w14:paraId="7B7BC6DB">
      <w:pPr>
        <w:spacing w:line="360" w:lineRule="auto"/>
        <w:ind w:firstLine="480" w:firstLineChars="200"/>
        <w:rPr>
          <w:rFonts w:ascii="宋体" w:hAnsi="宋体" w:eastAsia="宋体" w:cs="宋体"/>
          <w:kern w:val="0"/>
          <w:sz w:val="24"/>
        </w:rPr>
      </w:pPr>
      <w:r>
        <w:rPr>
          <w:rFonts w:hint="eastAsia" w:ascii="宋体" w:hAnsi="宋体" w:eastAsia="宋体" w:cs="宋体"/>
          <w:kern w:val="0"/>
          <w:sz w:val="24"/>
        </w:rPr>
        <w:t>本项目免收履约保证金。</w:t>
      </w:r>
    </w:p>
    <w:p w14:paraId="14951781">
      <w:pPr>
        <w:tabs>
          <w:tab w:val="left" w:pos="1381"/>
        </w:tabs>
        <w:spacing w:line="480" w:lineRule="exact"/>
        <w:ind w:firstLine="482"/>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34. 预付款制度</w:t>
      </w:r>
    </w:p>
    <w:p w14:paraId="7F8134A9">
      <w:pPr>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本项目落实预付款制度，预付款比例为</w:t>
      </w:r>
      <w:r>
        <w:rPr>
          <w:rFonts w:hint="eastAsia" w:ascii="宋体" w:hAnsi="宋体" w:eastAsia="宋体" w:cs="宋体"/>
          <w:color w:val="auto"/>
          <w:kern w:val="0"/>
          <w:sz w:val="24"/>
          <w:szCs w:val="24"/>
          <w:highlight w:val="none"/>
          <w:u w:val="single"/>
          <w:lang w:val="en-US" w:eastAsia="zh-CN" w:bidi="ar-SA"/>
        </w:rPr>
        <w:t>30</w:t>
      </w:r>
      <w:r>
        <w:rPr>
          <w:rFonts w:hint="eastAsia" w:ascii="宋体" w:hAnsi="宋体" w:eastAsia="宋体" w:cs="宋体"/>
          <w:color w:val="auto"/>
          <w:kern w:val="0"/>
          <w:sz w:val="24"/>
          <w:szCs w:val="24"/>
          <w:highlight w:val="none"/>
          <w:lang w:val="en-US" w:eastAsia="zh-CN" w:bidi="ar-SA"/>
        </w:rPr>
        <w:t>%</w:t>
      </w:r>
      <w:r>
        <w:rPr>
          <w:rFonts w:hint="eastAsia" w:ascii="宋体" w:hAnsi="宋体" w:eastAsia="宋体" w:cs="宋体"/>
          <w:color w:val="auto"/>
          <w:kern w:val="0"/>
          <w:sz w:val="24"/>
          <w:szCs w:val="24"/>
          <w:highlight w:val="none"/>
          <w:shd w:val="clear" w:color="auto" w:fill="auto"/>
          <w:lang w:val="en-US" w:eastAsia="zh-CN" w:bidi="ar-SA"/>
        </w:rPr>
        <w:t>（原则上不低于合同金额的30%）</w:t>
      </w:r>
      <w:r>
        <w:rPr>
          <w:rFonts w:hint="eastAsia" w:ascii="宋体" w:hAnsi="宋体" w:eastAsia="宋体" w:cs="宋体"/>
          <w:color w:val="auto"/>
          <w:kern w:val="0"/>
          <w:sz w:val="24"/>
          <w:szCs w:val="24"/>
          <w:highlight w:val="none"/>
          <w:lang w:val="en-US" w:eastAsia="zh-CN" w:bidi="ar-SA"/>
        </w:rPr>
        <w:t>。在签订合同时，中标、成交供应商明确书面表示无需预付款或者主动要求降低预付款比例的，采购人可就预付款比例作相应调整。</w:t>
      </w:r>
    </w:p>
    <w:p w14:paraId="645284DC">
      <w:pPr>
        <w:pStyle w:val="25"/>
        <w:spacing w:after="0" w:line="520" w:lineRule="exact"/>
        <w:ind w:left="0" w:firstLine="560"/>
        <w:rPr>
          <w:rFonts w:hint="eastAsia" w:ascii="宋体" w:hAnsi="宋体" w:eastAsia="宋体" w:cs="宋体"/>
          <w:color w:val="auto"/>
          <w:kern w:val="0"/>
          <w:sz w:val="24"/>
          <w:szCs w:val="24"/>
          <w:highlight w:val="none"/>
          <w:lang w:val="en-US" w:eastAsia="zh-CN" w:bidi="ar-SA"/>
        </w:rPr>
      </w:pPr>
    </w:p>
    <w:p w14:paraId="5085AA7C">
      <w:pPr>
        <w:pStyle w:val="13"/>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6C937447">
      <w:pPr>
        <w:pStyle w:val="13"/>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32F80F90">
      <w:pPr>
        <w:pStyle w:val="13"/>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2D5DA425">
      <w:pPr>
        <w:pStyle w:val="13"/>
        <w:spacing w:beforeAutospacing="0" w:afterAutospacing="0"/>
        <w:jc w:val="both"/>
        <w:rPr>
          <w:rFonts w:hint="eastAsia" w:ascii="宋体" w:hAnsi="宋体" w:eastAsia="宋体" w:cs="宋体"/>
          <w:sz w:val="24"/>
          <w:szCs w:val="24"/>
          <w:highlight w:val="none"/>
        </w:rPr>
      </w:pPr>
    </w:p>
    <w:p w14:paraId="2C00DC71">
      <w:pPr>
        <w:pStyle w:val="13"/>
        <w:spacing w:beforeAutospacing="0" w:afterAutospacing="0"/>
        <w:jc w:val="both"/>
        <w:rPr>
          <w:rFonts w:hint="eastAsia" w:ascii="宋体" w:hAnsi="宋体" w:eastAsia="宋体" w:cs="宋体"/>
          <w:sz w:val="24"/>
          <w:szCs w:val="24"/>
          <w:highlight w:val="none"/>
        </w:rPr>
      </w:pPr>
    </w:p>
    <w:p w14:paraId="11E9254B">
      <w:pPr>
        <w:pStyle w:val="13"/>
        <w:spacing w:beforeAutospacing="0" w:afterAutospacing="0"/>
        <w:jc w:val="both"/>
        <w:rPr>
          <w:rFonts w:hint="eastAsia" w:ascii="宋体" w:hAnsi="宋体" w:eastAsia="宋体" w:cs="宋体"/>
          <w:sz w:val="24"/>
          <w:szCs w:val="24"/>
          <w:highlight w:val="none"/>
        </w:rPr>
      </w:pPr>
    </w:p>
    <w:p w14:paraId="6F09FB63">
      <w:pPr>
        <w:pStyle w:val="13"/>
        <w:spacing w:beforeAutospacing="0" w:afterAutospacing="0"/>
        <w:jc w:val="both"/>
        <w:rPr>
          <w:highlight w:val="none"/>
        </w:rPr>
      </w:pPr>
    </w:p>
    <w:p w14:paraId="5204AB1C">
      <w:pPr>
        <w:pStyle w:val="13"/>
        <w:spacing w:beforeAutospacing="0" w:afterAutospacing="0"/>
        <w:jc w:val="both"/>
        <w:rPr>
          <w:highlight w:val="none"/>
        </w:rPr>
      </w:pPr>
    </w:p>
    <w:p w14:paraId="53D27AB0">
      <w:pPr>
        <w:pStyle w:val="13"/>
        <w:spacing w:beforeAutospacing="0" w:afterAutospacing="0"/>
        <w:jc w:val="both"/>
        <w:rPr>
          <w:highlight w:val="none"/>
        </w:rPr>
      </w:pPr>
    </w:p>
    <w:p w14:paraId="0E440E73">
      <w:pPr>
        <w:pStyle w:val="13"/>
        <w:spacing w:beforeAutospacing="0" w:afterAutospacing="0" w:line="0" w:lineRule="atLeast"/>
        <w:jc w:val="both"/>
        <w:rPr>
          <w:highlight w:val="none"/>
        </w:rPr>
      </w:pPr>
      <w:r>
        <w:rPr>
          <w:highlight w:val="none"/>
        </w:rPr>
        <w:t> </w:t>
      </w:r>
    </w:p>
    <w:p w14:paraId="63941E97">
      <w:pPr>
        <w:pStyle w:val="13"/>
        <w:spacing w:beforeAutospacing="0" w:afterAutospacing="0" w:line="0" w:lineRule="atLeast"/>
        <w:jc w:val="both"/>
        <w:rPr>
          <w:highlight w:val="none"/>
        </w:rPr>
      </w:pPr>
      <w:r>
        <w:rPr>
          <w:highlight w:val="none"/>
        </w:rPr>
        <w:t> </w:t>
      </w:r>
    </w:p>
    <w:p w14:paraId="4CB05CCB">
      <w:pPr>
        <w:pStyle w:val="13"/>
        <w:spacing w:beforeAutospacing="0" w:afterAutospacing="0" w:line="0" w:lineRule="atLeast"/>
        <w:jc w:val="both"/>
        <w:rPr>
          <w:highlight w:val="none"/>
        </w:rPr>
      </w:pPr>
      <w:r>
        <w:rPr>
          <w:highlight w:val="none"/>
        </w:rPr>
        <w:t> </w:t>
      </w:r>
    </w:p>
    <w:p w14:paraId="5F743E86">
      <w:pPr>
        <w:widowControl/>
        <w:spacing w:line="360" w:lineRule="auto"/>
        <w:jc w:val="center"/>
        <w:rPr>
          <w:rFonts w:ascii="宋体" w:hAnsi="宋体" w:cs="宋体"/>
          <w:b/>
          <w:sz w:val="48"/>
          <w:szCs w:val="44"/>
          <w:highlight w:val="none"/>
        </w:rPr>
      </w:pPr>
      <w:r>
        <w:rPr>
          <w:sz w:val="36"/>
          <w:szCs w:val="44"/>
          <w:highlight w:val="none"/>
        </w:rPr>
        <w:t> </w:t>
      </w:r>
      <w:r>
        <w:rPr>
          <w:rFonts w:hint="eastAsia" w:ascii="宋体" w:hAnsi="宋体" w:cs="宋体"/>
          <w:b/>
          <w:sz w:val="48"/>
          <w:szCs w:val="44"/>
          <w:highlight w:val="none"/>
        </w:rPr>
        <w:t>第三</w:t>
      </w:r>
      <w:r>
        <w:rPr>
          <w:rFonts w:hint="eastAsia" w:ascii="宋体" w:hAnsi="宋体" w:cs="宋体"/>
          <w:b/>
          <w:sz w:val="48"/>
          <w:szCs w:val="44"/>
          <w:highlight w:val="none"/>
          <w:lang w:eastAsia="zh-CN"/>
        </w:rPr>
        <w:t>章</w:t>
      </w:r>
      <w:r>
        <w:rPr>
          <w:rFonts w:hint="eastAsia" w:ascii="宋体" w:hAnsi="宋体" w:cs="宋体"/>
          <w:b/>
          <w:sz w:val="48"/>
          <w:szCs w:val="44"/>
          <w:highlight w:val="none"/>
        </w:rPr>
        <w:t xml:space="preserve">  合同条款</w:t>
      </w:r>
    </w:p>
    <w:p w14:paraId="05B72361">
      <w:pPr>
        <w:jc w:val="both"/>
        <w:rPr>
          <w:rFonts w:ascii="宋体" w:hAnsi="宋体" w:cs="宋体"/>
          <w:b/>
          <w:bCs/>
          <w:spacing w:val="-20"/>
          <w:sz w:val="48"/>
          <w:szCs w:val="48"/>
          <w:highlight w:val="none"/>
        </w:rPr>
      </w:pPr>
      <w:bookmarkStart w:id="167" w:name="_Toc3995"/>
    </w:p>
    <w:p w14:paraId="730D6733">
      <w:pPr>
        <w:jc w:val="center"/>
        <w:rPr>
          <w:rFonts w:ascii="宋体" w:hAnsi="宋体" w:cs="宋体"/>
          <w:sz w:val="30"/>
          <w:highlight w:val="none"/>
        </w:rPr>
      </w:pPr>
    </w:p>
    <w:p w14:paraId="0436680A">
      <w:pPr>
        <w:jc w:val="center"/>
        <w:rPr>
          <w:rFonts w:ascii="宋体" w:hAnsi="宋体" w:cs="宋体"/>
          <w:sz w:val="30"/>
          <w:highlight w:val="none"/>
        </w:rPr>
      </w:pPr>
      <w:r>
        <w:rPr>
          <w:rFonts w:hint="eastAsia" w:ascii="宋体" w:hAnsi="宋体" w:cs="宋体"/>
          <w:sz w:val="30"/>
          <w:highlight w:val="none"/>
        </w:rPr>
        <w:t>政府采购货物买卖合同</w:t>
      </w:r>
    </w:p>
    <w:p w14:paraId="3E37FE54">
      <w:pPr>
        <w:jc w:val="center"/>
        <w:rPr>
          <w:rFonts w:ascii="宋体" w:hAnsi="宋体" w:cs="宋体"/>
          <w:sz w:val="30"/>
          <w:highlight w:val="none"/>
        </w:rPr>
      </w:pPr>
    </w:p>
    <w:p w14:paraId="09684E57">
      <w:pPr>
        <w:rPr>
          <w:rFonts w:ascii="宋体" w:hAnsi="宋体" w:cs="宋体"/>
          <w:sz w:val="30"/>
          <w:highlight w:val="none"/>
        </w:rPr>
      </w:pPr>
    </w:p>
    <w:p w14:paraId="5CDC040F">
      <w:pPr>
        <w:rPr>
          <w:rFonts w:ascii="宋体" w:hAnsi="宋体" w:cs="宋体"/>
          <w:sz w:val="30"/>
          <w:highlight w:val="none"/>
        </w:rPr>
      </w:pPr>
    </w:p>
    <w:p w14:paraId="1A56587C">
      <w:pPr>
        <w:rPr>
          <w:rFonts w:ascii="宋体" w:hAnsi="宋体" w:cs="宋体"/>
          <w:sz w:val="30"/>
          <w:highlight w:val="none"/>
        </w:rPr>
      </w:pPr>
    </w:p>
    <w:p w14:paraId="3A99820A">
      <w:pPr>
        <w:spacing w:line="360" w:lineRule="auto"/>
        <w:ind w:left="420"/>
        <w:rPr>
          <w:rFonts w:ascii="宋体" w:hAnsi="宋体" w:cs="宋体"/>
          <w:sz w:val="30"/>
          <w:highlight w:val="none"/>
        </w:rPr>
      </w:pPr>
      <w:r>
        <w:rPr>
          <w:rFonts w:hint="eastAsia" w:ascii="宋体" w:hAnsi="宋体" w:cs="宋体"/>
          <w:sz w:val="30"/>
          <w:highlight w:val="none"/>
        </w:rPr>
        <w:t>项目名称：三灶镇三份港、射阳河海事处水质自动监测站建设及</w:t>
      </w:r>
      <w:r>
        <w:rPr>
          <w:rFonts w:hint="eastAsia" w:ascii="宋体" w:hAnsi="宋体" w:cs="宋体"/>
          <w:sz w:val="30"/>
          <w:highlight w:val="none"/>
          <w:lang w:eastAsia="zh-CN"/>
        </w:rPr>
        <w:t>三年</w:t>
      </w:r>
      <w:r>
        <w:rPr>
          <w:rFonts w:hint="eastAsia" w:ascii="宋体" w:hAnsi="宋体" w:cs="宋体"/>
          <w:sz w:val="30"/>
          <w:highlight w:val="none"/>
        </w:rPr>
        <w:t>运维服务项目</w:t>
      </w:r>
    </w:p>
    <w:p w14:paraId="6156AB13">
      <w:pPr>
        <w:spacing w:line="360" w:lineRule="auto"/>
        <w:ind w:left="420"/>
        <w:rPr>
          <w:rFonts w:ascii="宋体" w:hAnsi="宋体" w:cs="宋体"/>
          <w:sz w:val="30"/>
          <w:highlight w:val="none"/>
        </w:rPr>
      </w:pPr>
      <w:r>
        <w:rPr>
          <w:rFonts w:hint="eastAsia" w:ascii="宋体" w:hAnsi="宋体" w:cs="宋体"/>
          <w:sz w:val="30"/>
          <w:highlight w:val="none"/>
        </w:rPr>
        <w:t>合同编号：JSZC-320923-YCYH-G2026-0003</w:t>
      </w:r>
    </w:p>
    <w:p w14:paraId="5D7DBE2E">
      <w:pPr>
        <w:spacing w:line="360" w:lineRule="auto"/>
        <w:ind w:left="420"/>
        <w:rPr>
          <w:rFonts w:ascii="宋体" w:hAnsi="宋体" w:cs="宋体"/>
          <w:sz w:val="30"/>
          <w:highlight w:val="none"/>
        </w:rPr>
      </w:pPr>
      <w:r>
        <w:rPr>
          <w:rFonts w:hint="eastAsia" w:ascii="宋体" w:hAnsi="宋体" w:cs="宋体"/>
          <w:sz w:val="30"/>
          <w:highlight w:val="none"/>
        </w:rPr>
        <w:t>甲    方：盐城市阜宁生态环境局</w:t>
      </w:r>
    </w:p>
    <w:p w14:paraId="011B2A0F">
      <w:pPr>
        <w:spacing w:line="360" w:lineRule="auto"/>
        <w:ind w:left="420"/>
        <w:rPr>
          <w:rFonts w:ascii="宋体" w:hAnsi="宋体" w:cs="宋体"/>
          <w:sz w:val="30"/>
          <w:highlight w:val="none"/>
        </w:rPr>
      </w:pPr>
      <w:r>
        <w:rPr>
          <w:rFonts w:hint="eastAsia" w:ascii="宋体" w:hAnsi="宋体" w:cs="宋体"/>
          <w:sz w:val="30"/>
          <w:highlight w:val="none"/>
        </w:rPr>
        <w:t>乙    方：</w:t>
      </w:r>
    </w:p>
    <w:p w14:paraId="33CAC5AC">
      <w:pPr>
        <w:spacing w:line="360" w:lineRule="auto"/>
        <w:ind w:left="420"/>
        <w:rPr>
          <w:rFonts w:ascii="宋体" w:hAnsi="宋体" w:cs="宋体"/>
          <w:sz w:val="30"/>
          <w:highlight w:val="none"/>
        </w:rPr>
      </w:pPr>
      <w:r>
        <w:rPr>
          <w:rFonts w:hint="eastAsia" w:ascii="宋体" w:hAnsi="宋体" w:cs="宋体"/>
          <w:sz w:val="30"/>
          <w:highlight w:val="none"/>
        </w:rPr>
        <w:t>签订时间：</w:t>
      </w:r>
    </w:p>
    <w:p w14:paraId="18190DA5">
      <w:pPr>
        <w:rPr>
          <w:highlight w:val="none"/>
        </w:rPr>
      </w:pPr>
    </w:p>
    <w:p w14:paraId="37BDEB5A">
      <w:pPr>
        <w:rPr>
          <w:rFonts w:eastAsia="黑体"/>
          <w:sz w:val="44"/>
          <w:szCs w:val="44"/>
          <w:highlight w:val="none"/>
        </w:rPr>
      </w:pPr>
      <w:r>
        <w:rPr>
          <w:rFonts w:eastAsia="黑体"/>
          <w:sz w:val="44"/>
          <w:szCs w:val="44"/>
          <w:highlight w:val="none"/>
        </w:rPr>
        <w:br w:type="page" w:clear="all"/>
      </w:r>
    </w:p>
    <w:p w14:paraId="0E064C08">
      <w:pPr>
        <w:jc w:val="center"/>
        <w:rPr>
          <w:rFonts w:eastAsia="黑体"/>
          <w:sz w:val="44"/>
          <w:szCs w:val="44"/>
          <w:highlight w:val="none"/>
        </w:rPr>
      </w:pPr>
      <w:r>
        <w:rPr>
          <w:rFonts w:hint="eastAsia" w:eastAsia="黑体"/>
          <w:sz w:val="44"/>
          <w:szCs w:val="44"/>
          <w:highlight w:val="none"/>
        </w:rPr>
        <w:t>使用说明</w:t>
      </w:r>
    </w:p>
    <w:p w14:paraId="3C93135D">
      <w:pPr>
        <w:ind w:firstLine="640"/>
        <w:rPr>
          <w:rFonts w:ascii="仿宋_GB2312" w:hAnsi="仿宋_GB2312" w:eastAsia="仿宋_GB2312" w:cs="仿宋_GB2312"/>
          <w:sz w:val="32"/>
          <w:szCs w:val="32"/>
          <w:highlight w:val="none"/>
        </w:rPr>
      </w:pPr>
    </w:p>
    <w:p w14:paraId="48CEEFBA">
      <w:pPr>
        <w:ind w:firstLine="64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1.本合同标准文本适用于购买现成货物的采购项目，不包括需要供应商定制开发、创新研发的货物采购项目。</w:t>
      </w:r>
    </w:p>
    <w:p w14:paraId="0CFFFC52">
      <w:pPr>
        <w:ind w:firstLine="640" w:firstLineChars="200"/>
        <w:rPr>
          <w:rFonts w:eastAsia="黑体"/>
          <w:sz w:val="44"/>
          <w:szCs w:val="44"/>
          <w:highlight w:val="none"/>
        </w:rPr>
      </w:pPr>
      <w:r>
        <w:rPr>
          <w:rFonts w:hint="eastAsia" w:ascii="仿宋_GB2312" w:hAnsi="仿宋_GB2312" w:eastAsia="仿宋_GB2312" w:cs="仿宋_GB2312"/>
          <w:sz w:val="32"/>
          <w:szCs w:val="32"/>
          <w:highlight w:val="none"/>
        </w:rPr>
        <w:t>2.本合同标准文本为政府采购货物买卖合同编制提供参考，可以结合采购项目具体情况，对文本作必要的调整修订后使用。</w:t>
      </w:r>
    </w:p>
    <w:p w14:paraId="3D974F44">
      <w:pPr>
        <w:ind w:firstLine="64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3.本合同标准文本各条款中，如涉及填写多家供应商、制造商，多种采购标的、分包主要内容等信息的，可根据采购项目具体情况添加信息项。</w:t>
      </w:r>
    </w:p>
    <w:p w14:paraId="4D87C6B1">
      <w:pPr>
        <w:ind w:firstLine="880"/>
        <w:rPr>
          <w:rFonts w:eastAsia="黑体"/>
          <w:sz w:val="44"/>
          <w:szCs w:val="44"/>
          <w:highlight w:val="none"/>
        </w:rPr>
        <w:sectPr>
          <w:footerReference r:id="rId3" w:type="default"/>
          <w:pgSz w:w="11906" w:h="16838"/>
          <w:pgMar w:top="1157" w:right="1463" w:bottom="1157" w:left="1293" w:header="851" w:footer="992" w:gutter="0"/>
          <w:cols w:space="425" w:num="1"/>
          <w:docGrid w:linePitch="360" w:charSpace="0"/>
        </w:sectPr>
      </w:pPr>
    </w:p>
    <w:bookmarkEnd w:id="167"/>
    <w:p w14:paraId="384CC704">
      <w:pPr>
        <w:keepNext/>
        <w:keepLines/>
        <w:spacing w:line="400" w:lineRule="exact"/>
        <w:jc w:val="center"/>
        <w:outlineLvl w:val="1"/>
        <w:rPr>
          <w:rFonts w:ascii="黑体" w:hAnsi="黑体" w:eastAsia="黑体"/>
          <w:b/>
          <w:bCs/>
          <w:sz w:val="28"/>
          <w:szCs w:val="28"/>
          <w:highlight w:val="none"/>
        </w:rPr>
      </w:pPr>
      <w:bookmarkStart w:id="168" w:name="_Toc22209"/>
    </w:p>
    <w:p w14:paraId="0A2628DD">
      <w:pPr>
        <w:keepNext/>
        <w:keepLines/>
        <w:spacing w:line="400" w:lineRule="exact"/>
        <w:jc w:val="center"/>
        <w:outlineLvl w:val="1"/>
        <w:rPr>
          <w:rFonts w:ascii="黑体" w:hAnsi="华文中宋" w:eastAsia="黑体"/>
          <w:sz w:val="28"/>
          <w:szCs w:val="28"/>
          <w:highlight w:val="none"/>
        </w:rPr>
      </w:pPr>
      <w:r>
        <w:rPr>
          <w:rFonts w:hint="eastAsia" w:ascii="黑体" w:hAnsi="黑体" w:eastAsia="黑体"/>
          <w:sz w:val="28"/>
          <w:szCs w:val="28"/>
          <w:highlight w:val="none"/>
        </w:rPr>
        <w:t xml:space="preserve">第一节 </w:t>
      </w:r>
      <w:r>
        <w:rPr>
          <w:rFonts w:hint="eastAsia" w:ascii="黑体" w:hAnsi="华文中宋" w:eastAsia="黑体"/>
          <w:sz w:val="28"/>
          <w:szCs w:val="28"/>
          <w:highlight w:val="none"/>
        </w:rPr>
        <w:t>政府采购合同协议书</w:t>
      </w:r>
      <w:bookmarkEnd w:id="168"/>
    </w:p>
    <w:p w14:paraId="773E0B5B">
      <w:pPr>
        <w:keepNext/>
        <w:keepLines/>
        <w:spacing w:line="360" w:lineRule="auto"/>
        <w:jc w:val="center"/>
        <w:outlineLvl w:val="1"/>
        <w:rPr>
          <w:rFonts w:ascii="黑体" w:hAnsi="华文中宋" w:eastAsia="黑体"/>
          <w:sz w:val="28"/>
          <w:szCs w:val="28"/>
          <w:highlight w:val="none"/>
        </w:rPr>
      </w:pPr>
    </w:p>
    <w:p w14:paraId="27828566">
      <w:pPr>
        <w:spacing w:line="360" w:lineRule="auto"/>
        <w:rPr>
          <w:rFonts w:ascii="宋体" w:hAnsi="宋体"/>
          <w:sz w:val="24"/>
          <w:highlight w:val="none"/>
        </w:rPr>
      </w:pPr>
      <w:r>
        <w:rPr>
          <w:rFonts w:hint="eastAsia" w:ascii="宋体" w:hAnsi="宋体"/>
          <w:sz w:val="24"/>
          <w:highlight w:val="none"/>
        </w:rPr>
        <w:t>甲方（全称）：盐城市阜宁生态环境局</w:t>
      </w:r>
    </w:p>
    <w:p w14:paraId="76374566">
      <w:pPr>
        <w:spacing w:line="360" w:lineRule="auto"/>
        <w:rPr>
          <w:rFonts w:ascii="宋体" w:hAnsi="宋体"/>
          <w:sz w:val="24"/>
          <w:highlight w:val="none"/>
        </w:rPr>
      </w:pPr>
      <w:r>
        <w:rPr>
          <w:rFonts w:hint="eastAsia" w:ascii="宋体" w:hAnsi="宋体"/>
          <w:sz w:val="24"/>
          <w:highlight w:val="none"/>
        </w:rPr>
        <w:t>乙方（全称）：</w:t>
      </w:r>
      <w:r>
        <w:rPr>
          <w:rFonts w:ascii="宋体" w:hAnsi="宋体"/>
          <w:sz w:val="24"/>
          <w:highlight w:val="none"/>
        </w:rPr>
        <w:t xml:space="preserve"> </w:t>
      </w:r>
    </w:p>
    <w:p w14:paraId="37B2994E">
      <w:pPr>
        <w:spacing w:line="360" w:lineRule="auto"/>
        <w:ind w:firstLine="480"/>
        <w:rPr>
          <w:rFonts w:ascii="宋体" w:hAnsi="宋体"/>
          <w:sz w:val="24"/>
          <w:highlight w:val="none"/>
        </w:rPr>
      </w:pPr>
      <w:r>
        <w:rPr>
          <w:rFonts w:hint="eastAsia" w:ascii="宋体" w:hAnsi="宋体"/>
          <w:sz w:val="24"/>
          <w:highlight w:val="none"/>
        </w:rPr>
        <w:t>依据《中华人民共和国民法典</w:t>
      </w:r>
      <w:r>
        <w:rPr>
          <w:rFonts w:hint="eastAsia" w:ascii="宋体" w:hAnsi="宋体"/>
          <w:sz w:val="24"/>
          <w:highlight w:val="none"/>
          <w:lang w:eastAsia="zh-CN"/>
        </w:rPr>
        <w:t>》《</w:t>
      </w:r>
      <w:r>
        <w:rPr>
          <w:rFonts w:hint="eastAsia" w:ascii="宋体" w:hAnsi="宋体"/>
          <w:sz w:val="24"/>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p>
    <w:p w14:paraId="3E778681">
      <w:pPr>
        <w:numPr>
          <w:ilvl w:val="0"/>
          <w:numId w:val="2"/>
        </w:numPr>
        <w:spacing w:line="360" w:lineRule="auto"/>
        <w:ind w:firstLine="482"/>
        <w:rPr>
          <w:rFonts w:ascii="宋体" w:hAnsi="宋体"/>
          <w:b/>
          <w:sz w:val="24"/>
          <w:highlight w:val="none"/>
        </w:rPr>
      </w:pPr>
      <w:r>
        <w:rPr>
          <w:rFonts w:hint="eastAsia" w:ascii="宋体" w:hAnsi="宋体"/>
          <w:b/>
          <w:sz w:val="24"/>
          <w:highlight w:val="none"/>
        </w:rPr>
        <w:t>项目信息</w:t>
      </w:r>
    </w:p>
    <w:p w14:paraId="185F1269">
      <w:pPr>
        <w:numPr>
          <w:ilvl w:val="0"/>
          <w:numId w:val="3"/>
        </w:numPr>
        <w:spacing w:line="360" w:lineRule="auto"/>
        <w:ind w:firstLine="480"/>
        <w:rPr>
          <w:rFonts w:ascii="宋体" w:hAnsi="宋体"/>
          <w:sz w:val="24"/>
          <w:highlight w:val="none"/>
          <w:u w:val="single"/>
        </w:rPr>
      </w:pPr>
      <w:r>
        <w:rPr>
          <w:rFonts w:hint="eastAsia" w:ascii="宋体" w:hAnsi="宋体"/>
          <w:sz w:val="24"/>
          <w:highlight w:val="none"/>
        </w:rPr>
        <w:t>采购项目名称：三灶镇三份港、射阳河海事处水质自动监测站建设及</w:t>
      </w:r>
      <w:r>
        <w:rPr>
          <w:rFonts w:hint="eastAsia" w:ascii="宋体" w:hAnsi="宋体"/>
          <w:sz w:val="24"/>
          <w:highlight w:val="none"/>
          <w:lang w:eastAsia="zh-CN"/>
        </w:rPr>
        <w:t>三年</w:t>
      </w:r>
      <w:r>
        <w:rPr>
          <w:rFonts w:hint="eastAsia" w:ascii="宋体" w:hAnsi="宋体"/>
          <w:sz w:val="24"/>
          <w:highlight w:val="none"/>
        </w:rPr>
        <w:t>运维服务项目</w:t>
      </w:r>
      <w:r>
        <w:rPr>
          <w:rFonts w:hint="eastAsia" w:ascii="宋体" w:hAnsi="宋体"/>
          <w:sz w:val="24"/>
          <w:highlight w:val="none"/>
          <w:lang w:eastAsia="zh-CN"/>
        </w:rPr>
        <w:t>。</w:t>
      </w:r>
    </w:p>
    <w:p w14:paraId="6195A32D">
      <w:pPr>
        <w:numPr>
          <w:ilvl w:val="255"/>
          <w:numId w:val="0"/>
        </w:numPr>
        <w:tabs>
          <w:tab w:val="left" w:pos="999"/>
        </w:tabs>
        <w:spacing w:line="360" w:lineRule="auto"/>
        <w:rPr>
          <w:rFonts w:ascii="宋体" w:hAnsi="宋体"/>
          <w:sz w:val="24"/>
          <w:highlight w:val="none"/>
        </w:rPr>
      </w:pPr>
      <w:r>
        <w:rPr>
          <w:rFonts w:hint="eastAsia" w:ascii="宋体" w:hAnsi="宋体"/>
          <w:sz w:val="24"/>
          <w:highlight w:val="none"/>
        </w:rPr>
        <w:t xml:space="preserve">     采购项目编号：JSZC-320923-YCYH-G2026-0003</w:t>
      </w:r>
    </w:p>
    <w:p w14:paraId="68FBCC0E">
      <w:pPr>
        <w:spacing w:line="360" w:lineRule="auto"/>
        <w:ind w:firstLine="480"/>
        <w:rPr>
          <w:rFonts w:ascii="宋体" w:hAnsi="宋体"/>
          <w:sz w:val="24"/>
          <w:highlight w:val="none"/>
        </w:rPr>
      </w:pPr>
      <w:r>
        <w:rPr>
          <w:rFonts w:hint="eastAsia" w:ascii="宋体" w:hAnsi="宋体"/>
          <w:sz w:val="24"/>
          <w:highlight w:val="none"/>
        </w:rPr>
        <w:t>（2）采购计划编号：</w:t>
      </w:r>
    </w:p>
    <w:p w14:paraId="52937A59">
      <w:pPr>
        <w:spacing w:line="360" w:lineRule="auto"/>
        <w:ind w:firstLine="480"/>
        <w:rPr>
          <w:rFonts w:ascii="宋体" w:hAnsi="宋体"/>
          <w:sz w:val="24"/>
          <w:highlight w:val="none"/>
        </w:rPr>
      </w:pPr>
      <w:r>
        <w:rPr>
          <w:rFonts w:hint="eastAsia" w:ascii="宋体" w:hAnsi="宋体"/>
          <w:sz w:val="24"/>
          <w:highlight w:val="none"/>
        </w:rPr>
        <w:t>（3）项目内容：</w:t>
      </w:r>
    </w:p>
    <w:p w14:paraId="61F47D54">
      <w:pPr>
        <w:spacing w:line="360" w:lineRule="auto"/>
        <w:ind w:firstLine="480" w:firstLineChars="200"/>
        <w:rPr>
          <w:rFonts w:ascii="宋体" w:hAnsi="宋体"/>
          <w:sz w:val="24"/>
          <w:highlight w:val="none"/>
        </w:rPr>
      </w:pPr>
      <w:r>
        <w:rPr>
          <w:rFonts w:hint="eastAsia" w:ascii="宋体" w:hAnsi="宋体"/>
          <w:sz w:val="24"/>
          <w:highlight w:val="none"/>
        </w:rPr>
        <w:t>采购标的及数量：</w:t>
      </w:r>
    </w:p>
    <w:p w14:paraId="1034E61D">
      <w:pPr>
        <w:numPr>
          <w:ilvl w:val="255"/>
          <w:numId w:val="0"/>
        </w:numPr>
        <w:spacing w:line="360" w:lineRule="auto"/>
        <w:ind w:firstLine="480"/>
        <w:rPr>
          <w:rFonts w:ascii="宋体" w:hAnsi="宋体" w:cs="宋体"/>
          <w:sz w:val="24"/>
          <w:highlight w:val="none"/>
        </w:rPr>
      </w:pPr>
      <w:r>
        <w:rPr>
          <w:rFonts w:hint="eastAsia" w:ascii="宋体" w:hAnsi="宋体" w:cs="宋体"/>
          <w:sz w:val="24"/>
          <w:highlight w:val="none"/>
        </w:rPr>
        <w:t>品牌：规格型号：</w:t>
      </w:r>
    </w:p>
    <w:p w14:paraId="4CF195DF">
      <w:pPr>
        <w:spacing w:line="360" w:lineRule="auto"/>
        <w:ind w:firstLine="1080"/>
        <w:rPr>
          <w:rFonts w:ascii="宋体" w:hAnsi="宋体"/>
          <w:sz w:val="24"/>
          <w:highlight w:val="none"/>
          <w:u w:val="single"/>
        </w:rPr>
      </w:pPr>
      <w:r>
        <w:rPr>
          <w:rFonts w:hint="eastAsia" w:ascii="宋体" w:hAnsi="宋体"/>
          <w:sz w:val="24"/>
          <w:highlight w:val="none"/>
        </w:rPr>
        <w:t>采购标的的技术要求、商务要求具体见附件。</w:t>
      </w:r>
    </w:p>
    <w:p w14:paraId="5B318195">
      <w:pPr>
        <w:numPr>
          <w:ilvl w:val="255"/>
          <w:numId w:val="0"/>
        </w:numPr>
        <w:spacing w:line="360" w:lineRule="auto"/>
        <w:ind w:firstLine="1080"/>
        <w:rPr>
          <w:rFonts w:ascii="宋体" w:hAnsi="宋体" w:cs="宋体"/>
          <w:sz w:val="24"/>
          <w:highlight w:val="none"/>
        </w:rPr>
      </w:pPr>
      <w:r>
        <w:rPr>
          <w:rFonts w:hint="eastAsia" w:ascii="宋体" w:hAnsi="宋体" w:cs="宋体"/>
          <w:sz w:val="24"/>
          <w:highlight w:val="none"/>
        </w:rPr>
        <w:t>①涉及信息类产品，请填写该产品关键部件的品牌、型号：</w:t>
      </w:r>
    </w:p>
    <w:p w14:paraId="6ABEC33F">
      <w:pPr>
        <w:numPr>
          <w:ilvl w:val="255"/>
          <w:numId w:val="0"/>
        </w:numPr>
        <w:spacing w:line="360" w:lineRule="auto"/>
        <w:ind w:firstLine="480"/>
        <w:rPr>
          <w:rFonts w:ascii="宋体" w:hAnsi="宋体" w:cs="宋体"/>
          <w:sz w:val="24"/>
          <w:highlight w:val="none"/>
          <w:u w:val="single"/>
        </w:rPr>
      </w:pPr>
      <w:r>
        <w:rPr>
          <w:rFonts w:hint="eastAsia" w:ascii="宋体" w:hAnsi="宋体" w:cs="宋体"/>
          <w:sz w:val="24"/>
          <w:highlight w:val="none"/>
        </w:rPr>
        <w:t xml:space="preserve">     标的名称：</w:t>
      </w:r>
    </w:p>
    <w:p w14:paraId="7556BC73">
      <w:pPr>
        <w:adjustRightInd w:val="0"/>
        <w:snapToGrid w:val="0"/>
        <w:spacing w:line="400" w:lineRule="exact"/>
        <w:ind w:firstLine="480" w:firstLineChars="200"/>
        <w:rPr>
          <w:rFonts w:ascii="宋体" w:hAnsi="宋体" w:cs="宋体"/>
          <w:szCs w:val="21"/>
          <w:highlight w:val="none"/>
        </w:rPr>
      </w:pPr>
      <w:r>
        <w:rPr>
          <w:rFonts w:hint="eastAsia" w:ascii="宋体" w:hAnsi="宋体" w:cs="宋体"/>
          <w:sz w:val="24"/>
          <w:highlight w:val="none"/>
        </w:rPr>
        <w:t xml:space="preserve">     </w:t>
      </w:r>
      <w:r>
        <w:rPr>
          <w:rFonts w:hint="eastAsia" w:ascii="宋体" w:hAnsi="宋体" w:cs="宋体"/>
          <w:szCs w:val="21"/>
          <w:highlight w:val="none"/>
        </w:rPr>
        <w:t>关键部件：</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p>
    <w:p w14:paraId="21680099">
      <w:pPr>
        <w:pStyle w:val="22"/>
        <w:ind w:firstLine="42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宋体" w:hAnsi="宋体" w:eastAsia="宋体" w:cs="宋体"/>
          <w:kern w:val="2"/>
          <w:sz w:val="21"/>
          <w:highlight w:val="none"/>
        </w:rPr>
        <w:t>关键部件</w:t>
      </w:r>
      <w:r>
        <w:rPr>
          <w:rFonts w:hint="eastAsia" w:ascii="宋体" w:hAnsi="宋体" w:eastAsia="宋体" w:cs="宋体"/>
          <w:sz w:val="21"/>
          <w:highlight w:val="none"/>
        </w:rPr>
        <w:t>：</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p>
    <w:p w14:paraId="761A9390">
      <w:pPr>
        <w:pStyle w:val="22"/>
        <w:ind w:firstLine="420"/>
        <w:rPr>
          <w:rFonts w:hint="eastAsia" w:ascii="宋体" w:hAnsi="宋体" w:eastAsia="宋体" w:cs="宋体"/>
          <w:sz w:val="21"/>
          <w:highlight w:val="none"/>
        </w:rP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p>
    <w:p w14:paraId="63C7A055">
      <w:pPr>
        <w:widowControl/>
        <w:numPr>
          <w:ilvl w:val="255"/>
          <w:numId w:val="0"/>
        </w:numPr>
        <w:spacing w:line="360" w:lineRule="auto"/>
        <w:jc w:val="left"/>
        <w:rPr>
          <w:rFonts w:ascii="宋体" w:hAnsi="宋体" w:cs="宋体"/>
          <w:sz w:val="24"/>
          <w:highlight w:val="none"/>
        </w:rPr>
      </w:pPr>
      <w:r>
        <w:rPr>
          <w:rFonts w:hint="eastAsia" w:ascii="宋体" w:hAnsi="宋体" w:cs="宋体"/>
          <w:sz w:val="24"/>
          <w:highlight w:val="none"/>
        </w:rPr>
        <w:t xml:space="preserve">   （注：关键部件是指财政部会同有关部门发布的政府采购需求标准规定的需要通过国家有关部门指定的测评机构开展的安全可靠测评的软硬件，如CPU芯片、操作系统、数据库等。）</w:t>
      </w:r>
    </w:p>
    <w:p w14:paraId="51C67957">
      <w:pPr>
        <w:widowControl/>
        <w:numPr>
          <w:ilvl w:val="255"/>
          <w:numId w:val="0"/>
        </w:numPr>
        <w:spacing w:line="360" w:lineRule="auto"/>
        <w:jc w:val="left"/>
        <w:rPr>
          <w:rFonts w:ascii="宋体" w:hAnsi="宋体" w:cs="宋体"/>
          <w:sz w:val="24"/>
          <w:highlight w:val="none"/>
        </w:rPr>
      </w:pPr>
      <w:r>
        <w:rPr>
          <w:rFonts w:hint="eastAsia" w:ascii="宋体" w:hAnsi="宋体" w:cs="宋体"/>
          <w:sz w:val="24"/>
          <w:highlight w:val="none"/>
        </w:rPr>
        <w:t>②涉及车辆采购，请填写是否属于新能源汽车：</w:t>
      </w:r>
    </w:p>
    <w:p w14:paraId="5BB84289">
      <w:pPr>
        <w:widowControl/>
        <w:numPr>
          <w:ilvl w:val="255"/>
          <w:numId w:val="0"/>
        </w:numPr>
        <w:spacing w:line="360" w:lineRule="auto"/>
        <w:jc w:val="left"/>
        <w:rPr>
          <w:rFonts w:ascii="宋体" w:hAnsi="宋体" w:cs="宋体"/>
          <w:sz w:val="24"/>
          <w:highlight w:val="none"/>
        </w:rPr>
      </w:pPr>
      <w:r>
        <w:rPr>
          <w:rFonts w:ascii="Wingdings" w:hAnsi="Wingdings" w:eastAsia="Wingdings" w:cs="Wingdings"/>
          <w:sz w:val="24"/>
          <w:highlight w:val="none"/>
        </w:rPr>
        <w:t></w:t>
      </w:r>
      <w:r>
        <w:rPr>
          <w:rFonts w:hint="eastAsia" w:ascii="宋体" w:hAnsi="宋体" w:cs="宋体"/>
          <w:sz w:val="24"/>
          <w:highlight w:val="none"/>
        </w:rPr>
        <w:t>是，《政府采购品目分类目录》底级品目名称： 数量： 金额：</w:t>
      </w:r>
    </w:p>
    <w:p w14:paraId="2494E44F">
      <w:pPr>
        <w:widowControl/>
        <w:numPr>
          <w:ilvl w:val="255"/>
          <w:numId w:val="0"/>
        </w:numPr>
        <w:spacing w:line="360" w:lineRule="auto"/>
        <w:jc w:val="left"/>
        <w:rPr>
          <w:rFonts w:ascii="宋体" w:hAnsi="宋体" w:cs="宋体"/>
          <w:sz w:val="24"/>
          <w:highlight w:val="none"/>
        </w:rPr>
      </w:pPr>
      <w:r>
        <w:rPr>
          <w:rFonts w:ascii="Wingdings" w:hAnsi="Wingdings" w:eastAsia="Wingdings" w:cs="Wingdings"/>
          <w:sz w:val="24"/>
          <w:highlight w:val="none"/>
        </w:rPr>
        <w:t></w:t>
      </w:r>
      <w:r>
        <w:rPr>
          <w:rFonts w:hint="eastAsia" w:ascii="宋体" w:hAnsi="宋体" w:cs="宋体"/>
          <w:sz w:val="24"/>
          <w:highlight w:val="none"/>
        </w:rPr>
        <w:t>否</w:t>
      </w:r>
    </w:p>
    <w:p w14:paraId="01543265">
      <w:pPr>
        <w:widowControl/>
        <w:numPr>
          <w:ilvl w:val="255"/>
          <w:numId w:val="0"/>
        </w:numPr>
        <w:spacing w:line="360" w:lineRule="auto"/>
        <w:jc w:val="left"/>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t>4</w:t>
      </w:r>
      <w:r>
        <w:rPr>
          <w:rFonts w:hint="eastAsia" w:ascii="宋体" w:hAnsi="宋体" w:cs="宋体"/>
          <w:sz w:val="24"/>
          <w:highlight w:val="none"/>
        </w:rPr>
        <w:t>）政府采购组织形式：</w:t>
      </w:r>
      <w:r>
        <w:rPr>
          <w:rFonts w:ascii="Wingdings" w:hAnsi="Wingdings" w:eastAsia="Wingdings" w:cs="Wingdings"/>
          <w:sz w:val="24"/>
          <w:highlight w:val="none"/>
        </w:rPr>
        <w:t></w:t>
      </w:r>
      <w:r>
        <w:rPr>
          <w:rFonts w:hint="eastAsia" w:ascii="宋体" w:hAnsi="宋体" w:cs="宋体"/>
          <w:sz w:val="24"/>
          <w:highlight w:val="none"/>
        </w:rPr>
        <w:t>政府集中采购</w:t>
      </w:r>
      <w:r>
        <w:rPr>
          <w:rFonts w:ascii="Wingdings" w:hAnsi="Wingdings" w:eastAsia="Wingdings" w:cs="Wingdings"/>
          <w:sz w:val="24"/>
          <w:highlight w:val="none"/>
        </w:rPr>
        <w:t></w:t>
      </w:r>
      <w:r>
        <w:rPr>
          <w:rFonts w:hint="eastAsia" w:ascii="宋体" w:hAnsi="宋体" w:cs="宋体"/>
          <w:sz w:val="24"/>
          <w:highlight w:val="none"/>
        </w:rPr>
        <w:t xml:space="preserve">部门集中采购  </w:t>
      </w:r>
      <w:r>
        <w:rPr>
          <w:rFonts w:ascii="Wingdings" w:hAnsi="Wingdings" w:eastAsia="Wingdings" w:cs="Wingdings"/>
          <w:sz w:val="24"/>
          <w:highlight w:val="none"/>
        </w:rPr>
        <w:sym w:font="Wingdings" w:char="00FE"/>
      </w:r>
      <w:r>
        <w:rPr>
          <w:rFonts w:hint="eastAsia" w:ascii="宋体" w:hAnsi="宋体" w:cs="宋体"/>
          <w:sz w:val="24"/>
          <w:highlight w:val="none"/>
        </w:rPr>
        <w:t>分散采购</w:t>
      </w:r>
    </w:p>
    <w:p w14:paraId="11DDE319">
      <w:pPr>
        <w:widowControl/>
        <w:numPr>
          <w:ilvl w:val="255"/>
          <w:numId w:val="0"/>
        </w:numPr>
        <w:spacing w:line="360" w:lineRule="auto"/>
        <w:ind w:firstLine="420"/>
        <w:jc w:val="left"/>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5</w:t>
      </w:r>
      <w:r>
        <w:rPr>
          <w:rFonts w:hint="eastAsia" w:ascii="宋体" w:hAnsi="宋体" w:cs="宋体"/>
          <w:sz w:val="24"/>
          <w:highlight w:val="none"/>
        </w:rPr>
        <w:t>）政府采购方式：</w:t>
      </w:r>
      <w:r>
        <w:rPr>
          <w:rFonts w:ascii="Wingdings" w:hAnsi="Wingdings" w:eastAsia="Wingdings" w:cs="Wingdings"/>
          <w:sz w:val="24"/>
          <w:highlight w:val="none"/>
        </w:rPr>
        <w:sym w:font="Wingdings" w:char="00FE"/>
      </w:r>
      <w:r>
        <w:rPr>
          <w:rFonts w:hint="eastAsia" w:ascii="宋体" w:hAnsi="宋体" w:cs="宋体"/>
          <w:sz w:val="24"/>
          <w:highlight w:val="none"/>
        </w:rPr>
        <w:t>公开招标</w:t>
      </w:r>
      <w:r>
        <w:rPr>
          <w:rFonts w:ascii="Wingdings" w:hAnsi="Wingdings" w:eastAsia="Wingdings" w:cs="Wingdings"/>
          <w:sz w:val="24"/>
          <w:highlight w:val="none"/>
        </w:rPr>
        <w:t></w:t>
      </w:r>
      <w:r>
        <w:rPr>
          <w:rFonts w:hint="eastAsia" w:ascii="宋体" w:hAnsi="宋体" w:cs="宋体"/>
          <w:sz w:val="24"/>
          <w:highlight w:val="none"/>
        </w:rPr>
        <w:t>邀请招标</w:t>
      </w:r>
      <w:r>
        <w:rPr>
          <w:rFonts w:ascii="Wingdings" w:hAnsi="Wingdings" w:eastAsia="Wingdings" w:cs="Wingdings"/>
          <w:sz w:val="24"/>
          <w:highlight w:val="none"/>
        </w:rPr>
        <w:t></w:t>
      </w:r>
      <w:r>
        <w:rPr>
          <w:rFonts w:hint="eastAsia" w:ascii="宋体" w:hAnsi="宋体" w:cs="宋体"/>
          <w:sz w:val="24"/>
          <w:highlight w:val="none"/>
        </w:rPr>
        <w:t>竞争性谈判</w:t>
      </w:r>
      <w:r>
        <w:rPr>
          <w:rFonts w:ascii="Wingdings" w:hAnsi="Wingdings" w:eastAsia="Wingdings" w:cs="Wingdings"/>
          <w:sz w:val="24"/>
          <w:highlight w:val="none"/>
        </w:rPr>
        <w:t></w:t>
      </w:r>
      <w:r>
        <w:rPr>
          <w:rFonts w:hint="eastAsia" w:ascii="宋体" w:hAnsi="宋体" w:cs="宋体"/>
          <w:sz w:val="24"/>
          <w:highlight w:val="none"/>
        </w:rPr>
        <w:t>竞争性磋商</w:t>
      </w:r>
    </w:p>
    <w:p w14:paraId="1357BB8F">
      <w:pPr>
        <w:widowControl/>
        <w:numPr>
          <w:ilvl w:val="255"/>
          <w:numId w:val="0"/>
        </w:numPr>
        <w:spacing w:line="360" w:lineRule="auto"/>
        <w:ind w:firstLine="420"/>
        <w:jc w:val="left"/>
        <w:rPr>
          <w:rFonts w:ascii="宋体" w:hAnsi="宋体" w:cs="宋体"/>
          <w:sz w:val="24"/>
          <w:highlight w:val="none"/>
          <w:u w:val="single"/>
        </w:rPr>
      </w:pPr>
      <w:r>
        <w:rPr>
          <w:rFonts w:ascii="Wingdings" w:hAnsi="Wingdings" w:eastAsia="Wingdings" w:cs="Wingdings"/>
          <w:sz w:val="24"/>
          <w:highlight w:val="none"/>
        </w:rPr>
        <w:t></w:t>
      </w:r>
      <w:r>
        <w:rPr>
          <w:rFonts w:hint="eastAsia" w:ascii="宋体" w:hAnsi="宋体" w:cs="宋体"/>
          <w:sz w:val="24"/>
          <w:highlight w:val="none"/>
        </w:rPr>
        <w:t>询价</w:t>
      </w:r>
      <w:r>
        <w:rPr>
          <w:rFonts w:ascii="Wingdings" w:hAnsi="Wingdings" w:eastAsia="Wingdings" w:cs="Wingdings"/>
          <w:sz w:val="24"/>
          <w:highlight w:val="none"/>
        </w:rPr>
        <w:t></w:t>
      </w:r>
      <w:r>
        <w:rPr>
          <w:rFonts w:hint="eastAsia" w:ascii="宋体" w:hAnsi="宋体" w:cs="宋体"/>
          <w:sz w:val="24"/>
          <w:highlight w:val="none"/>
        </w:rPr>
        <w:t>单一来源</w:t>
      </w:r>
      <w:r>
        <w:rPr>
          <w:rFonts w:ascii="Wingdings" w:hAnsi="Wingdings" w:eastAsia="Wingdings" w:cs="Wingdings"/>
          <w:sz w:val="24"/>
          <w:highlight w:val="none"/>
        </w:rPr>
        <w:t></w:t>
      </w:r>
      <w:r>
        <w:rPr>
          <w:rFonts w:hint="eastAsia" w:ascii="宋体" w:hAnsi="宋体" w:cs="宋体"/>
          <w:sz w:val="24"/>
          <w:highlight w:val="none"/>
        </w:rPr>
        <w:t>框架协议</w:t>
      </w:r>
      <w:r>
        <w:rPr>
          <w:rFonts w:ascii="Wingdings" w:hAnsi="Wingdings" w:eastAsia="Wingdings" w:cs="Wingdings"/>
          <w:sz w:val="24"/>
          <w:highlight w:val="none"/>
        </w:rPr>
        <w:t></w:t>
      </w:r>
      <w:r>
        <w:rPr>
          <w:rFonts w:hint="eastAsia" w:ascii="宋体" w:hAnsi="宋体" w:cs="宋体"/>
          <w:sz w:val="24"/>
          <w:highlight w:val="none"/>
        </w:rPr>
        <w:t>其他：</w:t>
      </w:r>
    </w:p>
    <w:p w14:paraId="26B44408">
      <w:pPr>
        <w:widowControl/>
        <w:numPr>
          <w:ilvl w:val="255"/>
          <w:numId w:val="0"/>
        </w:numPr>
        <w:spacing w:line="360" w:lineRule="auto"/>
        <w:ind w:firstLine="420"/>
        <w:jc w:val="left"/>
        <w:rPr>
          <w:rFonts w:ascii="宋体" w:hAnsi="宋体" w:cs="宋体"/>
          <w:sz w:val="24"/>
          <w:highlight w:val="none"/>
        </w:rPr>
      </w:pPr>
      <w:r>
        <w:rPr>
          <w:rFonts w:hint="eastAsia" w:ascii="宋体" w:hAnsi="宋体" w:cs="宋体"/>
          <w:sz w:val="24"/>
          <w:highlight w:val="none"/>
        </w:rPr>
        <w:t>（注：在框架协议采购的第二阶段，可选择使用该合同文本）</w:t>
      </w:r>
    </w:p>
    <w:p w14:paraId="43B5DAF8">
      <w:pPr>
        <w:widowControl/>
        <w:numPr>
          <w:ilvl w:val="255"/>
          <w:numId w:val="0"/>
        </w:numPr>
        <w:spacing w:line="360" w:lineRule="auto"/>
        <w:ind w:firstLine="240"/>
        <w:jc w:val="left"/>
        <w:rPr>
          <w:rFonts w:ascii="宋体" w:hAnsi="宋体"/>
          <w:sz w:val="24"/>
          <w:highlight w:val="none"/>
        </w:rPr>
      </w:pPr>
      <w:r>
        <w:rPr>
          <w:rFonts w:hint="eastAsia" w:ascii="宋体" w:hAnsi="宋体" w:eastAsia="华文楷体" w:cs="华文楷体"/>
          <w:sz w:val="24"/>
          <w:highlight w:val="none"/>
        </w:rPr>
        <w:t xml:space="preserve"> （</w:t>
      </w:r>
      <w:r>
        <w:rPr>
          <w:rFonts w:ascii="宋体" w:hAnsi="宋体" w:eastAsia="华文楷体" w:cs="华文楷体"/>
          <w:sz w:val="24"/>
          <w:highlight w:val="none"/>
        </w:rPr>
        <w:t>6</w:t>
      </w:r>
      <w:r>
        <w:rPr>
          <w:rFonts w:hint="eastAsia" w:ascii="宋体" w:hAnsi="宋体" w:eastAsia="华文楷体" w:cs="华文楷体"/>
          <w:sz w:val="24"/>
          <w:highlight w:val="none"/>
        </w:rPr>
        <w:t>）</w:t>
      </w:r>
      <w:r>
        <w:rPr>
          <w:rFonts w:hint="eastAsia" w:ascii="宋体" w:hAnsi="宋体"/>
          <w:sz w:val="24"/>
          <w:highlight w:val="none"/>
        </w:rPr>
        <w:t>中标（成交）采购标的制造商是否为中小企业：</w:t>
      </w:r>
      <w:r>
        <w:rPr>
          <w:rFonts w:ascii="Wingdings" w:hAnsi="Wingdings" w:eastAsia="Wingdings" w:cs="Wingdings"/>
          <w:sz w:val="24"/>
          <w:highlight w:val="none"/>
        </w:rPr>
        <w:sym w:font="Wingdings" w:char="00FE"/>
      </w:r>
      <w:r>
        <w:rPr>
          <w:rFonts w:hint="eastAsia" w:ascii="宋体" w:hAnsi="宋体"/>
          <w:sz w:val="24"/>
          <w:highlight w:val="none"/>
        </w:rPr>
        <w:t xml:space="preserve">是      </w:t>
      </w:r>
      <w:r>
        <w:rPr>
          <w:rFonts w:ascii="Wingdings" w:hAnsi="Wingdings" w:eastAsia="Wingdings" w:cs="Wingdings"/>
          <w:sz w:val="24"/>
          <w:highlight w:val="none"/>
        </w:rPr>
        <w:t></w:t>
      </w:r>
      <w:r>
        <w:rPr>
          <w:rFonts w:hint="eastAsia" w:ascii="宋体" w:hAnsi="宋体"/>
          <w:sz w:val="24"/>
          <w:highlight w:val="none"/>
        </w:rPr>
        <w:t>否</w:t>
      </w:r>
    </w:p>
    <w:p w14:paraId="79DCD581">
      <w:pPr>
        <w:numPr>
          <w:ilvl w:val="255"/>
          <w:numId w:val="0"/>
        </w:numPr>
        <w:spacing w:line="360" w:lineRule="auto"/>
        <w:rPr>
          <w:rFonts w:ascii="宋体" w:hAnsi="宋体"/>
          <w:iCs/>
          <w:sz w:val="24"/>
          <w:highlight w:val="none"/>
        </w:rPr>
      </w:pPr>
      <w:r>
        <w:rPr>
          <w:rFonts w:hint="eastAsia" w:ascii="宋体" w:hAnsi="宋体"/>
          <w:sz w:val="24"/>
          <w:highlight w:val="none"/>
        </w:rPr>
        <w:t xml:space="preserve">         本合同是否为专门面向中小企业的采购合同（中小企业预留合同）：</w:t>
      </w:r>
      <w:r>
        <w:rPr>
          <w:rFonts w:ascii="Wingdings" w:hAnsi="Wingdings" w:eastAsia="Wingdings" w:cs="Wingdings"/>
          <w:iCs/>
          <w:sz w:val="24"/>
          <w:highlight w:val="none"/>
        </w:rPr>
        <w:sym w:font="Wingdings" w:char="00FE"/>
      </w:r>
      <w:r>
        <w:rPr>
          <w:rFonts w:hint="eastAsia" w:ascii="宋体" w:hAnsi="宋体"/>
          <w:iCs/>
          <w:sz w:val="24"/>
          <w:highlight w:val="none"/>
        </w:rPr>
        <w:t xml:space="preserve">是 </w:t>
      </w:r>
      <w:r>
        <w:rPr>
          <w:rFonts w:ascii="Wingdings" w:hAnsi="Wingdings" w:eastAsia="Wingdings" w:cs="Wingdings"/>
          <w:iCs/>
          <w:sz w:val="24"/>
          <w:highlight w:val="none"/>
        </w:rPr>
        <w:t></w:t>
      </w:r>
      <w:r>
        <w:rPr>
          <w:rFonts w:hint="eastAsia" w:ascii="宋体" w:hAnsi="宋体"/>
          <w:iCs/>
          <w:sz w:val="24"/>
          <w:highlight w:val="none"/>
        </w:rPr>
        <w:t>否</w:t>
      </w:r>
    </w:p>
    <w:p w14:paraId="7FE84978">
      <w:pPr>
        <w:numPr>
          <w:ilvl w:val="255"/>
          <w:numId w:val="0"/>
        </w:numPr>
        <w:spacing w:line="360" w:lineRule="auto"/>
        <w:rPr>
          <w:rFonts w:ascii="宋体" w:hAnsi="宋体"/>
          <w:iCs/>
          <w:sz w:val="24"/>
          <w:highlight w:val="none"/>
        </w:rPr>
      </w:pPr>
      <w:r>
        <w:rPr>
          <w:rFonts w:hint="eastAsia"/>
          <w:sz w:val="24"/>
          <w:highlight w:val="none"/>
        </w:rPr>
        <w:t xml:space="preserve">         若本项目不专门面向中小企业采购，是否给予小微企业评审优惠：</w:t>
      </w:r>
      <w:r>
        <w:rPr>
          <w:rFonts w:ascii="Wingdings" w:hAnsi="Wingdings" w:eastAsia="Wingdings" w:cs="Wingdings"/>
          <w:iCs/>
          <w:sz w:val="24"/>
          <w:highlight w:val="none"/>
        </w:rPr>
        <w:t></w:t>
      </w:r>
      <w:r>
        <w:rPr>
          <w:rFonts w:hint="eastAsia" w:ascii="宋体" w:hAnsi="宋体"/>
          <w:iCs/>
          <w:sz w:val="24"/>
          <w:highlight w:val="none"/>
        </w:rPr>
        <w:t xml:space="preserve">是   </w:t>
      </w:r>
      <w:r>
        <w:rPr>
          <w:rFonts w:ascii="Wingdings" w:hAnsi="Wingdings" w:eastAsia="Wingdings" w:cs="Wingdings"/>
          <w:iCs/>
          <w:sz w:val="24"/>
          <w:highlight w:val="none"/>
        </w:rPr>
        <w:t></w:t>
      </w:r>
      <w:r>
        <w:rPr>
          <w:rFonts w:hint="eastAsia" w:ascii="宋体" w:hAnsi="宋体"/>
          <w:iCs/>
          <w:sz w:val="24"/>
          <w:highlight w:val="none"/>
        </w:rPr>
        <w:t>否</w:t>
      </w:r>
    </w:p>
    <w:p w14:paraId="300992C6">
      <w:pPr>
        <w:numPr>
          <w:ilvl w:val="255"/>
          <w:numId w:val="0"/>
        </w:numPr>
        <w:spacing w:line="360" w:lineRule="auto"/>
        <w:rPr>
          <w:rFonts w:ascii="宋体" w:hAnsi="宋体"/>
          <w:iCs/>
          <w:sz w:val="24"/>
          <w:highlight w:val="none"/>
        </w:rPr>
      </w:pPr>
      <w:r>
        <w:rPr>
          <w:rFonts w:hint="eastAsia"/>
          <w:sz w:val="24"/>
          <w:highlight w:val="none"/>
        </w:rPr>
        <w:t xml:space="preserve">         中标（成交）采购标的制造商是否为残疾人福利性单位：</w:t>
      </w:r>
      <w:r>
        <w:rPr>
          <w:rFonts w:ascii="Wingdings" w:hAnsi="Wingdings" w:eastAsia="Wingdings" w:cs="Wingdings"/>
          <w:iCs/>
          <w:sz w:val="24"/>
          <w:highlight w:val="none"/>
        </w:rPr>
        <w:t></w:t>
      </w:r>
      <w:r>
        <w:rPr>
          <w:rFonts w:hint="eastAsia" w:ascii="宋体" w:hAnsi="宋体"/>
          <w:iCs/>
          <w:sz w:val="24"/>
          <w:highlight w:val="none"/>
        </w:rPr>
        <w:t xml:space="preserve">是   </w:t>
      </w:r>
      <w:r>
        <w:rPr>
          <w:rFonts w:ascii="Wingdings" w:hAnsi="Wingdings" w:eastAsia="Wingdings" w:cs="Wingdings"/>
          <w:iCs/>
          <w:sz w:val="24"/>
          <w:highlight w:val="none"/>
        </w:rPr>
        <w:t></w:t>
      </w:r>
      <w:r>
        <w:rPr>
          <w:rFonts w:hint="eastAsia" w:ascii="宋体" w:hAnsi="宋体"/>
          <w:iCs/>
          <w:sz w:val="24"/>
          <w:highlight w:val="none"/>
        </w:rPr>
        <w:t>否</w:t>
      </w:r>
    </w:p>
    <w:p w14:paraId="7153C7D9">
      <w:pPr>
        <w:spacing w:line="360" w:lineRule="auto"/>
        <w:rPr>
          <w:sz w:val="24"/>
          <w:highlight w:val="none"/>
        </w:rPr>
      </w:pPr>
      <w:r>
        <w:rPr>
          <w:rFonts w:hint="eastAsia"/>
          <w:sz w:val="24"/>
          <w:highlight w:val="none"/>
        </w:rPr>
        <w:t xml:space="preserve">         中标（成交）采购标的制造商是否为监狱企业：</w:t>
      </w:r>
      <w:r>
        <w:rPr>
          <w:rFonts w:ascii="Wingdings" w:hAnsi="Wingdings" w:eastAsia="Wingdings" w:cs="Wingdings"/>
          <w:iCs/>
          <w:sz w:val="24"/>
          <w:highlight w:val="none"/>
        </w:rPr>
        <w:t></w:t>
      </w:r>
      <w:r>
        <w:rPr>
          <w:rFonts w:hint="eastAsia" w:ascii="宋体" w:hAnsi="宋体"/>
          <w:iCs/>
          <w:sz w:val="24"/>
          <w:highlight w:val="none"/>
        </w:rPr>
        <w:t xml:space="preserve">是       </w:t>
      </w:r>
      <w:r>
        <w:rPr>
          <w:rFonts w:ascii="Wingdings" w:hAnsi="Wingdings" w:eastAsia="Wingdings" w:cs="Wingdings"/>
          <w:iCs/>
          <w:sz w:val="24"/>
          <w:highlight w:val="none"/>
        </w:rPr>
        <w:t></w:t>
      </w:r>
      <w:r>
        <w:rPr>
          <w:rFonts w:hint="eastAsia" w:ascii="宋体" w:hAnsi="宋体"/>
          <w:iCs/>
          <w:sz w:val="24"/>
          <w:highlight w:val="none"/>
        </w:rPr>
        <w:t>否</w:t>
      </w:r>
    </w:p>
    <w:p w14:paraId="5774F086">
      <w:pPr>
        <w:spacing w:line="360" w:lineRule="auto"/>
        <w:ind w:firstLine="480"/>
        <w:rPr>
          <w:rFonts w:ascii="宋体" w:hAnsi="宋体"/>
          <w:sz w:val="24"/>
          <w:highlight w:val="none"/>
        </w:rPr>
      </w:pPr>
      <w:r>
        <w:rPr>
          <w:rFonts w:hint="eastAsia" w:ascii="宋体" w:hAnsi="宋体"/>
          <w:sz w:val="24"/>
          <w:highlight w:val="none"/>
        </w:rPr>
        <w:t>（</w:t>
      </w:r>
      <w:r>
        <w:rPr>
          <w:rFonts w:ascii="宋体" w:hAnsi="宋体"/>
          <w:sz w:val="24"/>
          <w:highlight w:val="none"/>
        </w:rPr>
        <w:t>7</w:t>
      </w:r>
      <w:r>
        <w:rPr>
          <w:rFonts w:hint="eastAsia" w:ascii="宋体" w:hAnsi="宋体"/>
          <w:sz w:val="24"/>
          <w:highlight w:val="none"/>
        </w:rPr>
        <w:t>）合同是否分包：</w:t>
      </w:r>
      <w:r>
        <w:rPr>
          <w:rFonts w:ascii="Wingdings" w:hAnsi="Wingdings" w:eastAsia="Wingdings" w:cs="Wingdings"/>
          <w:iCs/>
          <w:sz w:val="24"/>
          <w:highlight w:val="none"/>
        </w:rPr>
        <w:t></w:t>
      </w:r>
      <w:r>
        <w:rPr>
          <w:rFonts w:hint="eastAsia" w:ascii="宋体" w:hAnsi="宋体"/>
          <w:iCs/>
          <w:sz w:val="24"/>
          <w:highlight w:val="none"/>
        </w:rPr>
        <w:t xml:space="preserve">是       </w:t>
      </w:r>
      <w:r>
        <w:rPr>
          <w:rFonts w:ascii="Wingdings" w:hAnsi="Wingdings" w:eastAsia="Wingdings" w:cs="Wingdings"/>
          <w:iCs/>
          <w:sz w:val="24"/>
          <w:highlight w:val="none"/>
        </w:rPr>
        <w:sym w:font="Wingdings" w:char="00A8"/>
      </w:r>
      <w:r>
        <w:rPr>
          <w:rFonts w:hint="eastAsia" w:ascii="宋体" w:hAnsi="宋体"/>
          <w:iCs/>
          <w:sz w:val="24"/>
          <w:highlight w:val="none"/>
        </w:rPr>
        <w:t>否</w:t>
      </w:r>
    </w:p>
    <w:p w14:paraId="4332EAEF">
      <w:pPr>
        <w:spacing w:line="360" w:lineRule="auto"/>
        <w:ind w:firstLine="960"/>
        <w:rPr>
          <w:rFonts w:ascii="宋体" w:hAnsi="宋体"/>
          <w:sz w:val="24"/>
          <w:highlight w:val="none"/>
          <w:u w:val="single"/>
        </w:rPr>
      </w:pPr>
      <w:r>
        <w:rPr>
          <w:rFonts w:hint="eastAsia" w:ascii="宋体" w:hAnsi="宋体"/>
          <w:sz w:val="24"/>
          <w:highlight w:val="none"/>
        </w:rPr>
        <w:t>分包主要内容：</w:t>
      </w:r>
    </w:p>
    <w:p w14:paraId="6EFEFA58">
      <w:pPr>
        <w:spacing w:line="360" w:lineRule="auto"/>
        <w:ind w:firstLine="960"/>
        <w:rPr>
          <w:rFonts w:ascii="宋体" w:hAnsi="宋体"/>
          <w:sz w:val="24"/>
          <w:highlight w:val="none"/>
        </w:rPr>
      </w:pPr>
      <w:r>
        <w:rPr>
          <w:rFonts w:hint="eastAsia" w:ascii="宋体" w:hAnsi="宋体"/>
          <w:sz w:val="24"/>
          <w:highlight w:val="none"/>
        </w:rPr>
        <w:t>分包供应商/制造商名称（如供应商和制造商不同，请分别填写）：</w:t>
      </w:r>
    </w:p>
    <w:p w14:paraId="188375B6">
      <w:pPr>
        <w:spacing w:line="360" w:lineRule="auto"/>
        <w:ind w:firstLine="960"/>
        <w:rPr>
          <w:rFonts w:ascii="宋体" w:hAnsi="宋体"/>
          <w:sz w:val="24"/>
          <w:highlight w:val="none"/>
        </w:rPr>
      </w:pPr>
      <w:r>
        <w:rPr>
          <w:rFonts w:hint="eastAsia" w:ascii="宋体" w:hAnsi="宋体"/>
          <w:sz w:val="24"/>
          <w:highlight w:val="none"/>
        </w:rPr>
        <w:t>分包供应商/制造商类型（如果供应商和制造商不同，只填写制造商类型）：</w:t>
      </w:r>
    </w:p>
    <w:p w14:paraId="57ADE237">
      <w:pPr>
        <w:spacing w:line="360" w:lineRule="auto"/>
        <w:ind w:firstLine="960"/>
        <w:rPr>
          <w:rFonts w:ascii="宋体" w:hAnsi="宋体"/>
          <w:iCs/>
          <w:sz w:val="24"/>
          <w:highlight w:val="none"/>
        </w:rPr>
      </w:pPr>
      <w:r>
        <w:rPr>
          <w:rFonts w:ascii="Wingdings" w:hAnsi="Wingdings" w:eastAsia="Wingdings" w:cs="Wingdings"/>
          <w:iCs/>
          <w:sz w:val="24"/>
          <w:highlight w:val="none"/>
        </w:rPr>
        <w:t></w:t>
      </w:r>
      <w:r>
        <w:rPr>
          <w:rFonts w:hint="eastAsia" w:ascii="宋体" w:hAnsi="宋体"/>
          <w:iCs/>
          <w:sz w:val="24"/>
          <w:highlight w:val="none"/>
        </w:rPr>
        <w:t xml:space="preserve">大型企业  </w:t>
      </w:r>
      <w:r>
        <w:rPr>
          <w:rFonts w:ascii="Wingdings" w:hAnsi="Wingdings" w:eastAsia="Wingdings" w:cs="Wingdings"/>
          <w:iCs/>
          <w:sz w:val="24"/>
          <w:highlight w:val="none"/>
        </w:rPr>
        <w:t></w:t>
      </w:r>
      <w:r>
        <w:rPr>
          <w:rFonts w:hint="eastAsia" w:ascii="宋体" w:hAnsi="宋体"/>
          <w:iCs/>
          <w:sz w:val="24"/>
          <w:highlight w:val="none"/>
        </w:rPr>
        <w:t xml:space="preserve">中型企业  </w:t>
      </w:r>
      <w:r>
        <w:rPr>
          <w:rFonts w:ascii="Wingdings" w:hAnsi="Wingdings" w:eastAsia="Wingdings" w:cs="Wingdings"/>
          <w:iCs/>
          <w:sz w:val="24"/>
          <w:highlight w:val="none"/>
        </w:rPr>
        <w:t></w:t>
      </w:r>
      <w:r>
        <w:rPr>
          <w:rFonts w:hint="eastAsia" w:ascii="宋体" w:hAnsi="宋体"/>
          <w:iCs/>
          <w:sz w:val="24"/>
          <w:highlight w:val="none"/>
        </w:rPr>
        <w:t>小微型企业</w:t>
      </w:r>
    </w:p>
    <w:p w14:paraId="78C6154C">
      <w:pPr>
        <w:spacing w:line="360" w:lineRule="auto"/>
        <w:ind w:firstLine="960"/>
        <w:rPr>
          <w:rFonts w:eastAsia="华文楷体"/>
          <w:sz w:val="24"/>
          <w:highlight w:val="none"/>
        </w:rPr>
      </w:pPr>
      <w:r>
        <w:rPr>
          <w:rFonts w:ascii="Wingdings" w:hAnsi="Wingdings" w:eastAsia="Wingdings" w:cs="Wingdings"/>
          <w:iCs/>
          <w:sz w:val="24"/>
          <w:highlight w:val="none"/>
        </w:rPr>
        <w:t></w:t>
      </w:r>
      <w:r>
        <w:rPr>
          <w:rFonts w:hint="eastAsia" w:ascii="宋体" w:hAnsi="宋体"/>
          <w:iCs/>
          <w:sz w:val="24"/>
          <w:highlight w:val="none"/>
        </w:rPr>
        <w:t>残疾人福利性单位</w:t>
      </w:r>
      <w:r>
        <w:rPr>
          <w:rFonts w:ascii="Wingdings" w:hAnsi="Wingdings" w:eastAsia="Wingdings" w:cs="Wingdings"/>
          <w:iCs/>
          <w:sz w:val="24"/>
          <w:highlight w:val="none"/>
        </w:rPr>
        <w:t></w:t>
      </w:r>
      <w:r>
        <w:rPr>
          <w:rFonts w:hint="eastAsia" w:ascii="宋体" w:hAnsi="宋体"/>
          <w:iCs/>
          <w:sz w:val="24"/>
          <w:highlight w:val="none"/>
        </w:rPr>
        <w:t>监狱企业</w:t>
      </w:r>
      <w:r>
        <w:rPr>
          <w:rFonts w:ascii="Wingdings" w:hAnsi="Wingdings" w:eastAsia="Wingdings" w:cs="Wingdings"/>
          <w:iCs/>
          <w:sz w:val="24"/>
          <w:highlight w:val="none"/>
        </w:rPr>
        <w:t></w:t>
      </w:r>
      <w:r>
        <w:rPr>
          <w:rFonts w:hint="eastAsia" w:ascii="宋体" w:hAnsi="宋体"/>
          <w:iCs/>
          <w:sz w:val="24"/>
          <w:highlight w:val="none"/>
        </w:rPr>
        <w:t>其他</w:t>
      </w:r>
    </w:p>
    <w:p w14:paraId="2773E141">
      <w:pPr>
        <w:numPr>
          <w:ilvl w:val="255"/>
          <w:numId w:val="0"/>
        </w:numPr>
        <w:spacing w:line="360" w:lineRule="auto"/>
        <w:ind w:firstLine="480"/>
        <w:rPr>
          <w:rFonts w:ascii="宋体" w:hAnsi="宋体" w:cs="宋体"/>
          <w:iCs/>
          <w:sz w:val="24"/>
          <w:highlight w:val="none"/>
        </w:rPr>
      </w:pPr>
      <w:r>
        <w:rPr>
          <w:rFonts w:hint="eastAsia" w:ascii="宋体" w:hAnsi="宋体" w:cs="宋体"/>
          <w:sz w:val="24"/>
          <w:highlight w:val="none"/>
        </w:rPr>
        <w:t>（</w:t>
      </w:r>
      <w:r>
        <w:rPr>
          <w:rFonts w:ascii="宋体" w:hAnsi="宋体" w:cs="宋体"/>
          <w:sz w:val="24"/>
          <w:highlight w:val="none"/>
        </w:rPr>
        <w:t>8</w:t>
      </w:r>
      <w:r>
        <w:rPr>
          <w:rFonts w:hint="eastAsia" w:ascii="宋体" w:hAnsi="宋体" w:cs="宋体"/>
          <w:sz w:val="24"/>
          <w:highlight w:val="none"/>
        </w:rPr>
        <w:t>）中标（成交）供应商是否为外商投资企业：</w:t>
      </w:r>
      <w:r>
        <w:rPr>
          <w:rFonts w:ascii="Wingdings" w:hAnsi="Wingdings" w:eastAsia="Wingdings" w:cs="Wingdings"/>
          <w:iCs/>
          <w:sz w:val="24"/>
          <w:highlight w:val="none"/>
        </w:rPr>
        <w:t></w:t>
      </w:r>
      <w:r>
        <w:rPr>
          <w:rFonts w:hint="eastAsia" w:ascii="宋体" w:hAnsi="宋体" w:cs="宋体"/>
          <w:iCs/>
          <w:sz w:val="24"/>
          <w:highlight w:val="none"/>
        </w:rPr>
        <w:t xml:space="preserve">是       </w:t>
      </w:r>
      <w:r>
        <w:rPr>
          <w:rFonts w:ascii="Wingdings" w:hAnsi="Wingdings" w:eastAsia="Wingdings" w:cs="Wingdings"/>
          <w:iCs/>
          <w:sz w:val="24"/>
          <w:highlight w:val="none"/>
        </w:rPr>
        <w:t></w:t>
      </w:r>
      <w:r>
        <w:rPr>
          <w:rFonts w:hint="eastAsia" w:ascii="宋体" w:hAnsi="宋体" w:cs="宋体"/>
          <w:iCs/>
          <w:sz w:val="24"/>
          <w:highlight w:val="none"/>
        </w:rPr>
        <w:t>否</w:t>
      </w:r>
    </w:p>
    <w:p w14:paraId="790766F3">
      <w:pPr>
        <w:widowControl/>
        <w:tabs>
          <w:tab w:val="left" w:pos="1340"/>
        </w:tabs>
        <w:spacing w:line="360" w:lineRule="auto"/>
        <w:ind w:firstLine="480"/>
        <w:jc w:val="left"/>
        <w:rPr>
          <w:rFonts w:ascii="宋体" w:hAnsi="宋体" w:cs="宋体"/>
          <w:sz w:val="24"/>
          <w:highlight w:val="none"/>
          <w:u w:val="single"/>
        </w:rPr>
      </w:pPr>
      <w:r>
        <w:rPr>
          <w:rFonts w:hint="eastAsia" w:ascii="宋体" w:hAnsi="宋体" w:cs="宋体"/>
          <w:sz w:val="24"/>
          <w:highlight w:val="none"/>
        </w:rPr>
        <w:t xml:space="preserve">     外商投资企业类型：</w:t>
      </w:r>
      <w:r>
        <w:rPr>
          <w:rFonts w:ascii="Wingdings" w:hAnsi="Wingdings" w:eastAsia="Wingdings" w:cs="Wingdings"/>
          <w:iCs/>
          <w:sz w:val="24"/>
          <w:highlight w:val="none"/>
        </w:rPr>
        <w:t></w:t>
      </w:r>
      <w:r>
        <w:rPr>
          <w:rFonts w:hint="eastAsia" w:ascii="宋体" w:hAnsi="宋体" w:cs="宋体"/>
          <w:sz w:val="24"/>
          <w:highlight w:val="none"/>
        </w:rPr>
        <w:t xml:space="preserve">全部由外国投资者投资  </w:t>
      </w:r>
      <w:r>
        <w:rPr>
          <w:rFonts w:ascii="Wingdings" w:hAnsi="Wingdings" w:eastAsia="Wingdings" w:cs="Wingdings"/>
          <w:iCs/>
          <w:sz w:val="24"/>
          <w:highlight w:val="none"/>
        </w:rPr>
        <w:t></w:t>
      </w:r>
      <w:r>
        <w:rPr>
          <w:rFonts w:hint="eastAsia" w:ascii="宋体" w:hAnsi="宋体" w:cs="宋体"/>
          <w:iCs/>
          <w:sz w:val="24"/>
          <w:highlight w:val="none"/>
        </w:rPr>
        <w:t>部分由外国投资者投资</w:t>
      </w:r>
    </w:p>
    <w:p w14:paraId="7BE2B97A">
      <w:pPr>
        <w:numPr>
          <w:ilvl w:val="255"/>
          <w:numId w:val="0"/>
        </w:numPr>
        <w:spacing w:line="360" w:lineRule="auto"/>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9</w:t>
      </w:r>
      <w:r>
        <w:rPr>
          <w:rFonts w:hint="eastAsia" w:ascii="宋体" w:hAnsi="宋体" w:cs="宋体"/>
          <w:sz w:val="24"/>
          <w:highlight w:val="none"/>
        </w:rPr>
        <w:t>）是否涉及进口产品：</w:t>
      </w:r>
    </w:p>
    <w:p w14:paraId="64A462AF">
      <w:pPr>
        <w:numPr>
          <w:ilvl w:val="255"/>
          <w:numId w:val="0"/>
        </w:numPr>
        <w:spacing w:line="360" w:lineRule="auto"/>
        <w:ind w:firstLine="960"/>
        <w:rPr>
          <w:rFonts w:ascii="宋体" w:hAnsi="宋体" w:cs="宋体"/>
          <w:sz w:val="24"/>
          <w:highlight w:val="none"/>
          <w:u w:val="single"/>
        </w:rPr>
      </w:pPr>
      <w:r>
        <w:rPr>
          <w:rFonts w:ascii="Wingdings" w:hAnsi="Wingdings" w:eastAsia="Wingdings" w:cs="Wingdings"/>
          <w:sz w:val="24"/>
          <w:highlight w:val="none"/>
        </w:rPr>
        <w:t></w:t>
      </w:r>
      <w:r>
        <w:rPr>
          <w:rFonts w:hint="eastAsia" w:ascii="宋体" w:hAnsi="宋体" w:cs="宋体"/>
          <w:sz w:val="24"/>
          <w:highlight w:val="none"/>
        </w:rPr>
        <w:t>是，《政府采购品目分类目录》底级品目名称：金额：</w:t>
      </w:r>
    </w:p>
    <w:p w14:paraId="261408C4">
      <w:pPr>
        <w:numPr>
          <w:ilvl w:val="255"/>
          <w:numId w:val="0"/>
        </w:numPr>
        <w:spacing w:line="360" w:lineRule="auto"/>
        <w:ind w:firstLine="960"/>
        <w:rPr>
          <w:rFonts w:ascii="宋体" w:hAnsi="宋体"/>
          <w:sz w:val="24"/>
          <w:highlight w:val="none"/>
        </w:rPr>
      </w:pPr>
      <w:r>
        <w:rPr>
          <w:rFonts w:hint="eastAsia" w:ascii="宋体" w:hAnsi="宋体" w:cs="宋体"/>
          <w:sz w:val="24"/>
          <w:highlight w:val="none"/>
        </w:rPr>
        <w:t xml:space="preserve">        国别：品牌： 规格型号：</w:t>
      </w:r>
    </w:p>
    <w:p w14:paraId="21A1DFA7">
      <w:pPr>
        <w:spacing w:line="360" w:lineRule="auto"/>
        <w:ind w:firstLine="960"/>
        <w:rPr>
          <w:rFonts w:ascii="宋体" w:hAnsi="宋体"/>
          <w:sz w:val="24"/>
          <w:highlight w:val="none"/>
        </w:rPr>
      </w:pPr>
      <w:r>
        <w:rPr>
          <w:rFonts w:ascii="Wingdings" w:hAnsi="Wingdings" w:eastAsia="Wingdings" w:cs="Wingdings"/>
          <w:sz w:val="24"/>
          <w:highlight w:val="none"/>
        </w:rPr>
        <w:t></w:t>
      </w:r>
      <w:r>
        <w:rPr>
          <w:rFonts w:hint="eastAsia" w:ascii="宋体" w:hAnsi="宋体"/>
          <w:sz w:val="24"/>
          <w:highlight w:val="none"/>
        </w:rPr>
        <w:t>否</w:t>
      </w:r>
    </w:p>
    <w:p w14:paraId="27AEFA4B">
      <w:pPr>
        <w:numPr>
          <w:ilvl w:val="255"/>
          <w:numId w:val="0"/>
        </w:numPr>
        <w:tabs>
          <w:tab w:val="left" w:pos="740"/>
        </w:tabs>
        <w:spacing w:line="360" w:lineRule="auto"/>
        <w:rPr>
          <w:rFonts w:ascii="宋体" w:hAnsi="宋体"/>
          <w:sz w:val="24"/>
          <w:highlight w:val="none"/>
        </w:rPr>
      </w:pPr>
      <w:r>
        <w:rPr>
          <w:rFonts w:hint="eastAsia" w:ascii="宋体" w:hAnsi="宋体"/>
          <w:sz w:val="24"/>
          <w:highlight w:val="none"/>
        </w:rPr>
        <w:t xml:space="preserve">    （1</w:t>
      </w:r>
      <w:r>
        <w:rPr>
          <w:rFonts w:ascii="宋体" w:hAnsi="宋体"/>
          <w:sz w:val="24"/>
          <w:highlight w:val="none"/>
        </w:rPr>
        <w:t>0</w:t>
      </w:r>
      <w:r>
        <w:rPr>
          <w:rFonts w:hint="eastAsia" w:ascii="宋体" w:hAnsi="宋体"/>
          <w:sz w:val="24"/>
          <w:highlight w:val="none"/>
        </w:rPr>
        <w:t>）是否涉及节能产品：</w:t>
      </w:r>
    </w:p>
    <w:p w14:paraId="6CE1AFCF">
      <w:pPr>
        <w:numPr>
          <w:ilvl w:val="255"/>
          <w:numId w:val="0"/>
        </w:numPr>
        <w:tabs>
          <w:tab w:val="left" w:pos="740"/>
        </w:tabs>
        <w:spacing w:line="360" w:lineRule="auto"/>
        <w:ind w:firstLine="960"/>
        <w:rPr>
          <w:rFonts w:ascii="宋体" w:hAnsi="宋体"/>
          <w:iCs/>
          <w:sz w:val="24"/>
          <w:highlight w:val="none"/>
        </w:rPr>
      </w:pPr>
      <w:r>
        <w:rPr>
          <w:rFonts w:ascii="Wingdings" w:hAnsi="Wingdings" w:eastAsia="Wingdings" w:cs="Wingdings"/>
          <w:sz w:val="24"/>
          <w:highlight w:val="none"/>
        </w:rPr>
        <w:t></w:t>
      </w:r>
      <w:r>
        <w:rPr>
          <w:rFonts w:hint="eastAsia" w:ascii="宋体" w:hAnsi="宋体"/>
          <w:sz w:val="24"/>
          <w:highlight w:val="none"/>
        </w:rPr>
        <w:t>是，《节能产品政府采购品目清单》的底级品目名称：</w:t>
      </w:r>
    </w:p>
    <w:p w14:paraId="4677EFB0">
      <w:pPr>
        <w:numPr>
          <w:ilvl w:val="255"/>
          <w:numId w:val="0"/>
        </w:numPr>
        <w:tabs>
          <w:tab w:val="left" w:pos="740"/>
        </w:tabs>
        <w:spacing w:line="360" w:lineRule="auto"/>
        <w:ind w:firstLine="960"/>
        <w:rPr>
          <w:rFonts w:ascii="宋体" w:hAnsi="宋体"/>
          <w:sz w:val="24"/>
          <w:highlight w:val="none"/>
        </w:rPr>
      </w:pPr>
      <w:r>
        <w:rPr>
          <w:rFonts w:ascii="Wingdings" w:hAnsi="Wingdings" w:eastAsia="Wingdings" w:cs="Wingdings"/>
          <w:sz w:val="24"/>
          <w:highlight w:val="none"/>
        </w:rPr>
        <w:t></w:t>
      </w:r>
      <w:r>
        <w:rPr>
          <w:rFonts w:hint="eastAsia" w:ascii="宋体" w:hAnsi="宋体"/>
          <w:sz w:val="24"/>
          <w:highlight w:val="none"/>
        </w:rPr>
        <w:t>强制采购</w:t>
      </w:r>
      <w:r>
        <w:rPr>
          <w:rFonts w:ascii="Wingdings" w:hAnsi="Wingdings" w:eastAsia="Wingdings" w:cs="Wingdings"/>
          <w:sz w:val="24"/>
          <w:highlight w:val="none"/>
        </w:rPr>
        <w:t></w:t>
      </w:r>
      <w:r>
        <w:rPr>
          <w:rFonts w:hint="eastAsia" w:ascii="宋体" w:hAnsi="宋体"/>
          <w:sz w:val="24"/>
          <w:highlight w:val="none"/>
        </w:rPr>
        <w:t>优先采购</w:t>
      </w:r>
    </w:p>
    <w:p w14:paraId="3C666E2A">
      <w:pPr>
        <w:numPr>
          <w:ilvl w:val="255"/>
          <w:numId w:val="0"/>
        </w:numPr>
        <w:tabs>
          <w:tab w:val="left" w:pos="740"/>
        </w:tabs>
        <w:spacing w:line="360" w:lineRule="auto"/>
        <w:ind w:firstLine="960"/>
        <w:rPr>
          <w:rFonts w:ascii="宋体" w:hAnsi="宋体"/>
          <w:sz w:val="24"/>
          <w:highlight w:val="none"/>
        </w:rPr>
      </w:pPr>
      <w:r>
        <w:rPr>
          <w:rFonts w:ascii="Wingdings" w:hAnsi="Wingdings" w:eastAsia="Wingdings" w:cs="Wingdings"/>
          <w:sz w:val="24"/>
          <w:highlight w:val="none"/>
        </w:rPr>
        <w:t></w:t>
      </w:r>
      <w:r>
        <w:rPr>
          <w:rFonts w:hint="eastAsia" w:ascii="宋体" w:hAnsi="宋体"/>
          <w:sz w:val="24"/>
          <w:highlight w:val="none"/>
        </w:rPr>
        <w:t>否</w:t>
      </w:r>
    </w:p>
    <w:p w14:paraId="5D523C4E">
      <w:pPr>
        <w:numPr>
          <w:ilvl w:val="255"/>
          <w:numId w:val="0"/>
        </w:numPr>
        <w:tabs>
          <w:tab w:val="left" w:pos="740"/>
        </w:tabs>
        <w:spacing w:line="360" w:lineRule="auto"/>
        <w:ind w:firstLine="960"/>
        <w:rPr>
          <w:rFonts w:ascii="宋体" w:hAnsi="宋体"/>
          <w:sz w:val="24"/>
          <w:highlight w:val="none"/>
        </w:rPr>
      </w:pPr>
      <w:r>
        <w:rPr>
          <w:rFonts w:hint="eastAsia" w:ascii="宋体" w:hAnsi="宋体"/>
          <w:sz w:val="24"/>
          <w:highlight w:val="none"/>
        </w:rPr>
        <w:t>是否涉及环境标志产品：</w:t>
      </w:r>
    </w:p>
    <w:p w14:paraId="433B4853">
      <w:pPr>
        <w:numPr>
          <w:ilvl w:val="255"/>
          <w:numId w:val="0"/>
        </w:numPr>
        <w:tabs>
          <w:tab w:val="left" w:pos="740"/>
        </w:tabs>
        <w:spacing w:line="360" w:lineRule="auto"/>
        <w:ind w:firstLine="960"/>
        <w:rPr>
          <w:rFonts w:ascii="宋体" w:hAnsi="宋体"/>
          <w:sz w:val="24"/>
          <w:highlight w:val="none"/>
        </w:rPr>
      </w:pPr>
      <w:r>
        <w:rPr>
          <w:rFonts w:ascii="Wingdings" w:hAnsi="Wingdings" w:eastAsia="Wingdings" w:cs="Wingdings"/>
          <w:sz w:val="24"/>
          <w:highlight w:val="none"/>
        </w:rPr>
        <w:t></w:t>
      </w:r>
      <w:r>
        <w:rPr>
          <w:rFonts w:hint="eastAsia" w:ascii="宋体" w:hAnsi="宋体"/>
          <w:sz w:val="24"/>
          <w:highlight w:val="none"/>
        </w:rPr>
        <w:t>是，《环境标志产品政府采购品目清单》的底级品目名称：</w:t>
      </w:r>
    </w:p>
    <w:p w14:paraId="67B7E5DE">
      <w:pPr>
        <w:numPr>
          <w:ilvl w:val="255"/>
          <w:numId w:val="0"/>
        </w:numPr>
        <w:tabs>
          <w:tab w:val="left" w:pos="740"/>
        </w:tabs>
        <w:spacing w:line="360" w:lineRule="auto"/>
        <w:ind w:firstLine="840"/>
        <w:rPr>
          <w:rFonts w:ascii="宋体" w:hAnsi="宋体"/>
          <w:sz w:val="24"/>
          <w:highlight w:val="none"/>
        </w:rPr>
      </w:pPr>
      <w:r>
        <w:rPr>
          <w:rFonts w:ascii="Wingdings" w:hAnsi="Wingdings" w:eastAsia="Wingdings" w:cs="Wingdings"/>
          <w:sz w:val="24"/>
          <w:highlight w:val="none"/>
        </w:rPr>
        <w:t></w:t>
      </w:r>
      <w:r>
        <w:rPr>
          <w:rFonts w:hint="eastAsia" w:ascii="宋体" w:hAnsi="宋体"/>
          <w:sz w:val="24"/>
          <w:highlight w:val="none"/>
        </w:rPr>
        <w:t>强制采购</w:t>
      </w:r>
      <w:r>
        <w:rPr>
          <w:rFonts w:ascii="Wingdings" w:hAnsi="Wingdings" w:eastAsia="Wingdings" w:cs="Wingdings"/>
          <w:sz w:val="24"/>
          <w:highlight w:val="none"/>
        </w:rPr>
        <w:t></w:t>
      </w:r>
      <w:r>
        <w:rPr>
          <w:rFonts w:hint="eastAsia" w:ascii="宋体" w:hAnsi="宋体"/>
          <w:sz w:val="24"/>
          <w:highlight w:val="none"/>
        </w:rPr>
        <w:t>优先采购</w:t>
      </w:r>
    </w:p>
    <w:p w14:paraId="560F8011">
      <w:pPr>
        <w:numPr>
          <w:ilvl w:val="255"/>
          <w:numId w:val="0"/>
        </w:numPr>
        <w:tabs>
          <w:tab w:val="left" w:pos="740"/>
        </w:tabs>
        <w:spacing w:line="360" w:lineRule="auto"/>
        <w:ind w:firstLine="960"/>
        <w:rPr>
          <w:rFonts w:ascii="宋体" w:hAnsi="宋体"/>
          <w:sz w:val="24"/>
          <w:highlight w:val="none"/>
        </w:rPr>
      </w:pPr>
      <w:r>
        <w:rPr>
          <w:rFonts w:ascii="Wingdings" w:hAnsi="Wingdings" w:eastAsia="Wingdings" w:cs="Wingdings"/>
          <w:sz w:val="24"/>
          <w:highlight w:val="none"/>
        </w:rPr>
        <w:t></w:t>
      </w:r>
      <w:r>
        <w:rPr>
          <w:rFonts w:hint="eastAsia" w:ascii="宋体" w:hAnsi="宋体"/>
          <w:sz w:val="24"/>
          <w:highlight w:val="none"/>
        </w:rPr>
        <w:t>否</w:t>
      </w:r>
    </w:p>
    <w:p w14:paraId="319AAF20">
      <w:pPr>
        <w:widowControl/>
        <w:numPr>
          <w:ilvl w:val="255"/>
          <w:numId w:val="0"/>
        </w:numPr>
        <w:spacing w:line="360" w:lineRule="auto"/>
        <w:ind w:firstLine="840"/>
        <w:jc w:val="left"/>
        <w:rPr>
          <w:rFonts w:ascii="宋体" w:hAnsi="宋体"/>
          <w:sz w:val="24"/>
          <w:highlight w:val="none"/>
        </w:rPr>
      </w:pPr>
      <w:r>
        <w:rPr>
          <w:rFonts w:hint="eastAsia" w:ascii="宋体" w:hAnsi="宋体"/>
          <w:sz w:val="24"/>
          <w:highlight w:val="none"/>
        </w:rPr>
        <w:t>是否涉及绿色产品：</w:t>
      </w:r>
    </w:p>
    <w:p w14:paraId="7352F556">
      <w:pPr>
        <w:widowControl/>
        <w:spacing w:line="360" w:lineRule="auto"/>
        <w:ind w:firstLine="900"/>
        <w:jc w:val="left"/>
        <w:rPr>
          <w:rFonts w:ascii="宋体" w:hAnsi="宋体"/>
          <w:sz w:val="24"/>
          <w:highlight w:val="none"/>
        </w:rPr>
      </w:pPr>
      <w:r>
        <w:rPr>
          <w:rFonts w:ascii="Wingdings" w:hAnsi="Wingdings" w:eastAsia="Wingdings" w:cs="Wingdings"/>
          <w:sz w:val="24"/>
          <w:highlight w:val="none"/>
        </w:rPr>
        <w:t></w:t>
      </w:r>
      <w:r>
        <w:rPr>
          <w:rFonts w:hint="eastAsia" w:ascii="宋体" w:hAnsi="宋体"/>
          <w:sz w:val="24"/>
          <w:highlight w:val="none"/>
        </w:rPr>
        <w:t>是，绿色产品政府采购相关政策确定的底级品目名称：</w:t>
      </w:r>
    </w:p>
    <w:p w14:paraId="2C7A3B02">
      <w:pPr>
        <w:numPr>
          <w:ilvl w:val="255"/>
          <w:numId w:val="0"/>
        </w:numPr>
        <w:tabs>
          <w:tab w:val="left" w:pos="740"/>
        </w:tabs>
        <w:spacing w:line="360" w:lineRule="auto"/>
        <w:ind w:firstLine="840"/>
        <w:rPr>
          <w:rFonts w:ascii="宋体" w:hAnsi="宋体"/>
          <w:sz w:val="24"/>
          <w:highlight w:val="none"/>
        </w:rPr>
      </w:pPr>
      <w:r>
        <w:rPr>
          <w:rFonts w:ascii="Wingdings" w:hAnsi="Wingdings" w:eastAsia="Wingdings" w:cs="Wingdings"/>
          <w:sz w:val="24"/>
          <w:highlight w:val="none"/>
        </w:rPr>
        <w:t></w:t>
      </w:r>
      <w:r>
        <w:rPr>
          <w:rFonts w:hint="eastAsia" w:ascii="宋体" w:hAnsi="宋体"/>
          <w:sz w:val="24"/>
          <w:highlight w:val="none"/>
        </w:rPr>
        <w:t>强制采购</w:t>
      </w:r>
      <w:r>
        <w:rPr>
          <w:rFonts w:ascii="Wingdings" w:hAnsi="Wingdings" w:eastAsia="Wingdings" w:cs="Wingdings"/>
          <w:sz w:val="24"/>
          <w:highlight w:val="none"/>
        </w:rPr>
        <w:t></w:t>
      </w:r>
      <w:r>
        <w:rPr>
          <w:rFonts w:hint="eastAsia" w:ascii="宋体" w:hAnsi="宋体"/>
          <w:sz w:val="24"/>
          <w:highlight w:val="none"/>
        </w:rPr>
        <w:t>优先采购</w:t>
      </w:r>
    </w:p>
    <w:p w14:paraId="685D077A">
      <w:pPr>
        <w:widowControl/>
        <w:spacing w:line="360" w:lineRule="auto"/>
        <w:ind w:firstLine="900"/>
        <w:jc w:val="left"/>
        <w:rPr>
          <w:rFonts w:ascii="宋体" w:hAnsi="宋体" w:eastAsia="华文楷体" w:cs="华文楷体"/>
          <w:sz w:val="24"/>
          <w:highlight w:val="none"/>
        </w:rPr>
      </w:pPr>
      <w:r>
        <w:rPr>
          <w:rFonts w:ascii="Wingdings" w:hAnsi="Wingdings" w:eastAsia="Wingdings" w:cs="Wingdings"/>
          <w:sz w:val="24"/>
          <w:highlight w:val="none"/>
        </w:rPr>
        <w:t></w:t>
      </w:r>
      <w:r>
        <w:rPr>
          <w:rFonts w:hint="eastAsia" w:ascii="宋体" w:hAnsi="宋体"/>
          <w:sz w:val="24"/>
          <w:highlight w:val="none"/>
        </w:rPr>
        <w:t>否</w:t>
      </w:r>
    </w:p>
    <w:p w14:paraId="18202B07">
      <w:pPr>
        <w:numPr>
          <w:ilvl w:val="255"/>
          <w:numId w:val="0"/>
        </w:numPr>
        <w:spacing w:line="360" w:lineRule="auto"/>
        <w:rPr>
          <w:rFonts w:ascii="宋体" w:hAnsi="宋体"/>
          <w:sz w:val="24"/>
          <w:highlight w:val="none"/>
        </w:rPr>
      </w:pPr>
      <w:r>
        <w:rPr>
          <w:rFonts w:hint="eastAsia" w:ascii="宋体" w:hAnsi="宋体"/>
          <w:sz w:val="24"/>
          <w:highlight w:val="none"/>
        </w:rPr>
        <w:t xml:space="preserve">    （1</w:t>
      </w:r>
      <w:r>
        <w:rPr>
          <w:rFonts w:ascii="宋体" w:hAnsi="宋体"/>
          <w:sz w:val="24"/>
          <w:highlight w:val="none"/>
        </w:rPr>
        <w:t>1</w:t>
      </w:r>
      <w:r>
        <w:rPr>
          <w:rFonts w:hint="eastAsia" w:ascii="宋体" w:hAnsi="宋体"/>
          <w:sz w:val="24"/>
          <w:highlight w:val="none"/>
        </w:rPr>
        <w:t>）涉及商品包装和快递包装的，是否参考《商品包装政府采购需求标准（试行）</w:t>
      </w:r>
      <w:r>
        <w:rPr>
          <w:rFonts w:hint="eastAsia" w:ascii="宋体" w:hAnsi="宋体"/>
          <w:sz w:val="24"/>
          <w:highlight w:val="none"/>
          <w:lang w:eastAsia="zh-CN"/>
        </w:rPr>
        <w:t>》《</w:t>
      </w:r>
      <w:r>
        <w:rPr>
          <w:rFonts w:hint="eastAsia" w:ascii="宋体" w:hAnsi="宋体"/>
          <w:sz w:val="24"/>
          <w:highlight w:val="none"/>
        </w:rPr>
        <w:t>快递包装政府采购需求标准（试行）》明确产品及相关快递服务的具体包装要求：</w:t>
      </w:r>
    </w:p>
    <w:p w14:paraId="294346FD">
      <w:pPr>
        <w:numPr>
          <w:ilvl w:val="255"/>
          <w:numId w:val="0"/>
        </w:numPr>
        <w:spacing w:line="360" w:lineRule="auto"/>
        <w:ind w:firstLine="960"/>
        <w:rPr>
          <w:rFonts w:ascii="宋体" w:hAnsi="宋体"/>
          <w:sz w:val="24"/>
          <w:highlight w:val="none"/>
        </w:rPr>
      </w:pPr>
      <w:r>
        <w:rPr>
          <w:rFonts w:ascii="Wingdings" w:hAnsi="Wingdings" w:eastAsia="Wingdings" w:cs="Wingdings"/>
          <w:sz w:val="24"/>
          <w:highlight w:val="none"/>
        </w:rPr>
        <w:t></w:t>
      </w:r>
      <w:r>
        <w:rPr>
          <w:rFonts w:hint="eastAsia" w:ascii="宋体" w:hAnsi="宋体"/>
          <w:sz w:val="24"/>
          <w:highlight w:val="none"/>
        </w:rPr>
        <w:t xml:space="preserve">是       </w:t>
      </w:r>
      <w:r>
        <w:rPr>
          <w:rFonts w:ascii="Wingdings" w:hAnsi="Wingdings" w:eastAsia="Wingdings" w:cs="Wingdings"/>
          <w:sz w:val="24"/>
          <w:highlight w:val="none"/>
        </w:rPr>
        <w:t></w:t>
      </w:r>
      <w:r>
        <w:rPr>
          <w:rFonts w:hint="eastAsia" w:ascii="宋体" w:hAnsi="宋体"/>
          <w:sz w:val="24"/>
          <w:highlight w:val="none"/>
        </w:rPr>
        <w:t>否</w:t>
      </w:r>
      <w:r>
        <w:rPr>
          <w:rFonts w:ascii="Wingdings" w:hAnsi="Wingdings" w:eastAsia="Wingdings" w:cs="Wingdings"/>
          <w:sz w:val="24"/>
          <w:highlight w:val="none"/>
        </w:rPr>
        <w:t></w:t>
      </w:r>
      <w:r>
        <w:rPr>
          <w:rFonts w:hint="eastAsia" w:ascii="宋体" w:hAnsi="宋体"/>
          <w:sz w:val="24"/>
          <w:highlight w:val="none"/>
        </w:rPr>
        <w:t>不涉及</w:t>
      </w:r>
    </w:p>
    <w:p w14:paraId="255F1D27">
      <w:pPr>
        <w:numPr>
          <w:ilvl w:val="0"/>
          <w:numId w:val="2"/>
        </w:numPr>
        <w:spacing w:line="360" w:lineRule="auto"/>
        <w:ind w:firstLine="482"/>
        <w:rPr>
          <w:rFonts w:ascii="宋体" w:hAnsi="宋体"/>
          <w:b/>
          <w:sz w:val="24"/>
          <w:highlight w:val="none"/>
        </w:rPr>
      </w:pPr>
      <w:r>
        <w:rPr>
          <w:rFonts w:hint="eastAsia" w:ascii="宋体" w:hAnsi="宋体"/>
          <w:b/>
          <w:sz w:val="24"/>
          <w:highlight w:val="none"/>
        </w:rPr>
        <w:t>合同金额</w:t>
      </w:r>
    </w:p>
    <w:p w14:paraId="4E2B646C">
      <w:pPr>
        <w:spacing w:line="360" w:lineRule="auto"/>
        <w:ind w:firstLine="480"/>
        <w:rPr>
          <w:rFonts w:ascii="宋体" w:hAnsi="宋体"/>
          <w:sz w:val="24"/>
          <w:highlight w:val="none"/>
        </w:rPr>
      </w:pPr>
      <w:r>
        <w:rPr>
          <w:rFonts w:hint="eastAsia" w:ascii="宋体" w:hAnsi="宋体"/>
          <w:sz w:val="24"/>
          <w:highlight w:val="none"/>
        </w:rPr>
        <w:t>（1）合同金额小写：</w:t>
      </w:r>
    </w:p>
    <w:p w14:paraId="2BD10833">
      <w:pPr>
        <w:spacing w:line="360" w:lineRule="auto"/>
        <w:ind w:firstLine="600"/>
        <w:rPr>
          <w:rFonts w:ascii="宋体" w:hAnsi="宋体"/>
          <w:sz w:val="24"/>
          <w:highlight w:val="none"/>
          <w:u w:val="single"/>
        </w:rPr>
      </w:pPr>
      <w:r>
        <w:rPr>
          <w:rFonts w:hint="eastAsia" w:ascii="宋体" w:hAnsi="宋体"/>
          <w:sz w:val="24"/>
          <w:highlight w:val="none"/>
        </w:rPr>
        <w:t>大写：</w:t>
      </w:r>
    </w:p>
    <w:p w14:paraId="7FDD326D">
      <w:pPr>
        <w:spacing w:line="360" w:lineRule="auto"/>
        <w:ind w:firstLine="480"/>
        <w:rPr>
          <w:rFonts w:ascii="宋体" w:hAnsi="宋体"/>
          <w:sz w:val="24"/>
          <w:highlight w:val="none"/>
        </w:rPr>
      </w:pPr>
      <w:r>
        <w:rPr>
          <w:rFonts w:hint="eastAsia" w:ascii="宋体" w:hAnsi="宋体"/>
          <w:sz w:val="24"/>
          <w:highlight w:val="none"/>
        </w:rPr>
        <w:t>分包金额（如有）小写：</w:t>
      </w:r>
    </w:p>
    <w:p w14:paraId="3E9A586B">
      <w:pPr>
        <w:spacing w:line="360" w:lineRule="auto"/>
        <w:ind w:firstLine="480"/>
        <w:rPr>
          <w:rFonts w:ascii="宋体" w:hAnsi="宋体"/>
          <w:sz w:val="24"/>
          <w:highlight w:val="none"/>
          <w:u w:val="single"/>
        </w:rPr>
      </w:pPr>
      <w:r>
        <w:rPr>
          <w:rFonts w:hint="eastAsia" w:ascii="宋体" w:hAnsi="宋体"/>
          <w:sz w:val="24"/>
          <w:highlight w:val="none"/>
        </w:rPr>
        <w:t>大写：</w:t>
      </w:r>
    </w:p>
    <w:p w14:paraId="7EA626F2">
      <w:pPr>
        <w:jc w:val="center"/>
        <w:rPr>
          <w:rFonts w:ascii="宋体" w:hAnsi="宋体"/>
          <w:sz w:val="24"/>
          <w:highlight w:val="none"/>
        </w:rPr>
      </w:pPr>
      <w:r>
        <w:rPr>
          <w:rFonts w:hint="eastAsia" w:ascii="宋体" w:hAnsi="宋体"/>
          <w:sz w:val="24"/>
          <w:highlight w:val="none"/>
        </w:rPr>
        <w:t xml:space="preserve"> （2）付款方式（按项目实际勾选填写，具体详见专用条款第二节</w:t>
      </w:r>
    </w:p>
    <w:p w14:paraId="438F6246">
      <w:pPr>
        <w:spacing w:line="360" w:lineRule="auto"/>
        <w:rPr>
          <w:rFonts w:ascii="宋体" w:hAnsi="宋体"/>
          <w:color w:val="auto"/>
          <w:sz w:val="24"/>
          <w:highlight w:val="none"/>
        </w:rPr>
      </w:pPr>
      <w:r>
        <w:rPr>
          <w:rFonts w:hint="eastAsia" w:ascii="宋体" w:hAnsi="宋体"/>
          <w:sz w:val="24"/>
          <w:highlight w:val="none"/>
        </w:rPr>
        <w:t>第12</w:t>
      </w:r>
      <w:r>
        <w:rPr>
          <w:rFonts w:hint="eastAsia" w:ascii="宋体" w:hAnsi="宋体"/>
          <w:color w:val="auto"/>
          <w:sz w:val="24"/>
          <w:highlight w:val="none"/>
        </w:rPr>
        <w:t>.2款）：</w:t>
      </w:r>
    </w:p>
    <w:p w14:paraId="07183953">
      <w:pPr>
        <w:adjustRightInd w:val="0"/>
        <w:snapToGrid w:val="0"/>
        <w:spacing w:line="400" w:lineRule="exact"/>
        <w:ind w:firstLine="630" w:firstLineChars="300"/>
        <w:rPr>
          <w:rFonts w:ascii="宋体" w:hAnsi="宋体"/>
          <w:color w:val="auto"/>
          <w:szCs w:val="21"/>
          <w:highlight w:val="none"/>
          <w:u w:val="single"/>
        </w:rPr>
      </w:pPr>
      <w:r>
        <w:rPr>
          <w:rFonts w:ascii="宋体" w:hAnsi="宋体"/>
          <w:color w:val="auto"/>
          <w:szCs w:val="21"/>
          <w:highlight w:val="none"/>
        </w:rPr>
        <w:sym w:font="Wingdings" w:char="F0A8"/>
      </w:r>
      <w:r>
        <w:rPr>
          <w:rFonts w:hint="eastAsia" w:ascii="宋体" w:hAnsi="宋体"/>
          <w:color w:val="auto"/>
          <w:szCs w:val="21"/>
          <w:highlight w:val="none"/>
        </w:rPr>
        <w:t>全额付款：</w:t>
      </w:r>
      <w:r>
        <w:rPr>
          <w:rFonts w:hint="eastAsia" w:ascii="宋体" w:hAnsi="宋体"/>
          <w:color w:val="auto"/>
          <w:szCs w:val="21"/>
          <w:highlight w:val="none"/>
          <w:u w:val="single"/>
        </w:rPr>
        <w:t xml:space="preserve">     （应明确一次性支付合同款项的条件）                    </w:t>
      </w:r>
    </w:p>
    <w:p w14:paraId="0A56AA5F">
      <w:pPr>
        <w:pStyle w:val="13"/>
        <w:keepNext w:val="0"/>
        <w:keepLines w:val="0"/>
        <w:pageBreakBefore w:val="0"/>
        <w:kinsoku/>
        <w:wordWrap/>
        <w:overflowPunct/>
        <w:topLinePunct w:val="0"/>
        <w:autoSpaceDE/>
        <w:autoSpaceDN/>
        <w:bidi w:val="0"/>
        <w:adjustRightInd/>
        <w:snapToGrid/>
        <w:spacing w:line="360" w:lineRule="exact"/>
        <w:ind w:firstLine="240" w:firstLineChars="100"/>
        <w:textAlignment w:val="auto"/>
        <w:rPr>
          <w:rFonts w:hint="eastAsia"/>
          <w:highlight w:val="none"/>
        </w:rPr>
      </w:pPr>
      <w:r>
        <w:rPr>
          <w:rFonts w:ascii="宋体" w:hAnsi="宋体"/>
          <w:color w:val="auto"/>
          <w:szCs w:val="21"/>
          <w:highlight w:val="none"/>
        </w:rPr>
        <w:sym w:font="Wingdings" w:char="00FE"/>
      </w:r>
      <w:r>
        <w:rPr>
          <w:rFonts w:hint="eastAsia" w:ascii="宋体" w:hAnsi="宋体"/>
          <w:color w:val="auto"/>
          <w:szCs w:val="21"/>
          <w:highlight w:val="none"/>
        </w:rPr>
        <w:t>分期付款：</w:t>
      </w:r>
      <w:r>
        <w:rPr>
          <w:rFonts w:hint="eastAsia" w:ascii="宋体" w:hAnsi="宋体"/>
          <w:color w:val="auto"/>
          <w:szCs w:val="21"/>
          <w:highlight w:val="none"/>
          <w:u w:val="single"/>
        </w:rPr>
        <w:t xml:space="preserve"> </w:t>
      </w:r>
      <w:r>
        <w:rPr>
          <w:rFonts w:hint="eastAsia" w:ascii="Times New Roman" w:hAnsi="Times New Roman" w:eastAsia="宋体"/>
          <w:color w:val="auto"/>
          <w:highlight w:val="none"/>
          <w:u w:val="single"/>
        </w:rPr>
        <w:t>预付款支付时间：合同签订</w:t>
      </w:r>
      <w:r>
        <w:rPr>
          <w:rFonts w:hint="eastAsia" w:ascii="Times New Roman" w:hAnsi="Times New Roman" w:eastAsia="宋体"/>
          <w:color w:val="auto"/>
          <w:highlight w:val="none"/>
          <w:u w:val="single"/>
          <w:lang w:val="en-US" w:eastAsia="zh-CN"/>
        </w:rPr>
        <w:t>收到发票</w:t>
      </w:r>
      <w:r>
        <w:rPr>
          <w:rFonts w:hint="eastAsia" w:ascii="Times New Roman" w:hAnsi="Times New Roman" w:eastAsia="宋体"/>
          <w:color w:val="auto"/>
          <w:highlight w:val="none"/>
          <w:u w:val="single"/>
        </w:rPr>
        <w:t>后10日内，预付款支付比例：合同金额的30%。</w:t>
      </w:r>
      <w:r>
        <w:rPr>
          <w:rFonts w:ascii="Times New Roman" w:hAnsi="Times New Roman" w:eastAsia="宋体"/>
          <w:color w:val="auto"/>
          <w:highlight w:val="none"/>
          <w:u w:val="single"/>
        </w:rPr>
        <w:t>（签订合同时，如乙方明确表示无需预付款或者主动要求降低预付款比例的，甲方可不适用前述规定）</w:t>
      </w:r>
      <w:r>
        <w:rPr>
          <w:rFonts w:hint="eastAsia" w:ascii="宋体" w:hAnsi="宋体"/>
          <w:color w:val="auto"/>
          <w:szCs w:val="21"/>
          <w:highlight w:val="none"/>
          <w:u w:val="single"/>
        </w:rPr>
        <w:t xml:space="preserve"> 初步验收合格且项目运行满_1_个月后，甲方组织最终验收，最终验收合格后收到乙方发票10个工作日内甲方付50%货款</w:t>
      </w:r>
      <w:r>
        <w:rPr>
          <w:rFonts w:hint="eastAsia" w:ascii="Times New Roman" w:hAnsi="Times New Roman" w:eastAsia="宋体"/>
          <w:color w:val="auto"/>
          <w:highlight w:val="none"/>
          <w:u w:val="single"/>
          <w:lang w:eastAsia="zh-CN"/>
        </w:rPr>
        <w:t>，服务期满36个月后，甲方根据对乙方的考核结果，收到发票后待财政资金到账后结清项目余款。（具体验收流程双方可视实际情况调整）</w:t>
      </w:r>
      <w:r>
        <w:rPr>
          <w:rFonts w:ascii="Times New Roman" w:hAnsi="Times New Roman" w:eastAsia="宋体"/>
          <w:color w:val="auto"/>
          <w:highlight w:val="none"/>
          <w:u w:val="single"/>
        </w:rPr>
        <w:t>。</w:t>
      </w:r>
    </w:p>
    <w:p w14:paraId="0414C8B8">
      <w:pPr>
        <w:adjustRightInd w:val="0"/>
        <w:snapToGrid w:val="0"/>
        <w:spacing w:line="400" w:lineRule="exact"/>
        <w:ind w:firstLine="630" w:firstLineChars="300"/>
        <w:rPr>
          <w:rFonts w:ascii="宋体" w:hAnsi="宋体"/>
          <w:szCs w:val="21"/>
          <w:highlight w:val="none"/>
          <w:u w:val="single"/>
        </w:rPr>
      </w:pPr>
      <w:r>
        <w:rPr>
          <w:rFonts w:ascii="宋体" w:hAnsi="宋体"/>
          <w:szCs w:val="21"/>
          <w:highlight w:val="none"/>
        </w:rPr>
        <w:sym w:font="Wingdings" w:char="F0A8"/>
      </w:r>
      <w:r>
        <w:rPr>
          <w:rFonts w:hint="eastAsia" w:ascii="宋体" w:hAnsi="宋体"/>
          <w:szCs w:val="21"/>
          <w:highlight w:val="none"/>
        </w:rPr>
        <w:t>成本补偿：</w:t>
      </w:r>
      <w:r>
        <w:rPr>
          <w:rFonts w:hint="eastAsia" w:ascii="宋体" w:hAnsi="宋体"/>
          <w:szCs w:val="21"/>
          <w:highlight w:val="none"/>
          <w:u w:val="single"/>
        </w:rPr>
        <w:t xml:space="preserve">      （应明确按照成本补偿方式的支付方式和支付条件）   </w:t>
      </w:r>
    </w:p>
    <w:p w14:paraId="25F8587B">
      <w:pPr>
        <w:adjustRightInd w:val="0"/>
        <w:snapToGrid w:val="0"/>
        <w:spacing w:line="400" w:lineRule="exact"/>
        <w:ind w:firstLine="630" w:firstLineChars="300"/>
        <w:rPr>
          <w:rFonts w:hint="eastAsia" w:ascii="宋体" w:hAnsi="宋体"/>
          <w:szCs w:val="21"/>
          <w:highlight w:val="none"/>
        </w:rPr>
      </w:pPr>
      <w:r>
        <w:rPr>
          <w:rFonts w:ascii="宋体" w:hAnsi="宋体"/>
          <w:szCs w:val="21"/>
          <w:highlight w:val="none"/>
        </w:rPr>
        <w:sym w:font="Wingdings" w:char="F0A8"/>
      </w:r>
      <w:r>
        <w:rPr>
          <w:rFonts w:hint="eastAsia" w:ascii="宋体" w:hAnsi="宋体"/>
          <w:szCs w:val="21"/>
          <w:highlight w:val="none"/>
        </w:rPr>
        <w:t>绩效激励：</w:t>
      </w:r>
      <w:r>
        <w:rPr>
          <w:rFonts w:hint="eastAsia" w:ascii="宋体" w:hAnsi="宋体"/>
          <w:szCs w:val="21"/>
          <w:highlight w:val="none"/>
          <w:u w:val="single"/>
        </w:rPr>
        <w:t xml:space="preserve">      （应明确按照绩效激励方式的支付方式和支付条件）   </w:t>
      </w:r>
    </w:p>
    <w:p w14:paraId="743FE9DC">
      <w:pPr>
        <w:numPr>
          <w:ilvl w:val="0"/>
          <w:numId w:val="2"/>
        </w:numPr>
        <w:spacing w:line="360" w:lineRule="auto"/>
        <w:ind w:firstLine="482"/>
        <w:rPr>
          <w:rFonts w:ascii="宋体" w:hAnsi="宋体"/>
          <w:b/>
          <w:sz w:val="24"/>
          <w:highlight w:val="none"/>
          <w:u w:val="single"/>
        </w:rPr>
      </w:pPr>
      <w:r>
        <w:rPr>
          <w:rFonts w:hint="eastAsia" w:ascii="宋体" w:hAnsi="宋体"/>
          <w:b/>
          <w:sz w:val="24"/>
          <w:highlight w:val="none"/>
        </w:rPr>
        <w:t>合同履行</w:t>
      </w:r>
    </w:p>
    <w:p w14:paraId="72231C44">
      <w:pPr>
        <w:spacing w:line="360" w:lineRule="auto"/>
        <w:ind w:firstLine="480"/>
        <w:rPr>
          <w:rFonts w:ascii="宋体" w:hAnsi="宋体" w:cs="宋体"/>
          <w:sz w:val="24"/>
          <w:highlight w:val="none"/>
        </w:rPr>
      </w:pPr>
      <w:r>
        <w:rPr>
          <w:rFonts w:hint="eastAsia" w:ascii="宋体" w:hAnsi="宋体" w:cs="宋体"/>
          <w:sz w:val="24"/>
          <w:highlight w:val="none"/>
        </w:rPr>
        <w:t>（1）起始日期：</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日，完成日期：</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2AA6D3BA">
      <w:pPr>
        <w:spacing w:line="360" w:lineRule="auto"/>
        <w:ind w:firstLine="480"/>
        <w:rPr>
          <w:rFonts w:ascii="宋体" w:hAnsi="宋体" w:cs="宋体"/>
          <w:sz w:val="24"/>
          <w:highlight w:val="none"/>
          <w:u w:val="single"/>
        </w:rPr>
      </w:pPr>
      <w:r>
        <w:rPr>
          <w:rFonts w:hint="eastAsia" w:ascii="宋体" w:hAnsi="宋体" w:cs="宋体"/>
          <w:sz w:val="24"/>
          <w:highlight w:val="none"/>
        </w:rPr>
        <w:t>（2）履约地点</w:t>
      </w:r>
      <w:r>
        <w:rPr>
          <w:rFonts w:hint="eastAsia" w:ascii="宋体" w:hAnsi="宋体" w:cs="宋体"/>
          <w:bCs/>
          <w:sz w:val="24"/>
          <w:highlight w:val="none"/>
        </w:rPr>
        <w:t>：</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p>
    <w:p w14:paraId="32D39BE3">
      <w:pPr>
        <w:spacing w:line="360" w:lineRule="auto"/>
        <w:ind w:firstLine="480"/>
        <w:rPr>
          <w:rFonts w:ascii="宋体" w:hAnsi="宋体" w:cs="宋体"/>
          <w:sz w:val="24"/>
          <w:highlight w:val="none"/>
        </w:rPr>
      </w:pPr>
      <w:r>
        <w:rPr>
          <w:rFonts w:hint="eastAsia" w:ascii="宋体" w:hAnsi="宋体" w:cs="宋体"/>
          <w:bCs/>
          <w:sz w:val="24"/>
          <w:highlight w:val="none"/>
        </w:rPr>
        <w:t>（3）</w:t>
      </w:r>
      <w:r>
        <w:rPr>
          <w:rFonts w:hint="eastAsia" w:ascii="宋体" w:hAnsi="宋体" w:cs="宋体"/>
          <w:sz w:val="24"/>
          <w:highlight w:val="none"/>
        </w:rPr>
        <w:t>履约担保：履约担保：是否收取履约保证金：</w:t>
      </w:r>
      <w:r>
        <w:rPr>
          <w:rFonts w:hint="eastAsia" w:ascii="宋体" w:hAnsi="宋体" w:cs="宋体"/>
          <w:sz w:val="24"/>
          <w:highlight w:val="none"/>
        </w:rPr>
        <w:sym w:font="Wingdings" w:char="00A8"/>
      </w:r>
      <w:r>
        <w:rPr>
          <w:rFonts w:hint="eastAsia" w:ascii="宋体" w:hAnsi="宋体" w:cs="宋体"/>
          <w:sz w:val="24"/>
          <w:highlight w:val="none"/>
        </w:rPr>
        <w:t xml:space="preserve">是    </w:t>
      </w:r>
      <w:r>
        <w:rPr>
          <w:rFonts w:hint="eastAsia" w:ascii="宋体" w:hAnsi="宋体" w:cs="宋体"/>
          <w:sz w:val="24"/>
          <w:highlight w:val="none"/>
        </w:rPr>
        <w:sym w:font="Wingdings" w:char="00FE"/>
      </w:r>
      <w:r>
        <w:rPr>
          <w:rFonts w:hint="eastAsia" w:ascii="宋体" w:hAnsi="宋体" w:cs="宋体"/>
          <w:sz w:val="24"/>
          <w:highlight w:val="none"/>
        </w:rPr>
        <w:t>否</w:t>
      </w:r>
    </w:p>
    <w:p w14:paraId="45B1CC53">
      <w:pPr>
        <w:spacing w:line="360" w:lineRule="auto"/>
        <w:ind w:firstLine="480"/>
        <w:rPr>
          <w:rFonts w:ascii="宋体" w:hAnsi="宋体" w:cs="宋体"/>
          <w:sz w:val="24"/>
          <w:highlight w:val="none"/>
        </w:rPr>
      </w:pPr>
      <w:r>
        <w:rPr>
          <w:rFonts w:hint="eastAsia" w:ascii="宋体" w:hAnsi="宋体" w:cs="宋体"/>
          <w:sz w:val="24"/>
          <w:highlight w:val="none"/>
        </w:rPr>
        <w:t xml:space="preserve">     收取履约保证金形式：</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r>
        <w:rPr>
          <w:rFonts w:hint="eastAsia" w:ascii="宋体" w:hAnsi="宋体" w:cs="宋体"/>
          <w:sz w:val="24"/>
          <w:highlight w:val="none"/>
        </w:rPr>
        <w:t xml:space="preserve">                            </w:t>
      </w:r>
    </w:p>
    <w:p w14:paraId="6E2B48BC">
      <w:pPr>
        <w:spacing w:line="360" w:lineRule="auto"/>
        <w:ind w:firstLine="480"/>
        <w:rPr>
          <w:rFonts w:ascii="宋体" w:hAnsi="宋体" w:cs="宋体"/>
          <w:sz w:val="24"/>
          <w:highlight w:val="none"/>
        </w:rPr>
      </w:pPr>
      <w:r>
        <w:rPr>
          <w:rFonts w:hint="eastAsia" w:ascii="宋体" w:hAnsi="宋体" w:cs="宋体"/>
          <w:sz w:val="24"/>
          <w:highlight w:val="none"/>
        </w:rPr>
        <w:t xml:space="preserve">     收取履约保证金金额：</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r>
        <w:rPr>
          <w:rFonts w:hint="eastAsia" w:ascii="宋体" w:hAnsi="宋体" w:cs="宋体"/>
          <w:sz w:val="24"/>
          <w:highlight w:val="none"/>
        </w:rPr>
        <w:t xml:space="preserve">                            </w:t>
      </w:r>
    </w:p>
    <w:p w14:paraId="35D034CB">
      <w:pPr>
        <w:spacing w:line="360" w:lineRule="auto"/>
        <w:ind w:firstLine="480"/>
        <w:rPr>
          <w:rFonts w:ascii="宋体" w:hAnsi="宋体" w:cs="宋体"/>
          <w:bCs/>
          <w:sz w:val="24"/>
          <w:highlight w:val="none"/>
          <w:u w:val="single"/>
        </w:rPr>
      </w:pPr>
      <w:r>
        <w:rPr>
          <w:rFonts w:hint="eastAsia" w:ascii="宋体" w:hAnsi="宋体" w:cs="宋体"/>
          <w:sz w:val="24"/>
          <w:highlight w:val="none"/>
        </w:rPr>
        <w:t xml:space="preserve">     履约担保期限： </w:t>
      </w:r>
      <w:r>
        <w:rPr>
          <w:rFonts w:hint="eastAsia" w:ascii="宋体" w:hAnsi="宋体" w:cs="宋体"/>
          <w:bCs/>
          <w:sz w:val="24"/>
          <w:highlight w:val="none"/>
          <w:u w:val="single"/>
        </w:rPr>
        <w:t xml:space="preserve">                                    </w:t>
      </w:r>
    </w:p>
    <w:p w14:paraId="71892D82">
      <w:pPr>
        <w:numPr>
          <w:ilvl w:val="0"/>
          <w:numId w:val="4"/>
        </w:num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确需收取履约保证金的，履约保证金的缴纳形式：</w:t>
      </w:r>
    </w:p>
    <w:p w14:paraId="4BCE5A21">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7045C18C">
      <w:pPr>
        <w:spacing w:line="360" w:lineRule="auto"/>
        <w:ind w:firstLine="480"/>
        <w:rPr>
          <w:rFonts w:ascii="宋体" w:hAnsi="宋体" w:cs="宋体"/>
          <w:highlight w:val="none"/>
        </w:rPr>
      </w:pPr>
      <w:r>
        <w:rPr>
          <w:rFonts w:hint="eastAsia" w:ascii="宋体" w:hAnsi="宋体" w:cs="宋体"/>
          <w:bCs/>
          <w:color w:val="auto"/>
          <w:sz w:val="24"/>
          <w:highlight w:val="none"/>
        </w:rPr>
        <w:t xml:space="preserve"> 如以履约保函（保险）形式缴纳履约保证金，供应商可通过政府采购电子履约保函（保险）平台（www.jsdzbh.com）在线申请履约保函（保险）。</w:t>
      </w:r>
      <w:r>
        <w:rPr>
          <w:rFonts w:hint="eastAsia" w:ascii="宋体" w:hAnsi="宋体" w:cs="宋体"/>
          <w:color w:val="auto"/>
          <w:highlight w:val="none"/>
        </w:rPr>
        <w:t xml:space="preserve">        </w:t>
      </w:r>
      <w:r>
        <w:rPr>
          <w:rFonts w:hint="eastAsia" w:ascii="宋体" w:hAnsi="宋体" w:cs="宋体"/>
          <w:highlight w:val="none"/>
        </w:rPr>
        <w:t xml:space="preserve">                         </w:t>
      </w:r>
    </w:p>
    <w:p w14:paraId="1A209777">
      <w:pPr>
        <w:spacing w:line="360" w:lineRule="auto"/>
        <w:ind w:firstLine="480"/>
        <w:rPr>
          <w:rFonts w:ascii="宋体" w:hAnsi="宋体" w:cs="宋体"/>
          <w:bCs/>
          <w:sz w:val="24"/>
          <w:highlight w:val="none"/>
        </w:rPr>
      </w:pPr>
      <w:r>
        <w:rPr>
          <w:rFonts w:hint="eastAsia" w:ascii="宋体" w:hAnsi="宋体" w:cs="宋体"/>
          <w:bCs/>
          <w:sz w:val="24"/>
          <w:highlight w:val="none"/>
        </w:rPr>
        <w:t>（5）分期履行要求：</w:t>
      </w:r>
    </w:p>
    <w:p w14:paraId="2996D92E">
      <w:pPr>
        <w:spacing w:line="360" w:lineRule="auto"/>
        <w:ind w:firstLine="480"/>
        <w:rPr>
          <w:rFonts w:ascii="宋体" w:hAnsi="宋体" w:cs="宋体"/>
          <w:sz w:val="24"/>
          <w:highlight w:val="none"/>
          <w:u w:val="single"/>
        </w:rPr>
      </w:pPr>
      <w:r>
        <w:rPr>
          <w:rFonts w:hint="eastAsia" w:ascii="宋体" w:hAnsi="宋体" w:cs="宋体"/>
          <w:bCs/>
          <w:sz w:val="24"/>
          <w:highlight w:val="none"/>
        </w:rPr>
        <w:t>（6）风险处置措施和替代方案：</w:t>
      </w:r>
    </w:p>
    <w:p w14:paraId="09FD0227">
      <w:pPr>
        <w:numPr>
          <w:ilvl w:val="0"/>
          <w:numId w:val="2"/>
        </w:numPr>
        <w:spacing w:line="360" w:lineRule="auto"/>
        <w:ind w:firstLine="482"/>
        <w:rPr>
          <w:rFonts w:ascii="宋体" w:hAnsi="宋体"/>
          <w:b/>
          <w:sz w:val="24"/>
          <w:highlight w:val="none"/>
        </w:rPr>
      </w:pPr>
      <w:r>
        <w:rPr>
          <w:rFonts w:hint="eastAsia" w:ascii="宋体" w:hAnsi="宋体"/>
          <w:b/>
          <w:sz w:val="24"/>
          <w:highlight w:val="none"/>
        </w:rPr>
        <w:t>合同验收</w:t>
      </w:r>
    </w:p>
    <w:p w14:paraId="1E7E162F">
      <w:pPr>
        <w:numPr>
          <w:ilvl w:val="0"/>
          <w:numId w:val="5"/>
        </w:numPr>
        <w:spacing w:line="360" w:lineRule="auto"/>
        <w:ind w:firstLine="480"/>
        <w:rPr>
          <w:rFonts w:ascii="宋体" w:hAnsi="宋体"/>
          <w:bCs/>
          <w:sz w:val="24"/>
          <w:highlight w:val="none"/>
        </w:rPr>
      </w:pPr>
      <w:r>
        <w:rPr>
          <w:rFonts w:hint="eastAsia" w:ascii="宋体" w:hAnsi="宋体"/>
          <w:bCs/>
          <w:sz w:val="24"/>
          <w:highlight w:val="none"/>
        </w:rPr>
        <w:t>验收组织方式：</w:t>
      </w:r>
      <w:r>
        <w:rPr>
          <w:rFonts w:ascii="Wingdings" w:hAnsi="Wingdings" w:eastAsia="Wingdings" w:cs="Wingdings"/>
          <w:sz w:val="24"/>
          <w:highlight w:val="none"/>
        </w:rPr>
        <w:sym w:font="Wingdings" w:char="00FE"/>
      </w:r>
      <w:r>
        <w:rPr>
          <w:rFonts w:hint="eastAsia" w:ascii="宋体" w:hAnsi="宋体"/>
          <w:bCs/>
          <w:sz w:val="24"/>
          <w:highlight w:val="none"/>
        </w:rPr>
        <w:t xml:space="preserve">自行组织 </w:t>
      </w:r>
      <w:r>
        <w:rPr>
          <w:rFonts w:ascii="Wingdings" w:hAnsi="Wingdings" w:eastAsia="Wingdings" w:cs="Wingdings"/>
          <w:sz w:val="24"/>
          <w:highlight w:val="none"/>
        </w:rPr>
        <w:t></w:t>
      </w:r>
      <w:r>
        <w:rPr>
          <w:rFonts w:hint="eastAsia" w:ascii="宋体" w:hAnsi="宋体"/>
          <w:bCs/>
          <w:sz w:val="24"/>
          <w:highlight w:val="none"/>
        </w:rPr>
        <w:t>委托第三方组织</w:t>
      </w:r>
    </w:p>
    <w:p w14:paraId="57A5B2A5">
      <w:pPr>
        <w:spacing w:line="360" w:lineRule="auto"/>
        <w:ind w:firstLine="960" w:firstLineChars="400"/>
        <w:rPr>
          <w:rFonts w:ascii="宋体" w:hAnsi="宋体" w:cs="宋体"/>
          <w:sz w:val="24"/>
          <w:highlight w:val="none"/>
        </w:rPr>
      </w:pPr>
      <w:r>
        <w:rPr>
          <w:rFonts w:hint="eastAsia" w:ascii="宋体" w:hAnsi="宋体"/>
          <w:bCs/>
          <w:sz w:val="24"/>
          <w:highlight w:val="none"/>
        </w:rPr>
        <w:t>验收主体：</w:t>
      </w:r>
      <w:r>
        <w:rPr>
          <w:rFonts w:hint="eastAsia" w:ascii="宋体" w:hAnsi="宋体" w:cs="宋体"/>
          <w:sz w:val="24"/>
          <w:highlight w:val="none"/>
        </w:rPr>
        <w:t xml:space="preserve"> </w:t>
      </w:r>
      <w:r>
        <w:rPr>
          <w:rFonts w:hint="eastAsia" w:ascii="宋体" w:hAnsi="宋体" w:cs="宋体"/>
          <w:bCs/>
          <w:sz w:val="24"/>
          <w:highlight w:val="none"/>
          <w:u w:val="single"/>
        </w:rPr>
        <w:t xml:space="preserve">                         </w:t>
      </w:r>
      <w:r>
        <w:rPr>
          <w:rFonts w:hint="eastAsia" w:ascii="宋体" w:hAnsi="宋体" w:cs="宋体"/>
          <w:sz w:val="24"/>
          <w:highlight w:val="none"/>
        </w:rPr>
        <w:t xml:space="preserve"> </w:t>
      </w:r>
    </w:p>
    <w:p w14:paraId="5C9CF80F">
      <w:pPr>
        <w:spacing w:line="360" w:lineRule="auto"/>
        <w:ind w:firstLine="960" w:firstLineChars="400"/>
        <w:rPr>
          <w:rFonts w:ascii="宋体" w:hAnsi="宋体"/>
          <w:bCs/>
          <w:sz w:val="24"/>
          <w:highlight w:val="none"/>
        </w:rPr>
      </w:pPr>
      <w:r>
        <w:rPr>
          <w:rFonts w:hint="eastAsia" w:ascii="宋体" w:hAnsi="宋体"/>
          <w:bCs/>
          <w:sz w:val="24"/>
          <w:highlight w:val="none"/>
        </w:rPr>
        <w:t>是否邀请本项目的其他供应商参加验收：</w:t>
      </w:r>
      <w:r>
        <w:rPr>
          <w:rFonts w:ascii="Wingdings" w:hAnsi="Wingdings" w:eastAsia="Wingdings" w:cs="Wingdings"/>
          <w:sz w:val="24"/>
          <w:highlight w:val="none"/>
        </w:rPr>
        <w:t></w:t>
      </w:r>
      <w:r>
        <w:rPr>
          <w:rFonts w:hint="eastAsia" w:ascii="宋体" w:hAnsi="宋体"/>
          <w:bCs/>
          <w:sz w:val="24"/>
          <w:highlight w:val="none"/>
        </w:rPr>
        <w:t xml:space="preserve">是  </w:t>
      </w:r>
      <w:r>
        <w:rPr>
          <w:rFonts w:ascii="Wingdings" w:hAnsi="Wingdings" w:eastAsia="Wingdings" w:cs="Wingdings"/>
          <w:sz w:val="24"/>
          <w:highlight w:val="none"/>
        </w:rPr>
        <w:t></w:t>
      </w:r>
      <w:r>
        <w:rPr>
          <w:rFonts w:hint="eastAsia" w:ascii="宋体" w:hAnsi="宋体"/>
          <w:bCs/>
          <w:sz w:val="24"/>
          <w:highlight w:val="none"/>
        </w:rPr>
        <w:t>否</w:t>
      </w:r>
    </w:p>
    <w:p w14:paraId="35579153">
      <w:pPr>
        <w:spacing w:line="360" w:lineRule="auto"/>
        <w:ind w:firstLine="960"/>
        <w:rPr>
          <w:rFonts w:ascii="宋体" w:hAnsi="宋体"/>
          <w:bCs/>
          <w:sz w:val="24"/>
          <w:highlight w:val="none"/>
        </w:rPr>
      </w:pPr>
      <w:r>
        <w:rPr>
          <w:rFonts w:hint="eastAsia" w:ascii="宋体" w:hAnsi="宋体"/>
          <w:bCs/>
          <w:sz w:val="24"/>
          <w:highlight w:val="none"/>
        </w:rPr>
        <w:t>是否邀请专家参加验收：</w:t>
      </w:r>
      <w:r>
        <w:rPr>
          <w:rFonts w:ascii="Wingdings" w:hAnsi="Wingdings" w:eastAsia="Wingdings" w:cs="Wingdings"/>
          <w:sz w:val="24"/>
          <w:highlight w:val="none"/>
        </w:rPr>
        <w:t></w:t>
      </w:r>
      <w:r>
        <w:rPr>
          <w:rFonts w:hint="eastAsia" w:ascii="宋体" w:hAnsi="宋体"/>
          <w:bCs/>
          <w:sz w:val="24"/>
          <w:highlight w:val="none"/>
        </w:rPr>
        <w:t xml:space="preserve">是  </w:t>
      </w:r>
      <w:r>
        <w:rPr>
          <w:rFonts w:ascii="Wingdings" w:hAnsi="Wingdings" w:eastAsia="Wingdings" w:cs="Wingdings"/>
          <w:sz w:val="24"/>
          <w:highlight w:val="none"/>
        </w:rPr>
        <w:t></w:t>
      </w:r>
      <w:r>
        <w:rPr>
          <w:rFonts w:hint="eastAsia" w:ascii="宋体" w:hAnsi="宋体"/>
          <w:bCs/>
          <w:sz w:val="24"/>
          <w:highlight w:val="none"/>
        </w:rPr>
        <w:t>否</w:t>
      </w:r>
    </w:p>
    <w:p w14:paraId="24333A3F">
      <w:pPr>
        <w:spacing w:line="360" w:lineRule="auto"/>
        <w:ind w:firstLine="960"/>
        <w:rPr>
          <w:rFonts w:ascii="宋体" w:hAnsi="宋体"/>
          <w:bCs/>
          <w:sz w:val="24"/>
          <w:highlight w:val="none"/>
        </w:rPr>
      </w:pPr>
      <w:r>
        <w:rPr>
          <w:rFonts w:hint="eastAsia" w:ascii="宋体" w:hAnsi="宋体"/>
          <w:bCs/>
          <w:sz w:val="24"/>
          <w:highlight w:val="none"/>
        </w:rPr>
        <w:t>是否邀请服务对象参加验收：</w:t>
      </w:r>
      <w:r>
        <w:rPr>
          <w:rFonts w:ascii="Wingdings" w:hAnsi="Wingdings" w:eastAsia="Wingdings" w:cs="Wingdings"/>
          <w:sz w:val="24"/>
          <w:highlight w:val="none"/>
        </w:rPr>
        <w:t></w:t>
      </w:r>
      <w:r>
        <w:rPr>
          <w:rFonts w:hint="eastAsia" w:ascii="宋体" w:hAnsi="宋体"/>
          <w:bCs/>
          <w:sz w:val="24"/>
          <w:highlight w:val="none"/>
        </w:rPr>
        <w:t xml:space="preserve">是  </w:t>
      </w:r>
      <w:r>
        <w:rPr>
          <w:rFonts w:ascii="Wingdings" w:hAnsi="Wingdings" w:eastAsia="Wingdings" w:cs="Wingdings"/>
          <w:sz w:val="24"/>
          <w:highlight w:val="none"/>
        </w:rPr>
        <w:t></w:t>
      </w:r>
      <w:r>
        <w:rPr>
          <w:rFonts w:hint="eastAsia" w:ascii="宋体" w:hAnsi="宋体"/>
          <w:bCs/>
          <w:sz w:val="24"/>
          <w:highlight w:val="none"/>
        </w:rPr>
        <w:t>否</w:t>
      </w:r>
    </w:p>
    <w:p w14:paraId="53650FC6">
      <w:pPr>
        <w:spacing w:line="360" w:lineRule="auto"/>
        <w:ind w:firstLine="960"/>
        <w:rPr>
          <w:rFonts w:ascii="宋体" w:hAnsi="宋体"/>
          <w:bCs/>
          <w:sz w:val="24"/>
          <w:highlight w:val="none"/>
        </w:rPr>
      </w:pPr>
      <w:r>
        <w:rPr>
          <w:rFonts w:hint="eastAsia" w:ascii="宋体" w:hAnsi="宋体"/>
          <w:bCs/>
          <w:sz w:val="24"/>
          <w:highlight w:val="none"/>
        </w:rPr>
        <w:t>是否邀请第三方检测机构参加验收：</w:t>
      </w:r>
      <w:r>
        <w:rPr>
          <w:rFonts w:ascii="Wingdings" w:hAnsi="Wingdings" w:eastAsia="Wingdings" w:cs="Wingdings"/>
          <w:sz w:val="24"/>
          <w:highlight w:val="none"/>
        </w:rPr>
        <w:t></w:t>
      </w:r>
      <w:r>
        <w:rPr>
          <w:rFonts w:hint="eastAsia" w:ascii="宋体" w:hAnsi="宋体"/>
          <w:bCs/>
          <w:sz w:val="24"/>
          <w:highlight w:val="none"/>
        </w:rPr>
        <w:t xml:space="preserve">是  </w:t>
      </w:r>
      <w:r>
        <w:rPr>
          <w:rFonts w:ascii="Wingdings" w:hAnsi="Wingdings" w:eastAsia="Wingdings" w:cs="Wingdings"/>
          <w:sz w:val="24"/>
          <w:highlight w:val="none"/>
        </w:rPr>
        <w:t></w:t>
      </w:r>
      <w:r>
        <w:rPr>
          <w:rFonts w:hint="eastAsia" w:ascii="宋体" w:hAnsi="宋体"/>
          <w:bCs/>
          <w:sz w:val="24"/>
          <w:highlight w:val="none"/>
        </w:rPr>
        <w:t>否</w:t>
      </w:r>
    </w:p>
    <w:p w14:paraId="28614158">
      <w:pPr>
        <w:spacing w:line="360" w:lineRule="auto"/>
        <w:ind w:firstLine="960"/>
        <w:rPr>
          <w:rFonts w:ascii="宋体" w:hAnsi="宋体"/>
          <w:bCs/>
          <w:sz w:val="24"/>
          <w:highlight w:val="none"/>
        </w:rPr>
      </w:pPr>
      <w:r>
        <w:rPr>
          <w:rFonts w:hint="eastAsia" w:ascii="宋体" w:hAnsi="宋体"/>
          <w:bCs/>
          <w:sz w:val="24"/>
          <w:highlight w:val="none"/>
        </w:rPr>
        <w:t>是否进行抽查检测：</w:t>
      </w:r>
      <w:r>
        <w:rPr>
          <w:rFonts w:ascii="Wingdings" w:hAnsi="Wingdings" w:eastAsia="Wingdings" w:cs="Wingdings"/>
          <w:sz w:val="24"/>
          <w:highlight w:val="none"/>
        </w:rPr>
        <w:t></w:t>
      </w:r>
      <w:r>
        <w:rPr>
          <w:rFonts w:hint="eastAsia" w:ascii="宋体" w:hAnsi="宋体"/>
          <w:bCs/>
          <w:sz w:val="24"/>
          <w:highlight w:val="none"/>
        </w:rPr>
        <w:t>是，抽查比例：</w:t>
      </w:r>
      <w:r>
        <w:rPr>
          <w:rFonts w:ascii="Wingdings" w:hAnsi="Wingdings" w:eastAsia="Wingdings" w:cs="Wingdings"/>
          <w:sz w:val="24"/>
          <w:highlight w:val="none"/>
        </w:rPr>
        <w:t></w:t>
      </w:r>
      <w:r>
        <w:rPr>
          <w:rFonts w:hint="eastAsia" w:ascii="宋体" w:hAnsi="宋体"/>
          <w:bCs/>
          <w:sz w:val="24"/>
          <w:highlight w:val="none"/>
        </w:rPr>
        <w:t>否</w:t>
      </w:r>
    </w:p>
    <w:p w14:paraId="055357AC">
      <w:pPr>
        <w:spacing w:line="360" w:lineRule="auto"/>
        <w:ind w:firstLine="960"/>
        <w:rPr>
          <w:rFonts w:ascii="宋体" w:hAnsi="宋体"/>
          <w:bCs/>
          <w:sz w:val="24"/>
          <w:highlight w:val="none"/>
          <w:u w:val="single"/>
        </w:rPr>
      </w:pPr>
      <w:r>
        <w:rPr>
          <w:rFonts w:hint="eastAsia" w:ascii="宋体" w:hAnsi="宋体"/>
          <w:bCs/>
          <w:sz w:val="24"/>
          <w:highlight w:val="none"/>
        </w:rPr>
        <w:t>是否存在破坏性检测：</w:t>
      </w:r>
      <w:r>
        <w:rPr>
          <w:rFonts w:ascii="Wingdings" w:hAnsi="Wingdings" w:eastAsia="Wingdings" w:cs="Wingdings"/>
          <w:sz w:val="24"/>
          <w:highlight w:val="none"/>
        </w:rPr>
        <w:t></w:t>
      </w:r>
      <w:r>
        <w:rPr>
          <w:rFonts w:hint="eastAsia" w:ascii="宋体" w:hAnsi="宋体"/>
          <w:bCs/>
          <w:sz w:val="24"/>
          <w:highlight w:val="none"/>
        </w:rPr>
        <w:t>是，</w:t>
      </w:r>
      <w:r>
        <w:rPr>
          <w:rFonts w:hint="eastAsia" w:ascii="宋体" w:hAnsi="宋体"/>
          <w:bCs/>
          <w:sz w:val="24"/>
          <w:highlight w:val="none"/>
          <w:u w:val="single"/>
        </w:rPr>
        <w:t>（应明确对被破坏的检测产品的处理方式）</w:t>
      </w:r>
    </w:p>
    <w:p w14:paraId="01344539">
      <w:pPr>
        <w:spacing w:line="360" w:lineRule="auto"/>
        <w:ind w:firstLine="960"/>
        <w:rPr>
          <w:rFonts w:ascii="宋体" w:hAnsi="宋体"/>
          <w:bCs/>
          <w:sz w:val="24"/>
          <w:highlight w:val="none"/>
        </w:rPr>
      </w:pPr>
      <w:r>
        <w:rPr>
          <w:rFonts w:ascii="Wingdings" w:hAnsi="Wingdings" w:eastAsia="Wingdings" w:cs="Wingdings"/>
          <w:sz w:val="24"/>
          <w:highlight w:val="none"/>
        </w:rPr>
        <w:t></w:t>
      </w:r>
      <w:r>
        <w:rPr>
          <w:rFonts w:hint="eastAsia" w:ascii="宋体" w:hAnsi="宋体"/>
          <w:bCs/>
          <w:sz w:val="24"/>
          <w:highlight w:val="none"/>
        </w:rPr>
        <w:t>否</w:t>
      </w:r>
    </w:p>
    <w:p w14:paraId="387F5FD4">
      <w:pPr>
        <w:spacing w:line="360" w:lineRule="auto"/>
        <w:ind w:firstLine="960"/>
        <w:rPr>
          <w:rFonts w:ascii="宋体" w:hAnsi="宋体"/>
          <w:bCs/>
          <w:sz w:val="24"/>
          <w:highlight w:val="none"/>
          <w:u w:val="single"/>
        </w:rPr>
      </w:pPr>
      <w:r>
        <w:rPr>
          <w:rFonts w:hint="eastAsia" w:ascii="宋体" w:hAnsi="宋体"/>
          <w:bCs/>
          <w:sz w:val="24"/>
          <w:highlight w:val="none"/>
        </w:rPr>
        <w:t>验收组织的其他事项：</w:t>
      </w:r>
    </w:p>
    <w:p w14:paraId="26E4BAB8">
      <w:pPr>
        <w:spacing w:line="360" w:lineRule="auto"/>
        <w:ind w:firstLine="480"/>
        <w:rPr>
          <w:rFonts w:ascii="宋体" w:hAnsi="宋体"/>
          <w:bCs/>
          <w:sz w:val="24"/>
          <w:highlight w:val="none"/>
          <w:u w:val="single"/>
        </w:rPr>
      </w:pPr>
      <w:r>
        <w:rPr>
          <w:rFonts w:hint="eastAsia" w:ascii="宋体" w:hAnsi="宋体"/>
          <w:bCs/>
          <w:sz w:val="24"/>
          <w:highlight w:val="none"/>
        </w:rPr>
        <w:t>（2）履约验收时间：</w:t>
      </w:r>
      <w:r>
        <w:rPr>
          <w:rFonts w:hint="eastAsia" w:ascii="宋体" w:hAnsi="宋体"/>
          <w:bCs/>
          <w:sz w:val="24"/>
          <w:highlight w:val="none"/>
          <w:u w:val="single"/>
        </w:rPr>
        <w:t>（计划于何时验收/供应商提出验收申请之日起   日内组织验收）</w:t>
      </w:r>
    </w:p>
    <w:p w14:paraId="7455837A">
      <w:pPr>
        <w:spacing w:line="360" w:lineRule="auto"/>
        <w:ind w:firstLine="480"/>
        <w:rPr>
          <w:rFonts w:ascii="宋体" w:hAnsi="宋体"/>
          <w:bCs/>
          <w:sz w:val="24"/>
          <w:highlight w:val="none"/>
        </w:rPr>
      </w:pPr>
      <w:r>
        <w:rPr>
          <w:rFonts w:hint="eastAsia" w:ascii="宋体" w:hAnsi="宋体"/>
          <w:bCs/>
          <w:sz w:val="24"/>
          <w:highlight w:val="none"/>
        </w:rPr>
        <w:t>（3）履约验收方式：</w:t>
      </w:r>
      <w:r>
        <w:rPr>
          <w:rFonts w:ascii="Wingdings" w:hAnsi="Wingdings" w:eastAsia="Wingdings" w:cs="Wingdings"/>
          <w:sz w:val="24"/>
          <w:highlight w:val="none"/>
        </w:rPr>
        <w:t></w:t>
      </w:r>
      <w:r>
        <w:rPr>
          <w:rFonts w:hint="eastAsia" w:ascii="宋体" w:hAnsi="宋体"/>
          <w:bCs/>
          <w:sz w:val="24"/>
          <w:highlight w:val="none"/>
        </w:rPr>
        <w:t xml:space="preserve">一次性验收         </w:t>
      </w:r>
    </w:p>
    <w:p w14:paraId="08A928F7">
      <w:pPr>
        <w:spacing w:line="360" w:lineRule="auto"/>
        <w:rPr>
          <w:rFonts w:ascii="宋体" w:hAnsi="宋体"/>
          <w:bCs/>
          <w:sz w:val="24"/>
          <w:highlight w:val="none"/>
        </w:rPr>
      </w:pPr>
      <w:r>
        <w:rPr>
          <w:rFonts w:ascii="Wingdings" w:hAnsi="Wingdings" w:eastAsia="Wingdings" w:cs="Wingdings"/>
          <w:sz w:val="24"/>
          <w:highlight w:val="none"/>
        </w:rPr>
        <w:t></w:t>
      </w:r>
      <w:r>
        <w:rPr>
          <w:rFonts w:hint="eastAsia" w:ascii="宋体" w:hAnsi="宋体"/>
          <w:bCs/>
          <w:sz w:val="24"/>
          <w:highlight w:val="none"/>
        </w:rPr>
        <w:t>分期/分项验收：</w:t>
      </w:r>
      <w:r>
        <w:rPr>
          <w:rFonts w:hint="eastAsia" w:ascii="宋体" w:hAnsi="宋体"/>
          <w:bCs/>
          <w:sz w:val="24"/>
          <w:highlight w:val="none"/>
          <w:u w:val="single"/>
        </w:rPr>
        <w:t>（应明确分期</w:t>
      </w:r>
      <w:r>
        <w:rPr>
          <w:rFonts w:ascii="宋体" w:hAnsi="宋体"/>
          <w:bCs/>
          <w:sz w:val="24"/>
          <w:highlight w:val="none"/>
          <w:u w:val="single"/>
        </w:rPr>
        <w:t>/</w:t>
      </w:r>
      <w:r>
        <w:rPr>
          <w:rFonts w:hint="eastAsia" w:ascii="宋体" w:hAnsi="宋体"/>
          <w:bCs/>
          <w:sz w:val="24"/>
          <w:highlight w:val="none"/>
          <w:u w:val="single"/>
        </w:rPr>
        <w:t>分项验收的工作安排）</w:t>
      </w:r>
    </w:p>
    <w:p w14:paraId="10136F74">
      <w:pPr>
        <w:spacing w:line="360" w:lineRule="auto"/>
        <w:ind w:firstLine="480"/>
        <w:rPr>
          <w:rFonts w:ascii="宋体" w:hAnsi="宋体"/>
          <w:bCs/>
          <w:sz w:val="24"/>
          <w:highlight w:val="none"/>
        </w:rPr>
      </w:pPr>
      <w:r>
        <w:rPr>
          <w:rFonts w:hint="eastAsia" w:ascii="宋体" w:hAnsi="宋体"/>
          <w:bCs/>
          <w:sz w:val="24"/>
          <w:highlight w:val="none"/>
        </w:rPr>
        <w:t>（4）履约验收程序：</w:t>
      </w:r>
    </w:p>
    <w:p w14:paraId="25E758CC">
      <w:pPr>
        <w:spacing w:line="360" w:lineRule="auto"/>
        <w:ind w:firstLine="480"/>
        <w:rPr>
          <w:rFonts w:ascii="宋体" w:hAnsi="宋体"/>
          <w:bCs/>
          <w:sz w:val="24"/>
          <w:highlight w:val="none"/>
          <w:u w:val="single"/>
        </w:rPr>
      </w:pPr>
      <w:r>
        <w:rPr>
          <w:rFonts w:hint="eastAsia" w:ascii="宋体" w:hAnsi="宋体"/>
          <w:bCs/>
          <w:sz w:val="24"/>
          <w:highlight w:val="none"/>
        </w:rPr>
        <w:t>（5）履约验收的内容：</w:t>
      </w:r>
      <w:r>
        <w:rPr>
          <w:rFonts w:hint="eastAsia" w:ascii="宋体" w:hAnsi="宋体"/>
          <w:bCs/>
          <w:sz w:val="24"/>
          <w:highlight w:val="none"/>
          <w:u w:val="single"/>
        </w:rPr>
        <w:t>（应当包括每一项技术和商务要求的履约情况，特别是落实政府采购扶持中小企业，支持绿色发展和乡村振兴等政策情况）</w:t>
      </w:r>
    </w:p>
    <w:p w14:paraId="3C416339">
      <w:pPr>
        <w:spacing w:line="360" w:lineRule="auto"/>
        <w:ind w:firstLine="480"/>
        <w:rPr>
          <w:rFonts w:ascii="宋体" w:hAnsi="宋体"/>
          <w:bCs/>
          <w:sz w:val="24"/>
          <w:highlight w:val="none"/>
          <w:u w:val="single"/>
        </w:rPr>
      </w:pPr>
      <w:r>
        <w:rPr>
          <w:rFonts w:hint="eastAsia" w:ascii="宋体" w:hAnsi="宋体"/>
          <w:bCs/>
          <w:sz w:val="24"/>
          <w:highlight w:val="none"/>
        </w:rPr>
        <w:t>（6）履约验收标准：</w:t>
      </w:r>
    </w:p>
    <w:p w14:paraId="186A0411">
      <w:pPr>
        <w:widowControl/>
        <w:spacing w:line="360" w:lineRule="auto"/>
        <w:ind w:firstLine="480"/>
        <w:jc w:val="left"/>
        <w:rPr>
          <w:rFonts w:ascii="宋体" w:hAnsi="宋体" w:cs="宋体"/>
          <w:sz w:val="24"/>
          <w:highlight w:val="none"/>
        </w:rPr>
      </w:pPr>
      <w:r>
        <w:rPr>
          <w:rFonts w:hint="eastAsia" w:ascii="宋体" w:hAnsi="宋体" w:cs="宋体"/>
          <w:bCs/>
          <w:sz w:val="24"/>
          <w:highlight w:val="none"/>
        </w:rPr>
        <w:t>（7）是否以采购活动中供应商提供的样品作为参考：</w:t>
      </w:r>
      <w:r>
        <w:rPr>
          <w:rFonts w:ascii="Wingdings" w:hAnsi="Wingdings" w:eastAsia="Wingdings" w:cs="Wingdings"/>
          <w:sz w:val="24"/>
          <w:highlight w:val="none"/>
        </w:rPr>
        <w:t></w:t>
      </w:r>
      <w:r>
        <w:rPr>
          <w:rFonts w:hint="eastAsia" w:ascii="宋体" w:hAnsi="宋体" w:cs="宋体"/>
          <w:bCs/>
          <w:sz w:val="24"/>
          <w:highlight w:val="none"/>
        </w:rPr>
        <w:t xml:space="preserve">是  </w:t>
      </w:r>
      <w:r>
        <w:rPr>
          <w:rFonts w:ascii="Wingdings" w:hAnsi="Wingdings" w:eastAsia="Wingdings" w:cs="Wingdings"/>
          <w:sz w:val="24"/>
          <w:highlight w:val="none"/>
        </w:rPr>
        <w:t></w:t>
      </w:r>
      <w:r>
        <w:rPr>
          <w:rFonts w:hint="eastAsia" w:ascii="宋体" w:hAnsi="宋体" w:cs="宋体"/>
          <w:bCs/>
          <w:sz w:val="24"/>
          <w:highlight w:val="none"/>
        </w:rPr>
        <w:t>否</w:t>
      </w:r>
    </w:p>
    <w:p w14:paraId="40E7EFBC">
      <w:pPr>
        <w:spacing w:line="360" w:lineRule="auto"/>
        <w:ind w:firstLine="480"/>
        <w:rPr>
          <w:rFonts w:ascii="宋体" w:hAnsi="宋体" w:cs="宋体"/>
          <w:bCs/>
          <w:sz w:val="24"/>
          <w:highlight w:val="none"/>
          <w:u w:val="single"/>
        </w:rPr>
      </w:pPr>
      <w:r>
        <w:rPr>
          <w:rFonts w:hint="eastAsia" w:ascii="宋体" w:hAnsi="宋体" w:cs="宋体"/>
          <w:bCs/>
          <w:sz w:val="24"/>
          <w:highlight w:val="none"/>
        </w:rPr>
        <w:t>（8）履约验收其他事项：</w:t>
      </w:r>
      <w:r>
        <w:rPr>
          <w:rFonts w:hint="eastAsia" w:ascii="宋体" w:hAnsi="宋体" w:cs="宋体"/>
          <w:bCs/>
          <w:sz w:val="24"/>
          <w:highlight w:val="none"/>
          <w:u w:val="single"/>
        </w:rPr>
        <w:t>（产权过户登记等）</w:t>
      </w:r>
    </w:p>
    <w:p w14:paraId="007AC089">
      <w:pPr>
        <w:numPr>
          <w:ilvl w:val="0"/>
          <w:numId w:val="2"/>
        </w:numPr>
        <w:spacing w:line="360" w:lineRule="auto"/>
        <w:ind w:firstLine="482"/>
        <w:rPr>
          <w:rFonts w:ascii="宋体" w:hAnsi="宋体"/>
          <w:b/>
          <w:sz w:val="24"/>
          <w:highlight w:val="none"/>
        </w:rPr>
      </w:pPr>
      <w:r>
        <w:rPr>
          <w:rFonts w:hint="eastAsia" w:ascii="宋体" w:hAnsi="宋体"/>
          <w:b/>
          <w:sz w:val="24"/>
          <w:highlight w:val="none"/>
        </w:rPr>
        <w:t>组成合同的文件</w:t>
      </w:r>
    </w:p>
    <w:p w14:paraId="3EFC8280">
      <w:pPr>
        <w:spacing w:line="360" w:lineRule="auto"/>
        <w:ind w:firstLine="480"/>
        <w:rPr>
          <w:rFonts w:ascii="宋体" w:hAnsi="宋体"/>
          <w:color w:val="auto"/>
          <w:sz w:val="24"/>
          <w:highlight w:val="none"/>
        </w:rPr>
      </w:pPr>
      <w:r>
        <w:rPr>
          <w:rFonts w:hint="eastAsia" w:ascii="宋体" w:hAnsi="宋体"/>
          <w:color w:val="auto"/>
          <w:sz w:val="24"/>
          <w:highlight w:val="none"/>
        </w:rPr>
        <w:t>本协议书与下列文件一起构成合同文件，如下述文件之间有任何抵触、矛盾或歧义，应按以下顺序解释：</w:t>
      </w:r>
    </w:p>
    <w:p w14:paraId="3C9EB277">
      <w:pPr>
        <w:spacing w:line="360" w:lineRule="auto"/>
        <w:rPr>
          <w:rFonts w:hint="eastAsia" w:ascii="宋体" w:hAnsi="宋体"/>
          <w:color w:val="auto"/>
          <w:sz w:val="24"/>
          <w:highlight w:val="none"/>
        </w:rPr>
      </w:pPr>
      <w:r>
        <w:rPr>
          <w:rFonts w:hint="eastAsia" w:ascii="宋体" w:hAnsi="宋体"/>
          <w:color w:val="auto"/>
          <w:sz w:val="24"/>
          <w:highlight w:val="none"/>
        </w:rPr>
        <w:t>（1）政府采购合同协议书及其变更、补充协议</w:t>
      </w:r>
    </w:p>
    <w:p w14:paraId="30F3F452">
      <w:pPr>
        <w:spacing w:line="360" w:lineRule="auto"/>
        <w:rPr>
          <w:rFonts w:hint="eastAsia" w:ascii="宋体" w:hAnsi="宋体"/>
          <w:color w:val="auto"/>
          <w:sz w:val="24"/>
          <w:highlight w:val="none"/>
        </w:rPr>
      </w:pPr>
      <w:r>
        <w:rPr>
          <w:rFonts w:hint="eastAsia" w:ascii="宋体" w:hAnsi="宋体"/>
          <w:color w:val="auto"/>
          <w:sz w:val="24"/>
          <w:highlight w:val="none"/>
        </w:rPr>
        <w:t>（2）政府采购合同专用条款</w:t>
      </w:r>
    </w:p>
    <w:p w14:paraId="38F2CEEE">
      <w:pPr>
        <w:spacing w:line="360" w:lineRule="auto"/>
        <w:rPr>
          <w:rFonts w:hint="eastAsia" w:ascii="宋体" w:hAnsi="宋体"/>
          <w:color w:val="auto"/>
          <w:sz w:val="24"/>
          <w:highlight w:val="none"/>
        </w:rPr>
      </w:pPr>
      <w:r>
        <w:rPr>
          <w:rFonts w:hint="eastAsia" w:ascii="宋体" w:hAnsi="宋体"/>
          <w:color w:val="auto"/>
          <w:sz w:val="24"/>
          <w:highlight w:val="none"/>
        </w:rPr>
        <w:t>（3）政府采购合同通用条款</w:t>
      </w:r>
    </w:p>
    <w:p w14:paraId="01110210">
      <w:pPr>
        <w:spacing w:line="360" w:lineRule="auto"/>
        <w:rPr>
          <w:rFonts w:hint="eastAsia" w:ascii="宋体" w:hAnsi="宋体"/>
          <w:color w:val="auto"/>
          <w:sz w:val="24"/>
          <w:highlight w:val="none"/>
        </w:rPr>
      </w:pPr>
      <w:r>
        <w:rPr>
          <w:rFonts w:hint="eastAsia" w:ascii="宋体" w:hAnsi="宋体"/>
          <w:color w:val="auto"/>
          <w:sz w:val="24"/>
          <w:highlight w:val="none"/>
        </w:rPr>
        <w:t>（4）中标（成交）通知书</w:t>
      </w:r>
    </w:p>
    <w:p w14:paraId="6F63700B">
      <w:pPr>
        <w:spacing w:line="360" w:lineRule="auto"/>
        <w:rPr>
          <w:rFonts w:hint="eastAsia" w:ascii="宋体" w:hAnsi="宋体"/>
          <w:color w:val="auto"/>
          <w:sz w:val="24"/>
          <w:highlight w:val="none"/>
        </w:rPr>
      </w:pPr>
      <w:r>
        <w:rPr>
          <w:rFonts w:hint="eastAsia" w:ascii="宋体" w:hAnsi="宋体"/>
          <w:color w:val="auto"/>
          <w:sz w:val="24"/>
          <w:highlight w:val="none"/>
        </w:rPr>
        <w:t>（5）投标（响应）文件</w:t>
      </w:r>
    </w:p>
    <w:p w14:paraId="4B53D725">
      <w:pPr>
        <w:spacing w:line="360" w:lineRule="auto"/>
        <w:rPr>
          <w:rFonts w:hint="eastAsia" w:ascii="宋体" w:hAnsi="宋体"/>
          <w:color w:val="auto"/>
          <w:sz w:val="24"/>
          <w:highlight w:val="none"/>
        </w:rPr>
      </w:pPr>
      <w:r>
        <w:rPr>
          <w:rFonts w:hint="eastAsia" w:ascii="宋体" w:hAnsi="宋体"/>
          <w:color w:val="auto"/>
          <w:sz w:val="24"/>
          <w:highlight w:val="none"/>
        </w:rPr>
        <w:t>（6）采购文件</w:t>
      </w:r>
    </w:p>
    <w:p w14:paraId="1F3DB4AF">
      <w:pPr>
        <w:spacing w:line="360" w:lineRule="auto"/>
        <w:rPr>
          <w:rFonts w:hint="eastAsia" w:ascii="宋体" w:hAnsi="宋体"/>
          <w:color w:val="auto"/>
          <w:sz w:val="24"/>
          <w:highlight w:val="none"/>
        </w:rPr>
      </w:pPr>
      <w:r>
        <w:rPr>
          <w:rFonts w:hint="eastAsia" w:ascii="宋体" w:hAnsi="宋体"/>
          <w:color w:val="auto"/>
          <w:sz w:val="24"/>
          <w:highlight w:val="none"/>
        </w:rPr>
        <w:t>（7）有关技术文件，图纸</w:t>
      </w:r>
    </w:p>
    <w:p w14:paraId="4EE11324">
      <w:pPr>
        <w:spacing w:line="360" w:lineRule="auto"/>
        <w:rPr>
          <w:rFonts w:hint="eastAsia" w:ascii="宋体" w:hAnsi="宋体"/>
          <w:color w:val="auto"/>
          <w:sz w:val="24"/>
          <w:highlight w:val="none"/>
        </w:rPr>
      </w:pPr>
      <w:r>
        <w:rPr>
          <w:rFonts w:hint="eastAsia" w:ascii="宋体" w:hAnsi="宋体"/>
          <w:color w:val="auto"/>
          <w:sz w:val="24"/>
          <w:highlight w:val="none"/>
        </w:rPr>
        <w:t>（8）国家法律、行政法规和规章制度规定或合同约定的作为合同组成部分的其他文件</w:t>
      </w:r>
    </w:p>
    <w:p w14:paraId="31B17F0E">
      <w:pPr>
        <w:adjustRightInd w:val="0"/>
        <w:snapToGrid w:val="0"/>
        <w:spacing w:line="400" w:lineRule="exact"/>
        <w:ind w:left="422"/>
        <w:rPr>
          <w:rFonts w:ascii="宋体" w:hAnsi="宋体"/>
          <w:b/>
          <w:color w:val="auto"/>
          <w:szCs w:val="21"/>
          <w:highlight w:val="none"/>
        </w:rPr>
      </w:pPr>
      <w:r>
        <w:rPr>
          <w:rFonts w:hint="eastAsia" w:ascii="宋体" w:hAnsi="宋体"/>
          <w:b/>
          <w:color w:val="auto"/>
          <w:szCs w:val="21"/>
          <w:highlight w:val="none"/>
        </w:rPr>
        <w:t>6.</w:t>
      </w:r>
      <w:r>
        <w:rPr>
          <w:rFonts w:hint="eastAsia" w:ascii="宋体" w:hAnsi="宋体"/>
          <w:b/>
          <w:color w:val="auto"/>
          <w:sz w:val="24"/>
          <w:highlight w:val="none"/>
        </w:rPr>
        <w:t>合同生效</w:t>
      </w:r>
    </w:p>
    <w:p w14:paraId="59C78F01">
      <w:pPr>
        <w:spacing w:line="360" w:lineRule="auto"/>
        <w:ind w:firstLine="480"/>
        <w:rPr>
          <w:rFonts w:ascii="宋体" w:hAnsi="宋体"/>
          <w:color w:val="auto"/>
          <w:sz w:val="24"/>
          <w:highlight w:val="none"/>
        </w:rPr>
      </w:pPr>
      <w:r>
        <w:rPr>
          <w:rFonts w:hint="eastAsia" w:ascii="宋体" w:hAnsi="宋体"/>
          <w:color w:val="auto"/>
          <w:sz w:val="24"/>
          <w:highlight w:val="none"/>
        </w:rPr>
        <w:t>本合同自</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日生效。</w:t>
      </w:r>
    </w:p>
    <w:p w14:paraId="35B36500">
      <w:pPr>
        <w:spacing w:line="360" w:lineRule="auto"/>
        <w:ind w:left="482"/>
        <w:rPr>
          <w:rFonts w:ascii="宋体" w:hAnsi="宋体"/>
          <w:b/>
          <w:color w:val="auto"/>
          <w:sz w:val="24"/>
          <w:highlight w:val="none"/>
        </w:rPr>
      </w:pPr>
      <w:r>
        <w:rPr>
          <w:rFonts w:hint="eastAsia" w:ascii="宋体" w:hAnsi="宋体"/>
          <w:b/>
          <w:color w:val="auto"/>
          <w:sz w:val="24"/>
          <w:highlight w:val="none"/>
        </w:rPr>
        <w:t>7.合同份数</w:t>
      </w:r>
    </w:p>
    <w:p w14:paraId="40E1CE18">
      <w:pPr>
        <w:adjustRightInd w:val="0"/>
        <w:snapToGrid w:val="0"/>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本合同一式</w:t>
      </w:r>
      <w:r>
        <w:rPr>
          <w:rFonts w:hint="eastAsia" w:ascii="宋体" w:hAnsi="宋体"/>
          <w:color w:val="auto"/>
          <w:szCs w:val="21"/>
          <w:highlight w:val="none"/>
          <w:u w:val="single"/>
        </w:rPr>
        <w:t xml:space="preserve">    </w:t>
      </w:r>
      <w:r>
        <w:rPr>
          <w:rFonts w:hint="eastAsia" w:ascii="宋体" w:hAnsi="宋体"/>
          <w:color w:val="auto"/>
          <w:szCs w:val="21"/>
          <w:highlight w:val="none"/>
        </w:rPr>
        <w:t>份，甲方执</w:t>
      </w:r>
      <w:r>
        <w:rPr>
          <w:rFonts w:hint="eastAsia" w:ascii="宋体" w:hAnsi="宋体"/>
          <w:color w:val="auto"/>
          <w:szCs w:val="21"/>
          <w:highlight w:val="none"/>
          <w:u w:val="single"/>
        </w:rPr>
        <w:t xml:space="preserve">    </w:t>
      </w:r>
      <w:r>
        <w:rPr>
          <w:rFonts w:hint="eastAsia" w:ascii="宋体" w:hAnsi="宋体"/>
          <w:color w:val="auto"/>
          <w:szCs w:val="21"/>
          <w:highlight w:val="none"/>
        </w:rPr>
        <w:t>份，乙方执</w:t>
      </w:r>
      <w:r>
        <w:rPr>
          <w:rFonts w:hint="eastAsia" w:ascii="宋体" w:hAnsi="宋体"/>
          <w:color w:val="auto"/>
          <w:szCs w:val="21"/>
          <w:highlight w:val="none"/>
          <w:u w:val="single"/>
        </w:rPr>
        <w:t xml:space="preserve">    </w:t>
      </w:r>
      <w:r>
        <w:rPr>
          <w:rFonts w:hint="eastAsia" w:ascii="宋体" w:hAnsi="宋体"/>
          <w:color w:val="auto"/>
          <w:szCs w:val="21"/>
          <w:highlight w:val="none"/>
        </w:rPr>
        <w:t>份，均具有同等法律效力。</w:t>
      </w:r>
    </w:p>
    <w:p w14:paraId="51009DB1">
      <w:pPr>
        <w:adjustRightInd w:val="0"/>
        <w:snapToGrid w:val="0"/>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09CD53B4">
      <w:pPr>
        <w:adjustRightInd w:val="0"/>
        <w:snapToGrid w:val="0"/>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合同订立地点：</w:t>
      </w:r>
      <w:r>
        <w:rPr>
          <w:rFonts w:hint="eastAsia" w:ascii="宋体" w:hAnsi="宋体"/>
          <w:color w:val="auto"/>
          <w:szCs w:val="21"/>
          <w:highlight w:val="none"/>
          <w:u w:val="single"/>
        </w:rPr>
        <w:t xml:space="preserve">                           </w:t>
      </w:r>
    </w:p>
    <w:p w14:paraId="2C43A4EC">
      <w:pPr>
        <w:adjustRightInd w:val="0"/>
        <w:snapToGrid w:val="0"/>
        <w:spacing w:line="400" w:lineRule="exact"/>
        <w:ind w:firstLine="420" w:firstLineChars="200"/>
        <w:rPr>
          <w:color w:val="auto"/>
          <w:highlight w:val="none"/>
        </w:rPr>
      </w:pPr>
      <w:r>
        <w:rPr>
          <w:rFonts w:hint="eastAsia" w:ascii="宋体" w:hAnsi="宋体"/>
          <w:color w:val="auto"/>
          <w:szCs w:val="21"/>
          <w:highlight w:val="none"/>
        </w:rPr>
        <w:t>附件：具体标的及其技术要求和商务要求、联合协议、分包意向协议等。</w:t>
      </w:r>
    </w:p>
    <w:p w14:paraId="7441718D">
      <w:pPr>
        <w:spacing w:line="360" w:lineRule="auto"/>
        <w:ind w:firstLine="480"/>
        <w:rPr>
          <w:rFonts w:ascii="宋体" w:hAnsi="宋体"/>
          <w:color w:val="auto"/>
          <w:sz w:val="24"/>
          <w:highlight w:val="none"/>
        </w:rPr>
      </w:pPr>
    </w:p>
    <w:p w14:paraId="234AA295">
      <w:pPr>
        <w:spacing w:line="360" w:lineRule="auto"/>
        <w:rPr>
          <w:rFonts w:ascii="宋体" w:hAnsi="宋体"/>
          <w:color w:val="auto"/>
          <w:sz w:val="24"/>
          <w:highlight w:val="none"/>
        </w:rPr>
      </w:pPr>
    </w:p>
    <w:p w14:paraId="5583955F">
      <w:pPr>
        <w:spacing w:line="360" w:lineRule="auto"/>
        <w:ind w:firstLine="480"/>
        <w:jc w:val="left"/>
        <w:rPr>
          <w:rFonts w:ascii="宋体" w:hAnsi="宋体"/>
          <w:color w:val="auto"/>
          <w:sz w:val="24"/>
          <w:highlight w:val="none"/>
          <w:u w:val="single"/>
        </w:rPr>
      </w:pPr>
      <w:r>
        <w:rPr>
          <w:rFonts w:hint="eastAsia"/>
          <w:color w:val="auto"/>
          <w:sz w:val="24"/>
          <w:highlight w:val="none"/>
        </w:rPr>
        <w:br w:type="page" w:clear="all"/>
      </w:r>
    </w:p>
    <w:p w14:paraId="157BC647">
      <w:pPr>
        <w:spacing w:line="360" w:lineRule="auto"/>
        <w:ind w:firstLine="420"/>
        <w:rPr>
          <w:szCs w:val="21"/>
          <w:highlight w:val="none"/>
        </w:rPr>
      </w:pPr>
    </w:p>
    <w:tbl>
      <w:tblPr>
        <w:tblStyle w:val="15"/>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top w:w="0" w:type="dxa"/>
          <w:left w:w="108" w:type="dxa"/>
          <w:bottom w:w="0" w:type="dxa"/>
          <w:right w:w="108" w:type="dxa"/>
        </w:tblCellMar>
      </w:tblPr>
      <w:tblGrid>
        <w:gridCol w:w="1941"/>
        <w:gridCol w:w="2357"/>
        <w:gridCol w:w="2026"/>
        <w:gridCol w:w="2074"/>
      </w:tblGrid>
      <w:tr w14:paraId="2BD1823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90" w:hRule="atLeast"/>
        </w:trPr>
        <w:tc>
          <w:tcPr>
            <w:tcW w:w="5031" w:type="dxa"/>
            <w:gridSpan w:val="2"/>
            <w:tcBorders>
              <w:bottom w:val="single" w:color="000000" w:sz="2" w:space="0"/>
              <w:right w:val="single" w:color="000000" w:sz="2" w:space="0"/>
            </w:tcBorders>
            <w:vAlign w:val="center"/>
          </w:tcPr>
          <w:p w14:paraId="114E7386">
            <w:pPr>
              <w:spacing w:line="360" w:lineRule="auto"/>
              <w:jc w:val="center"/>
              <w:rPr>
                <w:sz w:val="24"/>
                <w:highlight w:val="none"/>
              </w:rPr>
            </w:pPr>
            <w:r>
              <w:rPr>
                <w:sz w:val="24"/>
                <w:highlight w:val="none"/>
              </w:rPr>
              <w:t>甲方</w:t>
            </w:r>
            <w:r>
              <w:rPr>
                <w:rFonts w:hint="eastAsia"/>
                <w:sz w:val="24"/>
                <w:highlight w:val="none"/>
              </w:rPr>
              <w:t>（采购人</w:t>
            </w:r>
            <w:r>
              <w:rPr>
                <w:rFonts w:hint="eastAsia" w:ascii="宋体" w:hAnsi="宋体"/>
                <w:sz w:val="24"/>
                <w:highlight w:val="none"/>
              </w:rPr>
              <w:t>、受采购人委托签订合同的单位或</w:t>
            </w:r>
            <w:r>
              <w:rPr>
                <w:rFonts w:hint="eastAsia"/>
                <w:sz w:val="24"/>
                <w:highlight w:val="none"/>
              </w:rPr>
              <w:t>采购文件约定的合同甲方）</w:t>
            </w:r>
          </w:p>
        </w:tc>
        <w:tc>
          <w:tcPr>
            <w:tcW w:w="4789" w:type="dxa"/>
            <w:gridSpan w:val="2"/>
            <w:tcBorders>
              <w:left w:val="single" w:color="000000" w:sz="2" w:space="0"/>
              <w:bottom w:val="single" w:color="000000" w:sz="2" w:space="0"/>
            </w:tcBorders>
            <w:vAlign w:val="center"/>
          </w:tcPr>
          <w:p w14:paraId="47FC7979">
            <w:pPr>
              <w:spacing w:line="360" w:lineRule="auto"/>
              <w:jc w:val="center"/>
              <w:rPr>
                <w:sz w:val="24"/>
                <w:highlight w:val="none"/>
              </w:rPr>
            </w:pPr>
            <w:r>
              <w:rPr>
                <w:sz w:val="24"/>
                <w:highlight w:val="none"/>
              </w:rPr>
              <w:t>乙方</w:t>
            </w:r>
            <w:r>
              <w:rPr>
                <w:rFonts w:hint="eastAsia"/>
                <w:sz w:val="24"/>
                <w:highlight w:val="none"/>
              </w:rPr>
              <w:t>（供应商）</w:t>
            </w:r>
          </w:p>
        </w:tc>
      </w:tr>
      <w:tr w14:paraId="4E777F58">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17" w:hRule="atLeast"/>
        </w:trPr>
        <w:tc>
          <w:tcPr>
            <w:tcW w:w="2211" w:type="dxa"/>
            <w:tcBorders>
              <w:top w:val="single" w:color="000000" w:sz="2" w:space="0"/>
              <w:bottom w:val="single" w:color="000000" w:sz="2" w:space="0"/>
              <w:right w:val="single" w:color="000000" w:sz="2" w:space="0"/>
            </w:tcBorders>
            <w:vAlign w:val="center"/>
          </w:tcPr>
          <w:p w14:paraId="1A6715C6">
            <w:pPr>
              <w:spacing w:line="360" w:lineRule="auto"/>
              <w:jc w:val="center"/>
              <w:rPr>
                <w:sz w:val="24"/>
                <w:highlight w:val="none"/>
              </w:rPr>
            </w:pPr>
            <w:r>
              <w:rPr>
                <w:sz w:val="24"/>
                <w:highlight w:val="none"/>
              </w:rPr>
              <w:t>单位名称</w:t>
            </w:r>
            <w:r>
              <w:rPr>
                <w:rFonts w:hint="eastAsia"/>
                <w:sz w:val="24"/>
                <w:highlight w:val="none"/>
              </w:rPr>
              <w:t>（公章或合同章）</w:t>
            </w:r>
          </w:p>
        </w:tc>
        <w:tc>
          <w:tcPr>
            <w:tcW w:w="2820" w:type="dxa"/>
            <w:tcBorders>
              <w:top w:val="single" w:color="000000" w:sz="2" w:space="0"/>
              <w:left w:val="single" w:color="000000" w:sz="2" w:space="0"/>
              <w:bottom w:val="single" w:color="000000" w:sz="2" w:space="0"/>
              <w:right w:val="single" w:color="000000" w:sz="2" w:space="0"/>
            </w:tcBorders>
            <w:vAlign w:val="center"/>
          </w:tcPr>
          <w:p w14:paraId="1EDFD57D">
            <w:pPr>
              <w:spacing w:line="360" w:lineRule="auto"/>
              <w:jc w:val="center"/>
              <w:rPr>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14:paraId="5156A961">
            <w:pPr>
              <w:spacing w:line="360" w:lineRule="auto"/>
              <w:jc w:val="center"/>
              <w:rPr>
                <w:sz w:val="24"/>
                <w:highlight w:val="none"/>
              </w:rPr>
            </w:pPr>
            <w:r>
              <w:rPr>
                <w:sz w:val="24"/>
                <w:highlight w:val="none"/>
              </w:rPr>
              <w:t>单位名称</w:t>
            </w:r>
            <w:r>
              <w:rPr>
                <w:rFonts w:hint="eastAsia"/>
                <w:sz w:val="24"/>
                <w:highlight w:val="none"/>
              </w:rPr>
              <w:t>（公章或合同章）</w:t>
            </w:r>
          </w:p>
        </w:tc>
        <w:tc>
          <w:tcPr>
            <w:tcW w:w="2475" w:type="dxa"/>
            <w:tcBorders>
              <w:top w:val="single" w:color="000000" w:sz="2" w:space="0"/>
              <w:left w:val="single" w:color="000000" w:sz="2" w:space="0"/>
              <w:bottom w:val="single" w:color="000000" w:sz="2" w:space="0"/>
            </w:tcBorders>
            <w:vAlign w:val="center"/>
          </w:tcPr>
          <w:p w14:paraId="2F0ECE28">
            <w:pPr>
              <w:spacing w:line="360" w:lineRule="auto"/>
              <w:jc w:val="center"/>
              <w:rPr>
                <w:spacing w:val="20"/>
                <w:sz w:val="24"/>
                <w:highlight w:val="none"/>
              </w:rPr>
            </w:pPr>
          </w:p>
        </w:tc>
      </w:tr>
      <w:tr w14:paraId="3DD5ECA8">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1171" w:hRule="atLeast"/>
        </w:trPr>
        <w:tc>
          <w:tcPr>
            <w:tcW w:w="2211" w:type="dxa"/>
            <w:vMerge w:val="restart"/>
            <w:tcBorders>
              <w:top w:val="single" w:color="000000" w:sz="2" w:space="0"/>
              <w:right w:val="single" w:color="000000" w:sz="2" w:space="0"/>
            </w:tcBorders>
            <w:vAlign w:val="center"/>
          </w:tcPr>
          <w:p w14:paraId="65AEFB31">
            <w:pPr>
              <w:spacing w:line="360" w:lineRule="auto"/>
              <w:jc w:val="center"/>
              <w:rPr>
                <w:sz w:val="24"/>
                <w:highlight w:val="none"/>
              </w:rPr>
            </w:pPr>
            <w:r>
              <w:rPr>
                <w:sz w:val="24"/>
                <w:highlight w:val="none"/>
              </w:rPr>
              <w:t>法定代表人</w:t>
            </w:r>
          </w:p>
          <w:p w14:paraId="3F73D85F">
            <w:pPr>
              <w:spacing w:line="360" w:lineRule="auto"/>
              <w:ind w:firstLine="115"/>
              <w:jc w:val="center"/>
              <w:rPr>
                <w:sz w:val="24"/>
                <w:highlight w:val="none"/>
              </w:rPr>
            </w:pPr>
            <w:r>
              <w:rPr>
                <w:rFonts w:hint="eastAsia"/>
                <w:sz w:val="24"/>
                <w:highlight w:val="none"/>
              </w:rPr>
              <w:t>或其</w:t>
            </w:r>
            <w:r>
              <w:rPr>
                <w:sz w:val="24"/>
                <w:highlight w:val="none"/>
              </w:rPr>
              <w:t>委托代理人</w:t>
            </w:r>
            <w:r>
              <w:rPr>
                <w:rFonts w:hint="eastAsia"/>
                <w:sz w:val="24"/>
                <w:highlight w:val="none"/>
              </w:rPr>
              <w:t>（签章）</w:t>
            </w:r>
          </w:p>
        </w:tc>
        <w:tc>
          <w:tcPr>
            <w:tcW w:w="2820" w:type="dxa"/>
            <w:vMerge w:val="restart"/>
            <w:tcBorders>
              <w:top w:val="single" w:color="000000" w:sz="2" w:space="0"/>
              <w:left w:val="single" w:color="000000" w:sz="2" w:space="0"/>
              <w:right w:val="single" w:color="000000" w:sz="2" w:space="0"/>
            </w:tcBorders>
            <w:vAlign w:val="center"/>
          </w:tcPr>
          <w:p w14:paraId="7579E773">
            <w:pPr>
              <w:spacing w:line="360" w:lineRule="auto"/>
              <w:jc w:val="center"/>
              <w:rPr>
                <w:sz w:val="24"/>
                <w:highlight w:val="none"/>
              </w:rPr>
            </w:pPr>
          </w:p>
        </w:tc>
        <w:tc>
          <w:tcPr>
            <w:tcW w:w="2314" w:type="dxa"/>
            <w:tcBorders>
              <w:top w:val="single" w:color="000000" w:sz="2" w:space="0"/>
              <w:left w:val="single" w:color="000000" w:sz="2" w:space="0"/>
              <w:right w:val="single" w:color="000000" w:sz="2" w:space="0"/>
            </w:tcBorders>
            <w:vAlign w:val="center"/>
          </w:tcPr>
          <w:p w14:paraId="36630D47">
            <w:pPr>
              <w:spacing w:line="360" w:lineRule="auto"/>
              <w:jc w:val="center"/>
              <w:rPr>
                <w:sz w:val="24"/>
                <w:highlight w:val="none"/>
              </w:rPr>
            </w:pPr>
            <w:r>
              <w:rPr>
                <w:sz w:val="24"/>
                <w:highlight w:val="none"/>
              </w:rPr>
              <w:t>法定代表人</w:t>
            </w:r>
          </w:p>
          <w:p w14:paraId="30FA1823">
            <w:pPr>
              <w:spacing w:line="360" w:lineRule="auto"/>
              <w:jc w:val="center"/>
              <w:rPr>
                <w:sz w:val="24"/>
                <w:highlight w:val="none"/>
              </w:rPr>
            </w:pPr>
            <w:r>
              <w:rPr>
                <w:rFonts w:hint="eastAsia"/>
                <w:sz w:val="24"/>
                <w:highlight w:val="none"/>
              </w:rPr>
              <w:t>或其</w:t>
            </w:r>
            <w:r>
              <w:rPr>
                <w:sz w:val="24"/>
                <w:highlight w:val="none"/>
              </w:rPr>
              <w:t>委托代理人</w:t>
            </w:r>
            <w:r>
              <w:rPr>
                <w:rFonts w:hint="eastAsia"/>
                <w:sz w:val="24"/>
                <w:highlight w:val="none"/>
              </w:rPr>
              <w:t>（签章）</w:t>
            </w:r>
          </w:p>
        </w:tc>
        <w:tc>
          <w:tcPr>
            <w:tcW w:w="2475" w:type="dxa"/>
            <w:tcBorders>
              <w:top w:val="single" w:color="000000" w:sz="2" w:space="0"/>
              <w:left w:val="single" w:color="000000" w:sz="2" w:space="0"/>
              <w:bottom w:val="single" w:color="000000" w:sz="2" w:space="0"/>
            </w:tcBorders>
            <w:vAlign w:val="center"/>
          </w:tcPr>
          <w:p w14:paraId="6A30478B">
            <w:pPr>
              <w:spacing w:line="360" w:lineRule="auto"/>
              <w:jc w:val="center"/>
              <w:rPr>
                <w:sz w:val="24"/>
                <w:highlight w:val="none"/>
              </w:rPr>
            </w:pPr>
          </w:p>
        </w:tc>
      </w:tr>
      <w:tr w14:paraId="0ECDA93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483" w:hRule="atLeast"/>
        </w:trPr>
        <w:tc>
          <w:tcPr>
            <w:tcW w:w="2211" w:type="dxa"/>
            <w:vMerge w:val="continue"/>
            <w:tcBorders>
              <w:bottom w:val="single" w:color="000000" w:sz="2" w:space="0"/>
              <w:right w:val="single" w:color="000000" w:sz="2" w:space="0"/>
            </w:tcBorders>
            <w:vAlign w:val="center"/>
          </w:tcPr>
          <w:p w14:paraId="1DE33B9C">
            <w:pPr>
              <w:spacing w:line="360" w:lineRule="auto"/>
              <w:jc w:val="center"/>
              <w:rPr>
                <w:sz w:val="24"/>
                <w:highlight w:val="none"/>
              </w:rPr>
            </w:pPr>
          </w:p>
        </w:tc>
        <w:tc>
          <w:tcPr>
            <w:tcW w:w="2820" w:type="dxa"/>
            <w:vMerge w:val="continue"/>
            <w:tcBorders>
              <w:left w:val="single" w:color="000000" w:sz="2" w:space="0"/>
              <w:bottom w:val="single" w:color="000000" w:sz="2" w:space="0"/>
              <w:right w:val="single" w:color="000000" w:sz="2" w:space="0"/>
            </w:tcBorders>
            <w:vAlign w:val="center"/>
          </w:tcPr>
          <w:p w14:paraId="28244BCD">
            <w:pPr>
              <w:spacing w:line="360" w:lineRule="auto"/>
              <w:jc w:val="center"/>
              <w:rPr>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14:paraId="5F9438F1">
            <w:pPr>
              <w:spacing w:line="360" w:lineRule="auto"/>
              <w:jc w:val="center"/>
              <w:rPr>
                <w:sz w:val="24"/>
                <w:highlight w:val="none"/>
              </w:rPr>
            </w:pPr>
            <w:r>
              <w:rPr>
                <w:rFonts w:hint="eastAsia"/>
                <w:sz w:val="24"/>
                <w:highlight w:val="none"/>
              </w:rPr>
              <w:t>拥有者性别</w:t>
            </w:r>
          </w:p>
        </w:tc>
        <w:tc>
          <w:tcPr>
            <w:tcW w:w="2475" w:type="dxa"/>
            <w:tcBorders>
              <w:top w:val="single" w:color="000000" w:sz="2" w:space="0"/>
              <w:left w:val="single" w:color="000000" w:sz="2" w:space="0"/>
              <w:bottom w:val="single" w:color="000000" w:sz="2" w:space="0"/>
            </w:tcBorders>
            <w:vAlign w:val="center"/>
          </w:tcPr>
          <w:p w14:paraId="6111C1E3">
            <w:pPr>
              <w:spacing w:line="360" w:lineRule="auto"/>
              <w:jc w:val="center"/>
              <w:rPr>
                <w:spacing w:val="20"/>
                <w:sz w:val="24"/>
                <w:highlight w:val="none"/>
              </w:rPr>
            </w:pPr>
          </w:p>
        </w:tc>
      </w:tr>
      <w:tr w14:paraId="6C9C942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vAlign w:val="center"/>
          </w:tcPr>
          <w:p w14:paraId="7EBB2DCD">
            <w:pPr>
              <w:spacing w:line="360" w:lineRule="auto"/>
              <w:jc w:val="center"/>
              <w:rPr>
                <w:sz w:val="24"/>
                <w:highlight w:val="none"/>
              </w:rPr>
            </w:pPr>
            <w:r>
              <w:rPr>
                <w:rFonts w:hint="eastAsia"/>
                <w:sz w:val="24"/>
                <w:highlight w:val="none"/>
              </w:rPr>
              <w:t>住所</w:t>
            </w:r>
          </w:p>
        </w:tc>
        <w:tc>
          <w:tcPr>
            <w:tcW w:w="2820" w:type="dxa"/>
            <w:tcBorders>
              <w:top w:val="single" w:color="000000" w:sz="2" w:space="0"/>
              <w:left w:val="single" w:color="000000" w:sz="2" w:space="0"/>
              <w:bottom w:val="single" w:color="000000" w:sz="2" w:space="0"/>
              <w:right w:val="single" w:color="000000" w:sz="2" w:space="0"/>
            </w:tcBorders>
            <w:vAlign w:val="center"/>
          </w:tcPr>
          <w:p w14:paraId="28E01318">
            <w:pPr>
              <w:spacing w:line="360" w:lineRule="auto"/>
              <w:jc w:val="center"/>
              <w:rPr>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14:paraId="5870A1D5">
            <w:pPr>
              <w:spacing w:line="360" w:lineRule="auto"/>
              <w:jc w:val="center"/>
              <w:rPr>
                <w:sz w:val="24"/>
                <w:highlight w:val="none"/>
              </w:rPr>
            </w:pPr>
            <w:r>
              <w:rPr>
                <w:rFonts w:hint="eastAsia"/>
                <w:sz w:val="24"/>
                <w:highlight w:val="none"/>
              </w:rPr>
              <w:t>住所</w:t>
            </w:r>
          </w:p>
        </w:tc>
        <w:tc>
          <w:tcPr>
            <w:tcW w:w="2475" w:type="dxa"/>
            <w:tcBorders>
              <w:top w:val="single" w:color="000000" w:sz="2" w:space="0"/>
              <w:left w:val="single" w:color="000000" w:sz="2" w:space="0"/>
              <w:bottom w:val="single" w:color="000000" w:sz="2" w:space="0"/>
            </w:tcBorders>
            <w:vAlign w:val="center"/>
          </w:tcPr>
          <w:p w14:paraId="6FA9F273">
            <w:pPr>
              <w:spacing w:line="360" w:lineRule="auto"/>
              <w:jc w:val="center"/>
              <w:rPr>
                <w:spacing w:val="20"/>
                <w:sz w:val="24"/>
                <w:highlight w:val="none"/>
              </w:rPr>
            </w:pPr>
          </w:p>
        </w:tc>
      </w:tr>
      <w:tr w14:paraId="29FBCA8F">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vAlign w:val="center"/>
          </w:tcPr>
          <w:p w14:paraId="353849B1">
            <w:pPr>
              <w:spacing w:line="360" w:lineRule="auto"/>
              <w:jc w:val="center"/>
              <w:rPr>
                <w:sz w:val="24"/>
                <w:highlight w:val="none"/>
              </w:rPr>
            </w:pPr>
            <w:r>
              <w:rPr>
                <w:sz w:val="24"/>
                <w:highlight w:val="none"/>
              </w:rPr>
              <w:t>联 系 人</w:t>
            </w:r>
          </w:p>
        </w:tc>
        <w:tc>
          <w:tcPr>
            <w:tcW w:w="2820" w:type="dxa"/>
            <w:tcBorders>
              <w:top w:val="single" w:color="000000" w:sz="2" w:space="0"/>
              <w:left w:val="single" w:color="000000" w:sz="2" w:space="0"/>
              <w:bottom w:val="single" w:color="000000" w:sz="2" w:space="0"/>
              <w:right w:val="single" w:color="000000" w:sz="2" w:space="0"/>
            </w:tcBorders>
            <w:vAlign w:val="center"/>
          </w:tcPr>
          <w:p w14:paraId="30282667">
            <w:pPr>
              <w:spacing w:line="360" w:lineRule="auto"/>
              <w:jc w:val="center"/>
              <w:rPr>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14:paraId="32246D37">
            <w:pPr>
              <w:spacing w:line="360" w:lineRule="auto"/>
              <w:jc w:val="center"/>
              <w:rPr>
                <w:sz w:val="24"/>
                <w:highlight w:val="none"/>
              </w:rPr>
            </w:pPr>
            <w:r>
              <w:rPr>
                <w:sz w:val="24"/>
                <w:highlight w:val="none"/>
              </w:rPr>
              <w:t>联 系 人</w:t>
            </w:r>
          </w:p>
        </w:tc>
        <w:tc>
          <w:tcPr>
            <w:tcW w:w="2475" w:type="dxa"/>
            <w:tcBorders>
              <w:top w:val="single" w:color="000000" w:sz="2" w:space="0"/>
              <w:left w:val="single" w:color="000000" w:sz="2" w:space="0"/>
              <w:bottom w:val="single" w:color="000000" w:sz="2" w:space="0"/>
            </w:tcBorders>
            <w:vAlign w:val="center"/>
          </w:tcPr>
          <w:p w14:paraId="2A91CF79">
            <w:pPr>
              <w:spacing w:line="360" w:lineRule="auto"/>
              <w:jc w:val="center"/>
              <w:rPr>
                <w:spacing w:val="20"/>
                <w:sz w:val="24"/>
                <w:highlight w:val="none"/>
              </w:rPr>
            </w:pPr>
          </w:p>
        </w:tc>
      </w:tr>
      <w:tr w14:paraId="65B993E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vAlign w:val="center"/>
          </w:tcPr>
          <w:p w14:paraId="567A7E68">
            <w:pPr>
              <w:spacing w:line="360" w:lineRule="auto"/>
              <w:jc w:val="center"/>
              <w:rPr>
                <w:sz w:val="24"/>
                <w:highlight w:val="none"/>
              </w:rPr>
            </w:pPr>
            <w:r>
              <w:rPr>
                <w:sz w:val="24"/>
                <w:highlight w:val="none"/>
              </w:rPr>
              <w:t>联系电话</w:t>
            </w:r>
          </w:p>
        </w:tc>
        <w:tc>
          <w:tcPr>
            <w:tcW w:w="2820" w:type="dxa"/>
            <w:tcBorders>
              <w:top w:val="single" w:color="000000" w:sz="2" w:space="0"/>
              <w:left w:val="single" w:color="000000" w:sz="2" w:space="0"/>
              <w:bottom w:val="single" w:color="000000" w:sz="2" w:space="0"/>
              <w:right w:val="single" w:color="000000" w:sz="2" w:space="0"/>
            </w:tcBorders>
            <w:vAlign w:val="center"/>
          </w:tcPr>
          <w:p w14:paraId="5B3CFBC1">
            <w:pPr>
              <w:spacing w:line="360" w:lineRule="auto"/>
              <w:jc w:val="center"/>
              <w:rPr>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14:paraId="2ECED40E">
            <w:pPr>
              <w:spacing w:line="360" w:lineRule="auto"/>
              <w:jc w:val="center"/>
              <w:rPr>
                <w:sz w:val="24"/>
                <w:highlight w:val="none"/>
              </w:rPr>
            </w:pPr>
            <w:r>
              <w:rPr>
                <w:sz w:val="24"/>
                <w:highlight w:val="none"/>
              </w:rPr>
              <w:t>联系电话</w:t>
            </w:r>
          </w:p>
        </w:tc>
        <w:tc>
          <w:tcPr>
            <w:tcW w:w="2475" w:type="dxa"/>
            <w:tcBorders>
              <w:top w:val="single" w:color="000000" w:sz="2" w:space="0"/>
              <w:left w:val="single" w:color="000000" w:sz="2" w:space="0"/>
              <w:bottom w:val="single" w:color="000000" w:sz="2" w:space="0"/>
            </w:tcBorders>
            <w:vAlign w:val="center"/>
          </w:tcPr>
          <w:p w14:paraId="506A225C">
            <w:pPr>
              <w:spacing w:line="360" w:lineRule="auto"/>
              <w:jc w:val="center"/>
              <w:rPr>
                <w:spacing w:val="20"/>
                <w:sz w:val="24"/>
                <w:highlight w:val="none"/>
              </w:rPr>
            </w:pPr>
          </w:p>
        </w:tc>
      </w:tr>
      <w:tr w14:paraId="77151D6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vAlign w:val="center"/>
          </w:tcPr>
          <w:p w14:paraId="2540AF75">
            <w:pPr>
              <w:spacing w:line="360" w:lineRule="auto"/>
              <w:jc w:val="center"/>
              <w:rPr>
                <w:sz w:val="24"/>
                <w:highlight w:val="none"/>
              </w:rPr>
            </w:pPr>
            <w:r>
              <w:rPr>
                <w:rFonts w:hint="eastAsia"/>
                <w:sz w:val="24"/>
                <w:highlight w:val="none"/>
              </w:rPr>
              <w:t>通信地址</w:t>
            </w:r>
          </w:p>
        </w:tc>
        <w:tc>
          <w:tcPr>
            <w:tcW w:w="2820" w:type="dxa"/>
            <w:tcBorders>
              <w:top w:val="single" w:color="000000" w:sz="2" w:space="0"/>
              <w:left w:val="single" w:color="000000" w:sz="2" w:space="0"/>
              <w:bottom w:val="single" w:color="000000" w:sz="2" w:space="0"/>
              <w:right w:val="single" w:color="000000" w:sz="2" w:space="0"/>
            </w:tcBorders>
            <w:vAlign w:val="center"/>
          </w:tcPr>
          <w:p w14:paraId="6DF35DF5">
            <w:pPr>
              <w:spacing w:line="360" w:lineRule="auto"/>
              <w:jc w:val="center"/>
              <w:rPr>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14:paraId="66ED8B55">
            <w:pPr>
              <w:spacing w:line="360" w:lineRule="auto"/>
              <w:jc w:val="center"/>
              <w:rPr>
                <w:sz w:val="24"/>
                <w:highlight w:val="none"/>
              </w:rPr>
            </w:pPr>
            <w:r>
              <w:rPr>
                <w:rFonts w:hint="eastAsia"/>
                <w:sz w:val="24"/>
                <w:highlight w:val="none"/>
              </w:rPr>
              <w:t>通信地址</w:t>
            </w:r>
          </w:p>
        </w:tc>
        <w:tc>
          <w:tcPr>
            <w:tcW w:w="2475" w:type="dxa"/>
            <w:tcBorders>
              <w:top w:val="single" w:color="000000" w:sz="2" w:space="0"/>
              <w:left w:val="single" w:color="000000" w:sz="2" w:space="0"/>
              <w:bottom w:val="single" w:color="000000" w:sz="2" w:space="0"/>
            </w:tcBorders>
            <w:vAlign w:val="center"/>
          </w:tcPr>
          <w:p w14:paraId="23E941C2">
            <w:pPr>
              <w:spacing w:line="360" w:lineRule="auto"/>
              <w:jc w:val="center"/>
              <w:rPr>
                <w:spacing w:val="20"/>
                <w:sz w:val="24"/>
                <w:highlight w:val="none"/>
              </w:rPr>
            </w:pPr>
          </w:p>
        </w:tc>
      </w:tr>
      <w:tr w14:paraId="3E233E8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vAlign w:val="center"/>
          </w:tcPr>
          <w:p w14:paraId="322482E4">
            <w:pPr>
              <w:spacing w:line="360" w:lineRule="auto"/>
              <w:jc w:val="center"/>
              <w:rPr>
                <w:sz w:val="24"/>
                <w:highlight w:val="none"/>
              </w:rPr>
            </w:pPr>
            <w:r>
              <w:rPr>
                <w:sz w:val="24"/>
                <w:highlight w:val="none"/>
              </w:rPr>
              <w:t>邮政编码</w:t>
            </w:r>
          </w:p>
        </w:tc>
        <w:tc>
          <w:tcPr>
            <w:tcW w:w="2820" w:type="dxa"/>
            <w:tcBorders>
              <w:top w:val="single" w:color="000000" w:sz="2" w:space="0"/>
              <w:left w:val="single" w:color="000000" w:sz="2" w:space="0"/>
              <w:bottom w:val="single" w:color="000000" w:sz="2" w:space="0"/>
              <w:right w:val="single" w:color="000000" w:sz="2" w:space="0"/>
            </w:tcBorders>
            <w:vAlign w:val="center"/>
          </w:tcPr>
          <w:p w14:paraId="586ABDA1">
            <w:pPr>
              <w:spacing w:line="360" w:lineRule="auto"/>
              <w:jc w:val="center"/>
              <w:rPr>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14:paraId="1B7FD349">
            <w:pPr>
              <w:spacing w:line="360" w:lineRule="auto"/>
              <w:jc w:val="center"/>
              <w:rPr>
                <w:sz w:val="24"/>
                <w:highlight w:val="none"/>
              </w:rPr>
            </w:pPr>
            <w:r>
              <w:rPr>
                <w:sz w:val="24"/>
                <w:highlight w:val="none"/>
              </w:rPr>
              <w:t>邮政编码</w:t>
            </w:r>
          </w:p>
        </w:tc>
        <w:tc>
          <w:tcPr>
            <w:tcW w:w="2475" w:type="dxa"/>
            <w:tcBorders>
              <w:top w:val="single" w:color="000000" w:sz="2" w:space="0"/>
              <w:left w:val="single" w:color="000000" w:sz="2" w:space="0"/>
              <w:bottom w:val="single" w:color="000000" w:sz="2" w:space="0"/>
            </w:tcBorders>
            <w:vAlign w:val="center"/>
          </w:tcPr>
          <w:p w14:paraId="573A4DFE">
            <w:pPr>
              <w:spacing w:line="360" w:lineRule="auto"/>
              <w:jc w:val="center"/>
              <w:rPr>
                <w:spacing w:val="20"/>
                <w:sz w:val="24"/>
                <w:highlight w:val="none"/>
              </w:rPr>
            </w:pPr>
          </w:p>
        </w:tc>
      </w:tr>
      <w:tr w14:paraId="7C0E729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vAlign w:val="center"/>
          </w:tcPr>
          <w:p w14:paraId="55968A2D">
            <w:pPr>
              <w:spacing w:line="360" w:lineRule="auto"/>
              <w:jc w:val="center"/>
              <w:rPr>
                <w:sz w:val="24"/>
                <w:highlight w:val="none"/>
              </w:rPr>
            </w:pPr>
            <w:r>
              <w:rPr>
                <w:rFonts w:hint="eastAsia"/>
                <w:sz w:val="24"/>
                <w:highlight w:val="none"/>
              </w:rPr>
              <w:t>电子邮箱</w:t>
            </w:r>
          </w:p>
        </w:tc>
        <w:tc>
          <w:tcPr>
            <w:tcW w:w="2820" w:type="dxa"/>
            <w:tcBorders>
              <w:top w:val="single" w:color="000000" w:sz="2" w:space="0"/>
              <w:left w:val="single" w:color="000000" w:sz="2" w:space="0"/>
              <w:bottom w:val="single" w:color="000000" w:sz="2" w:space="0"/>
              <w:right w:val="single" w:color="000000" w:sz="2" w:space="0"/>
            </w:tcBorders>
            <w:vAlign w:val="center"/>
          </w:tcPr>
          <w:p w14:paraId="09D4D599">
            <w:pPr>
              <w:spacing w:line="360" w:lineRule="auto"/>
              <w:jc w:val="center"/>
              <w:rPr>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14:paraId="198820F5">
            <w:pPr>
              <w:spacing w:line="360" w:lineRule="auto"/>
              <w:jc w:val="center"/>
              <w:rPr>
                <w:sz w:val="24"/>
                <w:highlight w:val="none"/>
              </w:rPr>
            </w:pPr>
            <w:r>
              <w:rPr>
                <w:rFonts w:hint="eastAsia"/>
                <w:sz w:val="24"/>
                <w:highlight w:val="none"/>
              </w:rPr>
              <w:t>电子邮箱</w:t>
            </w:r>
          </w:p>
        </w:tc>
        <w:tc>
          <w:tcPr>
            <w:tcW w:w="2475" w:type="dxa"/>
            <w:tcBorders>
              <w:top w:val="single" w:color="000000" w:sz="2" w:space="0"/>
              <w:left w:val="single" w:color="000000" w:sz="2" w:space="0"/>
              <w:bottom w:val="single" w:color="000000" w:sz="2" w:space="0"/>
            </w:tcBorders>
            <w:vAlign w:val="center"/>
          </w:tcPr>
          <w:p w14:paraId="0F507CFA">
            <w:pPr>
              <w:spacing w:line="360" w:lineRule="auto"/>
              <w:jc w:val="center"/>
              <w:rPr>
                <w:spacing w:val="20"/>
                <w:sz w:val="24"/>
                <w:highlight w:val="none"/>
              </w:rPr>
            </w:pPr>
          </w:p>
        </w:tc>
      </w:tr>
      <w:tr w14:paraId="025C8A1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vAlign w:val="center"/>
          </w:tcPr>
          <w:p w14:paraId="5AB936B3">
            <w:pPr>
              <w:spacing w:line="360" w:lineRule="auto"/>
              <w:jc w:val="center"/>
              <w:rPr>
                <w:sz w:val="24"/>
                <w:highlight w:val="none"/>
              </w:rPr>
            </w:pPr>
            <w:r>
              <w:rPr>
                <w:rFonts w:hint="eastAsia"/>
                <w:sz w:val="24"/>
                <w:highlight w:val="none"/>
              </w:rPr>
              <w:t>统一社会信用代码</w:t>
            </w:r>
          </w:p>
        </w:tc>
        <w:tc>
          <w:tcPr>
            <w:tcW w:w="2820" w:type="dxa"/>
            <w:tcBorders>
              <w:top w:val="single" w:color="000000" w:sz="2" w:space="0"/>
              <w:left w:val="single" w:color="000000" w:sz="2" w:space="0"/>
              <w:bottom w:val="single" w:color="000000" w:sz="2" w:space="0"/>
              <w:right w:val="single" w:color="000000" w:sz="2" w:space="0"/>
            </w:tcBorders>
            <w:vAlign w:val="center"/>
          </w:tcPr>
          <w:p w14:paraId="6377C7DB">
            <w:pPr>
              <w:spacing w:line="360" w:lineRule="auto"/>
              <w:jc w:val="center"/>
              <w:rPr>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14:paraId="1F242AAA">
            <w:pPr>
              <w:spacing w:line="360" w:lineRule="auto"/>
              <w:jc w:val="center"/>
              <w:rPr>
                <w:sz w:val="24"/>
                <w:highlight w:val="none"/>
              </w:rPr>
            </w:pPr>
            <w:r>
              <w:rPr>
                <w:rFonts w:hint="eastAsia"/>
                <w:sz w:val="24"/>
                <w:highlight w:val="none"/>
              </w:rPr>
              <w:t>统一社会信用代码</w:t>
            </w:r>
          </w:p>
        </w:tc>
        <w:tc>
          <w:tcPr>
            <w:tcW w:w="2475" w:type="dxa"/>
            <w:tcBorders>
              <w:top w:val="single" w:color="000000" w:sz="2" w:space="0"/>
              <w:left w:val="single" w:color="000000" w:sz="2" w:space="0"/>
              <w:bottom w:val="single" w:color="000000" w:sz="2" w:space="0"/>
            </w:tcBorders>
            <w:vAlign w:val="center"/>
          </w:tcPr>
          <w:p w14:paraId="5DECDB04">
            <w:pPr>
              <w:spacing w:line="360" w:lineRule="auto"/>
              <w:jc w:val="center"/>
              <w:rPr>
                <w:spacing w:val="20"/>
                <w:sz w:val="24"/>
                <w:highlight w:val="none"/>
              </w:rPr>
            </w:pPr>
          </w:p>
        </w:tc>
      </w:tr>
      <w:tr w14:paraId="036CB65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vAlign w:val="center"/>
          </w:tcPr>
          <w:p w14:paraId="27D93A75">
            <w:pPr>
              <w:spacing w:line="360" w:lineRule="auto"/>
              <w:jc w:val="center"/>
              <w:rPr>
                <w:sz w:val="24"/>
                <w:highlight w:val="none"/>
              </w:rPr>
            </w:pPr>
          </w:p>
        </w:tc>
        <w:tc>
          <w:tcPr>
            <w:tcW w:w="2820" w:type="dxa"/>
            <w:tcBorders>
              <w:top w:val="single" w:color="000000" w:sz="2" w:space="0"/>
              <w:left w:val="single" w:color="000000" w:sz="2" w:space="0"/>
              <w:bottom w:val="single" w:color="000000" w:sz="2" w:space="0"/>
              <w:right w:val="single" w:color="000000" w:sz="2" w:space="0"/>
            </w:tcBorders>
            <w:vAlign w:val="center"/>
          </w:tcPr>
          <w:p w14:paraId="68ABE3D5">
            <w:pPr>
              <w:spacing w:line="360" w:lineRule="auto"/>
              <w:jc w:val="center"/>
              <w:rPr>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14:paraId="3DC6016A">
            <w:pPr>
              <w:spacing w:line="360" w:lineRule="auto"/>
              <w:jc w:val="center"/>
              <w:rPr>
                <w:sz w:val="24"/>
                <w:highlight w:val="none"/>
              </w:rPr>
            </w:pPr>
            <w:r>
              <w:rPr>
                <w:sz w:val="24"/>
                <w:highlight w:val="none"/>
              </w:rPr>
              <w:t>开户名称</w:t>
            </w:r>
          </w:p>
        </w:tc>
        <w:tc>
          <w:tcPr>
            <w:tcW w:w="2475" w:type="dxa"/>
            <w:tcBorders>
              <w:top w:val="single" w:color="000000" w:sz="2" w:space="0"/>
              <w:left w:val="single" w:color="000000" w:sz="2" w:space="0"/>
              <w:bottom w:val="single" w:color="000000" w:sz="2" w:space="0"/>
            </w:tcBorders>
            <w:vAlign w:val="center"/>
          </w:tcPr>
          <w:p w14:paraId="3C89F935">
            <w:pPr>
              <w:spacing w:line="360" w:lineRule="auto"/>
              <w:jc w:val="center"/>
              <w:rPr>
                <w:spacing w:val="20"/>
                <w:sz w:val="24"/>
                <w:highlight w:val="none"/>
              </w:rPr>
            </w:pPr>
          </w:p>
        </w:tc>
      </w:tr>
      <w:tr w14:paraId="649BB2B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vAlign w:val="center"/>
          </w:tcPr>
          <w:p w14:paraId="4EC8A5FC">
            <w:pPr>
              <w:spacing w:line="360" w:lineRule="auto"/>
              <w:jc w:val="center"/>
              <w:rPr>
                <w:sz w:val="24"/>
                <w:highlight w:val="none"/>
              </w:rPr>
            </w:pPr>
          </w:p>
        </w:tc>
        <w:tc>
          <w:tcPr>
            <w:tcW w:w="2820" w:type="dxa"/>
            <w:tcBorders>
              <w:top w:val="single" w:color="000000" w:sz="2" w:space="0"/>
              <w:left w:val="single" w:color="000000" w:sz="2" w:space="0"/>
              <w:bottom w:val="single" w:color="000000" w:sz="2" w:space="0"/>
              <w:right w:val="single" w:color="000000" w:sz="2" w:space="0"/>
            </w:tcBorders>
            <w:vAlign w:val="center"/>
          </w:tcPr>
          <w:p w14:paraId="392C3773">
            <w:pPr>
              <w:spacing w:line="360" w:lineRule="auto"/>
              <w:jc w:val="center"/>
              <w:rPr>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14:paraId="76D6659A">
            <w:pPr>
              <w:spacing w:line="360" w:lineRule="auto"/>
              <w:jc w:val="center"/>
              <w:rPr>
                <w:sz w:val="24"/>
                <w:highlight w:val="none"/>
              </w:rPr>
            </w:pPr>
            <w:r>
              <w:rPr>
                <w:sz w:val="24"/>
                <w:highlight w:val="none"/>
              </w:rPr>
              <w:t>开户银行</w:t>
            </w:r>
          </w:p>
        </w:tc>
        <w:tc>
          <w:tcPr>
            <w:tcW w:w="2475" w:type="dxa"/>
            <w:tcBorders>
              <w:top w:val="single" w:color="000000" w:sz="2" w:space="0"/>
              <w:left w:val="single" w:color="000000" w:sz="2" w:space="0"/>
              <w:bottom w:val="single" w:color="000000" w:sz="2" w:space="0"/>
            </w:tcBorders>
            <w:vAlign w:val="center"/>
          </w:tcPr>
          <w:p w14:paraId="6CA52884">
            <w:pPr>
              <w:spacing w:line="360" w:lineRule="auto"/>
              <w:jc w:val="center"/>
              <w:rPr>
                <w:spacing w:val="20"/>
                <w:sz w:val="24"/>
                <w:highlight w:val="none"/>
              </w:rPr>
            </w:pPr>
          </w:p>
        </w:tc>
      </w:tr>
      <w:tr w14:paraId="1C09328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vAlign w:val="center"/>
          </w:tcPr>
          <w:p w14:paraId="52595699">
            <w:pPr>
              <w:spacing w:line="360" w:lineRule="auto"/>
              <w:jc w:val="center"/>
              <w:rPr>
                <w:sz w:val="24"/>
                <w:highlight w:val="none"/>
              </w:rPr>
            </w:pPr>
          </w:p>
        </w:tc>
        <w:tc>
          <w:tcPr>
            <w:tcW w:w="2820" w:type="dxa"/>
            <w:tcBorders>
              <w:top w:val="single" w:color="000000" w:sz="2" w:space="0"/>
              <w:left w:val="single" w:color="000000" w:sz="2" w:space="0"/>
              <w:bottom w:val="single" w:color="000000" w:sz="2" w:space="0"/>
              <w:right w:val="single" w:color="000000" w:sz="2" w:space="0"/>
            </w:tcBorders>
            <w:vAlign w:val="center"/>
          </w:tcPr>
          <w:p w14:paraId="11951FAE">
            <w:pPr>
              <w:spacing w:line="360" w:lineRule="auto"/>
              <w:jc w:val="center"/>
              <w:rPr>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14:paraId="0208F8DC">
            <w:pPr>
              <w:spacing w:line="360" w:lineRule="auto"/>
              <w:jc w:val="center"/>
              <w:rPr>
                <w:sz w:val="24"/>
                <w:highlight w:val="none"/>
              </w:rPr>
            </w:pPr>
            <w:r>
              <w:rPr>
                <w:sz w:val="24"/>
                <w:highlight w:val="none"/>
              </w:rPr>
              <w:t>银行账号</w:t>
            </w:r>
          </w:p>
        </w:tc>
        <w:tc>
          <w:tcPr>
            <w:tcW w:w="2475" w:type="dxa"/>
            <w:tcBorders>
              <w:top w:val="single" w:color="000000" w:sz="2" w:space="0"/>
              <w:left w:val="single" w:color="000000" w:sz="2" w:space="0"/>
              <w:bottom w:val="single" w:color="000000" w:sz="2" w:space="0"/>
            </w:tcBorders>
            <w:vAlign w:val="center"/>
          </w:tcPr>
          <w:p w14:paraId="17F6F3A7">
            <w:pPr>
              <w:spacing w:line="360" w:lineRule="auto"/>
              <w:jc w:val="center"/>
              <w:rPr>
                <w:spacing w:val="20"/>
                <w:sz w:val="24"/>
                <w:highlight w:val="none"/>
              </w:rPr>
            </w:pPr>
          </w:p>
        </w:tc>
      </w:tr>
      <w:tr w14:paraId="6D8CB61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86" w:hRule="atLeast"/>
        </w:trPr>
        <w:tc>
          <w:tcPr>
            <w:tcW w:w="9820" w:type="dxa"/>
            <w:gridSpan w:val="4"/>
            <w:tcBorders>
              <w:top w:val="single" w:color="000000" w:sz="2" w:space="0"/>
            </w:tcBorders>
            <w:vAlign w:val="center"/>
          </w:tcPr>
          <w:p w14:paraId="4E9FB35D">
            <w:pPr>
              <w:spacing w:line="360" w:lineRule="auto"/>
              <w:jc w:val="left"/>
              <w:rPr>
                <w:spacing w:val="20"/>
                <w:sz w:val="24"/>
                <w:highlight w:val="none"/>
              </w:rPr>
            </w:pPr>
            <w:r>
              <w:rPr>
                <w:rFonts w:hint="eastAsia" w:ascii="宋体" w:hAnsi="宋体"/>
                <w:sz w:val="24"/>
                <w:highlight w:val="none"/>
              </w:rPr>
              <w:t>注：涉及联合体或其他合同主体的信息应按上表格式加列。</w:t>
            </w:r>
          </w:p>
        </w:tc>
      </w:tr>
    </w:tbl>
    <w:p w14:paraId="2A7F6F08">
      <w:pPr>
        <w:pStyle w:val="2"/>
        <w:adjustRightInd w:val="0"/>
        <w:snapToGrid w:val="0"/>
        <w:spacing w:before="156" w:beforeLines="50"/>
        <w:jc w:val="center"/>
        <w:rPr>
          <w:rFonts w:ascii="黑体" w:hAnsi="黑体" w:eastAsia="黑体"/>
          <w:sz w:val="28"/>
          <w:szCs w:val="28"/>
          <w:highlight w:val="none"/>
        </w:rPr>
      </w:pPr>
      <w:r>
        <w:rPr>
          <w:rFonts w:ascii="宋体" w:hAnsi="宋体"/>
          <w:highlight w:val="none"/>
          <w:u w:val="single"/>
        </w:rPr>
        <w:br w:type="page" w:clear="all"/>
      </w:r>
      <w:bookmarkStart w:id="169" w:name="_Toc27624"/>
      <w:bookmarkStart w:id="170" w:name="_Toc20313"/>
      <w:r>
        <w:rPr>
          <w:rFonts w:hint="eastAsia" w:ascii="黑体" w:hAnsi="黑体" w:eastAsia="黑体"/>
          <w:b w:val="0"/>
          <w:bCs w:val="0"/>
          <w:sz w:val="28"/>
          <w:szCs w:val="28"/>
          <w:highlight w:val="none"/>
        </w:rPr>
        <w:t>第二节 政府采购合同通用条款</w:t>
      </w:r>
      <w:bookmarkEnd w:id="169"/>
    </w:p>
    <w:p w14:paraId="32E5448A">
      <w:pPr>
        <w:tabs>
          <w:tab w:val="left" w:pos="8820"/>
          <w:tab w:val="left" w:pos="9345"/>
          <w:tab w:val="left" w:pos="9765"/>
        </w:tabs>
        <w:adjustRightInd w:val="0"/>
        <w:snapToGrid w:val="0"/>
        <w:spacing w:line="400" w:lineRule="exact"/>
        <w:jc w:val="left"/>
        <w:rPr>
          <w:rFonts w:hint="eastAsia" w:ascii="宋体" w:hAnsi="宋体"/>
          <w:b/>
          <w:bCs/>
          <w:sz w:val="24"/>
          <w:highlight w:val="none"/>
        </w:rPr>
      </w:pPr>
      <w:r>
        <w:rPr>
          <w:rFonts w:hint="eastAsia" w:ascii="宋体" w:hAnsi="宋体"/>
          <w:b/>
          <w:sz w:val="24"/>
          <w:highlight w:val="none"/>
        </w:rPr>
        <w:t xml:space="preserve">1. </w:t>
      </w:r>
      <w:r>
        <w:rPr>
          <w:rFonts w:hint="eastAsia" w:ascii="宋体" w:hAnsi="宋体"/>
          <w:b/>
          <w:bCs/>
          <w:sz w:val="24"/>
          <w:highlight w:val="none"/>
        </w:rPr>
        <w:t>定义</w:t>
      </w:r>
    </w:p>
    <w:p w14:paraId="31AA2C8D">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1.1合同当事人</w:t>
      </w:r>
    </w:p>
    <w:p w14:paraId="5A1962D3">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（1）采购人（以下称甲方）是指使用财政性资金，通过政府采购方式向供应商购买货物及其相关服务的国家机关、事业单位、团体组织。</w:t>
      </w:r>
    </w:p>
    <w:p w14:paraId="6E4F3701">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（2）供应商（以下称乙方）是指参加政府采购活动并且中标（成交），向采购人提供合同约定的货物及其相关服务的法人、非法人组织或者自然人。</w:t>
      </w:r>
    </w:p>
    <w:p w14:paraId="31941296">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（3）其他合同主体是指除采购人和供应商以外，</w:t>
      </w:r>
      <w:r>
        <w:rPr>
          <w:rFonts w:hint="eastAsia" w:ascii="宋体" w:hAnsi="宋体" w:cs="宋体"/>
          <w:bCs/>
          <w:color w:val="000000" w:themeColor="text1"/>
          <w:szCs w:val="21"/>
          <w:highlight w:val="none"/>
          <w14:textFill>
            <w14:solidFill>
              <w14:schemeClr w14:val="tx1"/>
            </w14:solidFill>
          </w14:textFill>
        </w:rPr>
        <w:t>依法参与合同缔结或履行，享有权利、承担义务的合同当事人</w:t>
      </w:r>
      <w:r>
        <w:rPr>
          <w:rFonts w:hint="eastAsia" w:ascii="宋体" w:hAnsi="宋体"/>
          <w:szCs w:val="21"/>
          <w:highlight w:val="none"/>
        </w:rPr>
        <w:t>。</w:t>
      </w:r>
    </w:p>
    <w:p w14:paraId="39E6B2F2">
      <w:pPr>
        <w:tabs>
          <w:tab w:val="left" w:pos="570"/>
          <w:tab w:val="left" w:pos="9240"/>
          <w:tab w:val="left" w:pos="9555"/>
        </w:tabs>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1.2本合同下列术语应解释为：</w:t>
      </w:r>
    </w:p>
    <w:p w14:paraId="5107C779">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（1）“合同”系指</w:t>
      </w:r>
      <w:r>
        <w:rPr>
          <w:rFonts w:hint="eastAsia" w:ascii="宋体" w:hAnsi="宋体" w:cs="宋体"/>
          <w:bCs/>
          <w:color w:val="000000" w:themeColor="text1"/>
          <w:szCs w:val="21"/>
          <w:highlight w:val="none"/>
          <w14:textFill>
            <w14:solidFill>
              <w14:schemeClr w14:val="tx1"/>
            </w14:solidFill>
          </w14:textFill>
        </w:rPr>
        <w:t>合同当事人意思表示达成一致的任何协议，包括签署的</w:t>
      </w:r>
      <w:r>
        <w:rPr>
          <w:rFonts w:hint="eastAsia" w:ascii="宋体" w:hAnsi="宋体"/>
          <w:szCs w:val="21"/>
          <w:highlight w:val="none"/>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highlight w:val="none"/>
          <w14:textFill>
            <w14:solidFill>
              <w14:schemeClr w14:val="tx1"/>
            </w14:solidFill>
          </w14:textFill>
        </w:rPr>
        <w:t>国家法律、行政法规和规章制度规定或合同约定的作为合同组成部分的其他文件</w:t>
      </w:r>
      <w:r>
        <w:rPr>
          <w:rFonts w:hint="eastAsia" w:ascii="宋体" w:hAnsi="宋体"/>
          <w:szCs w:val="21"/>
          <w:highlight w:val="none"/>
        </w:rPr>
        <w:t>。</w:t>
      </w:r>
    </w:p>
    <w:p w14:paraId="2EF8FF3F">
      <w:pPr>
        <w:tabs>
          <w:tab w:val="left" w:pos="570"/>
          <w:tab w:val="left" w:pos="9240"/>
          <w:tab w:val="left" w:pos="9555"/>
        </w:tabs>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（2）“合同价款”系指根据本合同规定乙方在全面履行合同义务后甲方应支付给乙方的价款。</w:t>
      </w:r>
    </w:p>
    <w:p w14:paraId="65995B43">
      <w:pPr>
        <w:tabs>
          <w:tab w:val="left" w:pos="570"/>
          <w:tab w:val="left" w:pos="9240"/>
          <w:tab w:val="left" w:pos="9555"/>
        </w:tabs>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szCs w:val="21"/>
          <w:highlight w:val="none"/>
        </w:rPr>
        <w:t>（3）“货物”系指乙方根据本合同规定须向甲方提供的各种形态和种类的物品，包括原材料、设备、产品（</w:t>
      </w:r>
      <w:r>
        <w:rPr>
          <w:rFonts w:hint="eastAsia" w:ascii="宋体" w:hAnsi="宋体"/>
          <w:color w:val="000000" w:themeColor="text1"/>
          <w:szCs w:val="21"/>
          <w:highlight w:val="none"/>
          <w14:textFill>
            <w14:solidFill>
              <w14:schemeClr w14:val="tx1"/>
            </w14:solidFill>
          </w14:textFill>
        </w:rPr>
        <w:t>包括软件）及相关</w:t>
      </w:r>
      <w:r>
        <w:rPr>
          <w:rFonts w:hint="eastAsia" w:ascii="宋体" w:hAnsi="宋体"/>
          <w:color w:val="000000" w:themeColor="text1"/>
          <w:szCs w:val="21"/>
          <w:highlight w:val="none"/>
          <w:lang w:eastAsia="zh-CN"/>
          <w14:textFill>
            <w14:solidFill>
              <w14:schemeClr w14:val="tx1"/>
            </w14:solidFill>
          </w14:textFill>
        </w:rPr>
        <w:t>的</w:t>
      </w:r>
      <w:r>
        <w:rPr>
          <w:rFonts w:hint="eastAsia" w:ascii="宋体" w:hAnsi="宋体"/>
          <w:color w:val="000000" w:themeColor="text1"/>
          <w:szCs w:val="21"/>
          <w:highlight w:val="none"/>
          <w14:textFill>
            <w14:solidFill>
              <w14:schemeClr w14:val="tx1"/>
            </w14:solidFill>
          </w14:textFill>
        </w:rPr>
        <w:t>备品备件、工具、手册及</w:t>
      </w:r>
      <w:r>
        <w:rPr>
          <w:rFonts w:hint="eastAsia"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技术资料和材料等。</w:t>
      </w:r>
    </w:p>
    <w:p w14:paraId="39AA8F09">
      <w:pPr>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w:t>
      </w:r>
      <w:r>
        <w:rPr>
          <w:rFonts w:hint="eastAsia" w:ascii="宋体" w:hAnsi="宋体"/>
          <w:szCs w:val="21"/>
          <w:highlight w:val="none"/>
        </w:rPr>
        <w:t>相关</w:t>
      </w:r>
      <w:r>
        <w:rPr>
          <w:rFonts w:hint="eastAsia" w:ascii="宋体" w:hAnsi="宋体"/>
          <w:color w:val="000000" w:themeColor="text1"/>
          <w:szCs w:val="21"/>
          <w:highlight w:val="none"/>
          <w14:textFill>
            <w14:solidFill>
              <w14:schemeClr w14:val="tx1"/>
            </w14:solidFill>
          </w14:textFill>
        </w:rPr>
        <w:t>服务”系指根据合同规定，乙方应提供的与货物有关的技术、管理和</w:t>
      </w:r>
      <w:r>
        <w:rPr>
          <w:rFonts w:hint="eastAsia"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服务，包括但不限于：管理和质量保证、运输、保险、检验、现场准备、安装、集成、调试、培训、维修、废弃处置、技术支持等以及合同中规定乙方应承担的</w:t>
      </w:r>
      <w:r>
        <w:rPr>
          <w:rFonts w:hint="eastAsia"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义务。</w:t>
      </w:r>
    </w:p>
    <w:p w14:paraId="0696A5AC">
      <w:pPr>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（5）“分包”系指中标（成交）供应商按采购文件、投标（响应）文件的规定，根据分包意向协议，将中标（成交）项目中的部分履约内容，分给具有相应资质条件的供应商履行合同的行为。</w:t>
      </w:r>
    </w:p>
    <w:p w14:paraId="5A759379">
      <w:pPr>
        <w:tabs>
          <w:tab w:val="left" w:pos="570"/>
          <w:tab w:val="left" w:pos="9240"/>
          <w:tab w:val="left" w:pos="9555"/>
        </w:tabs>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w:t>
      </w:r>
      <w:r>
        <w:rPr>
          <w:rFonts w:hint="eastAsia" w:ascii="宋体" w:hAnsi="宋体"/>
          <w:szCs w:val="21"/>
          <w:highlight w:val="none"/>
        </w:rPr>
        <w:t>“联合体”系指由两个以上的自然人、法人或者非法人组织组成，以一个供应商的身份共同参加政府采购的主体</w:t>
      </w:r>
      <w:r>
        <w:rPr>
          <w:rFonts w:hint="eastAsia" w:ascii="宋体" w:hAnsi="宋体"/>
          <w:color w:val="000000" w:themeColor="text1"/>
          <w:szCs w:val="21"/>
          <w:highlight w:val="none"/>
          <w14:textFill>
            <w14:solidFill>
              <w14:schemeClr w14:val="tx1"/>
            </w14:solidFill>
          </w14:textFill>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w:t>
      </w:r>
    </w:p>
    <w:p w14:paraId="45D54356">
      <w:pPr>
        <w:tabs>
          <w:tab w:val="left" w:pos="570"/>
          <w:tab w:val="left" w:pos="9240"/>
          <w:tab w:val="left" w:pos="9555"/>
        </w:tabs>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（7）其他术语解释，见【</w:t>
      </w:r>
      <w:r>
        <w:rPr>
          <w:rFonts w:hint="eastAsia" w:ascii="宋体" w:hAnsi="宋体"/>
          <w:b/>
          <w:bCs/>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w:t>
      </w:r>
    </w:p>
    <w:p w14:paraId="688D5DB1">
      <w:pPr>
        <w:numPr>
          <w:ilvl w:val="0"/>
          <w:numId w:val="6"/>
        </w:numPr>
        <w:autoSpaceDE w:val="0"/>
        <w:autoSpaceDN w:val="0"/>
        <w:adjustRightInd w:val="0"/>
        <w:snapToGrid w:val="0"/>
        <w:spacing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合同标的及金额</w:t>
      </w:r>
    </w:p>
    <w:p w14:paraId="13014650">
      <w:pPr>
        <w:autoSpaceDE w:val="0"/>
        <w:autoSpaceDN w:val="0"/>
        <w:adjustRightInd w:val="0"/>
        <w:snapToGrid w:val="0"/>
        <w:spacing w:line="400" w:lineRule="exact"/>
        <w:ind w:firstLine="420" w:firstLineChars="200"/>
        <w:jc w:val="left"/>
        <w:rPr>
          <w:rFonts w:hint="eastAsia"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2.1 合同标的及金额应与中标（成交）结果一致。乙方为履行本合同而发生的所有费用均应包含在合同价款中，甲方不再另行支付</w:t>
      </w:r>
      <w:r>
        <w:rPr>
          <w:rFonts w:hint="eastAsia"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任何费用。</w:t>
      </w:r>
    </w:p>
    <w:p w14:paraId="4C60172E">
      <w:pPr>
        <w:adjustRightInd w:val="0"/>
        <w:snapToGrid w:val="0"/>
        <w:spacing w:line="400" w:lineRule="exact"/>
        <w:jc w:val="lef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3. 履行合同的时间、地点和方式</w:t>
      </w:r>
    </w:p>
    <w:p w14:paraId="76F5662F">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 </w:t>
      </w:r>
      <w:r>
        <w:rPr>
          <w:rFonts w:hint="eastAsia" w:ascii="宋体" w:hAnsi="宋体" w:cs="宋体"/>
          <w:szCs w:val="21"/>
          <w:highlight w:val="none"/>
        </w:rPr>
        <w:t>乙方应当在约定的时间、地点，按照约定方式履行合同。</w:t>
      </w:r>
    </w:p>
    <w:p w14:paraId="213B537E">
      <w:pPr>
        <w:autoSpaceDE w:val="0"/>
        <w:autoSpaceDN w:val="0"/>
        <w:adjustRightInd w:val="0"/>
        <w:snapToGrid w:val="0"/>
        <w:spacing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4. 甲方的权利和义务</w:t>
      </w:r>
    </w:p>
    <w:p w14:paraId="1B9C609F">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4.1 签署合同后，甲方应确定项目负责人（或项目联系人），负责与本合同有关的事务。甲方有权对乙方的履约行为进行检查，并及时确认乙方提交的事项。甲方应当配合乙方完成相关项目实施工作。</w:t>
      </w:r>
    </w:p>
    <w:p w14:paraId="7DDB64F2">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4.2 甲方有权要求乙方按时提交各阶段有关安排计划，并有权定期核对乙方提供货物数量、规格、质量等内容。甲方有权督促乙方工作并要求乙方更换不符合要求的货物。</w:t>
      </w:r>
    </w:p>
    <w:p w14:paraId="0EE6E2A2">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4.3 甲方有权要求乙方对缺陷部分予以修复，并按合同约定享有货物保修及其他合同约定的权利。</w:t>
      </w:r>
    </w:p>
    <w:p w14:paraId="672D058B">
      <w:pPr>
        <w:snapToGrid w:val="0"/>
        <w:spacing w:line="400" w:lineRule="exact"/>
        <w:ind w:firstLine="420" w:firstLineChars="200"/>
        <w:rPr>
          <w:rFonts w:hint="eastAsia" w:eastAsia="华文楷体"/>
          <w:highlight w:val="none"/>
        </w:rPr>
      </w:pPr>
      <w:r>
        <w:rPr>
          <w:rFonts w:hint="eastAsia" w:ascii="宋体" w:hAnsi="宋体"/>
          <w:color w:val="000000" w:themeColor="text1"/>
          <w:szCs w:val="21"/>
          <w:highlight w:val="none"/>
          <w14:textFill>
            <w14:solidFill>
              <w14:schemeClr w14:val="tx1"/>
            </w14:solidFill>
          </w14:textFill>
        </w:rPr>
        <w:t>4.4 甲方应当按照合同约定及时对交付的货物进行验收，</w:t>
      </w:r>
      <w:r>
        <w:rPr>
          <w:rFonts w:hint="eastAsia" w:ascii="宋体" w:hAnsi="宋体" w:cs="宋体"/>
          <w:szCs w:val="21"/>
          <w:highlight w:val="none"/>
        </w:rPr>
        <w:t>未</w:t>
      </w:r>
      <w:r>
        <w:rPr>
          <w:rFonts w:hint="eastAsia" w:ascii="宋体" w:hAnsi="宋体"/>
          <w:color w:val="000000" w:themeColor="text1"/>
          <w:szCs w:val="21"/>
          <w:highlight w:val="none"/>
          <w14:textFill>
            <w14:solidFill>
              <w14:schemeClr w14:val="tx1"/>
            </w14:solidFill>
          </w14:textFill>
        </w:rPr>
        <w:t>在</w:t>
      </w:r>
      <w:r>
        <w:rPr>
          <w:rFonts w:hint="eastAsia" w:ascii="宋体" w:hAnsi="宋体" w:cs="宋体"/>
          <w:b/>
          <w:bCs/>
          <w:szCs w:val="21"/>
          <w:highlight w:val="none"/>
        </w:rPr>
        <w:t>【政府采购合同专用条款】</w:t>
      </w:r>
      <w:r>
        <w:rPr>
          <w:rFonts w:hint="eastAsia" w:ascii="宋体" w:hAnsi="宋体" w:cs="宋体"/>
          <w:szCs w:val="21"/>
          <w:highlight w:val="none"/>
        </w:rPr>
        <w:t>约定的期限内对乙方履约提出任何异议或者向乙方作出任何说明的，</w:t>
      </w:r>
      <w:r>
        <w:rPr>
          <w:rFonts w:hint="eastAsia" w:ascii="宋体" w:hAnsi="宋体"/>
          <w:color w:val="000000" w:themeColor="text1"/>
          <w:szCs w:val="21"/>
          <w:highlight w:val="none"/>
          <w14:textFill>
            <w14:solidFill>
              <w14:schemeClr w14:val="tx1"/>
            </w14:solidFill>
          </w14:textFill>
        </w:rPr>
        <w:t>视为验收通过。</w:t>
      </w:r>
    </w:p>
    <w:p w14:paraId="71BFE1F0">
      <w:pPr>
        <w:autoSpaceDE w:val="0"/>
        <w:autoSpaceDN w:val="0"/>
        <w:adjustRightInd w:val="0"/>
        <w:snapToGrid w:val="0"/>
        <w:spacing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4.5 甲方应当根据合同约定及时向乙方支付合同价款，不得以内部人员变更、履行内部付款流程等为由，拒绝或迟延支付。</w:t>
      </w:r>
    </w:p>
    <w:p w14:paraId="6351990A">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4.6 国家法律法规规定及</w:t>
      </w:r>
      <w:r>
        <w:rPr>
          <w:rFonts w:hint="eastAsia" w:ascii="宋体" w:hAnsi="宋体" w:cs="宋体"/>
          <w:b/>
          <w:bCs/>
          <w:szCs w:val="21"/>
          <w:highlight w:val="none"/>
        </w:rPr>
        <w:t>【政府采购合同专用条款】</w:t>
      </w:r>
      <w:r>
        <w:rPr>
          <w:rFonts w:hint="eastAsia" w:ascii="宋体" w:hAnsi="宋体"/>
          <w:color w:val="000000" w:themeColor="text1"/>
          <w:szCs w:val="21"/>
          <w:highlight w:val="none"/>
          <w14:textFill>
            <w14:solidFill>
              <w14:schemeClr w14:val="tx1"/>
            </w14:solidFill>
          </w14:textFill>
        </w:rPr>
        <w:t>约定应由甲方承担的其他义务和责任。</w:t>
      </w:r>
    </w:p>
    <w:p w14:paraId="46DA98B0">
      <w:pPr>
        <w:autoSpaceDE w:val="0"/>
        <w:autoSpaceDN w:val="0"/>
        <w:adjustRightInd w:val="0"/>
        <w:snapToGrid w:val="0"/>
        <w:spacing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5. 乙方的权利和义务</w:t>
      </w:r>
    </w:p>
    <w:p w14:paraId="0527C546">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5.1 签署合同后，乙方应确定项目负责人（或项目联系人），负责与本合同有关的事务。</w:t>
      </w:r>
    </w:p>
    <w:p w14:paraId="27011DCA">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665BE1A5">
      <w:pPr>
        <w:pStyle w:val="8"/>
        <w:spacing w:after="0" w:line="400" w:lineRule="exact"/>
        <w:ind w:firstLine="369" w:firstLineChars="176"/>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5.3乙方有权</w:t>
      </w:r>
      <w:r>
        <w:rPr>
          <w:rFonts w:hint="eastAsia" w:ascii="宋体" w:hAnsi="宋体" w:cs="宋体"/>
          <w:color w:val="000000" w:themeColor="text1"/>
          <w:szCs w:val="21"/>
          <w:highlight w:val="none"/>
          <w14:textFill>
            <w14:solidFill>
              <w14:schemeClr w14:val="tx1"/>
            </w14:solidFill>
          </w14:textFill>
        </w:rPr>
        <w:t>根据合同约定向甲方收取合同价款。</w:t>
      </w:r>
    </w:p>
    <w:p w14:paraId="57B6F9B7">
      <w:pPr>
        <w:pStyle w:val="8"/>
        <w:spacing w:after="0" w:line="400" w:lineRule="exact"/>
        <w:ind w:firstLine="369" w:firstLineChars="176"/>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5.4</w:t>
      </w:r>
      <w:r>
        <w:rPr>
          <w:rFonts w:hint="eastAsia" w:ascii="宋体" w:hAnsi="宋体" w:cs="宋体"/>
          <w:color w:val="000000" w:themeColor="text1"/>
          <w:szCs w:val="21"/>
          <w:highlight w:val="none"/>
          <w14:textFill>
            <w14:solidFill>
              <w14:schemeClr w14:val="tx1"/>
            </w14:solidFill>
          </w14:textFill>
        </w:rPr>
        <w:t>国家法律法规规定</w:t>
      </w:r>
      <w:r>
        <w:rPr>
          <w:rFonts w:hint="eastAsia" w:ascii="宋体" w:hAnsi="宋体"/>
          <w:color w:val="000000" w:themeColor="text1"/>
          <w:szCs w:val="21"/>
          <w:highlight w:val="none"/>
          <w14:textFill>
            <w14:solidFill>
              <w14:schemeClr w14:val="tx1"/>
            </w14:solidFill>
          </w14:textFill>
        </w:rPr>
        <w:t>及</w:t>
      </w:r>
      <w:r>
        <w:rPr>
          <w:rFonts w:hint="eastAsia" w:ascii="宋体" w:hAnsi="宋体" w:cs="宋体"/>
          <w:b/>
          <w:bCs/>
          <w:szCs w:val="21"/>
          <w:highlight w:val="none"/>
        </w:rPr>
        <w:t>【政府采购合同专用条款】</w:t>
      </w:r>
      <w:r>
        <w:rPr>
          <w:rFonts w:hint="eastAsia" w:ascii="宋体" w:hAnsi="宋体" w:cs="宋体"/>
          <w:szCs w:val="21"/>
          <w:highlight w:val="none"/>
        </w:rPr>
        <w:t>约定应</w:t>
      </w:r>
      <w:r>
        <w:rPr>
          <w:rFonts w:hint="eastAsia" w:ascii="宋体" w:hAnsi="宋体" w:cs="宋体"/>
          <w:color w:val="000000" w:themeColor="text1"/>
          <w:szCs w:val="21"/>
          <w:highlight w:val="none"/>
          <w14:textFill>
            <w14:solidFill>
              <w14:schemeClr w14:val="tx1"/>
            </w14:solidFill>
          </w14:textFill>
        </w:rPr>
        <w:t>由乙方承担的其他义务和责任。</w:t>
      </w:r>
    </w:p>
    <w:p w14:paraId="063FF3FB">
      <w:pPr>
        <w:numPr>
          <w:ilvl w:val="0"/>
          <w:numId w:val="7"/>
        </w:numPr>
        <w:autoSpaceDE w:val="0"/>
        <w:autoSpaceDN w:val="0"/>
        <w:adjustRightInd w:val="0"/>
        <w:snapToGrid w:val="0"/>
        <w:spacing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合同履行</w:t>
      </w:r>
    </w:p>
    <w:p w14:paraId="398E8D49">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6.1 甲乙双方应当按照</w:t>
      </w:r>
      <w:r>
        <w:rPr>
          <w:rFonts w:hint="eastAsia" w:ascii="宋体" w:hAnsi="宋体" w:cs="宋体"/>
          <w:b/>
          <w:bCs/>
          <w:szCs w:val="21"/>
          <w:highlight w:val="none"/>
        </w:rPr>
        <w:t>【政府采购合同专用条款】</w:t>
      </w:r>
      <w:r>
        <w:rPr>
          <w:rFonts w:hint="eastAsia" w:ascii="宋体" w:hAnsi="宋体"/>
          <w:color w:val="000000" w:themeColor="text1"/>
          <w:szCs w:val="21"/>
          <w:highlight w:val="none"/>
          <w14:textFill>
            <w14:solidFill>
              <w14:schemeClr w14:val="tx1"/>
            </w14:solidFill>
          </w14:textFill>
        </w:rPr>
        <w:t>约定顺序履行合同义务；如果没有先后顺序的，应当同时履行。</w:t>
      </w:r>
    </w:p>
    <w:p w14:paraId="1E0F43DE">
      <w:pPr>
        <w:autoSpaceDE w:val="0"/>
        <w:autoSpaceDN w:val="0"/>
        <w:adjustRightInd w:val="0"/>
        <w:snapToGrid w:val="0"/>
        <w:spacing w:line="400" w:lineRule="exact"/>
        <w:ind w:firstLine="420" w:firstLineChars="200"/>
        <w:jc w:val="left"/>
        <w:rPr>
          <w:rFonts w:hint="eastAsia"/>
          <w:highlight w:val="none"/>
        </w:rPr>
      </w:pPr>
      <w:r>
        <w:rPr>
          <w:rFonts w:hint="eastAsia" w:ascii="宋体" w:hAnsi="宋体"/>
          <w:color w:val="000000" w:themeColor="text1"/>
          <w:szCs w:val="21"/>
          <w:highlight w:val="none"/>
          <w14:textFill>
            <w14:solidFill>
              <w14:schemeClr w14:val="tx1"/>
            </w14:solidFill>
          </w14:textFill>
        </w:rPr>
        <w:t>6.2 甲乙双方按照合同约定顺序履行合同义务时，应当先履行一方未履行的，后履行一方有权拒绝其履行请求。先履行一方履行不符合约定的，后履行一方有权拒绝其相应的履行请求。</w:t>
      </w:r>
    </w:p>
    <w:p w14:paraId="2E3E9AC3">
      <w:pPr>
        <w:adjustRightInd w:val="0"/>
        <w:snapToGrid w:val="0"/>
        <w:spacing w:line="400" w:lineRule="exact"/>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7. 货物包装、运输、保险和交付要求</w:t>
      </w:r>
    </w:p>
    <w:p w14:paraId="7C2227A6">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7.1 本合同</w:t>
      </w:r>
      <w:r>
        <w:rPr>
          <w:rFonts w:hint="eastAsia" w:ascii="宋体" w:hAnsi="宋体"/>
          <w:bCs/>
          <w:color w:val="000000" w:themeColor="text1"/>
          <w:szCs w:val="21"/>
          <w:highlight w:val="none"/>
          <w14:textFill>
            <w14:solidFill>
              <w14:schemeClr w14:val="tx1"/>
            </w14:solidFill>
          </w14:textFill>
        </w:rPr>
        <w:t>涉及商品包装、快递包装的，</w:t>
      </w:r>
      <w:r>
        <w:rPr>
          <w:rFonts w:hint="eastAsia" w:ascii="宋体" w:hAnsi="宋体"/>
          <w:color w:val="000000" w:themeColor="text1"/>
          <w:szCs w:val="21"/>
          <w:highlight w:val="none"/>
          <w14:textFill>
            <w14:solidFill>
              <w14:schemeClr w14:val="tx1"/>
            </w14:solidFill>
          </w14:textFill>
        </w:rPr>
        <w:t>除</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另有约定外，</w:t>
      </w:r>
      <w:r>
        <w:rPr>
          <w:rFonts w:hint="eastAsia" w:ascii="宋体" w:hAnsi="宋体"/>
          <w:color w:val="000000" w:themeColor="text1"/>
          <w:szCs w:val="21"/>
          <w:highlight w:val="none"/>
          <w14:textFill>
            <w14:solidFill>
              <w14:schemeClr w14:val="tx1"/>
            </w14:solidFill>
          </w14:textFill>
        </w:rPr>
        <w:t>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约定的</w:t>
      </w:r>
      <w:r>
        <w:rPr>
          <w:rFonts w:hint="eastAsia" w:ascii="宋体" w:hAnsi="宋体"/>
          <w:color w:val="000000" w:themeColor="text1"/>
          <w:szCs w:val="21"/>
          <w:highlight w:val="none"/>
          <w14:textFill>
            <w14:solidFill>
              <w14:schemeClr w14:val="tx1"/>
            </w14:solidFill>
          </w14:textFill>
        </w:rPr>
        <w:t>指定现场。</w:t>
      </w:r>
    </w:p>
    <w:p w14:paraId="58660B50">
      <w:pPr>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7.2 除</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另有约定外，</w:t>
      </w:r>
      <w:r>
        <w:rPr>
          <w:rFonts w:hint="eastAsia" w:ascii="宋体" w:hAnsi="宋体"/>
          <w:color w:val="000000" w:themeColor="text1"/>
          <w:szCs w:val="21"/>
          <w:highlight w:val="none"/>
          <w14:textFill>
            <w14:solidFill>
              <w14:schemeClr w14:val="tx1"/>
            </w14:solidFill>
          </w14:textFill>
        </w:rPr>
        <w:t>乙方负责办理将货物运抵本合同规定的交货地点，并装卸、交付至甲方的一切运输事项，相关费用应包含在合同价款中。</w:t>
      </w:r>
    </w:p>
    <w:p w14:paraId="64B7552B">
      <w:pPr>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7.3 货物保险要求按</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规定执行</w:t>
      </w:r>
      <w:r>
        <w:rPr>
          <w:rFonts w:hint="eastAsia" w:ascii="宋体" w:hAnsi="宋体"/>
          <w:color w:val="000000" w:themeColor="text1"/>
          <w:szCs w:val="21"/>
          <w:highlight w:val="none"/>
          <w14:textFill>
            <w14:solidFill>
              <w14:schemeClr w14:val="tx1"/>
            </w14:solidFill>
          </w14:textFill>
        </w:rPr>
        <w:t>。</w:t>
      </w:r>
    </w:p>
    <w:p w14:paraId="2B33FFC7">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55CDEA86">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7.5 </w:t>
      </w:r>
      <w:r>
        <w:rPr>
          <w:rFonts w:hint="eastAsia" w:ascii="宋体" w:hAnsi="宋体" w:cs="宋体"/>
          <w:color w:val="000000"/>
          <w:szCs w:val="21"/>
          <w:highlight w:val="none"/>
        </w:rPr>
        <w:t>乙方在运输到达之前应提前通知甲方，并提示货物运输装卸的注意事项，甲方配合乙方做好货物的接收工作。</w:t>
      </w:r>
    </w:p>
    <w:p w14:paraId="377D5ECB">
      <w:pPr>
        <w:pStyle w:val="22"/>
        <w:ind w:firstLine="420"/>
        <w:rPr>
          <w:rFonts w:hint="eastAsia"/>
          <w:sz w:val="21"/>
          <w:highlight w:val="none"/>
        </w:rPr>
      </w:pPr>
      <w:r>
        <w:rPr>
          <w:rFonts w:hint="eastAsia" w:ascii="宋体" w:hAnsi="宋体" w:eastAsia="宋体" w:cs="Times New Roman"/>
          <w:color w:val="000000" w:themeColor="text1"/>
          <w:kern w:val="2"/>
          <w:sz w:val="21"/>
          <w:highlight w:val="none"/>
          <w14:textFill>
            <w14:solidFill>
              <w14:schemeClr w14:val="tx1"/>
            </w14:solidFill>
          </w14:textFill>
        </w:rPr>
        <w:t xml:space="preserve">7.6 </w:t>
      </w:r>
      <w:r>
        <w:rPr>
          <w:rFonts w:hint="eastAsia" w:ascii="宋体" w:hAnsi="宋体" w:eastAsia="宋体" w:cs="Times New Roman"/>
          <w:color w:val="000000"/>
          <w:kern w:val="2"/>
          <w:sz w:val="21"/>
          <w:highlight w:val="none"/>
        </w:rPr>
        <w:t>如因包装、运输问题导致货物</w:t>
      </w:r>
      <w:r>
        <w:rPr>
          <w:rFonts w:hint="eastAsia" w:ascii="宋体" w:hAnsi="宋体" w:eastAsia="宋体" w:cs="Times New Roman"/>
          <w:color w:val="000000" w:themeColor="text1"/>
          <w:kern w:val="2"/>
          <w:sz w:val="21"/>
          <w:highlight w:val="none"/>
          <w14:textFill>
            <w14:solidFill>
              <w14:schemeClr w14:val="tx1"/>
            </w14:solidFill>
          </w14:textFill>
        </w:rPr>
        <w:t>损毁、丢失</w:t>
      </w:r>
      <w:r>
        <w:rPr>
          <w:rFonts w:hint="eastAsia" w:ascii="宋体" w:hAnsi="宋体" w:eastAsia="宋体" w:cs="Times New Roman"/>
          <w:color w:val="000000"/>
          <w:kern w:val="2"/>
          <w:sz w:val="21"/>
          <w:highlight w:val="none"/>
        </w:rPr>
        <w:t>或者品质下降，甲方有权要求降价、换货、拒收部分或整批货物，由此产生的费用和损失，均由乙方承担。</w:t>
      </w:r>
    </w:p>
    <w:p w14:paraId="3F421777">
      <w:pPr>
        <w:adjustRightInd w:val="0"/>
        <w:snapToGrid w:val="0"/>
        <w:spacing w:line="400" w:lineRule="exact"/>
        <w:jc w:val="left"/>
        <w:rPr>
          <w:rFonts w:hint="eastAsia" w:ascii="宋体" w:hAnsi="宋体"/>
          <w:b/>
          <w:sz w:val="24"/>
          <w:highlight w:val="none"/>
        </w:rPr>
      </w:pPr>
      <w:r>
        <w:rPr>
          <w:rFonts w:hint="eastAsia" w:ascii="宋体" w:hAnsi="宋体"/>
          <w:b/>
          <w:color w:val="000000" w:themeColor="text1"/>
          <w:sz w:val="24"/>
          <w:highlight w:val="none"/>
          <w14:textFill>
            <w14:solidFill>
              <w14:schemeClr w14:val="tx1"/>
            </w14:solidFill>
          </w14:textFill>
        </w:rPr>
        <w:t xml:space="preserve">8. </w:t>
      </w:r>
      <w:r>
        <w:rPr>
          <w:rFonts w:hint="eastAsia" w:ascii="宋体" w:hAnsi="宋体"/>
          <w:b/>
          <w:sz w:val="24"/>
          <w:highlight w:val="none"/>
        </w:rPr>
        <w:t>质量标准和保证</w:t>
      </w:r>
    </w:p>
    <w:p w14:paraId="33673E71">
      <w:pPr>
        <w:pStyle w:val="10"/>
        <w:adjustRightInd w:val="0"/>
        <w:snapToGrid w:val="0"/>
        <w:spacing w:line="400" w:lineRule="exact"/>
        <w:ind w:firstLine="420" w:firstLineChars="200"/>
        <w:jc w:val="left"/>
        <w:rPr>
          <w:rFonts w:hint="eastAsia" w:hAnsi="宋体"/>
          <w:b/>
          <w:highlight w:val="none"/>
        </w:rPr>
      </w:pPr>
      <w:r>
        <w:rPr>
          <w:rFonts w:hint="eastAsia" w:hAnsi="宋体"/>
          <w:highlight w:val="none"/>
        </w:rPr>
        <w:t>8.1 质量标准</w:t>
      </w:r>
    </w:p>
    <w:p w14:paraId="380025D9">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（1）本合同下提供的货物应符合合同</w:t>
      </w:r>
      <w:r>
        <w:rPr>
          <w:rFonts w:hint="eastAsia" w:ascii="宋体" w:hAnsi="宋体" w:cs="宋体"/>
          <w:color w:val="000000"/>
          <w:szCs w:val="21"/>
          <w:highlight w:val="none"/>
        </w:rPr>
        <w:t>约定的</w:t>
      </w:r>
      <w:r>
        <w:rPr>
          <w:rFonts w:hint="eastAsia" w:ascii="宋体" w:hAnsi="宋体" w:cs="宋体"/>
          <w:szCs w:val="21"/>
          <w:highlight w:val="none"/>
        </w:rPr>
        <w:t>品牌、规格型号、技术性能、配置、质量、数量等要求。</w:t>
      </w:r>
      <w:r>
        <w:rPr>
          <w:rFonts w:hint="eastAsia" w:ascii="宋体" w:hAnsi="宋体"/>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61BC68AB">
      <w:pPr>
        <w:pStyle w:val="10"/>
        <w:adjustRightInd w:val="0"/>
        <w:snapToGrid w:val="0"/>
        <w:spacing w:line="400" w:lineRule="exact"/>
        <w:ind w:firstLine="420" w:firstLineChars="200"/>
        <w:jc w:val="left"/>
        <w:rPr>
          <w:rFonts w:hint="eastAsia" w:hAnsi="宋体"/>
          <w:highlight w:val="none"/>
        </w:rPr>
      </w:pPr>
      <w:r>
        <w:rPr>
          <w:rFonts w:hint="eastAsia" w:hAnsi="宋体"/>
          <w:highlight w:val="none"/>
        </w:rPr>
        <w:t>（2）采用中华人民共和国法定计量单位。</w:t>
      </w:r>
    </w:p>
    <w:p w14:paraId="26172013">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（3）乙方所提供的货物应符合国家有关安全、环保、卫生的规定。</w:t>
      </w:r>
    </w:p>
    <w:p w14:paraId="30360DDA">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（4）乙方应向甲方提交所提供货物的技术文件，包括相应的中文技术文件，如：产品目录、图纸、操作手册、使用说明、维护手册或服务指南等。上述文件应包装好随货物一同发运。</w:t>
      </w:r>
    </w:p>
    <w:p w14:paraId="2CE2BC7F">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8.2 保证</w:t>
      </w:r>
    </w:p>
    <w:p w14:paraId="52E55DBE">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（1）乙方应保证提供的货物完全符合合同规定的质量、规格和性能要求。乙方应保证货物在正确安装、正常使用和保养条件下，</w:t>
      </w:r>
      <w:r>
        <w:rPr>
          <w:rFonts w:hint="eastAsia" w:ascii="宋体" w:hAnsi="宋体" w:cs="宋体"/>
          <w:szCs w:val="21"/>
          <w:highlight w:val="none"/>
        </w:rPr>
        <w:t>在其使用寿命期内具备合同约定的性能</w:t>
      </w:r>
      <w:r>
        <w:rPr>
          <w:rFonts w:hint="eastAsia" w:ascii="宋体" w:hAnsi="宋体"/>
          <w:szCs w:val="21"/>
          <w:highlight w:val="none"/>
        </w:rPr>
        <w:t>。存在质量保证期的，货物最终交付验收合格后在</w:t>
      </w:r>
      <w:r>
        <w:rPr>
          <w:rFonts w:hint="eastAsia" w:ascii="宋体" w:hAnsi="宋体"/>
          <w:b/>
          <w:szCs w:val="21"/>
          <w:highlight w:val="none"/>
        </w:rPr>
        <w:t>【政府采购合同专用条款】</w:t>
      </w:r>
      <w:r>
        <w:rPr>
          <w:rFonts w:hint="eastAsia" w:ascii="宋体" w:hAnsi="宋体"/>
          <w:szCs w:val="21"/>
          <w:highlight w:val="none"/>
        </w:rPr>
        <w:t>规定或乙方书面承诺（两者以较长的为准）的质量保证期内，本保证保持有效。</w:t>
      </w:r>
    </w:p>
    <w:p w14:paraId="5815D58A">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（2）在质量保证期内所发现的缺陷，甲方应尽快以书面形式通知乙方。</w:t>
      </w:r>
    </w:p>
    <w:p w14:paraId="6956BA60">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（3）乙方收到通知后，应在</w:t>
      </w:r>
      <w:r>
        <w:rPr>
          <w:rFonts w:hint="eastAsia" w:ascii="宋体" w:hAnsi="宋体"/>
          <w:b/>
          <w:szCs w:val="21"/>
          <w:highlight w:val="none"/>
        </w:rPr>
        <w:t>【政府采购合同专用条款】</w:t>
      </w:r>
      <w:r>
        <w:rPr>
          <w:rFonts w:hint="eastAsia" w:ascii="宋体" w:hAnsi="宋体"/>
          <w:szCs w:val="21"/>
          <w:highlight w:val="none"/>
        </w:rPr>
        <w:t>规定的响应时间内以合理的速度免费维修或更换有缺陷的货物或部件。</w:t>
      </w:r>
    </w:p>
    <w:p w14:paraId="46C466F4">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highlight w:val="none"/>
          <w14:textFill>
            <w14:solidFill>
              <w14:schemeClr w14:val="tx1"/>
            </w14:solidFill>
          </w14:textFill>
        </w:rPr>
        <w:t>5</w:t>
      </w:r>
      <w:r>
        <w:rPr>
          <w:rFonts w:hint="eastAsia" w:ascii="宋体" w:hAnsi="宋体"/>
          <w:szCs w:val="21"/>
          <w:highlight w:val="none"/>
        </w:rPr>
        <w:t>.1条规定以书面形式</w:t>
      </w:r>
      <w:r>
        <w:rPr>
          <w:rFonts w:hint="eastAsia" w:ascii="宋体" w:hAnsi="宋体"/>
          <w:color w:val="000000" w:themeColor="text1"/>
          <w:szCs w:val="21"/>
          <w:highlight w:val="none"/>
          <w14:textFill>
            <w14:solidFill>
              <w14:schemeClr w14:val="tx1"/>
            </w14:solidFill>
          </w14:textFill>
        </w:rPr>
        <w:t>追究</w:t>
      </w:r>
      <w:r>
        <w:rPr>
          <w:rFonts w:hint="eastAsia" w:ascii="宋体" w:hAnsi="宋体"/>
          <w:szCs w:val="21"/>
          <w:highlight w:val="none"/>
        </w:rPr>
        <w:t>乙方</w:t>
      </w:r>
      <w:r>
        <w:rPr>
          <w:rFonts w:hint="eastAsia" w:ascii="宋体" w:hAnsi="宋体"/>
          <w:color w:val="000000" w:themeColor="text1"/>
          <w:szCs w:val="21"/>
          <w:highlight w:val="none"/>
          <w14:textFill>
            <w14:solidFill>
              <w14:schemeClr w14:val="tx1"/>
            </w14:solidFill>
          </w14:textFill>
        </w:rPr>
        <w:t>的违约责任</w:t>
      </w:r>
      <w:r>
        <w:rPr>
          <w:rFonts w:hint="eastAsia" w:ascii="宋体" w:hAnsi="宋体"/>
          <w:szCs w:val="21"/>
          <w:highlight w:val="none"/>
        </w:rPr>
        <w:t>。</w:t>
      </w:r>
    </w:p>
    <w:p w14:paraId="418C363B">
      <w:pPr>
        <w:adjustRightInd w:val="0"/>
        <w:snapToGrid w:val="0"/>
        <w:spacing w:line="400" w:lineRule="exact"/>
        <w:ind w:firstLine="420" w:firstLineChars="200"/>
        <w:jc w:val="left"/>
        <w:rPr>
          <w:rFonts w:hint="eastAsia"/>
          <w:highlight w:val="none"/>
        </w:rPr>
      </w:pPr>
      <w:r>
        <w:rPr>
          <w:rFonts w:hint="eastAsia" w:ascii="宋体" w:hAnsi="宋体"/>
          <w:szCs w:val="21"/>
          <w:highlight w:val="none"/>
        </w:rPr>
        <w:t>（5）乙方在约定的时间内未能弥补缺陷，甲方可采取必要的补救措施，但其风险和费用将由乙方承担，甲方根据合同约定对乙方行使的其他权利不受影响。</w:t>
      </w:r>
    </w:p>
    <w:p w14:paraId="28935677">
      <w:pPr>
        <w:adjustRightInd w:val="0"/>
        <w:snapToGrid w:val="0"/>
        <w:spacing w:line="400" w:lineRule="exact"/>
        <w:jc w:val="left"/>
        <w:rPr>
          <w:rFonts w:ascii="宋体" w:hAnsi="宋体"/>
          <w:b/>
          <w:bCs/>
          <w:sz w:val="24"/>
          <w:highlight w:val="none"/>
        </w:rPr>
      </w:pPr>
      <w:r>
        <w:rPr>
          <w:rFonts w:hint="eastAsia" w:ascii="宋体" w:hAnsi="宋体"/>
          <w:b/>
          <w:bCs/>
          <w:color w:val="000000" w:themeColor="text1"/>
          <w:sz w:val="24"/>
          <w:highlight w:val="none"/>
          <w14:textFill>
            <w14:solidFill>
              <w14:schemeClr w14:val="tx1"/>
            </w14:solidFill>
          </w14:textFill>
        </w:rPr>
        <w:t>9</w:t>
      </w:r>
      <w:r>
        <w:rPr>
          <w:rFonts w:hint="eastAsia" w:ascii="宋体" w:hAnsi="宋体"/>
          <w:b/>
          <w:bCs/>
          <w:sz w:val="24"/>
          <w:highlight w:val="none"/>
        </w:rPr>
        <w:t>.</w:t>
      </w:r>
      <w:r>
        <w:rPr>
          <w:rFonts w:hint="eastAsia" w:ascii="宋体" w:hAnsi="宋体"/>
          <w:b/>
          <w:bCs/>
          <w:color w:val="000000" w:themeColor="text1"/>
          <w:sz w:val="24"/>
          <w:highlight w:val="none"/>
          <w14:textFill>
            <w14:solidFill>
              <w14:schemeClr w14:val="tx1"/>
            </w14:solidFill>
          </w14:textFill>
        </w:rPr>
        <w:t xml:space="preserve"> </w:t>
      </w:r>
      <w:r>
        <w:rPr>
          <w:rFonts w:hint="eastAsia" w:ascii="宋体" w:hAnsi="宋体"/>
          <w:b/>
          <w:bCs/>
          <w:sz w:val="24"/>
          <w:highlight w:val="none"/>
        </w:rPr>
        <w:t>权利瑕疵担保</w:t>
      </w:r>
    </w:p>
    <w:p w14:paraId="45901283">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9.1 乙方保证对其出售的货物享有合法的权利。</w:t>
      </w:r>
    </w:p>
    <w:p w14:paraId="11464EC1">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9.2 </w:t>
      </w:r>
      <w:r>
        <w:rPr>
          <w:rFonts w:hint="eastAsia" w:ascii="宋体" w:hAnsi="宋体" w:cs="宋体"/>
          <w:szCs w:val="15"/>
          <w:highlight w:val="none"/>
        </w:rPr>
        <w:t>乙方保证在交付的货物上不存在抵押权等担保物权。</w:t>
      </w:r>
    </w:p>
    <w:p w14:paraId="5DD8B4C1">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9.3 如甲方使用上述货物构成对第三人侵权的，则由乙方承担全部责任。</w:t>
      </w:r>
    </w:p>
    <w:p w14:paraId="3E6BE76A">
      <w:pPr>
        <w:autoSpaceDE w:val="0"/>
        <w:autoSpaceDN w:val="0"/>
        <w:adjustRightInd w:val="0"/>
        <w:snapToGrid w:val="0"/>
        <w:spacing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10. 知识产权保护</w:t>
      </w:r>
    </w:p>
    <w:p w14:paraId="7750802E">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color w:val="000000" w:themeColor="text1"/>
          <w:szCs w:val="21"/>
          <w:highlight w:val="none"/>
          <w14:textFill>
            <w14:solidFill>
              <w14:schemeClr w14:val="tx1"/>
            </w14:solidFill>
          </w14:textFill>
        </w:rPr>
        <w:t>10.1 乙方对其所销售的货物应当享有知识产权或经权利人合法授权，保证没有侵犯任</w:t>
      </w:r>
      <w:r>
        <w:rPr>
          <w:rFonts w:hint="eastAsia" w:ascii="宋体" w:hAnsi="宋体"/>
          <w:szCs w:val="21"/>
          <w:highlight w:val="none"/>
        </w:rPr>
        <w:t>何第三人的知识产权等权利。</w:t>
      </w:r>
      <w:bookmarkStart w:id="171" w:name="_Hlk163047038"/>
      <w:r>
        <w:rPr>
          <w:rFonts w:hint="eastAsia" w:ascii="宋体" w:hAnsi="宋体" w:cs="宋体"/>
          <w:szCs w:val="15"/>
          <w:highlight w:val="none"/>
        </w:rPr>
        <w:t>因违反前述约定对第三人构成侵权的，应当由乙方向第三人承担法律责任；甲方依法向第三人赔偿后，有权向乙方追偿。甲方有其他损失的，乙方应当赔偿</w:t>
      </w:r>
      <w:bookmarkEnd w:id="171"/>
      <w:r>
        <w:rPr>
          <w:rFonts w:hint="eastAsia" w:ascii="宋体" w:hAnsi="宋体"/>
          <w:szCs w:val="21"/>
          <w:highlight w:val="none"/>
        </w:rPr>
        <w:t>。</w:t>
      </w:r>
    </w:p>
    <w:p w14:paraId="7BCE7C78">
      <w:pPr>
        <w:autoSpaceDE w:val="0"/>
        <w:autoSpaceDN w:val="0"/>
        <w:adjustRightInd w:val="0"/>
        <w:snapToGrid w:val="0"/>
        <w:spacing w:line="400" w:lineRule="exact"/>
        <w:jc w:val="left"/>
        <w:rPr>
          <w:rFonts w:hint="eastAsia" w:ascii="宋体" w:hAnsi="宋体"/>
          <w:b/>
          <w:bCs/>
          <w:sz w:val="24"/>
          <w:highlight w:val="none"/>
        </w:rPr>
      </w:pPr>
      <w:r>
        <w:rPr>
          <w:rFonts w:hint="eastAsia" w:ascii="宋体" w:hAnsi="宋体"/>
          <w:b/>
          <w:bCs/>
          <w:sz w:val="24"/>
          <w:highlight w:val="none"/>
        </w:rPr>
        <w:t>11. 保密义务</w:t>
      </w:r>
    </w:p>
    <w:p w14:paraId="7D87BF25">
      <w:pPr>
        <w:autoSpaceDE w:val="0"/>
        <w:autoSpaceDN w:val="0"/>
        <w:adjustRightInd w:val="0"/>
        <w:snapToGrid w:val="0"/>
        <w:spacing w:line="400" w:lineRule="exact"/>
        <w:ind w:firstLine="420" w:firstLineChars="200"/>
        <w:jc w:val="left"/>
        <w:rPr>
          <w:rFonts w:hint="eastAsia" w:ascii="宋体" w:hAnsi="宋体" w:cs="宋体"/>
          <w:szCs w:val="15"/>
          <w:highlight w:val="none"/>
        </w:rPr>
      </w:pPr>
      <w:r>
        <w:rPr>
          <w:rFonts w:hint="eastAsia" w:ascii="宋体" w:hAnsi="宋体" w:cs="宋体"/>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【政府采购合同专用条款】</w:t>
      </w:r>
      <w:r>
        <w:rPr>
          <w:rFonts w:hint="eastAsia" w:ascii="宋体" w:hAnsi="宋体" w:cs="宋体"/>
          <w:szCs w:val="15"/>
          <w:highlight w:val="none"/>
        </w:rPr>
        <w:t>中约定。</w:t>
      </w:r>
    </w:p>
    <w:p w14:paraId="6ACB5C66">
      <w:pPr>
        <w:autoSpaceDE w:val="0"/>
        <w:autoSpaceDN w:val="0"/>
        <w:adjustRightInd w:val="0"/>
        <w:snapToGrid w:val="0"/>
        <w:spacing w:line="400" w:lineRule="exact"/>
        <w:jc w:val="left"/>
        <w:rPr>
          <w:rFonts w:hint="eastAsia" w:ascii="宋体" w:hAnsi="宋体"/>
          <w:b/>
          <w:bCs/>
          <w:sz w:val="24"/>
          <w:highlight w:val="none"/>
        </w:rPr>
      </w:pPr>
      <w:r>
        <w:rPr>
          <w:rFonts w:hint="eastAsia" w:ascii="宋体" w:hAnsi="宋体"/>
          <w:b/>
          <w:bCs/>
          <w:sz w:val="24"/>
          <w:highlight w:val="none"/>
        </w:rPr>
        <w:t>12. 合同价款支付</w:t>
      </w:r>
    </w:p>
    <w:p w14:paraId="7CC01741">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12.1 合同价款支付按照国库集中支付制度及财政管理相关规定执行。</w:t>
      </w:r>
    </w:p>
    <w:p w14:paraId="4A4F985A">
      <w:pPr>
        <w:pStyle w:val="2"/>
        <w:spacing w:line="400" w:lineRule="exact"/>
        <w:ind w:firstLine="420" w:firstLineChars="200"/>
        <w:rPr>
          <w:rFonts w:hint="eastAsia"/>
          <w:highlight w:val="none"/>
        </w:rPr>
      </w:pPr>
      <w:r>
        <w:rPr>
          <w:rFonts w:hint="eastAsia" w:ascii="宋体" w:hAnsi="宋体"/>
          <w:b w:val="0"/>
          <w:bCs w:val="0"/>
          <w:sz w:val="21"/>
          <w:szCs w:val="21"/>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sz w:val="21"/>
          <w:szCs w:val="21"/>
          <w:highlight w:val="none"/>
        </w:rPr>
        <w:t>政府采购合同专用条款</w:t>
      </w:r>
      <w:r>
        <w:rPr>
          <w:rFonts w:hint="eastAsia" w:ascii="宋体" w:hAnsi="宋体"/>
          <w:b w:val="0"/>
          <w:bCs w:val="0"/>
          <w:sz w:val="21"/>
          <w:szCs w:val="21"/>
          <w:highlight w:val="none"/>
        </w:rPr>
        <w:t>】中约定。</w:t>
      </w:r>
    </w:p>
    <w:p w14:paraId="7973EC5D">
      <w:pPr>
        <w:pStyle w:val="8"/>
        <w:spacing w:after="0" w:line="400" w:lineRule="exact"/>
        <w:rPr>
          <w:rFonts w:ascii="宋体" w:hAnsi="宋体"/>
          <w:b/>
          <w:bCs/>
          <w:sz w:val="24"/>
          <w:szCs w:val="24"/>
          <w:highlight w:val="none"/>
        </w:rPr>
      </w:pPr>
      <w:r>
        <w:rPr>
          <w:rFonts w:hint="eastAsia" w:ascii="宋体" w:hAnsi="宋体"/>
          <w:b/>
          <w:bCs/>
          <w:sz w:val="24"/>
          <w:szCs w:val="24"/>
          <w:highlight w:val="none"/>
        </w:rPr>
        <w:t>13. 履约保证金</w:t>
      </w:r>
    </w:p>
    <w:p w14:paraId="785D4C74">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 xml:space="preserve">13.1 </w:t>
      </w:r>
      <w:r>
        <w:rPr>
          <w:rFonts w:hint="eastAsia" w:ascii="宋体" w:hAnsi="宋体" w:cs="宋体"/>
          <w:szCs w:val="15"/>
          <w:highlight w:val="none"/>
        </w:rPr>
        <w:t>乙方应当以支票、汇票、本票或者金融机构、担保机构出具的保函等非现金形式提交。</w:t>
      </w:r>
    </w:p>
    <w:p w14:paraId="2A41FEFE">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13.2 如果乙方出现</w:t>
      </w:r>
      <w:r>
        <w:rPr>
          <w:rFonts w:hint="eastAsia" w:ascii="宋体" w:hAnsi="宋体" w:cs="宋体"/>
          <w:b/>
          <w:bCs/>
          <w:szCs w:val="15"/>
          <w:highlight w:val="none"/>
        </w:rPr>
        <w:t>【政府采购合同专用条款】</w:t>
      </w:r>
      <w:r>
        <w:rPr>
          <w:rFonts w:hint="eastAsia" w:ascii="宋体" w:hAnsi="宋体" w:cs="宋体"/>
          <w:szCs w:val="15"/>
          <w:highlight w:val="none"/>
        </w:rPr>
        <w:t>约定情形的</w:t>
      </w:r>
      <w:r>
        <w:rPr>
          <w:rFonts w:hint="eastAsia" w:ascii="宋体" w:hAnsi="宋体"/>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14:paraId="03447469">
      <w:pPr>
        <w:spacing w:line="400" w:lineRule="exact"/>
        <w:ind w:firstLine="420"/>
        <w:rPr>
          <w:rFonts w:hint="eastAsia"/>
          <w:highlight w:val="none"/>
        </w:rPr>
      </w:pPr>
      <w:r>
        <w:rPr>
          <w:rFonts w:hint="eastAsia" w:ascii="宋体" w:hAnsi="宋体"/>
          <w:szCs w:val="21"/>
          <w:highlight w:val="none"/>
        </w:rPr>
        <w:t>13.3 甲方在项目通过验收后按照</w:t>
      </w:r>
      <w:r>
        <w:rPr>
          <w:rFonts w:hint="eastAsia" w:ascii="宋体" w:hAnsi="宋体"/>
          <w:b/>
          <w:szCs w:val="21"/>
          <w:highlight w:val="none"/>
        </w:rPr>
        <w:t>【政府采购合同专用条款】</w:t>
      </w:r>
      <w:r>
        <w:rPr>
          <w:rFonts w:hint="eastAsia" w:ascii="宋体" w:hAnsi="宋体"/>
          <w:szCs w:val="21"/>
          <w:highlight w:val="none"/>
        </w:rPr>
        <w:t>规定的时间内将履约保证金退还乙方；逾期退还的，乙方可要求甲方支付违约金，违约金按照</w:t>
      </w:r>
      <w:r>
        <w:rPr>
          <w:rFonts w:hint="eastAsia" w:ascii="宋体" w:hAnsi="宋体"/>
          <w:b/>
          <w:szCs w:val="21"/>
          <w:highlight w:val="none"/>
        </w:rPr>
        <w:t>【政府采购合同专用条款】</w:t>
      </w:r>
      <w:r>
        <w:rPr>
          <w:rFonts w:hint="eastAsia" w:ascii="宋体" w:hAnsi="宋体"/>
          <w:szCs w:val="21"/>
          <w:highlight w:val="none"/>
        </w:rPr>
        <w:t>规定支付。</w:t>
      </w:r>
    </w:p>
    <w:p w14:paraId="1794FCF3">
      <w:pPr>
        <w:autoSpaceDE w:val="0"/>
        <w:autoSpaceDN w:val="0"/>
        <w:adjustRightInd w:val="0"/>
        <w:snapToGrid w:val="0"/>
        <w:spacing w:line="400" w:lineRule="exact"/>
        <w:jc w:val="left"/>
        <w:rPr>
          <w:rFonts w:ascii="宋体" w:hAnsi="宋体"/>
          <w:b/>
          <w:sz w:val="24"/>
          <w:highlight w:val="none"/>
        </w:rPr>
      </w:pPr>
      <w:r>
        <w:rPr>
          <w:rFonts w:hint="eastAsia" w:ascii="宋体" w:hAnsi="宋体"/>
          <w:b/>
          <w:bCs/>
          <w:sz w:val="24"/>
          <w:highlight w:val="none"/>
        </w:rPr>
        <w:t xml:space="preserve">14. </w:t>
      </w:r>
      <w:r>
        <w:rPr>
          <w:rFonts w:hint="eastAsia"/>
          <w:b/>
          <w:sz w:val="24"/>
          <w:highlight w:val="none"/>
        </w:rPr>
        <w:t>售后</w:t>
      </w:r>
      <w:r>
        <w:rPr>
          <w:rFonts w:hint="eastAsia" w:ascii="宋体" w:hAnsi="宋体"/>
          <w:b/>
          <w:sz w:val="24"/>
          <w:highlight w:val="none"/>
        </w:rPr>
        <w:t>服务</w:t>
      </w:r>
    </w:p>
    <w:p w14:paraId="699A194D">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14.1 除项目不涉及或采购活动中明确约定无须承担外，乙方还应提供下列服务：</w:t>
      </w:r>
    </w:p>
    <w:p w14:paraId="6107C429">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（1）货物的现场移动、安装、调试、启动监督及技术支持；</w:t>
      </w:r>
    </w:p>
    <w:p w14:paraId="6495B389">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（2）提供货物组装和维修所需的专用工具和辅助材料；</w:t>
      </w:r>
    </w:p>
    <w:p w14:paraId="71F28AF8">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（3）在</w:t>
      </w:r>
      <w:r>
        <w:rPr>
          <w:rFonts w:hint="eastAsia" w:ascii="宋体" w:hAnsi="宋体" w:cs="宋体"/>
          <w:b/>
          <w:bCs/>
          <w:szCs w:val="15"/>
          <w:highlight w:val="none"/>
        </w:rPr>
        <w:t>【政府采购合同专用条款】</w:t>
      </w:r>
      <w:r>
        <w:rPr>
          <w:rFonts w:hint="eastAsia" w:ascii="宋体" w:hAnsi="宋体"/>
          <w:szCs w:val="21"/>
          <w:highlight w:val="none"/>
        </w:rPr>
        <w:t>约定的期限内对所有的货物实施运行监督、维修，但前提条件是该服务并不能免除乙方在质量保证期内所承担的义务；</w:t>
      </w:r>
    </w:p>
    <w:p w14:paraId="683FE921">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（4）在制造商所在地或指定现场就货物的安装、启动、运营、维护、废弃处置等对甲方操作人员进行培训</w:t>
      </w:r>
      <w:r>
        <w:rPr>
          <w:rFonts w:hint="eastAsia" w:ascii="宋体" w:hAnsi="宋体" w:cs="宋体"/>
          <w:szCs w:val="15"/>
          <w:highlight w:val="none"/>
        </w:rPr>
        <w:t>；</w:t>
      </w:r>
    </w:p>
    <w:p w14:paraId="7FAD857F">
      <w:pPr>
        <w:pStyle w:val="22"/>
        <w:ind w:firstLine="420"/>
        <w:rPr>
          <w:rFonts w:hint="eastAsia" w:ascii="宋体" w:hAnsi="宋体" w:eastAsia="宋体" w:cs="宋体"/>
          <w:sz w:val="21"/>
          <w:highlight w:val="none"/>
        </w:rPr>
      </w:pPr>
      <w:r>
        <w:rPr>
          <w:rFonts w:hint="eastAsia" w:ascii="宋体" w:hAnsi="宋体" w:eastAsia="宋体" w:cs="宋体"/>
          <w:sz w:val="21"/>
          <w:highlight w:val="none"/>
        </w:rPr>
        <w:t>（5）依照法律、行政法规的规定或者按照</w:t>
      </w:r>
      <w:r>
        <w:rPr>
          <w:rFonts w:hint="eastAsia" w:ascii="宋体" w:hAnsi="宋体" w:eastAsia="宋体" w:cs="宋体"/>
          <w:b/>
          <w:bCs/>
          <w:sz w:val="21"/>
          <w:highlight w:val="none"/>
        </w:rPr>
        <w:t>【政府采购合同专用条款】</w:t>
      </w:r>
      <w:r>
        <w:rPr>
          <w:rFonts w:hint="eastAsia" w:ascii="宋体" w:hAnsi="宋体" w:eastAsia="宋体" w:cs="宋体"/>
          <w:sz w:val="21"/>
          <w:highlight w:val="none"/>
        </w:rPr>
        <w:t>约定，货物在有效使用年限届满后应予回收的，乙方负有自行或者委托第三人对货物予以回收的义务；</w:t>
      </w:r>
    </w:p>
    <w:p w14:paraId="6098A439">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（6）</w:t>
      </w:r>
      <w:r>
        <w:rPr>
          <w:rFonts w:hint="eastAsia" w:ascii="宋体" w:hAnsi="宋体"/>
          <w:b/>
          <w:szCs w:val="21"/>
          <w:highlight w:val="none"/>
        </w:rPr>
        <w:t>【政府采购合同专用条款】</w:t>
      </w:r>
      <w:r>
        <w:rPr>
          <w:rFonts w:hint="eastAsia" w:ascii="宋体" w:hAnsi="宋体"/>
          <w:szCs w:val="21"/>
          <w:highlight w:val="none"/>
        </w:rPr>
        <w:t>规定由乙方提供的其他服务。</w:t>
      </w:r>
    </w:p>
    <w:p w14:paraId="07A09AFD">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14.2 乙方提供的售后服务的费用已包含在合同价款中，甲方不再另行支付。</w:t>
      </w:r>
    </w:p>
    <w:p w14:paraId="469C6778">
      <w:pPr>
        <w:adjustRightInd w:val="0"/>
        <w:snapToGrid w:val="0"/>
        <w:spacing w:line="400" w:lineRule="exact"/>
        <w:jc w:val="left"/>
        <w:rPr>
          <w:rFonts w:hint="eastAsia" w:ascii="宋体" w:hAnsi="宋体"/>
          <w:b/>
          <w:bCs/>
          <w:sz w:val="24"/>
          <w:highlight w:val="none"/>
        </w:rPr>
      </w:pPr>
      <w:r>
        <w:rPr>
          <w:rFonts w:hint="eastAsia" w:ascii="宋体" w:hAnsi="宋体"/>
          <w:b/>
          <w:bCs/>
          <w:sz w:val="24"/>
          <w:highlight w:val="none"/>
        </w:rPr>
        <w:t>15. 违约责任</w:t>
      </w:r>
    </w:p>
    <w:p w14:paraId="6CA4E467">
      <w:pPr>
        <w:adjustRightInd w:val="0"/>
        <w:snapToGrid w:val="0"/>
        <w:spacing w:line="400" w:lineRule="exact"/>
        <w:ind w:firstLine="420" w:firstLineChars="200"/>
        <w:jc w:val="left"/>
        <w:rPr>
          <w:rFonts w:hint="eastAsia" w:ascii="宋体" w:hAnsi="宋体"/>
          <w:bCs/>
          <w:szCs w:val="21"/>
          <w:highlight w:val="none"/>
        </w:rPr>
      </w:pPr>
      <w:r>
        <w:rPr>
          <w:rFonts w:hint="eastAsia" w:ascii="宋体" w:hAnsi="宋体"/>
          <w:bCs/>
          <w:szCs w:val="21"/>
          <w:highlight w:val="none"/>
        </w:rPr>
        <w:t>15.1质量瑕疵的违约责任</w:t>
      </w:r>
    </w:p>
    <w:p w14:paraId="1955ECDE">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乙方提供的产品不符合合同约定的质量标准或存在产品质量缺陷，甲方有权要求乙方根据</w:t>
      </w:r>
      <w:r>
        <w:rPr>
          <w:rFonts w:hint="eastAsia" w:ascii="宋体" w:hAnsi="宋体"/>
          <w:b/>
          <w:szCs w:val="21"/>
          <w:highlight w:val="none"/>
        </w:rPr>
        <w:t>【政府采购合同专用条款】</w:t>
      </w:r>
      <w:r>
        <w:rPr>
          <w:rFonts w:hint="eastAsia" w:ascii="宋体" w:hAnsi="宋体"/>
          <w:bCs/>
          <w:szCs w:val="21"/>
          <w:highlight w:val="none"/>
        </w:rPr>
        <w:t>要求</w:t>
      </w:r>
      <w:r>
        <w:rPr>
          <w:rFonts w:hint="eastAsia" w:ascii="宋体" w:hAnsi="宋体"/>
          <w:szCs w:val="21"/>
          <w:highlight w:val="none"/>
        </w:rPr>
        <w:t>及时修理、重作、更换，并承担由此给甲方造成的损失。</w:t>
      </w:r>
    </w:p>
    <w:p w14:paraId="0996F531">
      <w:pPr>
        <w:autoSpaceDE w:val="0"/>
        <w:autoSpaceDN w:val="0"/>
        <w:adjustRightInd w:val="0"/>
        <w:snapToGrid w:val="0"/>
        <w:spacing w:line="400" w:lineRule="exact"/>
        <w:ind w:firstLine="420" w:firstLineChars="200"/>
        <w:jc w:val="left"/>
        <w:rPr>
          <w:rFonts w:hint="eastAsia" w:ascii="宋体" w:hAnsi="宋体"/>
          <w:bCs/>
          <w:szCs w:val="21"/>
          <w:highlight w:val="none"/>
        </w:rPr>
      </w:pPr>
      <w:r>
        <w:rPr>
          <w:rFonts w:hint="eastAsia" w:ascii="宋体" w:hAnsi="宋体"/>
          <w:bCs/>
          <w:szCs w:val="21"/>
          <w:highlight w:val="none"/>
        </w:rPr>
        <w:t>15.2 迟延交货的违约责任</w:t>
      </w:r>
    </w:p>
    <w:p w14:paraId="00D6C6A7">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515955B3">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【政府采购合同专用条款】</w:t>
      </w:r>
      <w:r>
        <w:rPr>
          <w:rFonts w:hint="eastAsia" w:ascii="宋体" w:hAnsi="宋体"/>
          <w:szCs w:val="21"/>
          <w:highlight w:val="none"/>
        </w:rPr>
        <w:t>规定执行。如果涉及公共利益，且赔偿金额无法弥补公共利益损失，甲方可要求继续履行或者采取其他补救措施。</w:t>
      </w:r>
    </w:p>
    <w:p w14:paraId="74B13E15">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15.3 迟延支付的违约责任</w:t>
      </w:r>
    </w:p>
    <w:p w14:paraId="21C9C702">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甲方存在迟延支付乙方合同款项的，应当承担</w:t>
      </w:r>
      <w:r>
        <w:rPr>
          <w:rFonts w:hint="eastAsia" w:ascii="宋体" w:hAnsi="宋体"/>
          <w:b/>
          <w:bCs/>
          <w:szCs w:val="21"/>
          <w:highlight w:val="none"/>
        </w:rPr>
        <w:t>【政府采购合同专用条款】</w:t>
      </w:r>
      <w:r>
        <w:rPr>
          <w:rFonts w:hint="eastAsia" w:ascii="宋体" w:hAnsi="宋体"/>
          <w:szCs w:val="21"/>
          <w:highlight w:val="none"/>
        </w:rPr>
        <w:t>规定的逾期付款利息。</w:t>
      </w:r>
    </w:p>
    <w:p w14:paraId="0D4DBC5B">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bCs/>
          <w:szCs w:val="21"/>
          <w:highlight w:val="none"/>
        </w:rPr>
        <w:t>15.4其他违约责任根据项目实际需要按</w:t>
      </w:r>
      <w:r>
        <w:rPr>
          <w:rFonts w:hint="eastAsia" w:ascii="宋体" w:hAnsi="宋体"/>
          <w:b/>
          <w:bCs/>
          <w:szCs w:val="21"/>
          <w:highlight w:val="none"/>
        </w:rPr>
        <w:t>【政府采购合同专用条款】</w:t>
      </w:r>
      <w:r>
        <w:rPr>
          <w:rFonts w:hint="eastAsia" w:ascii="宋体" w:hAnsi="宋体"/>
          <w:szCs w:val="21"/>
          <w:highlight w:val="none"/>
        </w:rPr>
        <w:t>规定执行。</w:t>
      </w:r>
    </w:p>
    <w:p w14:paraId="17EE139E">
      <w:pPr>
        <w:numPr>
          <w:ilvl w:val="0"/>
          <w:numId w:val="8"/>
        </w:numPr>
        <w:autoSpaceDE w:val="0"/>
        <w:autoSpaceDN w:val="0"/>
        <w:adjustRightInd w:val="0"/>
        <w:snapToGrid w:val="0"/>
        <w:spacing w:line="400" w:lineRule="exact"/>
        <w:jc w:val="left"/>
        <w:rPr>
          <w:rFonts w:hint="eastAsia" w:ascii="宋体" w:hAnsi="宋体"/>
          <w:b/>
          <w:sz w:val="24"/>
          <w:highlight w:val="none"/>
        </w:rPr>
      </w:pPr>
      <w:r>
        <w:rPr>
          <w:rFonts w:hint="eastAsia" w:ascii="宋体" w:hAnsi="宋体"/>
          <w:b/>
          <w:sz w:val="24"/>
          <w:highlight w:val="none"/>
        </w:rPr>
        <w:t>合同变更、中止与终止</w:t>
      </w:r>
    </w:p>
    <w:p w14:paraId="2E7B3C6F">
      <w:pPr>
        <w:adjustRightInd w:val="0"/>
        <w:snapToGrid w:val="0"/>
        <w:spacing w:line="400" w:lineRule="exact"/>
        <w:jc w:val="left"/>
        <w:rPr>
          <w:rFonts w:hint="eastAsia" w:ascii="宋体" w:hAnsi="宋体"/>
          <w:szCs w:val="21"/>
          <w:highlight w:val="none"/>
        </w:rPr>
      </w:pPr>
      <w:r>
        <w:rPr>
          <w:rFonts w:hint="eastAsia" w:ascii="宋体" w:hAnsi="宋体"/>
          <w:szCs w:val="21"/>
          <w:highlight w:val="none"/>
        </w:rPr>
        <w:t xml:space="preserve">    16.1合同的变更</w:t>
      </w:r>
    </w:p>
    <w:p w14:paraId="4161DC72">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政府采购合同履行中，在不改变合同其他条款的前提下，甲方可以在合同价款10%的范围内追加与合同标的相同的货物，并就此与乙方协商一致后签订补充协议。</w:t>
      </w:r>
    </w:p>
    <w:p w14:paraId="44E3E5DA">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16.2合同的中止</w:t>
      </w:r>
    </w:p>
    <w:p w14:paraId="7FF45A56">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（1）合同履行过程中因供应商就采购文件、采购过程或结果提起投诉的，甲方认为有必要的，可以中止合同的履行。</w:t>
      </w:r>
    </w:p>
    <w:p w14:paraId="0D93B491">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0175635C">
      <w:pPr>
        <w:pStyle w:val="22"/>
        <w:ind w:firstLine="420"/>
        <w:jc w:val="both"/>
        <w:rPr>
          <w:rFonts w:hint="eastAsia"/>
          <w:sz w:val="21"/>
          <w:highlight w:val="none"/>
        </w:rPr>
      </w:pPr>
      <w:r>
        <w:rPr>
          <w:rFonts w:hint="eastAsia" w:ascii="宋体" w:hAnsi="宋体" w:eastAsia="宋体" w:cs="宋体"/>
          <w:sz w:val="21"/>
          <w:highlight w:val="none"/>
        </w:rPr>
        <w:t>（3）乙方分立、合并或者变更住所的，应当及时以书面形式告知甲方。乙方没有及时告知甲方，致使合同履行发生困难的，甲方可以中止合同履行并要求乙方承担由此给甲方造成的损失。</w:t>
      </w:r>
    </w:p>
    <w:p w14:paraId="6E7915F1">
      <w:pPr>
        <w:snapToGrid w:val="0"/>
        <w:spacing w:line="400" w:lineRule="exact"/>
        <w:ind w:firstLine="420" w:firstLineChars="200"/>
        <w:jc w:val="left"/>
        <w:rPr>
          <w:rFonts w:hint="eastAsia"/>
          <w:highlight w:val="none"/>
        </w:rPr>
      </w:pPr>
      <w:r>
        <w:rPr>
          <w:rFonts w:hint="eastAsia" w:ascii="宋体" w:hAnsi="宋体"/>
          <w:szCs w:val="21"/>
          <w:highlight w:val="none"/>
        </w:rPr>
        <w:t>（4）甲方不得以行政区划调整、政府换届、机构或者职能调整以及相关责任人更替为由中止合同。</w:t>
      </w:r>
    </w:p>
    <w:p w14:paraId="76F08B55">
      <w:pPr>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16.3合同的终止</w:t>
      </w:r>
    </w:p>
    <w:p w14:paraId="56FB109A">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（1）合同因有效期限届满而终止；</w:t>
      </w:r>
    </w:p>
    <w:p w14:paraId="43BC32B2">
      <w:pPr>
        <w:snapToGrid w:val="0"/>
        <w:spacing w:line="400" w:lineRule="exact"/>
        <w:ind w:firstLine="420" w:firstLineChars="200"/>
        <w:rPr>
          <w:rFonts w:hint="eastAsia" w:ascii="宋体" w:hAnsi="宋体" w:cs="宋体"/>
          <w:szCs w:val="21"/>
          <w:highlight w:val="none"/>
        </w:rPr>
      </w:pPr>
      <w:r>
        <w:rPr>
          <w:rFonts w:hint="eastAsia" w:ascii="宋体" w:hAnsi="宋体"/>
          <w:szCs w:val="21"/>
          <w:highlight w:val="none"/>
        </w:rPr>
        <w:t>（2）乙方未按合同约定履行，构成根本性违约的，甲方有权终止合同，</w:t>
      </w:r>
      <w:r>
        <w:rPr>
          <w:rFonts w:hint="eastAsia" w:ascii="宋体" w:hAnsi="宋体" w:cs="宋体"/>
          <w:szCs w:val="21"/>
          <w:highlight w:val="none"/>
        </w:rPr>
        <w:t>并追究乙方的违约责任</w:t>
      </w:r>
      <w:r>
        <w:rPr>
          <w:rFonts w:hint="eastAsia" w:ascii="宋体" w:hAnsi="宋体"/>
          <w:szCs w:val="21"/>
          <w:highlight w:val="none"/>
        </w:rPr>
        <w:t>。</w:t>
      </w:r>
    </w:p>
    <w:p w14:paraId="78B35184">
      <w:pPr>
        <w:pStyle w:val="22"/>
        <w:rPr>
          <w:rFonts w:hint="eastAsia" w:ascii="宋体" w:hAnsi="宋体"/>
          <w:highlight w:val="none"/>
        </w:rPr>
      </w:pPr>
      <w:r>
        <w:rPr>
          <w:rFonts w:hint="eastAsia" w:ascii="宋体" w:hAnsi="宋体"/>
          <w:highlight w:val="none"/>
        </w:rPr>
        <w:t xml:space="preserve">16.4 </w:t>
      </w:r>
      <w:r>
        <w:rPr>
          <w:rFonts w:hint="eastAsia" w:ascii="宋体" w:hAnsi="宋体" w:eastAsia="宋体" w:cs="Times New Roman"/>
          <w:kern w:val="2"/>
          <w:sz w:val="21"/>
          <w:highlight w:val="none"/>
        </w:rPr>
        <w:t>涉及国家利益、社会公共利益的情形</w:t>
      </w:r>
    </w:p>
    <w:p w14:paraId="20F6E23A">
      <w:pPr>
        <w:pStyle w:val="22"/>
        <w:ind w:firstLine="420"/>
        <w:jc w:val="both"/>
        <w:rPr>
          <w:rFonts w:hint="eastAsia"/>
          <w:sz w:val="21"/>
          <w:highlight w:val="none"/>
        </w:rPr>
      </w:pPr>
      <w:r>
        <w:rPr>
          <w:rFonts w:hint="eastAsia" w:ascii="宋体" w:hAnsi="宋体" w:eastAsia="宋体" w:cs="宋体"/>
          <w:sz w:val="21"/>
          <w:highlight w:val="none"/>
        </w:rPr>
        <w:t>政府采购合同继续履行将损害国家利益和社会公共利益的，双方当事人应当变更、中止或者终止合同。有过错的一方应当承担赔偿责任，双方都有过错的，各自承担相应的责任。</w:t>
      </w:r>
    </w:p>
    <w:p w14:paraId="608ED03C">
      <w:pPr>
        <w:autoSpaceDE w:val="0"/>
        <w:autoSpaceDN w:val="0"/>
        <w:adjustRightInd w:val="0"/>
        <w:snapToGrid w:val="0"/>
        <w:spacing w:line="400" w:lineRule="exact"/>
        <w:jc w:val="left"/>
        <w:rPr>
          <w:rFonts w:hint="eastAsia" w:ascii="宋体" w:hAnsi="宋体"/>
          <w:b/>
          <w:bCs/>
          <w:sz w:val="24"/>
          <w:highlight w:val="none"/>
        </w:rPr>
      </w:pPr>
      <w:r>
        <w:rPr>
          <w:rFonts w:hint="eastAsia" w:ascii="宋体" w:hAnsi="宋体"/>
          <w:b/>
          <w:bCs/>
          <w:sz w:val="24"/>
          <w:highlight w:val="none"/>
        </w:rPr>
        <w:t>17. 合同分包</w:t>
      </w:r>
    </w:p>
    <w:p w14:paraId="442B816D">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17.1 乙方不得将合同转包给其他供应商。涉及合同分包的，乙方应根据采购文件和投标（响应）文件规定进行合同分包。</w:t>
      </w:r>
    </w:p>
    <w:p w14:paraId="15350566">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17.2 乙方执行政府采购政策向中小企业依法分包的，乙方应当按采购文件和投标（响应）文件签订分包意向协议，分包意向协议属于本合同组成部分。</w:t>
      </w:r>
    </w:p>
    <w:p w14:paraId="79C99312">
      <w:pPr>
        <w:autoSpaceDE w:val="0"/>
        <w:autoSpaceDN w:val="0"/>
        <w:adjustRightInd w:val="0"/>
        <w:snapToGrid w:val="0"/>
        <w:spacing w:line="400" w:lineRule="exact"/>
        <w:jc w:val="left"/>
        <w:rPr>
          <w:rFonts w:hint="eastAsia" w:ascii="宋体" w:hAnsi="宋体"/>
          <w:b/>
          <w:bCs/>
          <w:sz w:val="24"/>
          <w:highlight w:val="none"/>
        </w:rPr>
      </w:pPr>
      <w:r>
        <w:rPr>
          <w:rFonts w:hint="eastAsia" w:ascii="宋体" w:hAnsi="宋体"/>
          <w:b/>
          <w:bCs/>
          <w:sz w:val="24"/>
          <w:highlight w:val="none"/>
        </w:rPr>
        <w:t>18. 不可抗力</w:t>
      </w:r>
    </w:p>
    <w:p w14:paraId="59EE37AF">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18.1 不可抗力是指合同双方不能预见、不能避免且不能克服的客观情况。</w:t>
      </w:r>
    </w:p>
    <w:p w14:paraId="72CC8891">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18.2 任何一方对由于不可抗力造成的部分或全部不能履行合同不承担违约责任。但迟延履行后发生不可抗力的，不能免除责任。</w:t>
      </w:r>
    </w:p>
    <w:p w14:paraId="0E7E0F66">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5DF68297">
      <w:pPr>
        <w:autoSpaceDE w:val="0"/>
        <w:autoSpaceDN w:val="0"/>
        <w:adjustRightInd w:val="0"/>
        <w:snapToGrid w:val="0"/>
        <w:spacing w:line="400" w:lineRule="exact"/>
        <w:jc w:val="left"/>
        <w:rPr>
          <w:rFonts w:hint="eastAsia" w:ascii="宋体" w:hAnsi="宋体"/>
          <w:b/>
          <w:bCs/>
          <w:sz w:val="24"/>
          <w:highlight w:val="none"/>
        </w:rPr>
      </w:pPr>
      <w:r>
        <w:rPr>
          <w:rFonts w:hint="eastAsia" w:ascii="宋体" w:hAnsi="宋体"/>
          <w:b/>
          <w:bCs/>
          <w:sz w:val="24"/>
          <w:highlight w:val="none"/>
        </w:rPr>
        <w:t>19. 解决争议的方法</w:t>
      </w:r>
    </w:p>
    <w:p w14:paraId="01D0B1DB">
      <w:pPr>
        <w:pStyle w:val="22"/>
        <w:ind w:firstLine="420"/>
        <w:jc w:val="both"/>
        <w:rPr>
          <w:rFonts w:hint="eastAsia" w:ascii="宋体" w:hAnsi="宋体" w:eastAsia="宋体" w:cs="宋体"/>
          <w:sz w:val="21"/>
          <w:highlight w:val="none"/>
        </w:rPr>
      </w:pPr>
      <w:r>
        <w:rPr>
          <w:rFonts w:hint="eastAsia" w:ascii="宋体" w:hAnsi="宋体" w:eastAsia="宋体" w:cs="宋体"/>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2073F875">
      <w:pPr>
        <w:pStyle w:val="22"/>
        <w:ind w:firstLine="420"/>
        <w:jc w:val="both"/>
        <w:rPr>
          <w:rFonts w:hint="eastAsia" w:ascii="宋体" w:hAnsi="宋体" w:eastAsia="宋体" w:cs="宋体"/>
          <w:sz w:val="21"/>
          <w:highlight w:val="none"/>
        </w:rPr>
      </w:pPr>
      <w:r>
        <w:rPr>
          <w:rFonts w:hint="eastAsia" w:ascii="宋体" w:hAnsi="宋体" w:eastAsia="宋体" w:cs="宋体"/>
          <w:sz w:val="21"/>
          <w:highlight w:val="none"/>
        </w:rPr>
        <w:t>19.2 选择仲裁的，应在</w:t>
      </w:r>
      <w:r>
        <w:rPr>
          <w:rFonts w:hint="eastAsia" w:ascii="宋体" w:hAnsi="宋体" w:eastAsia="宋体" w:cs="宋体"/>
          <w:b/>
          <w:bCs/>
          <w:sz w:val="21"/>
          <w:highlight w:val="none"/>
        </w:rPr>
        <w:t>【政府采购合同专用条款】</w:t>
      </w:r>
      <w:r>
        <w:rPr>
          <w:rFonts w:hint="eastAsia" w:ascii="宋体" w:hAnsi="宋体" w:eastAsia="宋体" w:cs="宋体"/>
          <w:sz w:val="21"/>
          <w:highlight w:val="none"/>
        </w:rPr>
        <w:t>中明确仲裁机构及仲裁地；通过诉讼方式解决的，可以在</w:t>
      </w:r>
      <w:r>
        <w:rPr>
          <w:rFonts w:hint="eastAsia" w:ascii="宋体" w:hAnsi="宋体" w:eastAsia="宋体" w:cs="宋体"/>
          <w:b/>
          <w:bCs/>
          <w:sz w:val="21"/>
          <w:highlight w:val="none"/>
        </w:rPr>
        <w:t>【政府采购合同专用条款】</w:t>
      </w:r>
      <w:r>
        <w:rPr>
          <w:rFonts w:hint="eastAsia" w:ascii="宋体" w:hAnsi="宋体" w:eastAsia="宋体" w:cs="宋体"/>
          <w:sz w:val="21"/>
          <w:highlight w:val="none"/>
        </w:rPr>
        <w:t>中进一步约定选择与争议有实际联系的地点的人民法院管辖，但管辖法院的约定不得违反级别管辖和专属管辖的规定。</w:t>
      </w:r>
    </w:p>
    <w:p w14:paraId="25F44C1E">
      <w:pPr>
        <w:pStyle w:val="22"/>
        <w:ind w:firstLine="420"/>
        <w:jc w:val="both"/>
        <w:rPr>
          <w:rFonts w:hint="eastAsia" w:ascii="宋体" w:hAnsi="宋体" w:eastAsia="宋体" w:cs="宋体"/>
          <w:sz w:val="21"/>
          <w:highlight w:val="none"/>
        </w:rPr>
      </w:pPr>
      <w:r>
        <w:rPr>
          <w:rFonts w:hint="eastAsia" w:ascii="宋体" w:hAnsi="宋体" w:eastAsia="宋体" w:cs="宋体"/>
          <w:sz w:val="21"/>
          <w:highlight w:val="none"/>
        </w:rPr>
        <w:t>19.3 如甲乙双方有争议的事项不影响合同其他部分的履行，在争议解决期间，合同其他部分应当继续履行。</w:t>
      </w:r>
    </w:p>
    <w:p w14:paraId="02F85F06">
      <w:pPr>
        <w:autoSpaceDE w:val="0"/>
        <w:autoSpaceDN w:val="0"/>
        <w:adjustRightInd w:val="0"/>
        <w:snapToGrid w:val="0"/>
        <w:spacing w:line="400" w:lineRule="exact"/>
        <w:jc w:val="left"/>
        <w:rPr>
          <w:rFonts w:hint="eastAsia" w:ascii="宋体" w:hAnsi="宋体"/>
          <w:sz w:val="24"/>
          <w:highlight w:val="none"/>
        </w:rPr>
      </w:pPr>
      <w:r>
        <w:rPr>
          <w:rFonts w:hint="eastAsia" w:ascii="宋体" w:hAnsi="宋体"/>
          <w:b/>
          <w:sz w:val="24"/>
          <w:highlight w:val="none"/>
        </w:rPr>
        <w:t>20. 政府采购政策</w:t>
      </w:r>
    </w:p>
    <w:p w14:paraId="58BD408B">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 xml:space="preserve">20.1 </w:t>
      </w:r>
      <w:r>
        <w:rPr>
          <w:rFonts w:hint="eastAsia" w:ascii="宋体" w:hAnsi="宋体" w:cs="宋体"/>
          <w:highlight w:val="none"/>
          <w:lang w:val="en-GB"/>
        </w:rPr>
        <w:t>本合同应当按照规定执行政府采购政策。</w:t>
      </w:r>
    </w:p>
    <w:p w14:paraId="02C6F86A">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20.2 本合同依法执行政府采购政策的方式和内容，属于合同履约验收的范围。</w:t>
      </w:r>
      <w:r>
        <w:rPr>
          <w:rFonts w:hint="eastAsia" w:ascii="宋体" w:hAnsi="宋体" w:cs="宋体"/>
          <w:highlight w:val="none"/>
        </w:rPr>
        <w:t>甲乙双方</w:t>
      </w:r>
      <w:r>
        <w:rPr>
          <w:rFonts w:hint="eastAsia" w:ascii="宋体" w:hAnsi="宋体" w:cs="宋体"/>
          <w:highlight w:val="none"/>
          <w:lang w:val="en-GB"/>
        </w:rPr>
        <w:t>未按规定要求执行政府采购政策造成损失的</w:t>
      </w:r>
      <w:r>
        <w:rPr>
          <w:rFonts w:hint="eastAsia" w:ascii="宋体" w:hAnsi="宋体"/>
          <w:szCs w:val="21"/>
          <w:highlight w:val="none"/>
        </w:rPr>
        <w:t>，有过错的一方应当承担赔偿责任，双方都有过错的，各自承担相应的责任。</w:t>
      </w:r>
    </w:p>
    <w:p w14:paraId="0992C2ED">
      <w:pPr>
        <w:pStyle w:val="8"/>
        <w:spacing w:after="0" w:line="400" w:lineRule="exact"/>
        <w:ind w:firstLine="420" w:firstLineChars="200"/>
        <w:rPr>
          <w:rFonts w:hint="eastAsia"/>
          <w:highlight w:val="none"/>
        </w:rPr>
      </w:pPr>
      <w:r>
        <w:rPr>
          <w:rFonts w:hint="eastAsia" w:ascii="宋体" w:hAnsi="宋体"/>
          <w:szCs w:val="21"/>
          <w:highlight w:val="none"/>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3D9135CD">
      <w:pPr>
        <w:autoSpaceDE w:val="0"/>
        <w:autoSpaceDN w:val="0"/>
        <w:adjustRightInd w:val="0"/>
        <w:snapToGrid w:val="0"/>
        <w:spacing w:line="400" w:lineRule="exact"/>
        <w:jc w:val="left"/>
        <w:rPr>
          <w:rFonts w:ascii="宋体" w:hAnsi="宋体"/>
          <w:b/>
          <w:sz w:val="24"/>
          <w:highlight w:val="none"/>
        </w:rPr>
      </w:pPr>
      <w:r>
        <w:rPr>
          <w:rFonts w:hint="eastAsia" w:ascii="宋体" w:hAnsi="宋体"/>
          <w:b/>
          <w:sz w:val="24"/>
          <w:highlight w:val="none"/>
        </w:rPr>
        <w:t>21. 法律适用</w:t>
      </w:r>
    </w:p>
    <w:p w14:paraId="13F2A590">
      <w:pPr>
        <w:pStyle w:val="22"/>
        <w:ind w:firstLine="420"/>
        <w:jc w:val="both"/>
        <w:rPr>
          <w:rFonts w:hint="eastAsia" w:ascii="宋体" w:hAnsi="宋体" w:eastAsia="宋体" w:cs="宋体"/>
          <w:sz w:val="21"/>
          <w:highlight w:val="none"/>
        </w:rPr>
      </w:pPr>
      <w:r>
        <w:rPr>
          <w:rFonts w:hint="eastAsia" w:ascii="宋体" w:hAnsi="宋体" w:eastAsia="宋体" w:cs="宋体"/>
          <w:sz w:val="21"/>
          <w:highlight w:val="none"/>
        </w:rPr>
        <w:t>21.1 本合同的订立、生效、解释、履行及与本合同有关的争议解决，均适用法律、行政法规。</w:t>
      </w:r>
    </w:p>
    <w:p w14:paraId="37EAD4A1">
      <w:pPr>
        <w:pStyle w:val="22"/>
        <w:ind w:firstLine="420"/>
        <w:jc w:val="both"/>
        <w:rPr>
          <w:rFonts w:hint="eastAsia" w:ascii="宋体" w:hAnsi="宋体" w:eastAsia="宋体" w:cs="宋体"/>
          <w:sz w:val="21"/>
          <w:highlight w:val="none"/>
        </w:rPr>
      </w:pPr>
      <w:r>
        <w:rPr>
          <w:rFonts w:hint="eastAsia" w:ascii="宋体" w:hAnsi="宋体" w:eastAsia="宋体" w:cs="宋体"/>
          <w:sz w:val="21"/>
          <w:highlight w:val="none"/>
        </w:rPr>
        <w:t>21.2 本合同条款与法律、行政法规的强制性规定不一致的，双方当事人应按照法律、行政法规的强制性规定修改本合同的相关条款。</w:t>
      </w:r>
    </w:p>
    <w:p w14:paraId="28C00B9D">
      <w:pPr>
        <w:autoSpaceDE w:val="0"/>
        <w:autoSpaceDN w:val="0"/>
        <w:adjustRightInd w:val="0"/>
        <w:snapToGrid w:val="0"/>
        <w:spacing w:line="400" w:lineRule="exact"/>
        <w:jc w:val="left"/>
        <w:rPr>
          <w:rFonts w:hint="eastAsia" w:ascii="宋体" w:hAnsi="宋体"/>
          <w:b/>
          <w:sz w:val="24"/>
          <w:highlight w:val="none"/>
        </w:rPr>
      </w:pPr>
      <w:r>
        <w:rPr>
          <w:rFonts w:hint="eastAsia" w:ascii="宋体" w:hAnsi="宋体"/>
          <w:b/>
          <w:sz w:val="24"/>
          <w:highlight w:val="none"/>
        </w:rPr>
        <w:t>22. 通知</w:t>
      </w:r>
    </w:p>
    <w:p w14:paraId="3B010C85">
      <w:pPr>
        <w:pStyle w:val="22"/>
        <w:ind w:firstLine="420"/>
        <w:jc w:val="both"/>
        <w:rPr>
          <w:rFonts w:hint="eastAsia" w:ascii="宋体" w:hAnsi="宋体" w:eastAsia="宋体" w:cs="宋体"/>
          <w:sz w:val="21"/>
          <w:highlight w:val="none"/>
        </w:rPr>
      </w:pPr>
      <w:r>
        <w:rPr>
          <w:rFonts w:hint="eastAsia" w:ascii="宋体" w:hAnsi="宋体" w:eastAsia="宋体" w:cs="宋体"/>
          <w:sz w:val="21"/>
          <w:highlight w:val="none"/>
        </w:rPr>
        <w:t>22.1 本合同任何一方向对方发出的通知、信件、数据电文等，应当发送至本合同第一部分《政府采购合同协议书》所约定的通讯地址、联系人、联系电话或电子邮箱。</w:t>
      </w:r>
    </w:p>
    <w:p w14:paraId="3F618001">
      <w:pPr>
        <w:pStyle w:val="22"/>
        <w:ind w:firstLine="0" w:firstLineChars="0"/>
        <w:jc w:val="both"/>
        <w:rPr>
          <w:rFonts w:hint="eastAsia"/>
          <w:sz w:val="21"/>
          <w:highlight w:val="none"/>
        </w:rPr>
      </w:pPr>
      <w:r>
        <w:rPr>
          <w:rFonts w:hint="eastAsia" w:ascii="宋体" w:hAnsi="宋体" w:eastAsia="宋体" w:cs="宋体"/>
          <w:sz w:val="21"/>
          <w:highlight w:val="none"/>
        </w:rPr>
        <w:t xml:space="preserve">    22.2 一方当事人变更名称、住所、联系人、联系电话或电子邮箱等信息的，应当在变更后3日内及时书面通知对方，对方实际收到变更通知前的送达仍为有效送达。</w:t>
      </w:r>
    </w:p>
    <w:p w14:paraId="7D1152EF">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22.3本合同一方给另一方的通知均应采用书面形式，传真或快递送到本合同中规定的对方的地址和办理签收手续。</w:t>
      </w:r>
    </w:p>
    <w:p w14:paraId="53F22794">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22.4通知以送达之日或通知书中规定的生效之日起生效，两者中以较迟之日为准。</w:t>
      </w:r>
    </w:p>
    <w:p w14:paraId="2718E3A0">
      <w:pPr>
        <w:numPr>
          <w:ilvl w:val="0"/>
          <w:numId w:val="9"/>
        </w:numPr>
        <w:adjustRightInd w:val="0"/>
        <w:snapToGrid w:val="0"/>
        <w:spacing w:line="400" w:lineRule="exact"/>
        <w:jc w:val="left"/>
        <w:rPr>
          <w:rFonts w:hint="eastAsia" w:ascii="宋体" w:hAnsi="宋体"/>
          <w:b/>
          <w:bCs/>
          <w:sz w:val="24"/>
          <w:highlight w:val="none"/>
        </w:rPr>
      </w:pPr>
      <w:r>
        <w:rPr>
          <w:rFonts w:hint="eastAsia" w:ascii="宋体" w:hAnsi="宋体"/>
          <w:b/>
          <w:bCs/>
          <w:sz w:val="24"/>
          <w:highlight w:val="none"/>
        </w:rPr>
        <w:t>合同未尽事项</w:t>
      </w:r>
    </w:p>
    <w:p w14:paraId="0EE972EE">
      <w:pPr>
        <w:adjustRightInd w:val="0"/>
        <w:snapToGrid w:val="0"/>
        <w:spacing w:line="400" w:lineRule="exact"/>
        <w:ind w:firstLine="420" w:firstLineChars="200"/>
        <w:jc w:val="left"/>
        <w:rPr>
          <w:rFonts w:hint="eastAsia" w:ascii="宋体" w:hAnsi="宋体"/>
          <w:bCs/>
          <w:szCs w:val="21"/>
          <w:highlight w:val="none"/>
        </w:rPr>
      </w:pPr>
      <w:r>
        <w:rPr>
          <w:rFonts w:hint="eastAsia" w:ascii="宋体" w:hAnsi="宋体"/>
          <w:bCs/>
          <w:szCs w:val="21"/>
          <w:highlight w:val="none"/>
        </w:rPr>
        <w:t>23.1合同未尽事项见</w:t>
      </w:r>
      <w:r>
        <w:rPr>
          <w:rFonts w:hint="eastAsia" w:ascii="宋体" w:hAnsi="宋体"/>
          <w:b/>
          <w:szCs w:val="21"/>
          <w:highlight w:val="none"/>
        </w:rPr>
        <w:t>【政府采购合同专用条款】</w:t>
      </w:r>
      <w:r>
        <w:rPr>
          <w:rFonts w:hint="eastAsia" w:ascii="宋体" w:hAnsi="宋体"/>
          <w:bCs/>
          <w:szCs w:val="21"/>
          <w:highlight w:val="none"/>
        </w:rPr>
        <w:t>。</w:t>
      </w:r>
    </w:p>
    <w:p w14:paraId="241E84F2">
      <w:pPr>
        <w:adjustRightInd w:val="0"/>
        <w:snapToGrid w:val="0"/>
        <w:spacing w:line="400" w:lineRule="exact"/>
        <w:jc w:val="left"/>
        <w:rPr>
          <w:rFonts w:hint="eastAsia" w:ascii="黑体" w:hAnsi="华文中宋" w:eastAsia="黑体"/>
          <w:sz w:val="28"/>
          <w:szCs w:val="28"/>
          <w:highlight w:val="none"/>
        </w:rPr>
      </w:pPr>
      <w:r>
        <w:rPr>
          <w:rFonts w:hint="eastAsia" w:ascii="宋体" w:hAnsi="宋体"/>
          <w:bCs/>
          <w:szCs w:val="21"/>
          <w:highlight w:val="none"/>
        </w:rPr>
        <w:t xml:space="preserve">    23.2 合同附件与合同正文具有同等的法律效力。</w:t>
      </w:r>
    </w:p>
    <w:p w14:paraId="3808E619">
      <w:pPr>
        <w:keepNext/>
        <w:keepLines/>
        <w:spacing w:line="360" w:lineRule="auto"/>
        <w:jc w:val="center"/>
        <w:outlineLvl w:val="1"/>
        <w:rPr>
          <w:rFonts w:ascii="黑体" w:hAnsi="华文中宋" w:eastAsia="黑体"/>
          <w:sz w:val="24"/>
          <w:highlight w:val="none"/>
        </w:rPr>
      </w:pPr>
      <w:r>
        <w:rPr>
          <w:rFonts w:hint="eastAsia" w:ascii="黑体" w:hAnsi="华文中宋" w:eastAsia="黑体"/>
          <w:sz w:val="24"/>
          <w:highlight w:val="none"/>
        </w:rPr>
        <w:br w:type="page" w:clear="all"/>
      </w:r>
    </w:p>
    <w:p w14:paraId="5998610A">
      <w:pPr>
        <w:keepNext/>
        <w:keepLines/>
        <w:spacing w:line="360" w:lineRule="auto"/>
        <w:jc w:val="center"/>
        <w:outlineLvl w:val="1"/>
        <w:rPr>
          <w:rFonts w:ascii="黑体" w:hAnsi="华文中宋" w:eastAsia="黑体"/>
          <w:color w:val="auto"/>
          <w:sz w:val="24"/>
          <w:highlight w:val="none"/>
        </w:rPr>
      </w:pPr>
      <w:r>
        <w:rPr>
          <w:rFonts w:hint="eastAsia" w:ascii="黑体" w:hAnsi="华文中宋" w:eastAsia="黑体"/>
          <w:color w:val="auto"/>
          <w:sz w:val="24"/>
          <w:highlight w:val="none"/>
        </w:rPr>
        <w:t>第三节 政府采购合同专用条款</w:t>
      </w:r>
      <w:bookmarkEnd w:id="170"/>
    </w:p>
    <w:tbl>
      <w:tblPr>
        <w:tblStyle w:val="15"/>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560"/>
        <w:gridCol w:w="1789"/>
        <w:gridCol w:w="5170"/>
      </w:tblGrid>
      <w:tr w14:paraId="152326F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598D0359">
            <w:pPr>
              <w:jc w:val="center"/>
              <w:rPr>
                <w:rFonts w:ascii="宋体" w:hAnsi="宋体"/>
                <w:color w:val="auto"/>
                <w:sz w:val="24"/>
                <w:highlight w:val="none"/>
              </w:rPr>
            </w:pPr>
            <w:r>
              <w:rPr>
                <w:rFonts w:hint="eastAsia" w:ascii="宋体" w:hAnsi="宋体"/>
                <w:color w:val="auto"/>
                <w:sz w:val="24"/>
                <w:highlight w:val="none"/>
              </w:rPr>
              <w:t>第二节</w:t>
            </w:r>
          </w:p>
          <w:p w14:paraId="5A423FB9">
            <w:pPr>
              <w:jc w:val="center"/>
              <w:rPr>
                <w:rFonts w:ascii="宋体" w:hAnsi="宋体"/>
                <w:color w:val="auto"/>
                <w:sz w:val="24"/>
                <w:highlight w:val="none"/>
              </w:rPr>
            </w:pPr>
            <w:r>
              <w:rPr>
                <w:rFonts w:hint="eastAsia" w:ascii="宋体" w:hAnsi="宋体"/>
                <w:color w:val="auto"/>
                <w:sz w:val="24"/>
                <w:highlight w:val="none"/>
              </w:rPr>
              <w:t>第1.2（6）项</w:t>
            </w:r>
          </w:p>
        </w:tc>
        <w:tc>
          <w:tcPr>
            <w:tcW w:w="1789" w:type="dxa"/>
            <w:vAlign w:val="center"/>
          </w:tcPr>
          <w:p w14:paraId="1263539C">
            <w:pPr>
              <w:jc w:val="left"/>
              <w:rPr>
                <w:rFonts w:ascii="宋体" w:hAnsi="宋体"/>
                <w:color w:val="auto"/>
                <w:sz w:val="24"/>
                <w:highlight w:val="none"/>
              </w:rPr>
            </w:pPr>
            <w:r>
              <w:rPr>
                <w:rFonts w:hint="eastAsia" w:ascii="宋体" w:hAnsi="宋体"/>
                <w:color w:val="auto"/>
                <w:sz w:val="24"/>
                <w:highlight w:val="none"/>
              </w:rPr>
              <w:t>联合体具体要求</w:t>
            </w:r>
          </w:p>
        </w:tc>
        <w:tc>
          <w:tcPr>
            <w:tcW w:w="5170" w:type="dxa"/>
            <w:vAlign w:val="center"/>
          </w:tcPr>
          <w:p w14:paraId="4E3CF52B">
            <w:pPr>
              <w:jc w:val="left"/>
              <w:rPr>
                <w:rFonts w:ascii="宋体" w:hAnsi="宋体"/>
                <w:color w:val="auto"/>
                <w:sz w:val="24"/>
                <w:highlight w:val="none"/>
              </w:rPr>
            </w:pPr>
          </w:p>
        </w:tc>
      </w:tr>
      <w:tr w14:paraId="6A4D2AF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04" w:hRule="atLeast"/>
        </w:trPr>
        <w:tc>
          <w:tcPr>
            <w:tcW w:w="1560" w:type="dxa"/>
            <w:vAlign w:val="center"/>
          </w:tcPr>
          <w:p w14:paraId="60A7D430">
            <w:pPr>
              <w:jc w:val="center"/>
              <w:rPr>
                <w:rFonts w:ascii="宋体" w:hAnsi="宋体"/>
                <w:color w:val="auto"/>
                <w:sz w:val="24"/>
                <w:highlight w:val="none"/>
              </w:rPr>
            </w:pPr>
            <w:r>
              <w:rPr>
                <w:rFonts w:hint="eastAsia" w:ascii="宋体" w:hAnsi="宋体"/>
                <w:color w:val="auto"/>
                <w:sz w:val="24"/>
                <w:highlight w:val="none"/>
              </w:rPr>
              <w:t>第二节</w:t>
            </w:r>
          </w:p>
          <w:p w14:paraId="7E561342">
            <w:pPr>
              <w:jc w:val="center"/>
              <w:rPr>
                <w:rFonts w:ascii="宋体" w:hAnsi="宋体"/>
                <w:color w:val="auto"/>
                <w:sz w:val="24"/>
                <w:highlight w:val="none"/>
              </w:rPr>
            </w:pPr>
            <w:r>
              <w:rPr>
                <w:rFonts w:hint="eastAsia" w:ascii="宋体" w:hAnsi="宋体"/>
                <w:color w:val="auto"/>
                <w:sz w:val="24"/>
                <w:highlight w:val="none"/>
              </w:rPr>
              <w:t>第1.2（7）项</w:t>
            </w:r>
          </w:p>
        </w:tc>
        <w:tc>
          <w:tcPr>
            <w:tcW w:w="1789" w:type="dxa"/>
            <w:vAlign w:val="center"/>
          </w:tcPr>
          <w:p w14:paraId="19F07E52">
            <w:pPr>
              <w:jc w:val="left"/>
              <w:rPr>
                <w:rFonts w:ascii="宋体" w:hAnsi="宋体"/>
                <w:color w:val="auto"/>
                <w:sz w:val="24"/>
                <w:highlight w:val="none"/>
              </w:rPr>
            </w:pPr>
            <w:r>
              <w:rPr>
                <w:rFonts w:hint="eastAsia" w:ascii="宋体" w:hAnsi="宋体"/>
                <w:color w:val="auto"/>
                <w:sz w:val="24"/>
                <w:highlight w:val="none"/>
              </w:rPr>
              <w:t>其他术语解释</w:t>
            </w:r>
          </w:p>
        </w:tc>
        <w:tc>
          <w:tcPr>
            <w:tcW w:w="5170" w:type="dxa"/>
            <w:vAlign w:val="center"/>
          </w:tcPr>
          <w:p w14:paraId="407EF84D">
            <w:pPr>
              <w:jc w:val="left"/>
              <w:rPr>
                <w:rFonts w:ascii="宋体" w:hAnsi="宋体"/>
                <w:color w:val="auto"/>
                <w:sz w:val="24"/>
                <w:highlight w:val="none"/>
              </w:rPr>
            </w:pPr>
          </w:p>
        </w:tc>
      </w:tr>
      <w:tr w14:paraId="4B54764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345C7A13">
            <w:pPr>
              <w:jc w:val="center"/>
              <w:rPr>
                <w:rFonts w:ascii="宋体" w:hAnsi="宋体"/>
                <w:color w:val="auto"/>
                <w:sz w:val="24"/>
                <w:highlight w:val="none"/>
              </w:rPr>
            </w:pPr>
            <w:r>
              <w:rPr>
                <w:rFonts w:hint="eastAsia" w:ascii="宋体" w:hAnsi="宋体"/>
                <w:color w:val="auto"/>
                <w:sz w:val="24"/>
                <w:highlight w:val="none"/>
              </w:rPr>
              <w:t>第二节</w:t>
            </w:r>
          </w:p>
          <w:p w14:paraId="7AD73374">
            <w:pPr>
              <w:jc w:val="center"/>
              <w:rPr>
                <w:rFonts w:ascii="宋体" w:hAnsi="宋体"/>
                <w:color w:val="auto"/>
                <w:sz w:val="24"/>
                <w:highlight w:val="none"/>
              </w:rPr>
            </w:pPr>
            <w:r>
              <w:rPr>
                <w:rFonts w:hint="eastAsia" w:ascii="宋体" w:hAnsi="宋体"/>
                <w:color w:val="auto"/>
                <w:sz w:val="24"/>
                <w:highlight w:val="none"/>
              </w:rPr>
              <w:t>第4.4款</w:t>
            </w:r>
          </w:p>
        </w:tc>
        <w:tc>
          <w:tcPr>
            <w:tcW w:w="1789" w:type="dxa"/>
            <w:vAlign w:val="center"/>
          </w:tcPr>
          <w:p w14:paraId="393D86B6">
            <w:pPr>
              <w:jc w:val="left"/>
              <w:rPr>
                <w:rFonts w:ascii="宋体" w:hAnsi="宋体"/>
                <w:color w:val="auto"/>
                <w:sz w:val="24"/>
                <w:highlight w:val="none"/>
              </w:rPr>
            </w:pPr>
            <w:r>
              <w:rPr>
                <w:rFonts w:hint="eastAsia" w:ascii="宋体" w:hAnsi="宋体"/>
                <w:color w:val="auto"/>
                <w:sz w:val="24"/>
                <w:highlight w:val="none"/>
              </w:rPr>
              <w:t>履约验收中甲方提出异议或作出说明的期限</w:t>
            </w:r>
          </w:p>
        </w:tc>
        <w:tc>
          <w:tcPr>
            <w:tcW w:w="5170" w:type="dxa"/>
            <w:vAlign w:val="center"/>
          </w:tcPr>
          <w:p w14:paraId="2D4E40A4">
            <w:pPr>
              <w:jc w:val="left"/>
              <w:rPr>
                <w:rFonts w:ascii="宋体" w:hAnsi="宋体"/>
                <w:color w:val="auto"/>
                <w:sz w:val="24"/>
                <w:highlight w:val="none"/>
              </w:rPr>
            </w:pPr>
          </w:p>
        </w:tc>
      </w:tr>
      <w:tr w14:paraId="10B1C6D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7665054E">
            <w:pPr>
              <w:jc w:val="center"/>
              <w:rPr>
                <w:rFonts w:ascii="宋体" w:hAnsi="宋体"/>
                <w:color w:val="auto"/>
                <w:sz w:val="24"/>
                <w:highlight w:val="none"/>
              </w:rPr>
            </w:pPr>
            <w:r>
              <w:rPr>
                <w:rFonts w:hint="eastAsia" w:ascii="宋体" w:hAnsi="宋体"/>
                <w:color w:val="auto"/>
                <w:sz w:val="24"/>
                <w:highlight w:val="none"/>
              </w:rPr>
              <w:t>第二节</w:t>
            </w:r>
          </w:p>
          <w:p w14:paraId="1C40F9B2">
            <w:pPr>
              <w:jc w:val="center"/>
              <w:rPr>
                <w:rFonts w:ascii="宋体" w:hAnsi="宋体"/>
                <w:color w:val="auto"/>
                <w:sz w:val="24"/>
                <w:highlight w:val="none"/>
              </w:rPr>
            </w:pPr>
            <w:r>
              <w:rPr>
                <w:rFonts w:hint="eastAsia" w:ascii="宋体" w:hAnsi="宋体"/>
                <w:color w:val="auto"/>
                <w:sz w:val="24"/>
                <w:highlight w:val="none"/>
              </w:rPr>
              <w:t>第4.6款</w:t>
            </w:r>
          </w:p>
        </w:tc>
        <w:tc>
          <w:tcPr>
            <w:tcW w:w="1789" w:type="dxa"/>
            <w:vAlign w:val="center"/>
          </w:tcPr>
          <w:p w14:paraId="28905FB9">
            <w:pPr>
              <w:jc w:val="left"/>
              <w:rPr>
                <w:rFonts w:ascii="宋体" w:hAnsi="宋体"/>
                <w:color w:val="auto"/>
                <w:sz w:val="24"/>
                <w:highlight w:val="none"/>
              </w:rPr>
            </w:pPr>
            <w:r>
              <w:rPr>
                <w:rFonts w:hint="eastAsia" w:ascii="宋体" w:hAnsi="宋体"/>
                <w:color w:val="auto"/>
                <w:sz w:val="24"/>
                <w:highlight w:val="none"/>
              </w:rPr>
              <w:t>约定甲方承担的其他义务和责任</w:t>
            </w:r>
          </w:p>
        </w:tc>
        <w:tc>
          <w:tcPr>
            <w:tcW w:w="5170" w:type="dxa"/>
            <w:vAlign w:val="center"/>
          </w:tcPr>
          <w:p w14:paraId="3B7FF963">
            <w:pPr>
              <w:jc w:val="left"/>
              <w:rPr>
                <w:rFonts w:ascii="宋体" w:hAnsi="宋体"/>
                <w:color w:val="auto"/>
                <w:sz w:val="24"/>
                <w:highlight w:val="none"/>
              </w:rPr>
            </w:pPr>
          </w:p>
        </w:tc>
      </w:tr>
      <w:tr w14:paraId="74A3CFE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3B1D166C">
            <w:pPr>
              <w:jc w:val="center"/>
              <w:rPr>
                <w:rFonts w:ascii="宋体" w:hAnsi="宋体"/>
                <w:color w:val="auto"/>
                <w:sz w:val="24"/>
                <w:highlight w:val="none"/>
              </w:rPr>
            </w:pPr>
            <w:r>
              <w:rPr>
                <w:rFonts w:hint="eastAsia" w:ascii="宋体" w:hAnsi="宋体"/>
                <w:color w:val="auto"/>
                <w:sz w:val="24"/>
                <w:highlight w:val="none"/>
              </w:rPr>
              <w:t>第二节</w:t>
            </w:r>
          </w:p>
          <w:p w14:paraId="5DBD0277">
            <w:pPr>
              <w:jc w:val="center"/>
              <w:rPr>
                <w:color w:val="auto"/>
                <w:sz w:val="24"/>
                <w:highlight w:val="none"/>
              </w:rPr>
            </w:pPr>
            <w:r>
              <w:rPr>
                <w:rFonts w:hint="eastAsia" w:ascii="宋体" w:hAnsi="宋体"/>
                <w:color w:val="auto"/>
                <w:sz w:val="24"/>
                <w:highlight w:val="none"/>
              </w:rPr>
              <w:t>第5.4款</w:t>
            </w:r>
          </w:p>
        </w:tc>
        <w:tc>
          <w:tcPr>
            <w:tcW w:w="1789" w:type="dxa"/>
            <w:vAlign w:val="center"/>
          </w:tcPr>
          <w:p w14:paraId="61A28E83">
            <w:pPr>
              <w:jc w:val="left"/>
              <w:rPr>
                <w:rFonts w:ascii="宋体" w:hAnsi="宋体"/>
                <w:color w:val="auto"/>
                <w:sz w:val="24"/>
                <w:highlight w:val="none"/>
              </w:rPr>
            </w:pPr>
            <w:r>
              <w:rPr>
                <w:rFonts w:hint="eastAsia" w:ascii="宋体" w:hAnsi="宋体"/>
                <w:color w:val="auto"/>
                <w:sz w:val="24"/>
                <w:highlight w:val="none"/>
              </w:rPr>
              <w:t>约定乙方承担的其他义务和责任</w:t>
            </w:r>
          </w:p>
        </w:tc>
        <w:tc>
          <w:tcPr>
            <w:tcW w:w="5170" w:type="dxa"/>
            <w:vAlign w:val="center"/>
          </w:tcPr>
          <w:p w14:paraId="34EEBB91">
            <w:pPr>
              <w:jc w:val="left"/>
              <w:rPr>
                <w:rFonts w:ascii="宋体" w:hAnsi="宋体"/>
                <w:color w:val="auto"/>
                <w:sz w:val="24"/>
                <w:highlight w:val="none"/>
              </w:rPr>
            </w:pPr>
          </w:p>
        </w:tc>
      </w:tr>
      <w:tr w14:paraId="35699A5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13C9072B">
            <w:pPr>
              <w:jc w:val="center"/>
              <w:rPr>
                <w:rFonts w:ascii="宋体" w:hAnsi="宋体"/>
                <w:color w:val="auto"/>
                <w:sz w:val="24"/>
                <w:highlight w:val="none"/>
              </w:rPr>
            </w:pPr>
            <w:r>
              <w:rPr>
                <w:rFonts w:hint="eastAsia" w:ascii="宋体" w:hAnsi="宋体"/>
                <w:color w:val="auto"/>
                <w:sz w:val="24"/>
                <w:highlight w:val="none"/>
              </w:rPr>
              <w:t>第二节</w:t>
            </w:r>
          </w:p>
          <w:p w14:paraId="44F6BA67">
            <w:pPr>
              <w:jc w:val="center"/>
              <w:rPr>
                <w:rFonts w:ascii="宋体" w:hAnsi="宋体"/>
                <w:color w:val="auto"/>
                <w:sz w:val="24"/>
                <w:highlight w:val="none"/>
              </w:rPr>
            </w:pPr>
            <w:r>
              <w:rPr>
                <w:rFonts w:hint="eastAsia" w:ascii="宋体" w:hAnsi="宋体"/>
                <w:color w:val="auto"/>
                <w:sz w:val="24"/>
                <w:highlight w:val="none"/>
              </w:rPr>
              <w:t>第6.1款</w:t>
            </w:r>
          </w:p>
        </w:tc>
        <w:tc>
          <w:tcPr>
            <w:tcW w:w="1789" w:type="dxa"/>
            <w:vAlign w:val="center"/>
          </w:tcPr>
          <w:p w14:paraId="7E495D2E">
            <w:pPr>
              <w:jc w:val="left"/>
              <w:rPr>
                <w:rFonts w:ascii="宋体" w:hAnsi="宋体"/>
                <w:color w:val="auto"/>
                <w:sz w:val="24"/>
                <w:highlight w:val="none"/>
              </w:rPr>
            </w:pPr>
            <w:r>
              <w:rPr>
                <w:rFonts w:hint="eastAsia" w:ascii="宋体" w:hAnsi="宋体"/>
                <w:color w:val="auto"/>
                <w:sz w:val="24"/>
                <w:highlight w:val="none"/>
              </w:rPr>
              <w:t>履行合同义务的顺序</w:t>
            </w:r>
          </w:p>
        </w:tc>
        <w:tc>
          <w:tcPr>
            <w:tcW w:w="5170" w:type="dxa"/>
            <w:vAlign w:val="center"/>
          </w:tcPr>
          <w:p w14:paraId="7B1EA757">
            <w:pPr>
              <w:jc w:val="left"/>
              <w:rPr>
                <w:rFonts w:ascii="宋体" w:hAnsi="宋体"/>
                <w:color w:val="auto"/>
                <w:sz w:val="24"/>
                <w:highlight w:val="none"/>
              </w:rPr>
            </w:pPr>
          </w:p>
        </w:tc>
      </w:tr>
      <w:tr w14:paraId="0BF2852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67" w:hRule="atLeast"/>
        </w:trPr>
        <w:tc>
          <w:tcPr>
            <w:tcW w:w="1560" w:type="dxa"/>
            <w:vMerge w:val="restart"/>
            <w:vAlign w:val="center"/>
          </w:tcPr>
          <w:p w14:paraId="7CC44824">
            <w:pPr>
              <w:jc w:val="center"/>
              <w:rPr>
                <w:rFonts w:ascii="宋体" w:hAnsi="宋体"/>
                <w:color w:val="auto"/>
                <w:sz w:val="24"/>
                <w:highlight w:val="none"/>
              </w:rPr>
            </w:pPr>
            <w:r>
              <w:rPr>
                <w:rFonts w:hint="eastAsia" w:ascii="宋体" w:hAnsi="宋体"/>
                <w:color w:val="auto"/>
                <w:sz w:val="24"/>
                <w:highlight w:val="none"/>
              </w:rPr>
              <w:t>第二节</w:t>
            </w:r>
          </w:p>
          <w:p w14:paraId="0AB8174F">
            <w:pPr>
              <w:jc w:val="center"/>
              <w:rPr>
                <w:rFonts w:ascii="宋体" w:hAnsi="宋体"/>
                <w:color w:val="auto"/>
                <w:sz w:val="24"/>
                <w:highlight w:val="none"/>
              </w:rPr>
            </w:pPr>
            <w:r>
              <w:rPr>
                <w:rFonts w:hint="eastAsia" w:ascii="宋体" w:hAnsi="宋体"/>
                <w:color w:val="auto"/>
                <w:sz w:val="24"/>
                <w:highlight w:val="none"/>
              </w:rPr>
              <w:t>第7.1款</w:t>
            </w:r>
          </w:p>
        </w:tc>
        <w:tc>
          <w:tcPr>
            <w:tcW w:w="1789" w:type="dxa"/>
            <w:vAlign w:val="center"/>
          </w:tcPr>
          <w:p w14:paraId="6A91B8B0">
            <w:pPr>
              <w:jc w:val="left"/>
              <w:rPr>
                <w:rFonts w:ascii="宋体" w:hAnsi="宋体"/>
                <w:color w:val="auto"/>
                <w:sz w:val="24"/>
                <w:highlight w:val="none"/>
              </w:rPr>
            </w:pPr>
            <w:r>
              <w:rPr>
                <w:rFonts w:hint="eastAsia" w:ascii="宋体" w:hAnsi="宋体"/>
                <w:color w:val="auto"/>
                <w:sz w:val="24"/>
                <w:highlight w:val="none"/>
              </w:rPr>
              <w:t>包装特殊要求</w:t>
            </w:r>
          </w:p>
        </w:tc>
        <w:tc>
          <w:tcPr>
            <w:tcW w:w="5170" w:type="dxa"/>
            <w:vAlign w:val="center"/>
          </w:tcPr>
          <w:p w14:paraId="786F97A2">
            <w:pPr>
              <w:rPr>
                <w:color w:val="auto"/>
                <w:sz w:val="24"/>
                <w:highlight w:val="none"/>
              </w:rPr>
            </w:pPr>
            <w:r>
              <w:rPr>
                <w:rFonts w:hint="eastAsia"/>
                <w:color w:val="auto"/>
                <w:sz w:val="24"/>
                <w:highlight w:val="none"/>
              </w:rPr>
              <w:t>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p>
          <w:p w14:paraId="43F9EA49">
            <w:pPr>
              <w:rPr>
                <w:color w:val="auto"/>
                <w:sz w:val="24"/>
                <w:highlight w:val="none"/>
              </w:rPr>
            </w:pPr>
            <w:r>
              <w:rPr>
                <w:rFonts w:hint="eastAsia"/>
                <w:color w:val="auto"/>
                <w:sz w:val="24"/>
                <w:highlight w:val="none"/>
              </w:rPr>
              <w:t>1.商品包装层数不得超过3 层，空隙率不大于40%；</w:t>
            </w:r>
          </w:p>
          <w:p w14:paraId="6F846665">
            <w:pPr>
              <w:rPr>
                <w:color w:val="auto"/>
                <w:sz w:val="24"/>
                <w:highlight w:val="none"/>
              </w:rPr>
            </w:pPr>
            <w:r>
              <w:rPr>
                <w:rFonts w:hint="eastAsia"/>
                <w:color w:val="auto"/>
                <w:sz w:val="24"/>
                <w:highlight w:val="none"/>
              </w:rPr>
              <w:t>2.商品包装尽可能使用单一材质的包装材料，如因功能需求必需使用不同材质，不同材质间应便于分离；</w:t>
            </w:r>
          </w:p>
          <w:p w14:paraId="1114272A">
            <w:pPr>
              <w:rPr>
                <w:color w:val="auto"/>
                <w:sz w:val="24"/>
                <w:highlight w:val="none"/>
              </w:rPr>
            </w:pPr>
            <w:r>
              <w:rPr>
                <w:rFonts w:hint="eastAsia"/>
                <w:color w:val="auto"/>
                <w:sz w:val="24"/>
                <w:highlight w:val="none"/>
              </w:rPr>
              <w:t>3.商品包装中铅、汞、镉、六价铬的总含量应不大于100mg/kg；</w:t>
            </w:r>
          </w:p>
          <w:p w14:paraId="19915C48">
            <w:pPr>
              <w:rPr>
                <w:color w:val="auto"/>
                <w:sz w:val="24"/>
                <w:highlight w:val="none"/>
              </w:rPr>
            </w:pPr>
            <w:r>
              <w:rPr>
                <w:rFonts w:hint="eastAsia"/>
                <w:color w:val="auto"/>
                <w:sz w:val="24"/>
                <w:highlight w:val="none"/>
              </w:rPr>
              <w:t>4.商品包装印刷使用的油墨中挥发性有机化合物(VOCs)含量应不大于 5%（以重量计）；</w:t>
            </w:r>
          </w:p>
          <w:p w14:paraId="6401B0C6">
            <w:pPr>
              <w:rPr>
                <w:color w:val="auto"/>
                <w:sz w:val="24"/>
                <w:highlight w:val="none"/>
              </w:rPr>
            </w:pPr>
            <w:r>
              <w:rPr>
                <w:rFonts w:hint="eastAsia"/>
                <w:color w:val="auto"/>
                <w:sz w:val="24"/>
                <w:highlight w:val="none"/>
              </w:rPr>
              <w:t>5.塑料材质商品包装上呈现的印刷颜色不得超过6色；</w:t>
            </w:r>
          </w:p>
          <w:p w14:paraId="3F0ACCAF">
            <w:pPr>
              <w:rPr>
                <w:color w:val="auto"/>
                <w:sz w:val="24"/>
                <w:highlight w:val="none"/>
              </w:rPr>
            </w:pPr>
            <w:r>
              <w:rPr>
                <w:rFonts w:hint="eastAsia"/>
                <w:color w:val="auto"/>
                <w:sz w:val="24"/>
                <w:highlight w:val="none"/>
              </w:rPr>
              <w:t>6.纸质商品包装应使用75%以上的可再生纤维原料生产；</w:t>
            </w:r>
          </w:p>
          <w:p w14:paraId="461E95F5">
            <w:pPr>
              <w:rPr>
                <w:color w:val="auto"/>
                <w:sz w:val="24"/>
                <w:highlight w:val="none"/>
              </w:rPr>
            </w:pPr>
            <w:r>
              <w:rPr>
                <w:rFonts w:hint="eastAsia"/>
                <w:color w:val="auto"/>
                <w:sz w:val="24"/>
                <w:highlight w:val="none"/>
              </w:rPr>
              <w:t>7.木质商品包装的原料应来源于可持续性森林。</w:t>
            </w:r>
          </w:p>
          <w:p w14:paraId="70CF7B2D">
            <w:pPr>
              <w:rPr>
                <w:color w:val="auto"/>
                <w:sz w:val="24"/>
                <w:highlight w:val="none"/>
              </w:rPr>
            </w:pPr>
            <w:r>
              <w:rPr>
                <w:rFonts w:hint="eastAsia"/>
                <w:color w:val="auto"/>
                <w:sz w:val="24"/>
                <w:highlight w:val="none"/>
              </w:rPr>
              <w:t>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p>
          <w:p w14:paraId="0C7ECFD2">
            <w:pPr>
              <w:rPr>
                <w:color w:val="auto"/>
                <w:sz w:val="24"/>
                <w:highlight w:val="none"/>
              </w:rPr>
            </w:pPr>
            <w:r>
              <w:rPr>
                <w:rFonts w:hint="eastAsia"/>
                <w:color w:val="auto"/>
                <w:sz w:val="24"/>
                <w:highlight w:val="none"/>
              </w:rPr>
              <w:t>9每件包装箱内应附一份详细装箱单和质量合格凭证。</w:t>
            </w:r>
          </w:p>
          <w:p w14:paraId="2BC30602">
            <w:pPr>
              <w:rPr>
                <w:color w:val="auto"/>
                <w:sz w:val="24"/>
                <w:highlight w:val="none"/>
              </w:rPr>
            </w:pPr>
          </w:p>
        </w:tc>
      </w:tr>
      <w:tr w14:paraId="68E0039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67" w:hRule="atLeast"/>
        </w:trPr>
        <w:tc>
          <w:tcPr>
            <w:tcW w:w="1560" w:type="dxa"/>
            <w:vMerge w:val="continue"/>
            <w:vAlign w:val="center"/>
          </w:tcPr>
          <w:p w14:paraId="72340FB6">
            <w:pPr>
              <w:jc w:val="center"/>
              <w:rPr>
                <w:rFonts w:ascii="宋体" w:hAnsi="宋体"/>
                <w:color w:val="auto"/>
                <w:sz w:val="24"/>
                <w:highlight w:val="none"/>
              </w:rPr>
            </w:pPr>
          </w:p>
        </w:tc>
        <w:tc>
          <w:tcPr>
            <w:tcW w:w="1789" w:type="dxa"/>
            <w:vAlign w:val="center"/>
          </w:tcPr>
          <w:p w14:paraId="2D2550B3">
            <w:pPr>
              <w:jc w:val="left"/>
              <w:rPr>
                <w:rFonts w:ascii="宋体" w:hAnsi="宋体"/>
                <w:color w:val="auto"/>
                <w:sz w:val="24"/>
                <w:highlight w:val="none"/>
              </w:rPr>
            </w:pPr>
            <w:r>
              <w:rPr>
                <w:rFonts w:hint="eastAsia" w:ascii="宋体" w:hAnsi="宋体"/>
                <w:color w:val="auto"/>
                <w:sz w:val="24"/>
                <w:highlight w:val="none"/>
              </w:rPr>
              <w:t>指定现场</w:t>
            </w:r>
          </w:p>
        </w:tc>
        <w:tc>
          <w:tcPr>
            <w:tcW w:w="5170" w:type="dxa"/>
            <w:vAlign w:val="center"/>
          </w:tcPr>
          <w:p w14:paraId="0026496D">
            <w:pPr>
              <w:jc w:val="left"/>
              <w:rPr>
                <w:color w:val="auto"/>
                <w:sz w:val="24"/>
                <w:highlight w:val="none"/>
              </w:rPr>
            </w:pPr>
          </w:p>
        </w:tc>
      </w:tr>
      <w:tr w14:paraId="6C88278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2" w:hRule="atLeast"/>
        </w:trPr>
        <w:tc>
          <w:tcPr>
            <w:tcW w:w="1560" w:type="dxa"/>
            <w:vAlign w:val="center"/>
          </w:tcPr>
          <w:p w14:paraId="1D338A8E">
            <w:pPr>
              <w:jc w:val="center"/>
              <w:rPr>
                <w:rFonts w:ascii="宋体" w:hAnsi="宋体"/>
                <w:color w:val="auto"/>
                <w:sz w:val="24"/>
                <w:highlight w:val="none"/>
              </w:rPr>
            </w:pPr>
            <w:r>
              <w:rPr>
                <w:rFonts w:hint="eastAsia" w:ascii="宋体" w:hAnsi="宋体"/>
                <w:color w:val="auto"/>
                <w:sz w:val="24"/>
                <w:highlight w:val="none"/>
              </w:rPr>
              <w:t>第二节</w:t>
            </w:r>
          </w:p>
          <w:p w14:paraId="78CADC36">
            <w:pPr>
              <w:jc w:val="center"/>
              <w:rPr>
                <w:rFonts w:ascii="宋体" w:hAnsi="宋体"/>
                <w:color w:val="auto"/>
                <w:sz w:val="24"/>
                <w:highlight w:val="none"/>
              </w:rPr>
            </w:pPr>
            <w:r>
              <w:rPr>
                <w:rFonts w:hint="eastAsia" w:ascii="宋体" w:hAnsi="宋体"/>
                <w:color w:val="auto"/>
                <w:sz w:val="24"/>
                <w:highlight w:val="none"/>
              </w:rPr>
              <w:t>第7.2款</w:t>
            </w:r>
          </w:p>
        </w:tc>
        <w:tc>
          <w:tcPr>
            <w:tcW w:w="1789" w:type="dxa"/>
            <w:vAlign w:val="center"/>
          </w:tcPr>
          <w:p w14:paraId="219497D4">
            <w:pPr>
              <w:jc w:val="left"/>
              <w:rPr>
                <w:rFonts w:ascii="宋体" w:hAnsi="宋体"/>
                <w:color w:val="auto"/>
                <w:sz w:val="24"/>
                <w:highlight w:val="none"/>
              </w:rPr>
            </w:pPr>
            <w:r>
              <w:rPr>
                <w:rFonts w:hint="eastAsia" w:ascii="宋体" w:hAnsi="宋体"/>
                <w:color w:val="auto"/>
                <w:sz w:val="24"/>
                <w:highlight w:val="none"/>
              </w:rPr>
              <w:t>运输特殊要求</w:t>
            </w:r>
          </w:p>
        </w:tc>
        <w:tc>
          <w:tcPr>
            <w:tcW w:w="5170" w:type="dxa"/>
            <w:vAlign w:val="center"/>
          </w:tcPr>
          <w:p w14:paraId="0515B38B">
            <w:pPr>
              <w:rPr>
                <w:color w:val="auto"/>
                <w:sz w:val="24"/>
                <w:highlight w:val="none"/>
              </w:rPr>
            </w:pPr>
            <w:r>
              <w:rPr>
                <w:rFonts w:hint="eastAsia"/>
                <w:color w:val="auto"/>
                <w:sz w:val="24"/>
                <w:highlight w:val="none"/>
              </w:rPr>
              <w:t>1.货物验收合格、交付使用并提供所需单据的日期视为交货日期。</w:t>
            </w:r>
          </w:p>
          <w:p w14:paraId="17CCE184">
            <w:pPr>
              <w:pStyle w:val="22"/>
              <w:ind w:firstLine="0" w:firstLineChars="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2.乙方在货物发运手续办理完毕后24小时内或货到48小时前通知甲方，以准备接货。（具体时间根据双方实际需求调整）</w:t>
            </w:r>
          </w:p>
          <w:p w14:paraId="1696F27B">
            <w:pPr>
              <w:rPr>
                <w:color w:val="auto"/>
                <w:sz w:val="24"/>
                <w:highlight w:val="none"/>
              </w:rPr>
            </w:pPr>
            <w:r>
              <w:rPr>
                <w:rFonts w:hint="eastAsia"/>
                <w:color w:val="auto"/>
                <w:sz w:val="24"/>
                <w:highlight w:val="none"/>
              </w:rPr>
              <w:t>3.乙方装运的货物不应超过合同规定的数量或重量。乙方应对超交数量或超重而产生的一切后果负责。</w:t>
            </w:r>
          </w:p>
          <w:p w14:paraId="1A0017D8">
            <w:pPr>
              <w:pStyle w:val="22"/>
              <w:ind w:firstLine="0" w:firstLineChars="0"/>
              <w:rPr>
                <w:color w:val="auto"/>
                <w:highlight w:val="none"/>
              </w:rPr>
            </w:pPr>
            <w:r>
              <w:rPr>
                <w:rFonts w:hint="eastAsia" w:ascii="Times New Roman" w:hAnsi="Times New Roman" w:eastAsia="宋体" w:cs="Times New Roman"/>
                <w:color w:val="auto"/>
                <w:sz w:val="24"/>
                <w:szCs w:val="24"/>
                <w:highlight w:val="none"/>
              </w:rPr>
              <w:t>4.货物在交付甲方前发生的风险均由乙方负责。</w:t>
            </w:r>
          </w:p>
        </w:tc>
      </w:tr>
      <w:tr w14:paraId="044F7A3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560" w:type="dxa"/>
            <w:vAlign w:val="center"/>
          </w:tcPr>
          <w:p w14:paraId="7D613690">
            <w:pPr>
              <w:jc w:val="center"/>
              <w:rPr>
                <w:rFonts w:ascii="宋体" w:hAnsi="宋体"/>
                <w:color w:val="auto"/>
                <w:sz w:val="24"/>
                <w:highlight w:val="none"/>
              </w:rPr>
            </w:pPr>
            <w:r>
              <w:rPr>
                <w:rFonts w:hint="eastAsia" w:ascii="宋体" w:hAnsi="宋体"/>
                <w:color w:val="auto"/>
                <w:sz w:val="24"/>
                <w:highlight w:val="none"/>
              </w:rPr>
              <w:t>第二节</w:t>
            </w:r>
          </w:p>
          <w:p w14:paraId="7A5B40AF">
            <w:pPr>
              <w:jc w:val="center"/>
              <w:rPr>
                <w:rFonts w:ascii="宋体" w:hAnsi="宋体"/>
                <w:color w:val="auto"/>
                <w:sz w:val="24"/>
                <w:highlight w:val="none"/>
              </w:rPr>
            </w:pPr>
            <w:r>
              <w:rPr>
                <w:rFonts w:hint="eastAsia" w:ascii="宋体" w:hAnsi="宋体"/>
                <w:color w:val="auto"/>
                <w:sz w:val="24"/>
                <w:highlight w:val="none"/>
              </w:rPr>
              <w:t>第7.3款</w:t>
            </w:r>
          </w:p>
        </w:tc>
        <w:tc>
          <w:tcPr>
            <w:tcW w:w="1789" w:type="dxa"/>
            <w:vAlign w:val="center"/>
          </w:tcPr>
          <w:p w14:paraId="44B2FCB7">
            <w:pPr>
              <w:jc w:val="left"/>
              <w:rPr>
                <w:rFonts w:ascii="宋体" w:hAnsi="宋体"/>
                <w:color w:val="auto"/>
                <w:sz w:val="24"/>
                <w:highlight w:val="none"/>
              </w:rPr>
            </w:pPr>
            <w:r>
              <w:rPr>
                <w:rFonts w:hint="eastAsia" w:ascii="宋体" w:hAnsi="宋体"/>
                <w:color w:val="auto"/>
                <w:sz w:val="24"/>
                <w:highlight w:val="none"/>
              </w:rPr>
              <w:t>保险要求</w:t>
            </w:r>
          </w:p>
        </w:tc>
        <w:tc>
          <w:tcPr>
            <w:tcW w:w="5170" w:type="dxa"/>
            <w:vAlign w:val="center"/>
          </w:tcPr>
          <w:p w14:paraId="3C5BF4A3">
            <w:pPr>
              <w:rPr>
                <w:color w:val="auto"/>
                <w:sz w:val="24"/>
                <w:highlight w:val="none"/>
              </w:rPr>
            </w:pPr>
            <w:r>
              <w:rPr>
                <w:color w:val="auto"/>
                <w:sz w:val="24"/>
                <w:highlight w:val="none"/>
              </w:rPr>
              <w:t>货物交货前由乙方承担保险义务</w:t>
            </w:r>
          </w:p>
        </w:tc>
      </w:tr>
      <w:tr w14:paraId="7CF1074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744F526A">
            <w:pPr>
              <w:jc w:val="center"/>
              <w:rPr>
                <w:rFonts w:ascii="宋体" w:hAnsi="宋体"/>
                <w:color w:val="auto"/>
                <w:sz w:val="24"/>
                <w:highlight w:val="none"/>
              </w:rPr>
            </w:pPr>
            <w:r>
              <w:rPr>
                <w:rFonts w:hint="eastAsia" w:ascii="宋体" w:hAnsi="宋体"/>
                <w:color w:val="auto"/>
                <w:sz w:val="24"/>
                <w:highlight w:val="none"/>
              </w:rPr>
              <w:t>第二节</w:t>
            </w:r>
          </w:p>
          <w:p w14:paraId="202C63ED">
            <w:pPr>
              <w:jc w:val="center"/>
              <w:rPr>
                <w:rFonts w:ascii="宋体" w:hAnsi="宋体"/>
                <w:color w:val="auto"/>
                <w:sz w:val="24"/>
                <w:highlight w:val="none"/>
              </w:rPr>
            </w:pPr>
            <w:r>
              <w:rPr>
                <w:rFonts w:hint="eastAsia" w:ascii="宋体" w:hAnsi="宋体"/>
                <w:color w:val="auto"/>
                <w:sz w:val="24"/>
                <w:highlight w:val="none"/>
              </w:rPr>
              <w:t>第8.2（1）项</w:t>
            </w:r>
          </w:p>
        </w:tc>
        <w:tc>
          <w:tcPr>
            <w:tcW w:w="1789" w:type="dxa"/>
            <w:vAlign w:val="center"/>
          </w:tcPr>
          <w:p w14:paraId="79F4F12B">
            <w:pPr>
              <w:jc w:val="left"/>
              <w:rPr>
                <w:rFonts w:ascii="宋体" w:hAnsi="宋体"/>
                <w:color w:val="auto"/>
                <w:sz w:val="24"/>
                <w:highlight w:val="none"/>
              </w:rPr>
            </w:pPr>
            <w:r>
              <w:rPr>
                <w:rFonts w:hint="eastAsia" w:ascii="宋体" w:hAnsi="宋体"/>
                <w:color w:val="auto"/>
                <w:sz w:val="24"/>
                <w:highlight w:val="none"/>
              </w:rPr>
              <w:t>质量保证期</w:t>
            </w:r>
          </w:p>
        </w:tc>
        <w:tc>
          <w:tcPr>
            <w:tcW w:w="5170" w:type="dxa"/>
            <w:vAlign w:val="center"/>
          </w:tcPr>
          <w:p w14:paraId="21098557">
            <w:pPr>
              <w:pStyle w:val="13"/>
              <w:spacing w:before="120" w:beforeAutospacing="0" w:after="120" w:afterAutospacing="0"/>
              <w:ind w:left="480" w:hanging="480"/>
              <w:jc w:val="both"/>
              <w:rPr>
                <w:rFonts w:ascii="宋体" w:hAnsi="宋体"/>
                <w:color w:val="auto"/>
                <w:highlight w:val="none"/>
              </w:rPr>
            </w:pPr>
            <w:r>
              <w:rPr>
                <w:rFonts w:hint="eastAsia" w:ascii="宋体" w:hAnsi="宋体"/>
                <w:color w:val="auto"/>
                <w:highlight w:val="none"/>
              </w:rPr>
              <w:t>1.货物免费质保期</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2</w:t>
            </w:r>
            <w:r>
              <w:rPr>
                <w:rFonts w:hint="eastAsia" w:ascii="宋体" w:hAnsi="宋体"/>
                <w:color w:val="auto"/>
                <w:highlight w:val="none"/>
                <w:u w:val="single"/>
              </w:rPr>
              <w:t xml:space="preserve">  年</w:t>
            </w:r>
            <w:r>
              <w:rPr>
                <w:rFonts w:hint="eastAsia" w:ascii="宋体" w:hAnsi="宋体"/>
                <w:color w:val="auto"/>
                <w:highlight w:val="none"/>
              </w:rPr>
              <w:t>。（</w:t>
            </w:r>
            <w:r>
              <w:rPr>
                <w:rFonts w:hint="eastAsia" w:ascii="宋体" w:hAnsi="宋体" w:cs="宋体"/>
                <w:color w:val="auto"/>
                <w:highlight w:val="none"/>
              </w:rPr>
              <w:t>自交货验收合格之日起计），因人为因素出现的故障不在免费保修范围内。超过保修期的机器设备，</w:t>
            </w:r>
            <w:r>
              <w:rPr>
                <w:rFonts w:hint="eastAsia" w:ascii="宋体" w:hAnsi="宋体" w:cs="宋体"/>
                <w:color w:val="auto"/>
                <w:highlight w:val="none"/>
                <w:lang w:eastAsia="zh-CN"/>
              </w:rPr>
              <w:t>终身维修</w:t>
            </w:r>
            <w:r>
              <w:rPr>
                <w:rFonts w:hint="eastAsia" w:ascii="宋体" w:hAnsi="宋体" w:cs="宋体"/>
                <w:color w:val="auto"/>
                <w:highlight w:val="none"/>
              </w:rPr>
              <w:t>，维修时只收部件成本费。</w:t>
            </w:r>
          </w:p>
        </w:tc>
      </w:tr>
      <w:tr w14:paraId="2D9B779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45EEE9D2">
            <w:pPr>
              <w:jc w:val="center"/>
              <w:rPr>
                <w:rFonts w:ascii="宋体" w:hAnsi="宋体"/>
                <w:color w:val="auto"/>
                <w:sz w:val="24"/>
                <w:highlight w:val="none"/>
              </w:rPr>
            </w:pPr>
            <w:r>
              <w:rPr>
                <w:rFonts w:hint="eastAsia" w:ascii="宋体" w:hAnsi="宋体"/>
                <w:color w:val="auto"/>
                <w:sz w:val="24"/>
                <w:highlight w:val="none"/>
              </w:rPr>
              <w:t>第二节</w:t>
            </w:r>
          </w:p>
          <w:p w14:paraId="3052B450">
            <w:pPr>
              <w:jc w:val="center"/>
              <w:rPr>
                <w:rFonts w:ascii="宋体" w:hAnsi="宋体"/>
                <w:color w:val="auto"/>
                <w:sz w:val="24"/>
                <w:highlight w:val="none"/>
              </w:rPr>
            </w:pPr>
            <w:r>
              <w:rPr>
                <w:rFonts w:hint="eastAsia" w:ascii="宋体" w:hAnsi="宋体"/>
                <w:color w:val="auto"/>
                <w:sz w:val="24"/>
                <w:highlight w:val="none"/>
              </w:rPr>
              <w:t>第8.2（3）项</w:t>
            </w:r>
          </w:p>
        </w:tc>
        <w:tc>
          <w:tcPr>
            <w:tcW w:w="1789" w:type="dxa"/>
            <w:vAlign w:val="center"/>
          </w:tcPr>
          <w:p w14:paraId="46DF8A88">
            <w:pPr>
              <w:jc w:val="left"/>
              <w:rPr>
                <w:rFonts w:ascii="宋体" w:hAnsi="宋体"/>
                <w:color w:val="auto"/>
                <w:sz w:val="24"/>
                <w:highlight w:val="none"/>
              </w:rPr>
            </w:pPr>
            <w:r>
              <w:rPr>
                <w:rFonts w:hint="eastAsia" w:ascii="宋体" w:hAnsi="宋体"/>
                <w:color w:val="auto"/>
                <w:sz w:val="24"/>
                <w:highlight w:val="none"/>
              </w:rPr>
              <w:t>货物质量缺陷</w:t>
            </w:r>
          </w:p>
          <w:p w14:paraId="4CBE7BCC">
            <w:pPr>
              <w:jc w:val="left"/>
              <w:rPr>
                <w:rFonts w:ascii="宋体" w:hAnsi="宋体"/>
                <w:color w:val="auto"/>
                <w:sz w:val="24"/>
                <w:highlight w:val="none"/>
              </w:rPr>
            </w:pPr>
            <w:r>
              <w:rPr>
                <w:rFonts w:hint="eastAsia" w:ascii="宋体" w:hAnsi="宋体"/>
                <w:color w:val="auto"/>
                <w:sz w:val="24"/>
                <w:highlight w:val="none"/>
              </w:rPr>
              <w:t>响应时间</w:t>
            </w:r>
          </w:p>
        </w:tc>
        <w:tc>
          <w:tcPr>
            <w:tcW w:w="5170" w:type="dxa"/>
            <w:vAlign w:val="center"/>
          </w:tcPr>
          <w:p w14:paraId="3A7F94AE">
            <w:pPr>
              <w:jc w:val="left"/>
              <w:rPr>
                <w:rFonts w:ascii="宋体" w:hAnsi="宋体"/>
                <w:color w:val="auto"/>
                <w:sz w:val="24"/>
                <w:highlight w:val="none"/>
              </w:rPr>
            </w:pPr>
            <w:r>
              <w:rPr>
                <w:rFonts w:hint="eastAsia" w:ascii="宋体" w:hAnsi="宋体"/>
                <w:color w:val="auto"/>
                <w:sz w:val="24"/>
                <w:highlight w:val="none"/>
              </w:rPr>
              <w:t xml:space="preserve"> 如在使用过程中发生质量问题，乙方在接到甲方通知后在____</w:t>
            </w:r>
            <w:r>
              <w:rPr>
                <w:rFonts w:hint="eastAsia" w:ascii="宋体" w:hAnsi="宋体"/>
                <w:color w:val="auto"/>
                <w:sz w:val="24"/>
                <w:highlight w:val="none"/>
                <w:lang w:val="en-US" w:eastAsia="zh-CN"/>
              </w:rPr>
              <w:t>24</w:t>
            </w:r>
            <w:r>
              <w:rPr>
                <w:rFonts w:hint="eastAsia" w:ascii="宋体" w:hAnsi="宋体"/>
                <w:color w:val="auto"/>
                <w:sz w:val="24"/>
                <w:highlight w:val="none"/>
              </w:rPr>
              <w:t>_____小时内到达甲方现场。</w:t>
            </w:r>
          </w:p>
        </w:tc>
      </w:tr>
      <w:tr w14:paraId="1E83827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66BACB5A">
            <w:pPr>
              <w:jc w:val="center"/>
              <w:rPr>
                <w:rFonts w:ascii="宋体" w:hAnsi="宋体"/>
                <w:color w:val="auto"/>
                <w:sz w:val="24"/>
                <w:highlight w:val="none"/>
              </w:rPr>
            </w:pPr>
            <w:r>
              <w:rPr>
                <w:rFonts w:hint="eastAsia" w:ascii="宋体" w:hAnsi="宋体"/>
                <w:color w:val="auto"/>
                <w:sz w:val="24"/>
                <w:highlight w:val="none"/>
              </w:rPr>
              <w:t>第二节</w:t>
            </w:r>
          </w:p>
          <w:p w14:paraId="39F1BBB4">
            <w:pPr>
              <w:jc w:val="center"/>
              <w:rPr>
                <w:rFonts w:hint="eastAsia" w:ascii="宋体" w:hAnsi="宋体"/>
                <w:color w:val="auto"/>
                <w:sz w:val="24"/>
                <w:highlight w:val="none"/>
              </w:rPr>
            </w:pPr>
            <w:r>
              <w:rPr>
                <w:rFonts w:hint="eastAsia" w:ascii="宋体" w:hAnsi="宋体"/>
                <w:color w:val="auto"/>
                <w:sz w:val="24"/>
                <w:highlight w:val="none"/>
              </w:rPr>
              <w:t>第8款补充</w:t>
            </w:r>
          </w:p>
        </w:tc>
        <w:tc>
          <w:tcPr>
            <w:tcW w:w="1789" w:type="dxa"/>
            <w:vAlign w:val="center"/>
          </w:tcPr>
          <w:p w14:paraId="1A517538">
            <w:pPr>
              <w:jc w:val="left"/>
              <w:rPr>
                <w:rFonts w:hint="eastAsia" w:ascii="宋体" w:hAnsi="宋体"/>
                <w:color w:val="auto"/>
                <w:sz w:val="24"/>
                <w:highlight w:val="none"/>
              </w:rPr>
            </w:pPr>
            <w:r>
              <w:rPr>
                <w:rFonts w:hint="eastAsia" w:ascii="宋体" w:hAnsi="宋体"/>
                <w:color w:val="auto"/>
                <w:sz w:val="24"/>
                <w:highlight w:val="none"/>
              </w:rPr>
              <w:t>质量保证要求</w:t>
            </w:r>
          </w:p>
        </w:tc>
        <w:tc>
          <w:tcPr>
            <w:tcW w:w="5170" w:type="dxa"/>
            <w:vAlign w:val="center"/>
          </w:tcPr>
          <w:p w14:paraId="31C08464">
            <w:pPr>
              <w:jc w:val="left"/>
              <w:rPr>
                <w:rFonts w:ascii="宋体" w:hAnsi="宋体"/>
                <w:color w:val="auto"/>
                <w:sz w:val="24"/>
                <w:highlight w:val="none"/>
              </w:rPr>
            </w:pPr>
            <w:r>
              <w:rPr>
                <w:rFonts w:hint="eastAsia" w:ascii="宋体" w:hAnsi="宋体"/>
                <w:color w:val="auto"/>
                <w:sz w:val="24"/>
                <w:highlight w:val="none"/>
              </w:rPr>
              <w:t>1. 在质保期内，乙方应对货物出现的质量及安全问题负责处理解决并承担一切费用（因甲方不当使用的除外）。</w:t>
            </w:r>
          </w:p>
          <w:p w14:paraId="524D7A5B">
            <w:pPr>
              <w:jc w:val="left"/>
              <w:rPr>
                <w:rFonts w:ascii="宋体" w:hAnsi="宋体"/>
                <w:color w:val="auto"/>
                <w:sz w:val="24"/>
                <w:highlight w:val="none"/>
              </w:rPr>
            </w:pPr>
            <w:r>
              <w:rPr>
                <w:rFonts w:hint="eastAsia" w:ascii="宋体" w:hAnsi="宋体"/>
                <w:color w:val="auto"/>
                <w:sz w:val="24"/>
                <w:highlight w:val="none"/>
              </w:rPr>
              <w:t>2.乙方应按照国家有关法律法规规章和“三包”规定以及招标文件售后服务要求及投标文件售后服务承诺提供售后服务。</w:t>
            </w:r>
          </w:p>
          <w:p w14:paraId="4BB0B482">
            <w:pPr>
              <w:jc w:val="left"/>
              <w:rPr>
                <w:rFonts w:ascii="宋体" w:hAnsi="宋体"/>
                <w:color w:val="auto"/>
                <w:sz w:val="24"/>
                <w:highlight w:val="none"/>
              </w:rPr>
            </w:pPr>
            <w:r>
              <w:rPr>
                <w:rFonts w:hint="eastAsia" w:ascii="宋体" w:hAnsi="宋体"/>
                <w:color w:val="auto"/>
                <w:sz w:val="24"/>
                <w:highlight w:val="none"/>
              </w:rPr>
              <w:t>3.所有货物保修服务方式均为乙方上门保修，由乙方派员到货物使用现场维修，所产生的一切费用由乙方承担（双方视项目情况调整）。</w:t>
            </w:r>
          </w:p>
          <w:p w14:paraId="5CE8BCDA">
            <w:pPr>
              <w:jc w:val="left"/>
              <w:rPr>
                <w:rFonts w:ascii="宋体" w:hAnsi="宋体"/>
                <w:color w:val="auto"/>
                <w:sz w:val="24"/>
                <w:highlight w:val="none"/>
              </w:rPr>
            </w:pPr>
            <w:r>
              <w:rPr>
                <w:rFonts w:hint="eastAsia" w:ascii="宋体" w:hAnsi="宋体"/>
                <w:color w:val="auto"/>
                <w:sz w:val="24"/>
                <w:highlight w:val="none"/>
              </w:rPr>
              <w:t>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p>
          <w:p w14:paraId="26B1960C">
            <w:pPr>
              <w:jc w:val="left"/>
              <w:rPr>
                <w:rFonts w:ascii="宋体" w:hAnsi="宋体"/>
                <w:color w:val="auto"/>
                <w:sz w:val="24"/>
                <w:highlight w:val="none"/>
              </w:rPr>
            </w:pPr>
            <w:r>
              <w:rPr>
                <w:rFonts w:hint="eastAsia" w:ascii="宋体" w:hAnsi="宋体"/>
                <w:color w:val="auto"/>
                <w:sz w:val="24"/>
                <w:highlight w:val="none"/>
              </w:rPr>
              <w:t>5.甲方有权对乙方进行飞行检查，如果发现任何问题乙方必须无条件返工，甚至可以终止合同，乙方需赔偿甲方因此而造成的所有损失，飞行检查过程中发生的食宿、交通等费用由甲方自行承担。</w:t>
            </w:r>
          </w:p>
          <w:p w14:paraId="1FD7EAAC">
            <w:pPr>
              <w:jc w:val="left"/>
              <w:rPr>
                <w:rFonts w:ascii="宋体" w:hAnsi="宋体"/>
                <w:color w:val="auto"/>
                <w:sz w:val="24"/>
                <w:highlight w:val="none"/>
              </w:rPr>
            </w:pPr>
            <w:r>
              <w:rPr>
                <w:rFonts w:hint="eastAsia" w:ascii="宋体" w:hAnsi="宋体"/>
                <w:color w:val="auto"/>
                <w:sz w:val="24"/>
                <w:highlight w:val="none"/>
              </w:rPr>
              <w:t>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p>
          <w:p w14:paraId="509B89F1">
            <w:pPr>
              <w:jc w:val="left"/>
              <w:rPr>
                <w:rFonts w:ascii="宋体" w:hAnsi="宋体"/>
                <w:color w:val="auto"/>
                <w:sz w:val="24"/>
                <w:highlight w:val="none"/>
              </w:rPr>
            </w:pPr>
            <w:r>
              <w:rPr>
                <w:rFonts w:hint="eastAsia" w:ascii="宋体" w:hAnsi="宋体"/>
                <w:color w:val="auto"/>
                <w:sz w:val="24"/>
                <w:highlight w:val="none"/>
              </w:rPr>
              <w:t>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p>
          <w:p w14:paraId="4179534A">
            <w:pPr>
              <w:pStyle w:val="13"/>
              <w:spacing w:before="120" w:beforeAutospacing="0" w:after="120" w:afterAutospacing="0"/>
              <w:ind w:left="480" w:hanging="480"/>
              <w:rPr>
                <w:rFonts w:hint="eastAsia" w:ascii="宋体" w:hAnsi="宋体"/>
                <w:color w:val="auto"/>
                <w:highlight w:val="none"/>
              </w:rPr>
            </w:pPr>
            <w:r>
              <w:rPr>
                <w:rFonts w:hint="eastAsia" w:ascii="宋体" w:hAnsi="宋体"/>
                <w:color w:val="auto"/>
                <w:highlight w:val="none"/>
              </w:rPr>
              <w:t>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p>
        </w:tc>
      </w:tr>
      <w:tr w14:paraId="345A406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1A9B3C97">
            <w:pPr>
              <w:jc w:val="center"/>
              <w:rPr>
                <w:rFonts w:ascii="宋体" w:hAnsi="宋体" w:cs="宋体"/>
                <w:color w:val="auto"/>
                <w:sz w:val="24"/>
                <w:highlight w:val="none"/>
              </w:rPr>
            </w:pPr>
            <w:r>
              <w:rPr>
                <w:rFonts w:hint="eastAsia" w:ascii="宋体" w:hAnsi="宋体" w:cs="宋体"/>
                <w:color w:val="auto"/>
                <w:sz w:val="24"/>
                <w:highlight w:val="none"/>
              </w:rPr>
              <w:t>第二节</w:t>
            </w:r>
          </w:p>
          <w:p w14:paraId="7B10B658">
            <w:pPr>
              <w:widowControl/>
              <w:spacing w:line="400" w:lineRule="exact"/>
              <w:jc w:val="center"/>
              <w:rPr>
                <w:rFonts w:ascii="华文楷体" w:hAnsi="华文楷体" w:eastAsia="华文楷体" w:cs="华文楷体"/>
                <w:color w:val="auto"/>
                <w:sz w:val="24"/>
                <w:highlight w:val="none"/>
              </w:rPr>
            </w:pPr>
            <w:r>
              <w:rPr>
                <w:rFonts w:hint="eastAsia" w:ascii="宋体" w:hAnsi="宋体" w:cs="宋体"/>
                <w:color w:val="auto"/>
                <w:sz w:val="24"/>
                <w:highlight w:val="none"/>
              </w:rPr>
              <w:t>第11.1款</w:t>
            </w:r>
          </w:p>
        </w:tc>
        <w:tc>
          <w:tcPr>
            <w:tcW w:w="1789" w:type="dxa"/>
            <w:vAlign w:val="center"/>
          </w:tcPr>
          <w:p w14:paraId="00FD09DD">
            <w:pPr>
              <w:rPr>
                <w:rFonts w:ascii="宋体" w:hAnsi="宋体"/>
                <w:color w:val="auto"/>
                <w:sz w:val="24"/>
                <w:highlight w:val="none"/>
              </w:rPr>
            </w:pPr>
            <w:r>
              <w:rPr>
                <w:rFonts w:hint="eastAsia" w:ascii="宋体" w:hAnsi="宋体"/>
                <w:color w:val="auto"/>
                <w:sz w:val="24"/>
                <w:highlight w:val="none"/>
              </w:rPr>
              <w:t>其他应当保密的信息</w:t>
            </w:r>
          </w:p>
        </w:tc>
        <w:tc>
          <w:tcPr>
            <w:tcW w:w="5170" w:type="dxa"/>
            <w:vAlign w:val="center"/>
          </w:tcPr>
          <w:p w14:paraId="504D1F4A">
            <w:pPr>
              <w:jc w:val="left"/>
              <w:rPr>
                <w:rFonts w:ascii="宋体" w:hAnsi="宋体"/>
                <w:color w:val="auto"/>
                <w:sz w:val="24"/>
                <w:highlight w:val="none"/>
              </w:rPr>
            </w:pPr>
          </w:p>
        </w:tc>
      </w:tr>
      <w:tr w14:paraId="3FD6EC7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560" w:type="dxa"/>
            <w:vAlign w:val="center"/>
          </w:tcPr>
          <w:p w14:paraId="49353B73">
            <w:pPr>
              <w:jc w:val="center"/>
              <w:rPr>
                <w:rFonts w:ascii="宋体" w:hAnsi="宋体"/>
                <w:color w:val="auto"/>
                <w:sz w:val="24"/>
                <w:highlight w:val="none"/>
              </w:rPr>
            </w:pPr>
            <w:r>
              <w:rPr>
                <w:rFonts w:hint="eastAsia" w:ascii="宋体" w:hAnsi="宋体"/>
                <w:color w:val="auto"/>
                <w:sz w:val="24"/>
                <w:highlight w:val="none"/>
              </w:rPr>
              <w:t>第二节</w:t>
            </w:r>
          </w:p>
          <w:p w14:paraId="1142D4C7">
            <w:pPr>
              <w:jc w:val="center"/>
              <w:rPr>
                <w:rFonts w:ascii="宋体" w:hAnsi="宋体"/>
                <w:color w:val="auto"/>
                <w:sz w:val="24"/>
                <w:highlight w:val="none"/>
              </w:rPr>
            </w:pPr>
            <w:r>
              <w:rPr>
                <w:rFonts w:hint="eastAsia" w:ascii="宋体" w:hAnsi="宋体"/>
                <w:color w:val="auto"/>
                <w:sz w:val="24"/>
                <w:highlight w:val="none"/>
              </w:rPr>
              <w:t>第12.2款</w:t>
            </w:r>
          </w:p>
        </w:tc>
        <w:tc>
          <w:tcPr>
            <w:tcW w:w="1789" w:type="dxa"/>
            <w:vAlign w:val="center"/>
          </w:tcPr>
          <w:p w14:paraId="12878051">
            <w:pPr>
              <w:jc w:val="left"/>
              <w:rPr>
                <w:rFonts w:ascii="宋体" w:hAnsi="宋体"/>
                <w:color w:val="auto"/>
                <w:sz w:val="24"/>
                <w:highlight w:val="none"/>
              </w:rPr>
            </w:pPr>
            <w:r>
              <w:rPr>
                <w:rFonts w:hint="eastAsia" w:ascii="宋体" w:hAnsi="宋体"/>
                <w:color w:val="auto"/>
                <w:sz w:val="24"/>
                <w:highlight w:val="none"/>
              </w:rPr>
              <w:t>合同价款支付时间及要求</w:t>
            </w:r>
          </w:p>
        </w:tc>
        <w:tc>
          <w:tcPr>
            <w:tcW w:w="5170" w:type="dxa"/>
            <w:vAlign w:val="center"/>
          </w:tcPr>
          <w:p w14:paraId="13E53E35">
            <w:pPr>
              <w:jc w:val="left"/>
              <w:rPr>
                <w:rFonts w:ascii="宋体" w:hAnsi="宋体"/>
                <w:color w:val="auto"/>
                <w:sz w:val="24"/>
                <w:highlight w:val="yellow"/>
              </w:rPr>
            </w:pPr>
            <w:r>
              <w:rPr>
                <w:rFonts w:hint="eastAsia" w:ascii="宋体" w:hAnsi="宋体"/>
                <w:color w:val="auto"/>
                <w:sz w:val="24"/>
                <w:highlight w:val="yellow"/>
              </w:rPr>
              <w:t>1.合同款项的支付方式及进度安排：</w:t>
            </w:r>
          </w:p>
          <w:p w14:paraId="306ED7F3">
            <w:pPr>
              <w:jc w:val="left"/>
              <w:rPr>
                <w:rFonts w:ascii="宋体" w:hAnsi="宋体"/>
                <w:color w:val="auto"/>
                <w:sz w:val="24"/>
                <w:highlight w:val="yellow"/>
              </w:rPr>
            </w:pPr>
            <w:r>
              <w:rPr>
                <w:rFonts w:hint="eastAsia" w:ascii="宋体" w:hAnsi="宋体"/>
                <w:color w:val="auto"/>
                <w:sz w:val="24"/>
                <w:highlight w:val="yellow"/>
                <w:lang w:eastAsia="zh-CN"/>
              </w:rPr>
              <w:t>（</w:t>
            </w:r>
            <w:r>
              <w:rPr>
                <w:rFonts w:hint="eastAsia" w:ascii="宋体" w:hAnsi="宋体"/>
                <w:color w:val="auto"/>
                <w:sz w:val="24"/>
                <w:highlight w:val="yellow"/>
                <w:lang w:val="en-US" w:eastAsia="zh-CN"/>
              </w:rPr>
              <w:t>1</w:t>
            </w:r>
            <w:r>
              <w:rPr>
                <w:rFonts w:hint="eastAsia" w:ascii="宋体" w:hAnsi="宋体"/>
                <w:color w:val="auto"/>
                <w:sz w:val="24"/>
                <w:highlight w:val="yellow"/>
                <w:lang w:eastAsia="zh-CN"/>
              </w:rPr>
              <w:t>）</w:t>
            </w:r>
            <w:r>
              <w:rPr>
                <w:rFonts w:hint="eastAsia" w:ascii="宋体" w:hAnsi="宋体"/>
                <w:color w:val="auto"/>
                <w:sz w:val="24"/>
                <w:highlight w:val="yellow"/>
              </w:rPr>
              <w:t>自合同签订生效之日起，收到乙方发票10个工作日内，甲方向乙方支付合同总价的__</w:t>
            </w:r>
            <w:r>
              <w:rPr>
                <w:rFonts w:hint="eastAsia" w:ascii="宋体" w:hAnsi="宋体"/>
                <w:color w:val="auto"/>
                <w:sz w:val="24"/>
                <w:highlight w:val="yellow"/>
                <w:lang w:val="en-US" w:eastAsia="zh-CN"/>
              </w:rPr>
              <w:t>30%</w:t>
            </w:r>
            <w:r>
              <w:rPr>
                <w:rFonts w:hint="eastAsia" w:ascii="宋体" w:hAnsi="宋体"/>
                <w:color w:val="auto"/>
                <w:sz w:val="24"/>
                <w:highlight w:val="yellow"/>
              </w:rPr>
              <w:t>__款项作为预付款；</w:t>
            </w:r>
          </w:p>
          <w:p w14:paraId="0C07FCB0">
            <w:pPr>
              <w:jc w:val="left"/>
              <w:rPr>
                <w:rFonts w:ascii="宋体" w:hAnsi="宋体"/>
                <w:color w:val="auto"/>
                <w:sz w:val="24"/>
                <w:highlight w:val="yellow"/>
              </w:rPr>
            </w:pPr>
            <w:r>
              <w:rPr>
                <w:rFonts w:hint="eastAsia" w:ascii="宋体" w:hAnsi="宋体"/>
                <w:color w:val="auto"/>
                <w:sz w:val="24"/>
                <w:highlight w:val="yellow"/>
                <w:lang w:eastAsia="zh-CN"/>
              </w:rPr>
              <w:t>（</w:t>
            </w:r>
            <w:r>
              <w:rPr>
                <w:rFonts w:hint="eastAsia" w:ascii="宋体" w:hAnsi="宋体"/>
                <w:color w:val="auto"/>
                <w:sz w:val="24"/>
                <w:highlight w:val="yellow"/>
                <w:lang w:val="en-US" w:eastAsia="zh-CN"/>
              </w:rPr>
              <w:t>2</w:t>
            </w:r>
            <w:r>
              <w:rPr>
                <w:rFonts w:hint="eastAsia" w:ascii="宋体" w:hAnsi="宋体"/>
                <w:color w:val="auto"/>
                <w:sz w:val="24"/>
                <w:highlight w:val="yellow"/>
                <w:lang w:eastAsia="zh-CN"/>
              </w:rPr>
              <w:t>）</w:t>
            </w:r>
            <w:r>
              <w:rPr>
                <w:rFonts w:hint="eastAsia" w:ascii="宋体" w:hAnsi="宋体"/>
                <w:color w:val="auto"/>
                <w:sz w:val="24"/>
                <w:highlight w:val="yellow"/>
              </w:rPr>
              <w:t>初步验收合格且项目运行满___</w:t>
            </w:r>
            <w:r>
              <w:rPr>
                <w:rFonts w:hint="eastAsia" w:ascii="宋体" w:hAnsi="宋体"/>
                <w:color w:val="auto"/>
                <w:sz w:val="24"/>
                <w:highlight w:val="yellow"/>
                <w:lang w:val="en-US" w:eastAsia="zh-CN"/>
              </w:rPr>
              <w:t>1</w:t>
            </w:r>
            <w:r>
              <w:rPr>
                <w:rFonts w:hint="eastAsia" w:ascii="宋体" w:hAnsi="宋体"/>
                <w:color w:val="auto"/>
                <w:sz w:val="24"/>
                <w:highlight w:val="yellow"/>
              </w:rPr>
              <w:t>_个月后，甲方组织最终验收，最终验收合格后收到乙方发票10个工作日内甲方付</w:t>
            </w:r>
            <w:r>
              <w:rPr>
                <w:rFonts w:hint="eastAsia" w:ascii="宋体" w:hAnsi="宋体"/>
                <w:color w:val="auto"/>
                <w:sz w:val="24"/>
                <w:highlight w:val="yellow"/>
                <w:lang w:val="en-US" w:eastAsia="zh-CN"/>
              </w:rPr>
              <w:t>50%</w:t>
            </w:r>
            <w:r>
              <w:rPr>
                <w:rFonts w:hint="eastAsia" w:ascii="宋体" w:hAnsi="宋体"/>
                <w:color w:val="auto"/>
                <w:sz w:val="24"/>
                <w:highlight w:val="yellow"/>
              </w:rPr>
              <w:t>货款。</w:t>
            </w:r>
          </w:p>
          <w:p w14:paraId="797EB340">
            <w:pPr>
              <w:jc w:val="left"/>
              <w:rPr>
                <w:color w:val="auto"/>
                <w:highlight w:val="none"/>
              </w:rPr>
            </w:pPr>
            <w:r>
              <w:rPr>
                <w:rFonts w:hint="eastAsia" w:ascii="宋体" w:hAnsi="宋体"/>
                <w:color w:val="auto"/>
                <w:sz w:val="24"/>
                <w:highlight w:val="yellow"/>
                <w:lang w:eastAsia="zh-CN"/>
              </w:rPr>
              <w:t>（</w:t>
            </w:r>
            <w:r>
              <w:rPr>
                <w:rFonts w:hint="eastAsia" w:ascii="宋体" w:hAnsi="宋体"/>
                <w:color w:val="auto"/>
                <w:sz w:val="24"/>
                <w:highlight w:val="yellow"/>
                <w:lang w:val="en-US" w:eastAsia="zh-CN"/>
              </w:rPr>
              <w:t>3</w:t>
            </w:r>
            <w:r>
              <w:rPr>
                <w:rFonts w:hint="eastAsia" w:ascii="宋体" w:hAnsi="宋体"/>
                <w:color w:val="auto"/>
                <w:sz w:val="24"/>
                <w:highlight w:val="yellow"/>
                <w:lang w:eastAsia="zh-CN"/>
              </w:rPr>
              <w:t>）</w:t>
            </w:r>
            <w:r>
              <w:rPr>
                <w:rFonts w:hint="eastAsia" w:ascii="宋体" w:hAnsi="宋体"/>
                <w:color w:val="auto"/>
                <w:sz w:val="24"/>
                <w:highlight w:val="yellow"/>
              </w:rPr>
              <w:t>服务期满</w:t>
            </w:r>
            <w:r>
              <w:rPr>
                <w:rFonts w:hint="eastAsia" w:ascii="宋体" w:hAnsi="宋体"/>
                <w:color w:val="auto"/>
                <w:sz w:val="24"/>
                <w:highlight w:val="yellow"/>
                <w:lang w:val="en-US" w:eastAsia="zh-CN"/>
              </w:rPr>
              <w:t>36</w:t>
            </w:r>
            <w:r>
              <w:rPr>
                <w:rFonts w:hint="eastAsia" w:ascii="宋体" w:hAnsi="宋体"/>
                <w:color w:val="auto"/>
                <w:sz w:val="24"/>
                <w:highlight w:val="yellow"/>
              </w:rPr>
              <w:t>个月后，甲方根据对乙方的考核结果</w:t>
            </w:r>
            <w:r>
              <w:rPr>
                <w:rFonts w:hint="eastAsia" w:ascii="宋体" w:hAnsi="宋体"/>
                <w:color w:val="auto"/>
                <w:sz w:val="24"/>
                <w:highlight w:val="yellow"/>
                <w:lang w:eastAsia="zh-CN"/>
              </w:rPr>
              <w:t>，</w:t>
            </w:r>
            <w:r>
              <w:rPr>
                <w:rFonts w:hint="eastAsia" w:ascii="宋体" w:hAnsi="宋体"/>
                <w:color w:val="auto"/>
                <w:sz w:val="24"/>
                <w:highlight w:val="yellow"/>
                <w:lang w:val="en-US" w:eastAsia="zh-CN"/>
              </w:rPr>
              <w:t>收到发票后待财政资金到账后</w:t>
            </w:r>
            <w:r>
              <w:rPr>
                <w:rFonts w:hint="eastAsia" w:ascii="宋体" w:hAnsi="宋体"/>
                <w:color w:val="auto"/>
                <w:sz w:val="24"/>
                <w:highlight w:val="yellow"/>
              </w:rPr>
              <w:t>结</w:t>
            </w:r>
            <w:r>
              <w:rPr>
                <w:rFonts w:hint="eastAsia" w:ascii="宋体" w:hAnsi="宋体"/>
                <w:color w:val="auto"/>
                <w:sz w:val="24"/>
                <w:highlight w:val="yellow"/>
                <w:lang w:val="en-US" w:eastAsia="zh-CN"/>
              </w:rPr>
              <w:t>清</w:t>
            </w:r>
            <w:r>
              <w:rPr>
                <w:rFonts w:hint="eastAsia" w:ascii="宋体" w:hAnsi="宋体"/>
                <w:color w:val="auto"/>
                <w:sz w:val="24"/>
                <w:highlight w:val="yellow"/>
              </w:rPr>
              <w:t>项目余款</w:t>
            </w:r>
            <w:r>
              <w:rPr>
                <w:rFonts w:hint="eastAsia" w:ascii="宋体" w:hAnsi="宋体"/>
                <w:color w:val="auto"/>
                <w:sz w:val="24"/>
                <w:highlight w:val="yellow"/>
                <w:lang w:eastAsia="zh-CN"/>
              </w:rPr>
              <w:t>。</w:t>
            </w:r>
            <w:r>
              <w:rPr>
                <w:rFonts w:hint="eastAsia" w:ascii="宋体" w:hAnsi="宋体"/>
                <w:color w:val="auto"/>
                <w:sz w:val="24"/>
                <w:highlight w:val="yellow"/>
              </w:rPr>
              <w:t>（具体验收流程双方可视实际情况调整）</w:t>
            </w:r>
          </w:p>
          <w:p w14:paraId="71EDD30D">
            <w:pPr>
              <w:jc w:val="left"/>
              <w:rPr>
                <w:rFonts w:ascii="宋体" w:hAnsi="宋体"/>
                <w:color w:val="auto"/>
                <w:sz w:val="24"/>
                <w:highlight w:val="none"/>
              </w:rPr>
            </w:pPr>
            <w:r>
              <w:rPr>
                <w:rFonts w:hint="eastAsia" w:ascii="宋体" w:hAnsi="宋体"/>
                <w:color w:val="auto"/>
                <w:sz w:val="24"/>
                <w:highlight w:val="none"/>
              </w:rPr>
              <w:t>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p>
          <w:p w14:paraId="23678BB0">
            <w:pPr>
              <w:jc w:val="left"/>
              <w:rPr>
                <w:rFonts w:ascii="宋体" w:hAnsi="宋体"/>
                <w:color w:val="auto"/>
                <w:sz w:val="24"/>
                <w:highlight w:val="none"/>
              </w:rPr>
            </w:pPr>
            <w:r>
              <w:rPr>
                <w:rFonts w:hint="eastAsia" w:ascii="宋体" w:hAnsi="宋体"/>
                <w:color w:val="auto"/>
                <w:sz w:val="24"/>
                <w:highlight w:val="none"/>
              </w:rPr>
              <w:t>(1) 发票；</w:t>
            </w:r>
          </w:p>
          <w:p w14:paraId="5BE5C3BF">
            <w:pPr>
              <w:jc w:val="left"/>
              <w:rPr>
                <w:rFonts w:ascii="宋体" w:hAnsi="宋体"/>
                <w:color w:val="auto"/>
                <w:sz w:val="24"/>
                <w:highlight w:val="none"/>
              </w:rPr>
            </w:pPr>
            <w:r>
              <w:rPr>
                <w:rFonts w:hint="eastAsia" w:ascii="宋体" w:hAnsi="宋体"/>
                <w:color w:val="auto"/>
                <w:sz w:val="24"/>
                <w:highlight w:val="none"/>
              </w:rPr>
              <w:t>(2) 制造厂家出具的质量检验证书等；</w:t>
            </w:r>
          </w:p>
          <w:p w14:paraId="372214A8">
            <w:pPr>
              <w:jc w:val="left"/>
              <w:rPr>
                <w:rFonts w:ascii="宋体" w:hAnsi="宋体"/>
                <w:color w:val="auto"/>
                <w:sz w:val="24"/>
                <w:highlight w:val="none"/>
              </w:rPr>
            </w:pPr>
            <w:r>
              <w:rPr>
                <w:rFonts w:hint="eastAsia" w:ascii="宋体" w:hAnsi="宋体"/>
                <w:color w:val="auto"/>
                <w:sz w:val="24"/>
                <w:highlight w:val="none"/>
              </w:rPr>
              <w:t>(3) 装箱单；</w:t>
            </w:r>
          </w:p>
          <w:p w14:paraId="6AB4C09B">
            <w:pPr>
              <w:jc w:val="left"/>
              <w:rPr>
                <w:color w:val="auto"/>
                <w:sz w:val="24"/>
                <w:highlight w:val="none"/>
              </w:rPr>
            </w:pPr>
            <w:r>
              <w:rPr>
                <w:rFonts w:hint="eastAsia" w:ascii="宋体" w:hAnsi="宋体"/>
                <w:color w:val="auto"/>
                <w:sz w:val="24"/>
                <w:highlight w:val="none"/>
              </w:rPr>
              <w:t>(4) 甲方加盖公章证明交付使用合格的验收单。</w:t>
            </w:r>
          </w:p>
        </w:tc>
      </w:tr>
      <w:tr w14:paraId="3E5D5F0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560" w:type="dxa"/>
            <w:vAlign w:val="center"/>
          </w:tcPr>
          <w:p w14:paraId="1D73A7F9">
            <w:pPr>
              <w:jc w:val="center"/>
              <w:rPr>
                <w:rFonts w:ascii="宋体" w:hAnsi="宋体"/>
                <w:color w:val="auto"/>
                <w:sz w:val="24"/>
                <w:highlight w:val="none"/>
              </w:rPr>
            </w:pPr>
            <w:r>
              <w:rPr>
                <w:rFonts w:hint="eastAsia" w:ascii="宋体" w:hAnsi="宋体"/>
                <w:color w:val="auto"/>
                <w:sz w:val="24"/>
                <w:highlight w:val="none"/>
              </w:rPr>
              <w:t>第二节</w:t>
            </w:r>
          </w:p>
          <w:p w14:paraId="1CEA3991">
            <w:pPr>
              <w:jc w:val="center"/>
              <w:rPr>
                <w:rFonts w:ascii="宋体" w:hAnsi="宋体"/>
                <w:color w:val="auto"/>
                <w:sz w:val="24"/>
                <w:highlight w:val="none"/>
              </w:rPr>
            </w:pPr>
            <w:r>
              <w:rPr>
                <w:rFonts w:hint="eastAsia" w:ascii="宋体" w:hAnsi="宋体"/>
                <w:color w:val="auto"/>
                <w:sz w:val="24"/>
                <w:highlight w:val="none"/>
              </w:rPr>
              <w:t>第13.2款</w:t>
            </w:r>
          </w:p>
        </w:tc>
        <w:tc>
          <w:tcPr>
            <w:tcW w:w="1789" w:type="dxa"/>
            <w:vAlign w:val="center"/>
          </w:tcPr>
          <w:p w14:paraId="1E1F502B">
            <w:pPr>
              <w:jc w:val="left"/>
              <w:rPr>
                <w:rFonts w:ascii="宋体" w:hAnsi="宋体"/>
                <w:color w:val="auto"/>
                <w:sz w:val="24"/>
                <w:highlight w:val="none"/>
              </w:rPr>
            </w:pPr>
            <w:r>
              <w:rPr>
                <w:rFonts w:hint="eastAsia" w:ascii="宋体" w:hAnsi="宋体"/>
                <w:color w:val="auto"/>
                <w:sz w:val="24"/>
                <w:highlight w:val="none"/>
              </w:rPr>
              <w:t>履约保证金不予退还的情形</w:t>
            </w:r>
          </w:p>
        </w:tc>
        <w:tc>
          <w:tcPr>
            <w:tcW w:w="5170" w:type="dxa"/>
            <w:vAlign w:val="center"/>
          </w:tcPr>
          <w:p w14:paraId="09F8BF69">
            <w:pPr>
              <w:spacing w:line="360" w:lineRule="auto"/>
              <w:rPr>
                <w:rFonts w:ascii="宋体" w:hAnsi="宋体" w:cs="宋体"/>
                <w:color w:val="auto"/>
                <w:sz w:val="24"/>
                <w:highlight w:val="none"/>
              </w:rPr>
            </w:pPr>
            <w:r>
              <w:rPr>
                <w:rFonts w:hint="eastAsia" w:ascii="宋体" w:hAnsi="宋体" w:cs="宋体"/>
                <w:color w:val="auto"/>
                <w:sz w:val="24"/>
                <w:highlight w:val="none"/>
              </w:rPr>
              <w:t>除不可抗力情况外，投标人出现下列情形之一的，其履约保证金，招标人将视情节决定不予退还或部分不予退还。</w:t>
            </w:r>
          </w:p>
          <w:p w14:paraId="2FCC0EFE">
            <w:pPr>
              <w:spacing w:line="360" w:lineRule="auto"/>
              <w:rPr>
                <w:rFonts w:ascii="宋体" w:hAnsi="宋体" w:cs="宋体"/>
                <w:color w:val="auto"/>
                <w:sz w:val="24"/>
                <w:highlight w:val="none"/>
              </w:rPr>
            </w:pPr>
            <w:r>
              <w:rPr>
                <w:rFonts w:hint="eastAsia" w:ascii="宋体" w:hAnsi="宋体" w:cs="宋体"/>
                <w:color w:val="auto"/>
                <w:sz w:val="24"/>
                <w:highlight w:val="none"/>
              </w:rPr>
              <w:t>（1）中标人无正当理由拒绝签订合同的，或者在签订合同时向采购人提出附加条件或者更改合同实质性内容要求的；</w:t>
            </w:r>
          </w:p>
          <w:p w14:paraId="6D3E9099">
            <w:pPr>
              <w:spacing w:line="360" w:lineRule="auto"/>
              <w:rPr>
                <w:rFonts w:ascii="宋体" w:hAnsi="宋体" w:cs="宋体"/>
                <w:color w:val="auto"/>
                <w:sz w:val="24"/>
                <w:highlight w:val="none"/>
              </w:rPr>
            </w:pPr>
            <w:r>
              <w:rPr>
                <w:rFonts w:hint="eastAsia" w:ascii="宋体" w:hAnsi="宋体" w:cs="宋体"/>
                <w:color w:val="auto"/>
                <w:sz w:val="24"/>
                <w:highlight w:val="none"/>
              </w:rPr>
              <w:t>（2）中标人不履行与采购人订立的合同的；</w:t>
            </w:r>
          </w:p>
          <w:p w14:paraId="31CDED3C">
            <w:pPr>
              <w:spacing w:line="360" w:lineRule="auto"/>
              <w:rPr>
                <w:rFonts w:ascii="宋体" w:hAnsi="宋体" w:cs="宋体"/>
                <w:color w:val="auto"/>
                <w:sz w:val="24"/>
                <w:highlight w:val="none"/>
              </w:rPr>
            </w:pPr>
            <w:r>
              <w:rPr>
                <w:rFonts w:hint="eastAsia" w:ascii="宋体" w:hAnsi="宋体" w:cs="宋体"/>
                <w:color w:val="auto"/>
                <w:sz w:val="24"/>
                <w:highlight w:val="none"/>
              </w:rPr>
              <w:t>（3）中标人所供货物或服务不符合招标文件规定要求的；</w:t>
            </w:r>
          </w:p>
          <w:p w14:paraId="4584CCC6">
            <w:pPr>
              <w:spacing w:line="360" w:lineRule="auto"/>
              <w:rPr>
                <w:rFonts w:ascii="宋体" w:hAnsi="宋体" w:cs="宋体"/>
                <w:color w:val="auto"/>
                <w:sz w:val="24"/>
                <w:highlight w:val="none"/>
              </w:rPr>
            </w:pPr>
            <w:r>
              <w:rPr>
                <w:rFonts w:hint="eastAsia" w:ascii="宋体" w:hAnsi="宋体" w:cs="宋体"/>
                <w:color w:val="auto"/>
                <w:sz w:val="24"/>
                <w:highlight w:val="none"/>
              </w:rPr>
              <w:t>（4）中标人采取欺骗、弄虚作假方式投标的或与</w:t>
            </w:r>
            <w:r>
              <w:rPr>
                <w:rFonts w:hint="eastAsia" w:ascii="宋体" w:hAnsi="宋体" w:cs="宋体"/>
                <w:color w:val="auto"/>
                <w:sz w:val="24"/>
                <w:highlight w:val="none"/>
                <w:lang w:eastAsia="zh-CN"/>
              </w:rPr>
              <w:t>其他</w:t>
            </w:r>
            <w:r>
              <w:rPr>
                <w:rFonts w:hint="eastAsia" w:ascii="宋体" w:hAnsi="宋体" w:cs="宋体"/>
                <w:color w:val="auto"/>
                <w:sz w:val="24"/>
                <w:highlight w:val="none"/>
              </w:rPr>
              <w:t>投标人串通投标的；</w:t>
            </w:r>
          </w:p>
          <w:p w14:paraId="004E4DC5">
            <w:pPr>
              <w:spacing w:line="360" w:lineRule="auto"/>
              <w:rPr>
                <w:rFonts w:ascii="宋体" w:hAnsi="宋体" w:cs="宋体"/>
                <w:color w:val="auto"/>
                <w:sz w:val="24"/>
                <w:highlight w:val="none"/>
              </w:rPr>
            </w:pPr>
            <w:r>
              <w:rPr>
                <w:rFonts w:hint="eastAsia" w:ascii="宋体" w:hAnsi="宋体" w:cs="宋体"/>
                <w:color w:val="auto"/>
                <w:sz w:val="24"/>
                <w:highlight w:val="none"/>
              </w:rPr>
              <w:t>（5）中标人将合同内容转包、违法分包的；</w:t>
            </w:r>
          </w:p>
          <w:p w14:paraId="1D080169">
            <w:pPr>
              <w:spacing w:line="360" w:lineRule="auto"/>
              <w:rPr>
                <w:rFonts w:ascii="宋体" w:hAnsi="宋体"/>
                <w:color w:val="auto"/>
                <w:sz w:val="24"/>
                <w:highlight w:val="none"/>
              </w:rPr>
            </w:pPr>
            <w:r>
              <w:rPr>
                <w:rFonts w:hint="eastAsia" w:ascii="宋体" w:hAnsi="宋体" w:cs="宋体"/>
                <w:color w:val="auto"/>
                <w:sz w:val="24"/>
                <w:highlight w:val="none"/>
              </w:rPr>
              <w:t>（6）中标人故意捏造事实或伪造证明材料，进行虚假恶意投诉或反映的。</w:t>
            </w:r>
          </w:p>
        </w:tc>
      </w:tr>
      <w:tr w14:paraId="3AFF384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653C41B6">
            <w:pPr>
              <w:jc w:val="center"/>
              <w:rPr>
                <w:rFonts w:ascii="宋体" w:hAnsi="宋体"/>
                <w:color w:val="auto"/>
                <w:sz w:val="24"/>
                <w:highlight w:val="none"/>
              </w:rPr>
            </w:pPr>
            <w:r>
              <w:rPr>
                <w:rFonts w:hint="eastAsia" w:ascii="宋体" w:hAnsi="宋体"/>
                <w:color w:val="auto"/>
                <w:sz w:val="24"/>
                <w:highlight w:val="none"/>
              </w:rPr>
              <w:t>第二节</w:t>
            </w:r>
          </w:p>
          <w:p w14:paraId="1441146E">
            <w:pPr>
              <w:jc w:val="center"/>
              <w:rPr>
                <w:rFonts w:ascii="宋体" w:hAnsi="宋体"/>
                <w:color w:val="auto"/>
                <w:sz w:val="24"/>
                <w:highlight w:val="none"/>
              </w:rPr>
            </w:pPr>
            <w:r>
              <w:rPr>
                <w:rFonts w:hint="eastAsia" w:ascii="宋体" w:hAnsi="宋体"/>
                <w:color w:val="auto"/>
                <w:sz w:val="24"/>
                <w:highlight w:val="none"/>
              </w:rPr>
              <w:t>第13.3款</w:t>
            </w:r>
          </w:p>
        </w:tc>
        <w:tc>
          <w:tcPr>
            <w:tcW w:w="1789" w:type="dxa"/>
            <w:vAlign w:val="center"/>
          </w:tcPr>
          <w:p w14:paraId="33FA2A85">
            <w:pPr>
              <w:jc w:val="left"/>
              <w:rPr>
                <w:rFonts w:ascii="宋体" w:hAnsi="宋体" w:cs="宋体"/>
                <w:color w:val="auto"/>
                <w:sz w:val="24"/>
                <w:highlight w:val="none"/>
              </w:rPr>
            </w:pPr>
            <w:r>
              <w:rPr>
                <w:rFonts w:hint="eastAsia" w:ascii="宋体" w:hAnsi="宋体" w:cs="宋体"/>
                <w:color w:val="auto"/>
                <w:sz w:val="24"/>
                <w:highlight w:val="none"/>
              </w:rPr>
              <w:t>履约保证金退还时间及逾期退还的违约金</w:t>
            </w:r>
          </w:p>
        </w:tc>
        <w:tc>
          <w:tcPr>
            <w:tcW w:w="5170" w:type="dxa"/>
            <w:vAlign w:val="center"/>
          </w:tcPr>
          <w:p w14:paraId="7077B65A">
            <w:pPr>
              <w:spacing w:line="360" w:lineRule="auto"/>
              <w:rPr>
                <w:rFonts w:ascii="宋体" w:hAnsi="宋体" w:cs="宋体"/>
                <w:color w:val="auto"/>
                <w:sz w:val="24"/>
                <w:highlight w:val="none"/>
              </w:rPr>
            </w:pPr>
            <w:r>
              <w:rPr>
                <w:rFonts w:hint="eastAsia" w:ascii="宋体" w:hAnsi="宋体" w:cs="宋体"/>
                <w:color w:val="auto"/>
                <w:sz w:val="24"/>
                <w:highlight w:val="none"/>
              </w:rPr>
              <w:t>1、合同履行结束后，甲方应及时退还交纳的履约保证金。</w:t>
            </w:r>
          </w:p>
          <w:p w14:paraId="6FAD0828">
            <w:pPr>
              <w:spacing w:line="360" w:lineRule="auto"/>
              <w:rPr>
                <w:rFonts w:ascii="宋体" w:hAnsi="宋体" w:cs="宋体"/>
                <w:color w:val="auto"/>
                <w:sz w:val="24"/>
                <w:highlight w:val="none"/>
              </w:rPr>
            </w:pPr>
            <w:r>
              <w:rPr>
                <w:rFonts w:hint="eastAsia" w:ascii="宋体" w:hAnsi="宋体" w:cs="宋体"/>
                <w:color w:val="auto"/>
                <w:sz w:val="24"/>
                <w:highlight w:val="none"/>
              </w:rPr>
              <w:t>2、退还方式：退还至投标人缴纳履约保证金的账户。如为保函，在到期时自行失效。</w:t>
            </w:r>
          </w:p>
          <w:p w14:paraId="73B95BC9">
            <w:pPr>
              <w:spacing w:line="360" w:lineRule="auto"/>
              <w:rPr>
                <w:rFonts w:ascii="宋体" w:hAnsi="宋体" w:cs="宋体"/>
                <w:color w:val="auto"/>
                <w:sz w:val="24"/>
                <w:highlight w:val="none"/>
              </w:rPr>
            </w:pPr>
            <w:r>
              <w:rPr>
                <w:rFonts w:hint="eastAsia" w:ascii="宋体" w:hAnsi="宋体" w:cs="宋体"/>
                <w:color w:val="auto"/>
                <w:sz w:val="24"/>
                <w:highlight w:val="none"/>
              </w:rPr>
              <w:t>3、退还时间：验收合格且甲方收到发票后30日内。</w:t>
            </w:r>
          </w:p>
          <w:p w14:paraId="266233B2">
            <w:pPr>
              <w:spacing w:line="360" w:lineRule="auto"/>
              <w:rPr>
                <w:rFonts w:ascii="宋体" w:hAnsi="宋体" w:cs="宋体"/>
                <w:color w:val="auto"/>
                <w:sz w:val="24"/>
                <w:highlight w:val="none"/>
              </w:rPr>
            </w:pPr>
            <w:r>
              <w:rPr>
                <w:rFonts w:hint="eastAsia" w:ascii="宋体" w:hAnsi="宋体" w:cs="宋体"/>
                <w:color w:val="auto"/>
                <w:sz w:val="24"/>
                <w:highlight w:val="none"/>
              </w:rPr>
              <w:t>4、退还条件：按合同要求全部履约完成并经采购人验收合格，且采购人收到中标人出具的发票。</w:t>
            </w:r>
          </w:p>
          <w:p w14:paraId="7DC47048">
            <w:pPr>
              <w:spacing w:line="360" w:lineRule="auto"/>
              <w:rPr>
                <w:rFonts w:ascii="宋体" w:hAnsi="宋体" w:cs="宋体"/>
                <w:color w:val="auto"/>
                <w:sz w:val="24"/>
                <w:highlight w:val="none"/>
              </w:rPr>
            </w:pPr>
            <w:r>
              <w:rPr>
                <w:rFonts w:hint="eastAsia" w:ascii="宋体" w:hAnsi="宋体" w:cs="宋体"/>
                <w:color w:val="auto"/>
                <w:sz w:val="24"/>
                <w:highlight w:val="none"/>
              </w:rPr>
              <w:t>5、逾期退还的违约责任：采购人逾期无故未退还履约保证金的，按中国人民银行同期贷款基准利率上浮20%后的利率支付超期资金占用费，但因供应商自身原因导致无法及时退还的除外。</w:t>
            </w:r>
          </w:p>
        </w:tc>
      </w:tr>
      <w:tr w14:paraId="67CE1AC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560" w:type="dxa"/>
            <w:vAlign w:val="center"/>
          </w:tcPr>
          <w:p w14:paraId="39DE6571">
            <w:pPr>
              <w:jc w:val="center"/>
              <w:rPr>
                <w:rFonts w:ascii="宋体" w:hAnsi="宋体"/>
                <w:color w:val="auto"/>
                <w:sz w:val="24"/>
                <w:highlight w:val="none"/>
              </w:rPr>
            </w:pPr>
            <w:r>
              <w:rPr>
                <w:rFonts w:hint="eastAsia" w:ascii="宋体" w:hAnsi="宋体"/>
                <w:color w:val="auto"/>
                <w:sz w:val="24"/>
                <w:highlight w:val="none"/>
              </w:rPr>
              <w:t>第二节</w:t>
            </w:r>
          </w:p>
          <w:p w14:paraId="2B3E86C1">
            <w:pPr>
              <w:jc w:val="center"/>
              <w:rPr>
                <w:rFonts w:ascii="宋体" w:hAnsi="宋体"/>
                <w:color w:val="auto"/>
                <w:sz w:val="24"/>
                <w:highlight w:val="none"/>
              </w:rPr>
            </w:pPr>
            <w:r>
              <w:rPr>
                <w:rFonts w:hint="eastAsia" w:ascii="宋体" w:hAnsi="宋体"/>
                <w:color w:val="auto"/>
                <w:sz w:val="24"/>
                <w:highlight w:val="none"/>
              </w:rPr>
              <w:t>第14.1（3）项</w:t>
            </w:r>
          </w:p>
        </w:tc>
        <w:tc>
          <w:tcPr>
            <w:tcW w:w="1789" w:type="dxa"/>
            <w:vAlign w:val="center"/>
          </w:tcPr>
          <w:p w14:paraId="5E75306F">
            <w:pPr>
              <w:jc w:val="left"/>
              <w:rPr>
                <w:rFonts w:ascii="宋体" w:hAnsi="宋体"/>
                <w:color w:val="auto"/>
                <w:sz w:val="24"/>
                <w:highlight w:val="none"/>
              </w:rPr>
            </w:pPr>
            <w:r>
              <w:rPr>
                <w:rFonts w:hint="eastAsia" w:ascii="宋体" w:hAnsi="宋体"/>
                <w:color w:val="auto"/>
                <w:sz w:val="24"/>
                <w:highlight w:val="none"/>
              </w:rPr>
              <w:t>运行监督、维修期限</w:t>
            </w:r>
          </w:p>
        </w:tc>
        <w:tc>
          <w:tcPr>
            <w:tcW w:w="5170" w:type="dxa"/>
            <w:vAlign w:val="center"/>
          </w:tcPr>
          <w:p w14:paraId="53D24F00">
            <w:pPr>
              <w:jc w:val="left"/>
              <w:rPr>
                <w:rFonts w:ascii="宋体" w:hAnsi="宋体"/>
                <w:color w:val="auto"/>
                <w:sz w:val="24"/>
                <w:highlight w:val="none"/>
              </w:rPr>
            </w:pPr>
          </w:p>
        </w:tc>
      </w:tr>
      <w:tr w14:paraId="52315C1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560" w:type="dxa"/>
            <w:vAlign w:val="center"/>
          </w:tcPr>
          <w:p w14:paraId="471CDF67">
            <w:pPr>
              <w:jc w:val="center"/>
              <w:rPr>
                <w:rFonts w:ascii="宋体" w:hAnsi="宋体"/>
                <w:color w:val="auto"/>
                <w:sz w:val="24"/>
                <w:highlight w:val="none"/>
              </w:rPr>
            </w:pPr>
            <w:r>
              <w:rPr>
                <w:rFonts w:hint="eastAsia" w:ascii="宋体" w:hAnsi="宋体"/>
                <w:color w:val="auto"/>
                <w:sz w:val="24"/>
                <w:highlight w:val="none"/>
              </w:rPr>
              <w:t>第二节</w:t>
            </w:r>
          </w:p>
          <w:p w14:paraId="197552AC">
            <w:pPr>
              <w:jc w:val="center"/>
              <w:rPr>
                <w:rFonts w:ascii="宋体" w:hAnsi="宋体"/>
                <w:color w:val="auto"/>
                <w:sz w:val="24"/>
                <w:highlight w:val="none"/>
              </w:rPr>
            </w:pPr>
            <w:r>
              <w:rPr>
                <w:rFonts w:hint="eastAsia" w:ascii="宋体" w:hAnsi="宋体"/>
                <w:color w:val="auto"/>
                <w:sz w:val="24"/>
                <w:highlight w:val="none"/>
              </w:rPr>
              <w:t>第14.1（5）项</w:t>
            </w:r>
          </w:p>
        </w:tc>
        <w:tc>
          <w:tcPr>
            <w:tcW w:w="1789" w:type="dxa"/>
            <w:vAlign w:val="center"/>
          </w:tcPr>
          <w:p w14:paraId="201586C8">
            <w:pPr>
              <w:jc w:val="left"/>
              <w:rPr>
                <w:rFonts w:ascii="宋体" w:hAnsi="宋体"/>
                <w:color w:val="auto"/>
                <w:sz w:val="24"/>
                <w:highlight w:val="none"/>
              </w:rPr>
            </w:pPr>
            <w:r>
              <w:rPr>
                <w:rFonts w:hint="eastAsia" w:ascii="宋体" w:hAnsi="宋体"/>
                <w:color w:val="auto"/>
                <w:sz w:val="24"/>
                <w:highlight w:val="none"/>
              </w:rPr>
              <w:t>货物回收的约定</w:t>
            </w:r>
          </w:p>
        </w:tc>
        <w:tc>
          <w:tcPr>
            <w:tcW w:w="5170" w:type="dxa"/>
            <w:vAlign w:val="center"/>
          </w:tcPr>
          <w:p w14:paraId="2123304E">
            <w:pPr>
              <w:jc w:val="left"/>
              <w:rPr>
                <w:rFonts w:ascii="宋体" w:hAnsi="宋体"/>
                <w:color w:val="auto"/>
                <w:sz w:val="24"/>
                <w:highlight w:val="none"/>
              </w:rPr>
            </w:pPr>
          </w:p>
        </w:tc>
      </w:tr>
      <w:tr w14:paraId="5D99B1F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13A9E4EF">
            <w:pPr>
              <w:jc w:val="center"/>
              <w:rPr>
                <w:rFonts w:ascii="宋体" w:hAnsi="宋体"/>
                <w:color w:val="auto"/>
                <w:sz w:val="24"/>
                <w:highlight w:val="none"/>
              </w:rPr>
            </w:pPr>
            <w:r>
              <w:rPr>
                <w:rFonts w:hint="eastAsia" w:ascii="宋体" w:hAnsi="宋体"/>
                <w:color w:val="auto"/>
                <w:sz w:val="24"/>
                <w:highlight w:val="none"/>
              </w:rPr>
              <w:t>第二节</w:t>
            </w:r>
          </w:p>
          <w:p w14:paraId="64AD6B16">
            <w:pPr>
              <w:jc w:val="center"/>
              <w:rPr>
                <w:rFonts w:ascii="宋体" w:hAnsi="宋体"/>
                <w:color w:val="auto"/>
                <w:sz w:val="24"/>
                <w:highlight w:val="none"/>
              </w:rPr>
            </w:pPr>
            <w:r>
              <w:rPr>
                <w:rFonts w:hint="eastAsia" w:ascii="宋体" w:hAnsi="宋体"/>
                <w:color w:val="auto"/>
                <w:sz w:val="24"/>
                <w:highlight w:val="none"/>
              </w:rPr>
              <w:t>第14.1（6）项</w:t>
            </w:r>
          </w:p>
        </w:tc>
        <w:tc>
          <w:tcPr>
            <w:tcW w:w="1789" w:type="dxa"/>
            <w:vAlign w:val="center"/>
          </w:tcPr>
          <w:p w14:paraId="4B804DA0">
            <w:pPr>
              <w:jc w:val="left"/>
              <w:rPr>
                <w:rFonts w:ascii="宋体" w:hAnsi="宋体"/>
                <w:color w:val="auto"/>
                <w:sz w:val="24"/>
                <w:highlight w:val="none"/>
              </w:rPr>
            </w:pPr>
            <w:r>
              <w:rPr>
                <w:rFonts w:hint="eastAsia" w:ascii="宋体" w:hAnsi="宋体"/>
                <w:color w:val="auto"/>
                <w:sz w:val="24"/>
                <w:highlight w:val="none"/>
              </w:rPr>
              <w:t>乙方提供的其他服务</w:t>
            </w:r>
          </w:p>
        </w:tc>
        <w:tc>
          <w:tcPr>
            <w:tcW w:w="5170" w:type="dxa"/>
            <w:vAlign w:val="center"/>
          </w:tcPr>
          <w:p w14:paraId="20A2C9CA">
            <w:pPr>
              <w:jc w:val="left"/>
              <w:rPr>
                <w:rFonts w:ascii="宋体" w:hAnsi="宋体"/>
                <w:color w:val="auto"/>
                <w:sz w:val="24"/>
                <w:highlight w:val="none"/>
              </w:rPr>
            </w:pPr>
          </w:p>
        </w:tc>
      </w:tr>
      <w:tr w14:paraId="4C0F99F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5932FDCC">
            <w:pPr>
              <w:jc w:val="center"/>
              <w:rPr>
                <w:rFonts w:ascii="宋体" w:hAnsi="宋体"/>
                <w:color w:val="auto"/>
                <w:sz w:val="24"/>
                <w:highlight w:val="none"/>
              </w:rPr>
            </w:pPr>
            <w:r>
              <w:rPr>
                <w:rFonts w:hint="eastAsia" w:ascii="宋体" w:hAnsi="宋体"/>
                <w:color w:val="auto"/>
                <w:sz w:val="24"/>
                <w:highlight w:val="none"/>
              </w:rPr>
              <w:t>第二节</w:t>
            </w:r>
          </w:p>
          <w:p w14:paraId="660AEDF3">
            <w:pPr>
              <w:jc w:val="center"/>
              <w:rPr>
                <w:rFonts w:ascii="宋体" w:hAnsi="宋体"/>
                <w:color w:val="auto"/>
                <w:sz w:val="24"/>
                <w:highlight w:val="none"/>
              </w:rPr>
            </w:pPr>
            <w:r>
              <w:rPr>
                <w:rFonts w:hint="eastAsia" w:ascii="宋体" w:hAnsi="宋体"/>
                <w:color w:val="auto"/>
                <w:sz w:val="24"/>
                <w:highlight w:val="none"/>
              </w:rPr>
              <w:t>第15.1款</w:t>
            </w:r>
          </w:p>
        </w:tc>
        <w:tc>
          <w:tcPr>
            <w:tcW w:w="1789" w:type="dxa"/>
            <w:vAlign w:val="center"/>
          </w:tcPr>
          <w:p w14:paraId="26375A2B">
            <w:pPr>
              <w:jc w:val="left"/>
              <w:rPr>
                <w:rFonts w:ascii="宋体" w:hAnsi="宋体"/>
                <w:color w:val="auto"/>
                <w:sz w:val="24"/>
                <w:highlight w:val="none"/>
              </w:rPr>
            </w:pPr>
            <w:r>
              <w:rPr>
                <w:rFonts w:hint="eastAsia" w:ascii="宋体" w:hAnsi="宋体"/>
                <w:color w:val="auto"/>
                <w:sz w:val="24"/>
                <w:highlight w:val="none"/>
              </w:rPr>
              <w:t>修理、重</w:t>
            </w:r>
            <w:r>
              <w:rPr>
                <w:rFonts w:hint="eastAsia" w:ascii="宋体" w:hAnsi="宋体"/>
                <w:color w:val="auto"/>
                <w:sz w:val="24"/>
                <w:highlight w:val="none"/>
                <w:lang w:eastAsia="zh-CN"/>
              </w:rPr>
              <w:t>做</w:t>
            </w:r>
            <w:r>
              <w:rPr>
                <w:rFonts w:hint="eastAsia" w:ascii="宋体" w:hAnsi="宋体"/>
                <w:color w:val="auto"/>
                <w:sz w:val="24"/>
                <w:highlight w:val="none"/>
              </w:rPr>
              <w:t>、更换相关具体规定</w:t>
            </w:r>
          </w:p>
        </w:tc>
        <w:tc>
          <w:tcPr>
            <w:tcW w:w="5170" w:type="dxa"/>
            <w:vAlign w:val="center"/>
          </w:tcPr>
          <w:p w14:paraId="2A10842C">
            <w:pPr>
              <w:numPr>
                <w:ilvl w:val="0"/>
                <w:numId w:val="10"/>
              </w:numPr>
              <w:jc w:val="left"/>
              <w:rPr>
                <w:rFonts w:ascii="宋体" w:hAnsi="宋体"/>
                <w:color w:val="auto"/>
                <w:sz w:val="24"/>
                <w:highlight w:val="none"/>
              </w:rPr>
            </w:pPr>
            <w:r>
              <w:rPr>
                <w:rFonts w:hint="eastAsia" w:ascii="宋体" w:hAnsi="宋体"/>
                <w:color w:val="auto"/>
                <w:sz w:val="24"/>
                <w:highlight w:val="none"/>
              </w:rPr>
              <w:t>详见合同通用条款8.2条款、合同专用条款第二节第8款补充条款及合同专用条款中索赔条款。</w:t>
            </w:r>
          </w:p>
          <w:p w14:paraId="46E3CA1C">
            <w:pPr>
              <w:numPr>
                <w:ilvl w:val="0"/>
                <w:numId w:val="10"/>
              </w:numPr>
              <w:jc w:val="left"/>
              <w:rPr>
                <w:rFonts w:ascii="宋体" w:hAnsi="宋体"/>
                <w:color w:val="auto"/>
                <w:sz w:val="24"/>
                <w:highlight w:val="none"/>
              </w:rPr>
            </w:pPr>
            <w:r>
              <w:rPr>
                <w:rFonts w:hint="eastAsia" w:ascii="宋体" w:hAnsi="宋体"/>
                <w:color w:val="auto"/>
                <w:sz w:val="24"/>
                <w:highlight w:val="none"/>
              </w:rPr>
              <w:t>乙方所交的货物品种、型号、规格、技术参数、质量不符合合同规定及招标文件规定标准的，甲方有权拒收该货物，乙方愿意更换货物但逾期交货的，按乙方逾期交货处理。乙方拒绝更换货物的，甲方可单方面解除合同。</w:t>
            </w:r>
          </w:p>
        </w:tc>
      </w:tr>
      <w:tr w14:paraId="162042C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7A5039A4">
            <w:pPr>
              <w:jc w:val="center"/>
              <w:rPr>
                <w:rFonts w:ascii="宋体" w:hAnsi="宋体"/>
                <w:color w:val="auto"/>
                <w:sz w:val="24"/>
                <w:highlight w:val="none"/>
              </w:rPr>
            </w:pPr>
            <w:r>
              <w:rPr>
                <w:rFonts w:hint="eastAsia" w:ascii="宋体" w:hAnsi="宋体"/>
                <w:color w:val="auto"/>
                <w:sz w:val="24"/>
                <w:highlight w:val="none"/>
              </w:rPr>
              <w:t>第二节</w:t>
            </w:r>
          </w:p>
          <w:p w14:paraId="6B9568BA">
            <w:pPr>
              <w:jc w:val="center"/>
              <w:rPr>
                <w:rFonts w:ascii="宋体" w:hAnsi="宋体"/>
                <w:color w:val="auto"/>
                <w:sz w:val="24"/>
                <w:highlight w:val="none"/>
              </w:rPr>
            </w:pPr>
            <w:r>
              <w:rPr>
                <w:rFonts w:hint="eastAsia" w:ascii="宋体" w:hAnsi="宋体"/>
                <w:color w:val="auto"/>
                <w:sz w:val="24"/>
                <w:highlight w:val="none"/>
              </w:rPr>
              <w:t>第15.2（2）项</w:t>
            </w:r>
          </w:p>
        </w:tc>
        <w:tc>
          <w:tcPr>
            <w:tcW w:w="1789" w:type="dxa"/>
            <w:vAlign w:val="center"/>
          </w:tcPr>
          <w:p w14:paraId="1D3BFDB4">
            <w:pPr>
              <w:jc w:val="left"/>
              <w:rPr>
                <w:rFonts w:ascii="宋体" w:hAnsi="宋体"/>
                <w:color w:val="auto"/>
                <w:sz w:val="24"/>
                <w:highlight w:val="none"/>
              </w:rPr>
            </w:pPr>
            <w:r>
              <w:rPr>
                <w:rFonts w:hint="eastAsia" w:ascii="宋体" w:hAnsi="宋体"/>
                <w:color w:val="auto"/>
                <w:sz w:val="24"/>
                <w:highlight w:val="none"/>
              </w:rPr>
              <w:t>迟延交货赔偿费</w:t>
            </w:r>
          </w:p>
        </w:tc>
        <w:tc>
          <w:tcPr>
            <w:tcW w:w="5170" w:type="dxa"/>
            <w:vAlign w:val="center"/>
          </w:tcPr>
          <w:p w14:paraId="6D90626F">
            <w:pPr>
              <w:jc w:val="left"/>
              <w:rPr>
                <w:rFonts w:ascii="宋体" w:hAnsi="宋体"/>
                <w:color w:val="auto"/>
                <w:sz w:val="24"/>
                <w:highlight w:val="none"/>
              </w:rPr>
            </w:pPr>
            <w:r>
              <w:rPr>
                <w:rFonts w:hint="eastAsia" w:ascii="宋体" w:hAnsi="宋体"/>
                <w:color w:val="auto"/>
                <w:sz w:val="24"/>
                <w:highlight w:val="none"/>
              </w:rPr>
              <w:t>1.乙方应按照“开标（报价）一览表”中规定的交货期或承诺交货和提供服务，并交付甲方验收使用。</w:t>
            </w:r>
          </w:p>
          <w:p w14:paraId="642561D8">
            <w:pPr>
              <w:jc w:val="left"/>
              <w:rPr>
                <w:rFonts w:ascii="宋体" w:hAnsi="宋体"/>
                <w:color w:val="auto"/>
                <w:sz w:val="24"/>
                <w:highlight w:val="none"/>
              </w:rPr>
            </w:pPr>
            <w:r>
              <w:rPr>
                <w:rFonts w:hint="eastAsia" w:ascii="宋体" w:hAnsi="宋体"/>
                <w:color w:val="auto"/>
                <w:sz w:val="24"/>
                <w:highlight w:val="none"/>
              </w:rPr>
              <w:t>2.如果乙方无正当理由拖延交货，将受到以下制裁：加收误期赔偿或终止合同。</w:t>
            </w:r>
          </w:p>
          <w:p w14:paraId="09A37E28">
            <w:pPr>
              <w:jc w:val="left"/>
              <w:rPr>
                <w:rFonts w:ascii="宋体" w:hAnsi="宋体"/>
                <w:color w:val="auto"/>
                <w:sz w:val="24"/>
                <w:highlight w:val="none"/>
              </w:rPr>
            </w:pPr>
            <w:r>
              <w:rPr>
                <w:rFonts w:hint="eastAsia" w:ascii="宋体" w:hAnsi="宋体"/>
                <w:color w:val="auto"/>
                <w:sz w:val="24"/>
                <w:highlight w:val="none"/>
              </w:rPr>
              <w:t>3. 乙方逾期交付货物的，乙方应按逾期交货总额每日</w:t>
            </w:r>
            <w:r>
              <w:rPr>
                <w:rFonts w:hint="eastAsia" w:ascii="宋体" w:hAnsi="宋体"/>
                <w:color w:val="auto"/>
                <w:sz w:val="24"/>
                <w:highlight w:val="none"/>
                <w:u w:val="single"/>
              </w:rPr>
              <w:t xml:space="preserve">  </w:t>
            </w:r>
            <w:r>
              <w:rPr>
                <w:rFonts w:hint="eastAsia" w:cs="宋体"/>
                <w:u w:val="single"/>
                <w:lang w:val="en-US" w:eastAsia="zh-CN"/>
              </w:rPr>
              <w:t>1</w:t>
            </w:r>
            <w:r>
              <w:rPr>
                <w:rFonts w:hint="eastAsia" w:cs="宋体"/>
                <w:u w:val="single"/>
                <w:lang w:eastAsia="zh-CN"/>
              </w:rPr>
              <w:t>‱</w:t>
            </w:r>
            <w:r>
              <w:rPr>
                <w:rFonts w:hint="eastAsia" w:ascii="宋体" w:hAnsi="宋体" w:eastAsia="宋体" w:cs="宋体"/>
                <w:u w:val="single"/>
              </w:rPr>
              <w:t> </w:t>
            </w:r>
            <w:r>
              <w:rPr>
                <w:rFonts w:hint="eastAsia" w:ascii="宋体" w:hAnsi="宋体"/>
                <w:color w:val="auto"/>
                <w:sz w:val="24"/>
                <w:highlight w:val="none"/>
                <w:u w:val="single"/>
              </w:rPr>
              <w:t xml:space="preserve">   </w:t>
            </w:r>
            <w:r>
              <w:rPr>
                <w:rFonts w:hint="eastAsia" w:ascii="宋体" w:hAnsi="宋体"/>
                <w:color w:val="auto"/>
                <w:sz w:val="24"/>
                <w:highlight w:val="none"/>
              </w:rPr>
              <w:t>向甲方支付违约金，由甲方从待付货款中扣除。逾期超过约定日期</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20</w:t>
            </w:r>
            <w:r>
              <w:rPr>
                <w:rFonts w:hint="eastAsia" w:ascii="宋体" w:hAnsi="宋体"/>
                <w:color w:val="auto"/>
                <w:sz w:val="24"/>
                <w:highlight w:val="none"/>
                <w:u w:val="single"/>
              </w:rPr>
              <w:t xml:space="preserve">  </w:t>
            </w:r>
            <w:r>
              <w:rPr>
                <w:rFonts w:hint="eastAsia" w:ascii="宋体" w:hAnsi="宋体"/>
                <w:color w:val="auto"/>
                <w:sz w:val="24"/>
                <w:highlight w:val="none"/>
              </w:rPr>
              <w:t>个工作日不能交货的，甲方可解除本合同。乙方因逾期交货或因其他违约行为导致甲方解除合同的，乙方应向甲方支付合同总值</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10%</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的违约金，如造成甲方损失超过违约金的，超出部分由乙方继续承担赔偿责任。 </w:t>
            </w:r>
          </w:p>
          <w:p w14:paraId="3A1AB538">
            <w:pPr>
              <w:jc w:val="left"/>
              <w:rPr>
                <w:rFonts w:ascii="宋体" w:hAnsi="宋体"/>
                <w:color w:val="auto"/>
                <w:sz w:val="24"/>
                <w:highlight w:val="none"/>
              </w:rPr>
            </w:pPr>
            <w:r>
              <w:rPr>
                <w:rFonts w:hint="eastAsia" w:ascii="宋体" w:hAnsi="宋体"/>
                <w:color w:val="auto"/>
                <w:sz w:val="24"/>
                <w:highlight w:val="none"/>
              </w:rPr>
              <w:t>4.如乙方不能交付货物，或者有违法转包他人情形，乙方应向甲方支付合同总价</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5%</w:t>
            </w:r>
            <w:r>
              <w:rPr>
                <w:rFonts w:hint="eastAsia" w:ascii="宋体" w:hAnsi="宋体"/>
                <w:color w:val="auto"/>
                <w:sz w:val="24"/>
                <w:highlight w:val="none"/>
                <w:u w:val="single"/>
              </w:rPr>
              <w:t xml:space="preserve">   </w:t>
            </w:r>
            <w:r>
              <w:rPr>
                <w:rFonts w:hint="eastAsia" w:ascii="宋体" w:hAnsi="宋体"/>
                <w:color w:val="auto"/>
                <w:sz w:val="24"/>
                <w:highlight w:val="none"/>
              </w:rPr>
              <w:t>的滞纳金。</w:t>
            </w:r>
          </w:p>
          <w:p w14:paraId="098BD1FD">
            <w:pPr>
              <w:jc w:val="left"/>
              <w:rPr>
                <w:rFonts w:ascii="宋体" w:hAnsi="宋体"/>
                <w:color w:val="auto"/>
                <w:sz w:val="24"/>
                <w:highlight w:val="none"/>
                <w:u w:val="single"/>
              </w:rPr>
            </w:pPr>
          </w:p>
        </w:tc>
      </w:tr>
      <w:tr w14:paraId="1222F86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50DA20B3">
            <w:pPr>
              <w:jc w:val="center"/>
              <w:rPr>
                <w:rFonts w:ascii="宋体" w:hAnsi="宋体"/>
                <w:color w:val="auto"/>
                <w:sz w:val="24"/>
                <w:highlight w:val="none"/>
              </w:rPr>
            </w:pPr>
            <w:r>
              <w:rPr>
                <w:rFonts w:hint="eastAsia" w:ascii="宋体" w:hAnsi="宋体"/>
                <w:color w:val="auto"/>
                <w:sz w:val="24"/>
                <w:highlight w:val="none"/>
              </w:rPr>
              <w:t>第二节</w:t>
            </w:r>
          </w:p>
          <w:p w14:paraId="028F1A03">
            <w:pPr>
              <w:jc w:val="center"/>
              <w:rPr>
                <w:rFonts w:ascii="宋体" w:hAnsi="宋体"/>
                <w:color w:val="auto"/>
                <w:sz w:val="24"/>
                <w:highlight w:val="none"/>
              </w:rPr>
            </w:pPr>
            <w:r>
              <w:rPr>
                <w:rFonts w:hint="eastAsia" w:ascii="宋体" w:hAnsi="宋体"/>
                <w:color w:val="auto"/>
                <w:sz w:val="24"/>
                <w:highlight w:val="none"/>
              </w:rPr>
              <w:t>第15.3款</w:t>
            </w:r>
          </w:p>
        </w:tc>
        <w:tc>
          <w:tcPr>
            <w:tcW w:w="1789" w:type="dxa"/>
            <w:vAlign w:val="center"/>
          </w:tcPr>
          <w:p w14:paraId="11520B2D">
            <w:pPr>
              <w:jc w:val="left"/>
              <w:rPr>
                <w:rFonts w:ascii="宋体" w:hAnsi="宋体"/>
                <w:color w:val="auto"/>
                <w:sz w:val="24"/>
                <w:highlight w:val="none"/>
              </w:rPr>
            </w:pPr>
            <w:r>
              <w:rPr>
                <w:rFonts w:hint="eastAsia" w:ascii="宋体" w:hAnsi="宋体"/>
                <w:color w:val="auto"/>
                <w:sz w:val="24"/>
                <w:highlight w:val="none"/>
              </w:rPr>
              <w:t>逾期付款利息</w:t>
            </w:r>
          </w:p>
        </w:tc>
        <w:tc>
          <w:tcPr>
            <w:tcW w:w="5170" w:type="dxa"/>
            <w:vAlign w:val="center"/>
          </w:tcPr>
          <w:p w14:paraId="5768D20D">
            <w:pPr>
              <w:pStyle w:val="13"/>
              <w:spacing w:before="120" w:beforeAutospacing="0" w:after="120" w:afterAutospacing="0"/>
              <w:ind w:left="410" w:hanging="410"/>
              <w:jc w:val="both"/>
              <w:rPr>
                <w:color w:val="auto"/>
                <w:highlight w:val="none"/>
              </w:rPr>
            </w:pPr>
            <w:r>
              <w:rPr>
                <w:rFonts w:hint="eastAsia" w:ascii="宋体" w:hAnsi="宋体" w:cs="宋体"/>
                <w:color w:val="auto"/>
                <w:highlight w:val="none"/>
              </w:rPr>
              <w:t>1.甲方无正当理由拒收货物的，甲方向乙方偿付拒收货款总值</w:t>
            </w:r>
            <w:r>
              <w:rPr>
                <w:rFonts w:hint="eastAsia" w:ascii="宋体" w:hAnsi="宋体" w:cs="宋体"/>
                <w:color w:val="auto"/>
                <w:highlight w:val="none"/>
                <w:u w:val="single"/>
              </w:rPr>
              <w:t> </w:t>
            </w:r>
            <w:r>
              <w:rPr>
                <w:rFonts w:hint="eastAsia" w:ascii="宋体" w:hAnsi="宋体" w:cs="宋体"/>
                <w:color w:val="auto"/>
                <w:highlight w:val="none"/>
                <w:u w:val="single"/>
                <w:lang w:val="en-US" w:eastAsia="zh-CN"/>
              </w:rPr>
              <w:t>5%</w:t>
            </w:r>
            <w:r>
              <w:rPr>
                <w:rFonts w:hint="eastAsia" w:ascii="宋体" w:hAnsi="宋体" w:cs="宋体"/>
                <w:color w:val="auto"/>
                <w:highlight w:val="none"/>
                <w:u w:val="single"/>
              </w:rPr>
              <w:t xml:space="preserve">   </w:t>
            </w:r>
            <w:r>
              <w:rPr>
                <w:rFonts w:hint="eastAsia" w:ascii="宋体" w:hAnsi="宋体" w:cs="宋体"/>
                <w:color w:val="auto"/>
                <w:highlight w:val="none"/>
              </w:rPr>
              <w:t>的违约金。</w:t>
            </w:r>
          </w:p>
          <w:p w14:paraId="5F748A7E">
            <w:pPr>
              <w:pStyle w:val="13"/>
              <w:spacing w:before="120" w:beforeAutospacing="0" w:after="120" w:afterAutospacing="0"/>
              <w:ind w:left="410" w:hanging="410"/>
              <w:jc w:val="both"/>
              <w:rPr>
                <w:rFonts w:ascii="宋体" w:hAnsi="宋体"/>
                <w:color w:val="auto"/>
                <w:highlight w:val="none"/>
                <w:u w:val="single"/>
              </w:rPr>
            </w:pPr>
            <w:r>
              <w:rPr>
                <w:rFonts w:hint="eastAsia" w:ascii="宋体" w:hAnsi="宋体" w:cs="宋体"/>
                <w:color w:val="auto"/>
                <w:highlight w:val="none"/>
              </w:rPr>
              <w:t>2.甲方无故逾期验收和办理货款支付手续的,甲方应按逾期付款总额每日</w:t>
            </w:r>
            <w:r>
              <w:rPr>
                <w:rFonts w:hint="eastAsia" w:ascii="宋体" w:hAnsi="宋体" w:cs="宋体"/>
                <w:color w:val="auto"/>
                <w:highlight w:val="none"/>
                <w:u w:val="single"/>
              </w:rPr>
              <w:t>  </w:t>
            </w:r>
            <w:r>
              <w:rPr>
                <w:rFonts w:hint="eastAsia" w:cs="宋体"/>
                <w:u w:val="single"/>
                <w:lang w:val="en-US" w:eastAsia="zh-CN"/>
              </w:rPr>
              <w:t>1</w:t>
            </w:r>
            <w:r>
              <w:rPr>
                <w:rFonts w:hint="eastAsia" w:cs="宋体"/>
                <w:u w:val="single"/>
                <w:lang w:eastAsia="zh-CN"/>
              </w:rPr>
              <w:t>‱</w:t>
            </w:r>
            <w:r>
              <w:rPr>
                <w:rFonts w:hint="eastAsia" w:ascii="宋体" w:hAnsi="宋体" w:eastAsia="宋体" w:cs="宋体"/>
                <w:u w:val="single"/>
              </w:rPr>
              <w:t> </w:t>
            </w:r>
            <w:r>
              <w:rPr>
                <w:rFonts w:hint="eastAsia" w:ascii="宋体" w:hAnsi="宋体" w:cs="宋体"/>
                <w:color w:val="auto"/>
                <w:highlight w:val="none"/>
                <w:u w:val="single"/>
              </w:rPr>
              <w:t xml:space="preserve">  </w:t>
            </w:r>
            <w:r>
              <w:rPr>
                <w:rFonts w:hint="eastAsia" w:ascii="宋体" w:hAnsi="宋体" w:cs="宋体"/>
                <w:color w:val="auto"/>
                <w:highlight w:val="none"/>
              </w:rPr>
              <w:t>向乙方支付违约金。</w:t>
            </w:r>
          </w:p>
        </w:tc>
      </w:tr>
      <w:tr w14:paraId="795E442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76" w:hRule="atLeast"/>
        </w:trPr>
        <w:tc>
          <w:tcPr>
            <w:tcW w:w="1560" w:type="dxa"/>
            <w:tcBorders>
              <w:bottom w:val="single" w:color="000000" w:sz="2" w:space="0"/>
              <w:right w:val="single" w:color="000000" w:sz="2" w:space="0"/>
            </w:tcBorders>
            <w:vAlign w:val="center"/>
          </w:tcPr>
          <w:p w14:paraId="598AA01E">
            <w:pPr>
              <w:jc w:val="center"/>
              <w:rPr>
                <w:rFonts w:ascii="宋体" w:hAnsi="宋体"/>
                <w:color w:val="auto"/>
                <w:sz w:val="24"/>
                <w:highlight w:val="none"/>
              </w:rPr>
            </w:pPr>
            <w:r>
              <w:rPr>
                <w:rFonts w:hint="eastAsia" w:ascii="宋体" w:hAnsi="宋体"/>
                <w:color w:val="auto"/>
                <w:sz w:val="24"/>
                <w:highlight w:val="none"/>
              </w:rPr>
              <w:t>第二节</w:t>
            </w:r>
          </w:p>
          <w:p w14:paraId="7DD4D18E">
            <w:pPr>
              <w:jc w:val="center"/>
              <w:rPr>
                <w:rFonts w:ascii="宋体" w:hAnsi="宋体"/>
                <w:color w:val="auto"/>
                <w:sz w:val="24"/>
                <w:highlight w:val="none"/>
              </w:rPr>
            </w:pPr>
            <w:r>
              <w:rPr>
                <w:rFonts w:hint="eastAsia" w:ascii="宋体" w:hAnsi="宋体"/>
                <w:color w:val="auto"/>
                <w:sz w:val="24"/>
                <w:highlight w:val="none"/>
              </w:rPr>
              <w:t>第15.4款</w:t>
            </w:r>
          </w:p>
        </w:tc>
        <w:tc>
          <w:tcPr>
            <w:tcW w:w="1789" w:type="dxa"/>
            <w:tcBorders>
              <w:left w:val="single" w:color="000000" w:sz="2" w:space="0"/>
              <w:bottom w:val="single" w:color="000000" w:sz="2" w:space="0"/>
              <w:right w:val="single" w:color="000000" w:sz="2" w:space="0"/>
            </w:tcBorders>
            <w:vAlign w:val="center"/>
          </w:tcPr>
          <w:p w14:paraId="6E1DCBE1">
            <w:pPr>
              <w:jc w:val="left"/>
              <w:rPr>
                <w:rFonts w:ascii="宋体" w:hAnsi="宋体"/>
                <w:color w:val="auto"/>
                <w:sz w:val="24"/>
                <w:highlight w:val="none"/>
              </w:rPr>
            </w:pPr>
            <w:r>
              <w:rPr>
                <w:rFonts w:hint="eastAsia" w:ascii="宋体" w:hAnsi="宋体"/>
                <w:color w:val="auto"/>
                <w:sz w:val="24"/>
                <w:highlight w:val="none"/>
              </w:rPr>
              <w:t>其他违约责任</w:t>
            </w:r>
          </w:p>
        </w:tc>
        <w:tc>
          <w:tcPr>
            <w:tcW w:w="5170" w:type="dxa"/>
            <w:tcBorders>
              <w:left w:val="single" w:color="000000" w:sz="2" w:space="0"/>
              <w:bottom w:val="single" w:color="000000" w:sz="2" w:space="0"/>
            </w:tcBorders>
            <w:vAlign w:val="center"/>
          </w:tcPr>
          <w:p w14:paraId="500DF502">
            <w:pPr>
              <w:jc w:val="left"/>
              <w:rPr>
                <w:rFonts w:ascii="宋体" w:hAnsi="宋体"/>
                <w:color w:val="auto"/>
                <w:sz w:val="24"/>
                <w:highlight w:val="none"/>
                <w:u w:val="single"/>
              </w:rPr>
            </w:pPr>
          </w:p>
        </w:tc>
      </w:tr>
      <w:tr w14:paraId="4E4D745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560" w:type="dxa"/>
            <w:tcBorders>
              <w:top w:val="single" w:color="000000" w:sz="2" w:space="0"/>
              <w:right w:val="single" w:color="000000" w:sz="2" w:space="0"/>
            </w:tcBorders>
            <w:vAlign w:val="center"/>
          </w:tcPr>
          <w:p w14:paraId="1782B755">
            <w:pPr>
              <w:jc w:val="center"/>
              <w:rPr>
                <w:rFonts w:ascii="宋体" w:hAnsi="宋体"/>
                <w:color w:val="auto"/>
                <w:sz w:val="24"/>
                <w:highlight w:val="none"/>
              </w:rPr>
            </w:pPr>
            <w:r>
              <w:rPr>
                <w:rFonts w:hint="eastAsia" w:ascii="宋体" w:hAnsi="宋体"/>
                <w:color w:val="auto"/>
                <w:sz w:val="24"/>
                <w:highlight w:val="none"/>
              </w:rPr>
              <w:t>第二节</w:t>
            </w:r>
          </w:p>
          <w:p w14:paraId="581ED5FA">
            <w:pPr>
              <w:jc w:val="center"/>
              <w:rPr>
                <w:rFonts w:ascii="宋体" w:hAnsi="宋体"/>
                <w:color w:val="auto"/>
                <w:sz w:val="24"/>
                <w:highlight w:val="none"/>
              </w:rPr>
            </w:pPr>
            <w:r>
              <w:rPr>
                <w:rFonts w:hint="eastAsia" w:ascii="宋体" w:hAnsi="宋体"/>
                <w:color w:val="auto"/>
                <w:sz w:val="24"/>
                <w:highlight w:val="none"/>
              </w:rPr>
              <w:t>第19.2款</w:t>
            </w:r>
          </w:p>
        </w:tc>
        <w:tc>
          <w:tcPr>
            <w:tcW w:w="1789" w:type="dxa"/>
            <w:tcBorders>
              <w:top w:val="single" w:color="000000" w:sz="2" w:space="0"/>
              <w:left w:val="single" w:color="000000" w:sz="2" w:space="0"/>
              <w:right w:val="single" w:color="000000" w:sz="2" w:space="0"/>
            </w:tcBorders>
            <w:vAlign w:val="center"/>
          </w:tcPr>
          <w:p w14:paraId="324C980C">
            <w:pPr>
              <w:jc w:val="left"/>
              <w:rPr>
                <w:rFonts w:ascii="宋体" w:hAnsi="宋体"/>
                <w:color w:val="auto"/>
                <w:sz w:val="24"/>
                <w:highlight w:val="none"/>
              </w:rPr>
            </w:pPr>
            <w:r>
              <w:rPr>
                <w:rFonts w:hint="eastAsia" w:ascii="宋体" w:hAnsi="宋体"/>
                <w:color w:val="auto"/>
                <w:sz w:val="24"/>
                <w:highlight w:val="none"/>
              </w:rPr>
              <w:t>解决争议的方法</w:t>
            </w:r>
          </w:p>
        </w:tc>
        <w:tc>
          <w:tcPr>
            <w:tcW w:w="5170" w:type="dxa"/>
            <w:tcBorders>
              <w:top w:val="single" w:color="000000" w:sz="2" w:space="0"/>
              <w:left w:val="single" w:color="000000" w:sz="2" w:space="0"/>
            </w:tcBorders>
            <w:vAlign w:val="center"/>
          </w:tcPr>
          <w:p w14:paraId="3193F640">
            <w:pPr>
              <w:jc w:val="left"/>
              <w:rPr>
                <w:rFonts w:ascii="宋体" w:hAnsi="宋体"/>
                <w:color w:val="auto"/>
                <w:sz w:val="24"/>
                <w:highlight w:val="none"/>
              </w:rPr>
            </w:pPr>
            <w:r>
              <w:rPr>
                <w:rFonts w:hint="eastAsia" w:ascii="宋体" w:hAnsi="宋体"/>
                <w:color w:val="auto"/>
                <w:sz w:val="24"/>
                <w:highlight w:val="none"/>
              </w:rPr>
              <w:t>1.因本合同及合同有关事项发生的争议，由双方协商解决，协商不成时，按下列第</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2</w:t>
            </w:r>
            <w:r>
              <w:rPr>
                <w:rFonts w:hint="eastAsia" w:ascii="宋体" w:hAnsi="宋体"/>
                <w:color w:val="auto"/>
                <w:sz w:val="24"/>
                <w:highlight w:val="none"/>
                <w:u w:val="single"/>
              </w:rPr>
              <w:t xml:space="preserve">  </w:t>
            </w:r>
            <w:r>
              <w:rPr>
                <w:rFonts w:hint="eastAsia" w:ascii="宋体" w:hAnsi="宋体"/>
                <w:color w:val="auto"/>
                <w:sz w:val="24"/>
                <w:highlight w:val="none"/>
              </w:rPr>
              <w:t>种方式解决：</w:t>
            </w:r>
          </w:p>
          <w:p w14:paraId="66562DC5">
            <w:pPr>
              <w:jc w:val="left"/>
              <w:rPr>
                <w:rFonts w:ascii="宋体" w:hAnsi="宋体"/>
                <w:color w:val="auto"/>
                <w:sz w:val="24"/>
                <w:highlight w:val="none"/>
              </w:rPr>
            </w:pPr>
            <w:r>
              <w:rPr>
                <w:rFonts w:hint="eastAsia" w:ascii="宋体" w:hAnsi="宋体"/>
                <w:color w:val="auto"/>
                <w:sz w:val="24"/>
                <w:highlight w:val="none"/>
              </w:rPr>
              <w:t>（1）向仲裁委员会申请仲裁，仲裁地点为</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15E1CE8">
            <w:pPr>
              <w:jc w:val="left"/>
              <w:rPr>
                <w:rFonts w:ascii="宋体" w:hAnsi="宋体"/>
                <w:color w:val="auto"/>
                <w:sz w:val="24"/>
                <w:highlight w:val="none"/>
              </w:rPr>
            </w:pPr>
            <w:r>
              <w:rPr>
                <w:rFonts w:hint="eastAsia" w:ascii="宋体" w:hAnsi="宋体"/>
                <w:color w:val="auto"/>
                <w:sz w:val="24"/>
                <w:highlight w:val="none"/>
              </w:rPr>
              <w:t>（2）向甲方所在地人民法院起诉。</w:t>
            </w:r>
          </w:p>
          <w:p w14:paraId="7CC9596B">
            <w:pPr>
              <w:jc w:val="left"/>
              <w:rPr>
                <w:rFonts w:ascii="宋体" w:hAnsi="宋体"/>
                <w:color w:val="auto"/>
                <w:sz w:val="24"/>
                <w:highlight w:val="none"/>
              </w:rPr>
            </w:pPr>
            <w:r>
              <w:rPr>
                <w:rFonts w:hint="eastAsia" w:ascii="宋体" w:hAnsi="宋体"/>
                <w:color w:val="auto"/>
                <w:sz w:val="24"/>
                <w:highlight w:val="none"/>
              </w:rPr>
              <w:t>2. 纠纷解决办法</w:t>
            </w:r>
          </w:p>
          <w:p w14:paraId="69B9976D">
            <w:pPr>
              <w:jc w:val="left"/>
              <w:rPr>
                <w:rFonts w:ascii="宋体" w:hAnsi="宋体"/>
                <w:color w:val="auto"/>
                <w:sz w:val="24"/>
                <w:highlight w:val="none"/>
              </w:rPr>
            </w:pPr>
            <w:r>
              <w:rPr>
                <w:rFonts w:hint="eastAsia" w:ascii="宋体" w:hAnsi="宋体"/>
                <w:color w:val="auto"/>
                <w:sz w:val="24"/>
                <w:highlight w:val="none"/>
              </w:rPr>
              <w:t>2.1因货物的质量问题发生争议的，应当邀请国家认可的质量检测机构对货物质量进行鉴定。货物符合标准的，鉴定费由甲方承担；货物不符合质量标准的，鉴定费由乙方承担，并更换问题货物。</w:t>
            </w:r>
          </w:p>
        </w:tc>
      </w:tr>
      <w:tr w14:paraId="641E50A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vAlign w:val="center"/>
          </w:tcPr>
          <w:p w14:paraId="3396C27A">
            <w:pPr>
              <w:jc w:val="center"/>
              <w:rPr>
                <w:rFonts w:ascii="宋体" w:hAnsi="宋体"/>
                <w:color w:val="auto"/>
                <w:sz w:val="24"/>
                <w:highlight w:val="none"/>
              </w:rPr>
            </w:pPr>
            <w:r>
              <w:rPr>
                <w:rFonts w:hint="eastAsia" w:ascii="宋体" w:hAnsi="宋体"/>
                <w:color w:val="auto"/>
                <w:sz w:val="24"/>
                <w:highlight w:val="none"/>
              </w:rPr>
              <w:t>第二节</w:t>
            </w:r>
          </w:p>
          <w:p w14:paraId="0791FF7A">
            <w:pPr>
              <w:jc w:val="center"/>
              <w:rPr>
                <w:rFonts w:ascii="宋体" w:hAnsi="宋体"/>
                <w:color w:val="auto"/>
                <w:sz w:val="24"/>
                <w:highlight w:val="none"/>
              </w:rPr>
            </w:pPr>
            <w:r>
              <w:rPr>
                <w:rFonts w:hint="eastAsia" w:ascii="宋体" w:hAnsi="宋体"/>
                <w:color w:val="auto"/>
                <w:sz w:val="24"/>
                <w:highlight w:val="none"/>
              </w:rPr>
              <w:t>第23.1款</w:t>
            </w:r>
          </w:p>
        </w:tc>
        <w:tc>
          <w:tcPr>
            <w:tcW w:w="1789" w:type="dxa"/>
            <w:vAlign w:val="center"/>
          </w:tcPr>
          <w:p w14:paraId="7A4FC4F0">
            <w:pPr>
              <w:jc w:val="left"/>
              <w:rPr>
                <w:rFonts w:ascii="宋体" w:hAnsi="宋体"/>
                <w:color w:val="auto"/>
                <w:sz w:val="24"/>
                <w:highlight w:val="none"/>
              </w:rPr>
            </w:pPr>
            <w:r>
              <w:rPr>
                <w:rFonts w:hint="eastAsia" w:ascii="宋体" w:hAnsi="宋体"/>
                <w:bCs/>
                <w:color w:val="auto"/>
                <w:sz w:val="24"/>
                <w:highlight w:val="none"/>
              </w:rPr>
              <w:t>其他专用条款</w:t>
            </w:r>
          </w:p>
        </w:tc>
        <w:tc>
          <w:tcPr>
            <w:tcW w:w="5170" w:type="dxa"/>
            <w:vAlign w:val="center"/>
          </w:tcPr>
          <w:p w14:paraId="765A3263">
            <w:pPr>
              <w:jc w:val="left"/>
              <w:rPr>
                <w:rFonts w:ascii="宋体" w:hAnsi="宋体"/>
                <w:color w:val="auto"/>
                <w:sz w:val="24"/>
                <w:highlight w:val="none"/>
              </w:rPr>
            </w:pPr>
            <w:r>
              <w:rPr>
                <w:rFonts w:hint="eastAsia" w:ascii="宋体" w:hAnsi="宋体"/>
                <w:color w:val="auto"/>
                <w:sz w:val="24"/>
                <w:highlight w:val="none"/>
              </w:rPr>
              <w:t>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p>
          <w:p w14:paraId="7A15E806">
            <w:pPr>
              <w:jc w:val="left"/>
              <w:rPr>
                <w:rFonts w:ascii="宋体" w:hAnsi="宋体"/>
                <w:color w:val="auto"/>
                <w:sz w:val="24"/>
                <w:highlight w:val="none"/>
              </w:rPr>
            </w:pPr>
            <w:r>
              <w:rPr>
                <w:rFonts w:hint="eastAsia" w:ascii="宋体" w:hAnsi="宋体"/>
                <w:color w:val="auto"/>
                <w:sz w:val="24"/>
                <w:highlight w:val="none"/>
              </w:rPr>
              <w:t>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p>
          <w:p w14:paraId="4EFCA6C6">
            <w:pPr>
              <w:jc w:val="left"/>
              <w:rPr>
                <w:rFonts w:ascii="宋体" w:hAnsi="宋体"/>
                <w:color w:val="auto"/>
                <w:sz w:val="24"/>
                <w:highlight w:val="none"/>
              </w:rPr>
            </w:pPr>
            <w:r>
              <w:rPr>
                <w:rFonts w:hint="eastAsia" w:ascii="宋体" w:hAnsi="宋体"/>
                <w:color w:val="auto"/>
                <w:sz w:val="24"/>
                <w:highlight w:val="none"/>
              </w:rPr>
              <w:t>3.验收不合格的货物，乙方应在</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10</w:t>
            </w:r>
            <w:r>
              <w:rPr>
                <w:rFonts w:hint="eastAsia" w:ascii="宋体" w:hAnsi="宋体"/>
                <w:color w:val="auto"/>
                <w:sz w:val="24"/>
                <w:highlight w:val="none"/>
                <w:u w:val="single"/>
              </w:rPr>
              <w:t xml:space="preserve">   </w:t>
            </w:r>
            <w:r>
              <w:rPr>
                <w:rFonts w:hint="eastAsia" w:ascii="宋体" w:hAnsi="宋体"/>
                <w:color w:val="auto"/>
                <w:sz w:val="24"/>
                <w:highlight w:val="none"/>
              </w:rPr>
              <w:t>个工作日内予以更换，逾期按交货延误予以处罚。乙方所交付的货物品种、型号、规格不符合合同规定的，甲方有权拒收。甲方拒收的，乙方向甲方支付货款总额</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5</w:t>
            </w:r>
            <w:r>
              <w:rPr>
                <w:rFonts w:hint="eastAsia" w:ascii="宋体" w:hAnsi="宋体"/>
                <w:color w:val="auto"/>
                <w:sz w:val="24"/>
                <w:highlight w:val="none"/>
                <w:u w:val="single"/>
              </w:rPr>
              <w:t xml:space="preserve">   </w:t>
            </w:r>
            <w:r>
              <w:rPr>
                <w:rFonts w:hint="eastAsia" w:ascii="宋体" w:hAnsi="宋体"/>
                <w:color w:val="auto"/>
                <w:sz w:val="24"/>
                <w:highlight w:val="none"/>
              </w:rPr>
              <w:t>%的违约金。在乙方承诺的或国家规定的质量保证期内，若经乙方维修或更换，货物仍不能达到合同约定的质量标准，甲方有权退货，乙方应退回全部货款，同时，乙方还须赔偿甲方因此遭受的损失。</w:t>
            </w:r>
          </w:p>
          <w:p w14:paraId="1BFDB590">
            <w:pPr>
              <w:jc w:val="left"/>
              <w:rPr>
                <w:rFonts w:ascii="宋体" w:hAnsi="宋体"/>
                <w:color w:val="auto"/>
                <w:sz w:val="24"/>
                <w:highlight w:val="none"/>
              </w:rPr>
            </w:pPr>
            <w:r>
              <w:rPr>
                <w:rFonts w:hint="eastAsia" w:ascii="宋体" w:hAnsi="宋体"/>
                <w:color w:val="auto"/>
                <w:sz w:val="24"/>
                <w:highlight w:val="none"/>
              </w:rPr>
              <w:t>4.货物验收要求</w:t>
            </w:r>
          </w:p>
          <w:p w14:paraId="57A380CF">
            <w:pPr>
              <w:jc w:val="left"/>
              <w:rPr>
                <w:rFonts w:ascii="宋体" w:hAnsi="宋体"/>
                <w:color w:val="auto"/>
                <w:sz w:val="24"/>
                <w:highlight w:val="none"/>
              </w:rPr>
            </w:pPr>
            <w:r>
              <w:rPr>
                <w:rFonts w:hint="eastAsia" w:ascii="宋体" w:hAnsi="宋体"/>
                <w:color w:val="auto"/>
                <w:sz w:val="24"/>
                <w:highlight w:val="none"/>
              </w:rPr>
              <w:t>（1）依照招标文件要求对全部货物、型号、规格、数量、外型、外观、包装及资料、文件（如装箱单、保修单、随箱介质等）进行验收。</w:t>
            </w:r>
          </w:p>
          <w:p w14:paraId="07EF742A">
            <w:pPr>
              <w:jc w:val="left"/>
              <w:rPr>
                <w:rFonts w:ascii="宋体" w:hAnsi="宋体"/>
                <w:color w:val="auto"/>
                <w:sz w:val="24"/>
                <w:highlight w:val="none"/>
              </w:rPr>
            </w:pPr>
            <w:r>
              <w:rPr>
                <w:rFonts w:hint="eastAsia" w:ascii="宋体" w:hAnsi="宋体"/>
                <w:color w:val="auto"/>
                <w:sz w:val="24"/>
                <w:highlight w:val="none"/>
              </w:rPr>
              <w:t>（2）甲方与乙方对货物到货后共同进行开箱检查，出现损坏、数量不全或产品不对等问题时，由乙方负责解决。</w:t>
            </w:r>
          </w:p>
          <w:p w14:paraId="34D86E19">
            <w:pPr>
              <w:jc w:val="left"/>
              <w:rPr>
                <w:rFonts w:ascii="宋体" w:hAnsi="宋体"/>
                <w:color w:val="auto"/>
                <w:sz w:val="24"/>
                <w:highlight w:val="none"/>
              </w:rPr>
            </w:pPr>
            <w:r>
              <w:rPr>
                <w:rFonts w:hint="eastAsia" w:ascii="宋体" w:hAnsi="宋体"/>
                <w:color w:val="auto"/>
                <w:sz w:val="24"/>
                <w:highlight w:val="none"/>
              </w:rPr>
              <w:t>（3）甲方有权从乙方所送货物中任意抽出不同型号的产品送采购人所在地的质检部门检验，如果检验合格，检验费由甲方负担；如果检验不合格，则检验费由乙方负担。</w:t>
            </w:r>
          </w:p>
          <w:p w14:paraId="1E7FB61D">
            <w:pPr>
              <w:jc w:val="left"/>
              <w:rPr>
                <w:rFonts w:ascii="宋体" w:hAnsi="宋体"/>
                <w:color w:val="auto"/>
                <w:sz w:val="24"/>
                <w:highlight w:val="none"/>
              </w:rPr>
            </w:pPr>
            <w:r>
              <w:rPr>
                <w:rFonts w:hint="eastAsia" w:ascii="宋体" w:hAnsi="宋体"/>
                <w:color w:val="auto"/>
                <w:sz w:val="24"/>
                <w:highlight w:val="none"/>
              </w:rPr>
              <w:t>（4）乙方应按照本合同规定的时间、地点和方式向乙方交付货物。</w:t>
            </w:r>
          </w:p>
          <w:p w14:paraId="1205BF34">
            <w:pPr>
              <w:jc w:val="left"/>
              <w:rPr>
                <w:rFonts w:ascii="宋体" w:hAnsi="宋体"/>
                <w:color w:val="auto"/>
                <w:sz w:val="24"/>
                <w:highlight w:val="none"/>
              </w:rPr>
            </w:pPr>
            <w:r>
              <w:rPr>
                <w:rFonts w:hint="eastAsia" w:ascii="宋体" w:hAnsi="宋体"/>
                <w:color w:val="auto"/>
                <w:sz w:val="24"/>
                <w:highlight w:val="none"/>
              </w:rPr>
              <w:t>交货时间：</w:t>
            </w:r>
            <w:r>
              <w:rPr>
                <w:rFonts w:hint="eastAsia" w:ascii="宋体" w:hAnsi="宋体"/>
                <w:color w:val="auto"/>
                <w:sz w:val="24"/>
                <w:highlight w:val="none"/>
                <w:u w:val="single"/>
              </w:rPr>
              <w:t xml:space="preserve">          </w:t>
            </w:r>
            <w:r>
              <w:rPr>
                <w:rFonts w:hint="eastAsia" w:ascii="宋体" w:hAnsi="宋体"/>
                <w:color w:val="auto"/>
                <w:sz w:val="24"/>
                <w:highlight w:val="none"/>
              </w:rPr>
              <w:t>日前完成供货（安装）并交付使用。</w:t>
            </w:r>
          </w:p>
          <w:p w14:paraId="1F994706">
            <w:pPr>
              <w:jc w:val="left"/>
              <w:rPr>
                <w:rFonts w:ascii="宋体" w:hAnsi="宋体"/>
                <w:color w:val="auto"/>
                <w:sz w:val="24"/>
                <w:highlight w:val="none"/>
              </w:rPr>
            </w:pPr>
            <w:r>
              <w:rPr>
                <w:rFonts w:hint="eastAsia" w:ascii="宋体" w:hAnsi="宋体"/>
                <w:color w:val="auto"/>
                <w:sz w:val="24"/>
                <w:highlight w:val="none"/>
              </w:rPr>
              <w:t>交货地点：</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CF0E2DB">
            <w:pPr>
              <w:jc w:val="left"/>
              <w:rPr>
                <w:rFonts w:ascii="宋体" w:hAnsi="宋体"/>
                <w:color w:val="auto"/>
                <w:sz w:val="24"/>
                <w:highlight w:val="none"/>
              </w:rPr>
            </w:pPr>
            <w:r>
              <w:rPr>
                <w:rFonts w:hint="eastAsia" w:ascii="宋体" w:hAnsi="宋体"/>
                <w:color w:val="auto"/>
                <w:sz w:val="24"/>
                <w:highlight w:val="none"/>
              </w:rPr>
              <w:t>（5）甲方应在全部货物到货安装完毕后的</w:t>
            </w:r>
            <w:r>
              <w:rPr>
                <w:rFonts w:hint="eastAsia" w:ascii="宋体" w:hAnsi="宋体"/>
                <w:color w:val="auto"/>
                <w:sz w:val="24"/>
                <w:highlight w:val="none"/>
                <w:u w:val="single"/>
              </w:rPr>
              <w:t xml:space="preserve">     </w:t>
            </w:r>
            <w:r>
              <w:rPr>
                <w:rFonts w:hint="eastAsia" w:ascii="宋体" w:hAnsi="宋体"/>
                <w:color w:val="auto"/>
                <w:sz w:val="24"/>
                <w:highlight w:val="none"/>
              </w:rPr>
              <w:t>日内进行验收，验收包括：型号、规格、数量、外观是否完好，安装调试是否合格等。验收合格后甲方应在验收报告上签字盖章，初步验收合格且项目运行满</w:t>
            </w:r>
            <w:r>
              <w:rPr>
                <w:rFonts w:hint="eastAsia" w:ascii="宋体" w:hAnsi="宋体"/>
                <w:color w:val="auto"/>
                <w:sz w:val="24"/>
                <w:highlight w:val="none"/>
                <w:u w:val="single"/>
              </w:rPr>
              <w:t xml:space="preserve">     </w:t>
            </w:r>
            <w:r>
              <w:rPr>
                <w:rFonts w:hint="eastAsia" w:ascii="宋体" w:hAnsi="宋体"/>
                <w:color w:val="auto"/>
                <w:sz w:val="24"/>
                <w:highlight w:val="none"/>
              </w:rPr>
              <w:t>个月后，甲方组织对货物的质量及使用状况等进行最终验收。</w:t>
            </w:r>
          </w:p>
          <w:p w14:paraId="132A0A4A">
            <w:pPr>
              <w:jc w:val="left"/>
              <w:rPr>
                <w:rFonts w:ascii="宋体" w:hAnsi="宋体"/>
                <w:color w:val="auto"/>
                <w:sz w:val="24"/>
                <w:highlight w:val="none"/>
              </w:rPr>
            </w:pPr>
            <w:r>
              <w:rPr>
                <w:rFonts w:hint="eastAsia" w:ascii="宋体" w:hAnsi="宋体"/>
                <w:color w:val="auto"/>
                <w:sz w:val="24"/>
                <w:highlight w:val="none"/>
              </w:rPr>
              <w:t>（6）货到现场后，甲方人员根据招标要求，对包装物进行视检和抽检，如包装物不符合招标要求，甲方有权将包装物送至市级及以上检测机构送检。因检测不合格延误了交付进度，乙方应承担相应的违约责任。</w:t>
            </w:r>
          </w:p>
          <w:p w14:paraId="1EA9D248">
            <w:pPr>
              <w:jc w:val="left"/>
              <w:rPr>
                <w:rFonts w:ascii="宋体" w:hAnsi="宋体"/>
                <w:color w:val="auto"/>
                <w:sz w:val="24"/>
                <w:highlight w:val="none"/>
              </w:rPr>
            </w:pPr>
          </w:p>
        </w:tc>
      </w:tr>
      <w:tr w14:paraId="0936633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vAlign w:val="center"/>
          </w:tcPr>
          <w:p w14:paraId="5856E8F1">
            <w:pPr>
              <w:jc w:val="center"/>
              <w:rPr>
                <w:rFonts w:ascii="宋体" w:hAnsi="宋体"/>
                <w:color w:val="auto"/>
                <w:sz w:val="24"/>
                <w:highlight w:val="none"/>
              </w:rPr>
            </w:pPr>
          </w:p>
        </w:tc>
        <w:tc>
          <w:tcPr>
            <w:tcW w:w="1789" w:type="dxa"/>
            <w:vAlign w:val="center"/>
          </w:tcPr>
          <w:p w14:paraId="31251BE5">
            <w:pPr>
              <w:jc w:val="left"/>
              <w:rPr>
                <w:rFonts w:ascii="宋体" w:hAnsi="宋体"/>
                <w:bCs/>
                <w:color w:val="auto"/>
                <w:sz w:val="24"/>
                <w:highlight w:val="none"/>
              </w:rPr>
            </w:pPr>
            <w:r>
              <w:rPr>
                <w:rFonts w:hint="eastAsia" w:ascii="宋体" w:hAnsi="宋体"/>
                <w:bCs/>
                <w:color w:val="auto"/>
                <w:sz w:val="24"/>
                <w:highlight w:val="none"/>
              </w:rPr>
              <w:t>税费</w:t>
            </w:r>
          </w:p>
        </w:tc>
        <w:tc>
          <w:tcPr>
            <w:tcW w:w="5170" w:type="dxa"/>
            <w:vAlign w:val="center"/>
          </w:tcPr>
          <w:p w14:paraId="174E855C">
            <w:pPr>
              <w:jc w:val="left"/>
              <w:rPr>
                <w:rFonts w:ascii="宋体" w:hAnsi="宋体"/>
                <w:color w:val="auto"/>
                <w:sz w:val="24"/>
                <w:highlight w:val="none"/>
              </w:rPr>
            </w:pPr>
            <w:r>
              <w:rPr>
                <w:rFonts w:hint="eastAsia" w:ascii="宋体" w:hAnsi="宋体"/>
                <w:color w:val="auto"/>
                <w:sz w:val="24"/>
                <w:highlight w:val="none"/>
              </w:rPr>
              <w:t>1.中国政府根据现行税法规定对甲方征收的与本合同有关的一切税费均由甲方负担（免税部分除外），招标文件另有规定的除外。</w:t>
            </w:r>
          </w:p>
          <w:p w14:paraId="1C12069F">
            <w:pPr>
              <w:jc w:val="left"/>
              <w:rPr>
                <w:rFonts w:ascii="宋体" w:hAnsi="宋体"/>
                <w:color w:val="auto"/>
                <w:sz w:val="24"/>
                <w:highlight w:val="none"/>
              </w:rPr>
            </w:pPr>
            <w:r>
              <w:rPr>
                <w:rFonts w:hint="eastAsia" w:ascii="宋体" w:hAnsi="宋体"/>
                <w:color w:val="auto"/>
                <w:sz w:val="24"/>
                <w:highlight w:val="none"/>
              </w:rPr>
              <w:t>2.中国政府根据现行税法规定对乙方征收的与本合同有关的一切税费均由乙方负担（免税部分除外）。</w:t>
            </w:r>
          </w:p>
        </w:tc>
      </w:tr>
      <w:tr w14:paraId="49D145F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vAlign w:val="center"/>
          </w:tcPr>
          <w:p w14:paraId="5B32AC27">
            <w:pPr>
              <w:jc w:val="center"/>
              <w:rPr>
                <w:rFonts w:ascii="宋体" w:hAnsi="宋体"/>
                <w:color w:val="auto"/>
                <w:sz w:val="24"/>
                <w:highlight w:val="none"/>
              </w:rPr>
            </w:pPr>
          </w:p>
        </w:tc>
        <w:tc>
          <w:tcPr>
            <w:tcW w:w="1789" w:type="dxa"/>
            <w:vAlign w:val="center"/>
          </w:tcPr>
          <w:p w14:paraId="7CC469FC">
            <w:pPr>
              <w:jc w:val="left"/>
              <w:rPr>
                <w:rFonts w:ascii="宋体" w:hAnsi="宋体"/>
                <w:bCs/>
                <w:color w:val="auto"/>
                <w:sz w:val="24"/>
                <w:highlight w:val="none"/>
              </w:rPr>
            </w:pPr>
            <w:r>
              <w:rPr>
                <w:rFonts w:hint="eastAsia" w:ascii="宋体" w:hAnsi="宋体"/>
                <w:bCs/>
                <w:color w:val="auto"/>
                <w:sz w:val="24"/>
                <w:highlight w:val="none"/>
              </w:rPr>
              <w:t>伴随服务</w:t>
            </w:r>
          </w:p>
        </w:tc>
        <w:tc>
          <w:tcPr>
            <w:tcW w:w="5170" w:type="dxa"/>
            <w:vAlign w:val="center"/>
          </w:tcPr>
          <w:p w14:paraId="16545440">
            <w:pPr>
              <w:jc w:val="left"/>
              <w:rPr>
                <w:rFonts w:ascii="宋体" w:hAnsi="宋体"/>
                <w:color w:val="auto"/>
                <w:sz w:val="24"/>
                <w:highlight w:val="none"/>
              </w:rPr>
            </w:pPr>
            <w:r>
              <w:rPr>
                <w:rFonts w:hint="eastAsia" w:ascii="宋体" w:hAnsi="宋体"/>
                <w:color w:val="auto"/>
                <w:sz w:val="24"/>
                <w:highlight w:val="none"/>
              </w:rPr>
              <w:t>1.乙方应按照国家</w:t>
            </w:r>
            <w:r>
              <w:rPr>
                <w:rFonts w:hint="eastAsia" w:ascii="宋体" w:hAnsi="宋体"/>
                <w:b/>
                <w:color w:val="auto"/>
                <w:sz w:val="24"/>
                <w:highlight w:val="none"/>
              </w:rPr>
              <w:t>“新三包”</w:t>
            </w:r>
            <w:r>
              <w:rPr>
                <w:rFonts w:hint="eastAsia" w:ascii="宋体" w:hAnsi="宋体"/>
                <w:color w:val="auto"/>
                <w:sz w:val="24"/>
                <w:highlight w:val="none"/>
              </w:rPr>
              <w:t>规定和合同中所附的服务承诺提供服务。</w:t>
            </w:r>
          </w:p>
          <w:p w14:paraId="2B706FDE">
            <w:pPr>
              <w:jc w:val="left"/>
              <w:rPr>
                <w:rFonts w:ascii="宋体" w:hAnsi="宋体"/>
                <w:color w:val="auto"/>
                <w:sz w:val="24"/>
                <w:highlight w:val="none"/>
              </w:rPr>
            </w:pPr>
            <w:r>
              <w:rPr>
                <w:rFonts w:hint="eastAsia" w:ascii="宋体" w:hAnsi="宋体"/>
                <w:color w:val="auto"/>
                <w:sz w:val="24"/>
                <w:highlight w:val="none"/>
              </w:rPr>
              <w:t>2.除第1条规定外，乙方还应提供下列服务：</w:t>
            </w:r>
          </w:p>
          <w:p w14:paraId="0DBF1EFE">
            <w:pPr>
              <w:jc w:val="left"/>
              <w:rPr>
                <w:rFonts w:ascii="宋体" w:hAnsi="宋体"/>
                <w:b/>
                <w:color w:val="auto"/>
                <w:sz w:val="24"/>
                <w:highlight w:val="none"/>
              </w:rPr>
            </w:pPr>
            <w:r>
              <w:rPr>
                <w:rFonts w:hint="eastAsia" w:ascii="宋体" w:hAnsi="宋体"/>
                <w:b/>
                <w:color w:val="auto"/>
                <w:sz w:val="24"/>
                <w:highlight w:val="none"/>
              </w:rPr>
              <w:t xml:space="preserve"> (1) 招标文件中的“服务要求”所规定的服务内容以及投标文件承诺提供的其他服务内容；</w:t>
            </w:r>
          </w:p>
          <w:p w14:paraId="565CA428">
            <w:pPr>
              <w:jc w:val="left"/>
              <w:rPr>
                <w:rFonts w:ascii="宋体" w:hAnsi="宋体"/>
                <w:color w:val="auto"/>
                <w:sz w:val="24"/>
                <w:highlight w:val="none"/>
              </w:rPr>
            </w:pPr>
            <w:r>
              <w:rPr>
                <w:rFonts w:hint="eastAsia" w:ascii="宋体" w:hAnsi="宋体"/>
                <w:color w:val="auto"/>
                <w:sz w:val="24"/>
                <w:highlight w:val="none"/>
              </w:rPr>
              <w:t xml:space="preserve"> (2) 负责货物的开孔，货物的现场安装；</w:t>
            </w:r>
          </w:p>
          <w:p w14:paraId="31FCA5A4">
            <w:pPr>
              <w:jc w:val="left"/>
              <w:rPr>
                <w:rFonts w:ascii="宋体" w:hAnsi="宋体"/>
                <w:color w:val="auto"/>
                <w:sz w:val="24"/>
                <w:highlight w:val="none"/>
              </w:rPr>
            </w:pPr>
            <w:r>
              <w:rPr>
                <w:rFonts w:hint="eastAsia" w:ascii="宋体" w:hAnsi="宋体"/>
                <w:color w:val="auto"/>
                <w:sz w:val="24"/>
                <w:highlight w:val="none"/>
              </w:rPr>
              <w:t xml:space="preserve"> (3) 提供货物组装和维修所需的工具；</w:t>
            </w:r>
          </w:p>
          <w:p w14:paraId="0164346B">
            <w:pPr>
              <w:jc w:val="left"/>
              <w:rPr>
                <w:rFonts w:ascii="宋体" w:hAnsi="宋体"/>
                <w:color w:val="auto"/>
                <w:sz w:val="24"/>
                <w:highlight w:val="none"/>
              </w:rPr>
            </w:pPr>
            <w:r>
              <w:rPr>
                <w:rFonts w:hint="eastAsia" w:ascii="宋体" w:hAnsi="宋体"/>
                <w:color w:val="auto"/>
                <w:sz w:val="24"/>
                <w:highlight w:val="none"/>
              </w:rPr>
              <w:t xml:space="preserve"> (4) 在合同中乙方承诺的质保期限内对所提供货物正常使用实施监督、维修，但前提条件是该服务并不能免除乙方在质量保证期内应承担的义务；</w:t>
            </w:r>
          </w:p>
          <w:p w14:paraId="75E0A600">
            <w:pPr>
              <w:jc w:val="left"/>
              <w:rPr>
                <w:rFonts w:ascii="宋体" w:hAnsi="宋体"/>
                <w:color w:val="auto"/>
                <w:sz w:val="24"/>
                <w:highlight w:val="none"/>
              </w:rPr>
            </w:pPr>
            <w:r>
              <w:rPr>
                <w:rFonts w:hint="eastAsia" w:ascii="宋体" w:hAnsi="宋体"/>
                <w:color w:val="auto"/>
                <w:sz w:val="24"/>
                <w:highlight w:val="none"/>
              </w:rPr>
              <w:t xml:space="preserve"> (5) 在货物交货现场就货物的安装、启用、维护等对甲方人员进行培训。</w:t>
            </w:r>
          </w:p>
          <w:p w14:paraId="5C6F6768">
            <w:pPr>
              <w:jc w:val="left"/>
              <w:rPr>
                <w:rFonts w:ascii="宋体" w:hAnsi="宋体"/>
                <w:color w:val="auto"/>
                <w:sz w:val="24"/>
                <w:highlight w:val="none"/>
              </w:rPr>
            </w:pPr>
            <w:r>
              <w:rPr>
                <w:rFonts w:hint="eastAsia" w:ascii="宋体" w:hAnsi="宋体"/>
                <w:color w:val="auto"/>
                <w:sz w:val="24"/>
                <w:highlight w:val="none"/>
              </w:rPr>
              <w:t>3.伴随服务的费用应含在合同价中，不单独进行支付。</w:t>
            </w:r>
          </w:p>
        </w:tc>
      </w:tr>
      <w:tr w14:paraId="2548E21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vAlign w:val="center"/>
          </w:tcPr>
          <w:p w14:paraId="1D0AFEF5">
            <w:pPr>
              <w:jc w:val="center"/>
              <w:rPr>
                <w:rFonts w:ascii="宋体" w:hAnsi="宋体"/>
                <w:color w:val="auto"/>
                <w:sz w:val="24"/>
                <w:highlight w:val="none"/>
              </w:rPr>
            </w:pPr>
          </w:p>
        </w:tc>
        <w:tc>
          <w:tcPr>
            <w:tcW w:w="1789" w:type="dxa"/>
            <w:vAlign w:val="center"/>
          </w:tcPr>
          <w:p w14:paraId="45EEF16E">
            <w:pPr>
              <w:jc w:val="left"/>
              <w:rPr>
                <w:rFonts w:ascii="宋体" w:hAnsi="宋体"/>
                <w:color w:val="auto"/>
                <w:sz w:val="24"/>
                <w:highlight w:val="none"/>
              </w:rPr>
            </w:pPr>
            <w:r>
              <w:rPr>
                <w:rFonts w:hint="eastAsia" w:ascii="宋体" w:hAnsi="宋体"/>
                <w:color w:val="auto"/>
                <w:sz w:val="24"/>
                <w:highlight w:val="none"/>
              </w:rPr>
              <w:t>索赔</w:t>
            </w:r>
          </w:p>
          <w:p w14:paraId="6B0A04F0">
            <w:pPr>
              <w:jc w:val="left"/>
              <w:rPr>
                <w:rFonts w:ascii="宋体" w:hAnsi="宋体"/>
                <w:color w:val="auto"/>
                <w:sz w:val="24"/>
                <w:highlight w:val="none"/>
              </w:rPr>
            </w:pPr>
          </w:p>
        </w:tc>
        <w:tc>
          <w:tcPr>
            <w:tcW w:w="5170" w:type="dxa"/>
            <w:vAlign w:val="center"/>
          </w:tcPr>
          <w:p w14:paraId="4C0BF759">
            <w:pPr>
              <w:jc w:val="left"/>
              <w:rPr>
                <w:rFonts w:ascii="宋体" w:hAnsi="宋体"/>
                <w:color w:val="auto"/>
                <w:sz w:val="24"/>
                <w:highlight w:val="none"/>
              </w:rPr>
            </w:pPr>
            <w:r>
              <w:rPr>
                <w:rFonts w:hint="eastAsia" w:ascii="宋体" w:hAnsi="宋体"/>
                <w:color w:val="auto"/>
                <w:sz w:val="24"/>
                <w:highlight w:val="none"/>
              </w:rPr>
              <w:t>1.甲方有权根据当地质检部门出具的检验报告，向乙方提出索赔。</w:t>
            </w:r>
          </w:p>
          <w:p w14:paraId="06CD2839">
            <w:pPr>
              <w:jc w:val="left"/>
              <w:rPr>
                <w:rFonts w:ascii="宋体" w:hAnsi="宋体"/>
                <w:color w:val="auto"/>
                <w:sz w:val="24"/>
                <w:highlight w:val="none"/>
              </w:rPr>
            </w:pPr>
            <w:r>
              <w:rPr>
                <w:rFonts w:hint="eastAsia" w:ascii="宋体" w:hAnsi="宋体"/>
                <w:color w:val="auto"/>
                <w:sz w:val="24"/>
                <w:highlight w:val="none"/>
              </w:rPr>
              <w:t>2.根据合同规定的检验期和质量保证期内，如果乙方对甲方提出的索赔和差异负有责任，乙方应按照甲方同意的下列一种或多种方式解决索赔事宜：</w:t>
            </w:r>
          </w:p>
          <w:p w14:paraId="35666A92">
            <w:pPr>
              <w:jc w:val="left"/>
              <w:rPr>
                <w:rFonts w:ascii="宋体" w:hAnsi="宋体"/>
                <w:color w:val="auto"/>
                <w:sz w:val="24"/>
                <w:highlight w:val="none"/>
              </w:rPr>
            </w:pPr>
            <w:r>
              <w:rPr>
                <w:rFonts w:hint="eastAsia" w:ascii="宋体" w:hAnsi="宋体"/>
                <w:color w:val="auto"/>
                <w:sz w:val="24"/>
                <w:highlight w:val="none"/>
              </w:rPr>
              <w:t xml:space="preserve"> (1) 乙方同意退货，并用合同中规定的货币将货款退还给甲方，并承担由此发生的一切损失和费用，包括利息、银行手续费、运费、保险费、检验费、仓储费、装卸费以及为保护退回货物所需的其它必要费用。</w:t>
            </w:r>
          </w:p>
          <w:p w14:paraId="6AF21EF0">
            <w:pPr>
              <w:jc w:val="left"/>
              <w:rPr>
                <w:rFonts w:ascii="宋体" w:hAnsi="宋体"/>
                <w:color w:val="auto"/>
                <w:sz w:val="24"/>
                <w:highlight w:val="none"/>
              </w:rPr>
            </w:pPr>
            <w:r>
              <w:rPr>
                <w:rFonts w:hint="eastAsia" w:ascii="宋体" w:hAnsi="宋体"/>
                <w:color w:val="auto"/>
                <w:sz w:val="24"/>
                <w:highlight w:val="none"/>
              </w:rPr>
              <w:t xml:space="preserve"> (2) 根据货物的低劣程度、损坏程度以及甲方所遭受损失的数额，乙方必须降低货物的价格。</w:t>
            </w:r>
          </w:p>
          <w:p w14:paraId="2D617CE3">
            <w:pPr>
              <w:jc w:val="left"/>
              <w:rPr>
                <w:rFonts w:ascii="宋体" w:hAnsi="宋体"/>
                <w:color w:val="auto"/>
                <w:sz w:val="24"/>
                <w:highlight w:val="none"/>
              </w:rPr>
            </w:pPr>
            <w:r>
              <w:rPr>
                <w:rFonts w:hint="eastAsia" w:ascii="宋体" w:hAnsi="宋体"/>
                <w:color w:val="auto"/>
                <w:sz w:val="24"/>
                <w:highlight w:val="none"/>
              </w:rPr>
              <w:t>(3) 用符合合同规定的规格、质量和性能要求的新零件或部件来更换有缺陷的部分，乙方应承担一切费用和风险并负担甲方所蒙受的全部直接损失费用。同时，乙方应按合同规定，对更换件相应延长质量保证期。</w:t>
            </w:r>
          </w:p>
          <w:p w14:paraId="56BCCEBA">
            <w:pPr>
              <w:jc w:val="left"/>
              <w:rPr>
                <w:rFonts w:ascii="宋体" w:hAnsi="宋体"/>
                <w:color w:val="auto"/>
                <w:sz w:val="24"/>
                <w:highlight w:val="none"/>
              </w:rPr>
            </w:pPr>
            <w:r>
              <w:rPr>
                <w:rFonts w:hint="eastAsia" w:ascii="宋体" w:hAnsi="宋体"/>
                <w:color w:val="auto"/>
                <w:sz w:val="24"/>
                <w:highlight w:val="none"/>
              </w:rPr>
              <w:t>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p>
        </w:tc>
      </w:tr>
      <w:tr w14:paraId="6896D23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vAlign w:val="center"/>
          </w:tcPr>
          <w:p w14:paraId="4F207822">
            <w:pPr>
              <w:jc w:val="center"/>
              <w:rPr>
                <w:rFonts w:ascii="宋体" w:hAnsi="宋体"/>
                <w:color w:val="auto"/>
                <w:sz w:val="24"/>
                <w:highlight w:val="none"/>
              </w:rPr>
            </w:pPr>
          </w:p>
        </w:tc>
        <w:tc>
          <w:tcPr>
            <w:tcW w:w="1789" w:type="dxa"/>
            <w:vAlign w:val="center"/>
          </w:tcPr>
          <w:p w14:paraId="178236D3">
            <w:pPr>
              <w:jc w:val="left"/>
              <w:rPr>
                <w:rFonts w:ascii="宋体" w:hAnsi="宋体"/>
                <w:color w:val="auto"/>
                <w:sz w:val="24"/>
                <w:highlight w:val="none"/>
              </w:rPr>
            </w:pPr>
            <w:r>
              <w:rPr>
                <w:rFonts w:hint="eastAsia" w:ascii="宋体" w:hAnsi="宋体"/>
                <w:color w:val="auto"/>
                <w:sz w:val="24"/>
                <w:highlight w:val="none"/>
              </w:rPr>
              <w:t>合同生效</w:t>
            </w:r>
            <w:r>
              <w:rPr>
                <w:rFonts w:hint="eastAsia" w:ascii="宋体" w:hAnsi="宋体"/>
                <w:color w:val="auto"/>
                <w:sz w:val="24"/>
                <w:highlight w:val="none"/>
                <w:lang w:eastAsia="zh-CN"/>
              </w:rPr>
              <w:t>及其他</w:t>
            </w:r>
          </w:p>
          <w:p w14:paraId="0E384BB7">
            <w:pPr>
              <w:jc w:val="left"/>
              <w:rPr>
                <w:rFonts w:ascii="宋体" w:hAnsi="宋体"/>
                <w:bCs/>
                <w:color w:val="auto"/>
                <w:sz w:val="24"/>
                <w:highlight w:val="none"/>
              </w:rPr>
            </w:pPr>
          </w:p>
        </w:tc>
        <w:tc>
          <w:tcPr>
            <w:tcW w:w="5170" w:type="dxa"/>
            <w:vAlign w:val="center"/>
          </w:tcPr>
          <w:p w14:paraId="4D3AD7E7">
            <w:pPr>
              <w:jc w:val="left"/>
              <w:rPr>
                <w:rFonts w:ascii="宋体" w:hAnsi="宋体"/>
                <w:color w:val="auto"/>
                <w:sz w:val="24"/>
                <w:highlight w:val="none"/>
              </w:rPr>
            </w:pPr>
            <w:r>
              <w:rPr>
                <w:rFonts w:hint="eastAsia" w:ascii="宋体" w:hAnsi="宋体"/>
                <w:color w:val="auto"/>
                <w:sz w:val="24"/>
                <w:highlight w:val="none"/>
              </w:rPr>
              <w:t>1. 合同经甲方、乙方盖章后生效。</w:t>
            </w:r>
          </w:p>
          <w:p w14:paraId="25185FFE">
            <w:pPr>
              <w:jc w:val="left"/>
              <w:rPr>
                <w:rFonts w:ascii="宋体" w:hAnsi="宋体"/>
                <w:color w:val="auto"/>
                <w:sz w:val="24"/>
                <w:highlight w:val="none"/>
              </w:rPr>
            </w:pPr>
            <w:r>
              <w:rPr>
                <w:rFonts w:hint="eastAsia" w:ascii="宋体" w:hAnsi="宋体"/>
                <w:color w:val="auto"/>
                <w:sz w:val="24"/>
                <w:highlight w:val="none"/>
              </w:rPr>
              <w:t>2. 货物交付使用后所发生的合同纠纷，由甲方与乙方协商处理。</w:t>
            </w:r>
          </w:p>
          <w:p w14:paraId="550E801D">
            <w:pPr>
              <w:jc w:val="left"/>
              <w:rPr>
                <w:rFonts w:ascii="宋体" w:hAnsi="宋体"/>
                <w:color w:val="auto"/>
                <w:sz w:val="24"/>
                <w:highlight w:val="none"/>
              </w:rPr>
            </w:pPr>
            <w:r>
              <w:rPr>
                <w:rFonts w:hint="eastAsia" w:ascii="宋体" w:hAnsi="宋体"/>
                <w:color w:val="auto"/>
                <w:sz w:val="24"/>
                <w:highlight w:val="none"/>
              </w:rPr>
              <w:t>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p>
          <w:p w14:paraId="037D1038">
            <w:pPr>
              <w:jc w:val="left"/>
              <w:rPr>
                <w:rFonts w:ascii="宋体" w:hAnsi="宋体"/>
                <w:color w:val="auto"/>
                <w:sz w:val="24"/>
                <w:highlight w:val="none"/>
              </w:rPr>
            </w:pPr>
            <w:r>
              <w:rPr>
                <w:rFonts w:hint="eastAsia" w:ascii="宋体" w:hAnsi="宋体"/>
                <w:color w:val="auto"/>
                <w:sz w:val="24"/>
                <w:highlight w:val="none"/>
              </w:rPr>
              <w:t>4.本合同应按照中华人民共和国的现行法律进行解释。本合同未尽事宜，遵照《《</w:t>
            </w:r>
            <w:r>
              <w:rPr>
                <w:rFonts w:hint="eastAsia" w:ascii="宋体" w:hAnsi="宋体"/>
                <w:color w:val="auto"/>
                <w:sz w:val="24"/>
                <w:highlight w:val="none"/>
                <w:lang w:val="en-US" w:eastAsia="zh-CN"/>
              </w:rPr>
              <w:t>中华人民共和国</w:t>
            </w:r>
            <w:r>
              <w:rPr>
                <w:rFonts w:hint="eastAsia" w:ascii="宋体" w:hAnsi="宋体"/>
                <w:color w:val="auto"/>
                <w:sz w:val="24"/>
                <w:highlight w:val="none"/>
              </w:rPr>
              <w:t>民法典》、《《</w:t>
            </w:r>
            <w:r>
              <w:rPr>
                <w:rFonts w:hint="eastAsia" w:ascii="宋体" w:hAnsi="宋体"/>
                <w:color w:val="auto"/>
                <w:sz w:val="24"/>
                <w:highlight w:val="none"/>
                <w:lang w:val="en-US" w:eastAsia="zh-CN"/>
              </w:rPr>
              <w:t>中华人民共和国</w:t>
            </w:r>
            <w:r>
              <w:rPr>
                <w:rFonts w:hint="eastAsia" w:ascii="宋体" w:hAnsi="宋体"/>
                <w:color w:val="auto"/>
                <w:sz w:val="24"/>
                <w:highlight w:val="none"/>
              </w:rPr>
              <w:t>政府采购法》等有关条文执行。</w:t>
            </w:r>
          </w:p>
        </w:tc>
      </w:tr>
    </w:tbl>
    <w:p w14:paraId="742AF92A">
      <w:pPr>
        <w:pStyle w:val="13"/>
        <w:spacing w:before="120" w:beforeAutospacing="0" w:after="120" w:afterAutospacing="0" w:line="0" w:lineRule="atLeast"/>
        <w:jc w:val="center"/>
        <w:rPr>
          <w:rFonts w:hint="eastAsia" w:ascii="黑体" w:hAnsi="宋体" w:eastAsia="黑体" w:cs="黑体"/>
          <w:color w:val="000000"/>
          <w:sz w:val="44"/>
          <w:szCs w:val="44"/>
          <w:highlight w:val="none"/>
        </w:rPr>
      </w:pPr>
    </w:p>
    <w:p w14:paraId="5C440804">
      <w:pPr>
        <w:pStyle w:val="13"/>
        <w:spacing w:before="120" w:beforeAutospacing="0" w:after="120" w:afterAutospacing="0" w:line="0" w:lineRule="atLeast"/>
        <w:jc w:val="center"/>
        <w:rPr>
          <w:rFonts w:hint="eastAsia" w:ascii="黑体" w:hAnsi="宋体" w:eastAsia="黑体" w:cs="黑体"/>
          <w:color w:val="000000"/>
          <w:sz w:val="44"/>
          <w:szCs w:val="44"/>
          <w:highlight w:val="none"/>
        </w:rPr>
      </w:pPr>
    </w:p>
    <w:p w14:paraId="2D88F54C">
      <w:pPr>
        <w:pStyle w:val="13"/>
        <w:spacing w:before="120" w:beforeAutospacing="0" w:after="120" w:afterAutospacing="0" w:line="0" w:lineRule="atLeast"/>
        <w:jc w:val="center"/>
        <w:rPr>
          <w:rFonts w:hint="eastAsia" w:ascii="黑体" w:hAnsi="宋体" w:eastAsia="黑体" w:cs="黑体"/>
          <w:color w:val="000000"/>
          <w:sz w:val="44"/>
          <w:szCs w:val="44"/>
          <w:highlight w:val="none"/>
        </w:rPr>
      </w:pPr>
    </w:p>
    <w:p w14:paraId="2B5F0A0F">
      <w:pPr>
        <w:pStyle w:val="13"/>
        <w:spacing w:before="120" w:beforeAutospacing="0" w:after="120" w:afterAutospacing="0" w:line="0" w:lineRule="atLeast"/>
        <w:jc w:val="center"/>
        <w:rPr>
          <w:rFonts w:hint="eastAsia" w:ascii="黑体" w:hAnsi="宋体" w:eastAsia="黑体" w:cs="黑体"/>
          <w:color w:val="000000"/>
          <w:sz w:val="44"/>
          <w:szCs w:val="44"/>
          <w:highlight w:val="none"/>
        </w:rPr>
      </w:pPr>
    </w:p>
    <w:p w14:paraId="24DAA986">
      <w:pPr>
        <w:pStyle w:val="13"/>
        <w:spacing w:before="120" w:beforeAutospacing="0" w:after="120" w:afterAutospacing="0" w:line="0" w:lineRule="atLeast"/>
        <w:jc w:val="center"/>
        <w:rPr>
          <w:rFonts w:hint="eastAsia" w:ascii="黑体" w:hAnsi="宋体" w:eastAsia="黑体" w:cs="黑体"/>
          <w:color w:val="000000"/>
          <w:sz w:val="44"/>
          <w:szCs w:val="44"/>
          <w:highlight w:val="none"/>
        </w:rPr>
      </w:pPr>
    </w:p>
    <w:p w14:paraId="15D19EDF">
      <w:pPr>
        <w:pStyle w:val="13"/>
        <w:spacing w:before="120" w:beforeAutospacing="0" w:after="120" w:afterAutospacing="0" w:line="0" w:lineRule="atLeast"/>
        <w:jc w:val="center"/>
        <w:rPr>
          <w:rFonts w:hint="eastAsia" w:ascii="黑体" w:hAnsi="宋体" w:eastAsia="黑体" w:cs="黑体"/>
          <w:color w:val="000000"/>
          <w:sz w:val="44"/>
          <w:szCs w:val="44"/>
          <w:highlight w:val="none"/>
        </w:rPr>
      </w:pPr>
    </w:p>
    <w:p w14:paraId="006B6079">
      <w:pPr>
        <w:pStyle w:val="13"/>
        <w:spacing w:before="120" w:beforeAutospacing="0" w:after="120" w:afterAutospacing="0" w:line="0" w:lineRule="atLeast"/>
        <w:jc w:val="center"/>
        <w:rPr>
          <w:rFonts w:hint="eastAsia" w:ascii="黑体" w:hAnsi="宋体" w:eastAsia="黑体" w:cs="黑体"/>
          <w:color w:val="000000"/>
          <w:sz w:val="44"/>
          <w:szCs w:val="44"/>
          <w:highlight w:val="none"/>
        </w:rPr>
      </w:pPr>
    </w:p>
    <w:p w14:paraId="0DE2BC30">
      <w:pPr>
        <w:pStyle w:val="13"/>
        <w:spacing w:before="120" w:beforeAutospacing="0" w:after="120" w:afterAutospacing="0" w:line="0" w:lineRule="atLeast"/>
        <w:jc w:val="center"/>
        <w:rPr>
          <w:rFonts w:hint="eastAsia" w:ascii="黑体" w:hAnsi="宋体" w:eastAsia="黑体" w:cs="黑体"/>
          <w:color w:val="000000"/>
          <w:sz w:val="44"/>
          <w:szCs w:val="44"/>
          <w:highlight w:val="none"/>
        </w:rPr>
      </w:pPr>
    </w:p>
    <w:p w14:paraId="27607F9D">
      <w:pPr>
        <w:pStyle w:val="13"/>
        <w:spacing w:before="120" w:beforeAutospacing="0" w:after="120" w:afterAutospacing="0" w:line="0" w:lineRule="atLeast"/>
        <w:jc w:val="center"/>
        <w:rPr>
          <w:rFonts w:hint="eastAsia" w:ascii="黑体" w:hAnsi="宋体" w:eastAsia="黑体" w:cs="黑体"/>
          <w:color w:val="000000"/>
          <w:sz w:val="44"/>
          <w:szCs w:val="44"/>
          <w:highlight w:val="none"/>
        </w:rPr>
      </w:pPr>
    </w:p>
    <w:p w14:paraId="0837DAC6">
      <w:pPr>
        <w:pStyle w:val="13"/>
        <w:spacing w:before="120" w:beforeAutospacing="0" w:after="120" w:afterAutospacing="0" w:line="0" w:lineRule="atLeast"/>
        <w:jc w:val="center"/>
        <w:rPr>
          <w:rFonts w:hint="eastAsia" w:ascii="黑体" w:hAnsi="宋体" w:eastAsia="黑体" w:cs="黑体"/>
          <w:color w:val="000000"/>
          <w:sz w:val="44"/>
          <w:szCs w:val="44"/>
          <w:highlight w:val="none"/>
        </w:rPr>
      </w:pPr>
    </w:p>
    <w:p w14:paraId="2FECC980">
      <w:pPr>
        <w:pStyle w:val="13"/>
        <w:spacing w:before="120" w:beforeAutospacing="0" w:after="120" w:afterAutospacing="0" w:line="0" w:lineRule="atLeast"/>
        <w:jc w:val="center"/>
        <w:rPr>
          <w:rFonts w:hint="eastAsia" w:ascii="黑体" w:hAnsi="宋体" w:eastAsia="黑体" w:cs="黑体"/>
          <w:color w:val="000000"/>
          <w:sz w:val="44"/>
          <w:szCs w:val="44"/>
          <w:highlight w:val="none"/>
        </w:rPr>
      </w:pPr>
    </w:p>
    <w:p w14:paraId="3AFA8F2E">
      <w:pPr>
        <w:pStyle w:val="13"/>
        <w:spacing w:before="120" w:beforeAutospacing="0" w:after="120" w:afterAutospacing="0" w:line="0" w:lineRule="atLeast"/>
        <w:jc w:val="center"/>
        <w:rPr>
          <w:rFonts w:hint="eastAsia" w:ascii="黑体" w:hAnsi="宋体" w:eastAsia="黑体" w:cs="黑体"/>
          <w:color w:val="000000"/>
          <w:sz w:val="44"/>
          <w:szCs w:val="44"/>
          <w:highlight w:val="none"/>
        </w:rPr>
      </w:pPr>
    </w:p>
    <w:p w14:paraId="1FCF63DA">
      <w:pPr>
        <w:pStyle w:val="13"/>
        <w:spacing w:before="120" w:beforeAutospacing="0" w:after="120" w:afterAutospacing="0" w:line="0" w:lineRule="atLeast"/>
        <w:jc w:val="center"/>
        <w:rPr>
          <w:rFonts w:hint="eastAsia" w:ascii="黑体" w:hAnsi="宋体" w:eastAsia="黑体" w:cs="黑体"/>
          <w:color w:val="000000"/>
          <w:sz w:val="44"/>
          <w:szCs w:val="44"/>
          <w:highlight w:val="none"/>
        </w:rPr>
      </w:pPr>
    </w:p>
    <w:p w14:paraId="3A6CDAD3">
      <w:pPr>
        <w:pStyle w:val="13"/>
        <w:spacing w:before="120" w:beforeAutospacing="0" w:after="120" w:afterAutospacing="0" w:line="0" w:lineRule="atLeast"/>
        <w:jc w:val="cente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t>  </w:t>
      </w:r>
    </w:p>
    <w:p w14:paraId="476887B5">
      <w:pPr>
        <w:pStyle w:val="13"/>
        <w:spacing w:before="120" w:beforeAutospacing="0" w:after="120" w:afterAutospacing="0" w:line="0" w:lineRule="atLeast"/>
        <w:jc w:val="center"/>
        <w:rPr>
          <w:highlight w:val="none"/>
        </w:rPr>
      </w:pPr>
      <w:r>
        <w:rPr>
          <w:rFonts w:hint="eastAsia" w:ascii="黑体" w:hAnsi="宋体" w:eastAsia="黑体" w:cs="黑体"/>
          <w:color w:val="000000"/>
          <w:sz w:val="44"/>
          <w:szCs w:val="44"/>
          <w:highlight w:val="none"/>
        </w:rPr>
        <w:t>第</w:t>
      </w:r>
      <w:bookmarkEnd w:id="6"/>
      <w:r>
        <w:rPr>
          <w:rFonts w:hint="eastAsia" w:ascii="黑体" w:hAnsi="宋体" w:eastAsia="黑体" w:cs="黑体"/>
          <w:color w:val="000000"/>
          <w:sz w:val="44"/>
          <w:szCs w:val="44"/>
          <w:highlight w:val="none"/>
        </w:rPr>
        <w:t>四章 采购需求</w:t>
      </w:r>
      <w:bookmarkEnd w:id="7"/>
      <w:bookmarkEnd w:id="8"/>
      <w:bookmarkEnd w:id="9"/>
      <w:bookmarkEnd w:id="10"/>
      <w:bookmarkEnd w:id="11"/>
    </w:p>
    <w:p w14:paraId="55BB5D3D">
      <w:pPr>
        <w:pStyle w:val="13"/>
        <w:spacing w:beforeAutospacing="0" w:afterAutospacing="0" w:line="0" w:lineRule="atLeast"/>
        <w:jc w:val="both"/>
        <w:rPr>
          <w:rFonts w:hint="eastAsia" w:ascii="宋体" w:hAnsi="宋体" w:eastAsia="宋体" w:cs="宋体"/>
          <w:sz w:val="24"/>
          <w:szCs w:val="24"/>
          <w:highlight w:val="none"/>
          <w:shd w:val="clear" w:color="auto" w:fill="auto"/>
        </w:rPr>
      </w:pPr>
      <w:bookmarkStart w:id="172" w:name="_Toc26554093"/>
      <w:bookmarkStart w:id="173" w:name="_Toc49090575"/>
      <w:r>
        <w:rPr>
          <w:rFonts w:hint="eastAsia" w:ascii="宋体" w:hAnsi="宋体" w:eastAsia="宋体" w:cs="宋体"/>
          <w:color w:val="000000"/>
          <w:sz w:val="24"/>
          <w:szCs w:val="24"/>
          <w:highlight w:val="none"/>
        </w:rPr>
        <w:t>项目属性:货物类项目</w:t>
      </w:r>
      <w:r>
        <w:rPr>
          <w:rFonts w:hint="eastAsia" w:ascii="宋体" w:hAnsi="宋体" w:eastAsia="宋体" w:cs="宋体"/>
          <w:color w:val="000000"/>
          <w:sz w:val="24"/>
          <w:szCs w:val="24"/>
          <w:highlight w:val="none"/>
          <w:shd w:val="clear" w:color="auto" w:fill="auto"/>
        </w:rPr>
        <w:t>。</w:t>
      </w:r>
      <w:bookmarkEnd w:id="172"/>
      <w:bookmarkEnd w:id="173"/>
    </w:p>
    <w:p w14:paraId="79AB4B67">
      <w:pPr>
        <w:pStyle w:val="13"/>
        <w:spacing w:beforeAutospacing="0" w:afterAutospacing="0" w:line="0" w:lineRule="atLeast"/>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66286D40">
      <w:pPr>
        <w:widowControl w:val="0"/>
        <w:spacing w:line="360" w:lineRule="auto"/>
        <w:ind w:firstLine="482"/>
        <w:jc w:val="both"/>
        <w:rPr>
          <w:rFonts w:ascii="宋体" w:hAnsi="宋体" w:eastAsia="宋体"/>
          <w:b/>
          <w:bCs/>
          <w:color w:val="auto"/>
          <w:spacing w:val="0"/>
          <w:sz w:val="28"/>
          <w:szCs w:val="28"/>
        </w:rPr>
      </w:pPr>
      <w:r>
        <w:rPr>
          <w:rFonts w:hint="eastAsia" w:ascii="宋体" w:hAnsi="宋体" w:eastAsia="宋体"/>
          <w:b/>
          <w:bCs/>
          <w:color w:val="auto"/>
          <w:spacing w:val="0"/>
          <w:sz w:val="28"/>
          <w:szCs w:val="28"/>
        </w:rPr>
        <w:t>一、建设总体要求</w:t>
      </w:r>
    </w:p>
    <w:p w14:paraId="423E3AAB">
      <w:pPr>
        <w:widowControl w:val="0"/>
        <w:spacing w:line="360" w:lineRule="auto"/>
        <w:jc w:val="both"/>
        <w:rPr>
          <w:rFonts w:ascii="宋体" w:hAnsi="宋体" w:eastAsia="宋体"/>
          <w:color w:val="auto"/>
          <w:spacing w:val="0"/>
          <w:sz w:val="24"/>
          <w:szCs w:val="24"/>
        </w:rPr>
      </w:pPr>
      <w:r>
        <w:rPr>
          <w:rFonts w:hint="eastAsia" w:ascii="宋体" w:hAnsi="宋体" w:eastAsia="宋体"/>
          <w:color w:val="auto"/>
          <w:spacing w:val="0"/>
          <w:sz w:val="24"/>
          <w:szCs w:val="24"/>
        </w:rPr>
        <w:t>1、本项目招标包括以下内容：</w:t>
      </w:r>
    </w:p>
    <w:p w14:paraId="67A78CFA">
      <w:pPr>
        <w:widowControl w:val="0"/>
        <w:spacing w:line="360" w:lineRule="auto"/>
        <w:ind w:firstLine="482"/>
        <w:jc w:val="both"/>
        <w:rPr>
          <w:rFonts w:hint="eastAsia" w:ascii="宋体" w:hAnsi="宋体" w:eastAsia="宋体"/>
          <w:color w:val="auto"/>
          <w:spacing w:val="0"/>
          <w:sz w:val="24"/>
          <w:szCs w:val="24"/>
          <w:highlight w:val="none"/>
          <w:lang w:eastAsia="zh-CN"/>
        </w:rPr>
      </w:pPr>
      <w:bookmarkStart w:id="174" w:name="_Toc20320051"/>
      <w:r>
        <w:rPr>
          <w:rFonts w:hint="eastAsia" w:ascii="宋体" w:hAnsi="宋体" w:eastAsia="宋体"/>
          <w:color w:val="auto"/>
          <w:spacing w:val="0"/>
          <w:sz w:val="24"/>
          <w:szCs w:val="24"/>
          <w:highlight w:val="none"/>
        </w:rPr>
        <w:t>常规水质五参数(水温、PH值、电导率、溶解氧、浊度)。监测因子:高锰酸盐指数、化学需氧量、总磷、总氮、氨氮、流向流速仪。微型标准集成站房，三通一平(自来水、电、网络、场地平整)，</w:t>
      </w:r>
      <w:r>
        <w:rPr>
          <w:rFonts w:hint="eastAsia" w:ascii="宋体" w:hAnsi="宋体" w:eastAsia="宋体"/>
          <w:color w:val="auto"/>
          <w:spacing w:val="0"/>
          <w:sz w:val="24"/>
          <w:szCs w:val="24"/>
          <w:highlight w:val="none"/>
          <w:lang w:val="en-US" w:eastAsia="zh-CN"/>
        </w:rPr>
        <w:t>三</w:t>
      </w:r>
      <w:r>
        <w:rPr>
          <w:rFonts w:hint="eastAsia" w:ascii="宋体" w:hAnsi="宋体" w:eastAsia="宋体"/>
          <w:color w:val="auto"/>
          <w:spacing w:val="0"/>
          <w:sz w:val="24"/>
          <w:szCs w:val="24"/>
          <w:highlight w:val="none"/>
          <w:lang w:eastAsia="zh-CN"/>
        </w:rPr>
        <w:t>年</w:t>
      </w:r>
      <w:r>
        <w:rPr>
          <w:rFonts w:hint="eastAsia" w:ascii="宋体" w:hAnsi="宋体" w:eastAsia="宋体"/>
          <w:color w:val="auto"/>
          <w:spacing w:val="0"/>
          <w:sz w:val="24"/>
          <w:szCs w:val="24"/>
          <w:highlight w:val="none"/>
        </w:rPr>
        <w:t>运维服务</w:t>
      </w:r>
      <w:r>
        <w:rPr>
          <w:rFonts w:hint="eastAsia" w:ascii="宋体" w:hAnsi="宋体"/>
          <w:color w:val="auto"/>
          <w:spacing w:val="0"/>
          <w:sz w:val="24"/>
          <w:szCs w:val="24"/>
          <w:highlight w:val="none"/>
          <w:lang w:eastAsia="zh-CN"/>
        </w:rPr>
        <w:t>。</w:t>
      </w:r>
    </w:p>
    <w:p w14:paraId="4CDC8E3E">
      <w:pPr>
        <w:widowControl w:val="0"/>
        <w:spacing w:line="360" w:lineRule="auto"/>
        <w:ind w:firstLine="482"/>
        <w:jc w:val="both"/>
        <w:rPr>
          <w:rFonts w:hint="eastAsia" w:ascii="宋体" w:hAnsi="宋体" w:eastAsia="宋体"/>
          <w:b/>
          <w:bCs/>
          <w:color w:val="auto"/>
          <w:spacing w:val="0"/>
          <w:sz w:val="28"/>
          <w:szCs w:val="28"/>
        </w:rPr>
      </w:pPr>
      <w:r>
        <w:rPr>
          <w:rFonts w:hint="eastAsia" w:ascii="宋体" w:hAnsi="宋体" w:eastAsia="宋体"/>
          <w:b/>
          <w:bCs/>
          <w:color w:val="auto"/>
          <w:spacing w:val="0"/>
          <w:sz w:val="28"/>
          <w:szCs w:val="28"/>
        </w:rPr>
        <w:t>二、建设具体内容</w:t>
      </w:r>
      <w:bookmarkEnd w:id="174"/>
    </w:p>
    <w:p w14:paraId="36BEFFC2">
      <w:pPr>
        <w:widowControl w:val="0"/>
        <w:spacing w:line="360" w:lineRule="auto"/>
        <w:ind w:firstLine="480"/>
        <w:jc w:val="both"/>
        <w:rPr>
          <w:rFonts w:ascii="宋体" w:hAnsi="宋体" w:eastAsia="宋体"/>
          <w:color w:val="auto"/>
          <w:spacing w:val="0"/>
          <w:sz w:val="24"/>
          <w:szCs w:val="24"/>
        </w:rPr>
      </w:pPr>
      <w:r>
        <w:rPr>
          <w:rFonts w:hint="eastAsia" w:ascii="宋体" w:hAnsi="宋体" w:eastAsia="宋体"/>
          <w:color w:val="auto"/>
          <w:spacing w:val="0"/>
          <w:sz w:val="24"/>
          <w:szCs w:val="24"/>
        </w:rPr>
        <w:t>项目内新建水站主要建设内容包括常规五参数、</w:t>
      </w:r>
      <w:r>
        <w:rPr>
          <w:rFonts w:hint="eastAsia" w:ascii="宋体" w:hAnsi="宋体" w:eastAsia="宋体"/>
          <w:color w:val="auto"/>
          <w:spacing w:val="0"/>
          <w:sz w:val="24"/>
          <w:szCs w:val="24"/>
          <w:highlight w:val="none"/>
        </w:rPr>
        <w:t>高锰酸盐指数、化学需氧量、总磷、总氮、氨氮、流向流速仪</w:t>
      </w:r>
      <w:r>
        <w:rPr>
          <w:rFonts w:hint="eastAsia" w:ascii="宋体" w:hAnsi="宋体" w:eastAsia="宋体"/>
          <w:color w:val="auto"/>
          <w:spacing w:val="0"/>
          <w:sz w:val="24"/>
          <w:szCs w:val="24"/>
        </w:rPr>
        <w:t>监测仪器和系统集成（采水单元、配水单元、留样单元、控制单元、辅助单元及安防单元）。</w:t>
      </w:r>
    </w:p>
    <w:p w14:paraId="51CE5934">
      <w:pPr>
        <w:widowControl w:val="0"/>
        <w:spacing w:line="360" w:lineRule="auto"/>
        <w:ind w:firstLine="480"/>
        <w:jc w:val="both"/>
        <w:rPr>
          <w:rFonts w:ascii="宋体" w:hAnsi="宋体" w:eastAsia="宋体"/>
          <w:color w:val="auto"/>
          <w:spacing w:val="0"/>
          <w:sz w:val="24"/>
          <w:szCs w:val="24"/>
        </w:rPr>
      </w:pPr>
      <w:r>
        <w:rPr>
          <w:rFonts w:hint="eastAsia" w:ascii="宋体" w:hAnsi="宋体" w:eastAsia="宋体"/>
          <w:color w:val="auto"/>
          <w:spacing w:val="0"/>
          <w:sz w:val="24"/>
          <w:szCs w:val="24"/>
        </w:rPr>
        <w:t>建设内容如下：</w:t>
      </w:r>
    </w:p>
    <w:tbl>
      <w:tblPr>
        <w:tblStyle w:val="15"/>
        <w:tblW w:w="10118"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606"/>
        <w:gridCol w:w="816"/>
        <w:gridCol w:w="3237"/>
        <w:gridCol w:w="2049"/>
        <w:gridCol w:w="818"/>
        <w:gridCol w:w="1296"/>
        <w:gridCol w:w="1296"/>
      </w:tblGrid>
      <w:tr w14:paraId="749659C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606" w:type="dxa"/>
            <w:tcBorders>
              <w:top w:val="single" w:color="auto" w:sz="2" w:space="0"/>
              <w:left w:val="single" w:color="auto" w:sz="2" w:space="0"/>
              <w:bottom w:val="single" w:color="auto" w:sz="4" w:space="0"/>
              <w:right w:val="single" w:color="auto" w:sz="4" w:space="0"/>
            </w:tcBorders>
            <w:noWrap w:val="0"/>
            <w:vAlign w:val="center"/>
          </w:tcPr>
          <w:p w14:paraId="21431229">
            <w:pPr>
              <w:widowControl w:val="0"/>
              <w:spacing w:line="288" w:lineRule="auto"/>
              <w:jc w:val="center"/>
              <w:rPr>
                <w:rFonts w:ascii="宋体" w:hAnsi="宋体" w:eastAsia="宋体" w:cs="宋体"/>
                <w:color w:val="auto"/>
                <w:spacing w:val="0"/>
                <w:sz w:val="24"/>
                <w:szCs w:val="24"/>
              </w:rPr>
            </w:pPr>
            <w:r>
              <w:rPr>
                <w:rFonts w:hint="eastAsia" w:ascii="宋体" w:hAnsi="宋体" w:eastAsia="宋体"/>
                <w:color w:val="auto"/>
                <w:spacing w:val="0"/>
                <w:sz w:val="24"/>
                <w:szCs w:val="24"/>
              </w:rPr>
              <w:t>序</w:t>
            </w:r>
          </w:p>
          <w:p w14:paraId="192DD217">
            <w:pPr>
              <w:widowControl w:val="0"/>
              <w:spacing w:line="288" w:lineRule="auto"/>
              <w:jc w:val="center"/>
              <w:rPr>
                <w:rFonts w:ascii="宋体" w:hAnsi="宋体" w:eastAsia="宋体" w:cs="宋体"/>
                <w:color w:val="auto"/>
                <w:spacing w:val="0"/>
                <w:sz w:val="24"/>
                <w:szCs w:val="24"/>
              </w:rPr>
            </w:pPr>
            <w:r>
              <w:rPr>
                <w:rFonts w:hint="eastAsia" w:ascii="宋体" w:hAnsi="宋体" w:eastAsia="宋体"/>
                <w:color w:val="auto"/>
                <w:spacing w:val="0"/>
                <w:sz w:val="24"/>
                <w:szCs w:val="24"/>
              </w:rPr>
              <w:t>号</w:t>
            </w:r>
          </w:p>
        </w:tc>
        <w:tc>
          <w:tcPr>
            <w:tcW w:w="816" w:type="dxa"/>
            <w:tcBorders>
              <w:top w:val="single" w:color="auto" w:sz="2" w:space="0"/>
              <w:left w:val="single" w:color="auto" w:sz="4" w:space="0"/>
              <w:bottom w:val="single" w:color="auto" w:sz="4" w:space="0"/>
              <w:right w:val="single" w:color="auto" w:sz="4" w:space="0"/>
            </w:tcBorders>
            <w:noWrap w:val="0"/>
            <w:vAlign w:val="center"/>
          </w:tcPr>
          <w:p w14:paraId="03D98C7A">
            <w:pPr>
              <w:widowControl w:val="0"/>
              <w:spacing w:line="288" w:lineRule="auto"/>
              <w:jc w:val="center"/>
              <w:rPr>
                <w:rFonts w:ascii="宋体" w:hAnsi="宋体" w:eastAsia="宋体" w:cs="宋体"/>
                <w:color w:val="auto"/>
                <w:spacing w:val="0"/>
                <w:sz w:val="24"/>
                <w:szCs w:val="24"/>
              </w:rPr>
            </w:pPr>
            <w:r>
              <w:rPr>
                <w:rFonts w:hint="eastAsia" w:ascii="宋体" w:hAnsi="宋体" w:eastAsia="宋体"/>
                <w:color w:val="auto"/>
                <w:spacing w:val="0"/>
                <w:sz w:val="24"/>
                <w:szCs w:val="24"/>
              </w:rPr>
              <w:t>系统</w:t>
            </w:r>
          </w:p>
          <w:p w14:paraId="2B659F3F">
            <w:pPr>
              <w:widowControl w:val="0"/>
              <w:spacing w:line="288" w:lineRule="auto"/>
              <w:jc w:val="center"/>
              <w:rPr>
                <w:rFonts w:ascii="宋体" w:hAnsi="宋体" w:eastAsia="宋体" w:cs="宋体"/>
                <w:color w:val="auto"/>
                <w:spacing w:val="0"/>
                <w:sz w:val="24"/>
                <w:szCs w:val="24"/>
              </w:rPr>
            </w:pPr>
            <w:r>
              <w:rPr>
                <w:rFonts w:hint="eastAsia" w:ascii="宋体" w:hAnsi="宋体" w:eastAsia="宋体"/>
                <w:color w:val="auto"/>
                <w:spacing w:val="0"/>
                <w:sz w:val="24"/>
                <w:szCs w:val="24"/>
              </w:rPr>
              <w:t>分类</w:t>
            </w:r>
          </w:p>
        </w:tc>
        <w:tc>
          <w:tcPr>
            <w:tcW w:w="3237" w:type="dxa"/>
            <w:tcBorders>
              <w:top w:val="single" w:color="auto" w:sz="2" w:space="0"/>
              <w:left w:val="single" w:color="auto" w:sz="4" w:space="0"/>
              <w:bottom w:val="single" w:color="auto" w:sz="2" w:space="0"/>
              <w:right w:val="single" w:color="auto" w:sz="4" w:space="0"/>
            </w:tcBorders>
            <w:noWrap w:val="0"/>
            <w:vAlign w:val="center"/>
          </w:tcPr>
          <w:p w14:paraId="253425EF">
            <w:pPr>
              <w:widowControl w:val="0"/>
              <w:spacing w:line="288" w:lineRule="auto"/>
              <w:jc w:val="center"/>
              <w:rPr>
                <w:rFonts w:ascii="宋体" w:hAnsi="宋体" w:eastAsia="宋体" w:cs="宋体"/>
                <w:color w:val="auto"/>
                <w:spacing w:val="0"/>
                <w:sz w:val="24"/>
                <w:szCs w:val="24"/>
              </w:rPr>
            </w:pPr>
            <w:r>
              <w:rPr>
                <w:rFonts w:hint="eastAsia" w:ascii="宋体" w:hAnsi="宋体" w:eastAsia="宋体"/>
                <w:color w:val="auto"/>
                <w:spacing w:val="0"/>
                <w:sz w:val="24"/>
                <w:szCs w:val="24"/>
              </w:rPr>
              <w:t>仪器设备明细</w:t>
            </w:r>
          </w:p>
        </w:tc>
        <w:tc>
          <w:tcPr>
            <w:tcW w:w="2049" w:type="dxa"/>
            <w:tcBorders>
              <w:top w:val="single" w:color="auto" w:sz="2" w:space="0"/>
              <w:left w:val="single" w:color="auto" w:sz="4" w:space="0"/>
              <w:bottom w:val="single" w:color="auto" w:sz="2" w:space="0"/>
              <w:right w:val="single" w:color="auto" w:sz="4" w:space="0"/>
            </w:tcBorders>
            <w:noWrap w:val="0"/>
            <w:vAlign w:val="center"/>
          </w:tcPr>
          <w:p w14:paraId="128D009B">
            <w:pPr>
              <w:widowControl w:val="0"/>
              <w:spacing w:line="288" w:lineRule="auto"/>
              <w:jc w:val="center"/>
              <w:rPr>
                <w:rFonts w:ascii="宋体" w:hAnsi="宋体" w:eastAsia="宋体" w:cs="宋体"/>
                <w:color w:val="auto"/>
                <w:spacing w:val="0"/>
                <w:sz w:val="24"/>
                <w:szCs w:val="24"/>
              </w:rPr>
            </w:pPr>
            <w:r>
              <w:rPr>
                <w:rFonts w:hint="eastAsia" w:ascii="宋体" w:hAnsi="宋体" w:eastAsia="宋体"/>
                <w:color w:val="auto"/>
                <w:spacing w:val="0"/>
                <w:sz w:val="24"/>
                <w:szCs w:val="24"/>
              </w:rPr>
              <w:t>技术参数</w:t>
            </w:r>
          </w:p>
        </w:tc>
        <w:tc>
          <w:tcPr>
            <w:tcW w:w="818" w:type="dxa"/>
            <w:tcBorders>
              <w:top w:val="single" w:color="auto" w:sz="2" w:space="0"/>
              <w:left w:val="single" w:color="auto" w:sz="4" w:space="0"/>
              <w:bottom w:val="single" w:color="auto" w:sz="2" w:space="0"/>
              <w:right w:val="single" w:color="auto" w:sz="4" w:space="0"/>
            </w:tcBorders>
            <w:noWrap w:val="0"/>
            <w:vAlign w:val="center"/>
          </w:tcPr>
          <w:p w14:paraId="4405D994">
            <w:pPr>
              <w:widowControl w:val="0"/>
              <w:spacing w:line="288" w:lineRule="auto"/>
              <w:jc w:val="center"/>
              <w:rPr>
                <w:rFonts w:ascii="宋体" w:hAnsi="宋体" w:eastAsia="宋体" w:cs="宋体"/>
                <w:color w:val="auto"/>
                <w:spacing w:val="0"/>
                <w:sz w:val="24"/>
                <w:szCs w:val="24"/>
                <w:highlight w:val="none"/>
              </w:rPr>
            </w:pPr>
            <w:r>
              <w:rPr>
                <w:rFonts w:hint="eastAsia" w:ascii="宋体" w:hAnsi="宋体" w:eastAsia="宋体"/>
                <w:color w:val="auto"/>
                <w:spacing w:val="0"/>
                <w:sz w:val="24"/>
                <w:szCs w:val="24"/>
                <w:highlight w:val="none"/>
              </w:rPr>
              <w:t>数量</w:t>
            </w:r>
          </w:p>
          <w:p w14:paraId="5FF14804">
            <w:pPr>
              <w:widowControl w:val="0"/>
              <w:spacing w:line="288" w:lineRule="auto"/>
              <w:jc w:val="center"/>
              <w:rPr>
                <w:rFonts w:ascii="宋体" w:hAnsi="宋体" w:eastAsia="宋体" w:cs="宋体"/>
                <w:color w:val="auto"/>
                <w:spacing w:val="0"/>
                <w:sz w:val="24"/>
                <w:szCs w:val="24"/>
                <w:highlight w:val="none"/>
              </w:rPr>
            </w:pPr>
            <w:r>
              <w:rPr>
                <w:rFonts w:hint="eastAsia" w:ascii="宋体" w:hAnsi="宋体" w:eastAsia="宋体"/>
                <w:color w:val="auto"/>
                <w:spacing w:val="0"/>
                <w:sz w:val="24"/>
                <w:szCs w:val="24"/>
                <w:highlight w:val="none"/>
              </w:rPr>
              <w:t>(套)</w:t>
            </w:r>
          </w:p>
        </w:tc>
        <w:tc>
          <w:tcPr>
            <w:tcW w:w="1296" w:type="dxa"/>
            <w:tcBorders>
              <w:top w:val="single" w:color="auto" w:sz="2" w:space="0"/>
              <w:left w:val="single" w:color="auto" w:sz="4" w:space="0"/>
              <w:bottom w:val="single" w:color="auto" w:sz="2" w:space="0"/>
              <w:right w:val="single" w:color="auto" w:sz="2" w:space="0"/>
            </w:tcBorders>
            <w:noWrap w:val="0"/>
            <w:vAlign w:val="center"/>
          </w:tcPr>
          <w:p w14:paraId="1710C464">
            <w:pPr>
              <w:widowControl w:val="0"/>
              <w:spacing w:line="288" w:lineRule="auto"/>
              <w:jc w:val="center"/>
              <w:rPr>
                <w:rFonts w:hint="eastAsia" w:ascii="宋体" w:hAnsi="宋体" w:eastAsia="宋体"/>
                <w:color w:val="auto"/>
                <w:spacing w:val="0"/>
                <w:sz w:val="24"/>
                <w:szCs w:val="24"/>
                <w:highlight w:val="none"/>
              </w:rPr>
            </w:pPr>
            <w:r>
              <w:rPr>
                <w:rFonts w:hint="eastAsia" w:asciiTheme="majorEastAsia" w:hAnsiTheme="majorEastAsia" w:eastAsiaTheme="majorEastAsia" w:cstheme="majorEastAsia"/>
                <w:b w:val="0"/>
                <w:bCs w:val="0"/>
                <w:spacing w:val="-1"/>
                <w:sz w:val="24"/>
                <w:szCs w:val="24"/>
                <w:lang w:val="en-US" w:eastAsia="zh-CN" w:bidi="zh-CN"/>
              </w:rPr>
              <w:t>产品所属行业</w:t>
            </w:r>
          </w:p>
        </w:tc>
        <w:tc>
          <w:tcPr>
            <w:tcW w:w="1296" w:type="dxa"/>
            <w:tcBorders>
              <w:top w:val="single" w:color="auto" w:sz="2" w:space="0"/>
              <w:left w:val="single" w:color="auto" w:sz="4" w:space="0"/>
              <w:bottom w:val="single" w:color="auto" w:sz="2" w:space="0"/>
              <w:right w:val="single" w:color="auto" w:sz="2" w:space="0"/>
            </w:tcBorders>
            <w:noWrap w:val="0"/>
            <w:vAlign w:val="center"/>
          </w:tcPr>
          <w:p w14:paraId="3BEE7971">
            <w:pPr>
              <w:widowControl w:val="0"/>
              <w:spacing w:line="288" w:lineRule="auto"/>
              <w:jc w:val="center"/>
              <w:rPr>
                <w:rFonts w:ascii="宋体" w:hAnsi="宋体" w:eastAsia="宋体" w:cs="宋体"/>
                <w:color w:val="auto"/>
                <w:spacing w:val="0"/>
                <w:sz w:val="24"/>
                <w:szCs w:val="24"/>
              </w:rPr>
            </w:pPr>
            <w:r>
              <w:rPr>
                <w:rFonts w:hint="eastAsia" w:ascii="宋体" w:hAnsi="宋体" w:eastAsia="宋体"/>
                <w:color w:val="auto"/>
                <w:spacing w:val="0"/>
                <w:sz w:val="24"/>
                <w:szCs w:val="24"/>
              </w:rPr>
              <w:t>备注</w:t>
            </w:r>
          </w:p>
        </w:tc>
      </w:tr>
      <w:tr w14:paraId="3DAEFC0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023" w:hRule="atLeast"/>
          <w:jc w:val="center"/>
        </w:trPr>
        <w:tc>
          <w:tcPr>
            <w:tcW w:w="606" w:type="dxa"/>
            <w:vMerge w:val="restart"/>
            <w:tcBorders>
              <w:top w:val="single" w:color="auto" w:sz="4" w:space="0"/>
              <w:left w:val="single" w:color="auto" w:sz="2" w:space="0"/>
              <w:right w:val="single" w:color="auto" w:sz="4" w:space="0"/>
            </w:tcBorders>
            <w:noWrap w:val="0"/>
            <w:vAlign w:val="center"/>
          </w:tcPr>
          <w:p w14:paraId="3B1F2CB6">
            <w:pPr>
              <w:widowControl w:val="0"/>
              <w:spacing w:line="288" w:lineRule="auto"/>
              <w:jc w:val="center"/>
              <w:rPr>
                <w:rFonts w:ascii="宋体" w:hAnsi="宋体" w:eastAsia="宋体" w:cs="宋体"/>
                <w:color w:val="auto"/>
                <w:spacing w:val="0"/>
                <w:sz w:val="24"/>
                <w:szCs w:val="24"/>
              </w:rPr>
            </w:pPr>
            <w:r>
              <w:rPr>
                <w:rFonts w:hint="eastAsia" w:ascii="宋体" w:hAnsi="宋体" w:eastAsia="宋体"/>
                <w:color w:val="auto"/>
                <w:spacing w:val="0"/>
                <w:sz w:val="24"/>
                <w:szCs w:val="24"/>
              </w:rPr>
              <w:t>1</w:t>
            </w:r>
          </w:p>
        </w:tc>
        <w:tc>
          <w:tcPr>
            <w:tcW w:w="816" w:type="dxa"/>
            <w:vMerge w:val="restart"/>
            <w:tcBorders>
              <w:top w:val="single" w:color="auto" w:sz="4" w:space="0"/>
              <w:left w:val="single" w:color="auto" w:sz="4" w:space="0"/>
              <w:right w:val="single" w:color="auto" w:sz="4" w:space="0"/>
            </w:tcBorders>
            <w:noWrap w:val="0"/>
            <w:vAlign w:val="center"/>
          </w:tcPr>
          <w:p w14:paraId="565650A3">
            <w:pPr>
              <w:widowControl w:val="0"/>
              <w:spacing w:line="288" w:lineRule="auto"/>
              <w:jc w:val="center"/>
              <w:rPr>
                <w:rFonts w:ascii="宋体" w:hAnsi="宋体" w:eastAsia="宋体" w:cs="宋体"/>
                <w:color w:val="auto"/>
                <w:spacing w:val="0"/>
                <w:sz w:val="24"/>
                <w:szCs w:val="24"/>
              </w:rPr>
            </w:pPr>
            <w:r>
              <w:rPr>
                <w:rFonts w:hint="eastAsia" w:ascii="宋体" w:hAnsi="宋体" w:eastAsia="宋体"/>
                <w:color w:val="auto"/>
                <w:spacing w:val="0"/>
                <w:sz w:val="24"/>
                <w:szCs w:val="24"/>
              </w:rPr>
              <w:t>监测</w:t>
            </w:r>
          </w:p>
          <w:p w14:paraId="72301D3F">
            <w:pPr>
              <w:widowControl w:val="0"/>
              <w:spacing w:line="288" w:lineRule="auto"/>
              <w:jc w:val="center"/>
              <w:rPr>
                <w:rFonts w:ascii="宋体" w:hAnsi="宋体" w:eastAsia="宋体" w:cs="宋体"/>
                <w:color w:val="auto"/>
                <w:spacing w:val="0"/>
                <w:sz w:val="24"/>
                <w:szCs w:val="24"/>
              </w:rPr>
            </w:pPr>
            <w:r>
              <w:rPr>
                <w:rFonts w:hint="eastAsia" w:ascii="宋体" w:hAnsi="宋体" w:eastAsia="宋体"/>
                <w:color w:val="auto"/>
                <w:spacing w:val="0"/>
                <w:sz w:val="24"/>
                <w:szCs w:val="24"/>
              </w:rPr>
              <w:t>仪器</w:t>
            </w:r>
          </w:p>
        </w:tc>
        <w:tc>
          <w:tcPr>
            <w:tcW w:w="3237" w:type="dxa"/>
            <w:tcBorders>
              <w:top w:val="single" w:color="auto" w:sz="2" w:space="0"/>
              <w:left w:val="single" w:color="auto" w:sz="4" w:space="0"/>
              <w:bottom w:val="single" w:color="auto" w:sz="2" w:space="0"/>
              <w:right w:val="single" w:color="auto" w:sz="4" w:space="0"/>
            </w:tcBorders>
            <w:noWrap w:val="0"/>
            <w:vAlign w:val="center"/>
          </w:tcPr>
          <w:p w14:paraId="49E877BB">
            <w:pPr>
              <w:widowControl w:val="0"/>
              <w:spacing w:line="288" w:lineRule="auto"/>
              <w:jc w:val="left"/>
              <w:rPr>
                <w:rFonts w:ascii="宋体" w:hAnsi="宋体" w:eastAsia="宋体" w:cs="宋体"/>
                <w:color w:val="auto"/>
                <w:spacing w:val="0"/>
                <w:sz w:val="24"/>
                <w:szCs w:val="24"/>
              </w:rPr>
            </w:pPr>
            <w:r>
              <w:rPr>
                <w:rFonts w:hint="eastAsia" w:ascii="宋体" w:hAnsi="宋体" w:eastAsia="宋体"/>
                <w:color w:val="auto"/>
                <w:spacing w:val="0"/>
                <w:sz w:val="24"/>
                <w:szCs w:val="24"/>
              </w:rPr>
              <w:t>五参数水质自动分析仪</w:t>
            </w:r>
          </w:p>
        </w:tc>
        <w:tc>
          <w:tcPr>
            <w:tcW w:w="2049" w:type="dxa"/>
            <w:tcBorders>
              <w:top w:val="single" w:color="auto" w:sz="2" w:space="0"/>
              <w:left w:val="single" w:color="auto" w:sz="4" w:space="0"/>
              <w:bottom w:val="single" w:color="auto" w:sz="2" w:space="0"/>
              <w:right w:val="single" w:color="auto" w:sz="4" w:space="0"/>
            </w:tcBorders>
            <w:noWrap w:val="0"/>
            <w:vAlign w:val="center"/>
          </w:tcPr>
          <w:p w14:paraId="48CE1653">
            <w:pPr>
              <w:widowControl w:val="0"/>
              <w:spacing w:line="288" w:lineRule="auto"/>
              <w:jc w:val="center"/>
              <w:rPr>
                <w:rFonts w:ascii="宋体" w:hAnsi="宋体" w:eastAsia="宋体" w:cs="宋体"/>
                <w:color w:val="auto"/>
                <w:spacing w:val="0"/>
                <w:sz w:val="24"/>
                <w:szCs w:val="24"/>
              </w:rPr>
            </w:pPr>
            <w:r>
              <w:rPr>
                <w:rFonts w:hint="eastAsia" w:ascii="宋体" w:hAnsi="宋体" w:eastAsia="宋体"/>
                <w:color w:val="auto"/>
                <w:spacing w:val="0"/>
                <w:sz w:val="24"/>
                <w:szCs w:val="24"/>
              </w:rPr>
              <w:t>见技术要求</w:t>
            </w:r>
          </w:p>
        </w:tc>
        <w:tc>
          <w:tcPr>
            <w:tcW w:w="818" w:type="dxa"/>
            <w:tcBorders>
              <w:top w:val="single" w:color="auto" w:sz="2" w:space="0"/>
              <w:left w:val="single" w:color="auto" w:sz="4" w:space="0"/>
              <w:bottom w:val="single" w:color="auto" w:sz="2" w:space="0"/>
              <w:right w:val="single" w:color="auto" w:sz="4" w:space="0"/>
            </w:tcBorders>
            <w:noWrap w:val="0"/>
            <w:vAlign w:val="center"/>
          </w:tcPr>
          <w:p w14:paraId="58F6FE81">
            <w:pPr>
              <w:widowControl w:val="0"/>
              <w:spacing w:line="288" w:lineRule="auto"/>
              <w:jc w:val="center"/>
              <w:rPr>
                <w:rFonts w:hint="eastAsia" w:ascii="宋体" w:hAnsi="宋体" w:eastAsia="宋体" w:cs="宋体"/>
                <w:color w:val="auto"/>
                <w:spacing w:val="0"/>
                <w:sz w:val="24"/>
                <w:szCs w:val="24"/>
                <w:highlight w:val="none"/>
                <w:lang w:eastAsia="zh-CN"/>
              </w:rPr>
            </w:pPr>
            <w:r>
              <w:rPr>
                <w:rFonts w:hint="eastAsia" w:ascii="宋体" w:hAnsi="宋体"/>
                <w:color w:val="auto"/>
                <w:spacing w:val="0"/>
                <w:sz w:val="24"/>
                <w:szCs w:val="24"/>
                <w:highlight w:val="none"/>
                <w:lang w:val="en-US" w:eastAsia="zh-CN"/>
              </w:rPr>
              <w:t>2</w:t>
            </w:r>
          </w:p>
        </w:tc>
        <w:tc>
          <w:tcPr>
            <w:tcW w:w="1296" w:type="dxa"/>
            <w:tcBorders>
              <w:top w:val="single" w:color="auto" w:sz="2" w:space="0"/>
              <w:left w:val="single" w:color="auto" w:sz="4" w:space="0"/>
              <w:bottom w:val="single" w:color="auto" w:sz="2" w:space="0"/>
              <w:right w:val="single" w:color="auto" w:sz="2" w:space="0"/>
            </w:tcBorders>
            <w:noWrap w:val="0"/>
            <w:vAlign w:val="center"/>
          </w:tcPr>
          <w:p w14:paraId="0F2E8F77">
            <w:pPr>
              <w:widowControl w:val="0"/>
              <w:spacing w:line="288" w:lineRule="auto"/>
              <w:jc w:val="center"/>
              <w:rPr>
                <w:rFonts w:hint="eastAsia" w:ascii="宋体" w:hAnsi="宋体"/>
                <w:color w:val="auto"/>
                <w:spacing w:val="0"/>
                <w:sz w:val="24"/>
                <w:szCs w:val="24"/>
                <w:highlight w:val="none"/>
                <w:lang w:val="en-US" w:eastAsia="zh-CN"/>
              </w:rPr>
            </w:pPr>
            <w:r>
              <w:rPr>
                <w:rFonts w:hint="eastAsia" w:asciiTheme="majorEastAsia" w:hAnsiTheme="majorEastAsia" w:eastAsiaTheme="majorEastAsia" w:cstheme="majorEastAsia"/>
                <w:b w:val="0"/>
                <w:bCs w:val="0"/>
                <w:spacing w:val="-1"/>
                <w:sz w:val="24"/>
                <w:szCs w:val="24"/>
                <w:lang w:val="en-US" w:eastAsia="zh-CN" w:bidi="zh-CN"/>
              </w:rPr>
              <w:t>工业</w:t>
            </w:r>
          </w:p>
        </w:tc>
        <w:tc>
          <w:tcPr>
            <w:tcW w:w="1296" w:type="dxa"/>
            <w:tcBorders>
              <w:top w:val="single" w:color="auto" w:sz="2" w:space="0"/>
              <w:left w:val="single" w:color="auto" w:sz="4" w:space="0"/>
              <w:bottom w:val="single" w:color="auto" w:sz="2" w:space="0"/>
              <w:right w:val="single" w:color="auto" w:sz="2" w:space="0"/>
            </w:tcBorders>
            <w:noWrap w:val="0"/>
            <w:vAlign w:val="center"/>
          </w:tcPr>
          <w:p w14:paraId="79DF99E5">
            <w:pPr>
              <w:widowControl w:val="0"/>
              <w:spacing w:line="288" w:lineRule="auto"/>
              <w:jc w:val="left"/>
              <w:rPr>
                <w:rFonts w:ascii="宋体" w:hAnsi="宋体" w:eastAsia="宋体" w:cs="宋体"/>
                <w:color w:val="auto"/>
                <w:spacing w:val="0"/>
                <w:sz w:val="24"/>
                <w:szCs w:val="24"/>
              </w:rPr>
            </w:pPr>
            <w:r>
              <w:rPr>
                <w:rFonts w:hint="eastAsia" w:ascii="宋体" w:hAnsi="宋体" w:eastAsia="宋体"/>
                <w:color w:val="auto"/>
                <w:spacing w:val="0"/>
                <w:sz w:val="24"/>
                <w:szCs w:val="24"/>
              </w:rPr>
              <w:t>水温、pH、溶解氧、电导率、浊度</w:t>
            </w:r>
          </w:p>
        </w:tc>
      </w:tr>
      <w:tr w14:paraId="5B93428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28" w:hRule="atLeast"/>
          <w:jc w:val="center"/>
        </w:trPr>
        <w:tc>
          <w:tcPr>
            <w:tcW w:w="606" w:type="dxa"/>
            <w:vMerge w:val="continue"/>
            <w:tcBorders>
              <w:left w:val="single" w:color="auto" w:sz="2" w:space="0"/>
              <w:right w:val="single" w:color="auto" w:sz="4" w:space="0"/>
            </w:tcBorders>
            <w:noWrap w:val="0"/>
            <w:vAlign w:val="center"/>
          </w:tcPr>
          <w:p w14:paraId="75F9D1EB">
            <w:pPr>
              <w:widowControl w:val="0"/>
              <w:spacing w:line="288" w:lineRule="auto"/>
              <w:jc w:val="center"/>
              <w:rPr>
                <w:rFonts w:ascii="宋体" w:hAnsi="宋体" w:eastAsia="宋体" w:cs="宋体"/>
                <w:color w:val="auto"/>
                <w:spacing w:val="0"/>
                <w:sz w:val="24"/>
                <w:szCs w:val="24"/>
              </w:rPr>
            </w:pPr>
          </w:p>
        </w:tc>
        <w:tc>
          <w:tcPr>
            <w:tcW w:w="816" w:type="dxa"/>
            <w:vMerge w:val="continue"/>
            <w:tcBorders>
              <w:left w:val="single" w:color="auto" w:sz="4" w:space="0"/>
              <w:right w:val="single" w:color="auto" w:sz="4" w:space="0"/>
            </w:tcBorders>
            <w:noWrap w:val="0"/>
            <w:vAlign w:val="center"/>
          </w:tcPr>
          <w:p w14:paraId="7C1A56ED">
            <w:pPr>
              <w:widowControl w:val="0"/>
              <w:spacing w:line="288" w:lineRule="auto"/>
              <w:jc w:val="center"/>
              <w:rPr>
                <w:rFonts w:ascii="宋体" w:hAnsi="宋体" w:eastAsia="宋体" w:cs="宋体"/>
                <w:color w:val="auto"/>
                <w:spacing w:val="0"/>
                <w:sz w:val="24"/>
                <w:szCs w:val="24"/>
              </w:rPr>
            </w:pPr>
          </w:p>
        </w:tc>
        <w:tc>
          <w:tcPr>
            <w:tcW w:w="3237" w:type="dxa"/>
            <w:tcBorders>
              <w:top w:val="single" w:color="auto" w:sz="2" w:space="0"/>
              <w:left w:val="single" w:color="auto" w:sz="4" w:space="0"/>
              <w:bottom w:val="single" w:color="auto" w:sz="2" w:space="0"/>
              <w:right w:val="single" w:color="auto" w:sz="4" w:space="0"/>
            </w:tcBorders>
            <w:noWrap w:val="0"/>
            <w:vAlign w:val="center"/>
          </w:tcPr>
          <w:p w14:paraId="6B9471E2">
            <w:pPr>
              <w:widowControl w:val="0"/>
              <w:spacing w:line="288" w:lineRule="auto"/>
              <w:jc w:val="left"/>
              <w:rPr>
                <w:rFonts w:ascii="宋体" w:hAnsi="宋体" w:eastAsia="宋体" w:cs="宋体"/>
                <w:color w:val="auto"/>
                <w:spacing w:val="0"/>
                <w:sz w:val="24"/>
                <w:szCs w:val="24"/>
              </w:rPr>
            </w:pPr>
            <w:r>
              <w:rPr>
                <w:rFonts w:hint="eastAsia" w:ascii="宋体" w:hAnsi="宋体" w:eastAsia="宋体"/>
                <w:color w:val="auto"/>
                <w:spacing w:val="0"/>
                <w:sz w:val="24"/>
                <w:szCs w:val="24"/>
              </w:rPr>
              <w:t>氨氮水质自动分析仪</w:t>
            </w:r>
          </w:p>
        </w:tc>
        <w:tc>
          <w:tcPr>
            <w:tcW w:w="2049" w:type="dxa"/>
            <w:tcBorders>
              <w:top w:val="single" w:color="auto" w:sz="2" w:space="0"/>
              <w:left w:val="single" w:color="auto" w:sz="4" w:space="0"/>
              <w:bottom w:val="single" w:color="auto" w:sz="2" w:space="0"/>
              <w:right w:val="single" w:color="auto" w:sz="4" w:space="0"/>
            </w:tcBorders>
            <w:noWrap w:val="0"/>
            <w:vAlign w:val="center"/>
          </w:tcPr>
          <w:p w14:paraId="3F48A845">
            <w:pPr>
              <w:widowControl w:val="0"/>
              <w:spacing w:line="288" w:lineRule="auto"/>
              <w:jc w:val="center"/>
              <w:rPr>
                <w:rFonts w:ascii="宋体" w:hAnsi="宋体" w:eastAsia="宋体" w:cs="宋体"/>
                <w:color w:val="auto"/>
                <w:spacing w:val="0"/>
                <w:sz w:val="24"/>
                <w:szCs w:val="24"/>
              </w:rPr>
            </w:pPr>
            <w:r>
              <w:rPr>
                <w:rFonts w:hint="eastAsia" w:ascii="宋体" w:hAnsi="宋体" w:eastAsia="宋体"/>
                <w:color w:val="auto"/>
                <w:spacing w:val="0"/>
                <w:sz w:val="24"/>
                <w:szCs w:val="24"/>
              </w:rPr>
              <w:t>见技术要求</w:t>
            </w:r>
          </w:p>
        </w:tc>
        <w:tc>
          <w:tcPr>
            <w:tcW w:w="818" w:type="dxa"/>
            <w:tcBorders>
              <w:top w:val="single" w:color="auto" w:sz="2" w:space="0"/>
              <w:left w:val="single" w:color="auto" w:sz="4" w:space="0"/>
              <w:bottom w:val="single" w:color="auto" w:sz="2" w:space="0"/>
              <w:right w:val="single" w:color="auto" w:sz="4" w:space="0"/>
            </w:tcBorders>
            <w:noWrap w:val="0"/>
            <w:vAlign w:val="center"/>
          </w:tcPr>
          <w:p w14:paraId="1F37F53F">
            <w:pPr>
              <w:widowControl w:val="0"/>
              <w:spacing w:line="288" w:lineRule="auto"/>
              <w:jc w:val="center"/>
              <w:rPr>
                <w:rFonts w:hint="eastAsia" w:ascii="宋体" w:hAnsi="宋体" w:eastAsia="宋体" w:cs="宋体"/>
                <w:color w:val="auto"/>
                <w:spacing w:val="0"/>
                <w:sz w:val="24"/>
                <w:szCs w:val="24"/>
                <w:highlight w:val="none"/>
                <w:lang w:eastAsia="zh-CN"/>
              </w:rPr>
            </w:pPr>
            <w:r>
              <w:rPr>
                <w:rFonts w:hint="eastAsia" w:ascii="宋体" w:hAnsi="宋体"/>
                <w:color w:val="auto"/>
                <w:spacing w:val="0"/>
                <w:sz w:val="24"/>
                <w:szCs w:val="24"/>
                <w:highlight w:val="none"/>
                <w:lang w:val="en-US" w:eastAsia="zh-CN"/>
              </w:rPr>
              <w:t>2</w:t>
            </w:r>
          </w:p>
        </w:tc>
        <w:tc>
          <w:tcPr>
            <w:tcW w:w="1296" w:type="dxa"/>
            <w:tcBorders>
              <w:top w:val="single" w:color="auto" w:sz="2" w:space="0"/>
              <w:left w:val="single" w:color="auto" w:sz="4" w:space="0"/>
              <w:bottom w:val="single" w:color="auto" w:sz="2" w:space="0"/>
              <w:right w:val="single" w:color="auto" w:sz="2" w:space="0"/>
            </w:tcBorders>
            <w:noWrap w:val="0"/>
            <w:vAlign w:val="center"/>
          </w:tcPr>
          <w:p w14:paraId="4DCF623D">
            <w:pPr>
              <w:widowControl w:val="0"/>
              <w:spacing w:line="288" w:lineRule="auto"/>
              <w:jc w:val="center"/>
              <w:rPr>
                <w:rFonts w:hint="eastAsia" w:ascii="宋体" w:hAnsi="宋体"/>
                <w:color w:val="auto"/>
                <w:spacing w:val="0"/>
                <w:sz w:val="24"/>
                <w:szCs w:val="24"/>
                <w:highlight w:val="none"/>
                <w:lang w:val="en-US" w:eastAsia="zh-CN"/>
              </w:rPr>
            </w:pPr>
            <w:r>
              <w:rPr>
                <w:rFonts w:hint="eastAsia" w:asciiTheme="majorEastAsia" w:hAnsiTheme="majorEastAsia" w:eastAsiaTheme="majorEastAsia" w:cstheme="majorEastAsia"/>
                <w:b w:val="0"/>
                <w:bCs w:val="0"/>
                <w:spacing w:val="-1"/>
                <w:sz w:val="24"/>
                <w:szCs w:val="24"/>
                <w:lang w:val="en-US" w:eastAsia="zh-CN" w:bidi="zh-CN"/>
              </w:rPr>
              <w:t>工业</w:t>
            </w:r>
          </w:p>
        </w:tc>
        <w:tc>
          <w:tcPr>
            <w:tcW w:w="1296" w:type="dxa"/>
            <w:tcBorders>
              <w:top w:val="single" w:color="auto" w:sz="2" w:space="0"/>
              <w:left w:val="single" w:color="auto" w:sz="4" w:space="0"/>
              <w:bottom w:val="single" w:color="auto" w:sz="2" w:space="0"/>
              <w:right w:val="single" w:color="auto" w:sz="2" w:space="0"/>
            </w:tcBorders>
            <w:noWrap w:val="0"/>
            <w:vAlign w:val="center"/>
          </w:tcPr>
          <w:p w14:paraId="2D69AFB2">
            <w:pPr>
              <w:widowControl w:val="0"/>
              <w:spacing w:line="288" w:lineRule="auto"/>
              <w:jc w:val="center"/>
              <w:rPr>
                <w:rFonts w:ascii="宋体" w:hAnsi="宋体" w:eastAsia="宋体" w:cs="宋体"/>
                <w:color w:val="auto"/>
                <w:spacing w:val="0"/>
                <w:sz w:val="24"/>
                <w:szCs w:val="24"/>
              </w:rPr>
            </w:pPr>
          </w:p>
        </w:tc>
      </w:tr>
      <w:tr w14:paraId="62F9DCC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606" w:type="dxa"/>
            <w:vMerge w:val="continue"/>
            <w:tcBorders>
              <w:left w:val="single" w:color="auto" w:sz="2" w:space="0"/>
              <w:right w:val="single" w:color="auto" w:sz="4" w:space="0"/>
            </w:tcBorders>
            <w:noWrap w:val="0"/>
            <w:vAlign w:val="center"/>
          </w:tcPr>
          <w:p w14:paraId="040652D6">
            <w:pPr>
              <w:widowControl w:val="0"/>
              <w:spacing w:line="288" w:lineRule="auto"/>
              <w:jc w:val="center"/>
              <w:rPr>
                <w:rFonts w:ascii="宋体" w:hAnsi="宋体" w:eastAsia="宋体" w:cs="宋体"/>
                <w:color w:val="auto"/>
                <w:spacing w:val="0"/>
                <w:sz w:val="24"/>
                <w:szCs w:val="24"/>
              </w:rPr>
            </w:pPr>
          </w:p>
        </w:tc>
        <w:tc>
          <w:tcPr>
            <w:tcW w:w="816" w:type="dxa"/>
            <w:vMerge w:val="continue"/>
            <w:tcBorders>
              <w:left w:val="single" w:color="auto" w:sz="4" w:space="0"/>
              <w:right w:val="single" w:color="auto" w:sz="4" w:space="0"/>
            </w:tcBorders>
            <w:noWrap w:val="0"/>
            <w:vAlign w:val="center"/>
          </w:tcPr>
          <w:p w14:paraId="2BF38EE1">
            <w:pPr>
              <w:widowControl w:val="0"/>
              <w:spacing w:line="288" w:lineRule="auto"/>
              <w:jc w:val="center"/>
              <w:rPr>
                <w:rFonts w:ascii="宋体" w:hAnsi="宋体" w:eastAsia="宋体" w:cs="宋体"/>
                <w:color w:val="auto"/>
                <w:spacing w:val="0"/>
                <w:sz w:val="24"/>
                <w:szCs w:val="24"/>
              </w:rPr>
            </w:pPr>
          </w:p>
        </w:tc>
        <w:tc>
          <w:tcPr>
            <w:tcW w:w="3237" w:type="dxa"/>
            <w:tcBorders>
              <w:top w:val="single" w:color="auto" w:sz="2" w:space="0"/>
              <w:left w:val="single" w:color="auto" w:sz="4" w:space="0"/>
              <w:bottom w:val="single" w:color="auto" w:sz="2" w:space="0"/>
              <w:right w:val="single" w:color="auto" w:sz="4" w:space="0"/>
            </w:tcBorders>
            <w:noWrap w:val="0"/>
            <w:vAlign w:val="center"/>
          </w:tcPr>
          <w:p w14:paraId="5576B296">
            <w:pPr>
              <w:widowControl w:val="0"/>
              <w:spacing w:line="288" w:lineRule="auto"/>
              <w:jc w:val="left"/>
              <w:rPr>
                <w:rFonts w:ascii="宋体" w:hAnsi="宋体" w:eastAsia="宋体" w:cs="宋体"/>
                <w:color w:val="auto"/>
                <w:spacing w:val="0"/>
                <w:sz w:val="24"/>
                <w:szCs w:val="24"/>
              </w:rPr>
            </w:pPr>
            <w:r>
              <w:rPr>
                <w:rFonts w:hint="eastAsia" w:ascii="宋体" w:hAnsi="宋体" w:eastAsia="宋体"/>
                <w:color w:val="auto"/>
                <w:spacing w:val="0"/>
                <w:sz w:val="24"/>
                <w:szCs w:val="24"/>
              </w:rPr>
              <w:t>高锰酸盐指数水质自动分析仪</w:t>
            </w:r>
          </w:p>
        </w:tc>
        <w:tc>
          <w:tcPr>
            <w:tcW w:w="2049" w:type="dxa"/>
            <w:tcBorders>
              <w:top w:val="single" w:color="auto" w:sz="2" w:space="0"/>
              <w:left w:val="single" w:color="auto" w:sz="4" w:space="0"/>
              <w:bottom w:val="single" w:color="auto" w:sz="2" w:space="0"/>
              <w:right w:val="single" w:color="auto" w:sz="4" w:space="0"/>
            </w:tcBorders>
            <w:noWrap w:val="0"/>
            <w:vAlign w:val="center"/>
          </w:tcPr>
          <w:p w14:paraId="58B40EEC">
            <w:pPr>
              <w:widowControl w:val="0"/>
              <w:spacing w:line="288" w:lineRule="auto"/>
              <w:jc w:val="center"/>
              <w:rPr>
                <w:rFonts w:ascii="宋体" w:hAnsi="宋体" w:eastAsia="宋体" w:cs="宋体"/>
                <w:color w:val="auto"/>
                <w:spacing w:val="0"/>
                <w:sz w:val="24"/>
                <w:szCs w:val="24"/>
              </w:rPr>
            </w:pPr>
            <w:r>
              <w:rPr>
                <w:rFonts w:hint="eastAsia" w:ascii="宋体" w:hAnsi="宋体" w:eastAsia="宋体"/>
                <w:color w:val="auto"/>
                <w:spacing w:val="0"/>
                <w:sz w:val="24"/>
                <w:szCs w:val="24"/>
              </w:rPr>
              <w:t>见技术要求</w:t>
            </w:r>
          </w:p>
        </w:tc>
        <w:tc>
          <w:tcPr>
            <w:tcW w:w="818" w:type="dxa"/>
            <w:tcBorders>
              <w:top w:val="single" w:color="auto" w:sz="2" w:space="0"/>
              <w:left w:val="single" w:color="auto" w:sz="4" w:space="0"/>
              <w:bottom w:val="single" w:color="auto" w:sz="2" w:space="0"/>
              <w:right w:val="single" w:color="auto" w:sz="4" w:space="0"/>
            </w:tcBorders>
            <w:noWrap w:val="0"/>
            <w:vAlign w:val="center"/>
          </w:tcPr>
          <w:p w14:paraId="44FC14B2">
            <w:pPr>
              <w:widowControl w:val="0"/>
              <w:spacing w:line="288" w:lineRule="auto"/>
              <w:jc w:val="center"/>
              <w:rPr>
                <w:rFonts w:hint="eastAsia" w:ascii="宋体" w:hAnsi="宋体" w:eastAsia="宋体" w:cs="宋体"/>
                <w:color w:val="auto"/>
                <w:spacing w:val="0"/>
                <w:sz w:val="24"/>
                <w:szCs w:val="24"/>
                <w:highlight w:val="none"/>
                <w:lang w:eastAsia="zh-CN"/>
              </w:rPr>
            </w:pPr>
            <w:r>
              <w:rPr>
                <w:rFonts w:hint="eastAsia" w:ascii="宋体" w:hAnsi="宋体" w:cs="Segoe UI Symbol"/>
                <w:color w:val="auto"/>
                <w:spacing w:val="0"/>
                <w:sz w:val="24"/>
                <w:szCs w:val="24"/>
                <w:highlight w:val="none"/>
                <w:lang w:val="en-US" w:eastAsia="zh-CN"/>
              </w:rPr>
              <w:t>2</w:t>
            </w:r>
          </w:p>
        </w:tc>
        <w:tc>
          <w:tcPr>
            <w:tcW w:w="1296" w:type="dxa"/>
            <w:tcBorders>
              <w:top w:val="single" w:color="auto" w:sz="2" w:space="0"/>
              <w:left w:val="single" w:color="auto" w:sz="4" w:space="0"/>
              <w:bottom w:val="single" w:color="auto" w:sz="2" w:space="0"/>
              <w:right w:val="single" w:color="auto" w:sz="2" w:space="0"/>
            </w:tcBorders>
            <w:noWrap w:val="0"/>
            <w:vAlign w:val="center"/>
          </w:tcPr>
          <w:p w14:paraId="1DAC4A7F">
            <w:pPr>
              <w:widowControl w:val="0"/>
              <w:spacing w:line="288" w:lineRule="auto"/>
              <w:jc w:val="center"/>
              <w:rPr>
                <w:rFonts w:hint="eastAsia" w:ascii="宋体" w:hAnsi="宋体" w:cs="Segoe UI Symbol"/>
                <w:color w:val="auto"/>
                <w:spacing w:val="0"/>
                <w:sz w:val="24"/>
                <w:szCs w:val="24"/>
                <w:highlight w:val="none"/>
                <w:lang w:val="en-US" w:eastAsia="zh-CN"/>
              </w:rPr>
            </w:pPr>
            <w:r>
              <w:rPr>
                <w:rFonts w:hint="eastAsia" w:asciiTheme="majorEastAsia" w:hAnsiTheme="majorEastAsia" w:eastAsiaTheme="majorEastAsia" w:cstheme="majorEastAsia"/>
                <w:b w:val="0"/>
                <w:bCs w:val="0"/>
                <w:spacing w:val="-1"/>
                <w:sz w:val="24"/>
                <w:szCs w:val="24"/>
                <w:lang w:val="en-US" w:eastAsia="zh-CN" w:bidi="zh-CN"/>
              </w:rPr>
              <w:t>工业</w:t>
            </w:r>
          </w:p>
        </w:tc>
        <w:tc>
          <w:tcPr>
            <w:tcW w:w="1296" w:type="dxa"/>
            <w:tcBorders>
              <w:top w:val="single" w:color="auto" w:sz="2" w:space="0"/>
              <w:left w:val="single" w:color="auto" w:sz="4" w:space="0"/>
              <w:bottom w:val="single" w:color="auto" w:sz="2" w:space="0"/>
              <w:right w:val="single" w:color="auto" w:sz="2" w:space="0"/>
            </w:tcBorders>
            <w:noWrap w:val="0"/>
            <w:vAlign w:val="center"/>
          </w:tcPr>
          <w:p w14:paraId="7D9BBC4A">
            <w:pPr>
              <w:widowControl w:val="0"/>
              <w:spacing w:line="288" w:lineRule="auto"/>
              <w:jc w:val="center"/>
              <w:rPr>
                <w:rFonts w:ascii="宋体" w:hAnsi="宋体" w:eastAsia="宋体" w:cs="宋体"/>
                <w:color w:val="auto"/>
                <w:spacing w:val="0"/>
                <w:sz w:val="24"/>
                <w:szCs w:val="24"/>
              </w:rPr>
            </w:pPr>
          </w:p>
        </w:tc>
      </w:tr>
      <w:tr w14:paraId="5CAFE6A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606" w:type="dxa"/>
            <w:vMerge w:val="continue"/>
            <w:tcBorders>
              <w:left w:val="single" w:color="auto" w:sz="2" w:space="0"/>
              <w:right w:val="single" w:color="auto" w:sz="4" w:space="0"/>
            </w:tcBorders>
            <w:noWrap w:val="0"/>
            <w:vAlign w:val="center"/>
          </w:tcPr>
          <w:p w14:paraId="0A0B600B">
            <w:pPr>
              <w:widowControl w:val="0"/>
              <w:spacing w:line="288" w:lineRule="auto"/>
              <w:jc w:val="center"/>
              <w:rPr>
                <w:rFonts w:ascii="宋体" w:hAnsi="宋体" w:eastAsia="宋体" w:cs="宋体"/>
                <w:color w:val="auto"/>
                <w:spacing w:val="0"/>
                <w:sz w:val="24"/>
                <w:szCs w:val="24"/>
              </w:rPr>
            </w:pPr>
          </w:p>
        </w:tc>
        <w:tc>
          <w:tcPr>
            <w:tcW w:w="816" w:type="dxa"/>
            <w:vMerge w:val="continue"/>
            <w:tcBorders>
              <w:left w:val="single" w:color="auto" w:sz="4" w:space="0"/>
              <w:right w:val="single" w:color="auto" w:sz="4" w:space="0"/>
            </w:tcBorders>
            <w:noWrap w:val="0"/>
            <w:vAlign w:val="center"/>
          </w:tcPr>
          <w:p w14:paraId="3C59219F">
            <w:pPr>
              <w:widowControl w:val="0"/>
              <w:spacing w:line="288" w:lineRule="auto"/>
              <w:jc w:val="center"/>
              <w:rPr>
                <w:rFonts w:ascii="宋体" w:hAnsi="宋体" w:eastAsia="宋体" w:cs="宋体"/>
                <w:color w:val="auto"/>
                <w:spacing w:val="0"/>
                <w:sz w:val="24"/>
                <w:szCs w:val="24"/>
              </w:rPr>
            </w:pPr>
          </w:p>
        </w:tc>
        <w:tc>
          <w:tcPr>
            <w:tcW w:w="3237" w:type="dxa"/>
            <w:tcBorders>
              <w:top w:val="single" w:color="auto" w:sz="2" w:space="0"/>
              <w:left w:val="single" w:color="auto" w:sz="4" w:space="0"/>
              <w:bottom w:val="single" w:color="auto" w:sz="2" w:space="0"/>
              <w:right w:val="single" w:color="auto" w:sz="4" w:space="0"/>
            </w:tcBorders>
            <w:noWrap w:val="0"/>
            <w:vAlign w:val="center"/>
          </w:tcPr>
          <w:p w14:paraId="2443B233">
            <w:pPr>
              <w:widowControl w:val="0"/>
              <w:spacing w:line="288" w:lineRule="auto"/>
              <w:jc w:val="left"/>
              <w:rPr>
                <w:rFonts w:ascii="宋体" w:hAnsi="宋体" w:eastAsia="宋体" w:cs="宋体"/>
                <w:color w:val="auto"/>
                <w:spacing w:val="0"/>
                <w:sz w:val="24"/>
                <w:szCs w:val="24"/>
              </w:rPr>
            </w:pPr>
            <w:r>
              <w:rPr>
                <w:rFonts w:hint="eastAsia" w:ascii="宋体" w:hAnsi="宋体" w:eastAsia="宋体"/>
                <w:color w:val="auto"/>
                <w:spacing w:val="0"/>
                <w:sz w:val="24"/>
                <w:szCs w:val="24"/>
              </w:rPr>
              <w:t>总磷水质自动分析仪</w:t>
            </w:r>
          </w:p>
        </w:tc>
        <w:tc>
          <w:tcPr>
            <w:tcW w:w="2049" w:type="dxa"/>
            <w:tcBorders>
              <w:top w:val="single" w:color="auto" w:sz="2" w:space="0"/>
              <w:left w:val="single" w:color="auto" w:sz="4" w:space="0"/>
              <w:bottom w:val="single" w:color="auto" w:sz="2" w:space="0"/>
              <w:right w:val="single" w:color="auto" w:sz="4" w:space="0"/>
            </w:tcBorders>
            <w:noWrap w:val="0"/>
            <w:vAlign w:val="center"/>
          </w:tcPr>
          <w:p w14:paraId="5CBAA5FA">
            <w:pPr>
              <w:widowControl w:val="0"/>
              <w:spacing w:line="288" w:lineRule="auto"/>
              <w:jc w:val="center"/>
              <w:rPr>
                <w:rFonts w:ascii="宋体" w:hAnsi="宋体" w:eastAsia="宋体" w:cs="宋体"/>
                <w:color w:val="auto"/>
                <w:spacing w:val="0"/>
                <w:sz w:val="24"/>
                <w:szCs w:val="24"/>
              </w:rPr>
            </w:pPr>
            <w:r>
              <w:rPr>
                <w:rFonts w:hint="eastAsia" w:ascii="宋体" w:hAnsi="宋体" w:eastAsia="宋体"/>
                <w:color w:val="auto"/>
                <w:spacing w:val="0"/>
                <w:sz w:val="24"/>
                <w:szCs w:val="24"/>
              </w:rPr>
              <w:t>见技术要求</w:t>
            </w:r>
          </w:p>
        </w:tc>
        <w:tc>
          <w:tcPr>
            <w:tcW w:w="818" w:type="dxa"/>
            <w:tcBorders>
              <w:top w:val="single" w:color="auto" w:sz="2" w:space="0"/>
              <w:left w:val="single" w:color="auto" w:sz="4" w:space="0"/>
              <w:bottom w:val="single" w:color="auto" w:sz="2" w:space="0"/>
              <w:right w:val="single" w:color="auto" w:sz="4" w:space="0"/>
            </w:tcBorders>
            <w:noWrap w:val="0"/>
            <w:vAlign w:val="center"/>
          </w:tcPr>
          <w:p w14:paraId="0A27840C">
            <w:pPr>
              <w:widowControl w:val="0"/>
              <w:spacing w:line="288" w:lineRule="auto"/>
              <w:jc w:val="center"/>
              <w:rPr>
                <w:rFonts w:hint="eastAsia" w:ascii="宋体" w:hAnsi="宋体" w:eastAsia="宋体" w:cs="宋体"/>
                <w:color w:val="auto"/>
                <w:spacing w:val="0"/>
                <w:sz w:val="24"/>
                <w:szCs w:val="24"/>
                <w:highlight w:val="none"/>
                <w:lang w:eastAsia="zh-CN"/>
              </w:rPr>
            </w:pPr>
            <w:r>
              <w:rPr>
                <w:rFonts w:hint="eastAsia" w:ascii="宋体" w:hAnsi="宋体"/>
                <w:color w:val="auto"/>
                <w:spacing w:val="0"/>
                <w:sz w:val="24"/>
                <w:szCs w:val="24"/>
                <w:highlight w:val="none"/>
                <w:lang w:val="en-US" w:eastAsia="zh-CN"/>
              </w:rPr>
              <w:t>2</w:t>
            </w:r>
          </w:p>
        </w:tc>
        <w:tc>
          <w:tcPr>
            <w:tcW w:w="1296" w:type="dxa"/>
            <w:tcBorders>
              <w:top w:val="single" w:color="auto" w:sz="2" w:space="0"/>
              <w:left w:val="single" w:color="auto" w:sz="4" w:space="0"/>
              <w:bottom w:val="single" w:color="auto" w:sz="2" w:space="0"/>
              <w:right w:val="single" w:color="auto" w:sz="2" w:space="0"/>
            </w:tcBorders>
            <w:noWrap w:val="0"/>
            <w:vAlign w:val="center"/>
          </w:tcPr>
          <w:p w14:paraId="761705DB">
            <w:pPr>
              <w:widowControl w:val="0"/>
              <w:spacing w:line="288" w:lineRule="auto"/>
              <w:jc w:val="center"/>
              <w:rPr>
                <w:rFonts w:hint="eastAsia" w:ascii="宋体" w:hAnsi="宋体"/>
                <w:color w:val="auto"/>
                <w:spacing w:val="0"/>
                <w:sz w:val="24"/>
                <w:szCs w:val="24"/>
                <w:highlight w:val="none"/>
                <w:lang w:val="en-US" w:eastAsia="zh-CN"/>
              </w:rPr>
            </w:pPr>
            <w:r>
              <w:rPr>
                <w:rFonts w:hint="eastAsia" w:asciiTheme="majorEastAsia" w:hAnsiTheme="majorEastAsia" w:eastAsiaTheme="majorEastAsia" w:cstheme="majorEastAsia"/>
                <w:b w:val="0"/>
                <w:bCs w:val="0"/>
                <w:spacing w:val="-1"/>
                <w:sz w:val="24"/>
                <w:szCs w:val="24"/>
                <w:lang w:val="en-US" w:eastAsia="zh-CN" w:bidi="zh-CN"/>
              </w:rPr>
              <w:t>工业</w:t>
            </w:r>
          </w:p>
        </w:tc>
        <w:tc>
          <w:tcPr>
            <w:tcW w:w="1296" w:type="dxa"/>
            <w:tcBorders>
              <w:top w:val="single" w:color="auto" w:sz="2" w:space="0"/>
              <w:left w:val="single" w:color="auto" w:sz="4" w:space="0"/>
              <w:bottom w:val="single" w:color="auto" w:sz="2" w:space="0"/>
              <w:right w:val="single" w:color="auto" w:sz="2" w:space="0"/>
            </w:tcBorders>
            <w:noWrap w:val="0"/>
            <w:vAlign w:val="center"/>
          </w:tcPr>
          <w:p w14:paraId="46E72DD6">
            <w:pPr>
              <w:widowControl w:val="0"/>
              <w:spacing w:line="288" w:lineRule="auto"/>
              <w:jc w:val="center"/>
              <w:rPr>
                <w:rFonts w:ascii="宋体" w:hAnsi="宋体" w:eastAsia="宋体" w:cs="宋体"/>
                <w:color w:val="auto"/>
                <w:spacing w:val="0"/>
                <w:sz w:val="24"/>
                <w:szCs w:val="24"/>
              </w:rPr>
            </w:pPr>
          </w:p>
        </w:tc>
      </w:tr>
      <w:tr w14:paraId="3B4CDC2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606" w:type="dxa"/>
            <w:vMerge w:val="continue"/>
            <w:tcBorders>
              <w:left w:val="single" w:color="auto" w:sz="2" w:space="0"/>
              <w:right w:val="single" w:color="auto" w:sz="4" w:space="0"/>
            </w:tcBorders>
            <w:noWrap w:val="0"/>
            <w:vAlign w:val="center"/>
          </w:tcPr>
          <w:p w14:paraId="013C2F2D">
            <w:pPr>
              <w:widowControl w:val="0"/>
              <w:spacing w:line="288" w:lineRule="auto"/>
              <w:jc w:val="center"/>
              <w:rPr>
                <w:rFonts w:ascii="宋体" w:hAnsi="宋体" w:eastAsia="宋体" w:cs="宋体"/>
                <w:color w:val="auto"/>
                <w:spacing w:val="0"/>
                <w:sz w:val="24"/>
                <w:szCs w:val="24"/>
              </w:rPr>
            </w:pPr>
          </w:p>
        </w:tc>
        <w:tc>
          <w:tcPr>
            <w:tcW w:w="816" w:type="dxa"/>
            <w:vMerge w:val="continue"/>
            <w:tcBorders>
              <w:left w:val="single" w:color="auto" w:sz="4" w:space="0"/>
              <w:right w:val="single" w:color="auto" w:sz="4" w:space="0"/>
            </w:tcBorders>
            <w:noWrap w:val="0"/>
            <w:vAlign w:val="center"/>
          </w:tcPr>
          <w:p w14:paraId="23E9DE55">
            <w:pPr>
              <w:widowControl w:val="0"/>
              <w:spacing w:line="288" w:lineRule="auto"/>
              <w:jc w:val="center"/>
              <w:rPr>
                <w:rFonts w:ascii="宋体" w:hAnsi="宋体" w:eastAsia="宋体" w:cs="宋体"/>
                <w:color w:val="auto"/>
                <w:spacing w:val="0"/>
                <w:sz w:val="24"/>
                <w:szCs w:val="24"/>
              </w:rPr>
            </w:pPr>
          </w:p>
        </w:tc>
        <w:tc>
          <w:tcPr>
            <w:tcW w:w="3237" w:type="dxa"/>
            <w:tcBorders>
              <w:top w:val="single" w:color="auto" w:sz="2" w:space="0"/>
              <w:left w:val="single" w:color="auto" w:sz="4" w:space="0"/>
              <w:bottom w:val="single" w:color="auto" w:sz="2" w:space="0"/>
              <w:right w:val="single" w:color="auto" w:sz="4" w:space="0"/>
            </w:tcBorders>
            <w:noWrap w:val="0"/>
            <w:vAlign w:val="center"/>
          </w:tcPr>
          <w:p w14:paraId="001C47D1">
            <w:pPr>
              <w:widowControl w:val="0"/>
              <w:spacing w:line="288" w:lineRule="auto"/>
              <w:jc w:val="left"/>
              <w:rPr>
                <w:rFonts w:hint="default" w:ascii="宋体" w:hAnsi="宋体" w:eastAsia="宋体"/>
                <w:color w:val="auto"/>
                <w:spacing w:val="0"/>
                <w:sz w:val="24"/>
                <w:szCs w:val="24"/>
                <w:lang w:val="en-US" w:eastAsia="zh-CN"/>
              </w:rPr>
            </w:pPr>
            <w:r>
              <w:rPr>
                <w:rFonts w:hint="eastAsia" w:ascii="宋体" w:hAnsi="宋体" w:eastAsia="宋体"/>
                <w:color w:val="auto"/>
                <w:spacing w:val="0"/>
                <w:sz w:val="24"/>
                <w:szCs w:val="24"/>
                <w:highlight w:val="none"/>
              </w:rPr>
              <w:t>化学需氧量</w:t>
            </w:r>
            <w:r>
              <w:rPr>
                <w:rFonts w:hint="eastAsia" w:ascii="宋体" w:hAnsi="宋体"/>
                <w:color w:val="auto"/>
                <w:spacing w:val="0"/>
                <w:sz w:val="24"/>
                <w:szCs w:val="24"/>
                <w:highlight w:val="none"/>
                <w:lang w:val="en-US" w:eastAsia="zh-CN"/>
              </w:rPr>
              <w:t>水质自动分析仪</w:t>
            </w:r>
          </w:p>
        </w:tc>
        <w:tc>
          <w:tcPr>
            <w:tcW w:w="2049" w:type="dxa"/>
            <w:tcBorders>
              <w:top w:val="single" w:color="auto" w:sz="2" w:space="0"/>
              <w:left w:val="single" w:color="auto" w:sz="4" w:space="0"/>
              <w:bottom w:val="single" w:color="auto" w:sz="2" w:space="0"/>
              <w:right w:val="single" w:color="auto" w:sz="4" w:space="0"/>
            </w:tcBorders>
            <w:noWrap w:val="0"/>
            <w:vAlign w:val="center"/>
          </w:tcPr>
          <w:p w14:paraId="29427394">
            <w:pPr>
              <w:widowControl w:val="0"/>
              <w:spacing w:line="288" w:lineRule="auto"/>
              <w:jc w:val="center"/>
              <w:rPr>
                <w:rFonts w:hint="eastAsia" w:ascii="宋体" w:hAnsi="宋体" w:eastAsia="宋体"/>
                <w:color w:val="auto"/>
                <w:spacing w:val="0"/>
                <w:sz w:val="24"/>
                <w:szCs w:val="24"/>
              </w:rPr>
            </w:pPr>
            <w:r>
              <w:rPr>
                <w:rFonts w:hint="eastAsia" w:ascii="宋体" w:hAnsi="宋体" w:eastAsia="宋体"/>
                <w:color w:val="auto"/>
                <w:spacing w:val="0"/>
                <w:sz w:val="24"/>
                <w:szCs w:val="24"/>
              </w:rPr>
              <w:t>见技术要求</w:t>
            </w:r>
          </w:p>
        </w:tc>
        <w:tc>
          <w:tcPr>
            <w:tcW w:w="818" w:type="dxa"/>
            <w:tcBorders>
              <w:top w:val="single" w:color="auto" w:sz="2" w:space="0"/>
              <w:left w:val="single" w:color="auto" w:sz="4" w:space="0"/>
              <w:bottom w:val="single" w:color="auto" w:sz="2" w:space="0"/>
              <w:right w:val="single" w:color="auto" w:sz="4" w:space="0"/>
            </w:tcBorders>
            <w:noWrap w:val="0"/>
            <w:vAlign w:val="center"/>
          </w:tcPr>
          <w:p w14:paraId="1AD036E3">
            <w:pPr>
              <w:widowControl w:val="0"/>
              <w:spacing w:line="288" w:lineRule="auto"/>
              <w:jc w:val="center"/>
              <w:rPr>
                <w:rFonts w:hint="default" w:ascii="宋体" w:hAnsi="宋体"/>
                <w:color w:val="auto"/>
                <w:spacing w:val="0"/>
                <w:sz w:val="24"/>
                <w:szCs w:val="24"/>
                <w:highlight w:val="none"/>
                <w:lang w:val="en-US" w:eastAsia="zh-CN"/>
              </w:rPr>
            </w:pPr>
            <w:r>
              <w:rPr>
                <w:rFonts w:hint="eastAsia" w:ascii="宋体" w:hAnsi="宋体"/>
                <w:color w:val="auto"/>
                <w:spacing w:val="0"/>
                <w:sz w:val="24"/>
                <w:szCs w:val="24"/>
                <w:highlight w:val="none"/>
                <w:lang w:val="en-US" w:eastAsia="zh-CN"/>
              </w:rPr>
              <w:t>2</w:t>
            </w:r>
          </w:p>
        </w:tc>
        <w:tc>
          <w:tcPr>
            <w:tcW w:w="1296" w:type="dxa"/>
            <w:tcBorders>
              <w:top w:val="single" w:color="auto" w:sz="2" w:space="0"/>
              <w:left w:val="single" w:color="auto" w:sz="4" w:space="0"/>
              <w:bottom w:val="single" w:color="auto" w:sz="2" w:space="0"/>
              <w:right w:val="single" w:color="auto" w:sz="2" w:space="0"/>
            </w:tcBorders>
            <w:noWrap w:val="0"/>
            <w:vAlign w:val="center"/>
          </w:tcPr>
          <w:p w14:paraId="226E8F26">
            <w:pPr>
              <w:widowControl w:val="0"/>
              <w:spacing w:line="288" w:lineRule="auto"/>
              <w:jc w:val="center"/>
              <w:rPr>
                <w:rFonts w:hint="eastAsia" w:ascii="宋体" w:hAnsi="宋体"/>
                <w:color w:val="auto"/>
                <w:spacing w:val="0"/>
                <w:sz w:val="24"/>
                <w:szCs w:val="24"/>
                <w:highlight w:val="none"/>
                <w:lang w:val="en-US" w:eastAsia="zh-CN"/>
              </w:rPr>
            </w:pPr>
            <w:r>
              <w:rPr>
                <w:rFonts w:hint="eastAsia" w:asciiTheme="majorEastAsia" w:hAnsiTheme="majorEastAsia" w:eastAsiaTheme="majorEastAsia" w:cstheme="majorEastAsia"/>
                <w:b w:val="0"/>
                <w:bCs w:val="0"/>
                <w:spacing w:val="-1"/>
                <w:sz w:val="24"/>
                <w:szCs w:val="24"/>
                <w:lang w:val="en-US" w:eastAsia="zh-CN" w:bidi="zh-CN"/>
              </w:rPr>
              <w:t>工业</w:t>
            </w:r>
          </w:p>
        </w:tc>
        <w:tc>
          <w:tcPr>
            <w:tcW w:w="1296" w:type="dxa"/>
            <w:tcBorders>
              <w:top w:val="single" w:color="auto" w:sz="2" w:space="0"/>
              <w:left w:val="single" w:color="auto" w:sz="4" w:space="0"/>
              <w:bottom w:val="single" w:color="auto" w:sz="2" w:space="0"/>
              <w:right w:val="single" w:color="auto" w:sz="2" w:space="0"/>
            </w:tcBorders>
            <w:noWrap w:val="0"/>
            <w:vAlign w:val="center"/>
          </w:tcPr>
          <w:p w14:paraId="23B25058">
            <w:pPr>
              <w:widowControl w:val="0"/>
              <w:spacing w:line="288" w:lineRule="auto"/>
              <w:jc w:val="center"/>
              <w:rPr>
                <w:rFonts w:ascii="宋体" w:hAnsi="宋体" w:eastAsia="宋体" w:cs="宋体"/>
                <w:color w:val="auto"/>
                <w:spacing w:val="0"/>
                <w:sz w:val="24"/>
                <w:szCs w:val="24"/>
              </w:rPr>
            </w:pPr>
          </w:p>
        </w:tc>
      </w:tr>
      <w:tr w14:paraId="059CB79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606" w:type="dxa"/>
            <w:vMerge w:val="continue"/>
            <w:tcBorders>
              <w:left w:val="single" w:color="auto" w:sz="2" w:space="0"/>
              <w:right w:val="single" w:color="auto" w:sz="4" w:space="0"/>
            </w:tcBorders>
            <w:noWrap w:val="0"/>
            <w:vAlign w:val="center"/>
          </w:tcPr>
          <w:p w14:paraId="6DEA6F1C">
            <w:pPr>
              <w:widowControl w:val="0"/>
              <w:spacing w:line="288" w:lineRule="auto"/>
              <w:jc w:val="center"/>
              <w:rPr>
                <w:rFonts w:ascii="宋体" w:hAnsi="宋体" w:eastAsia="宋体" w:cs="宋体"/>
                <w:color w:val="auto"/>
                <w:spacing w:val="0"/>
                <w:sz w:val="24"/>
                <w:szCs w:val="24"/>
              </w:rPr>
            </w:pPr>
          </w:p>
        </w:tc>
        <w:tc>
          <w:tcPr>
            <w:tcW w:w="816" w:type="dxa"/>
            <w:vMerge w:val="continue"/>
            <w:tcBorders>
              <w:left w:val="single" w:color="auto" w:sz="4" w:space="0"/>
              <w:right w:val="single" w:color="auto" w:sz="4" w:space="0"/>
            </w:tcBorders>
            <w:noWrap w:val="0"/>
            <w:vAlign w:val="center"/>
          </w:tcPr>
          <w:p w14:paraId="6AF02DFA">
            <w:pPr>
              <w:widowControl w:val="0"/>
              <w:spacing w:line="288" w:lineRule="auto"/>
              <w:jc w:val="center"/>
              <w:rPr>
                <w:rFonts w:ascii="宋体" w:hAnsi="宋体" w:eastAsia="宋体" w:cs="宋体"/>
                <w:color w:val="auto"/>
                <w:spacing w:val="0"/>
                <w:sz w:val="24"/>
                <w:szCs w:val="24"/>
              </w:rPr>
            </w:pPr>
          </w:p>
        </w:tc>
        <w:tc>
          <w:tcPr>
            <w:tcW w:w="3237" w:type="dxa"/>
            <w:tcBorders>
              <w:top w:val="single" w:color="auto" w:sz="2" w:space="0"/>
              <w:left w:val="single" w:color="auto" w:sz="4" w:space="0"/>
              <w:bottom w:val="single" w:color="auto" w:sz="2" w:space="0"/>
              <w:right w:val="single" w:color="auto" w:sz="4" w:space="0"/>
            </w:tcBorders>
            <w:noWrap w:val="0"/>
            <w:vAlign w:val="center"/>
          </w:tcPr>
          <w:p w14:paraId="40D769BD">
            <w:pPr>
              <w:widowControl w:val="0"/>
              <w:spacing w:line="288" w:lineRule="auto"/>
              <w:jc w:val="left"/>
              <w:rPr>
                <w:rFonts w:hint="default" w:ascii="宋体" w:hAnsi="宋体" w:eastAsia="宋体"/>
                <w:color w:val="auto"/>
                <w:spacing w:val="0"/>
                <w:sz w:val="24"/>
                <w:szCs w:val="24"/>
                <w:lang w:val="en-US" w:eastAsia="zh-CN"/>
              </w:rPr>
            </w:pPr>
            <w:r>
              <w:rPr>
                <w:rFonts w:hint="eastAsia" w:ascii="宋体" w:hAnsi="宋体"/>
                <w:color w:val="auto"/>
                <w:spacing w:val="0"/>
                <w:sz w:val="24"/>
                <w:szCs w:val="24"/>
                <w:lang w:val="en-US" w:eastAsia="zh-CN"/>
              </w:rPr>
              <w:t>总氮水质自动分析仪</w:t>
            </w:r>
          </w:p>
        </w:tc>
        <w:tc>
          <w:tcPr>
            <w:tcW w:w="2049" w:type="dxa"/>
            <w:tcBorders>
              <w:top w:val="single" w:color="auto" w:sz="2" w:space="0"/>
              <w:left w:val="single" w:color="auto" w:sz="4" w:space="0"/>
              <w:bottom w:val="single" w:color="auto" w:sz="2" w:space="0"/>
              <w:right w:val="single" w:color="auto" w:sz="4" w:space="0"/>
            </w:tcBorders>
            <w:noWrap w:val="0"/>
            <w:vAlign w:val="center"/>
          </w:tcPr>
          <w:p w14:paraId="6E06E508">
            <w:pPr>
              <w:widowControl w:val="0"/>
              <w:spacing w:line="288" w:lineRule="auto"/>
              <w:jc w:val="center"/>
              <w:rPr>
                <w:rFonts w:hint="eastAsia" w:ascii="宋体" w:hAnsi="宋体" w:eastAsia="宋体"/>
                <w:color w:val="auto"/>
                <w:spacing w:val="0"/>
                <w:sz w:val="24"/>
                <w:szCs w:val="24"/>
              </w:rPr>
            </w:pPr>
            <w:r>
              <w:rPr>
                <w:rFonts w:hint="eastAsia" w:ascii="宋体" w:hAnsi="宋体" w:eastAsia="宋体"/>
                <w:color w:val="auto"/>
                <w:spacing w:val="0"/>
                <w:sz w:val="24"/>
                <w:szCs w:val="24"/>
              </w:rPr>
              <w:t>见技术要求</w:t>
            </w:r>
          </w:p>
        </w:tc>
        <w:tc>
          <w:tcPr>
            <w:tcW w:w="818" w:type="dxa"/>
            <w:tcBorders>
              <w:top w:val="single" w:color="auto" w:sz="2" w:space="0"/>
              <w:left w:val="single" w:color="auto" w:sz="4" w:space="0"/>
              <w:bottom w:val="single" w:color="auto" w:sz="2" w:space="0"/>
              <w:right w:val="single" w:color="auto" w:sz="4" w:space="0"/>
            </w:tcBorders>
            <w:noWrap w:val="0"/>
            <w:vAlign w:val="center"/>
          </w:tcPr>
          <w:p w14:paraId="7347AF2D">
            <w:pPr>
              <w:widowControl w:val="0"/>
              <w:spacing w:line="288" w:lineRule="auto"/>
              <w:jc w:val="center"/>
              <w:rPr>
                <w:rFonts w:hint="default" w:ascii="宋体" w:hAnsi="宋体"/>
                <w:color w:val="auto"/>
                <w:spacing w:val="0"/>
                <w:sz w:val="24"/>
                <w:szCs w:val="24"/>
                <w:highlight w:val="none"/>
                <w:lang w:val="en-US" w:eastAsia="zh-CN"/>
              </w:rPr>
            </w:pPr>
            <w:r>
              <w:rPr>
                <w:rFonts w:hint="eastAsia" w:ascii="宋体" w:hAnsi="宋体"/>
                <w:color w:val="auto"/>
                <w:spacing w:val="0"/>
                <w:sz w:val="24"/>
                <w:szCs w:val="24"/>
                <w:highlight w:val="none"/>
                <w:lang w:val="en-US" w:eastAsia="zh-CN"/>
              </w:rPr>
              <w:t>2</w:t>
            </w:r>
          </w:p>
        </w:tc>
        <w:tc>
          <w:tcPr>
            <w:tcW w:w="1296" w:type="dxa"/>
            <w:tcBorders>
              <w:top w:val="single" w:color="auto" w:sz="2" w:space="0"/>
              <w:left w:val="single" w:color="auto" w:sz="4" w:space="0"/>
              <w:bottom w:val="single" w:color="auto" w:sz="2" w:space="0"/>
              <w:right w:val="single" w:color="auto" w:sz="2" w:space="0"/>
            </w:tcBorders>
            <w:noWrap w:val="0"/>
            <w:vAlign w:val="center"/>
          </w:tcPr>
          <w:p w14:paraId="4BFBF816">
            <w:pPr>
              <w:widowControl w:val="0"/>
              <w:spacing w:line="288" w:lineRule="auto"/>
              <w:jc w:val="center"/>
              <w:rPr>
                <w:rFonts w:hint="eastAsia" w:ascii="宋体" w:hAnsi="宋体"/>
                <w:color w:val="auto"/>
                <w:spacing w:val="0"/>
                <w:sz w:val="24"/>
                <w:szCs w:val="24"/>
                <w:highlight w:val="none"/>
                <w:lang w:val="en-US" w:eastAsia="zh-CN"/>
              </w:rPr>
            </w:pPr>
            <w:r>
              <w:rPr>
                <w:rFonts w:hint="eastAsia" w:asciiTheme="majorEastAsia" w:hAnsiTheme="majorEastAsia" w:eastAsiaTheme="majorEastAsia" w:cstheme="majorEastAsia"/>
                <w:b w:val="0"/>
                <w:bCs w:val="0"/>
                <w:spacing w:val="-1"/>
                <w:sz w:val="24"/>
                <w:szCs w:val="24"/>
                <w:lang w:val="en-US" w:eastAsia="zh-CN" w:bidi="zh-CN"/>
              </w:rPr>
              <w:t>工业</w:t>
            </w:r>
          </w:p>
        </w:tc>
        <w:tc>
          <w:tcPr>
            <w:tcW w:w="1296" w:type="dxa"/>
            <w:tcBorders>
              <w:top w:val="single" w:color="auto" w:sz="2" w:space="0"/>
              <w:left w:val="single" w:color="auto" w:sz="4" w:space="0"/>
              <w:bottom w:val="single" w:color="auto" w:sz="2" w:space="0"/>
              <w:right w:val="single" w:color="auto" w:sz="2" w:space="0"/>
            </w:tcBorders>
            <w:noWrap w:val="0"/>
            <w:vAlign w:val="center"/>
          </w:tcPr>
          <w:p w14:paraId="478975A3">
            <w:pPr>
              <w:widowControl w:val="0"/>
              <w:spacing w:line="288" w:lineRule="auto"/>
              <w:jc w:val="center"/>
              <w:rPr>
                <w:rFonts w:ascii="宋体" w:hAnsi="宋体" w:eastAsia="宋体" w:cs="宋体"/>
                <w:color w:val="auto"/>
                <w:spacing w:val="0"/>
                <w:sz w:val="24"/>
                <w:szCs w:val="24"/>
              </w:rPr>
            </w:pPr>
          </w:p>
        </w:tc>
      </w:tr>
      <w:tr w14:paraId="02187F2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606" w:type="dxa"/>
            <w:vMerge w:val="continue"/>
            <w:tcBorders>
              <w:left w:val="single" w:color="auto" w:sz="2" w:space="0"/>
              <w:right w:val="single" w:color="auto" w:sz="4" w:space="0"/>
            </w:tcBorders>
            <w:noWrap w:val="0"/>
            <w:vAlign w:val="center"/>
          </w:tcPr>
          <w:p w14:paraId="65A43752">
            <w:pPr>
              <w:widowControl w:val="0"/>
              <w:spacing w:line="288" w:lineRule="auto"/>
              <w:jc w:val="center"/>
              <w:rPr>
                <w:rFonts w:ascii="宋体" w:hAnsi="宋体" w:eastAsia="宋体" w:cs="宋体"/>
                <w:color w:val="auto"/>
                <w:spacing w:val="0"/>
                <w:sz w:val="24"/>
                <w:szCs w:val="24"/>
              </w:rPr>
            </w:pPr>
          </w:p>
        </w:tc>
        <w:tc>
          <w:tcPr>
            <w:tcW w:w="816" w:type="dxa"/>
            <w:vMerge w:val="continue"/>
            <w:tcBorders>
              <w:left w:val="single" w:color="auto" w:sz="4" w:space="0"/>
              <w:bottom w:val="single" w:color="auto" w:sz="4" w:space="0"/>
              <w:right w:val="single" w:color="auto" w:sz="4" w:space="0"/>
            </w:tcBorders>
            <w:noWrap w:val="0"/>
            <w:vAlign w:val="center"/>
          </w:tcPr>
          <w:p w14:paraId="175D1880">
            <w:pPr>
              <w:widowControl w:val="0"/>
              <w:spacing w:line="288" w:lineRule="auto"/>
              <w:jc w:val="center"/>
              <w:rPr>
                <w:rFonts w:ascii="宋体" w:hAnsi="宋体" w:eastAsia="宋体" w:cs="宋体"/>
                <w:color w:val="auto"/>
                <w:spacing w:val="0"/>
                <w:sz w:val="24"/>
                <w:szCs w:val="24"/>
              </w:rPr>
            </w:pPr>
          </w:p>
        </w:tc>
        <w:tc>
          <w:tcPr>
            <w:tcW w:w="3237" w:type="dxa"/>
            <w:tcBorders>
              <w:top w:val="single" w:color="auto" w:sz="2" w:space="0"/>
              <w:left w:val="single" w:color="auto" w:sz="4" w:space="0"/>
              <w:bottom w:val="single" w:color="auto" w:sz="2" w:space="0"/>
              <w:right w:val="single" w:color="auto" w:sz="4" w:space="0"/>
            </w:tcBorders>
            <w:noWrap w:val="0"/>
            <w:vAlign w:val="center"/>
          </w:tcPr>
          <w:p w14:paraId="020A4679">
            <w:pPr>
              <w:widowControl w:val="0"/>
              <w:spacing w:line="288" w:lineRule="auto"/>
              <w:jc w:val="left"/>
              <w:rPr>
                <w:rFonts w:hint="default" w:ascii="宋体" w:hAnsi="宋体" w:eastAsia="宋体"/>
                <w:color w:val="auto"/>
                <w:spacing w:val="0"/>
                <w:sz w:val="24"/>
                <w:szCs w:val="24"/>
                <w:lang w:val="en-US" w:eastAsia="zh-CN"/>
              </w:rPr>
            </w:pPr>
            <w:r>
              <w:rPr>
                <w:rFonts w:hint="eastAsia" w:ascii="宋体" w:hAnsi="宋体"/>
                <w:color w:val="auto"/>
                <w:spacing w:val="0"/>
                <w:sz w:val="24"/>
                <w:szCs w:val="24"/>
                <w:lang w:val="en-US" w:eastAsia="zh-CN"/>
              </w:rPr>
              <w:t>流向流速仪</w:t>
            </w:r>
          </w:p>
        </w:tc>
        <w:tc>
          <w:tcPr>
            <w:tcW w:w="2049" w:type="dxa"/>
            <w:tcBorders>
              <w:top w:val="single" w:color="auto" w:sz="2" w:space="0"/>
              <w:left w:val="single" w:color="auto" w:sz="4" w:space="0"/>
              <w:bottom w:val="single" w:color="auto" w:sz="2" w:space="0"/>
              <w:right w:val="single" w:color="auto" w:sz="4" w:space="0"/>
            </w:tcBorders>
            <w:noWrap w:val="0"/>
            <w:vAlign w:val="center"/>
          </w:tcPr>
          <w:p w14:paraId="312166FC">
            <w:pPr>
              <w:widowControl w:val="0"/>
              <w:spacing w:line="288" w:lineRule="auto"/>
              <w:jc w:val="center"/>
              <w:rPr>
                <w:rFonts w:hint="eastAsia" w:ascii="宋体" w:hAnsi="宋体" w:eastAsia="宋体"/>
                <w:color w:val="auto"/>
                <w:spacing w:val="0"/>
                <w:sz w:val="24"/>
                <w:szCs w:val="24"/>
              </w:rPr>
            </w:pPr>
            <w:r>
              <w:rPr>
                <w:rFonts w:hint="eastAsia" w:ascii="宋体" w:hAnsi="宋体" w:eastAsia="宋体"/>
                <w:color w:val="auto"/>
                <w:spacing w:val="0"/>
                <w:sz w:val="24"/>
                <w:szCs w:val="24"/>
              </w:rPr>
              <w:t>见技术要求</w:t>
            </w:r>
          </w:p>
        </w:tc>
        <w:tc>
          <w:tcPr>
            <w:tcW w:w="818" w:type="dxa"/>
            <w:tcBorders>
              <w:top w:val="single" w:color="auto" w:sz="2" w:space="0"/>
              <w:left w:val="single" w:color="auto" w:sz="4" w:space="0"/>
              <w:bottom w:val="single" w:color="auto" w:sz="2" w:space="0"/>
              <w:right w:val="single" w:color="auto" w:sz="4" w:space="0"/>
            </w:tcBorders>
            <w:noWrap w:val="0"/>
            <w:vAlign w:val="center"/>
          </w:tcPr>
          <w:p w14:paraId="13422109">
            <w:pPr>
              <w:widowControl w:val="0"/>
              <w:spacing w:line="288" w:lineRule="auto"/>
              <w:jc w:val="center"/>
              <w:rPr>
                <w:rFonts w:hint="default" w:ascii="宋体" w:hAnsi="宋体"/>
                <w:color w:val="auto"/>
                <w:spacing w:val="0"/>
                <w:sz w:val="24"/>
                <w:szCs w:val="24"/>
                <w:highlight w:val="none"/>
                <w:lang w:val="en-US" w:eastAsia="zh-CN"/>
              </w:rPr>
            </w:pPr>
            <w:r>
              <w:rPr>
                <w:rFonts w:hint="eastAsia" w:ascii="宋体" w:hAnsi="宋体"/>
                <w:color w:val="auto"/>
                <w:spacing w:val="0"/>
                <w:sz w:val="24"/>
                <w:szCs w:val="24"/>
                <w:highlight w:val="none"/>
                <w:lang w:val="en-US" w:eastAsia="zh-CN"/>
              </w:rPr>
              <w:t>2</w:t>
            </w:r>
          </w:p>
        </w:tc>
        <w:tc>
          <w:tcPr>
            <w:tcW w:w="1296" w:type="dxa"/>
            <w:tcBorders>
              <w:top w:val="single" w:color="auto" w:sz="2" w:space="0"/>
              <w:left w:val="single" w:color="auto" w:sz="4" w:space="0"/>
              <w:bottom w:val="single" w:color="auto" w:sz="2" w:space="0"/>
              <w:right w:val="single" w:color="auto" w:sz="2" w:space="0"/>
            </w:tcBorders>
            <w:noWrap w:val="0"/>
            <w:vAlign w:val="center"/>
          </w:tcPr>
          <w:p w14:paraId="0F859686">
            <w:pPr>
              <w:widowControl w:val="0"/>
              <w:spacing w:line="288" w:lineRule="auto"/>
              <w:jc w:val="center"/>
              <w:rPr>
                <w:rFonts w:hint="eastAsia" w:ascii="宋体" w:hAnsi="宋体"/>
                <w:color w:val="auto"/>
                <w:spacing w:val="0"/>
                <w:sz w:val="24"/>
                <w:szCs w:val="24"/>
                <w:highlight w:val="none"/>
                <w:lang w:val="en-US" w:eastAsia="zh-CN"/>
              </w:rPr>
            </w:pPr>
            <w:r>
              <w:rPr>
                <w:rFonts w:hint="eastAsia" w:asciiTheme="majorEastAsia" w:hAnsiTheme="majorEastAsia" w:eastAsiaTheme="majorEastAsia" w:cstheme="majorEastAsia"/>
                <w:b w:val="0"/>
                <w:bCs w:val="0"/>
                <w:spacing w:val="-1"/>
                <w:sz w:val="24"/>
                <w:szCs w:val="24"/>
                <w:lang w:val="en-US" w:eastAsia="zh-CN" w:bidi="zh-CN"/>
              </w:rPr>
              <w:t>工业</w:t>
            </w:r>
          </w:p>
        </w:tc>
        <w:tc>
          <w:tcPr>
            <w:tcW w:w="1296" w:type="dxa"/>
            <w:tcBorders>
              <w:top w:val="single" w:color="auto" w:sz="2" w:space="0"/>
              <w:left w:val="single" w:color="auto" w:sz="4" w:space="0"/>
              <w:bottom w:val="single" w:color="auto" w:sz="2" w:space="0"/>
              <w:right w:val="single" w:color="auto" w:sz="2" w:space="0"/>
            </w:tcBorders>
            <w:noWrap w:val="0"/>
            <w:vAlign w:val="center"/>
          </w:tcPr>
          <w:p w14:paraId="4B4F0608">
            <w:pPr>
              <w:widowControl w:val="0"/>
              <w:spacing w:line="288" w:lineRule="auto"/>
              <w:jc w:val="center"/>
              <w:rPr>
                <w:rFonts w:ascii="宋体" w:hAnsi="宋体" w:eastAsia="宋体" w:cs="宋体"/>
                <w:color w:val="auto"/>
                <w:spacing w:val="0"/>
                <w:sz w:val="24"/>
                <w:szCs w:val="24"/>
              </w:rPr>
            </w:pPr>
          </w:p>
        </w:tc>
      </w:tr>
      <w:tr w14:paraId="38C2E7E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606" w:type="dxa"/>
            <w:vMerge w:val="restart"/>
            <w:tcBorders>
              <w:top w:val="single" w:color="auto" w:sz="4" w:space="0"/>
              <w:left w:val="single" w:color="auto" w:sz="2" w:space="0"/>
              <w:bottom w:val="single" w:color="auto" w:sz="4" w:space="0"/>
              <w:right w:val="single" w:color="auto" w:sz="4" w:space="0"/>
            </w:tcBorders>
            <w:noWrap w:val="0"/>
            <w:vAlign w:val="center"/>
          </w:tcPr>
          <w:p w14:paraId="1C536CBF">
            <w:pPr>
              <w:widowControl w:val="0"/>
              <w:spacing w:line="288" w:lineRule="auto"/>
              <w:jc w:val="center"/>
              <w:rPr>
                <w:rFonts w:ascii="宋体" w:hAnsi="宋体" w:eastAsia="宋体" w:cs="宋体"/>
                <w:color w:val="auto"/>
                <w:spacing w:val="0"/>
                <w:sz w:val="24"/>
                <w:szCs w:val="24"/>
              </w:rPr>
            </w:pPr>
            <w:r>
              <w:rPr>
                <w:rFonts w:hint="eastAsia" w:ascii="宋体" w:hAnsi="宋体" w:eastAsia="宋体"/>
                <w:color w:val="auto"/>
                <w:spacing w:val="0"/>
                <w:sz w:val="24"/>
                <w:szCs w:val="24"/>
              </w:rPr>
              <w:t>2</w:t>
            </w:r>
          </w:p>
        </w:tc>
        <w:tc>
          <w:tcPr>
            <w:tcW w:w="816" w:type="dxa"/>
            <w:vMerge w:val="restart"/>
            <w:tcBorders>
              <w:top w:val="single" w:color="auto" w:sz="4" w:space="0"/>
              <w:left w:val="single" w:color="auto" w:sz="4" w:space="0"/>
              <w:bottom w:val="single" w:color="auto" w:sz="4" w:space="0"/>
              <w:right w:val="single" w:color="auto" w:sz="4" w:space="0"/>
            </w:tcBorders>
            <w:noWrap w:val="0"/>
            <w:vAlign w:val="center"/>
          </w:tcPr>
          <w:p w14:paraId="71D92BEC">
            <w:pPr>
              <w:widowControl w:val="0"/>
              <w:spacing w:line="288" w:lineRule="auto"/>
              <w:jc w:val="center"/>
              <w:rPr>
                <w:rFonts w:ascii="宋体" w:hAnsi="宋体" w:eastAsia="宋体" w:cs="宋体"/>
                <w:color w:val="auto"/>
                <w:spacing w:val="0"/>
                <w:sz w:val="24"/>
                <w:szCs w:val="24"/>
              </w:rPr>
            </w:pPr>
            <w:r>
              <w:rPr>
                <w:rFonts w:hint="eastAsia" w:ascii="宋体" w:hAnsi="宋体" w:eastAsia="宋体"/>
                <w:color w:val="auto"/>
                <w:spacing w:val="0"/>
                <w:sz w:val="24"/>
                <w:szCs w:val="24"/>
              </w:rPr>
              <w:t>水站</w:t>
            </w:r>
          </w:p>
          <w:p w14:paraId="0A25B949">
            <w:pPr>
              <w:widowControl w:val="0"/>
              <w:spacing w:line="288" w:lineRule="auto"/>
              <w:jc w:val="center"/>
              <w:rPr>
                <w:rFonts w:ascii="宋体" w:hAnsi="宋体" w:eastAsia="宋体"/>
                <w:color w:val="auto"/>
                <w:spacing w:val="0"/>
                <w:sz w:val="24"/>
                <w:szCs w:val="24"/>
              </w:rPr>
            </w:pPr>
            <w:r>
              <w:rPr>
                <w:rFonts w:hint="eastAsia" w:ascii="宋体" w:hAnsi="宋体" w:eastAsia="宋体"/>
                <w:color w:val="auto"/>
                <w:spacing w:val="0"/>
                <w:sz w:val="24"/>
                <w:szCs w:val="24"/>
              </w:rPr>
              <w:t>系统</w:t>
            </w:r>
          </w:p>
          <w:p w14:paraId="09826DEC">
            <w:pPr>
              <w:widowControl w:val="0"/>
              <w:spacing w:line="288" w:lineRule="auto"/>
              <w:jc w:val="center"/>
              <w:rPr>
                <w:rFonts w:ascii="宋体" w:hAnsi="宋体" w:eastAsia="宋体" w:cs="宋体"/>
                <w:color w:val="auto"/>
                <w:spacing w:val="0"/>
                <w:sz w:val="24"/>
                <w:szCs w:val="24"/>
              </w:rPr>
            </w:pPr>
            <w:r>
              <w:rPr>
                <w:rFonts w:hint="eastAsia" w:ascii="宋体" w:hAnsi="宋体" w:eastAsia="宋体"/>
                <w:color w:val="auto"/>
                <w:spacing w:val="0"/>
                <w:sz w:val="24"/>
                <w:szCs w:val="24"/>
              </w:rPr>
              <w:t>集成</w:t>
            </w:r>
          </w:p>
        </w:tc>
        <w:tc>
          <w:tcPr>
            <w:tcW w:w="3237" w:type="dxa"/>
            <w:tcBorders>
              <w:top w:val="single" w:color="auto" w:sz="2" w:space="0"/>
              <w:left w:val="single" w:color="auto" w:sz="4" w:space="0"/>
              <w:bottom w:val="single" w:color="auto" w:sz="2" w:space="0"/>
              <w:right w:val="single" w:color="auto" w:sz="4" w:space="0"/>
            </w:tcBorders>
            <w:noWrap w:val="0"/>
            <w:vAlign w:val="center"/>
          </w:tcPr>
          <w:p w14:paraId="70BFEBC6">
            <w:pPr>
              <w:widowControl w:val="0"/>
              <w:spacing w:line="288" w:lineRule="auto"/>
              <w:jc w:val="left"/>
              <w:rPr>
                <w:rFonts w:ascii="宋体" w:hAnsi="宋体" w:eastAsia="宋体" w:cs="宋体"/>
                <w:color w:val="auto"/>
                <w:spacing w:val="0"/>
                <w:sz w:val="24"/>
                <w:szCs w:val="24"/>
              </w:rPr>
            </w:pPr>
            <w:r>
              <w:rPr>
                <w:rFonts w:hint="eastAsia" w:ascii="宋体" w:hAnsi="宋体" w:eastAsia="宋体"/>
                <w:color w:val="auto"/>
                <w:spacing w:val="0"/>
                <w:sz w:val="24"/>
                <w:szCs w:val="24"/>
              </w:rPr>
              <w:t>采水单元</w:t>
            </w:r>
          </w:p>
        </w:tc>
        <w:tc>
          <w:tcPr>
            <w:tcW w:w="2049" w:type="dxa"/>
            <w:tcBorders>
              <w:top w:val="single" w:color="auto" w:sz="2" w:space="0"/>
              <w:left w:val="single" w:color="auto" w:sz="4" w:space="0"/>
              <w:bottom w:val="single" w:color="auto" w:sz="2" w:space="0"/>
              <w:right w:val="single" w:color="auto" w:sz="4" w:space="0"/>
            </w:tcBorders>
            <w:noWrap w:val="0"/>
            <w:vAlign w:val="center"/>
          </w:tcPr>
          <w:p w14:paraId="548FB4D3">
            <w:pPr>
              <w:widowControl w:val="0"/>
              <w:spacing w:line="288" w:lineRule="auto"/>
              <w:jc w:val="center"/>
              <w:rPr>
                <w:rFonts w:ascii="宋体" w:hAnsi="宋体" w:eastAsia="宋体" w:cs="宋体"/>
                <w:color w:val="auto"/>
                <w:spacing w:val="0"/>
                <w:sz w:val="24"/>
                <w:szCs w:val="24"/>
              </w:rPr>
            </w:pPr>
            <w:r>
              <w:rPr>
                <w:rFonts w:hint="eastAsia" w:ascii="宋体" w:hAnsi="宋体" w:eastAsia="宋体"/>
                <w:color w:val="auto"/>
                <w:spacing w:val="0"/>
                <w:sz w:val="24"/>
                <w:szCs w:val="24"/>
              </w:rPr>
              <w:t>见技术要求</w:t>
            </w:r>
          </w:p>
        </w:tc>
        <w:tc>
          <w:tcPr>
            <w:tcW w:w="818" w:type="dxa"/>
            <w:tcBorders>
              <w:top w:val="single" w:color="auto" w:sz="2" w:space="0"/>
              <w:left w:val="single" w:color="auto" w:sz="4" w:space="0"/>
              <w:bottom w:val="single" w:color="auto" w:sz="2" w:space="0"/>
              <w:right w:val="single" w:color="auto" w:sz="4" w:space="0"/>
            </w:tcBorders>
            <w:noWrap w:val="0"/>
            <w:vAlign w:val="center"/>
          </w:tcPr>
          <w:p w14:paraId="1964447E">
            <w:pPr>
              <w:widowControl w:val="0"/>
              <w:spacing w:line="288" w:lineRule="auto"/>
              <w:jc w:val="center"/>
              <w:rPr>
                <w:rFonts w:hint="eastAsia" w:ascii="宋体" w:hAnsi="宋体" w:eastAsia="宋体" w:cs="宋体"/>
                <w:color w:val="auto"/>
                <w:spacing w:val="0"/>
                <w:sz w:val="24"/>
                <w:szCs w:val="24"/>
                <w:highlight w:val="none"/>
                <w:lang w:eastAsia="zh-CN"/>
              </w:rPr>
            </w:pPr>
            <w:r>
              <w:rPr>
                <w:rFonts w:hint="eastAsia" w:ascii="宋体" w:hAnsi="宋体"/>
                <w:color w:val="auto"/>
                <w:spacing w:val="0"/>
                <w:sz w:val="24"/>
                <w:szCs w:val="24"/>
                <w:highlight w:val="none"/>
                <w:lang w:val="en-US" w:eastAsia="zh-CN"/>
              </w:rPr>
              <w:t>2</w:t>
            </w:r>
          </w:p>
        </w:tc>
        <w:tc>
          <w:tcPr>
            <w:tcW w:w="1296" w:type="dxa"/>
            <w:tcBorders>
              <w:top w:val="single" w:color="auto" w:sz="2" w:space="0"/>
              <w:left w:val="single" w:color="auto" w:sz="4" w:space="0"/>
              <w:bottom w:val="single" w:color="auto" w:sz="2" w:space="0"/>
              <w:right w:val="single" w:color="auto" w:sz="2" w:space="0"/>
            </w:tcBorders>
            <w:noWrap w:val="0"/>
            <w:vAlign w:val="center"/>
          </w:tcPr>
          <w:p w14:paraId="267CDD96">
            <w:pPr>
              <w:widowControl w:val="0"/>
              <w:spacing w:line="288" w:lineRule="auto"/>
              <w:jc w:val="center"/>
              <w:rPr>
                <w:rFonts w:hint="eastAsia" w:ascii="宋体" w:hAnsi="宋体"/>
                <w:color w:val="auto"/>
                <w:spacing w:val="0"/>
                <w:sz w:val="24"/>
                <w:szCs w:val="24"/>
                <w:highlight w:val="none"/>
                <w:lang w:val="en-US" w:eastAsia="zh-CN"/>
              </w:rPr>
            </w:pPr>
          </w:p>
        </w:tc>
        <w:tc>
          <w:tcPr>
            <w:tcW w:w="1296" w:type="dxa"/>
            <w:tcBorders>
              <w:top w:val="single" w:color="auto" w:sz="2" w:space="0"/>
              <w:left w:val="single" w:color="auto" w:sz="4" w:space="0"/>
              <w:bottom w:val="single" w:color="auto" w:sz="2" w:space="0"/>
              <w:right w:val="single" w:color="auto" w:sz="2" w:space="0"/>
            </w:tcBorders>
            <w:noWrap w:val="0"/>
            <w:vAlign w:val="center"/>
          </w:tcPr>
          <w:p w14:paraId="6192CD08">
            <w:pPr>
              <w:widowControl w:val="0"/>
              <w:spacing w:line="288" w:lineRule="auto"/>
              <w:jc w:val="center"/>
              <w:rPr>
                <w:rFonts w:ascii="宋体" w:hAnsi="宋体" w:eastAsia="宋体" w:cs="宋体"/>
                <w:color w:val="auto"/>
                <w:spacing w:val="0"/>
                <w:sz w:val="24"/>
                <w:szCs w:val="24"/>
              </w:rPr>
            </w:pPr>
          </w:p>
        </w:tc>
      </w:tr>
      <w:tr w14:paraId="55A1FE9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606" w:type="dxa"/>
            <w:vMerge w:val="continue"/>
            <w:tcBorders>
              <w:top w:val="single" w:color="auto" w:sz="4" w:space="0"/>
              <w:left w:val="single" w:color="auto" w:sz="2" w:space="0"/>
              <w:bottom w:val="single" w:color="auto" w:sz="4" w:space="0"/>
              <w:right w:val="single" w:color="auto" w:sz="4" w:space="0"/>
            </w:tcBorders>
            <w:noWrap w:val="0"/>
            <w:vAlign w:val="center"/>
          </w:tcPr>
          <w:p w14:paraId="2D12EE68">
            <w:pPr>
              <w:widowControl w:val="0"/>
              <w:spacing w:line="288" w:lineRule="auto"/>
              <w:jc w:val="center"/>
              <w:rPr>
                <w:rFonts w:ascii="宋体" w:hAnsi="宋体" w:eastAsia="宋体" w:cs="宋体"/>
                <w:color w:val="auto"/>
                <w:spacing w:val="0"/>
                <w:sz w:val="24"/>
                <w:szCs w:val="24"/>
              </w:rPr>
            </w:pPr>
          </w:p>
        </w:tc>
        <w:tc>
          <w:tcPr>
            <w:tcW w:w="816" w:type="dxa"/>
            <w:vMerge w:val="continue"/>
            <w:tcBorders>
              <w:top w:val="single" w:color="auto" w:sz="4" w:space="0"/>
              <w:left w:val="single" w:color="auto" w:sz="4" w:space="0"/>
              <w:bottom w:val="single" w:color="auto" w:sz="4" w:space="0"/>
              <w:right w:val="single" w:color="auto" w:sz="4" w:space="0"/>
            </w:tcBorders>
            <w:noWrap w:val="0"/>
            <w:vAlign w:val="center"/>
          </w:tcPr>
          <w:p w14:paraId="48C38134">
            <w:pPr>
              <w:widowControl w:val="0"/>
              <w:spacing w:line="288" w:lineRule="auto"/>
              <w:jc w:val="center"/>
              <w:rPr>
                <w:rFonts w:ascii="宋体" w:hAnsi="宋体" w:eastAsia="宋体" w:cs="宋体"/>
                <w:color w:val="auto"/>
                <w:spacing w:val="0"/>
                <w:sz w:val="24"/>
                <w:szCs w:val="24"/>
              </w:rPr>
            </w:pPr>
          </w:p>
        </w:tc>
        <w:tc>
          <w:tcPr>
            <w:tcW w:w="3237" w:type="dxa"/>
            <w:tcBorders>
              <w:top w:val="single" w:color="auto" w:sz="2" w:space="0"/>
              <w:left w:val="single" w:color="auto" w:sz="4" w:space="0"/>
              <w:bottom w:val="single" w:color="auto" w:sz="2" w:space="0"/>
              <w:right w:val="single" w:color="auto" w:sz="4" w:space="0"/>
            </w:tcBorders>
            <w:noWrap w:val="0"/>
            <w:vAlign w:val="center"/>
          </w:tcPr>
          <w:p w14:paraId="366176A3">
            <w:pPr>
              <w:widowControl w:val="0"/>
              <w:spacing w:line="288" w:lineRule="auto"/>
              <w:jc w:val="left"/>
              <w:rPr>
                <w:rFonts w:ascii="宋体" w:hAnsi="宋体" w:eastAsia="宋体" w:cs="宋体"/>
                <w:color w:val="auto"/>
                <w:spacing w:val="0"/>
                <w:sz w:val="24"/>
                <w:szCs w:val="24"/>
              </w:rPr>
            </w:pPr>
            <w:r>
              <w:rPr>
                <w:rFonts w:hint="eastAsia" w:ascii="宋体" w:hAnsi="宋体" w:eastAsia="宋体"/>
                <w:color w:val="auto"/>
                <w:spacing w:val="0"/>
                <w:sz w:val="24"/>
                <w:szCs w:val="24"/>
              </w:rPr>
              <w:t>配水单元</w:t>
            </w:r>
          </w:p>
        </w:tc>
        <w:tc>
          <w:tcPr>
            <w:tcW w:w="2049" w:type="dxa"/>
            <w:tcBorders>
              <w:top w:val="single" w:color="auto" w:sz="2" w:space="0"/>
              <w:left w:val="single" w:color="auto" w:sz="4" w:space="0"/>
              <w:bottom w:val="single" w:color="auto" w:sz="2" w:space="0"/>
              <w:right w:val="single" w:color="auto" w:sz="4" w:space="0"/>
            </w:tcBorders>
            <w:noWrap w:val="0"/>
            <w:vAlign w:val="center"/>
          </w:tcPr>
          <w:p w14:paraId="3EBF2008">
            <w:pPr>
              <w:widowControl w:val="0"/>
              <w:spacing w:line="288" w:lineRule="auto"/>
              <w:jc w:val="center"/>
              <w:rPr>
                <w:rFonts w:ascii="宋体" w:hAnsi="宋体" w:eastAsia="宋体" w:cs="宋体"/>
                <w:color w:val="auto"/>
                <w:spacing w:val="0"/>
                <w:sz w:val="24"/>
                <w:szCs w:val="24"/>
              </w:rPr>
            </w:pPr>
            <w:r>
              <w:rPr>
                <w:rFonts w:hint="eastAsia" w:ascii="宋体" w:hAnsi="宋体" w:eastAsia="宋体"/>
                <w:color w:val="auto"/>
                <w:spacing w:val="0"/>
                <w:sz w:val="24"/>
                <w:szCs w:val="24"/>
              </w:rPr>
              <w:t>见技术要求</w:t>
            </w:r>
          </w:p>
        </w:tc>
        <w:tc>
          <w:tcPr>
            <w:tcW w:w="818" w:type="dxa"/>
            <w:tcBorders>
              <w:top w:val="single" w:color="auto" w:sz="2" w:space="0"/>
              <w:left w:val="single" w:color="auto" w:sz="4" w:space="0"/>
              <w:bottom w:val="single" w:color="auto" w:sz="2" w:space="0"/>
              <w:right w:val="single" w:color="auto" w:sz="4" w:space="0"/>
            </w:tcBorders>
            <w:noWrap w:val="0"/>
            <w:vAlign w:val="center"/>
          </w:tcPr>
          <w:p w14:paraId="2A67D60A">
            <w:pPr>
              <w:widowControl w:val="0"/>
              <w:spacing w:line="288" w:lineRule="auto"/>
              <w:jc w:val="center"/>
              <w:rPr>
                <w:rFonts w:hint="eastAsia" w:ascii="宋体" w:hAnsi="宋体" w:eastAsia="宋体" w:cs="宋体"/>
                <w:color w:val="auto"/>
                <w:spacing w:val="0"/>
                <w:sz w:val="24"/>
                <w:szCs w:val="24"/>
                <w:highlight w:val="none"/>
                <w:lang w:eastAsia="zh-CN"/>
              </w:rPr>
            </w:pPr>
            <w:r>
              <w:rPr>
                <w:rFonts w:hint="eastAsia" w:ascii="宋体" w:hAnsi="宋体"/>
                <w:color w:val="auto"/>
                <w:spacing w:val="0"/>
                <w:sz w:val="24"/>
                <w:szCs w:val="24"/>
                <w:highlight w:val="none"/>
                <w:lang w:val="en-US" w:eastAsia="zh-CN"/>
              </w:rPr>
              <w:t>2</w:t>
            </w:r>
          </w:p>
        </w:tc>
        <w:tc>
          <w:tcPr>
            <w:tcW w:w="1296" w:type="dxa"/>
            <w:tcBorders>
              <w:top w:val="single" w:color="auto" w:sz="2" w:space="0"/>
              <w:left w:val="single" w:color="auto" w:sz="4" w:space="0"/>
              <w:bottom w:val="single" w:color="auto" w:sz="2" w:space="0"/>
              <w:right w:val="single" w:color="auto" w:sz="2" w:space="0"/>
            </w:tcBorders>
            <w:noWrap w:val="0"/>
            <w:vAlign w:val="center"/>
          </w:tcPr>
          <w:p w14:paraId="094F1A50">
            <w:pPr>
              <w:widowControl w:val="0"/>
              <w:spacing w:line="288" w:lineRule="auto"/>
              <w:jc w:val="center"/>
              <w:rPr>
                <w:rFonts w:hint="eastAsia" w:ascii="宋体" w:hAnsi="宋体"/>
                <w:color w:val="auto"/>
                <w:spacing w:val="0"/>
                <w:sz w:val="24"/>
                <w:szCs w:val="24"/>
                <w:highlight w:val="none"/>
                <w:lang w:val="en-US" w:eastAsia="zh-CN"/>
              </w:rPr>
            </w:pPr>
          </w:p>
        </w:tc>
        <w:tc>
          <w:tcPr>
            <w:tcW w:w="1296" w:type="dxa"/>
            <w:tcBorders>
              <w:top w:val="single" w:color="auto" w:sz="2" w:space="0"/>
              <w:left w:val="single" w:color="auto" w:sz="4" w:space="0"/>
              <w:bottom w:val="single" w:color="auto" w:sz="2" w:space="0"/>
              <w:right w:val="single" w:color="auto" w:sz="2" w:space="0"/>
            </w:tcBorders>
            <w:noWrap w:val="0"/>
            <w:vAlign w:val="center"/>
          </w:tcPr>
          <w:p w14:paraId="60A50D64">
            <w:pPr>
              <w:widowControl w:val="0"/>
              <w:spacing w:line="288" w:lineRule="auto"/>
              <w:jc w:val="center"/>
              <w:rPr>
                <w:rFonts w:ascii="宋体" w:hAnsi="宋体" w:eastAsia="宋体" w:cs="宋体"/>
                <w:color w:val="auto"/>
                <w:spacing w:val="0"/>
                <w:sz w:val="24"/>
                <w:szCs w:val="24"/>
              </w:rPr>
            </w:pPr>
          </w:p>
        </w:tc>
      </w:tr>
      <w:tr w14:paraId="757A6C2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606" w:type="dxa"/>
            <w:vMerge w:val="continue"/>
            <w:tcBorders>
              <w:top w:val="single" w:color="auto" w:sz="4" w:space="0"/>
              <w:left w:val="single" w:color="auto" w:sz="2" w:space="0"/>
              <w:bottom w:val="single" w:color="auto" w:sz="4" w:space="0"/>
              <w:right w:val="single" w:color="auto" w:sz="4" w:space="0"/>
            </w:tcBorders>
            <w:noWrap w:val="0"/>
            <w:vAlign w:val="center"/>
          </w:tcPr>
          <w:p w14:paraId="3B2F3C49">
            <w:pPr>
              <w:widowControl w:val="0"/>
              <w:spacing w:line="288" w:lineRule="auto"/>
              <w:jc w:val="center"/>
              <w:rPr>
                <w:rFonts w:ascii="宋体" w:hAnsi="宋体" w:eastAsia="宋体" w:cs="宋体"/>
                <w:color w:val="auto"/>
                <w:spacing w:val="0"/>
                <w:sz w:val="24"/>
                <w:szCs w:val="24"/>
              </w:rPr>
            </w:pPr>
          </w:p>
        </w:tc>
        <w:tc>
          <w:tcPr>
            <w:tcW w:w="816" w:type="dxa"/>
            <w:vMerge w:val="continue"/>
            <w:tcBorders>
              <w:top w:val="single" w:color="auto" w:sz="4" w:space="0"/>
              <w:left w:val="single" w:color="auto" w:sz="4" w:space="0"/>
              <w:bottom w:val="single" w:color="auto" w:sz="4" w:space="0"/>
              <w:right w:val="single" w:color="auto" w:sz="4" w:space="0"/>
            </w:tcBorders>
            <w:noWrap w:val="0"/>
            <w:vAlign w:val="center"/>
          </w:tcPr>
          <w:p w14:paraId="7E89F560">
            <w:pPr>
              <w:widowControl w:val="0"/>
              <w:spacing w:line="288" w:lineRule="auto"/>
              <w:jc w:val="center"/>
              <w:rPr>
                <w:rFonts w:ascii="宋体" w:hAnsi="宋体" w:eastAsia="宋体" w:cs="宋体"/>
                <w:color w:val="auto"/>
                <w:spacing w:val="0"/>
                <w:sz w:val="24"/>
                <w:szCs w:val="24"/>
              </w:rPr>
            </w:pPr>
          </w:p>
        </w:tc>
        <w:tc>
          <w:tcPr>
            <w:tcW w:w="3237" w:type="dxa"/>
            <w:tcBorders>
              <w:top w:val="single" w:color="auto" w:sz="2" w:space="0"/>
              <w:left w:val="single" w:color="auto" w:sz="4" w:space="0"/>
              <w:bottom w:val="single" w:color="auto" w:sz="2" w:space="0"/>
              <w:right w:val="single" w:color="auto" w:sz="4" w:space="0"/>
            </w:tcBorders>
            <w:noWrap w:val="0"/>
            <w:vAlign w:val="center"/>
          </w:tcPr>
          <w:p w14:paraId="7952770E">
            <w:pPr>
              <w:widowControl w:val="0"/>
              <w:spacing w:line="288" w:lineRule="auto"/>
              <w:jc w:val="left"/>
              <w:rPr>
                <w:rFonts w:ascii="宋体" w:hAnsi="宋体" w:eastAsia="宋体" w:cs="宋体"/>
                <w:color w:val="auto"/>
                <w:spacing w:val="0"/>
                <w:sz w:val="24"/>
                <w:szCs w:val="24"/>
              </w:rPr>
            </w:pPr>
            <w:r>
              <w:rPr>
                <w:rFonts w:hint="eastAsia" w:ascii="宋体" w:hAnsi="宋体" w:eastAsia="宋体"/>
                <w:color w:val="auto"/>
                <w:spacing w:val="0"/>
                <w:sz w:val="24"/>
                <w:szCs w:val="24"/>
              </w:rPr>
              <w:t>留样单元</w:t>
            </w:r>
          </w:p>
        </w:tc>
        <w:tc>
          <w:tcPr>
            <w:tcW w:w="2049" w:type="dxa"/>
            <w:tcBorders>
              <w:top w:val="single" w:color="auto" w:sz="2" w:space="0"/>
              <w:left w:val="single" w:color="auto" w:sz="4" w:space="0"/>
              <w:bottom w:val="single" w:color="auto" w:sz="2" w:space="0"/>
              <w:right w:val="single" w:color="auto" w:sz="4" w:space="0"/>
            </w:tcBorders>
            <w:noWrap w:val="0"/>
            <w:vAlign w:val="center"/>
          </w:tcPr>
          <w:p w14:paraId="63AB8DB6">
            <w:pPr>
              <w:widowControl w:val="0"/>
              <w:spacing w:line="288" w:lineRule="auto"/>
              <w:jc w:val="center"/>
              <w:rPr>
                <w:rFonts w:ascii="宋体" w:hAnsi="宋体" w:eastAsia="宋体" w:cs="宋体"/>
                <w:color w:val="auto"/>
                <w:spacing w:val="0"/>
                <w:sz w:val="24"/>
                <w:szCs w:val="24"/>
              </w:rPr>
            </w:pPr>
            <w:r>
              <w:rPr>
                <w:rFonts w:hint="eastAsia" w:ascii="宋体" w:hAnsi="宋体" w:eastAsia="宋体"/>
                <w:color w:val="auto"/>
                <w:spacing w:val="0"/>
                <w:sz w:val="24"/>
                <w:szCs w:val="24"/>
              </w:rPr>
              <w:t>见技术要求</w:t>
            </w:r>
          </w:p>
        </w:tc>
        <w:tc>
          <w:tcPr>
            <w:tcW w:w="818" w:type="dxa"/>
            <w:tcBorders>
              <w:top w:val="single" w:color="auto" w:sz="2" w:space="0"/>
              <w:left w:val="single" w:color="auto" w:sz="4" w:space="0"/>
              <w:bottom w:val="single" w:color="auto" w:sz="2" w:space="0"/>
              <w:right w:val="single" w:color="auto" w:sz="4" w:space="0"/>
            </w:tcBorders>
            <w:noWrap w:val="0"/>
            <w:vAlign w:val="center"/>
          </w:tcPr>
          <w:p w14:paraId="5A88BF6F">
            <w:pPr>
              <w:widowControl w:val="0"/>
              <w:spacing w:line="288" w:lineRule="auto"/>
              <w:jc w:val="center"/>
              <w:rPr>
                <w:rFonts w:hint="eastAsia" w:ascii="宋体" w:hAnsi="宋体" w:eastAsia="宋体" w:cs="宋体"/>
                <w:color w:val="auto"/>
                <w:spacing w:val="0"/>
                <w:sz w:val="24"/>
                <w:szCs w:val="24"/>
                <w:highlight w:val="none"/>
                <w:lang w:eastAsia="zh-CN"/>
              </w:rPr>
            </w:pPr>
            <w:r>
              <w:rPr>
                <w:rFonts w:hint="eastAsia" w:ascii="宋体" w:hAnsi="宋体"/>
                <w:color w:val="auto"/>
                <w:spacing w:val="0"/>
                <w:sz w:val="24"/>
                <w:szCs w:val="24"/>
                <w:highlight w:val="none"/>
                <w:lang w:val="en-US" w:eastAsia="zh-CN"/>
              </w:rPr>
              <w:t>2</w:t>
            </w:r>
          </w:p>
        </w:tc>
        <w:tc>
          <w:tcPr>
            <w:tcW w:w="1296" w:type="dxa"/>
            <w:tcBorders>
              <w:top w:val="single" w:color="auto" w:sz="2" w:space="0"/>
              <w:left w:val="single" w:color="auto" w:sz="4" w:space="0"/>
              <w:bottom w:val="single" w:color="auto" w:sz="2" w:space="0"/>
              <w:right w:val="single" w:color="auto" w:sz="2" w:space="0"/>
            </w:tcBorders>
            <w:noWrap w:val="0"/>
            <w:vAlign w:val="center"/>
          </w:tcPr>
          <w:p w14:paraId="4B25F685">
            <w:pPr>
              <w:widowControl w:val="0"/>
              <w:spacing w:line="288" w:lineRule="auto"/>
              <w:jc w:val="center"/>
              <w:rPr>
                <w:rFonts w:hint="eastAsia" w:ascii="宋体" w:hAnsi="宋体"/>
                <w:color w:val="auto"/>
                <w:spacing w:val="0"/>
                <w:sz w:val="24"/>
                <w:szCs w:val="24"/>
                <w:highlight w:val="none"/>
                <w:lang w:val="en-US" w:eastAsia="zh-CN"/>
              </w:rPr>
            </w:pPr>
          </w:p>
        </w:tc>
        <w:tc>
          <w:tcPr>
            <w:tcW w:w="1296" w:type="dxa"/>
            <w:tcBorders>
              <w:top w:val="single" w:color="auto" w:sz="2" w:space="0"/>
              <w:left w:val="single" w:color="auto" w:sz="4" w:space="0"/>
              <w:bottom w:val="single" w:color="auto" w:sz="2" w:space="0"/>
              <w:right w:val="single" w:color="auto" w:sz="2" w:space="0"/>
            </w:tcBorders>
            <w:noWrap w:val="0"/>
            <w:vAlign w:val="center"/>
          </w:tcPr>
          <w:p w14:paraId="531FA4B6">
            <w:pPr>
              <w:widowControl w:val="0"/>
              <w:spacing w:line="288" w:lineRule="auto"/>
              <w:jc w:val="center"/>
              <w:rPr>
                <w:rFonts w:ascii="宋体" w:hAnsi="宋体" w:eastAsia="宋体" w:cs="宋体"/>
                <w:color w:val="auto"/>
                <w:spacing w:val="0"/>
                <w:sz w:val="24"/>
                <w:szCs w:val="24"/>
              </w:rPr>
            </w:pPr>
          </w:p>
        </w:tc>
      </w:tr>
      <w:tr w14:paraId="4013770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606" w:type="dxa"/>
            <w:vMerge w:val="continue"/>
            <w:tcBorders>
              <w:top w:val="single" w:color="auto" w:sz="4" w:space="0"/>
              <w:left w:val="single" w:color="auto" w:sz="2" w:space="0"/>
              <w:bottom w:val="single" w:color="auto" w:sz="4" w:space="0"/>
              <w:right w:val="single" w:color="auto" w:sz="4" w:space="0"/>
            </w:tcBorders>
            <w:noWrap w:val="0"/>
            <w:vAlign w:val="center"/>
          </w:tcPr>
          <w:p w14:paraId="46A4E092">
            <w:pPr>
              <w:widowControl w:val="0"/>
              <w:spacing w:line="288" w:lineRule="auto"/>
              <w:jc w:val="center"/>
              <w:rPr>
                <w:rFonts w:ascii="宋体" w:hAnsi="宋体" w:eastAsia="宋体" w:cs="宋体"/>
                <w:color w:val="auto"/>
                <w:spacing w:val="0"/>
                <w:sz w:val="24"/>
                <w:szCs w:val="24"/>
              </w:rPr>
            </w:pPr>
          </w:p>
        </w:tc>
        <w:tc>
          <w:tcPr>
            <w:tcW w:w="816" w:type="dxa"/>
            <w:vMerge w:val="continue"/>
            <w:tcBorders>
              <w:top w:val="single" w:color="auto" w:sz="4" w:space="0"/>
              <w:left w:val="single" w:color="auto" w:sz="4" w:space="0"/>
              <w:bottom w:val="single" w:color="auto" w:sz="4" w:space="0"/>
              <w:right w:val="single" w:color="auto" w:sz="4" w:space="0"/>
            </w:tcBorders>
            <w:noWrap w:val="0"/>
            <w:vAlign w:val="center"/>
          </w:tcPr>
          <w:p w14:paraId="6F99698D">
            <w:pPr>
              <w:widowControl w:val="0"/>
              <w:spacing w:line="288" w:lineRule="auto"/>
              <w:jc w:val="center"/>
              <w:rPr>
                <w:rFonts w:ascii="宋体" w:hAnsi="宋体" w:eastAsia="宋体" w:cs="宋体"/>
                <w:color w:val="auto"/>
                <w:spacing w:val="0"/>
                <w:sz w:val="24"/>
                <w:szCs w:val="24"/>
              </w:rPr>
            </w:pPr>
          </w:p>
        </w:tc>
        <w:tc>
          <w:tcPr>
            <w:tcW w:w="3237" w:type="dxa"/>
            <w:tcBorders>
              <w:top w:val="single" w:color="auto" w:sz="2" w:space="0"/>
              <w:left w:val="single" w:color="auto" w:sz="4" w:space="0"/>
              <w:bottom w:val="single" w:color="auto" w:sz="2" w:space="0"/>
              <w:right w:val="single" w:color="auto" w:sz="4" w:space="0"/>
            </w:tcBorders>
            <w:noWrap w:val="0"/>
            <w:vAlign w:val="center"/>
          </w:tcPr>
          <w:p w14:paraId="6F65B265">
            <w:pPr>
              <w:widowControl w:val="0"/>
              <w:spacing w:line="288" w:lineRule="auto"/>
              <w:jc w:val="left"/>
              <w:rPr>
                <w:rFonts w:hint="eastAsia" w:ascii="宋体" w:hAnsi="宋体" w:eastAsia="宋体"/>
                <w:color w:val="auto"/>
                <w:spacing w:val="0"/>
                <w:sz w:val="24"/>
                <w:szCs w:val="24"/>
                <w:lang w:eastAsia="zh-CN"/>
              </w:rPr>
            </w:pPr>
            <w:r>
              <w:rPr>
                <w:rFonts w:hint="eastAsia" w:ascii="宋体" w:hAnsi="宋体"/>
                <w:color w:val="auto"/>
                <w:spacing w:val="0"/>
                <w:sz w:val="24"/>
                <w:szCs w:val="24"/>
                <w:lang w:eastAsia="zh-CN"/>
              </w:rPr>
              <w:t>管理单元</w:t>
            </w:r>
          </w:p>
        </w:tc>
        <w:tc>
          <w:tcPr>
            <w:tcW w:w="2049" w:type="dxa"/>
            <w:tcBorders>
              <w:top w:val="single" w:color="auto" w:sz="2" w:space="0"/>
              <w:left w:val="single" w:color="auto" w:sz="4" w:space="0"/>
              <w:bottom w:val="single" w:color="auto" w:sz="2" w:space="0"/>
              <w:right w:val="single" w:color="auto" w:sz="4" w:space="0"/>
            </w:tcBorders>
            <w:noWrap w:val="0"/>
            <w:vAlign w:val="center"/>
          </w:tcPr>
          <w:p w14:paraId="5BE60352">
            <w:pPr>
              <w:widowControl w:val="0"/>
              <w:spacing w:line="288" w:lineRule="auto"/>
              <w:jc w:val="center"/>
              <w:rPr>
                <w:rFonts w:hint="eastAsia" w:ascii="宋体" w:hAnsi="宋体" w:eastAsia="宋体"/>
                <w:color w:val="auto"/>
                <w:spacing w:val="0"/>
                <w:sz w:val="24"/>
                <w:szCs w:val="24"/>
              </w:rPr>
            </w:pPr>
            <w:r>
              <w:rPr>
                <w:rFonts w:hint="eastAsia" w:ascii="宋体" w:hAnsi="宋体" w:eastAsia="宋体"/>
                <w:color w:val="auto"/>
                <w:spacing w:val="0"/>
                <w:sz w:val="24"/>
                <w:szCs w:val="24"/>
              </w:rPr>
              <w:t>见技术要求</w:t>
            </w:r>
          </w:p>
        </w:tc>
        <w:tc>
          <w:tcPr>
            <w:tcW w:w="818" w:type="dxa"/>
            <w:tcBorders>
              <w:top w:val="single" w:color="auto" w:sz="2" w:space="0"/>
              <w:left w:val="single" w:color="auto" w:sz="4" w:space="0"/>
              <w:bottom w:val="single" w:color="auto" w:sz="2" w:space="0"/>
              <w:right w:val="single" w:color="auto" w:sz="4" w:space="0"/>
            </w:tcBorders>
            <w:noWrap w:val="0"/>
            <w:vAlign w:val="center"/>
          </w:tcPr>
          <w:p w14:paraId="2DDA203B">
            <w:pPr>
              <w:widowControl w:val="0"/>
              <w:spacing w:line="288" w:lineRule="auto"/>
              <w:jc w:val="center"/>
              <w:rPr>
                <w:rFonts w:hint="default" w:ascii="宋体" w:hAnsi="宋体"/>
                <w:color w:val="auto"/>
                <w:spacing w:val="0"/>
                <w:sz w:val="24"/>
                <w:szCs w:val="24"/>
                <w:highlight w:val="none"/>
                <w:lang w:val="en-US" w:eastAsia="zh-CN"/>
              </w:rPr>
            </w:pPr>
            <w:r>
              <w:rPr>
                <w:rFonts w:hint="eastAsia" w:ascii="宋体" w:hAnsi="宋体"/>
                <w:color w:val="auto"/>
                <w:spacing w:val="0"/>
                <w:sz w:val="24"/>
                <w:szCs w:val="24"/>
                <w:highlight w:val="none"/>
                <w:lang w:val="en-US" w:eastAsia="zh-CN"/>
              </w:rPr>
              <w:t>2</w:t>
            </w:r>
          </w:p>
        </w:tc>
        <w:tc>
          <w:tcPr>
            <w:tcW w:w="1296" w:type="dxa"/>
            <w:tcBorders>
              <w:top w:val="single" w:color="auto" w:sz="2" w:space="0"/>
              <w:left w:val="single" w:color="auto" w:sz="4" w:space="0"/>
              <w:bottom w:val="single" w:color="auto" w:sz="2" w:space="0"/>
              <w:right w:val="single" w:color="auto" w:sz="2" w:space="0"/>
            </w:tcBorders>
            <w:noWrap w:val="0"/>
            <w:vAlign w:val="center"/>
          </w:tcPr>
          <w:p w14:paraId="16F9C298">
            <w:pPr>
              <w:widowControl w:val="0"/>
              <w:spacing w:line="288" w:lineRule="auto"/>
              <w:jc w:val="center"/>
              <w:rPr>
                <w:rFonts w:hint="eastAsia" w:ascii="宋体" w:hAnsi="宋体"/>
                <w:color w:val="auto"/>
                <w:spacing w:val="0"/>
                <w:sz w:val="24"/>
                <w:szCs w:val="24"/>
                <w:highlight w:val="none"/>
                <w:lang w:val="en-US" w:eastAsia="zh-CN"/>
              </w:rPr>
            </w:pPr>
          </w:p>
        </w:tc>
        <w:tc>
          <w:tcPr>
            <w:tcW w:w="1296" w:type="dxa"/>
            <w:tcBorders>
              <w:top w:val="single" w:color="auto" w:sz="2" w:space="0"/>
              <w:left w:val="single" w:color="auto" w:sz="4" w:space="0"/>
              <w:bottom w:val="single" w:color="auto" w:sz="2" w:space="0"/>
              <w:right w:val="single" w:color="auto" w:sz="2" w:space="0"/>
            </w:tcBorders>
            <w:noWrap w:val="0"/>
            <w:vAlign w:val="center"/>
          </w:tcPr>
          <w:p w14:paraId="47C52A7A">
            <w:pPr>
              <w:widowControl w:val="0"/>
              <w:spacing w:line="288" w:lineRule="auto"/>
              <w:jc w:val="center"/>
              <w:rPr>
                <w:rFonts w:ascii="宋体" w:hAnsi="宋体" w:eastAsia="宋体" w:cs="宋体"/>
                <w:color w:val="auto"/>
                <w:spacing w:val="0"/>
                <w:sz w:val="24"/>
                <w:szCs w:val="24"/>
              </w:rPr>
            </w:pPr>
          </w:p>
        </w:tc>
      </w:tr>
      <w:tr w14:paraId="6605316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606" w:type="dxa"/>
            <w:vMerge w:val="continue"/>
            <w:tcBorders>
              <w:top w:val="single" w:color="auto" w:sz="4" w:space="0"/>
              <w:left w:val="single" w:color="auto" w:sz="2" w:space="0"/>
              <w:bottom w:val="single" w:color="auto" w:sz="4" w:space="0"/>
              <w:right w:val="single" w:color="auto" w:sz="4" w:space="0"/>
            </w:tcBorders>
            <w:noWrap w:val="0"/>
            <w:vAlign w:val="center"/>
          </w:tcPr>
          <w:p w14:paraId="37A997C6">
            <w:pPr>
              <w:widowControl w:val="0"/>
              <w:spacing w:line="288" w:lineRule="auto"/>
              <w:jc w:val="center"/>
              <w:rPr>
                <w:rFonts w:ascii="宋体" w:hAnsi="宋体" w:eastAsia="宋体" w:cs="宋体"/>
                <w:color w:val="auto"/>
                <w:spacing w:val="0"/>
                <w:sz w:val="24"/>
                <w:szCs w:val="24"/>
              </w:rPr>
            </w:pPr>
          </w:p>
        </w:tc>
        <w:tc>
          <w:tcPr>
            <w:tcW w:w="816" w:type="dxa"/>
            <w:vMerge w:val="continue"/>
            <w:tcBorders>
              <w:top w:val="single" w:color="auto" w:sz="4" w:space="0"/>
              <w:left w:val="single" w:color="auto" w:sz="4" w:space="0"/>
              <w:bottom w:val="single" w:color="auto" w:sz="4" w:space="0"/>
              <w:right w:val="single" w:color="auto" w:sz="4" w:space="0"/>
            </w:tcBorders>
            <w:noWrap w:val="0"/>
            <w:vAlign w:val="center"/>
          </w:tcPr>
          <w:p w14:paraId="6A150697">
            <w:pPr>
              <w:widowControl w:val="0"/>
              <w:spacing w:line="288" w:lineRule="auto"/>
              <w:jc w:val="center"/>
              <w:rPr>
                <w:rFonts w:ascii="宋体" w:hAnsi="宋体" w:eastAsia="宋体" w:cs="宋体"/>
                <w:color w:val="auto"/>
                <w:spacing w:val="0"/>
                <w:sz w:val="24"/>
                <w:szCs w:val="24"/>
              </w:rPr>
            </w:pPr>
          </w:p>
        </w:tc>
        <w:tc>
          <w:tcPr>
            <w:tcW w:w="3237" w:type="dxa"/>
            <w:tcBorders>
              <w:top w:val="single" w:color="auto" w:sz="2" w:space="0"/>
              <w:left w:val="single" w:color="auto" w:sz="4" w:space="0"/>
              <w:bottom w:val="single" w:color="auto" w:sz="2" w:space="0"/>
              <w:right w:val="single" w:color="auto" w:sz="4" w:space="0"/>
            </w:tcBorders>
            <w:noWrap w:val="0"/>
            <w:vAlign w:val="center"/>
          </w:tcPr>
          <w:p w14:paraId="12C3B7D2">
            <w:pPr>
              <w:widowControl w:val="0"/>
              <w:spacing w:line="288" w:lineRule="auto"/>
              <w:jc w:val="left"/>
              <w:rPr>
                <w:rFonts w:ascii="宋体" w:hAnsi="宋体" w:eastAsia="宋体" w:cs="宋体"/>
                <w:color w:val="auto"/>
                <w:spacing w:val="0"/>
                <w:sz w:val="24"/>
                <w:szCs w:val="24"/>
              </w:rPr>
            </w:pPr>
            <w:r>
              <w:rPr>
                <w:rFonts w:hint="eastAsia" w:ascii="宋体" w:hAnsi="宋体" w:eastAsia="宋体"/>
                <w:color w:val="auto"/>
                <w:spacing w:val="0"/>
                <w:sz w:val="24"/>
                <w:szCs w:val="24"/>
              </w:rPr>
              <w:t>控制单元</w:t>
            </w:r>
          </w:p>
        </w:tc>
        <w:tc>
          <w:tcPr>
            <w:tcW w:w="2049" w:type="dxa"/>
            <w:tcBorders>
              <w:top w:val="single" w:color="auto" w:sz="2" w:space="0"/>
              <w:left w:val="single" w:color="auto" w:sz="4" w:space="0"/>
              <w:bottom w:val="single" w:color="auto" w:sz="2" w:space="0"/>
              <w:right w:val="single" w:color="auto" w:sz="4" w:space="0"/>
            </w:tcBorders>
            <w:noWrap w:val="0"/>
            <w:vAlign w:val="center"/>
          </w:tcPr>
          <w:p w14:paraId="3394EEA4">
            <w:pPr>
              <w:widowControl w:val="0"/>
              <w:spacing w:line="288" w:lineRule="auto"/>
              <w:jc w:val="center"/>
              <w:rPr>
                <w:rFonts w:ascii="宋体" w:hAnsi="宋体" w:eastAsia="宋体" w:cs="宋体"/>
                <w:color w:val="auto"/>
                <w:spacing w:val="0"/>
                <w:sz w:val="24"/>
                <w:szCs w:val="24"/>
              </w:rPr>
            </w:pPr>
            <w:r>
              <w:rPr>
                <w:rFonts w:hint="eastAsia" w:ascii="宋体" w:hAnsi="宋体" w:eastAsia="宋体"/>
                <w:color w:val="auto"/>
                <w:spacing w:val="0"/>
                <w:sz w:val="24"/>
                <w:szCs w:val="24"/>
              </w:rPr>
              <w:t>见技术要求</w:t>
            </w:r>
          </w:p>
        </w:tc>
        <w:tc>
          <w:tcPr>
            <w:tcW w:w="818" w:type="dxa"/>
            <w:tcBorders>
              <w:top w:val="single" w:color="auto" w:sz="2" w:space="0"/>
              <w:left w:val="single" w:color="auto" w:sz="4" w:space="0"/>
              <w:bottom w:val="single" w:color="auto" w:sz="2" w:space="0"/>
              <w:right w:val="single" w:color="auto" w:sz="4" w:space="0"/>
            </w:tcBorders>
            <w:noWrap w:val="0"/>
            <w:vAlign w:val="center"/>
          </w:tcPr>
          <w:p w14:paraId="207A7328">
            <w:pPr>
              <w:widowControl w:val="0"/>
              <w:spacing w:line="288" w:lineRule="auto"/>
              <w:jc w:val="center"/>
              <w:rPr>
                <w:rFonts w:hint="default" w:ascii="宋体" w:hAnsi="宋体" w:eastAsia="宋体" w:cs="宋体"/>
                <w:color w:val="auto"/>
                <w:spacing w:val="0"/>
                <w:sz w:val="24"/>
                <w:szCs w:val="24"/>
                <w:highlight w:val="none"/>
                <w:lang w:val="en-US" w:eastAsia="zh-CN"/>
              </w:rPr>
            </w:pPr>
            <w:r>
              <w:rPr>
                <w:rFonts w:hint="eastAsia" w:ascii="宋体" w:hAnsi="宋体"/>
                <w:color w:val="auto"/>
                <w:spacing w:val="0"/>
                <w:sz w:val="24"/>
                <w:szCs w:val="24"/>
                <w:highlight w:val="none"/>
                <w:lang w:val="en-US" w:eastAsia="zh-CN"/>
              </w:rPr>
              <w:t>2</w:t>
            </w:r>
          </w:p>
        </w:tc>
        <w:tc>
          <w:tcPr>
            <w:tcW w:w="1296" w:type="dxa"/>
            <w:tcBorders>
              <w:top w:val="single" w:color="auto" w:sz="2" w:space="0"/>
              <w:left w:val="single" w:color="auto" w:sz="4" w:space="0"/>
              <w:bottom w:val="single" w:color="auto" w:sz="2" w:space="0"/>
              <w:right w:val="single" w:color="auto" w:sz="2" w:space="0"/>
            </w:tcBorders>
            <w:noWrap w:val="0"/>
            <w:vAlign w:val="center"/>
          </w:tcPr>
          <w:p w14:paraId="653353A4">
            <w:pPr>
              <w:widowControl w:val="0"/>
              <w:spacing w:line="288" w:lineRule="auto"/>
              <w:jc w:val="center"/>
              <w:rPr>
                <w:rFonts w:hint="eastAsia" w:ascii="宋体" w:hAnsi="宋体"/>
                <w:color w:val="auto"/>
                <w:spacing w:val="0"/>
                <w:sz w:val="24"/>
                <w:szCs w:val="24"/>
                <w:highlight w:val="none"/>
                <w:lang w:val="en-US" w:eastAsia="zh-CN"/>
              </w:rPr>
            </w:pPr>
          </w:p>
        </w:tc>
        <w:tc>
          <w:tcPr>
            <w:tcW w:w="1296" w:type="dxa"/>
            <w:tcBorders>
              <w:top w:val="single" w:color="auto" w:sz="2" w:space="0"/>
              <w:left w:val="single" w:color="auto" w:sz="4" w:space="0"/>
              <w:bottom w:val="single" w:color="auto" w:sz="2" w:space="0"/>
              <w:right w:val="single" w:color="auto" w:sz="2" w:space="0"/>
            </w:tcBorders>
            <w:noWrap w:val="0"/>
            <w:vAlign w:val="center"/>
          </w:tcPr>
          <w:p w14:paraId="3F2DF8F2">
            <w:pPr>
              <w:widowControl w:val="0"/>
              <w:spacing w:line="288" w:lineRule="auto"/>
              <w:jc w:val="center"/>
              <w:rPr>
                <w:rFonts w:ascii="宋体" w:hAnsi="宋体" w:eastAsia="宋体" w:cs="宋体"/>
                <w:color w:val="auto"/>
                <w:spacing w:val="0"/>
                <w:sz w:val="24"/>
                <w:szCs w:val="24"/>
              </w:rPr>
            </w:pPr>
          </w:p>
        </w:tc>
      </w:tr>
      <w:tr w14:paraId="381AE20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606" w:type="dxa"/>
            <w:vMerge w:val="continue"/>
            <w:tcBorders>
              <w:top w:val="single" w:color="auto" w:sz="4" w:space="0"/>
              <w:left w:val="single" w:color="auto" w:sz="2" w:space="0"/>
              <w:bottom w:val="single" w:color="auto" w:sz="4" w:space="0"/>
              <w:right w:val="single" w:color="auto" w:sz="4" w:space="0"/>
            </w:tcBorders>
            <w:noWrap w:val="0"/>
            <w:vAlign w:val="center"/>
          </w:tcPr>
          <w:p w14:paraId="7E4BC101">
            <w:pPr>
              <w:widowControl w:val="0"/>
              <w:spacing w:line="288" w:lineRule="auto"/>
              <w:jc w:val="center"/>
              <w:rPr>
                <w:rFonts w:ascii="宋体" w:hAnsi="宋体" w:eastAsia="宋体" w:cs="宋体"/>
                <w:color w:val="auto"/>
                <w:spacing w:val="0"/>
                <w:sz w:val="24"/>
                <w:szCs w:val="24"/>
              </w:rPr>
            </w:pPr>
          </w:p>
        </w:tc>
        <w:tc>
          <w:tcPr>
            <w:tcW w:w="816" w:type="dxa"/>
            <w:vMerge w:val="continue"/>
            <w:tcBorders>
              <w:top w:val="single" w:color="auto" w:sz="4" w:space="0"/>
              <w:left w:val="single" w:color="auto" w:sz="4" w:space="0"/>
              <w:bottom w:val="single" w:color="auto" w:sz="4" w:space="0"/>
              <w:right w:val="single" w:color="auto" w:sz="4" w:space="0"/>
            </w:tcBorders>
            <w:noWrap w:val="0"/>
            <w:vAlign w:val="center"/>
          </w:tcPr>
          <w:p w14:paraId="33AD8334">
            <w:pPr>
              <w:widowControl w:val="0"/>
              <w:spacing w:line="288" w:lineRule="auto"/>
              <w:jc w:val="center"/>
              <w:rPr>
                <w:rFonts w:ascii="宋体" w:hAnsi="宋体" w:eastAsia="宋体" w:cs="宋体"/>
                <w:color w:val="auto"/>
                <w:spacing w:val="0"/>
                <w:sz w:val="24"/>
                <w:szCs w:val="24"/>
              </w:rPr>
            </w:pPr>
          </w:p>
        </w:tc>
        <w:tc>
          <w:tcPr>
            <w:tcW w:w="3237" w:type="dxa"/>
            <w:tcBorders>
              <w:top w:val="single" w:color="auto" w:sz="2" w:space="0"/>
              <w:left w:val="single" w:color="auto" w:sz="4" w:space="0"/>
              <w:bottom w:val="single" w:color="auto" w:sz="2" w:space="0"/>
              <w:right w:val="single" w:color="auto" w:sz="4" w:space="0"/>
            </w:tcBorders>
            <w:noWrap w:val="0"/>
            <w:vAlign w:val="center"/>
          </w:tcPr>
          <w:p w14:paraId="19CF412E">
            <w:pPr>
              <w:widowControl w:val="0"/>
              <w:spacing w:line="288" w:lineRule="auto"/>
              <w:jc w:val="left"/>
              <w:rPr>
                <w:rFonts w:ascii="宋体" w:hAnsi="宋体" w:eastAsia="宋体" w:cs="宋体"/>
                <w:color w:val="auto"/>
                <w:spacing w:val="0"/>
                <w:sz w:val="24"/>
                <w:szCs w:val="24"/>
              </w:rPr>
            </w:pPr>
            <w:r>
              <w:rPr>
                <w:rFonts w:hint="eastAsia" w:ascii="宋体" w:hAnsi="宋体" w:eastAsia="宋体"/>
                <w:color w:val="auto"/>
                <w:spacing w:val="0"/>
                <w:sz w:val="24"/>
                <w:szCs w:val="24"/>
              </w:rPr>
              <w:t>辅助单元</w:t>
            </w:r>
          </w:p>
        </w:tc>
        <w:tc>
          <w:tcPr>
            <w:tcW w:w="2049" w:type="dxa"/>
            <w:tcBorders>
              <w:top w:val="single" w:color="auto" w:sz="2" w:space="0"/>
              <w:left w:val="single" w:color="auto" w:sz="4" w:space="0"/>
              <w:bottom w:val="single" w:color="auto" w:sz="2" w:space="0"/>
              <w:right w:val="single" w:color="auto" w:sz="4" w:space="0"/>
            </w:tcBorders>
            <w:noWrap w:val="0"/>
            <w:vAlign w:val="center"/>
          </w:tcPr>
          <w:p w14:paraId="3020EB6A">
            <w:pPr>
              <w:widowControl w:val="0"/>
              <w:spacing w:line="288" w:lineRule="auto"/>
              <w:jc w:val="center"/>
              <w:rPr>
                <w:rFonts w:ascii="宋体" w:hAnsi="宋体" w:eastAsia="宋体" w:cs="宋体"/>
                <w:color w:val="auto"/>
                <w:spacing w:val="0"/>
                <w:sz w:val="24"/>
                <w:szCs w:val="24"/>
              </w:rPr>
            </w:pPr>
            <w:r>
              <w:rPr>
                <w:rFonts w:hint="eastAsia" w:ascii="宋体" w:hAnsi="宋体" w:eastAsia="宋体"/>
                <w:color w:val="auto"/>
                <w:spacing w:val="0"/>
                <w:sz w:val="24"/>
                <w:szCs w:val="24"/>
              </w:rPr>
              <w:t>见技术要求</w:t>
            </w:r>
          </w:p>
        </w:tc>
        <w:tc>
          <w:tcPr>
            <w:tcW w:w="818" w:type="dxa"/>
            <w:tcBorders>
              <w:top w:val="single" w:color="auto" w:sz="2" w:space="0"/>
              <w:left w:val="single" w:color="auto" w:sz="4" w:space="0"/>
              <w:bottom w:val="single" w:color="auto" w:sz="2" w:space="0"/>
              <w:right w:val="single" w:color="auto" w:sz="4" w:space="0"/>
            </w:tcBorders>
            <w:noWrap w:val="0"/>
            <w:vAlign w:val="center"/>
          </w:tcPr>
          <w:p w14:paraId="36B8F54C">
            <w:pPr>
              <w:widowControl w:val="0"/>
              <w:spacing w:line="288" w:lineRule="auto"/>
              <w:jc w:val="center"/>
              <w:rPr>
                <w:rFonts w:hint="default" w:ascii="宋体" w:hAnsi="宋体" w:eastAsia="宋体" w:cs="宋体"/>
                <w:color w:val="auto"/>
                <w:spacing w:val="0"/>
                <w:sz w:val="24"/>
                <w:szCs w:val="24"/>
                <w:highlight w:val="none"/>
                <w:lang w:val="en-US" w:eastAsia="zh-CN"/>
              </w:rPr>
            </w:pPr>
            <w:r>
              <w:rPr>
                <w:rFonts w:hint="eastAsia" w:ascii="宋体" w:hAnsi="宋体"/>
                <w:color w:val="auto"/>
                <w:spacing w:val="0"/>
                <w:sz w:val="24"/>
                <w:szCs w:val="24"/>
                <w:highlight w:val="none"/>
                <w:lang w:val="en-US" w:eastAsia="zh-CN"/>
              </w:rPr>
              <w:t>2</w:t>
            </w:r>
          </w:p>
        </w:tc>
        <w:tc>
          <w:tcPr>
            <w:tcW w:w="1296" w:type="dxa"/>
            <w:tcBorders>
              <w:top w:val="single" w:color="auto" w:sz="2" w:space="0"/>
              <w:left w:val="single" w:color="auto" w:sz="4" w:space="0"/>
              <w:bottom w:val="single" w:color="auto" w:sz="2" w:space="0"/>
              <w:right w:val="single" w:color="auto" w:sz="2" w:space="0"/>
            </w:tcBorders>
            <w:noWrap w:val="0"/>
            <w:vAlign w:val="center"/>
          </w:tcPr>
          <w:p w14:paraId="2E8240D5">
            <w:pPr>
              <w:widowControl w:val="0"/>
              <w:spacing w:line="288" w:lineRule="auto"/>
              <w:jc w:val="center"/>
              <w:rPr>
                <w:rFonts w:hint="eastAsia" w:ascii="宋体" w:hAnsi="宋体"/>
                <w:color w:val="auto"/>
                <w:spacing w:val="0"/>
                <w:sz w:val="24"/>
                <w:szCs w:val="24"/>
                <w:highlight w:val="none"/>
                <w:lang w:val="en-US" w:eastAsia="zh-CN"/>
              </w:rPr>
            </w:pPr>
          </w:p>
        </w:tc>
        <w:tc>
          <w:tcPr>
            <w:tcW w:w="1296" w:type="dxa"/>
            <w:tcBorders>
              <w:top w:val="single" w:color="auto" w:sz="2" w:space="0"/>
              <w:left w:val="single" w:color="auto" w:sz="4" w:space="0"/>
              <w:bottom w:val="single" w:color="auto" w:sz="2" w:space="0"/>
              <w:right w:val="single" w:color="auto" w:sz="2" w:space="0"/>
            </w:tcBorders>
            <w:noWrap w:val="0"/>
            <w:vAlign w:val="center"/>
          </w:tcPr>
          <w:p w14:paraId="53118498">
            <w:pPr>
              <w:widowControl w:val="0"/>
              <w:spacing w:line="288" w:lineRule="auto"/>
              <w:jc w:val="center"/>
              <w:rPr>
                <w:rFonts w:ascii="宋体" w:hAnsi="宋体" w:eastAsia="宋体" w:cs="宋体"/>
                <w:color w:val="auto"/>
                <w:spacing w:val="0"/>
                <w:sz w:val="24"/>
                <w:szCs w:val="24"/>
              </w:rPr>
            </w:pPr>
          </w:p>
        </w:tc>
      </w:tr>
      <w:tr w14:paraId="4985B50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606" w:type="dxa"/>
            <w:vMerge w:val="continue"/>
            <w:tcBorders>
              <w:top w:val="single" w:color="auto" w:sz="4" w:space="0"/>
              <w:left w:val="single" w:color="auto" w:sz="2" w:space="0"/>
              <w:bottom w:val="single" w:color="auto" w:sz="4" w:space="0"/>
              <w:right w:val="single" w:color="auto" w:sz="4" w:space="0"/>
            </w:tcBorders>
            <w:noWrap w:val="0"/>
            <w:vAlign w:val="center"/>
          </w:tcPr>
          <w:p w14:paraId="49D2687E">
            <w:pPr>
              <w:widowControl w:val="0"/>
              <w:spacing w:line="288" w:lineRule="auto"/>
              <w:jc w:val="center"/>
              <w:rPr>
                <w:rFonts w:ascii="宋体" w:hAnsi="宋体" w:eastAsia="宋体" w:cs="宋体"/>
                <w:color w:val="auto"/>
                <w:spacing w:val="0"/>
                <w:sz w:val="24"/>
                <w:szCs w:val="24"/>
              </w:rPr>
            </w:pPr>
          </w:p>
        </w:tc>
        <w:tc>
          <w:tcPr>
            <w:tcW w:w="816" w:type="dxa"/>
            <w:vMerge w:val="continue"/>
            <w:tcBorders>
              <w:top w:val="single" w:color="auto" w:sz="4" w:space="0"/>
              <w:left w:val="single" w:color="auto" w:sz="4" w:space="0"/>
              <w:bottom w:val="single" w:color="auto" w:sz="4" w:space="0"/>
              <w:right w:val="single" w:color="auto" w:sz="4" w:space="0"/>
            </w:tcBorders>
            <w:noWrap w:val="0"/>
            <w:vAlign w:val="center"/>
          </w:tcPr>
          <w:p w14:paraId="20864490">
            <w:pPr>
              <w:widowControl w:val="0"/>
              <w:spacing w:line="288" w:lineRule="auto"/>
              <w:jc w:val="center"/>
              <w:rPr>
                <w:rFonts w:ascii="宋体" w:hAnsi="宋体" w:eastAsia="宋体" w:cs="宋体"/>
                <w:color w:val="auto"/>
                <w:spacing w:val="0"/>
                <w:sz w:val="24"/>
                <w:szCs w:val="24"/>
              </w:rPr>
            </w:pPr>
          </w:p>
        </w:tc>
        <w:tc>
          <w:tcPr>
            <w:tcW w:w="3237" w:type="dxa"/>
            <w:tcBorders>
              <w:top w:val="single" w:color="auto" w:sz="2" w:space="0"/>
              <w:left w:val="single" w:color="auto" w:sz="4" w:space="0"/>
              <w:bottom w:val="single" w:color="auto" w:sz="2" w:space="0"/>
              <w:right w:val="single" w:color="auto" w:sz="4" w:space="0"/>
            </w:tcBorders>
            <w:noWrap w:val="0"/>
            <w:vAlign w:val="center"/>
          </w:tcPr>
          <w:p w14:paraId="76275818">
            <w:pPr>
              <w:widowControl w:val="0"/>
              <w:spacing w:line="288" w:lineRule="auto"/>
              <w:jc w:val="left"/>
              <w:rPr>
                <w:rFonts w:ascii="宋体" w:hAnsi="宋体" w:eastAsia="宋体" w:cs="宋体"/>
                <w:color w:val="auto"/>
                <w:spacing w:val="0"/>
                <w:sz w:val="24"/>
                <w:szCs w:val="24"/>
              </w:rPr>
            </w:pPr>
            <w:r>
              <w:rPr>
                <w:rFonts w:hint="eastAsia" w:ascii="宋体" w:hAnsi="宋体" w:eastAsia="宋体"/>
                <w:color w:val="auto"/>
                <w:spacing w:val="0"/>
                <w:sz w:val="24"/>
                <w:szCs w:val="24"/>
              </w:rPr>
              <w:t>安防单元</w:t>
            </w:r>
          </w:p>
        </w:tc>
        <w:tc>
          <w:tcPr>
            <w:tcW w:w="2049" w:type="dxa"/>
            <w:tcBorders>
              <w:top w:val="single" w:color="auto" w:sz="2" w:space="0"/>
              <w:left w:val="single" w:color="auto" w:sz="4" w:space="0"/>
              <w:bottom w:val="single" w:color="auto" w:sz="2" w:space="0"/>
              <w:right w:val="single" w:color="auto" w:sz="4" w:space="0"/>
            </w:tcBorders>
            <w:noWrap w:val="0"/>
            <w:vAlign w:val="center"/>
          </w:tcPr>
          <w:p w14:paraId="2D9A9C7E">
            <w:pPr>
              <w:widowControl w:val="0"/>
              <w:spacing w:line="288" w:lineRule="auto"/>
              <w:jc w:val="center"/>
              <w:rPr>
                <w:rFonts w:ascii="宋体" w:hAnsi="宋体" w:eastAsia="宋体" w:cs="宋体"/>
                <w:color w:val="auto"/>
                <w:spacing w:val="0"/>
                <w:sz w:val="24"/>
                <w:szCs w:val="24"/>
              </w:rPr>
            </w:pPr>
            <w:r>
              <w:rPr>
                <w:rFonts w:hint="eastAsia" w:ascii="宋体" w:hAnsi="宋体" w:eastAsia="宋体"/>
                <w:color w:val="auto"/>
                <w:spacing w:val="0"/>
                <w:sz w:val="24"/>
                <w:szCs w:val="24"/>
              </w:rPr>
              <w:t>见技术要求</w:t>
            </w:r>
          </w:p>
        </w:tc>
        <w:tc>
          <w:tcPr>
            <w:tcW w:w="818" w:type="dxa"/>
            <w:tcBorders>
              <w:top w:val="single" w:color="auto" w:sz="2" w:space="0"/>
              <w:left w:val="single" w:color="auto" w:sz="4" w:space="0"/>
              <w:bottom w:val="single" w:color="auto" w:sz="2" w:space="0"/>
              <w:right w:val="single" w:color="auto" w:sz="4" w:space="0"/>
            </w:tcBorders>
            <w:noWrap w:val="0"/>
            <w:vAlign w:val="center"/>
          </w:tcPr>
          <w:p w14:paraId="5E48B7C4">
            <w:pPr>
              <w:widowControl w:val="0"/>
              <w:spacing w:line="288" w:lineRule="auto"/>
              <w:jc w:val="center"/>
              <w:rPr>
                <w:rFonts w:hint="eastAsia" w:ascii="宋体" w:hAnsi="宋体" w:eastAsia="宋体" w:cs="宋体"/>
                <w:color w:val="auto"/>
                <w:spacing w:val="0"/>
                <w:sz w:val="24"/>
                <w:szCs w:val="24"/>
                <w:highlight w:val="none"/>
                <w:lang w:eastAsia="zh-CN"/>
              </w:rPr>
            </w:pPr>
            <w:r>
              <w:rPr>
                <w:rFonts w:hint="eastAsia" w:ascii="宋体" w:hAnsi="宋体"/>
                <w:color w:val="auto"/>
                <w:spacing w:val="0"/>
                <w:sz w:val="24"/>
                <w:szCs w:val="24"/>
                <w:highlight w:val="none"/>
                <w:lang w:val="en-US" w:eastAsia="zh-CN"/>
              </w:rPr>
              <w:t>2</w:t>
            </w:r>
          </w:p>
        </w:tc>
        <w:tc>
          <w:tcPr>
            <w:tcW w:w="1296" w:type="dxa"/>
            <w:tcBorders>
              <w:top w:val="single" w:color="auto" w:sz="2" w:space="0"/>
              <w:left w:val="single" w:color="auto" w:sz="4" w:space="0"/>
              <w:bottom w:val="single" w:color="auto" w:sz="2" w:space="0"/>
              <w:right w:val="single" w:color="auto" w:sz="2" w:space="0"/>
            </w:tcBorders>
            <w:noWrap w:val="0"/>
            <w:vAlign w:val="center"/>
          </w:tcPr>
          <w:p w14:paraId="080BF9D1">
            <w:pPr>
              <w:widowControl w:val="0"/>
              <w:spacing w:line="288" w:lineRule="auto"/>
              <w:jc w:val="center"/>
              <w:rPr>
                <w:rFonts w:hint="eastAsia" w:ascii="宋体" w:hAnsi="宋体"/>
                <w:color w:val="auto"/>
                <w:spacing w:val="0"/>
                <w:sz w:val="24"/>
                <w:szCs w:val="24"/>
                <w:highlight w:val="none"/>
                <w:lang w:val="en-US" w:eastAsia="zh-CN"/>
              </w:rPr>
            </w:pPr>
          </w:p>
        </w:tc>
        <w:tc>
          <w:tcPr>
            <w:tcW w:w="1296" w:type="dxa"/>
            <w:tcBorders>
              <w:top w:val="single" w:color="auto" w:sz="2" w:space="0"/>
              <w:left w:val="single" w:color="auto" w:sz="4" w:space="0"/>
              <w:bottom w:val="single" w:color="auto" w:sz="2" w:space="0"/>
              <w:right w:val="single" w:color="auto" w:sz="2" w:space="0"/>
            </w:tcBorders>
            <w:noWrap w:val="0"/>
            <w:vAlign w:val="center"/>
          </w:tcPr>
          <w:p w14:paraId="17A34136">
            <w:pPr>
              <w:widowControl w:val="0"/>
              <w:spacing w:line="288" w:lineRule="auto"/>
              <w:jc w:val="center"/>
              <w:rPr>
                <w:rFonts w:ascii="宋体" w:hAnsi="宋体" w:eastAsia="宋体" w:cs="宋体"/>
                <w:color w:val="auto"/>
                <w:spacing w:val="0"/>
                <w:sz w:val="24"/>
                <w:szCs w:val="24"/>
              </w:rPr>
            </w:pPr>
          </w:p>
        </w:tc>
      </w:tr>
      <w:tr w14:paraId="3B41407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606" w:type="dxa"/>
            <w:vMerge w:val="restart"/>
            <w:tcBorders>
              <w:top w:val="single" w:color="auto" w:sz="4" w:space="0"/>
              <w:left w:val="single" w:color="auto" w:sz="2" w:space="0"/>
              <w:bottom w:val="single" w:color="auto" w:sz="4" w:space="0"/>
              <w:right w:val="single" w:color="auto" w:sz="4" w:space="0"/>
            </w:tcBorders>
            <w:noWrap w:val="0"/>
            <w:vAlign w:val="center"/>
          </w:tcPr>
          <w:p w14:paraId="26B7BA7E">
            <w:pPr>
              <w:widowControl w:val="0"/>
              <w:spacing w:line="288" w:lineRule="auto"/>
              <w:jc w:val="center"/>
              <w:rPr>
                <w:rFonts w:ascii="宋体" w:hAnsi="宋体" w:eastAsia="宋体" w:cs="宋体"/>
                <w:color w:val="auto"/>
                <w:spacing w:val="0"/>
                <w:sz w:val="24"/>
                <w:szCs w:val="24"/>
              </w:rPr>
            </w:pPr>
            <w:r>
              <w:rPr>
                <w:rFonts w:hint="eastAsia" w:ascii="宋体" w:hAnsi="宋体" w:eastAsia="宋体"/>
                <w:color w:val="auto"/>
                <w:spacing w:val="0"/>
                <w:sz w:val="24"/>
                <w:szCs w:val="24"/>
              </w:rPr>
              <w:t>3</w:t>
            </w:r>
          </w:p>
        </w:tc>
        <w:tc>
          <w:tcPr>
            <w:tcW w:w="816" w:type="dxa"/>
            <w:vMerge w:val="restart"/>
            <w:tcBorders>
              <w:top w:val="single" w:color="auto" w:sz="4" w:space="0"/>
              <w:left w:val="single" w:color="auto" w:sz="4" w:space="0"/>
              <w:bottom w:val="single" w:color="auto" w:sz="4" w:space="0"/>
              <w:right w:val="single" w:color="auto" w:sz="4" w:space="0"/>
            </w:tcBorders>
            <w:noWrap w:val="0"/>
            <w:vAlign w:val="center"/>
          </w:tcPr>
          <w:p w14:paraId="17FD5633">
            <w:pPr>
              <w:widowControl w:val="0"/>
              <w:spacing w:line="288" w:lineRule="auto"/>
              <w:jc w:val="center"/>
              <w:rPr>
                <w:rFonts w:ascii="宋体" w:hAnsi="宋体" w:eastAsia="宋体" w:cs="宋体"/>
                <w:color w:val="auto"/>
                <w:spacing w:val="0"/>
                <w:sz w:val="24"/>
                <w:szCs w:val="24"/>
              </w:rPr>
            </w:pPr>
            <w:r>
              <w:rPr>
                <w:rFonts w:hint="eastAsia" w:ascii="宋体" w:hAnsi="宋体" w:eastAsia="宋体"/>
                <w:color w:val="auto"/>
                <w:spacing w:val="0"/>
                <w:sz w:val="24"/>
                <w:szCs w:val="24"/>
              </w:rPr>
              <w:t>监测</w:t>
            </w:r>
          </w:p>
          <w:p w14:paraId="25A10063">
            <w:pPr>
              <w:widowControl w:val="0"/>
              <w:spacing w:line="288" w:lineRule="auto"/>
              <w:jc w:val="center"/>
              <w:rPr>
                <w:rFonts w:ascii="宋体" w:hAnsi="宋体" w:eastAsia="宋体" w:cs="宋体"/>
                <w:color w:val="auto"/>
                <w:spacing w:val="0"/>
                <w:sz w:val="24"/>
                <w:szCs w:val="24"/>
              </w:rPr>
            </w:pPr>
            <w:r>
              <w:rPr>
                <w:rFonts w:hint="eastAsia" w:ascii="宋体" w:hAnsi="宋体" w:eastAsia="宋体"/>
                <w:color w:val="auto"/>
                <w:spacing w:val="0"/>
                <w:sz w:val="24"/>
                <w:szCs w:val="24"/>
              </w:rPr>
              <w:t>站房</w:t>
            </w:r>
          </w:p>
        </w:tc>
        <w:tc>
          <w:tcPr>
            <w:tcW w:w="3237" w:type="dxa"/>
            <w:tcBorders>
              <w:top w:val="single" w:color="auto" w:sz="2" w:space="0"/>
              <w:left w:val="single" w:color="auto" w:sz="4" w:space="0"/>
              <w:bottom w:val="single" w:color="auto" w:sz="2" w:space="0"/>
              <w:right w:val="single" w:color="auto" w:sz="4" w:space="0"/>
            </w:tcBorders>
            <w:noWrap w:val="0"/>
            <w:vAlign w:val="center"/>
          </w:tcPr>
          <w:p w14:paraId="54910603">
            <w:pPr>
              <w:widowControl w:val="0"/>
              <w:spacing w:line="288" w:lineRule="auto"/>
              <w:jc w:val="left"/>
              <w:rPr>
                <w:rFonts w:ascii="宋体" w:hAnsi="宋体" w:eastAsia="宋体" w:cs="宋体"/>
                <w:color w:val="auto"/>
                <w:spacing w:val="0"/>
                <w:sz w:val="24"/>
                <w:szCs w:val="24"/>
              </w:rPr>
            </w:pPr>
            <w:r>
              <w:rPr>
                <w:rFonts w:hint="eastAsia" w:ascii="宋体" w:hAnsi="宋体" w:eastAsia="宋体"/>
                <w:color w:val="auto"/>
                <w:spacing w:val="0"/>
                <w:sz w:val="24"/>
                <w:szCs w:val="24"/>
              </w:rPr>
              <w:t>一体化</w:t>
            </w:r>
            <w:r>
              <w:rPr>
                <w:rFonts w:hint="eastAsia" w:ascii="宋体" w:hAnsi="宋体" w:eastAsia="宋体"/>
                <w:color w:val="auto"/>
                <w:spacing w:val="0"/>
                <w:sz w:val="24"/>
                <w:szCs w:val="24"/>
                <w:lang w:val="en-US" w:eastAsia="zh-CN"/>
              </w:rPr>
              <w:t>智慧</w:t>
            </w:r>
            <w:r>
              <w:rPr>
                <w:rFonts w:hint="eastAsia" w:ascii="宋体" w:hAnsi="宋体" w:eastAsia="宋体"/>
                <w:color w:val="auto"/>
                <w:spacing w:val="0"/>
                <w:sz w:val="24"/>
                <w:szCs w:val="24"/>
              </w:rPr>
              <w:t>监测站房</w:t>
            </w:r>
          </w:p>
        </w:tc>
        <w:tc>
          <w:tcPr>
            <w:tcW w:w="2049" w:type="dxa"/>
            <w:tcBorders>
              <w:top w:val="single" w:color="auto" w:sz="2" w:space="0"/>
              <w:left w:val="single" w:color="auto" w:sz="4" w:space="0"/>
              <w:bottom w:val="single" w:color="auto" w:sz="2" w:space="0"/>
              <w:right w:val="single" w:color="auto" w:sz="4" w:space="0"/>
            </w:tcBorders>
            <w:noWrap w:val="0"/>
            <w:vAlign w:val="center"/>
          </w:tcPr>
          <w:p w14:paraId="2C967110">
            <w:pPr>
              <w:widowControl w:val="0"/>
              <w:spacing w:line="288" w:lineRule="auto"/>
              <w:jc w:val="center"/>
              <w:rPr>
                <w:rFonts w:ascii="宋体" w:hAnsi="宋体" w:eastAsia="宋体" w:cs="宋体"/>
                <w:color w:val="auto"/>
                <w:spacing w:val="0"/>
                <w:sz w:val="24"/>
                <w:szCs w:val="24"/>
              </w:rPr>
            </w:pPr>
            <w:r>
              <w:rPr>
                <w:rFonts w:hint="eastAsia" w:ascii="宋体" w:hAnsi="宋体" w:eastAsia="宋体"/>
                <w:color w:val="auto"/>
                <w:spacing w:val="0"/>
                <w:sz w:val="24"/>
                <w:szCs w:val="24"/>
              </w:rPr>
              <w:t>见技术要求</w:t>
            </w:r>
          </w:p>
        </w:tc>
        <w:tc>
          <w:tcPr>
            <w:tcW w:w="818" w:type="dxa"/>
            <w:tcBorders>
              <w:top w:val="single" w:color="auto" w:sz="2" w:space="0"/>
              <w:left w:val="single" w:color="auto" w:sz="4" w:space="0"/>
              <w:bottom w:val="single" w:color="auto" w:sz="2" w:space="0"/>
              <w:right w:val="single" w:color="auto" w:sz="4" w:space="0"/>
            </w:tcBorders>
            <w:noWrap w:val="0"/>
            <w:vAlign w:val="center"/>
          </w:tcPr>
          <w:p w14:paraId="591E13FD">
            <w:pPr>
              <w:widowControl w:val="0"/>
              <w:spacing w:line="288" w:lineRule="auto"/>
              <w:jc w:val="center"/>
              <w:rPr>
                <w:rFonts w:hint="eastAsia" w:ascii="宋体" w:hAnsi="宋体" w:eastAsia="宋体" w:cs="宋体"/>
                <w:color w:val="auto"/>
                <w:spacing w:val="0"/>
                <w:sz w:val="24"/>
                <w:szCs w:val="24"/>
                <w:highlight w:val="none"/>
                <w:lang w:eastAsia="zh-CN"/>
              </w:rPr>
            </w:pPr>
            <w:r>
              <w:rPr>
                <w:rFonts w:hint="eastAsia" w:ascii="宋体" w:hAnsi="宋体"/>
                <w:color w:val="auto"/>
                <w:spacing w:val="0"/>
                <w:sz w:val="24"/>
                <w:szCs w:val="24"/>
                <w:highlight w:val="none"/>
                <w:lang w:val="en-US" w:eastAsia="zh-CN"/>
              </w:rPr>
              <w:t>1</w:t>
            </w:r>
          </w:p>
        </w:tc>
        <w:tc>
          <w:tcPr>
            <w:tcW w:w="1296" w:type="dxa"/>
            <w:tcBorders>
              <w:top w:val="single" w:color="auto" w:sz="2" w:space="0"/>
              <w:left w:val="single" w:color="auto" w:sz="4" w:space="0"/>
              <w:bottom w:val="single" w:color="auto" w:sz="2" w:space="0"/>
              <w:right w:val="single" w:color="auto" w:sz="2" w:space="0"/>
            </w:tcBorders>
            <w:noWrap w:val="0"/>
            <w:vAlign w:val="center"/>
          </w:tcPr>
          <w:p w14:paraId="0B30CEA9">
            <w:pPr>
              <w:widowControl w:val="0"/>
              <w:spacing w:line="288" w:lineRule="auto"/>
              <w:jc w:val="center"/>
              <w:rPr>
                <w:rFonts w:hint="eastAsia" w:ascii="宋体" w:hAnsi="宋体"/>
                <w:color w:val="auto"/>
                <w:spacing w:val="0"/>
                <w:sz w:val="24"/>
                <w:szCs w:val="24"/>
                <w:highlight w:val="none"/>
                <w:lang w:val="en-US" w:eastAsia="zh-CN"/>
              </w:rPr>
            </w:pPr>
          </w:p>
        </w:tc>
        <w:tc>
          <w:tcPr>
            <w:tcW w:w="1296" w:type="dxa"/>
            <w:tcBorders>
              <w:top w:val="single" w:color="auto" w:sz="2" w:space="0"/>
              <w:left w:val="single" w:color="auto" w:sz="4" w:space="0"/>
              <w:bottom w:val="single" w:color="auto" w:sz="2" w:space="0"/>
              <w:right w:val="single" w:color="auto" w:sz="2" w:space="0"/>
            </w:tcBorders>
            <w:noWrap w:val="0"/>
            <w:vAlign w:val="center"/>
          </w:tcPr>
          <w:p w14:paraId="335E5C8F">
            <w:pPr>
              <w:widowControl w:val="0"/>
              <w:spacing w:line="288" w:lineRule="auto"/>
              <w:jc w:val="center"/>
              <w:rPr>
                <w:rFonts w:hint="default" w:ascii="宋体" w:hAnsi="宋体" w:eastAsia="宋体" w:cs="宋体"/>
                <w:color w:val="auto"/>
                <w:spacing w:val="0"/>
                <w:sz w:val="24"/>
                <w:szCs w:val="24"/>
                <w:highlight w:val="none"/>
                <w:lang w:val="en-US" w:eastAsia="zh-CN"/>
              </w:rPr>
            </w:pPr>
            <w:r>
              <w:rPr>
                <w:rFonts w:hint="eastAsia" w:ascii="宋体" w:hAnsi="宋体" w:cs="宋体"/>
                <w:color w:val="auto"/>
                <w:spacing w:val="0"/>
                <w:sz w:val="24"/>
                <w:szCs w:val="24"/>
                <w:highlight w:val="none"/>
                <w:lang w:eastAsia="zh-CN"/>
              </w:rPr>
              <w:t>面积不小于</w:t>
            </w:r>
            <w:r>
              <w:rPr>
                <w:rFonts w:hint="eastAsia" w:ascii="宋体" w:hAnsi="宋体" w:cs="宋体"/>
                <w:color w:val="auto"/>
                <w:spacing w:val="0"/>
                <w:sz w:val="24"/>
                <w:szCs w:val="24"/>
                <w:highlight w:val="none"/>
                <w:lang w:val="en-US" w:eastAsia="zh-CN"/>
              </w:rPr>
              <w:t>12</w:t>
            </w:r>
            <w:r>
              <w:rPr>
                <w:rFonts w:hint="eastAsia" w:ascii="宋体" w:hAnsi="宋体" w:eastAsia="宋体" w:cs="宋体"/>
                <w:color w:val="auto"/>
                <w:spacing w:val="0"/>
                <w:sz w:val="24"/>
                <w:szCs w:val="24"/>
                <w:highlight w:val="none"/>
                <w:lang w:val="en-US" w:eastAsia="zh-CN"/>
              </w:rPr>
              <w:t>㎡</w:t>
            </w:r>
          </w:p>
        </w:tc>
      </w:tr>
      <w:tr w14:paraId="43CB630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606" w:type="dxa"/>
            <w:vMerge w:val="continue"/>
            <w:tcBorders>
              <w:top w:val="single" w:color="auto" w:sz="4" w:space="0"/>
              <w:left w:val="single" w:color="auto" w:sz="2" w:space="0"/>
              <w:bottom w:val="single" w:color="auto" w:sz="4" w:space="0"/>
              <w:right w:val="single" w:color="auto" w:sz="4" w:space="0"/>
            </w:tcBorders>
            <w:noWrap w:val="0"/>
            <w:vAlign w:val="center"/>
          </w:tcPr>
          <w:p w14:paraId="20173E2E">
            <w:pPr>
              <w:widowControl w:val="0"/>
              <w:spacing w:line="288" w:lineRule="auto"/>
              <w:jc w:val="center"/>
              <w:rPr>
                <w:rFonts w:ascii="宋体" w:hAnsi="宋体" w:eastAsia="宋体" w:cs="宋体"/>
                <w:color w:val="auto"/>
                <w:spacing w:val="0"/>
                <w:sz w:val="24"/>
                <w:szCs w:val="24"/>
              </w:rPr>
            </w:pPr>
          </w:p>
        </w:tc>
        <w:tc>
          <w:tcPr>
            <w:tcW w:w="816" w:type="dxa"/>
            <w:vMerge w:val="continue"/>
            <w:tcBorders>
              <w:top w:val="single" w:color="auto" w:sz="4" w:space="0"/>
              <w:left w:val="single" w:color="auto" w:sz="4" w:space="0"/>
              <w:bottom w:val="single" w:color="auto" w:sz="4" w:space="0"/>
              <w:right w:val="single" w:color="auto" w:sz="4" w:space="0"/>
            </w:tcBorders>
            <w:noWrap w:val="0"/>
            <w:vAlign w:val="center"/>
          </w:tcPr>
          <w:p w14:paraId="6EDA3098">
            <w:pPr>
              <w:widowControl w:val="0"/>
              <w:spacing w:line="288" w:lineRule="auto"/>
              <w:jc w:val="center"/>
              <w:rPr>
                <w:rFonts w:ascii="宋体" w:hAnsi="宋体" w:eastAsia="宋体" w:cs="宋体"/>
                <w:color w:val="auto"/>
                <w:spacing w:val="0"/>
                <w:sz w:val="24"/>
                <w:szCs w:val="24"/>
              </w:rPr>
            </w:pPr>
          </w:p>
        </w:tc>
        <w:tc>
          <w:tcPr>
            <w:tcW w:w="3237" w:type="dxa"/>
            <w:tcBorders>
              <w:top w:val="single" w:color="auto" w:sz="2" w:space="0"/>
              <w:left w:val="single" w:color="auto" w:sz="4" w:space="0"/>
              <w:bottom w:val="single" w:color="auto" w:sz="2" w:space="0"/>
              <w:right w:val="single" w:color="auto" w:sz="4" w:space="0"/>
            </w:tcBorders>
            <w:noWrap w:val="0"/>
            <w:vAlign w:val="center"/>
          </w:tcPr>
          <w:p w14:paraId="131E1C79">
            <w:pPr>
              <w:widowControl w:val="0"/>
              <w:spacing w:line="288" w:lineRule="auto"/>
              <w:jc w:val="left"/>
              <w:rPr>
                <w:rFonts w:hint="default" w:ascii="宋体" w:hAnsi="宋体" w:eastAsia="宋体" w:cs="宋体"/>
                <w:color w:val="auto"/>
                <w:spacing w:val="0"/>
                <w:sz w:val="24"/>
                <w:szCs w:val="24"/>
                <w:lang w:val="en-US" w:eastAsia="zh-CN"/>
              </w:rPr>
            </w:pPr>
            <w:r>
              <w:rPr>
                <w:rFonts w:hint="eastAsia" w:ascii="宋体" w:hAnsi="宋体"/>
                <w:color w:val="auto"/>
                <w:spacing w:val="0"/>
                <w:sz w:val="24"/>
                <w:szCs w:val="24"/>
                <w:lang w:val="en-US" w:eastAsia="zh-CN"/>
              </w:rPr>
              <w:t>站房改造</w:t>
            </w:r>
          </w:p>
        </w:tc>
        <w:tc>
          <w:tcPr>
            <w:tcW w:w="2049" w:type="dxa"/>
            <w:tcBorders>
              <w:top w:val="single" w:color="auto" w:sz="2" w:space="0"/>
              <w:left w:val="single" w:color="auto" w:sz="4" w:space="0"/>
              <w:bottom w:val="single" w:color="auto" w:sz="2" w:space="0"/>
              <w:right w:val="single" w:color="auto" w:sz="4" w:space="0"/>
            </w:tcBorders>
            <w:noWrap w:val="0"/>
            <w:vAlign w:val="center"/>
          </w:tcPr>
          <w:p w14:paraId="71440F2E">
            <w:pPr>
              <w:widowControl w:val="0"/>
              <w:spacing w:line="288" w:lineRule="auto"/>
              <w:jc w:val="center"/>
              <w:rPr>
                <w:rFonts w:ascii="宋体" w:hAnsi="宋体" w:eastAsia="宋体" w:cs="宋体"/>
                <w:color w:val="auto"/>
                <w:spacing w:val="0"/>
                <w:sz w:val="24"/>
                <w:szCs w:val="24"/>
              </w:rPr>
            </w:pPr>
            <w:r>
              <w:rPr>
                <w:rFonts w:hint="eastAsia" w:ascii="宋体" w:hAnsi="宋体" w:eastAsia="宋体"/>
                <w:color w:val="auto"/>
                <w:spacing w:val="0"/>
                <w:sz w:val="24"/>
                <w:szCs w:val="24"/>
              </w:rPr>
              <w:t>见技术要求</w:t>
            </w:r>
          </w:p>
        </w:tc>
        <w:tc>
          <w:tcPr>
            <w:tcW w:w="818" w:type="dxa"/>
            <w:tcBorders>
              <w:top w:val="single" w:color="auto" w:sz="2" w:space="0"/>
              <w:left w:val="single" w:color="auto" w:sz="4" w:space="0"/>
              <w:bottom w:val="single" w:color="auto" w:sz="2" w:space="0"/>
              <w:right w:val="single" w:color="auto" w:sz="4" w:space="0"/>
            </w:tcBorders>
            <w:noWrap w:val="0"/>
            <w:vAlign w:val="center"/>
          </w:tcPr>
          <w:p w14:paraId="6D9CC479">
            <w:pPr>
              <w:widowControl w:val="0"/>
              <w:spacing w:line="288" w:lineRule="auto"/>
              <w:jc w:val="center"/>
              <w:rPr>
                <w:rFonts w:hint="eastAsia" w:ascii="宋体" w:hAnsi="宋体" w:eastAsia="宋体" w:cs="宋体"/>
                <w:color w:val="auto"/>
                <w:spacing w:val="0"/>
                <w:sz w:val="24"/>
                <w:szCs w:val="24"/>
                <w:highlight w:val="none"/>
                <w:lang w:eastAsia="zh-CN"/>
              </w:rPr>
            </w:pPr>
            <w:r>
              <w:rPr>
                <w:rFonts w:hint="eastAsia" w:ascii="宋体" w:hAnsi="宋体"/>
                <w:color w:val="auto"/>
                <w:spacing w:val="0"/>
                <w:sz w:val="24"/>
                <w:szCs w:val="24"/>
                <w:highlight w:val="none"/>
                <w:lang w:val="en-US" w:eastAsia="zh-CN"/>
              </w:rPr>
              <w:t>1</w:t>
            </w:r>
          </w:p>
        </w:tc>
        <w:tc>
          <w:tcPr>
            <w:tcW w:w="1296" w:type="dxa"/>
            <w:tcBorders>
              <w:top w:val="single" w:color="auto" w:sz="2" w:space="0"/>
              <w:left w:val="single" w:color="auto" w:sz="4" w:space="0"/>
              <w:bottom w:val="single" w:color="auto" w:sz="2" w:space="0"/>
              <w:right w:val="single" w:color="auto" w:sz="2" w:space="0"/>
            </w:tcBorders>
            <w:noWrap w:val="0"/>
            <w:vAlign w:val="center"/>
          </w:tcPr>
          <w:p w14:paraId="4952ACE8">
            <w:pPr>
              <w:widowControl w:val="0"/>
              <w:spacing w:line="288" w:lineRule="auto"/>
              <w:jc w:val="center"/>
              <w:rPr>
                <w:rFonts w:hint="eastAsia" w:ascii="宋体" w:hAnsi="宋体"/>
                <w:color w:val="auto"/>
                <w:spacing w:val="0"/>
                <w:sz w:val="24"/>
                <w:szCs w:val="24"/>
                <w:highlight w:val="none"/>
                <w:lang w:val="en-US" w:eastAsia="zh-CN"/>
              </w:rPr>
            </w:pPr>
          </w:p>
        </w:tc>
        <w:tc>
          <w:tcPr>
            <w:tcW w:w="1296" w:type="dxa"/>
            <w:tcBorders>
              <w:top w:val="single" w:color="auto" w:sz="2" w:space="0"/>
              <w:left w:val="single" w:color="auto" w:sz="4" w:space="0"/>
              <w:bottom w:val="single" w:color="auto" w:sz="2" w:space="0"/>
              <w:right w:val="single" w:color="auto" w:sz="2" w:space="0"/>
            </w:tcBorders>
            <w:noWrap w:val="0"/>
            <w:vAlign w:val="center"/>
          </w:tcPr>
          <w:p w14:paraId="03777A34">
            <w:pPr>
              <w:widowControl w:val="0"/>
              <w:spacing w:line="288" w:lineRule="auto"/>
              <w:jc w:val="center"/>
              <w:rPr>
                <w:rFonts w:ascii="宋体" w:hAnsi="宋体" w:eastAsia="宋体" w:cs="宋体"/>
                <w:color w:val="auto"/>
                <w:spacing w:val="0"/>
                <w:sz w:val="24"/>
                <w:szCs w:val="24"/>
                <w:highlight w:val="none"/>
              </w:rPr>
            </w:pPr>
          </w:p>
        </w:tc>
      </w:tr>
      <w:tr w14:paraId="726F35F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606" w:type="dxa"/>
            <w:tcBorders>
              <w:top w:val="single" w:color="auto" w:sz="4" w:space="0"/>
              <w:left w:val="single" w:color="auto" w:sz="2" w:space="0"/>
              <w:bottom w:val="single" w:color="auto" w:sz="2" w:space="0"/>
              <w:right w:val="single" w:color="auto" w:sz="4" w:space="0"/>
            </w:tcBorders>
            <w:noWrap w:val="0"/>
            <w:vAlign w:val="center"/>
          </w:tcPr>
          <w:p w14:paraId="18EBEA6F">
            <w:pPr>
              <w:widowControl w:val="0"/>
              <w:spacing w:line="288" w:lineRule="auto"/>
              <w:jc w:val="center"/>
              <w:rPr>
                <w:rFonts w:ascii="宋体" w:hAnsi="宋体" w:eastAsia="宋体" w:cs="宋体"/>
                <w:color w:val="auto"/>
                <w:spacing w:val="0"/>
                <w:sz w:val="24"/>
                <w:szCs w:val="24"/>
              </w:rPr>
            </w:pPr>
            <w:r>
              <w:rPr>
                <w:rFonts w:hint="eastAsia" w:ascii="宋体" w:hAnsi="宋体" w:eastAsia="宋体"/>
                <w:color w:val="auto"/>
                <w:spacing w:val="0"/>
                <w:sz w:val="24"/>
                <w:szCs w:val="24"/>
              </w:rPr>
              <w:t>4</w:t>
            </w:r>
          </w:p>
        </w:tc>
        <w:tc>
          <w:tcPr>
            <w:tcW w:w="816" w:type="dxa"/>
            <w:tcBorders>
              <w:top w:val="single" w:color="auto" w:sz="4" w:space="0"/>
              <w:left w:val="single" w:color="auto" w:sz="4" w:space="0"/>
              <w:bottom w:val="single" w:color="auto" w:sz="2" w:space="0"/>
              <w:right w:val="single" w:color="auto" w:sz="4" w:space="0"/>
            </w:tcBorders>
            <w:noWrap w:val="0"/>
            <w:vAlign w:val="center"/>
          </w:tcPr>
          <w:p w14:paraId="3581F099">
            <w:pPr>
              <w:widowControl w:val="0"/>
              <w:spacing w:line="288" w:lineRule="auto"/>
              <w:jc w:val="center"/>
              <w:rPr>
                <w:rFonts w:ascii="宋体" w:hAnsi="宋体" w:eastAsia="宋体" w:cs="宋体"/>
                <w:color w:val="auto"/>
                <w:spacing w:val="0"/>
                <w:sz w:val="24"/>
                <w:szCs w:val="24"/>
              </w:rPr>
            </w:pPr>
            <w:r>
              <w:rPr>
                <w:rFonts w:hint="eastAsia" w:ascii="宋体" w:hAnsi="宋体" w:eastAsia="宋体"/>
                <w:color w:val="auto"/>
                <w:spacing w:val="0"/>
                <w:sz w:val="24"/>
                <w:szCs w:val="24"/>
              </w:rPr>
              <w:t>运行</w:t>
            </w:r>
          </w:p>
          <w:p w14:paraId="301F09F4">
            <w:pPr>
              <w:widowControl w:val="0"/>
              <w:spacing w:line="288" w:lineRule="auto"/>
              <w:jc w:val="center"/>
              <w:rPr>
                <w:rFonts w:ascii="宋体" w:hAnsi="宋体" w:eastAsia="宋体" w:cs="宋体"/>
                <w:color w:val="auto"/>
                <w:spacing w:val="0"/>
                <w:sz w:val="24"/>
                <w:szCs w:val="24"/>
              </w:rPr>
            </w:pPr>
            <w:r>
              <w:rPr>
                <w:rFonts w:hint="eastAsia" w:ascii="宋体" w:hAnsi="宋体" w:eastAsia="宋体"/>
                <w:color w:val="auto"/>
                <w:spacing w:val="0"/>
                <w:sz w:val="24"/>
                <w:szCs w:val="24"/>
              </w:rPr>
              <w:t>维护</w:t>
            </w:r>
          </w:p>
        </w:tc>
        <w:tc>
          <w:tcPr>
            <w:tcW w:w="3237" w:type="dxa"/>
            <w:tcBorders>
              <w:top w:val="single" w:color="auto" w:sz="2" w:space="0"/>
              <w:left w:val="single" w:color="auto" w:sz="4" w:space="0"/>
              <w:bottom w:val="single" w:color="auto" w:sz="2" w:space="0"/>
              <w:right w:val="single" w:color="auto" w:sz="4" w:space="0"/>
            </w:tcBorders>
            <w:noWrap w:val="0"/>
            <w:vAlign w:val="center"/>
          </w:tcPr>
          <w:p w14:paraId="6AF2B5BA">
            <w:pPr>
              <w:widowControl w:val="0"/>
              <w:spacing w:line="288" w:lineRule="auto"/>
              <w:jc w:val="left"/>
              <w:rPr>
                <w:rFonts w:ascii="宋体" w:hAnsi="宋体" w:eastAsia="宋体" w:cs="宋体"/>
                <w:color w:val="auto"/>
                <w:spacing w:val="0"/>
                <w:sz w:val="24"/>
                <w:szCs w:val="24"/>
              </w:rPr>
            </w:pPr>
            <w:r>
              <w:rPr>
                <w:rFonts w:hint="eastAsia" w:ascii="宋体" w:hAnsi="宋体" w:eastAsia="宋体"/>
                <w:color w:val="auto"/>
                <w:spacing w:val="0"/>
                <w:sz w:val="24"/>
                <w:szCs w:val="24"/>
                <w:lang w:val="en-US" w:eastAsia="zh-CN"/>
              </w:rPr>
              <w:t>三</w:t>
            </w:r>
            <w:r>
              <w:rPr>
                <w:rFonts w:hint="eastAsia" w:ascii="宋体" w:hAnsi="宋体" w:eastAsia="宋体"/>
                <w:color w:val="auto"/>
                <w:spacing w:val="0"/>
                <w:sz w:val="24"/>
                <w:szCs w:val="24"/>
              </w:rPr>
              <w:t>年</w:t>
            </w:r>
          </w:p>
        </w:tc>
        <w:tc>
          <w:tcPr>
            <w:tcW w:w="2049" w:type="dxa"/>
            <w:tcBorders>
              <w:top w:val="single" w:color="auto" w:sz="2" w:space="0"/>
              <w:left w:val="single" w:color="auto" w:sz="4" w:space="0"/>
              <w:bottom w:val="single" w:color="auto" w:sz="2" w:space="0"/>
              <w:right w:val="single" w:color="auto" w:sz="4" w:space="0"/>
            </w:tcBorders>
            <w:noWrap w:val="0"/>
            <w:vAlign w:val="center"/>
          </w:tcPr>
          <w:p w14:paraId="657DA87B">
            <w:pPr>
              <w:widowControl w:val="0"/>
              <w:spacing w:line="288" w:lineRule="auto"/>
              <w:jc w:val="center"/>
              <w:rPr>
                <w:rFonts w:ascii="宋体" w:hAnsi="宋体" w:eastAsia="宋体" w:cs="宋体"/>
                <w:color w:val="auto"/>
                <w:spacing w:val="0"/>
                <w:sz w:val="24"/>
                <w:szCs w:val="24"/>
              </w:rPr>
            </w:pPr>
            <w:r>
              <w:rPr>
                <w:rFonts w:hint="eastAsia" w:ascii="宋体" w:hAnsi="宋体" w:eastAsia="宋体"/>
                <w:color w:val="auto"/>
                <w:spacing w:val="0"/>
                <w:sz w:val="24"/>
                <w:szCs w:val="24"/>
              </w:rPr>
              <w:t>见技术要求</w:t>
            </w:r>
          </w:p>
        </w:tc>
        <w:tc>
          <w:tcPr>
            <w:tcW w:w="818" w:type="dxa"/>
            <w:tcBorders>
              <w:top w:val="single" w:color="auto" w:sz="2" w:space="0"/>
              <w:left w:val="single" w:color="auto" w:sz="4" w:space="0"/>
              <w:bottom w:val="single" w:color="auto" w:sz="2" w:space="0"/>
              <w:right w:val="single" w:color="auto" w:sz="4" w:space="0"/>
            </w:tcBorders>
            <w:noWrap w:val="0"/>
            <w:vAlign w:val="center"/>
          </w:tcPr>
          <w:p w14:paraId="0759D590">
            <w:pPr>
              <w:widowControl w:val="0"/>
              <w:spacing w:line="288" w:lineRule="auto"/>
              <w:jc w:val="center"/>
              <w:rPr>
                <w:rFonts w:hint="default" w:ascii="宋体" w:hAnsi="宋体" w:eastAsia="宋体" w:cs="宋体"/>
                <w:color w:val="auto"/>
                <w:spacing w:val="0"/>
                <w:sz w:val="24"/>
                <w:szCs w:val="24"/>
                <w:highlight w:val="yellow"/>
                <w:lang w:val="en-US" w:eastAsia="zh-CN"/>
              </w:rPr>
            </w:pPr>
            <w:r>
              <w:rPr>
                <w:rFonts w:hint="eastAsia" w:ascii="宋体" w:hAnsi="宋体" w:cs="宋体"/>
                <w:color w:val="auto"/>
                <w:spacing w:val="0"/>
                <w:sz w:val="24"/>
                <w:szCs w:val="24"/>
                <w:highlight w:val="none"/>
                <w:lang w:val="en-US" w:eastAsia="zh-CN"/>
              </w:rPr>
              <w:t>2</w:t>
            </w:r>
          </w:p>
        </w:tc>
        <w:tc>
          <w:tcPr>
            <w:tcW w:w="1296" w:type="dxa"/>
            <w:tcBorders>
              <w:top w:val="single" w:color="auto" w:sz="2" w:space="0"/>
              <w:left w:val="single" w:color="auto" w:sz="4" w:space="0"/>
              <w:bottom w:val="single" w:color="auto" w:sz="2" w:space="0"/>
              <w:right w:val="single" w:color="auto" w:sz="2" w:space="0"/>
            </w:tcBorders>
            <w:noWrap w:val="0"/>
            <w:vAlign w:val="center"/>
          </w:tcPr>
          <w:p w14:paraId="0EFDBFA9">
            <w:pPr>
              <w:widowControl w:val="0"/>
              <w:spacing w:line="288" w:lineRule="auto"/>
              <w:jc w:val="center"/>
              <w:rPr>
                <w:rFonts w:hint="eastAsia" w:ascii="宋体" w:hAnsi="宋体" w:cs="宋体"/>
                <w:color w:val="auto"/>
                <w:spacing w:val="0"/>
                <w:sz w:val="24"/>
                <w:szCs w:val="24"/>
                <w:highlight w:val="none"/>
                <w:lang w:val="en-US" w:eastAsia="zh-CN"/>
              </w:rPr>
            </w:pPr>
          </w:p>
        </w:tc>
        <w:tc>
          <w:tcPr>
            <w:tcW w:w="1296" w:type="dxa"/>
            <w:tcBorders>
              <w:top w:val="single" w:color="auto" w:sz="2" w:space="0"/>
              <w:left w:val="single" w:color="auto" w:sz="4" w:space="0"/>
              <w:bottom w:val="single" w:color="auto" w:sz="2" w:space="0"/>
              <w:right w:val="single" w:color="auto" w:sz="2" w:space="0"/>
            </w:tcBorders>
            <w:noWrap w:val="0"/>
            <w:vAlign w:val="center"/>
          </w:tcPr>
          <w:p w14:paraId="5046EB9F">
            <w:pPr>
              <w:widowControl w:val="0"/>
              <w:spacing w:line="288" w:lineRule="auto"/>
              <w:jc w:val="center"/>
              <w:rPr>
                <w:rFonts w:ascii="宋体" w:hAnsi="宋体" w:eastAsia="宋体" w:cs="宋体"/>
                <w:color w:val="auto"/>
                <w:spacing w:val="0"/>
                <w:sz w:val="24"/>
                <w:szCs w:val="24"/>
              </w:rPr>
            </w:pPr>
            <w:r>
              <w:rPr>
                <w:rFonts w:hint="eastAsia" w:ascii="宋体" w:hAnsi="宋体" w:eastAsia="宋体"/>
                <w:color w:val="auto"/>
                <w:spacing w:val="0"/>
                <w:sz w:val="24"/>
                <w:szCs w:val="24"/>
              </w:rPr>
              <w:t>自验收通过之日起开始计算</w:t>
            </w:r>
          </w:p>
        </w:tc>
      </w:tr>
    </w:tbl>
    <w:p w14:paraId="6746B30A">
      <w:pPr>
        <w:pStyle w:val="13"/>
        <w:spacing w:beforeAutospacing="0" w:afterAutospacing="0" w:line="0" w:lineRule="atLeast"/>
        <w:ind w:firstLine="480"/>
        <w:jc w:val="both"/>
        <w:rPr>
          <w:rFonts w:hint="eastAsia" w:asciiTheme="majorEastAsia" w:hAnsiTheme="majorEastAsia" w:eastAsiaTheme="majorEastAsia" w:cstheme="majorEastAsia"/>
          <w:b w:val="0"/>
          <w:bCs w:val="0"/>
          <w:spacing w:val="-1"/>
          <w:sz w:val="24"/>
          <w:szCs w:val="24"/>
          <w:highlight w:val="green"/>
          <w:lang w:val="en-US" w:eastAsia="zh-CN" w:bidi="zh-CN"/>
        </w:rPr>
      </w:pPr>
      <w:r>
        <w:t> </w:t>
      </w:r>
      <w:r>
        <w:rPr>
          <w:rFonts w:hint="eastAsia" w:ascii="宋体" w:hAnsi="宋体" w:eastAsia="宋体" w:cs="宋体"/>
          <w:color w:val="000000"/>
          <w:highlight w:val="green"/>
          <w:lang w:val="en-US" w:eastAsia="zh-CN"/>
        </w:rPr>
        <w:t>本项目填报小微企业声明函时，仅对五参数水质自动分析仪</w:t>
      </w:r>
      <w:r>
        <w:rPr>
          <w:rFonts w:hint="eastAsia" w:asciiTheme="majorEastAsia" w:hAnsiTheme="majorEastAsia" w:eastAsiaTheme="majorEastAsia" w:cstheme="majorEastAsia"/>
          <w:b w:val="0"/>
          <w:bCs w:val="0"/>
          <w:spacing w:val="-1"/>
          <w:sz w:val="24"/>
          <w:szCs w:val="24"/>
          <w:highlight w:val="green"/>
          <w:lang w:eastAsia="zh-CN"/>
        </w:rPr>
        <w:t>、氨氮水质自动分析仪</w:t>
      </w:r>
      <w:r>
        <w:rPr>
          <w:rFonts w:hint="eastAsia" w:asciiTheme="majorEastAsia" w:hAnsiTheme="majorEastAsia" w:eastAsiaTheme="majorEastAsia" w:cstheme="majorEastAsia"/>
          <w:b w:val="0"/>
          <w:bCs w:val="0"/>
          <w:spacing w:val="-1"/>
          <w:sz w:val="24"/>
          <w:szCs w:val="24"/>
          <w:highlight w:val="green"/>
          <w:lang w:val="zh-CN" w:eastAsia="zh-CN" w:bidi="zh-CN"/>
        </w:rPr>
        <w:t>、高锰酸盐指数水质自动分析仪、总磷水质自动分析仪、化学需氧量水质自动分析仪</w:t>
      </w:r>
      <w:r>
        <w:rPr>
          <w:rFonts w:hint="eastAsia" w:asciiTheme="majorEastAsia" w:hAnsiTheme="majorEastAsia" w:eastAsiaTheme="majorEastAsia" w:cstheme="majorEastAsia"/>
          <w:b w:val="0"/>
          <w:bCs w:val="0"/>
          <w:spacing w:val="-1"/>
          <w:sz w:val="24"/>
          <w:szCs w:val="24"/>
          <w:highlight w:val="green"/>
          <w:lang w:eastAsia="zh-CN"/>
        </w:rPr>
        <w:t>、总氮水质自动分析仪、流向流速仪</w:t>
      </w:r>
      <w:r>
        <w:rPr>
          <w:rFonts w:hint="eastAsia" w:asciiTheme="majorEastAsia" w:hAnsiTheme="majorEastAsia" w:eastAsiaTheme="majorEastAsia" w:cstheme="majorEastAsia"/>
          <w:b w:val="0"/>
          <w:bCs w:val="0"/>
          <w:spacing w:val="-1"/>
          <w:sz w:val="24"/>
          <w:szCs w:val="24"/>
          <w:highlight w:val="green"/>
          <w:lang w:val="en-US" w:eastAsia="zh-CN" w:bidi="zh-CN"/>
        </w:rPr>
        <w:t>进行填报，其他无需填写。</w:t>
      </w:r>
    </w:p>
    <w:p w14:paraId="746276E4">
      <w:pPr>
        <w:pStyle w:val="13"/>
        <w:spacing w:beforeAutospacing="0" w:afterAutospacing="0" w:line="0" w:lineRule="atLeast"/>
        <w:ind w:firstLine="480"/>
        <w:jc w:val="both"/>
        <w:rPr>
          <w:rFonts w:hint="eastAsia" w:asciiTheme="majorEastAsia" w:hAnsiTheme="majorEastAsia" w:eastAsiaTheme="majorEastAsia" w:cstheme="majorEastAsia"/>
          <w:b w:val="0"/>
          <w:bCs w:val="0"/>
          <w:spacing w:val="-1"/>
          <w:sz w:val="24"/>
          <w:szCs w:val="24"/>
          <w:highlight w:val="none"/>
          <w:lang w:val="en-US" w:eastAsia="zh-CN" w:bidi="zh-CN"/>
        </w:rPr>
      </w:pPr>
    </w:p>
    <w:p w14:paraId="131D5903">
      <w:pPr>
        <w:widowControl w:val="0"/>
        <w:spacing w:line="360" w:lineRule="auto"/>
        <w:ind w:firstLine="643" w:firstLineChars="200"/>
        <w:jc w:val="both"/>
        <w:rPr>
          <w:rFonts w:ascii="宋体" w:hAnsi="宋体" w:eastAsia="宋体"/>
          <w:color w:val="auto"/>
          <w:spacing w:val="0"/>
          <w:sz w:val="32"/>
          <w:szCs w:val="32"/>
        </w:rPr>
      </w:pPr>
      <w:r>
        <w:rPr>
          <w:rFonts w:hint="eastAsia" w:ascii="宋体" w:hAnsi="宋体" w:eastAsia="宋体"/>
          <w:b/>
          <w:bCs/>
          <w:color w:val="auto"/>
          <w:spacing w:val="0"/>
          <w:sz w:val="32"/>
          <w:szCs w:val="32"/>
        </w:rPr>
        <w:t>本项目核心仪器</w:t>
      </w:r>
      <w:r>
        <w:rPr>
          <w:rFonts w:hint="eastAsia" w:ascii="宋体" w:hAnsi="宋体" w:eastAsia="宋体"/>
          <w:b/>
          <w:bCs/>
          <w:color w:val="auto"/>
          <w:spacing w:val="0"/>
          <w:sz w:val="32"/>
          <w:szCs w:val="32"/>
          <w:lang w:val="en-US" w:eastAsia="zh-CN"/>
        </w:rPr>
        <w:t>是</w:t>
      </w:r>
      <w:r>
        <w:rPr>
          <w:rFonts w:hint="eastAsia" w:ascii="宋体" w:hAnsi="宋体" w:eastAsia="宋体"/>
          <w:b/>
          <w:bCs/>
          <w:color w:val="auto"/>
          <w:spacing w:val="0"/>
          <w:sz w:val="32"/>
          <w:szCs w:val="32"/>
        </w:rPr>
        <w:t>氨氮水质自动分析仪</w:t>
      </w:r>
      <w:r>
        <w:rPr>
          <w:rFonts w:hint="eastAsia" w:ascii="宋体" w:hAnsi="宋体" w:eastAsia="宋体"/>
          <w:color w:val="auto"/>
          <w:spacing w:val="0"/>
          <w:sz w:val="32"/>
          <w:szCs w:val="32"/>
        </w:rPr>
        <w:t>。</w:t>
      </w:r>
    </w:p>
    <w:p w14:paraId="018F84C4">
      <w:pPr>
        <w:widowControl/>
        <w:spacing w:line="360" w:lineRule="auto"/>
        <w:ind w:firstLine="482"/>
        <w:jc w:val="left"/>
        <w:outlineLvl w:val="1"/>
        <w:rPr>
          <w:rFonts w:hint="default" w:ascii="宋体" w:hAnsi="宋体" w:eastAsia="宋体" w:cs="Arial"/>
          <w:b/>
          <w:bCs/>
          <w:color w:val="auto"/>
          <w:spacing w:val="0"/>
          <w:sz w:val="28"/>
          <w:szCs w:val="28"/>
          <w:lang w:val="en-US" w:eastAsia="zh-CN" w:bidi="ar-SA"/>
        </w:rPr>
      </w:pPr>
      <w:bookmarkStart w:id="175" w:name="_Toc502007570"/>
      <w:bookmarkEnd w:id="175"/>
      <w:bookmarkStart w:id="176" w:name="_Toc505252658"/>
      <w:bookmarkEnd w:id="176"/>
      <w:bookmarkStart w:id="177" w:name="_Toc504040655"/>
      <w:bookmarkEnd w:id="177"/>
      <w:bookmarkStart w:id="178" w:name="_Toc502229119"/>
      <w:bookmarkEnd w:id="178"/>
      <w:bookmarkStart w:id="179" w:name="_Toc20320054"/>
      <w:bookmarkEnd w:id="179"/>
      <w:bookmarkStart w:id="180" w:name="_Toc504940550"/>
      <w:bookmarkEnd w:id="180"/>
      <w:bookmarkStart w:id="181" w:name="_Toc18855093"/>
      <w:bookmarkEnd w:id="181"/>
      <w:bookmarkStart w:id="182" w:name="_Toc505184808"/>
      <w:r>
        <w:rPr>
          <w:rFonts w:hint="eastAsia" w:ascii="宋体" w:hAnsi="宋体" w:eastAsia="宋体" w:cs="Arial"/>
          <w:b/>
          <w:bCs/>
          <w:color w:val="auto"/>
          <w:spacing w:val="0"/>
          <w:sz w:val="28"/>
          <w:szCs w:val="28"/>
          <w:lang w:val="en-US" w:eastAsia="zh-CN" w:bidi="ar-SA"/>
        </w:rPr>
        <w:t>三、技术规格、参数及要求</w:t>
      </w:r>
      <w:bookmarkEnd w:id="182"/>
    </w:p>
    <w:p w14:paraId="4416F285">
      <w:pPr>
        <w:widowControl/>
        <w:spacing w:line="360" w:lineRule="auto"/>
        <w:ind w:firstLine="482"/>
        <w:jc w:val="left"/>
        <w:outlineLvl w:val="9"/>
        <w:rPr>
          <w:rFonts w:hint="default" w:ascii="宋体" w:hAnsi="宋体" w:eastAsia="宋体" w:cs="Arial"/>
          <w:b/>
          <w:bCs/>
          <w:color w:val="auto"/>
          <w:spacing w:val="0"/>
          <w:sz w:val="24"/>
          <w:szCs w:val="24"/>
          <w:lang w:val="en-US" w:eastAsia="zh-CN" w:bidi="ar-SA"/>
        </w:rPr>
      </w:pPr>
      <w:bookmarkStart w:id="183" w:name="_Toc505252659"/>
      <w:bookmarkEnd w:id="183"/>
      <w:bookmarkStart w:id="184" w:name="_Toc18855094"/>
      <w:bookmarkEnd w:id="184"/>
      <w:bookmarkStart w:id="185" w:name="_Toc504940551"/>
      <w:bookmarkEnd w:id="185"/>
      <w:bookmarkStart w:id="186" w:name="_Toc502007572"/>
      <w:bookmarkEnd w:id="186"/>
      <w:bookmarkStart w:id="187" w:name="_Toc502229120"/>
      <w:bookmarkEnd w:id="187"/>
      <w:bookmarkStart w:id="188" w:name="_Toc20320055"/>
      <w:bookmarkEnd w:id="188"/>
      <w:bookmarkStart w:id="189" w:name="_Toc504040656"/>
      <w:bookmarkEnd w:id="189"/>
      <w:bookmarkStart w:id="190" w:name="_Toc505184809"/>
      <w:r>
        <w:rPr>
          <w:rFonts w:hint="eastAsia" w:ascii="宋体" w:hAnsi="宋体" w:eastAsia="宋体" w:cs="Arial"/>
          <w:b/>
          <w:bCs/>
          <w:color w:val="auto"/>
          <w:spacing w:val="0"/>
          <w:sz w:val="24"/>
          <w:szCs w:val="24"/>
          <w:lang w:val="en-US" w:eastAsia="zh-CN" w:bidi="ar-SA"/>
        </w:rPr>
        <w:t>（一）通用技术要求</w:t>
      </w:r>
      <w:bookmarkEnd w:id="190"/>
    </w:p>
    <w:p w14:paraId="698DFACD">
      <w:pPr>
        <w:widowControl/>
        <w:spacing w:line="360" w:lineRule="auto"/>
        <w:ind w:firstLine="482"/>
        <w:jc w:val="left"/>
        <w:outlineLvl w:val="9"/>
        <w:rPr>
          <w:rFonts w:hint="default" w:ascii="宋体" w:hAnsi="宋体" w:eastAsia="宋体" w:cs="Arial"/>
          <w:b/>
          <w:bCs/>
          <w:color w:val="auto"/>
          <w:spacing w:val="0"/>
          <w:sz w:val="24"/>
          <w:szCs w:val="24"/>
          <w:lang w:val="en-US" w:eastAsia="zh-CN" w:bidi="ar-SA"/>
        </w:rPr>
      </w:pPr>
      <w:bookmarkStart w:id="191" w:name="_Toc504040657"/>
      <w:bookmarkEnd w:id="191"/>
      <w:bookmarkStart w:id="192" w:name="_Toc505252660"/>
      <w:bookmarkEnd w:id="192"/>
      <w:bookmarkStart w:id="193" w:name="_Toc18855095"/>
      <w:bookmarkEnd w:id="193"/>
      <w:bookmarkStart w:id="194" w:name="_Toc505184810"/>
      <w:bookmarkEnd w:id="194"/>
      <w:bookmarkStart w:id="195" w:name="_Toc20320056"/>
      <w:bookmarkEnd w:id="195"/>
      <w:bookmarkStart w:id="196" w:name="_Toc18855271"/>
      <w:bookmarkEnd w:id="196"/>
      <w:bookmarkStart w:id="197" w:name="_Toc502229121"/>
      <w:r>
        <w:rPr>
          <w:rFonts w:hint="eastAsia" w:ascii="宋体" w:hAnsi="宋体" w:eastAsia="宋体" w:cs="Arial"/>
          <w:b/>
          <w:bCs/>
          <w:color w:val="auto"/>
          <w:spacing w:val="0"/>
          <w:sz w:val="24"/>
          <w:szCs w:val="24"/>
          <w:lang w:val="en-US" w:eastAsia="zh-CN" w:bidi="ar-SA"/>
        </w:rPr>
        <w:t>1、操作语言</w:t>
      </w:r>
      <w:bookmarkEnd w:id="197"/>
    </w:p>
    <w:p w14:paraId="473AC182">
      <w:pPr>
        <w:widowControl w:val="0"/>
        <w:spacing w:line="360" w:lineRule="auto"/>
        <w:ind w:firstLine="480"/>
        <w:jc w:val="both"/>
        <w:rPr>
          <w:rFonts w:ascii="宋体" w:hAnsi="宋体" w:eastAsia="宋体" w:cs="宋体"/>
          <w:color w:val="auto"/>
          <w:spacing w:val="0"/>
          <w:sz w:val="24"/>
          <w:szCs w:val="24"/>
        </w:rPr>
      </w:pPr>
      <w:r>
        <w:rPr>
          <w:rFonts w:hint="eastAsia" w:ascii="宋体" w:hAnsi="宋体" w:eastAsia="宋体"/>
          <w:color w:val="auto"/>
          <w:spacing w:val="0"/>
          <w:sz w:val="24"/>
          <w:szCs w:val="24"/>
        </w:rPr>
        <w:t>水质自动监测仪器和控制单元所有显示须为中文，符合《信息交换用汉字编码字符集》（</w:t>
      </w:r>
      <w:r>
        <w:rPr>
          <w:rFonts w:ascii="宋体" w:hAnsi="宋体" w:eastAsia="宋体" w:cs="Times New Roman"/>
          <w:color w:val="auto"/>
          <w:spacing w:val="0"/>
          <w:sz w:val="24"/>
          <w:szCs w:val="24"/>
        </w:rPr>
        <w:t>GB2312</w:t>
      </w:r>
      <w:r>
        <w:rPr>
          <w:rFonts w:hint="eastAsia" w:ascii="宋体" w:hAnsi="宋体" w:eastAsia="宋体"/>
          <w:color w:val="auto"/>
          <w:spacing w:val="0"/>
          <w:sz w:val="24"/>
          <w:szCs w:val="24"/>
        </w:rPr>
        <w:t>－</w:t>
      </w:r>
      <w:r>
        <w:rPr>
          <w:rFonts w:ascii="宋体" w:hAnsi="宋体" w:eastAsia="宋体" w:cs="Times New Roman"/>
          <w:color w:val="auto"/>
          <w:spacing w:val="0"/>
          <w:sz w:val="24"/>
          <w:szCs w:val="24"/>
        </w:rPr>
        <w:t>1980</w:t>
      </w:r>
      <w:r>
        <w:rPr>
          <w:rFonts w:hint="eastAsia" w:ascii="宋体" w:hAnsi="宋体" w:eastAsia="宋体"/>
          <w:color w:val="auto"/>
          <w:spacing w:val="0"/>
          <w:sz w:val="24"/>
          <w:szCs w:val="24"/>
        </w:rPr>
        <w:t>）。</w:t>
      </w:r>
    </w:p>
    <w:p w14:paraId="799CC61D">
      <w:pPr>
        <w:widowControl/>
        <w:spacing w:line="360" w:lineRule="auto"/>
        <w:ind w:firstLine="482"/>
        <w:jc w:val="left"/>
        <w:outlineLvl w:val="9"/>
        <w:rPr>
          <w:rFonts w:hint="default" w:ascii="宋体" w:hAnsi="宋体" w:eastAsia="宋体" w:cs="Arial"/>
          <w:b/>
          <w:bCs/>
          <w:color w:val="auto"/>
          <w:spacing w:val="0"/>
          <w:sz w:val="24"/>
          <w:szCs w:val="24"/>
          <w:lang w:val="en-US" w:eastAsia="zh-CN" w:bidi="ar-SA"/>
        </w:rPr>
      </w:pPr>
      <w:bookmarkStart w:id="198" w:name="_Toc505252661"/>
      <w:bookmarkEnd w:id="198"/>
      <w:bookmarkStart w:id="199" w:name="_Toc20320057"/>
      <w:bookmarkEnd w:id="199"/>
      <w:bookmarkStart w:id="200" w:name="_Toc18855272"/>
      <w:bookmarkEnd w:id="200"/>
      <w:bookmarkStart w:id="201" w:name="_Toc18855096"/>
      <w:bookmarkEnd w:id="201"/>
      <w:bookmarkStart w:id="202" w:name="_Toc504040658"/>
      <w:bookmarkEnd w:id="202"/>
      <w:bookmarkStart w:id="203" w:name="_Toc505184811"/>
      <w:bookmarkEnd w:id="203"/>
      <w:bookmarkStart w:id="204" w:name="_Toc502229122"/>
      <w:r>
        <w:rPr>
          <w:rFonts w:hint="eastAsia" w:ascii="宋体" w:hAnsi="宋体" w:eastAsia="宋体" w:cs="Arial"/>
          <w:b/>
          <w:bCs/>
          <w:color w:val="auto"/>
          <w:spacing w:val="0"/>
          <w:sz w:val="24"/>
          <w:szCs w:val="24"/>
          <w:lang w:val="en-US" w:eastAsia="zh-CN" w:bidi="ar-SA"/>
        </w:rPr>
        <w:t>2、供电要求</w:t>
      </w:r>
      <w:bookmarkEnd w:id="204"/>
    </w:p>
    <w:p w14:paraId="6B19C3FC">
      <w:pPr>
        <w:widowControl w:val="0"/>
        <w:spacing w:line="360" w:lineRule="auto"/>
        <w:ind w:firstLine="480"/>
        <w:jc w:val="both"/>
        <w:rPr>
          <w:rFonts w:ascii="宋体" w:hAnsi="宋体" w:eastAsia="宋体" w:cs="宋体"/>
          <w:color w:val="auto"/>
          <w:spacing w:val="0"/>
          <w:sz w:val="24"/>
          <w:szCs w:val="24"/>
        </w:rPr>
      </w:pPr>
      <w:r>
        <w:rPr>
          <w:rFonts w:hint="eastAsia" w:ascii="宋体" w:hAnsi="宋体" w:eastAsia="宋体"/>
          <w:color w:val="auto"/>
          <w:spacing w:val="0"/>
          <w:sz w:val="24"/>
          <w:szCs w:val="24"/>
        </w:rPr>
        <w:t>水站设备的运行电压为：</w:t>
      </w:r>
      <w:r>
        <w:rPr>
          <w:rFonts w:ascii="宋体" w:hAnsi="宋体" w:eastAsia="宋体" w:cs="Times New Roman"/>
          <w:color w:val="auto"/>
          <w:spacing w:val="0"/>
          <w:sz w:val="24"/>
          <w:szCs w:val="24"/>
        </w:rPr>
        <w:t xml:space="preserve"> (220±22)V</w:t>
      </w:r>
      <w:r>
        <w:rPr>
          <w:rFonts w:hint="eastAsia" w:ascii="宋体" w:hAnsi="宋体" w:eastAsia="宋体"/>
          <w:color w:val="auto"/>
          <w:spacing w:val="0"/>
          <w:sz w:val="24"/>
          <w:szCs w:val="24"/>
        </w:rPr>
        <w:t>，交流频率为（</w:t>
      </w:r>
      <w:r>
        <w:rPr>
          <w:rFonts w:ascii="宋体" w:hAnsi="宋体" w:eastAsia="宋体" w:cs="Times New Roman"/>
          <w:color w:val="auto"/>
          <w:spacing w:val="0"/>
          <w:sz w:val="24"/>
          <w:szCs w:val="24"/>
        </w:rPr>
        <w:t>50±0.5</w:t>
      </w:r>
      <w:r>
        <w:rPr>
          <w:rFonts w:hint="eastAsia" w:ascii="宋体" w:hAnsi="宋体" w:eastAsia="宋体"/>
          <w:color w:val="auto"/>
          <w:spacing w:val="0"/>
          <w:sz w:val="24"/>
          <w:szCs w:val="24"/>
        </w:rPr>
        <w:t>）</w:t>
      </w:r>
      <w:r>
        <w:rPr>
          <w:rFonts w:ascii="宋体" w:hAnsi="宋体" w:eastAsia="宋体" w:cs="Times New Roman"/>
          <w:color w:val="auto"/>
          <w:spacing w:val="0"/>
          <w:sz w:val="24"/>
          <w:szCs w:val="24"/>
        </w:rPr>
        <w:t>Hz</w:t>
      </w:r>
      <w:r>
        <w:rPr>
          <w:rFonts w:hint="eastAsia" w:ascii="宋体" w:hAnsi="宋体" w:eastAsia="宋体"/>
          <w:color w:val="auto"/>
          <w:spacing w:val="0"/>
          <w:sz w:val="24"/>
          <w:szCs w:val="24"/>
        </w:rPr>
        <w:t>。</w:t>
      </w:r>
    </w:p>
    <w:p w14:paraId="1085427A">
      <w:pPr>
        <w:widowControl w:val="0"/>
        <w:spacing w:line="360" w:lineRule="auto"/>
        <w:ind w:firstLine="480"/>
        <w:jc w:val="both"/>
        <w:rPr>
          <w:rFonts w:ascii="宋体" w:hAnsi="宋体" w:eastAsia="宋体"/>
          <w:color w:val="auto"/>
          <w:spacing w:val="0"/>
          <w:sz w:val="24"/>
          <w:szCs w:val="24"/>
        </w:rPr>
      </w:pPr>
      <w:r>
        <w:rPr>
          <w:rFonts w:hint="eastAsia" w:ascii="宋体" w:hAnsi="宋体" w:eastAsia="宋体"/>
          <w:color w:val="auto"/>
          <w:spacing w:val="0"/>
          <w:sz w:val="24"/>
          <w:szCs w:val="24"/>
        </w:rPr>
        <w:t>所有设备的电源插头为中国制式</w:t>
      </w:r>
      <w:r>
        <w:rPr>
          <w:rFonts w:ascii="宋体" w:hAnsi="宋体" w:eastAsia="宋体" w:cs="Times New Roman"/>
          <w:color w:val="auto"/>
          <w:spacing w:val="0"/>
          <w:sz w:val="24"/>
          <w:szCs w:val="24"/>
        </w:rPr>
        <w:t>A9120-9085-1</w:t>
      </w:r>
      <w:r>
        <w:rPr>
          <w:rFonts w:hint="eastAsia" w:ascii="宋体" w:hAnsi="宋体" w:eastAsia="宋体"/>
          <w:color w:val="auto"/>
          <w:spacing w:val="0"/>
          <w:sz w:val="24"/>
          <w:szCs w:val="24"/>
        </w:rPr>
        <w:t>。</w:t>
      </w:r>
    </w:p>
    <w:p w14:paraId="52163A1A">
      <w:pPr>
        <w:widowControl/>
        <w:spacing w:line="360" w:lineRule="auto"/>
        <w:ind w:firstLine="482"/>
        <w:jc w:val="left"/>
        <w:outlineLvl w:val="9"/>
        <w:rPr>
          <w:rFonts w:hint="default" w:ascii="宋体" w:hAnsi="宋体" w:eastAsia="宋体" w:cs="Arial"/>
          <w:b/>
          <w:bCs/>
          <w:color w:val="auto"/>
          <w:spacing w:val="0"/>
          <w:sz w:val="24"/>
          <w:szCs w:val="24"/>
          <w:lang w:val="en-US" w:eastAsia="zh-CN" w:bidi="ar-SA"/>
        </w:rPr>
      </w:pPr>
      <w:bookmarkStart w:id="205" w:name="_Toc504040659"/>
      <w:bookmarkEnd w:id="205"/>
      <w:bookmarkStart w:id="206" w:name="_Toc505252662"/>
      <w:bookmarkEnd w:id="206"/>
      <w:bookmarkStart w:id="207" w:name="_Toc20320058"/>
      <w:bookmarkEnd w:id="207"/>
      <w:bookmarkStart w:id="208" w:name="_Toc18855097"/>
      <w:bookmarkEnd w:id="208"/>
      <w:bookmarkStart w:id="209" w:name="_Toc505184812"/>
      <w:bookmarkEnd w:id="209"/>
      <w:bookmarkStart w:id="210" w:name="_Toc502229123"/>
      <w:bookmarkEnd w:id="210"/>
      <w:bookmarkStart w:id="211" w:name="_Toc18855273"/>
      <w:r>
        <w:rPr>
          <w:rFonts w:hint="eastAsia" w:ascii="宋体" w:hAnsi="宋体" w:eastAsia="宋体" w:cs="Arial"/>
          <w:b/>
          <w:bCs/>
          <w:color w:val="auto"/>
          <w:spacing w:val="0"/>
          <w:sz w:val="24"/>
          <w:szCs w:val="24"/>
          <w:lang w:val="en-US" w:eastAsia="zh-CN" w:bidi="ar-SA"/>
        </w:rPr>
        <w:t>3、使用环境要求</w:t>
      </w:r>
      <w:bookmarkEnd w:id="211"/>
    </w:p>
    <w:p w14:paraId="1C13C44E">
      <w:pPr>
        <w:widowControl w:val="0"/>
        <w:spacing w:line="360" w:lineRule="auto"/>
        <w:ind w:firstLine="480"/>
        <w:jc w:val="both"/>
        <w:rPr>
          <w:rFonts w:ascii="宋体" w:hAnsi="宋体" w:eastAsia="宋体" w:cs="宋体"/>
          <w:color w:val="auto"/>
          <w:spacing w:val="0"/>
          <w:sz w:val="24"/>
          <w:szCs w:val="24"/>
        </w:rPr>
      </w:pPr>
      <w:r>
        <w:rPr>
          <w:rFonts w:hint="eastAsia" w:ascii="宋体" w:hAnsi="宋体" w:eastAsia="宋体"/>
          <w:color w:val="auto"/>
          <w:spacing w:val="0"/>
          <w:sz w:val="24"/>
          <w:szCs w:val="24"/>
        </w:rPr>
        <w:t>所有设备在温度</w:t>
      </w:r>
      <w:r>
        <w:rPr>
          <w:rFonts w:ascii="宋体" w:hAnsi="宋体" w:eastAsia="宋体" w:cs="Times New Roman"/>
          <w:color w:val="auto"/>
          <w:spacing w:val="0"/>
          <w:sz w:val="24"/>
          <w:szCs w:val="24"/>
        </w:rPr>
        <w:t>5</w:t>
      </w:r>
      <w:r>
        <w:rPr>
          <w:rFonts w:hint="eastAsia" w:ascii="宋体" w:hAnsi="宋体" w:eastAsia="宋体"/>
          <w:color w:val="auto"/>
          <w:spacing w:val="0"/>
          <w:sz w:val="24"/>
          <w:szCs w:val="24"/>
        </w:rPr>
        <w:t>～</w:t>
      </w:r>
      <w:r>
        <w:rPr>
          <w:rFonts w:ascii="宋体" w:hAnsi="宋体" w:eastAsia="宋体" w:cs="Times New Roman"/>
          <w:color w:val="auto"/>
          <w:spacing w:val="0"/>
          <w:sz w:val="24"/>
          <w:szCs w:val="24"/>
        </w:rPr>
        <w:t>45</w:t>
      </w:r>
      <w:r>
        <w:rPr>
          <w:rFonts w:hint="eastAsia" w:ascii="宋体" w:hAnsi="宋体" w:eastAsia="宋体"/>
          <w:color w:val="auto"/>
          <w:spacing w:val="0"/>
          <w:sz w:val="24"/>
          <w:szCs w:val="24"/>
        </w:rPr>
        <w:t>℃，相对湿度小于</w:t>
      </w:r>
      <w:r>
        <w:rPr>
          <w:rFonts w:ascii="宋体" w:hAnsi="宋体" w:eastAsia="宋体" w:cs="Times New Roman"/>
          <w:color w:val="auto"/>
          <w:spacing w:val="0"/>
          <w:sz w:val="24"/>
          <w:szCs w:val="24"/>
        </w:rPr>
        <w:t>90%</w:t>
      </w:r>
      <w:r>
        <w:rPr>
          <w:rFonts w:hint="eastAsia" w:ascii="宋体" w:hAnsi="宋体" w:eastAsia="宋体"/>
          <w:color w:val="auto"/>
          <w:spacing w:val="0"/>
          <w:sz w:val="24"/>
          <w:szCs w:val="24"/>
        </w:rPr>
        <w:t>环境下能够正常运行。</w:t>
      </w:r>
    </w:p>
    <w:p w14:paraId="7AED8132">
      <w:pPr>
        <w:widowControl/>
        <w:spacing w:line="360" w:lineRule="auto"/>
        <w:ind w:firstLine="482"/>
        <w:jc w:val="left"/>
        <w:outlineLvl w:val="9"/>
        <w:rPr>
          <w:rFonts w:hint="default" w:ascii="宋体" w:hAnsi="宋体" w:eastAsia="宋体" w:cs="Arial"/>
          <w:b/>
          <w:bCs/>
          <w:color w:val="auto"/>
          <w:spacing w:val="0"/>
          <w:sz w:val="24"/>
          <w:szCs w:val="24"/>
          <w:lang w:val="en-US" w:eastAsia="zh-CN" w:bidi="ar-SA"/>
        </w:rPr>
      </w:pPr>
      <w:bookmarkStart w:id="212" w:name="_Toc20320059"/>
      <w:bookmarkEnd w:id="212"/>
      <w:bookmarkStart w:id="213" w:name="_Toc504040662"/>
      <w:bookmarkEnd w:id="213"/>
      <w:bookmarkStart w:id="214" w:name="_Toc18855274"/>
      <w:bookmarkEnd w:id="214"/>
      <w:bookmarkStart w:id="215" w:name="_Toc502229126"/>
      <w:bookmarkEnd w:id="215"/>
      <w:bookmarkStart w:id="216" w:name="_Toc18855098"/>
      <w:bookmarkEnd w:id="216"/>
      <w:bookmarkStart w:id="217" w:name="_Toc505184813"/>
      <w:bookmarkEnd w:id="217"/>
      <w:bookmarkStart w:id="218" w:name="_Toc505252663"/>
      <w:r>
        <w:rPr>
          <w:rFonts w:hint="eastAsia" w:ascii="宋体" w:hAnsi="宋体" w:eastAsia="宋体" w:cs="Arial"/>
          <w:b/>
          <w:bCs/>
          <w:color w:val="auto"/>
          <w:spacing w:val="0"/>
          <w:sz w:val="24"/>
          <w:szCs w:val="24"/>
          <w:lang w:val="en-US" w:eastAsia="zh-CN" w:bidi="ar-SA"/>
        </w:rPr>
        <w:t>4、试剂供应</w:t>
      </w:r>
      <w:bookmarkEnd w:id="218"/>
    </w:p>
    <w:p w14:paraId="0AA34F5F">
      <w:pPr>
        <w:widowControl w:val="0"/>
        <w:spacing w:line="360" w:lineRule="auto"/>
        <w:ind w:firstLine="480"/>
        <w:jc w:val="both"/>
        <w:rPr>
          <w:rFonts w:ascii="宋体" w:hAnsi="宋体" w:eastAsia="宋体"/>
          <w:color w:val="auto"/>
          <w:spacing w:val="0"/>
          <w:sz w:val="24"/>
          <w:szCs w:val="24"/>
        </w:rPr>
      </w:pPr>
      <w:r>
        <w:rPr>
          <w:rFonts w:hint="eastAsia" w:ascii="宋体" w:hAnsi="宋体" w:eastAsia="宋体"/>
          <w:color w:val="auto"/>
          <w:spacing w:val="0"/>
          <w:sz w:val="24"/>
          <w:szCs w:val="24"/>
        </w:rPr>
        <w:t>需提供所有仪器试剂配制方法，并提供试剂品牌、成分及纯度。投标人必须满足试剂配制、标样考核（投标人自控）及比对分析技术要求。</w:t>
      </w:r>
    </w:p>
    <w:p w14:paraId="1D10E065">
      <w:pPr>
        <w:widowControl/>
        <w:spacing w:line="360" w:lineRule="auto"/>
        <w:ind w:firstLine="482"/>
        <w:jc w:val="left"/>
        <w:outlineLvl w:val="9"/>
        <w:rPr>
          <w:rFonts w:hint="default" w:ascii="宋体" w:hAnsi="宋体" w:eastAsia="宋体" w:cs="Arial"/>
          <w:b/>
          <w:bCs/>
          <w:color w:val="auto"/>
          <w:spacing w:val="0"/>
          <w:sz w:val="24"/>
          <w:szCs w:val="24"/>
          <w:lang w:val="en-US" w:eastAsia="zh-CN" w:bidi="ar-SA"/>
        </w:rPr>
      </w:pPr>
      <w:bookmarkStart w:id="219" w:name="_Toc505184814"/>
      <w:bookmarkEnd w:id="219"/>
      <w:bookmarkStart w:id="220" w:name="_Toc18855275"/>
      <w:bookmarkEnd w:id="220"/>
      <w:bookmarkStart w:id="221" w:name="_Toc18855099"/>
      <w:bookmarkEnd w:id="221"/>
      <w:bookmarkStart w:id="222" w:name="_Toc20320060"/>
      <w:bookmarkEnd w:id="222"/>
      <w:bookmarkStart w:id="223" w:name="_Toc505252664"/>
      <w:r>
        <w:rPr>
          <w:rFonts w:hint="eastAsia" w:ascii="宋体" w:hAnsi="宋体" w:eastAsia="宋体" w:cs="Arial"/>
          <w:b/>
          <w:bCs/>
          <w:color w:val="auto"/>
          <w:spacing w:val="0"/>
          <w:sz w:val="24"/>
          <w:szCs w:val="24"/>
          <w:lang w:val="en-US" w:eastAsia="zh-CN" w:bidi="ar-SA"/>
        </w:rPr>
        <w:t>5、通讯协议要求</w:t>
      </w:r>
      <w:bookmarkEnd w:id="223"/>
    </w:p>
    <w:p w14:paraId="00880E82">
      <w:pPr>
        <w:widowControl w:val="0"/>
        <w:spacing w:line="360" w:lineRule="auto"/>
        <w:ind w:firstLine="480"/>
        <w:jc w:val="both"/>
        <w:rPr>
          <w:rFonts w:ascii="宋体" w:hAnsi="宋体" w:eastAsia="宋体" w:cs="宋体"/>
          <w:color w:val="auto"/>
          <w:spacing w:val="0"/>
          <w:sz w:val="24"/>
          <w:szCs w:val="24"/>
        </w:rPr>
      </w:pPr>
      <w:r>
        <w:rPr>
          <w:rFonts w:hint="eastAsia" w:ascii="宋体" w:hAnsi="宋体" w:eastAsia="宋体"/>
          <w:color w:val="auto"/>
          <w:spacing w:val="0"/>
          <w:sz w:val="24"/>
          <w:szCs w:val="24"/>
        </w:rPr>
        <w:t>投标人中标后须按照国标传输协议要求，将所有监测数据及相关信息传输至指定的平台，包括但不限于仪器的实时状态、关键参数和监测数据等。并向采购人提供所有仪器的底层通信协议。</w:t>
      </w:r>
    </w:p>
    <w:p w14:paraId="57DA8E7D">
      <w:pPr>
        <w:widowControl/>
        <w:spacing w:line="360" w:lineRule="auto"/>
        <w:ind w:firstLine="482"/>
        <w:jc w:val="left"/>
        <w:outlineLvl w:val="9"/>
        <w:rPr>
          <w:rFonts w:hint="default" w:ascii="宋体" w:hAnsi="宋体" w:eastAsia="宋体" w:cs="Arial"/>
          <w:b/>
          <w:bCs/>
          <w:color w:val="auto"/>
          <w:spacing w:val="0"/>
          <w:sz w:val="24"/>
          <w:szCs w:val="24"/>
          <w:lang w:val="en-US" w:eastAsia="zh-CN" w:bidi="ar-SA"/>
        </w:rPr>
      </w:pPr>
      <w:bookmarkStart w:id="224" w:name="_Toc504940552"/>
      <w:bookmarkEnd w:id="224"/>
      <w:bookmarkStart w:id="225" w:name="_Toc18855100"/>
      <w:bookmarkEnd w:id="225"/>
      <w:bookmarkStart w:id="226" w:name="_Toc20320061"/>
      <w:bookmarkEnd w:id="226"/>
      <w:bookmarkStart w:id="227" w:name="_Toc505184815"/>
      <w:bookmarkEnd w:id="227"/>
      <w:bookmarkStart w:id="228" w:name="_Toc505252665"/>
      <w:r>
        <w:rPr>
          <w:rFonts w:hint="eastAsia" w:ascii="宋体" w:hAnsi="宋体" w:eastAsia="宋体" w:cs="Arial"/>
          <w:b/>
          <w:bCs/>
          <w:color w:val="auto"/>
          <w:spacing w:val="0"/>
          <w:sz w:val="24"/>
          <w:szCs w:val="24"/>
          <w:lang w:val="en-US" w:eastAsia="zh-CN" w:bidi="ar-SA"/>
        </w:rPr>
        <w:t>（二）自动监测仪器要求</w:t>
      </w:r>
      <w:bookmarkEnd w:id="228"/>
    </w:p>
    <w:p w14:paraId="7EF14AC6">
      <w:pPr>
        <w:widowControl/>
        <w:spacing w:line="360" w:lineRule="auto"/>
        <w:ind w:firstLine="482"/>
        <w:jc w:val="left"/>
        <w:outlineLvl w:val="9"/>
        <w:rPr>
          <w:rFonts w:hint="default" w:ascii="宋体" w:hAnsi="宋体" w:eastAsia="宋体" w:cs="Arial"/>
          <w:b/>
          <w:bCs/>
          <w:color w:val="auto"/>
          <w:spacing w:val="0"/>
          <w:sz w:val="24"/>
          <w:szCs w:val="24"/>
          <w:lang w:val="en-US" w:eastAsia="zh-CN" w:bidi="ar-SA"/>
        </w:rPr>
      </w:pPr>
      <w:bookmarkStart w:id="229" w:name="_Toc18855102"/>
      <w:bookmarkEnd w:id="229"/>
      <w:bookmarkStart w:id="230" w:name="_Toc505184817"/>
      <w:bookmarkEnd w:id="230"/>
      <w:bookmarkStart w:id="231" w:name="_Toc505184818"/>
      <w:bookmarkEnd w:id="231"/>
      <w:bookmarkStart w:id="232" w:name="_Toc505252666"/>
      <w:bookmarkEnd w:id="232"/>
      <w:bookmarkStart w:id="233" w:name="_Toc20320063"/>
      <w:bookmarkEnd w:id="233"/>
      <w:bookmarkStart w:id="234" w:name="_Toc18855278"/>
      <w:bookmarkEnd w:id="234"/>
      <w:bookmarkStart w:id="235" w:name="_Toc505252667"/>
      <w:r>
        <w:rPr>
          <w:rFonts w:hint="eastAsia" w:ascii="宋体" w:hAnsi="宋体" w:eastAsia="宋体" w:cs="Arial"/>
          <w:b/>
          <w:bCs/>
          <w:color w:val="auto"/>
          <w:spacing w:val="0"/>
          <w:sz w:val="24"/>
          <w:szCs w:val="24"/>
          <w:lang w:val="en-US" w:eastAsia="zh-CN" w:bidi="ar-SA"/>
        </w:rPr>
        <w:t>1、水质自动监测仪器基本</w:t>
      </w:r>
      <w:bookmarkEnd w:id="235"/>
      <w:r>
        <w:rPr>
          <w:rFonts w:hint="eastAsia" w:ascii="宋体" w:hAnsi="宋体" w:eastAsia="宋体" w:cs="Arial"/>
          <w:b/>
          <w:bCs/>
          <w:color w:val="auto"/>
          <w:spacing w:val="0"/>
          <w:sz w:val="24"/>
          <w:szCs w:val="24"/>
          <w:lang w:val="en-US" w:eastAsia="zh-CN" w:bidi="ar-SA"/>
        </w:rPr>
        <w:t>要求（</w:t>
      </w:r>
      <w:r>
        <w:rPr>
          <w:rFonts w:hint="eastAsia" w:ascii="宋体" w:hAnsi="宋体" w:eastAsia="宋体"/>
          <w:color w:val="auto"/>
          <w:spacing w:val="0"/>
          <w:sz w:val="24"/>
          <w:szCs w:val="24"/>
        </w:rPr>
        <w:t>氨氮、高锰酸盐指数、总磷</w:t>
      </w:r>
      <w:r>
        <w:rPr>
          <w:rFonts w:hint="eastAsia" w:ascii="宋体" w:hAnsi="宋体"/>
          <w:color w:val="auto"/>
          <w:spacing w:val="0"/>
          <w:sz w:val="24"/>
          <w:szCs w:val="24"/>
          <w:lang w:eastAsia="zh-CN"/>
        </w:rPr>
        <w:t>、</w:t>
      </w:r>
      <w:r>
        <w:rPr>
          <w:rFonts w:hint="eastAsia" w:ascii="宋体" w:hAnsi="宋体"/>
          <w:color w:val="auto"/>
          <w:spacing w:val="0"/>
          <w:sz w:val="24"/>
          <w:szCs w:val="24"/>
          <w:lang w:val="en-US" w:eastAsia="zh-CN"/>
        </w:rPr>
        <w:t>化学需氧量、总氮</w:t>
      </w:r>
      <w:r>
        <w:rPr>
          <w:rFonts w:hint="eastAsia" w:ascii="宋体" w:hAnsi="宋体" w:eastAsia="宋体" w:cs="Arial"/>
          <w:b/>
          <w:bCs/>
          <w:color w:val="auto"/>
          <w:spacing w:val="0"/>
          <w:sz w:val="24"/>
          <w:szCs w:val="24"/>
          <w:lang w:val="en-US" w:eastAsia="zh-CN" w:bidi="ar-SA"/>
        </w:rPr>
        <w:t>）</w:t>
      </w:r>
    </w:p>
    <w:p w14:paraId="470D300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hint="eastAsia" w:ascii="宋体" w:hAnsi="宋体" w:eastAsia="宋体"/>
          <w:color w:val="auto"/>
          <w:spacing w:val="0"/>
          <w:sz w:val="24"/>
          <w:szCs w:val="24"/>
        </w:rPr>
        <w:t>投标人为本项目所投仪器（五参数、氨氮、高锰酸盐指数、总磷</w:t>
      </w:r>
      <w:r>
        <w:rPr>
          <w:rFonts w:hint="eastAsia" w:ascii="宋体" w:hAnsi="宋体"/>
          <w:color w:val="auto"/>
          <w:spacing w:val="0"/>
          <w:sz w:val="24"/>
          <w:szCs w:val="24"/>
          <w:lang w:eastAsia="zh-CN"/>
        </w:rPr>
        <w:t>、</w:t>
      </w:r>
      <w:r>
        <w:rPr>
          <w:rFonts w:hint="eastAsia" w:ascii="宋体" w:hAnsi="宋体"/>
          <w:color w:val="auto"/>
          <w:spacing w:val="0"/>
          <w:sz w:val="24"/>
          <w:szCs w:val="24"/>
          <w:lang w:val="en-US" w:eastAsia="zh-CN"/>
        </w:rPr>
        <w:t>化学需氧量、总氮</w:t>
      </w:r>
      <w:r>
        <w:rPr>
          <w:rFonts w:hint="eastAsia" w:ascii="宋体" w:hAnsi="宋体" w:eastAsia="宋体"/>
          <w:color w:val="auto"/>
          <w:spacing w:val="0"/>
          <w:sz w:val="24"/>
          <w:szCs w:val="24"/>
        </w:rPr>
        <w:t>）须通过生态环境部（原环境保护部）环境监测仪器质量监督检验中心的适用性检测报告</w:t>
      </w:r>
      <w:r>
        <w:rPr>
          <w:rFonts w:hint="eastAsia" w:ascii="宋体" w:hAnsi="宋体" w:eastAsia="宋体"/>
          <w:b/>
          <w:bCs/>
          <w:color w:val="auto"/>
          <w:spacing w:val="0"/>
          <w:sz w:val="24"/>
          <w:szCs w:val="24"/>
          <w:highlight w:val="none"/>
        </w:rPr>
        <w:t>（提供相关检测报告复印件并盖章）。</w:t>
      </w:r>
      <w:r>
        <w:rPr>
          <w:rFonts w:ascii="宋体" w:hAnsi="宋体" w:eastAsia="宋体" w:cs="宋体"/>
          <w:color w:val="000000"/>
          <w:sz w:val="24"/>
        </w:rPr>
        <w:t xml:space="preserve"> </w:t>
      </w:r>
    </w:p>
    <w:p w14:paraId="0756A7E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w:t>
      </w:r>
      <w:r>
        <w:rPr>
          <w:rFonts w:ascii="Times New Roman" w:hAnsi="Times New Roman" w:eastAsia="Times New Roman" w:cs="Times New Roman"/>
          <w:color w:val="000000"/>
          <w:sz w:val="24"/>
        </w:rPr>
        <w:t>1</w:t>
      </w:r>
      <w:r>
        <w:rPr>
          <w:rFonts w:ascii="宋体" w:hAnsi="宋体" w:eastAsia="宋体" w:cs="宋体"/>
          <w:color w:val="000000"/>
          <w:sz w:val="24"/>
        </w:rPr>
        <w:t>）具有仪器运行状态（测量、空闲、故障、维护等）显示功能；</w:t>
      </w:r>
    </w:p>
    <w:p w14:paraId="409130E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w:t>
      </w:r>
      <w:r>
        <w:rPr>
          <w:rFonts w:ascii="Times New Roman" w:hAnsi="Times New Roman" w:eastAsia="Times New Roman" w:cs="Times New Roman"/>
          <w:color w:val="000000"/>
          <w:sz w:val="24"/>
        </w:rPr>
        <w:t>2</w:t>
      </w:r>
      <w:r>
        <w:rPr>
          <w:rFonts w:ascii="宋体" w:hAnsi="宋体" w:eastAsia="宋体" w:cs="宋体"/>
          <w:color w:val="000000"/>
          <w:sz w:val="24"/>
        </w:rPr>
        <w:t>）具有仪器故障自动报警功能，如零部件故障、超量程报警、异常数据报警等信息，并能够记录上传；</w:t>
      </w:r>
    </w:p>
    <w:p w14:paraId="3C8BF25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w:t>
      </w:r>
      <w:r>
        <w:rPr>
          <w:rFonts w:ascii="Times New Roman" w:hAnsi="Times New Roman" w:eastAsia="Times New Roman" w:cs="Times New Roman"/>
          <w:color w:val="000000"/>
          <w:sz w:val="24"/>
        </w:rPr>
        <w:t>3</w:t>
      </w:r>
      <w:r>
        <w:rPr>
          <w:rFonts w:ascii="宋体" w:hAnsi="宋体" w:eastAsia="宋体" w:cs="宋体"/>
          <w:color w:val="000000"/>
          <w:sz w:val="24"/>
        </w:rPr>
        <w:t>）存储不少于</w:t>
      </w:r>
      <w:r>
        <w:rPr>
          <w:rFonts w:ascii="Times New Roman" w:hAnsi="Times New Roman" w:eastAsia="Times New Roman" w:cs="Times New Roman"/>
          <w:color w:val="000000"/>
          <w:sz w:val="24"/>
        </w:rPr>
        <w:t>3</w:t>
      </w:r>
      <w:r>
        <w:rPr>
          <w:rFonts w:ascii="宋体" w:hAnsi="宋体" w:eastAsia="宋体" w:cs="宋体"/>
          <w:color w:val="000000"/>
          <w:sz w:val="24"/>
        </w:rPr>
        <w:t>年的测量数据和运行日志；</w:t>
      </w:r>
    </w:p>
    <w:p w14:paraId="2B848E3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w:t>
      </w:r>
      <w:r>
        <w:rPr>
          <w:rFonts w:ascii="Times New Roman" w:hAnsi="Times New Roman" w:eastAsia="Times New Roman" w:cs="Times New Roman"/>
          <w:color w:val="000000"/>
          <w:sz w:val="24"/>
        </w:rPr>
        <w:t>4</w:t>
      </w:r>
      <w:r>
        <w:rPr>
          <w:rFonts w:ascii="宋体" w:hAnsi="宋体" w:eastAsia="宋体" w:cs="宋体"/>
          <w:color w:val="000000"/>
          <w:sz w:val="24"/>
        </w:rPr>
        <w:t>）支持《国家地表水监测仪器通信协议技术要求》，输出信号采用</w:t>
      </w:r>
      <w:r>
        <w:rPr>
          <w:rFonts w:ascii="Times New Roman" w:hAnsi="Times New Roman" w:eastAsia="Times New Roman" w:cs="Times New Roman"/>
          <w:color w:val="000000"/>
          <w:sz w:val="24"/>
        </w:rPr>
        <w:t xml:space="preserve">RS-232 </w:t>
      </w:r>
      <w:r>
        <w:rPr>
          <w:rFonts w:ascii="宋体" w:hAnsi="宋体" w:eastAsia="宋体" w:cs="宋体"/>
          <w:color w:val="000000"/>
          <w:sz w:val="24"/>
        </w:rPr>
        <w:t xml:space="preserve">或 </w:t>
      </w:r>
      <w:r>
        <w:rPr>
          <w:rFonts w:ascii="Times New Roman" w:hAnsi="Times New Roman" w:eastAsia="Times New Roman" w:cs="Times New Roman"/>
          <w:color w:val="000000"/>
          <w:sz w:val="24"/>
        </w:rPr>
        <w:t xml:space="preserve">RS-485 </w:t>
      </w:r>
      <w:r>
        <w:rPr>
          <w:rFonts w:ascii="宋体" w:hAnsi="宋体" w:eastAsia="宋体" w:cs="宋体"/>
          <w:color w:val="000000"/>
          <w:sz w:val="24"/>
        </w:rPr>
        <w:t>标准通讯接口；</w:t>
      </w:r>
    </w:p>
    <w:p w14:paraId="3564BA4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w:t>
      </w:r>
      <w:r>
        <w:rPr>
          <w:rFonts w:ascii="Times New Roman" w:hAnsi="Times New Roman" w:eastAsia="Times New Roman" w:cs="Times New Roman"/>
          <w:color w:val="000000"/>
          <w:sz w:val="24"/>
        </w:rPr>
        <w:t>5</w:t>
      </w:r>
      <w:r>
        <w:rPr>
          <w:rFonts w:ascii="宋体" w:hAnsi="宋体" w:eastAsia="宋体" w:cs="宋体"/>
          <w:color w:val="000000"/>
          <w:sz w:val="24"/>
        </w:rPr>
        <w:t>）具备</w:t>
      </w:r>
      <w:r>
        <w:rPr>
          <w:rFonts w:ascii="Times New Roman" w:hAnsi="Times New Roman" w:eastAsia="Times New Roman" w:cs="Times New Roman"/>
          <w:color w:val="000000"/>
          <w:sz w:val="24"/>
        </w:rPr>
        <w:t>2</w:t>
      </w:r>
      <w:r>
        <w:rPr>
          <w:rFonts w:ascii="宋体" w:hAnsi="宋体" w:eastAsia="宋体" w:cs="宋体"/>
          <w:color w:val="000000"/>
          <w:sz w:val="24"/>
        </w:rPr>
        <w:t>小时</w:t>
      </w:r>
      <w:r>
        <w:rPr>
          <w:rFonts w:ascii="Times New Roman" w:hAnsi="Times New Roman" w:eastAsia="Times New Roman" w:cs="Times New Roman"/>
          <w:color w:val="000000"/>
          <w:sz w:val="24"/>
        </w:rPr>
        <w:t>1</w:t>
      </w:r>
      <w:r>
        <w:rPr>
          <w:rFonts w:ascii="宋体" w:hAnsi="宋体" w:eastAsia="宋体" w:cs="宋体"/>
          <w:color w:val="000000"/>
          <w:sz w:val="24"/>
        </w:rPr>
        <w:t>次的监测能力；</w:t>
      </w:r>
    </w:p>
    <w:p w14:paraId="400C03B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w:t>
      </w:r>
      <w:r>
        <w:rPr>
          <w:rFonts w:ascii="Times New Roman" w:hAnsi="Times New Roman" w:eastAsia="Times New Roman" w:cs="Times New Roman"/>
          <w:color w:val="000000"/>
          <w:sz w:val="24"/>
        </w:rPr>
        <w:t>6</w:t>
      </w:r>
      <w:r>
        <w:rPr>
          <w:rFonts w:ascii="宋体" w:hAnsi="宋体" w:eastAsia="宋体" w:cs="宋体"/>
          <w:color w:val="000000"/>
          <w:sz w:val="24"/>
        </w:rPr>
        <w:t>）▲计量单元具有试剂余量监控及报警功能，能够显示试剂余量及其可以维持的监测频次，缺试剂时进行报警并停止运行；</w:t>
      </w:r>
    </w:p>
    <w:p w14:paraId="367BE50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w:t>
      </w:r>
      <w:r>
        <w:rPr>
          <w:rFonts w:ascii="Times New Roman" w:hAnsi="Times New Roman" w:eastAsia="Times New Roman" w:cs="Times New Roman"/>
          <w:color w:val="000000"/>
          <w:sz w:val="24"/>
        </w:rPr>
        <w:t>7</w:t>
      </w:r>
      <w:r>
        <w:rPr>
          <w:rFonts w:ascii="宋体" w:hAnsi="宋体" w:eastAsia="宋体" w:cs="宋体"/>
          <w:color w:val="000000"/>
          <w:sz w:val="24"/>
        </w:rPr>
        <w:t>）▲具有漏液、漏气自动检测，并立即报警功能；</w:t>
      </w:r>
    </w:p>
    <w:p w14:paraId="149F9F6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w:t>
      </w:r>
      <w:r>
        <w:rPr>
          <w:rFonts w:ascii="Times New Roman" w:hAnsi="Times New Roman" w:eastAsia="Times New Roman" w:cs="Times New Roman"/>
          <w:color w:val="000000"/>
          <w:sz w:val="24"/>
        </w:rPr>
        <w:t>8</w:t>
      </w:r>
      <w:r>
        <w:rPr>
          <w:rFonts w:ascii="宋体" w:hAnsi="宋体" w:eastAsia="宋体" w:cs="宋体"/>
          <w:color w:val="000000"/>
          <w:sz w:val="24"/>
        </w:rPr>
        <w:t>）具有仪器健康状态诊断功能；</w:t>
      </w:r>
    </w:p>
    <w:p w14:paraId="2BD7555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w:t>
      </w:r>
      <w:r>
        <w:rPr>
          <w:rFonts w:ascii="Times New Roman" w:hAnsi="Times New Roman" w:eastAsia="Times New Roman" w:cs="Times New Roman"/>
          <w:color w:val="000000"/>
          <w:sz w:val="24"/>
        </w:rPr>
        <w:t>9</w:t>
      </w:r>
      <w:r>
        <w:rPr>
          <w:rFonts w:ascii="宋体" w:hAnsi="宋体" w:eastAsia="宋体" w:cs="宋体"/>
          <w:color w:val="000000"/>
          <w:sz w:val="24"/>
        </w:rPr>
        <w:t>）▲具有仪器耗材寿命管理及报警功能；</w:t>
      </w:r>
    </w:p>
    <w:p w14:paraId="457E849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w:t>
      </w:r>
      <w:r>
        <w:rPr>
          <w:rFonts w:ascii="Times New Roman" w:hAnsi="Times New Roman" w:eastAsia="Times New Roman" w:cs="Times New Roman"/>
          <w:color w:val="000000"/>
          <w:sz w:val="24"/>
        </w:rPr>
        <w:t>10</w:t>
      </w:r>
      <w:r>
        <w:rPr>
          <w:rFonts w:ascii="宋体" w:hAnsi="宋体" w:eastAsia="宋体" w:cs="宋体"/>
          <w:color w:val="000000"/>
          <w:sz w:val="24"/>
        </w:rPr>
        <w:t>）计量单元可提供三个及以上计量体积，检测量程切换更灵活；</w:t>
      </w:r>
    </w:p>
    <w:p w14:paraId="3537FC6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w:t>
      </w:r>
      <w:r>
        <w:rPr>
          <w:rFonts w:ascii="Times New Roman" w:hAnsi="Times New Roman" w:eastAsia="Times New Roman" w:cs="Times New Roman"/>
          <w:color w:val="000000"/>
          <w:sz w:val="24"/>
        </w:rPr>
        <w:t>11</w:t>
      </w:r>
      <w:r>
        <w:rPr>
          <w:rFonts w:ascii="宋体" w:hAnsi="宋体" w:eastAsia="宋体" w:cs="宋体"/>
          <w:color w:val="000000"/>
          <w:sz w:val="24"/>
        </w:rPr>
        <w:t>）所有试剂瓶盖儿都配备有单向阀，可防止试剂瓶内部真空回流；</w:t>
      </w:r>
    </w:p>
    <w:p w14:paraId="731F01B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w:t>
      </w:r>
      <w:r>
        <w:rPr>
          <w:rFonts w:ascii="Times New Roman" w:hAnsi="Times New Roman" w:eastAsia="Times New Roman" w:cs="Times New Roman"/>
          <w:color w:val="000000"/>
          <w:sz w:val="24"/>
        </w:rPr>
        <w:t>12</w:t>
      </w:r>
      <w:r>
        <w:rPr>
          <w:rFonts w:ascii="宋体" w:hAnsi="宋体" w:eastAsia="宋体" w:cs="宋体"/>
          <w:color w:val="000000"/>
          <w:sz w:val="24"/>
        </w:rPr>
        <w:t>）▲仪器设有门禁，具有密码锁保护功能；</w:t>
      </w:r>
    </w:p>
    <w:p w14:paraId="4E949F8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w:t>
      </w:r>
      <w:r>
        <w:rPr>
          <w:rFonts w:ascii="Times New Roman" w:hAnsi="Times New Roman" w:eastAsia="Times New Roman" w:cs="Times New Roman"/>
          <w:color w:val="000000"/>
          <w:sz w:val="24"/>
        </w:rPr>
        <w:t>13</w:t>
      </w:r>
      <w:r>
        <w:rPr>
          <w:rFonts w:ascii="宋体" w:hAnsi="宋体" w:eastAsia="宋体" w:cs="宋体"/>
          <w:color w:val="000000"/>
          <w:sz w:val="24"/>
        </w:rPr>
        <w:t>）▲仪器计量单元采用数字光电计量传感器，不与试剂直接接触，避免试剂腐蚀，计量可靠且维护量小；</w:t>
      </w:r>
    </w:p>
    <w:p w14:paraId="3CAC3A4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w:t>
      </w:r>
      <w:r>
        <w:rPr>
          <w:rFonts w:ascii="Times New Roman" w:hAnsi="Times New Roman" w:eastAsia="Times New Roman" w:cs="Times New Roman"/>
          <w:color w:val="000000"/>
          <w:sz w:val="24"/>
        </w:rPr>
        <w:t>14</w:t>
      </w:r>
      <w:r>
        <w:rPr>
          <w:rFonts w:ascii="宋体" w:hAnsi="宋体" w:eastAsia="宋体" w:cs="宋体"/>
          <w:color w:val="000000"/>
          <w:sz w:val="24"/>
        </w:rPr>
        <w:t>）▲具有智能选择前处理方式和检测方法的功能。</w:t>
      </w:r>
    </w:p>
    <w:p w14:paraId="5F28CD5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w:t>
      </w:r>
      <w:r>
        <w:rPr>
          <w:rFonts w:ascii="Times New Roman" w:hAnsi="Times New Roman" w:eastAsia="Times New Roman" w:cs="Times New Roman"/>
          <w:color w:val="000000"/>
          <w:sz w:val="24"/>
        </w:rPr>
        <w:t>15</w:t>
      </w:r>
      <w:r>
        <w:rPr>
          <w:rFonts w:ascii="宋体" w:hAnsi="宋体" w:eastAsia="宋体" w:cs="宋体"/>
          <w:color w:val="000000"/>
          <w:sz w:val="24"/>
        </w:rPr>
        <w:t>）▲仪器计量单元提供两种以上定量方式，步数定量和液位体积定量。</w:t>
      </w:r>
    </w:p>
    <w:p w14:paraId="7B5E143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w:t>
      </w:r>
      <w:r>
        <w:rPr>
          <w:rFonts w:ascii="Times New Roman" w:hAnsi="Times New Roman" w:eastAsia="Times New Roman" w:cs="Times New Roman"/>
          <w:color w:val="000000"/>
          <w:sz w:val="24"/>
        </w:rPr>
        <w:t>16</w:t>
      </w:r>
      <w:r>
        <w:rPr>
          <w:rFonts w:ascii="宋体" w:hAnsi="宋体" w:eastAsia="宋体" w:cs="宋体"/>
          <w:color w:val="000000"/>
          <w:sz w:val="24"/>
        </w:rPr>
        <w:t>）▲仪器计量单元传感器具有光电自平衡功能，具有传感器自动补偿功能</w:t>
      </w:r>
    </w:p>
    <w:p w14:paraId="4692AEC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w:t>
      </w:r>
      <w:r>
        <w:rPr>
          <w:rFonts w:ascii="Times New Roman" w:hAnsi="Times New Roman" w:eastAsia="Times New Roman" w:cs="Times New Roman"/>
          <w:color w:val="000000"/>
          <w:sz w:val="24"/>
        </w:rPr>
        <w:t>17</w:t>
      </w:r>
      <w:r>
        <w:rPr>
          <w:rFonts w:ascii="宋体" w:hAnsi="宋体" w:eastAsia="宋体" w:cs="宋体"/>
          <w:color w:val="000000"/>
          <w:sz w:val="24"/>
        </w:rPr>
        <w:t>）▲仪器进样单元可设置任意通道作为进样通道，当某通道损坏，可切换到其他备用通道，保障测试不中断。</w:t>
      </w:r>
    </w:p>
    <w:p w14:paraId="654E686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w:t>
      </w:r>
      <w:r>
        <w:rPr>
          <w:rFonts w:ascii="Times New Roman" w:hAnsi="Times New Roman" w:eastAsia="Times New Roman" w:cs="Times New Roman"/>
          <w:color w:val="000000"/>
          <w:sz w:val="24"/>
        </w:rPr>
        <w:t>18</w:t>
      </w:r>
      <w:r>
        <w:rPr>
          <w:rFonts w:ascii="宋体" w:hAnsi="宋体" w:eastAsia="宋体" w:cs="宋体"/>
          <w:color w:val="000000"/>
          <w:sz w:val="24"/>
        </w:rPr>
        <w:t>）▲具备动态扣除浊度、色度的影响，具有抗浊度、抗色度干扰功能</w:t>
      </w:r>
    </w:p>
    <w:p w14:paraId="2581854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w:t>
      </w:r>
      <w:r>
        <w:rPr>
          <w:rFonts w:ascii="Times New Roman" w:hAnsi="Times New Roman" w:eastAsia="Times New Roman" w:cs="Times New Roman"/>
          <w:color w:val="000000"/>
          <w:sz w:val="24"/>
        </w:rPr>
        <w:t>19</w:t>
      </w:r>
      <w:r>
        <w:rPr>
          <w:rFonts w:ascii="宋体" w:hAnsi="宋体" w:eastAsia="宋体" w:cs="宋体"/>
          <w:color w:val="000000"/>
          <w:sz w:val="24"/>
        </w:rPr>
        <w:t>）具备自动</w:t>
      </w:r>
      <w:r>
        <w:rPr>
          <w:rFonts w:ascii="Times New Roman" w:hAnsi="Times New Roman" w:eastAsia="Times New Roman" w:cs="Times New Roman"/>
          <w:color w:val="000000"/>
          <w:sz w:val="24"/>
        </w:rPr>
        <w:t>/</w:t>
      </w:r>
      <w:r>
        <w:rPr>
          <w:rFonts w:ascii="宋体" w:hAnsi="宋体" w:eastAsia="宋体" w:cs="宋体"/>
          <w:color w:val="000000"/>
          <w:sz w:val="24"/>
        </w:rPr>
        <w:t>手动（标样核查、零点核查、跨度核查、</w:t>
      </w:r>
      <w:r>
        <w:rPr>
          <w:rFonts w:ascii="Times New Roman" w:hAnsi="Times New Roman" w:eastAsia="Times New Roman" w:cs="Times New Roman"/>
          <w:color w:val="000000"/>
          <w:sz w:val="24"/>
        </w:rPr>
        <w:t xml:space="preserve">24h </w:t>
      </w:r>
      <w:r>
        <w:rPr>
          <w:rFonts w:ascii="宋体" w:hAnsi="宋体" w:eastAsia="宋体" w:cs="宋体"/>
          <w:color w:val="000000"/>
          <w:sz w:val="24"/>
        </w:rPr>
        <w:t>零点漂移、</w:t>
      </w:r>
      <w:r>
        <w:rPr>
          <w:rFonts w:ascii="Times New Roman" w:hAnsi="Times New Roman" w:eastAsia="Times New Roman" w:cs="Times New Roman"/>
          <w:color w:val="000000"/>
          <w:sz w:val="24"/>
        </w:rPr>
        <w:t xml:space="preserve">24h </w:t>
      </w:r>
      <w:r>
        <w:rPr>
          <w:rFonts w:ascii="宋体" w:hAnsi="宋体" w:eastAsia="宋体" w:cs="宋体"/>
          <w:color w:val="000000"/>
          <w:sz w:val="24"/>
        </w:rPr>
        <w:t>跨度漂移）、零点校准、标样校准、工作曲线自动标定、加标回收率测试功能</w:t>
      </w:r>
    </w:p>
    <w:p w14:paraId="79A80A78">
      <w:pPr>
        <w:pBdr>
          <w:top w:val="none" w:color="000000" w:sz="0" w:space="0"/>
          <w:left w:val="none" w:color="000000" w:sz="0" w:space="0"/>
          <w:bottom w:val="none" w:color="000000" w:sz="0" w:space="0"/>
          <w:right w:val="none" w:color="000000" w:sz="0" w:space="0"/>
        </w:pBdr>
        <w:spacing w:before="0" w:after="0" w:line="85" w:lineRule="atLeast"/>
        <w:ind w:left="0" w:right="0" w:firstLine="240"/>
        <w:jc w:val="both"/>
      </w:pPr>
      <w:r>
        <w:rPr>
          <w:rFonts w:ascii="Times New Roman" w:hAnsi="Times New Roman" w:eastAsia="Times New Roman" w:cs="Times New Roman"/>
          <w:color w:val="000000"/>
          <w:sz w:val="24"/>
        </w:rPr>
        <w:t xml:space="preserve">(20) </w:t>
      </w:r>
      <w:r>
        <w:rPr>
          <w:rFonts w:ascii="宋体" w:hAnsi="宋体" w:eastAsia="宋体" w:cs="宋体"/>
          <w:color w:val="000000"/>
          <w:sz w:val="24"/>
        </w:rPr>
        <w:t>▲仪器进样单元计量管可视化，能够清楚展示液位管当前状态及洁净程度。</w:t>
      </w:r>
    </w:p>
    <w:p w14:paraId="0A56396B">
      <w:pPr>
        <w:pBdr>
          <w:top w:val="none" w:color="000000" w:sz="0" w:space="0"/>
          <w:left w:val="none" w:color="000000" w:sz="0" w:space="0"/>
          <w:bottom w:val="none" w:color="000000" w:sz="0" w:space="0"/>
          <w:right w:val="none" w:color="000000" w:sz="0" w:space="0"/>
        </w:pBdr>
        <w:spacing w:before="0" w:after="0" w:line="85" w:lineRule="atLeast"/>
        <w:ind w:left="0" w:right="0" w:firstLine="240"/>
        <w:jc w:val="both"/>
      </w:pPr>
      <w:r>
        <w:rPr>
          <w:rFonts w:ascii="Times New Roman" w:hAnsi="Times New Roman" w:eastAsia="Times New Roman" w:cs="Times New Roman"/>
          <w:color w:val="000000"/>
          <w:sz w:val="24"/>
        </w:rPr>
        <w:t xml:space="preserve">(21) </w:t>
      </w:r>
      <w:r>
        <w:rPr>
          <w:rFonts w:ascii="宋体" w:hAnsi="宋体" w:eastAsia="宋体" w:cs="宋体"/>
          <w:color w:val="000000"/>
          <w:sz w:val="24"/>
        </w:rPr>
        <w:t>▲具备对水样管多重清洗功能，减少管路残留吸附。</w:t>
      </w:r>
    </w:p>
    <w:p w14:paraId="169E2A54">
      <w:pPr>
        <w:pBdr>
          <w:top w:val="none" w:color="000000" w:sz="0" w:space="0"/>
          <w:left w:val="none" w:color="000000" w:sz="0" w:space="0"/>
          <w:bottom w:val="none" w:color="000000" w:sz="0" w:space="0"/>
          <w:right w:val="none" w:color="000000" w:sz="0" w:space="0"/>
        </w:pBdr>
        <w:spacing w:before="0" w:after="0" w:line="85" w:lineRule="atLeast"/>
        <w:ind w:left="0" w:right="0" w:firstLine="240"/>
        <w:jc w:val="both"/>
      </w:pPr>
      <w:r>
        <w:rPr>
          <w:rFonts w:ascii="Times New Roman" w:hAnsi="Times New Roman" w:eastAsia="Times New Roman" w:cs="Times New Roman"/>
          <w:color w:val="000000"/>
          <w:sz w:val="24"/>
        </w:rPr>
        <w:t xml:space="preserve">(22) </w:t>
      </w:r>
      <w:r>
        <w:rPr>
          <w:rFonts w:ascii="宋体" w:hAnsi="宋体" w:eastAsia="宋体" w:cs="宋体"/>
          <w:color w:val="000000"/>
          <w:sz w:val="24"/>
        </w:rPr>
        <w:t>▲进入仪器的样品，可根据实际需求选择润洗次数，可实现多次润洗。</w:t>
      </w:r>
    </w:p>
    <w:p w14:paraId="24DBE359">
      <w:pPr>
        <w:widowControl w:val="0"/>
        <w:spacing w:line="360" w:lineRule="auto"/>
        <w:ind w:firstLine="480"/>
        <w:jc w:val="both"/>
        <w:rPr>
          <w:rFonts w:ascii="宋体" w:hAnsi="宋体" w:eastAsia="宋体"/>
          <w:b/>
          <w:bCs/>
          <w:color w:val="auto"/>
          <w:spacing w:val="0"/>
          <w:sz w:val="24"/>
          <w:szCs w:val="24"/>
          <w:highlight w:val="none"/>
        </w:rPr>
      </w:pPr>
    </w:p>
    <w:p w14:paraId="4E7DE832">
      <w:pPr>
        <w:widowControl/>
        <w:spacing w:line="360" w:lineRule="auto"/>
        <w:ind w:firstLine="482"/>
        <w:jc w:val="left"/>
        <w:outlineLvl w:val="9"/>
        <w:rPr>
          <w:rFonts w:hint="default" w:ascii="宋体" w:hAnsi="宋体" w:eastAsia="宋体" w:cs="Arial"/>
          <w:b/>
          <w:bCs/>
          <w:color w:val="auto"/>
          <w:spacing w:val="0"/>
          <w:sz w:val="24"/>
          <w:szCs w:val="24"/>
          <w:lang w:val="en-US" w:eastAsia="zh-CN" w:bidi="ar-SA"/>
        </w:rPr>
      </w:pPr>
      <w:bookmarkStart w:id="236" w:name="_Toc18855103"/>
      <w:bookmarkEnd w:id="236"/>
      <w:bookmarkStart w:id="237" w:name="_Toc20320064"/>
      <w:bookmarkEnd w:id="237"/>
      <w:bookmarkStart w:id="238" w:name="_Toc18855279"/>
      <w:r>
        <w:rPr>
          <w:rFonts w:hint="eastAsia" w:ascii="宋体" w:hAnsi="宋体" w:eastAsia="宋体" w:cs="Arial"/>
          <w:b/>
          <w:bCs/>
          <w:color w:val="auto"/>
          <w:spacing w:val="0"/>
          <w:sz w:val="24"/>
          <w:szCs w:val="24"/>
          <w:lang w:val="en-US" w:eastAsia="zh-CN" w:bidi="ar-SA"/>
        </w:rPr>
        <w:t>2、水质自动监测仪器技术要求</w:t>
      </w:r>
      <w:bookmarkEnd w:id="238"/>
    </w:p>
    <w:p w14:paraId="61EB62BC">
      <w:pPr>
        <w:widowControl/>
        <w:spacing w:line="360" w:lineRule="auto"/>
        <w:ind w:firstLine="482"/>
        <w:jc w:val="left"/>
        <w:outlineLvl w:val="9"/>
        <w:rPr>
          <w:rFonts w:hint="eastAsia" w:ascii="宋体" w:hAnsi="宋体" w:eastAsia="宋体" w:cs="Arial"/>
          <w:b/>
          <w:bCs/>
          <w:color w:val="auto"/>
          <w:spacing w:val="0"/>
          <w:sz w:val="24"/>
          <w:szCs w:val="24"/>
          <w:lang w:val="en-US" w:eastAsia="zh-CN" w:bidi="ar-SA"/>
        </w:rPr>
      </w:pPr>
      <w:bookmarkStart w:id="239" w:name="_Toc18855104"/>
      <w:bookmarkEnd w:id="239"/>
      <w:bookmarkStart w:id="240" w:name="_Toc20320065"/>
      <w:bookmarkEnd w:id="240"/>
      <w:bookmarkStart w:id="241" w:name="_Toc18855280"/>
      <w:bookmarkEnd w:id="241"/>
      <w:bookmarkStart w:id="242" w:name="_Toc505252668"/>
      <w:bookmarkEnd w:id="242"/>
      <w:bookmarkStart w:id="243" w:name="_Toc505184819"/>
      <w:r>
        <w:rPr>
          <w:rFonts w:hint="eastAsia" w:ascii="宋体" w:hAnsi="宋体" w:eastAsia="宋体" w:cs="Arial"/>
          <w:b/>
          <w:bCs/>
          <w:color w:val="auto"/>
          <w:spacing w:val="0"/>
          <w:sz w:val="24"/>
          <w:szCs w:val="24"/>
          <w:lang w:val="en-US" w:eastAsia="zh-CN" w:bidi="ar-SA"/>
        </w:rPr>
        <w:t>2.1、五参数水质自动分析仪</w:t>
      </w:r>
      <w:bookmarkEnd w:id="243"/>
    </w:p>
    <w:p w14:paraId="0C9BD6FF">
      <w:pPr>
        <w:widowControl w:val="0"/>
        <w:spacing w:line="240" w:lineRule="auto"/>
        <w:jc w:val="both"/>
        <w:rPr>
          <w:rFonts w:hint="eastAsia" w:ascii="宋体" w:hAnsi="宋体" w:eastAsia="宋体"/>
          <w:color w:val="auto"/>
          <w:spacing w:val="0"/>
          <w:sz w:val="24"/>
          <w:szCs w:val="24"/>
        </w:rPr>
      </w:pPr>
      <w:r>
        <w:rPr>
          <w:rFonts w:hint="eastAsia" w:ascii="宋体" w:hAnsi="宋体"/>
          <w:color w:val="auto"/>
          <w:spacing w:val="0"/>
          <w:sz w:val="24"/>
          <w:szCs w:val="24"/>
          <w:lang w:val="en-US" w:eastAsia="zh-CN"/>
        </w:rPr>
        <w:t>2.1.1</w:t>
      </w:r>
      <w:r>
        <w:rPr>
          <w:rFonts w:hint="eastAsia" w:ascii="宋体" w:hAnsi="宋体" w:eastAsia="宋体"/>
          <w:color w:val="auto"/>
          <w:spacing w:val="0"/>
          <w:sz w:val="24"/>
          <w:szCs w:val="24"/>
        </w:rPr>
        <w:t>水温水质自动分析仪</w:t>
      </w:r>
    </w:p>
    <w:tbl>
      <w:tblPr>
        <w:tblStyle w:val="15"/>
        <w:tblW w:w="461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72"/>
        <w:gridCol w:w="3890"/>
      </w:tblGrid>
      <w:tr w14:paraId="06CC0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2526" w:type="pct"/>
            <w:noWrap w:val="0"/>
            <w:vAlign w:val="center"/>
          </w:tcPr>
          <w:p w14:paraId="693A2C81">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项目</w:t>
            </w:r>
          </w:p>
        </w:tc>
        <w:tc>
          <w:tcPr>
            <w:tcW w:w="2473" w:type="pct"/>
            <w:noWrap w:val="0"/>
            <w:vAlign w:val="center"/>
          </w:tcPr>
          <w:p w14:paraId="305EC46A">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技术指标</w:t>
            </w:r>
          </w:p>
        </w:tc>
      </w:tr>
      <w:tr w14:paraId="6220E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2526" w:type="pct"/>
            <w:noWrap w:val="0"/>
            <w:vAlign w:val="center"/>
          </w:tcPr>
          <w:p w14:paraId="419BA6DF">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测定原理</w:t>
            </w:r>
          </w:p>
        </w:tc>
        <w:tc>
          <w:tcPr>
            <w:tcW w:w="2473" w:type="pct"/>
            <w:noWrap w:val="0"/>
            <w:vAlign w:val="center"/>
          </w:tcPr>
          <w:p w14:paraId="341C1272">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热电阻或热电偶</w:t>
            </w:r>
          </w:p>
        </w:tc>
      </w:tr>
      <w:tr w14:paraId="46BF8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2526" w:type="pct"/>
            <w:noWrap w:val="0"/>
            <w:vAlign w:val="center"/>
          </w:tcPr>
          <w:p w14:paraId="08F7301C">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量程</w:t>
            </w:r>
          </w:p>
        </w:tc>
        <w:tc>
          <w:tcPr>
            <w:tcW w:w="2473" w:type="pct"/>
            <w:noWrap w:val="0"/>
            <w:vAlign w:val="center"/>
          </w:tcPr>
          <w:p w14:paraId="7611A3FE">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0℃～60 ℃，可调</w:t>
            </w:r>
          </w:p>
        </w:tc>
      </w:tr>
      <w:tr w14:paraId="2A9F4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2526" w:type="pct"/>
            <w:noWrap w:val="0"/>
            <w:vAlign w:val="center"/>
          </w:tcPr>
          <w:p w14:paraId="78A84EAA">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准确度</w:t>
            </w:r>
          </w:p>
        </w:tc>
        <w:tc>
          <w:tcPr>
            <w:tcW w:w="2473" w:type="pct"/>
            <w:noWrap w:val="0"/>
            <w:vAlign w:val="center"/>
          </w:tcPr>
          <w:p w14:paraId="66D66738">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±0.5 ℃</w:t>
            </w:r>
          </w:p>
        </w:tc>
      </w:tr>
      <w:tr w14:paraId="58F55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2526" w:type="pct"/>
            <w:noWrap w:val="0"/>
            <w:vAlign w:val="center"/>
          </w:tcPr>
          <w:p w14:paraId="683934E8">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MTBF</w:t>
            </w:r>
          </w:p>
        </w:tc>
        <w:tc>
          <w:tcPr>
            <w:tcW w:w="2473" w:type="pct"/>
            <w:noWrap w:val="0"/>
            <w:vAlign w:val="center"/>
          </w:tcPr>
          <w:p w14:paraId="0DEBB0B1">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≥720 h/次</w:t>
            </w:r>
          </w:p>
        </w:tc>
      </w:tr>
    </w:tbl>
    <w:p w14:paraId="47CFCE1B">
      <w:pPr>
        <w:widowControl w:val="0"/>
        <w:spacing w:line="240" w:lineRule="auto"/>
        <w:jc w:val="both"/>
        <w:rPr>
          <w:rFonts w:hint="eastAsia" w:ascii="宋体" w:hAnsi="宋体" w:eastAsia="宋体"/>
          <w:color w:val="auto"/>
          <w:spacing w:val="0"/>
          <w:sz w:val="24"/>
          <w:szCs w:val="24"/>
        </w:rPr>
      </w:pPr>
      <w:r>
        <w:rPr>
          <w:rFonts w:hint="eastAsia" w:ascii="宋体" w:hAnsi="宋体"/>
          <w:color w:val="auto"/>
          <w:spacing w:val="0"/>
          <w:sz w:val="24"/>
          <w:szCs w:val="24"/>
          <w:lang w:val="en-US" w:eastAsia="zh-CN"/>
        </w:rPr>
        <w:t>2.1.2</w:t>
      </w:r>
      <w:r>
        <w:rPr>
          <w:rFonts w:hint="eastAsia" w:ascii="宋体" w:hAnsi="宋体" w:eastAsia="宋体"/>
          <w:color w:val="auto"/>
          <w:spacing w:val="0"/>
          <w:sz w:val="24"/>
          <w:szCs w:val="24"/>
        </w:rPr>
        <w:t>pH水质自动分析仪</w:t>
      </w:r>
    </w:p>
    <w:tbl>
      <w:tblPr>
        <w:tblStyle w:val="15"/>
        <w:tblW w:w="464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88"/>
        <w:gridCol w:w="4331"/>
      </w:tblGrid>
      <w:tr w14:paraId="7F580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2265" w:type="pct"/>
            <w:noWrap w:val="0"/>
            <w:vAlign w:val="center"/>
          </w:tcPr>
          <w:p w14:paraId="0901E871">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项目</w:t>
            </w:r>
          </w:p>
        </w:tc>
        <w:tc>
          <w:tcPr>
            <w:tcW w:w="2734" w:type="pct"/>
            <w:noWrap w:val="0"/>
            <w:vAlign w:val="center"/>
          </w:tcPr>
          <w:p w14:paraId="54C64EAD">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技术指标</w:t>
            </w:r>
          </w:p>
        </w:tc>
      </w:tr>
      <w:tr w14:paraId="77B36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2265" w:type="pct"/>
            <w:noWrap w:val="0"/>
            <w:vAlign w:val="center"/>
          </w:tcPr>
          <w:p w14:paraId="25EABB9D">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测定原理</w:t>
            </w:r>
          </w:p>
        </w:tc>
        <w:tc>
          <w:tcPr>
            <w:tcW w:w="2734" w:type="pct"/>
            <w:noWrap w:val="0"/>
            <w:vAlign w:val="center"/>
          </w:tcPr>
          <w:p w14:paraId="2C705BF2">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玻璃电极法</w:t>
            </w:r>
          </w:p>
        </w:tc>
      </w:tr>
      <w:tr w14:paraId="61227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2265" w:type="pct"/>
            <w:noWrap w:val="0"/>
            <w:vAlign w:val="center"/>
          </w:tcPr>
          <w:p w14:paraId="1354DD84">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量程</w:t>
            </w:r>
          </w:p>
        </w:tc>
        <w:tc>
          <w:tcPr>
            <w:tcW w:w="2734" w:type="pct"/>
            <w:noWrap w:val="0"/>
            <w:vAlign w:val="center"/>
          </w:tcPr>
          <w:p w14:paraId="60603AF3">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pH 0～14 （0～40 ℃），可调</w:t>
            </w:r>
          </w:p>
        </w:tc>
      </w:tr>
      <w:tr w14:paraId="5C0AE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2265" w:type="pct"/>
            <w:noWrap w:val="0"/>
            <w:vAlign w:val="center"/>
          </w:tcPr>
          <w:p w14:paraId="27DA1466">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漂移（pH=4、7、9）</w:t>
            </w:r>
          </w:p>
        </w:tc>
        <w:tc>
          <w:tcPr>
            <w:tcW w:w="2734" w:type="pct"/>
            <w:noWrap w:val="0"/>
            <w:vAlign w:val="center"/>
          </w:tcPr>
          <w:p w14:paraId="123885DD">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±0.2 pH</w:t>
            </w:r>
          </w:p>
        </w:tc>
      </w:tr>
      <w:tr w14:paraId="71F6E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2265" w:type="pct"/>
            <w:noWrap w:val="0"/>
            <w:vAlign w:val="center"/>
          </w:tcPr>
          <w:p w14:paraId="09733EC2">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重复性</w:t>
            </w:r>
          </w:p>
        </w:tc>
        <w:tc>
          <w:tcPr>
            <w:tcW w:w="2734" w:type="pct"/>
            <w:noWrap w:val="0"/>
            <w:vAlign w:val="center"/>
          </w:tcPr>
          <w:p w14:paraId="78E691DA">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±0.2 pH</w:t>
            </w:r>
          </w:p>
        </w:tc>
      </w:tr>
      <w:tr w14:paraId="79315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265" w:type="pct"/>
            <w:noWrap w:val="0"/>
            <w:vAlign w:val="center"/>
          </w:tcPr>
          <w:p w14:paraId="49BC6BE7">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响应时间</w:t>
            </w:r>
          </w:p>
        </w:tc>
        <w:tc>
          <w:tcPr>
            <w:tcW w:w="2734" w:type="pct"/>
            <w:noWrap w:val="0"/>
            <w:vAlign w:val="center"/>
          </w:tcPr>
          <w:p w14:paraId="7EF8EA2F">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≤50 s</w:t>
            </w:r>
          </w:p>
        </w:tc>
      </w:tr>
      <w:tr w14:paraId="3576D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2265" w:type="pct"/>
            <w:noWrap w:val="0"/>
            <w:vAlign w:val="center"/>
          </w:tcPr>
          <w:p w14:paraId="45DD4381">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温度补偿精度</w:t>
            </w:r>
          </w:p>
        </w:tc>
        <w:tc>
          <w:tcPr>
            <w:tcW w:w="2734" w:type="pct"/>
            <w:noWrap w:val="0"/>
            <w:vAlign w:val="center"/>
          </w:tcPr>
          <w:p w14:paraId="4709FB7B">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±0.3 pH</w:t>
            </w:r>
          </w:p>
        </w:tc>
      </w:tr>
      <w:tr w14:paraId="4B8BA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2265" w:type="pct"/>
            <w:noWrap w:val="0"/>
            <w:vAlign w:val="center"/>
          </w:tcPr>
          <w:p w14:paraId="5FDE70BD">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MTBF</w:t>
            </w:r>
          </w:p>
        </w:tc>
        <w:tc>
          <w:tcPr>
            <w:tcW w:w="2734" w:type="pct"/>
            <w:noWrap w:val="0"/>
            <w:vAlign w:val="center"/>
          </w:tcPr>
          <w:p w14:paraId="5B5D2567">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≥720 h/次</w:t>
            </w:r>
          </w:p>
        </w:tc>
      </w:tr>
      <w:tr w14:paraId="318F6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2265" w:type="pct"/>
            <w:noWrap w:val="0"/>
            <w:vAlign w:val="center"/>
          </w:tcPr>
          <w:p w14:paraId="3AE326B2">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实际水样比对试验</w:t>
            </w:r>
          </w:p>
        </w:tc>
        <w:tc>
          <w:tcPr>
            <w:tcW w:w="2734" w:type="pct"/>
            <w:noWrap w:val="0"/>
            <w:vAlign w:val="center"/>
          </w:tcPr>
          <w:p w14:paraId="3A579DEA">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±0.3 pH</w:t>
            </w:r>
          </w:p>
        </w:tc>
      </w:tr>
      <w:tr w14:paraId="5051B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2265" w:type="pct"/>
            <w:noWrap w:val="0"/>
            <w:vAlign w:val="center"/>
          </w:tcPr>
          <w:p w14:paraId="75EF70F9">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防护等级</w:t>
            </w:r>
          </w:p>
        </w:tc>
        <w:tc>
          <w:tcPr>
            <w:tcW w:w="2734" w:type="pct"/>
            <w:noWrap w:val="0"/>
            <w:vAlign w:val="center"/>
          </w:tcPr>
          <w:p w14:paraId="42EA8B4A">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≥IP65</w:t>
            </w:r>
          </w:p>
        </w:tc>
      </w:tr>
    </w:tbl>
    <w:p w14:paraId="72DFB098">
      <w:pPr>
        <w:widowControl w:val="0"/>
        <w:spacing w:line="240" w:lineRule="auto"/>
        <w:jc w:val="both"/>
        <w:rPr>
          <w:rFonts w:hint="eastAsia" w:ascii="宋体" w:hAnsi="宋体" w:eastAsia="宋体"/>
          <w:color w:val="auto"/>
          <w:spacing w:val="0"/>
          <w:sz w:val="24"/>
          <w:szCs w:val="24"/>
        </w:rPr>
      </w:pPr>
      <w:r>
        <w:rPr>
          <w:rFonts w:hint="eastAsia" w:ascii="宋体" w:hAnsi="宋体"/>
          <w:color w:val="auto"/>
          <w:spacing w:val="0"/>
          <w:sz w:val="24"/>
          <w:szCs w:val="24"/>
          <w:lang w:val="en-US" w:eastAsia="zh-CN"/>
        </w:rPr>
        <w:t>2.1.3</w:t>
      </w:r>
      <w:r>
        <w:rPr>
          <w:rFonts w:hint="eastAsia" w:ascii="宋体" w:hAnsi="宋体" w:eastAsia="宋体"/>
          <w:color w:val="auto"/>
          <w:spacing w:val="0"/>
          <w:sz w:val="24"/>
          <w:szCs w:val="24"/>
        </w:rPr>
        <w:t>溶解氧水质自动分析仪</w:t>
      </w:r>
    </w:p>
    <w:tbl>
      <w:tblPr>
        <w:tblStyle w:val="15"/>
        <w:tblW w:w="47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32"/>
        <w:gridCol w:w="4135"/>
      </w:tblGrid>
      <w:tr w14:paraId="1372D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2437" w:type="pct"/>
            <w:noWrap w:val="0"/>
            <w:vAlign w:val="center"/>
          </w:tcPr>
          <w:p w14:paraId="01FC85FE">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项目</w:t>
            </w:r>
          </w:p>
        </w:tc>
        <w:tc>
          <w:tcPr>
            <w:tcW w:w="2562" w:type="pct"/>
            <w:noWrap w:val="0"/>
            <w:vAlign w:val="center"/>
          </w:tcPr>
          <w:p w14:paraId="3C3832C2">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技术指标</w:t>
            </w:r>
          </w:p>
        </w:tc>
      </w:tr>
      <w:tr w14:paraId="1FF3C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2437" w:type="pct"/>
            <w:noWrap w:val="0"/>
            <w:vAlign w:val="center"/>
          </w:tcPr>
          <w:p w14:paraId="70C75BD0">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测定原理</w:t>
            </w:r>
          </w:p>
        </w:tc>
        <w:tc>
          <w:tcPr>
            <w:tcW w:w="2562" w:type="pct"/>
            <w:noWrap w:val="0"/>
            <w:vAlign w:val="center"/>
          </w:tcPr>
          <w:p w14:paraId="78C231BD">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电化学法、荧光法</w:t>
            </w:r>
          </w:p>
        </w:tc>
      </w:tr>
      <w:tr w14:paraId="2FF18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2437" w:type="pct"/>
            <w:noWrap w:val="0"/>
            <w:vAlign w:val="center"/>
          </w:tcPr>
          <w:p w14:paraId="6325F799">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量程</w:t>
            </w:r>
          </w:p>
        </w:tc>
        <w:tc>
          <w:tcPr>
            <w:tcW w:w="2562" w:type="pct"/>
            <w:noWrap w:val="0"/>
            <w:vAlign w:val="center"/>
          </w:tcPr>
          <w:p w14:paraId="3D580F05">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0～20 mg/L，可调</w:t>
            </w:r>
          </w:p>
        </w:tc>
      </w:tr>
      <w:tr w14:paraId="15AB8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2437" w:type="pct"/>
            <w:noWrap w:val="0"/>
            <w:vAlign w:val="center"/>
          </w:tcPr>
          <w:p w14:paraId="142F44C1">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零点漂移</w:t>
            </w:r>
          </w:p>
        </w:tc>
        <w:tc>
          <w:tcPr>
            <w:tcW w:w="2562" w:type="pct"/>
            <w:noWrap w:val="0"/>
            <w:vAlign w:val="center"/>
          </w:tcPr>
          <w:p w14:paraId="69236635">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±0.5 mg/L</w:t>
            </w:r>
          </w:p>
        </w:tc>
      </w:tr>
      <w:tr w14:paraId="38979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2437" w:type="pct"/>
            <w:noWrap w:val="0"/>
            <w:vAlign w:val="center"/>
          </w:tcPr>
          <w:p w14:paraId="263375C6">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量程漂移</w:t>
            </w:r>
          </w:p>
        </w:tc>
        <w:tc>
          <w:tcPr>
            <w:tcW w:w="2562" w:type="pct"/>
            <w:noWrap w:val="0"/>
            <w:vAlign w:val="center"/>
          </w:tcPr>
          <w:p w14:paraId="04135044">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±0.5 mg/L</w:t>
            </w:r>
          </w:p>
        </w:tc>
      </w:tr>
      <w:tr w14:paraId="0603B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2437" w:type="pct"/>
            <w:noWrap w:val="0"/>
            <w:vAlign w:val="center"/>
          </w:tcPr>
          <w:p w14:paraId="7F44B130">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重复性</w:t>
            </w:r>
          </w:p>
        </w:tc>
        <w:tc>
          <w:tcPr>
            <w:tcW w:w="2562" w:type="pct"/>
            <w:noWrap w:val="0"/>
            <w:vAlign w:val="center"/>
          </w:tcPr>
          <w:p w14:paraId="48020138">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±0.5 mg/L</w:t>
            </w:r>
          </w:p>
        </w:tc>
      </w:tr>
      <w:tr w14:paraId="3461F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2437" w:type="pct"/>
            <w:noWrap w:val="0"/>
            <w:vAlign w:val="center"/>
          </w:tcPr>
          <w:p w14:paraId="14EA0C57">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响应时间（T90）</w:t>
            </w:r>
          </w:p>
        </w:tc>
        <w:tc>
          <w:tcPr>
            <w:tcW w:w="2562" w:type="pct"/>
            <w:noWrap w:val="0"/>
            <w:vAlign w:val="center"/>
          </w:tcPr>
          <w:p w14:paraId="5FB5484D">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≤120 s</w:t>
            </w:r>
          </w:p>
        </w:tc>
      </w:tr>
      <w:tr w14:paraId="3510E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2437" w:type="pct"/>
            <w:noWrap w:val="0"/>
            <w:vAlign w:val="center"/>
          </w:tcPr>
          <w:p w14:paraId="6639074A">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温度补偿精度</w:t>
            </w:r>
          </w:p>
        </w:tc>
        <w:tc>
          <w:tcPr>
            <w:tcW w:w="2562" w:type="pct"/>
            <w:noWrap w:val="0"/>
            <w:vAlign w:val="center"/>
          </w:tcPr>
          <w:p w14:paraId="417034D8">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±0.5 mg/L</w:t>
            </w:r>
          </w:p>
        </w:tc>
      </w:tr>
      <w:tr w14:paraId="451F2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2437" w:type="pct"/>
            <w:noWrap w:val="0"/>
            <w:vAlign w:val="center"/>
          </w:tcPr>
          <w:p w14:paraId="60896EB8">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MTBF</w:t>
            </w:r>
          </w:p>
        </w:tc>
        <w:tc>
          <w:tcPr>
            <w:tcW w:w="2562" w:type="pct"/>
            <w:noWrap w:val="0"/>
            <w:vAlign w:val="center"/>
          </w:tcPr>
          <w:p w14:paraId="4A76DD3E">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≥720 h/次</w:t>
            </w:r>
          </w:p>
        </w:tc>
      </w:tr>
      <w:tr w14:paraId="2FB72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2437" w:type="pct"/>
            <w:noWrap w:val="0"/>
            <w:vAlign w:val="center"/>
          </w:tcPr>
          <w:p w14:paraId="393A24AE">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实际水样比对试验</w:t>
            </w:r>
          </w:p>
        </w:tc>
        <w:tc>
          <w:tcPr>
            <w:tcW w:w="2562" w:type="pct"/>
            <w:noWrap w:val="0"/>
            <w:vAlign w:val="center"/>
          </w:tcPr>
          <w:p w14:paraId="27FF0073">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±0.5 mg/L</w:t>
            </w:r>
          </w:p>
        </w:tc>
      </w:tr>
      <w:tr w14:paraId="04308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437" w:type="pct"/>
            <w:noWrap w:val="0"/>
            <w:vAlign w:val="center"/>
          </w:tcPr>
          <w:p w14:paraId="422EC1C0">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防护等级</w:t>
            </w:r>
          </w:p>
        </w:tc>
        <w:tc>
          <w:tcPr>
            <w:tcW w:w="2562" w:type="pct"/>
            <w:noWrap w:val="0"/>
            <w:vAlign w:val="center"/>
          </w:tcPr>
          <w:p w14:paraId="374F3D08">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≥IP65</w:t>
            </w:r>
          </w:p>
        </w:tc>
      </w:tr>
    </w:tbl>
    <w:p w14:paraId="6BA524D9">
      <w:pPr>
        <w:widowControl w:val="0"/>
        <w:spacing w:line="240" w:lineRule="auto"/>
        <w:jc w:val="both"/>
        <w:rPr>
          <w:rFonts w:hint="eastAsia" w:ascii="宋体" w:hAnsi="宋体" w:eastAsia="宋体"/>
          <w:color w:val="auto"/>
          <w:spacing w:val="0"/>
          <w:sz w:val="24"/>
          <w:szCs w:val="24"/>
        </w:rPr>
      </w:pPr>
      <w:r>
        <w:rPr>
          <w:rFonts w:hint="eastAsia" w:ascii="宋体" w:hAnsi="宋体"/>
          <w:color w:val="auto"/>
          <w:spacing w:val="0"/>
          <w:sz w:val="24"/>
          <w:szCs w:val="24"/>
          <w:lang w:val="en-US" w:eastAsia="zh-CN"/>
        </w:rPr>
        <w:t>2.1.4</w:t>
      </w:r>
      <w:r>
        <w:rPr>
          <w:rFonts w:hint="eastAsia" w:ascii="宋体" w:hAnsi="宋体" w:eastAsia="宋体"/>
          <w:color w:val="auto"/>
          <w:spacing w:val="0"/>
          <w:sz w:val="24"/>
          <w:szCs w:val="24"/>
        </w:rPr>
        <w:t>电导率水质自动分析仪</w:t>
      </w:r>
    </w:p>
    <w:tbl>
      <w:tblPr>
        <w:tblStyle w:val="15"/>
        <w:tblW w:w="47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58"/>
        <w:gridCol w:w="4490"/>
      </w:tblGrid>
      <w:tr w14:paraId="1B2B3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2210" w:type="pct"/>
            <w:noWrap w:val="0"/>
            <w:vAlign w:val="center"/>
          </w:tcPr>
          <w:p w14:paraId="6C985AFF">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项目</w:t>
            </w:r>
          </w:p>
        </w:tc>
        <w:tc>
          <w:tcPr>
            <w:tcW w:w="2789" w:type="pct"/>
            <w:noWrap w:val="0"/>
            <w:vAlign w:val="center"/>
          </w:tcPr>
          <w:p w14:paraId="29DA38CE">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技术指标</w:t>
            </w:r>
          </w:p>
        </w:tc>
      </w:tr>
      <w:tr w14:paraId="2037B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2210" w:type="pct"/>
            <w:noWrap w:val="0"/>
            <w:vAlign w:val="center"/>
          </w:tcPr>
          <w:p w14:paraId="7A7FA27D">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测定原理</w:t>
            </w:r>
          </w:p>
        </w:tc>
        <w:tc>
          <w:tcPr>
            <w:tcW w:w="2789" w:type="pct"/>
            <w:noWrap w:val="0"/>
            <w:vAlign w:val="center"/>
          </w:tcPr>
          <w:p w14:paraId="2242543F">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电极法</w:t>
            </w:r>
          </w:p>
        </w:tc>
      </w:tr>
      <w:tr w14:paraId="2D803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2210" w:type="pct"/>
            <w:noWrap w:val="0"/>
            <w:vAlign w:val="center"/>
          </w:tcPr>
          <w:p w14:paraId="16D7BA92">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最小检测范围</w:t>
            </w:r>
          </w:p>
        </w:tc>
        <w:tc>
          <w:tcPr>
            <w:tcW w:w="2789" w:type="pct"/>
            <w:noWrap w:val="0"/>
            <w:vAlign w:val="center"/>
          </w:tcPr>
          <w:p w14:paraId="22A47229">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0～500 mS/m（0～40℃），可调</w:t>
            </w:r>
          </w:p>
        </w:tc>
      </w:tr>
      <w:tr w14:paraId="0C8E3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2210" w:type="pct"/>
            <w:noWrap w:val="0"/>
            <w:vAlign w:val="center"/>
          </w:tcPr>
          <w:p w14:paraId="7E7DC580">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重复性误差</w:t>
            </w:r>
          </w:p>
        </w:tc>
        <w:tc>
          <w:tcPr>
            <w:tcW w:w="2789" w:type="pct"/>
            <w:noWrap w:val="0"/>
            <w:vAlign w:val="center"/>
          </w:tcPr>
          <w:p w14:paraId="57D216E5">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±5%</w:t>
            </w:r>
          </w:p>
        </w:tc>
      </w:tr>
      <w:tr w14:paraId="1EEC7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2210" w:type="pct"/>
            <w:noWrap w:val="0"/>
            <w:vAlign w:val="center"/>
          </w:tcPr>
          <w:p w14:paraId="0FF71AD5">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零点漂移</w:t>
            </w:r>
          </w:p>
        </w:tc>
        <w:tc>
          <w:tcPr>
            <w:tcW w:w="2789" w:type="pct"/>
            <w:noWrap w:val="0"/>
            <w:vAlign w:val="center"/>
          </w:tcPr>
          <w:p w14:paraId="63125D3F">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±5%</w:t>
            </w:r>
          </w:p>
        </w:tc>
      </w:tr>
      <w:tr w14:paraId="35494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2210" w:type="pct"/>
            <w:noWrap w:val="0"/>
            <w:vAlign w:val="center"/>
          </w:tcPr>
          <w:p w14:paraId="4D11F1C3">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量程漂移</w:t>
            </w:r>
          </w:p>
        </w:tc>
        <w:tc>
          <w:tcPr>
            <w:tcW w:w="2789" w:type="pct"/>
            <w:noWrap w:val="0"/>
            <w:vAlign w:val="center"/>
          </w:tcPr>
          <w:p w14:paraId="04BCB0B2">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±5%</w:t>
            </w:r>
          </w:p>
        </w:tc>
      </w:tr>
      <w:tr w14:paraId="3CD17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2210" w:type="pct"/>
            <w:noWrap w:val="0"/>
            <w:vAlign w:val="center"/>
          </w:tcPr>
          <w:p w14:paraId="00FEA225">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响应时间（T90）</w:t>
            </w:r>
          </w:p>
        </w:tc>
        <w:tc>
          <w:tcPr>
            <w:tcW w:w="2789" w:type="pct"/>
            <w:noWrap w:val="0"/>
            <w:vAlign w:val="center"/>
          </w:tcPr>
          <w:p w14:paraId="00DFD1B4">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≤50s</w:t>
            </w:r>
          </w:p>
        </w:tc>
      </w:tr>
      <w:tr w14:paraId="05B64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2210" w:type="pct"/>
            <w:noWrap w:val="0"/>
            <w:vAlign w:val="center"/>
          </w:tcPr>
          <w:p w14:paraId="0243CC32">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温度补偿精度</w:t>
            </w:r>
          </w:p>
        </w:tc>
        <w:tc>
          <w:tcPr>
            <w:tcW w:w="2789" w:type="pct"/>
            <w:noWrap w:val="0"/>
            <w:vAlign w:val="center"/>
          </w:tcPr>
          <w:p w14:paraId="408EE2FE">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±5%</w:t>
            </w:r>
          </w:p>
        </w:tc>
      </w:tr>
      <w:tr w14:paraId="47115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2210" w:type="pct"/>
            <w:noWrap w:val="0"/>
            <w:vAlign w:val="center"/>
          </w:tcPr>
          <w:p w14:paraId="76AD3959">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MTBF</w:t>
            </w:r>
          </w:p>
        </w:tc>
        <w:tc>
          <w:tcPr>
            <w:tcW w:w="2789" w:type="pct"/>
            <w:noWrap w:val="0"/>
            <w:vAlign w:val="center"/>
          </w:tcPr>
          <w:p w14:paraId="4D79ED28">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≥720h/次</w:t>
            </w:r>
          </w:p>
        </w:tc>
      </w:tr>
      <w:tr w14:paraId="145C5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2210" w:type="pct"/>
            <w:noWrap w:val="0"/>
            <w:vAlign w:val="center"/>
          </w:tcPr>
          <w:p w14:paraId="375A62E5">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实际水样比对试验</w:t>
            </w:r>
          </w:p>
        </w:tc>
        <w:tc>
          <w:tcPr>
            <w:tcW w:w="2789" w:type="pct"/>
            <w:noWrap w:val="0"/>
            <w:vAlign w:val="center"/>
          </w:tcPr>
          <w:p w14:paraId="7646E73D">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±5%</w:t>
            </w:r>
          </w:p>
        </w:tc>
      </w:tr>
      <w:tr w14:paraId="0082F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2210" w:type="pct"/>
            <w:noWrap w:val="0"/>
            <w:vAlign w:val="center"/>
          </w:tcPr>
          <w:p w14:paraId="25DD6F0C">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防护等级</w:t>
            </w:r>
          </w:p>
        </w:tc>
        <w:tc>
          <w:tcPr>
            <w:tcW w:w="2789" w:type="pct"/>
            <w:noWrap w:val="0"/>
            <w:vAlign w:val="center"/>
          </w:tcPr>
          <w:p w14:paraId="4776DDF3">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≥IP65</w:t>
            </w:r>
          </w:p>
        </w:tc>
      </w:tr>
    </w:tbl>
    <w:p w14:paraId="45AF8C61">
      <w:pPr>
        <w:widowControl w:val="0"/>
        <w:spacing w:line="240" w:lineRule="auto"/>
        <w:jc w:val="both"/>
        <w:rPr>
          <w:rFonts w:hint="eastAsia" w:ascii="宋体" w:hAnsi="宋体" w:eastAsia="宋体"/>
          <w:color w:val="auto"/>
          <w:spacing w:val="0"/>
          <w:sz w:val="24"/>
          <w:szCs w:val="24"/>
        </w:rPr>
      </w:pPr>
      <w:r>
        <w:rPr>
          <w:rFonts w:hint="eastAsia" w:ascii="宋体" w:hAnsi="宋体"/>
          <w:color w:val="auto"/>
          <w:spacing w:val="0"/>
          <w:sz w:val="24"/>
          <w:szCs w:val="24"/>
          <w:lang w:val="en-US" w:eastAsia="zh-CN"/>
        </w:rPr>
        <w:t>2.1.5</w:t>
      </w:r>
      <w:r>
        <w:rPr>
          <w:rFonts w:hint="eastAsia" w:ascii="宋体" w:hAnsi="宋体" w:eastAsia="宋体"/>
          <w:color w:val="auto"/>
          <w:spacing w:val="0"/>
          <w:sz w:val="24"/>
          <w:szCs w:val="24"/>
        </w:rPr>
        <w:t>浊度水质自动分析仪</w:t>
      </w:r>
    </w:p>
    <w:tbl>
      <w:tblPr>
        <w:tblStyle w:val="15"/>
        <w:tblW w:w="47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21"/>
        <w:gridCol w:w="4346"/>
      </w:tblGrid>
      <w:tr w14:paraId="7A909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blHeader/>
          <w:jc w:val="center"/>
        </w:trPr>
        <w:tc>
          <w:tcPr>
            <w:tcW w:w="2306" w:type="pct"/>
            <w:noWrap w:val="0"/>
            <w:vAlign w:val="center"/>
          </w:tcPr>
          <w:p w14:paraId="6333B368">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项目</w:t>
            </w:r>
          </w:p>
        </w:tc>
        <w:tc>
          <w:tcPr>
            <w:tcW w:w="2693" w:type="pct"/>
            <w:noWrap w:val="0"/>
            <w:vAlign w:val="center"/>
          </w:tcPr>
          <w:p w14:paraId="4F88AB67">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技术指标</w:t>
            </w:r>
          </w:p>
        </w:tc>
      </w:tr>
      <w:tr w14:paraId="0A738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2306" w:type="pct"/>
            <w:noWrap w:val="0"/>
            <w:vAlign w:val="center"/>
          </w:tcPr>
          <w:p w14:paraId="01B30F88">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测定原理</w:t>
            </w:r>
          </w:p>
        </w:tc>
        <w:tc>
          <w:tcPr>
            <w:tcW w:w="2693" w:type="pct"/>
            <w:noWrap w:val="0"/>
            <w:vAlign w:val="center"/>
          </w:tcPr>
          <w:p w14:paraId="70F36D42">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光散射法</w:t>
            </w:r>
          </w:p>
        </w:tc>
      </w:tr>
      <w:tr w14:paraId="547CA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2306" w:type="pct"/>
            <w:noWrap w:val="0"/>
            <w:vAlign w:val="center"/>
          </w:tcPr>
          <w:p w14:paraId="4C87AFE4">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量程</w:t>
            </w:r>
          </w:p>
        </w:tc>
        <w:tc>
          <w:tcPr>
            <w:tcW w:w="2693" w:type="pct"/>
            <w:noWrap w:val="0"/>
            <w:vAlign w:val="center"/>
          </w:tcPr>
          <w:p w14:paraId="6A73B763">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0～1000NTU，可调</w:t>
            </w:r>
          </w:p>
        </w:tc>
      </w:tr>
      <w:tr w14:paraId="433C9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2306" w:type="pct"/>
            <w:noWrap w:val="0"/>
            <w:vAlign w:val="center"/>
          </w:tcPr>
          <w:p w14:paraId="2388406A">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重复性</w:t>
            </w:r>
          </w:p>
        </w:tc>
        <w:tc>
          <w:tcPr>
            <w:tcW w:w="2693" w:type="pct"/>
            <w:noWrap w:val="0"/>
            <w:vAlign w:val="center"/>
          </w:tcPr>
          <w:p w14:paraId="20E2188F">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w:t>
            </w:r>
            <w:r>
              <w:rPr>
                <w:rFonts w:hint="eastAsia" w:ascii="宋体" w:hAnsi="宋体" w:eastAsia="宋体"/>
                <w:color w:val="auto"/>
                <w:spacing w:val="0"/>
                <w:sz w:val="24"/>
                <w:szCs w:val="24"/>
                <w:lang w:val="en-US" w:eastAsia="zh-CN"/>
              </w:rPr>
              <w:t>5</w:t>
            </w:r>
            <w:r>
              <w:rPr>
                <w:rFonts w:hint="eastAsia" w:ascii="宋体" w:hAnsi="宋体" w:eastAsia="宋体"/>
                <w:color w:val="auto"/>
                <w:spacing w:val="0"/>
                <w:sz w:val="24"/>
                <w:szCs w:val="24"/>
              </w:rPr>
              <w:t>%</w:t>
            </w:r>
          </w:p>
        </w:tc>
      </w:tr>
      <w:tr w14:paraId="7BC33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2306" w:type="pct"/>
            <w:noWrap w:val="0"/>
            <w:vAlign w:val="center"/>
          </w:tcPr>
          <w:p w14:paraId="7E1C0E99">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零点漂移</w:t>
            </w:r>
          </w:p>
        </w:tc>
        <w:tc>
          <w:tcPr>
            <w:tcW w:w="2693" w:type="pct"/>
            <w:noWrap w:val="0"/>
            <w:vAlign w:val="center"/>
          </w:tcPr>
          <w:p w14:paraId="58673334">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±5%</w:t>
            </w:r>
          </w:p>
        </w:tc>
      </w:tr>
      <w:tr w14:paraId="71BB9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2306" w:type="pct"/>
            <w:noWrap w:val="0"/>
            <w:vAlign w:val="center"/>
          </w:tcPr>
          <w:p w14:paraId="0B258E06">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量程漂移</w:t>
            </w:r>
          </w:p>
        </w:tc>
        <w:tc>
          <w:tcPr>
            <w:tcW w:w="2693" w:type="pct"/>
            <w:noWrap w:val="0"/>
            <w:vAlign w:val="center"/>
          </w:tcPr>
          <w:p w14:paraId="4B018DBF">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w:t>
            </w:r>
            <w:r>
              <w:rPr>
                <w:rFonts w:hint="eastAsia" w:ascii="宋体" w:hAnsi="宋体" w:eastAsia="宋体"/>
                <w:color w:val="auto"/>
                <w:spacing w:val="0"/>
                <w:sz w:val="24"/>
                <w:szCs w:val="24"/>
                <w:lang w:val="en-US" w:eastAsia="zh-CN"/>
              </w:rPr>
              <w:t>5</w:t>
            </w:r>
            <w:r>
              <w:rPr>
                <w:rFonts w:hint="eastAsia" w:ascii="宋体" w:hAnsi="宋体" w:eastAsia="宋体"/>
                <w:color w:val="auto"/>
                <w:spacing w:val="0"/>
                <w:sz w:val="24"/>
                <w:szCs w:val="24"/>
              </w:rPr>
              <w:t>%</w:t>
            </w:r>
          </w:p>
        </w:tc>
      </w:tr>
      <w:tr w14:paraId="745BA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2306" w:type="pct"/>
            <w:noWrap w:val="0"/>
            <w:vAlign w:val="center"/>
          </w:tcPr>
          <w:p w14:paraId="04DF225C">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线性误差</w:t>
            </w:r>
          </w:p>
        </w:tc>
        <w:tc>
          <w:tcPr>
            <w:tcW w:w="2693" w:type="pct"/>
            <w:noWrap w:val="0"/>
            <w:vAlign w:val="center"/>
          </w:tcPr>
          <w:p w14:paraId="0F4BA538">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w:t>
            </w:r>
            <w:r>
              <w:rPr>
                <w:rFonts w:hint="eastAsia" w:ascii="宋体" w:hAnsi="宋体" w:eastAsia="宋体"/>
                <w:color w:val="auto"/>
                <w:spacing w:val="0"/>
                <w:sz w:val="24"/>
                <w:szCs w:val="24"/>
                <w:lang w:val="en-US" w:eastAsia="zh-CN"/>
              </w:rPr>
              <w:t>5</w:t>
            </w:r>
            <w:r>
              <w:rPr>
                <w:rFonts w:hint="eastAsia" w:ascii="宋体" w:hAnsi="宋体" w:eastAsia="宋体"/>
                <w:color w:val="auto"/>
                <w:spacing w:val="0"/>
                <w:sz w:val="24"/>
                <w:szCs w:val="24"/>
              </w:rPr>
              <w:t>%</w:t>
            </w:r>
          </w:p>
        </w:tc>
      </w:tr>
      <w:tr w14:paraId="3E5B2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2306" w:type="pct"/>
            <w:noWrap w:val="0"/>
            <w:vAlign w:val="center"/>
          </w:tcPr>
          <w:p w14:paraId="745590AD">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MTBF</w:t>
            </w:r>
          </w:p>
        </w:tc>
        <w:tc>
          <w:tcPr>
            <w:tcW w:w="2693" w:type="pct"/>
            <w:noWrap w:val="0"/>
            <w:vAlign w:val="center"/>
          </w:tcPr>
          <w:p w14:paraId="7BFF6628">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≥720h/次</w:t>
            </w:r>
          </w:p>
        </w:tc>
      </w:tr>
      <w:tr w14:paraId="7F76F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2306" w:type="pct"/>
            <w:noWrap w:val="0"/>
            <w:vAlign w:val="center"/>
          </w:tcPr>
          <w:p w14:paraId="2B15E88E">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实际水样比对试验</w:t>
            </w:r>
          </w:p>
        </w:tc>
        <w:tc>
          <w:tcPr>
            <w:tcW w:w="2693" w:type="pct"/>
            <w:noWrap w:val="0"/>
            <w:vAlign w:val="center"/>
          </w:tcPr>
          <w:p w14:paraId="73A3F424">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±10%</w:t>
            </w:r>
          </w:p>
        </w:tc>
      </w:tr>
      <w:tr w14:paraId="779A1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2306" w:type="pct"/>
            <w:noWrap w:val="0"/>
            <w:vAlign w:val="center"/>
          </w:tcPr>
          <w:p w14:paraId="05DE391B">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防护等级</w:t>
            </w:r>
          </w:p>
        </w:tc>
        <w:tc>
          <w:tcPr>
            <w:tcW w:w="2693" w:type="pct"/>
            <w:noWrap w:val="0"/>
            <w:vAlign w:val="center"/>
          </w:tcPr>
          <w:p w14:paraId="5DC15D61">
            <w:pPr>
              <w:widowControl w:val="0"/>
              <w:spacing w:line="240" w:lineRule="auto"/>
              <w:jc w:val="both"/>
              <w:rPr>
                <w:rFonts w:hint="eastAsia" w:ascii="宋体" w:hAnsi="宋体" w:eastAsia="宋体"/>
                <w:color w:val="auto"/>
                <w:spacing w:val="0"/>
                <w:sz w:val="24"/>
                <w:szCs w:val="24"/>
              </w:rPr>
            </w:pPr>
            <w:r>
              <w:rPr>
                <w:rFonts w:hint="eastAsia" w:ascii="宋体" w:hAnsi="宋体" w:eastAsia="宋体"/>
                <w:color w:val="auto"/>
                <w:spacing w:val="0"/>
                <w:sz w:val="24"/>
                <w:szCs w:val="24"/>
              </w:rPr>
              <w:t>≥IP65</w:t>
            </w:r>
          </w:p>
        </w:tc>
      </w:tr>
    </w:tbl>
    <w:p w14:paraId="6E9E03D1">
      <w:pPr>
        <w:widowControl w:val="0"/>
        <w:spacing w:line="240" w:lineRule="auto"/>
        <w:jc w:val="both"/>
        <w:rPr>
          <w:rFonts w:ascii="宋体" w:hAnsi="宋体" w:eastAsia="宋体"/>
          <w:color w:val="auto"/>
          <w:spacing w:val="0"/>
          <w:sz w:val="24"/>
          <w:szCs w:val="24"/>
        </w:rPr>
      </w:pPr>
    </w:p>
    <w:p w14:paraId="45ED2D25">
      <w:pPr>
        <w:widowControl/>
        <w:spacing w:line="360" w:lineRule="auto"/>
        <w:ind w:firstLine="482"/>
        <w:jc w:val="left"/>
        <w:outlineLvl w:val="9"/>
        <w:rPr>
          <w:rFonts w:hint="eastAsia" w:ascii="宋体" w:hAnsi="宋体" w:eastAsia="宋体" w:cs="Arial"/>
          <w:b/>
          <w:bCs/>
          <w:color w:val="auto"/>
          <w:spacing w:val="0"/>
          <w:sz w:val="24"/>
          <w:szCs w:val="24"/>
          <w:lang w:val="en-US" w:eastAsia="zh-CN" w:bidi="ar-SA"/>
        </w:rPr>
      </w:pPr>
      <w:r>
        <w:rPr>
          <w:rFonts w:hint="eastAsia" w:ascii="宋体" w:hAnsi="宋体" w:eastAsia="宋体" w:cs="Arial"/>
          <w:b/>
          <w:bCs/>
          <w:color w:val="auto"/>
          <w:spacing w:val="0"/>
          <w:sz w:val="24"/>
          <w:szCs w:val="24"/>
          <w:lang w:val="en-US" w:eastAsia="zh-CN" w:bidi="ar-SA"/>
        </w:rPr>
        <w:t>2.2、氨氮水质自动分析仪</w:t>
      </w:r>
    </w:p>
    <w:tbl>
      <w:tblPr>
        <w:tblStyle w:val="15"/>
        <w:tblW w:w="91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179"/>
        <w:gridCol w:w="3427"/>
        <w:gridCol w:w="2532"/>
      </w:tblGrid>
      <w:tr w14:paraId="1ACE56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jc w:val="center"/>
        </w:trPr>
        <w:tc>
          <w:tcPr>
            <w:tcW w:w="317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1E029DA">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项目</w:t>
            </w:r>
          </w:p>
        </w:tc>
        <w:tc>
          <w:tcPr>
            <w:tcW w:w="5959" w:type="dxa"/>
            <w:gridSpan w:val="2"/>
            <w:tcBorders>
              <w:top w:val="single" w:color="auto" w:sz="4" w:space="0"/>
              <w:left w:val="single" w:color="auto" w:sz="4" w:space="0"/>
              <w:bottom w:val="single" w:color="auto" w:sz="4" w:space="0"/>
              <w:right w:val="single" w:color="auto" w:sz="4" w:space="0"/>
            </w:tcBorders>
            <w:shd w:val="clear" w:color="auto" w:fill="FFFFFF"/>
            <w:noWrap w:val="0"/>
            <w:vAlign w:val="center"/>
          </w:tcPr>
          <w:p w14:paraId="44911AE3">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技术指标</w:t>
            </w:r>
          </w:p>
        </w:tc>
      </w:tr>
      <w:tr w14:paraId="6B1373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jc w:val="center"/>
        </w:trPr>
        <w:tc>
          <w:tcPr>
            <w:tcW w:w="317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84A7F65">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测定原理</w:t>
            </w:r>
          </w:p>
        </w:tc>
        <w:tc>
          <w:tcPr>
            <w:tcW w:w="5959" w:type="dxa"/>
            <w:gridSpan w:val="2"/>
            <w:tcBorders>
              <w:top w:val="single" w:color="auto" w:sz="4" w:space="0"/>
              <w:left w:val="single" w:color="auto" w:sz="4" w:space="0"/>
              <w:bottom w:val="single" w:color="auto" w:sz="4" w:space="0"/>
              <w:right w:val="single" w:color="auto" w:sz="4" w:space="0"/>
            </w:tcBorders>
            <w:shd w:val="clear" w:color="auto" w:fill="FFFFFF"/>
            <w:noWrap w:val="0"/>
            <w:vAlign w:val="center"/>
          </w:tcPr>
          <w:p w14:paraId="5DA4931E">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水杨酸分光光度法</w:t>
            </w:r>
          </w:p>
        </w:tc>
      </w:tr>
      <w:tr w14:paraId="763AB3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jc w:val="center"/>
        </w:trPr>
        <w:tc>
          <w:tcPr>
            <w:tcW w:w="317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2E42825">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量程</w:t>
            </w:r>
          </w:p>
        </w:tc>
        <w:tc>
          <w:tcPr>
            <w:tcW w:w="5959" w:type="dxa"/>
            <w:gridSpan w:val="2"/>
            <w:tcBorders>
              <w:top w:val="single" w:color="auto" w:sz="4" w:space="0"/>
              <w:left w:val="single" w:color="auto" w:sz="4" w:space="0"/>
              <w:bottom w:val="single" w:color="auto" w:sz="4" w:space="0"/>
              <w:right w:val="single" w:color="auto" w:sz="4" w:space="0"/>
            </w:tcBorders>
            <w:shd w:val="clear" w:color="auto" w:fill="FFFFFF"/>
            <w:noWrap w:val="0"/>
            <w:vAlign w:val="center"/>
          </w:tcPr>
          <w:p w14:paraId="71CF31B6">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0～10 mg/L，可调</w:t>
            </w:r>
          </w:p>
        </w:tc>
      </w:tr>
      <w:tr w14:paraId="17136D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jc w:val="center"/>
        </w:trPr>
        <w:tc>
          <w:tcPr>
            <w:tcW w:w="317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8F9B13C">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零点漂移</w:t>
            </w:r>
          </w:p>
        </w:tc>
        <w:tc>
          <w:tcPr>
            <w:tcW w:w="5959" w:type="dxa"/>
            <w:gridSpan w:val="2"/>
            <w:tcBorders>
              <w:top w:val="single" w:color="auto" w:sz="4" w:space="0"/>
              <w:left w:val="single" w:color="auto" w:sz="4" w:space="0"/>
              <w:bottom w:val="single" w:color="auto" w:sz="4" w:space="0"/>
              <w:right w:val="single" w:color="auto" w:sz="4" w:space="0"/>
            </w:tcBorders>
            <w:shd w:val="clear" w:color="auto" w:fill="FFFFFF"/>
            <w:noWrap w:val="0"/>
            <w:vAlign w:val="center"/>
          </w:tcPr>
          <w:p w14:paraId="1C855449">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≤0.0</w:t>
            </w:r>
            <w:r>
              <w:rPr>
                <w:rFonts w:hint="eastAsia" w:ascii="宋体" w:hAnsi="宋体" w:eastAsia="宋体" w:cs="Times New Roman"/>
                <w:color w:val="auto"/>
                <w:spacing w:val="0"/>
                <w:sz w:val="24"/>
                <w:szCs w:val="24"/>
                <w:lang w:val="en-US" w:eastAsia="zh-CN"/>
              </w:rPr>
              <w:t>2</w:t>
            </w:r>
            <w:r>
              <w:rPr>
                <w:rFonts w:hint="eastAsia" w:ascii="宋体" w:hAnsi="宋体" w:eastAsia="宋体" w:cs="Times New Roman"/>
                <w:color w:val="auto"/>
                <w:spacing w:val="0"/>
                <w:sz w:val="24"/>
                <w:szCs w:val="24"/>
              </w:rPr>
              <w:t xml:space="preserve"> mg/L</w:t>
            </w:r>
          </w:p>
        </w:tc>
      </w:tr>
      <w:tr w14:paraId="4004D9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jc w:val="center"/>
        </w:trPr>
        <w:tc>
          <w:tcPr>
            <w:tcW w:w="317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7D6B728">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量程漂移</w:t>
            </w:r>
          </w:p>
        </w:tc>
        <w:tc>
          <w:tcPr>
            <w:tcW w:w="5959" w:type="dxa"/>
            <w:gridSpan w:val="2"/>
            <w:tcBorders>
              <w:top w:val="single" w:color="auto" w:sz="4" w:space="0"/>
              <w:left w:val="single" w:color="auto" w:sz="4" w:space="0"/>
              <w:bottom w:val="single" w:color="auto" w:sz="4" w:space="0"/>
              <w:right w:val="single" w:color="auto" w:sz="4" w:space="0"/>
            </w:tcBorders>
            <w:shd w:val="clear" w:color="auto" w:fill="FFFFFF"/>
            <w:noWrap w:val="0"/>
            <w:vAlign w:val="center"/>
          </w:tcPr>
          <w:p w14:paraId="65C6EC1D">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w:t>
            </w:r>
            <w:r>
              <w:rPr>
                <w:rFonts w:hint="eastAsia" w:ascii="宋体" w:hAnsi="宋体" w:eastAsia="宋体" w:cs="Times New Roman"/>
                <w:color w:val="auto"/>
                <w:spacing w:val="0"/>
                <w:sz w:val="24"/>
                <w:szCs w:val="24"/>
                <w:lang w:val="en-US" w:eastAsia="zh-CN"/>
              </w:rPr>
              <w:t>1</w:t>
            </w:r>
            <w:r>
              <w:rPr>
                <w:rFonts w:hint="eastAsia" w:ascii="宋体" w:hAnsi="宋体" w:eastAsia="宋体" w:cs="Times New Roman"/>
                <w:color w:val="auto"/>
                <w:spacing w:val="0"/>
                <w:sz w:val="24"/>
                <w:szCs w:val="24"/>
              </w:rPr>
              <w:t>.0%</w:t>
            </w:r>
          </w:p>
        </w:tc>
      </w:tr>
      <w:tr w14:paraId="60663F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jc w:val="center"/>
        </w:trPr>
        <w:tc>
          <w:tcPr>
            <w:tcW w:w="3179" w:type="dxa"/>
            <w:vMerge w:val="restart"/>
            <w:tcBorders>
              <w:top w:val="single" w:color="auto" w:sz="4" w:space="0"/>
              <w:left w:val="single" w:color="auto" w:sz="4" w:space="0"/>
              <w:bottom w:val="single" w:color="auto" w:sz="4" w:space="0"/>
              <w:right w:val="single" w:color="auto" w:sz="4" w:space="0"/>
            </w:tcBorders>
            <w:shd w:val="clear" w:color="auto" w:fill="FFFFFF"/>
            <w:noWrap w:val="0"/>
            <w:vAlign w:val="center"/>
          </w:tcPr>
          <w:p w14:paraId="4B80B644">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示值误差</w:t>
            </w:r>
          </w:p>
        </w:tc>
        <w:tc>
          <w:tcPr>
            <w:tcW w:w="342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B0CC439">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标液浓度为 2.0 mg/L 时</w:t>
            </w:r>
          </w:p>
        </w:tc>
        <w:tc>
          <w:tcPr>
            <w:tcW w:w="2532"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D3722C7">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 xml:space="preserve">± </w:t>
            </w:r>
            <w:r>
              <w:rPr>
                <w:rFonts w:hint="eastAsia" w:ascii="宋体" w:hAnsi="宋体" w:eastAsia="宋体" w:cs="Times New Roman"/>
                <w:color w:val="auto"/>
                <w:spacing w:val="0"/>
                <w:sz w:val="24"/>
                <w:szCs w:val="24"/>
                <w:lang w:val="en-US" w:eastAsia="zh-CN"/>
              </w:rPr>
              <w:t>8</w:t>
            </w:r>
            <w:r>
              <w:rPr>
                <w:rFonts w:hint="eastAsia" w:ascii="宋体" w:hAnsi="宋体" w:eastAsia="宋体" w:cs="Times New Roman"/>
                <w:color w:val="auto"/>
                <w:spacing w:val="0"/>
                <w:sz w:val="24"/>
                <w:szCs w:val="24"/>
              </w:rPr>
              <w:t>.0%</w:t>
            </w:r>
          </w:p>
        </w:tc>
      </w:tr>
      <w:tr w14:paraId="146BF9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jc w:val="center"/>
        </w:trPr>
        <w:tc>
          <w:tcPr>
            <w:tcW w:w="3179" w:type="dxa"/>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14:paraId="556AD2A9">
            <w:pPr>
              <w:widowControl w:val="0"/>
              <w:spacing w:line="240" w:lineRule="auto"/>
              <w:jc w:val="both"/>
              <w:rPr>
                <w:rFonts w:hint="eastAsia" w:ascii="宋体" w:hAnsi="宋体" w:eastAsia="宋体" w:cs="Times New Roman"/>
                <w:color w:val="auto"/>
                <w:spacing w:val="0"/>
                <w:sz w:val="24"/>
                <w:szCs w:val="24"/>
              </w:rPr>
            </w:pPr>
          </w:p>
        </w:tc>
        <w:tc>
          <w:tcPr>
            <w:tcW w:w="342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7137E09">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标液浓度为 5.0 mg/L 时</w:t>
            </w:r>
          </w:p>
        </w:tc>
        <w:tc>
          <w:tcPr>
            <w:tcW w:w="2532"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55C9D66">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 xml:space="preserve">± </w:t>
            </w:r>
            <w:r>
              <w:rPr>
                <w:rFonts w:hint="eastAsia" w:ascii="宋体" w:hAnsi="宋体" w:eastAsia="宋体" w:cs="Times New Roman"/>
                <w:color w:val="auto"/>
                <w:spacing w:val="0"/>
                <w:sz w:val="24"/>
                <w:szCs w:val="24"/>
                <w:lang w:val="en-US" w:eastAsia="zh-CN"/>
              </w:rPr>
              <w:t>5</w:t>
            </w:r>
            <w:r>
              <w:rPr>
                <w:rFonts w:hint="eastAsia" w:ascii="宋体" w:hAnsi="宋体" w:eastAsia="宋体" w:cs="Times New Roman"/>
                <w:color w:val="auto"/>
                <w:spacing w:val="0"/>
                <w:sz w:val="24"/>
                <w:szCs w:val="24"/>
              </w:rPr>
              <w:t>.0%</w:t>
            </w:r>
          </w:p>
        </w:tc>
      </w:tr>
      <w:tr w14:paraId="0BFA12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jc w:val="center"/>
        </w:trPr>
        <w:tc>
          <w:tcPr>
            <w:tcW w:w="3179" w:type="dxa"/>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14:paraId="42800491">
            <w:pPr>
              <w:widowControl w:val="0"/>
              <w:spacing w:line="240" w:lineRule="auto"/>
              <w:jc w:val="both"/>
              <w:rPr>
                <w:rFonts w:hint="eastAsia" w:ascii="宋体" w:hAnsi="宋体" w:eastAsia="宋体" w:cs="Times New Roman"/>
                <w:color w:val="auto"/>
                <w:spacing w:val="0"/>
                <w:sz w:val="24"/>
                <w:szCs w:val="24"/>
              </w:rPr>
            </w:pPr>
          </w:p>
        </w:tc>
        <w:tc>
          <w:tcPr>
            <w:tcW w:w="342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F5A9754">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标液浓度为 8.0 mg/L 时</w:t>
            </w:r>
          </w:p>
        </w:tc>
        <w:tc>
          <w:tcPr>
            <w:tcW w:w="2532"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3793F9A">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 xml:space="preserve">± </w:t>
            </w:r>
            <w:r>
              <w:rPr>
                <w:rFonts w:hint="eastAsia" w:ascii="宋体" w:hAnsi="宋体" w:eastAsia="宋体" w:cs="Times New Roman"/>
                <w:color w:val="auto"/>
                <w:spacing w:val="0"/>
                <w:sz w:val="24"/>
                <w:szCs w:val="24"/>
                <w:lang w:val="en-US" w:eastAsia="zh-CN"/>
              </w:rPr>
              <w:t>3</w:t>
            </w:r>
            <w:r>
              <w:rPr>
                <w:rFonts w:hint="eastAsia" w:ascii="宋体" w:hAnsi="宋体" w:eastAsia="宋体" w:cs="Times New Roman"/>
                <w:color w:val="auto"/>
                <w:spacing w:val="0"/>
                <w:sz w:val="24"/>
                <w:szCs w:val="24"/>
              </w:rPr>
              <w:t>.0%</w:t>
            </w:r>
          </w:p>
        </w:tc>
      </w:tr>
      <w:tr w14:paraId="750DDB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jc w:val="center"/>
        </w:trPr>
        <w:tc>
          <w:tcPr>
            <w:tcW w:w="317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2DFE648">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重复性</w:t>
            </w:r>
          </w:p>
        </w:tc>
        <w:tc>
          <w:tcPr>
            <w:tcW w:w="5959" w:type="dxa"/>
            <w:gridSpan w:val="2"/>
            <w:tcBorders>
              <w:top w:val="single" w:color="auto" w:sz="4" w:space="0"/>
              <w:left w:val="single" w:color="auto" w:sz="4" w:space="0"/>
              <w:bottom w:val="single" w:color="auto" w:sz="4" w:space="0"/>
              <w:right w:val="single" w:color="auto" w:sz="4" w:space="0"/>
            </w:tcBorders>
            <w:shd w:val="clear" w:color="auto" w:fill="FFFFFF"/>
            <w:noWrap w:val="0"/>
            <w:vAlign w:val="center"/>
          </w:tcPr>
          <w:p w14:paraId="7CBA56DA">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w:t>
            </w:r>
            <w:r>
              <w:rPr>
                <w:rFonts w:hint="eastAsia" w:ascii="宋体" w:hAnsi="宋体" w:eastAsia="宋体" w:cs="Times New Roman"/>
                <w:color w:val="auto"/>
                <w:spacing w:val="0"/>
                <w:sz w:val="24"/>
                <w:szCs w:val="24"/>
                <w:lang w:val="en-US" w:eastAsia="zh-CN"/>
              </w:rPr>
              <w:t>2</w:t>
            </w:r>
            <w:r>
              <w:rPr>
                <w:rFonts w:hint="eastAsia" w:ascii="宋体" w:hAnsi="宋体" w:eastAsia="宋体" w:cs="Times New Roman"/>
                <w:color w:val="auto"/>
                <w:spacing w:val="0"/>
                <w:sz w:val="24"/>
                <w:szCs w:val="24"/>
              </w:rPr>
              <w:t>.0%</w:t>
            </w:r>
          </w:p>
        </w:tc>
      </w:tr>
      <w:tr w14:paraId="789BD5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jc w:val="center"/>
        </w:trPr>
        <w:tc>
          <w:tcPr>
            <w:tcW w:w="3179" w:type="dxa"/>
            <w:vMerge w:val="restar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AA8343E">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记忆效应</w:t>
            </w:r>
          </w:p>
        </w:tc>
        <w:tc>
          <w:tcPr>
            <w:tcW w:w="342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A0F4883">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标液浓度为 2.0 mg/L 时</w:t>
            </w:r>
          </w:p>
        </w:tc>
        <w:tc>
          <w:tcPr>
            <w:tcW w:w="2532"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ED60D47">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 0.3 mg/L</w:t>
            </w:r>
          </w:p>
        </w:tc>
      </w:tr>
      <w:tr w14:paraId="2CE9C8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jc w:val="center"/>
        </w:trPr>
        <w:tc>
          <w:tcPr>
            <w:tcW w:w="3179" w:type="dxa"/>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14:paraId="1CA4E254">
            <w:pPr>
              <w:widowControl w:val="0"/>
              <w:spacing w:line="240" w:lineRule="auto"/>
              <w:jc w:val="both"/>
              <w:rPr>
                <w:rFonts w:hint="eastAsia" w:ascii="宋体" w:hAnsi="宋体" w:eastAsia="宋体" w:cs="Times New Roman"/>
                <w:color w:val="auto"/>
                <w:spacing w:val="0"/>
                <w:sz w:val="24"/>
                <w:szCs w:val="24"/>
              </w:rPr>
            </w:pPr>
          </w:p>
        </w:tc>
        <w:tc>
          <w:tcPr>
            <w:tcW w:w="342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F585943">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标液浓度为 8.0 mg/L 时</w:t>
            </w:r>
          </w:p>
        </w:tc>
        <w:tc>
          <w:tcPr>
            <w:tcW w:w="2532"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DFBFBD8">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 0.2 mg/L</w:t>
            </w:r>
          </w:p>
        </w:tc>
      </w:tr>
      <w:tr w14:paraId="21A21B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jc w:val="center"/>
        </w:trPr>
        <w:tc>
          <w:tcPr>
            <w:tcW w:w="317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B7A2A7D">
            <w:pPr>
              <w:widowControl w:val="0"/>
              <w:spacing w:line="240" w:lineRule="auto"/>
              <w:jc w:val="both"/>
              <w:rPr>
                <w:rFonts w:hint="default" w:ascii="宋体" w:hAnsi="宋体" w:eastAsia="宋体" w:cs="Times New Roman"/>
                <w:color w:val="auto"/>
                <w:spacing w:val="0"/>
                <w:sz w:val="24"/>
                <w:szCs w:val="24"/>
                <w:lang w:val="en-US" w:eastAsia="zh-CN"/>
              </w:rPr>
            </w:pPr>
            <w:r>
              <w:rPr>
                <w:rFonts w:hint="eastAsia" w:ascii="宋体" w:hAnsi="宋体" w:eastAsia="宋体" w:cs="Times New Roman"/>
                <w:color w:val="auto"/>
                <w:spacing w:val="0"/>
                <w:sz w:val="24"/>
                <w:szCs w:val="24"/>
                <w:lang w:val="en-US" w:eastAsia="zh-CN"/>
              </w:rPr>
              <w:t>定量下限</w:t>
            </w:r>
          </w:p>
        </w:tc>
        <w:tc>
          <w:tcPr>
            <w:tcW w:w="5959" w:type="dxa"/>
            <w:gridSpan w:val="2"/>
            <w:tcBorders>
              <w:top w:val="single" w:color="auto" w:sz="4" w:space="0"/>
              <w:left w:val="single" w:color="auto" w:sz="4" w:space="0"/>
              <w:bottom w:val="single" w:color="auto" w:sz="4" w:space="0"/>
              <w:right w:val="single" w:color="auto" w:sz="4" w:space="0"/>
            </w:tcBorders>
            <w:shd w:val="clear" w:color="auto" w:fill="FFFFFF"/>
            <w:noWrap w:val="0"/>
            <w:vAlign w:val="center"/>
          </w:tcPr>
          <w:p w14:paraId="0B9DD441">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≤0.</w:t>
            </w:r>
            <w:r>
              <w:rPr>
                <w:rFonts w:hint="eastAsia" w:ascii="宋体" w:hAnsi="宋体" w:eastAsia="宋体" w:cs="Times New Roman"/>
                <w:color w:val="auto"/>
                <w:spacing w:val="0"/>
                <w:sz w:val="24"/>
                <w:szCs w:val="24"/>
                <w:lang w:val="en-US" w:eastAsia="zh-CN"/>
              </w:rPr>
              <w:t>1</w:t>
            </w:r>
            <w:r>
              <w:rPr>
                <w:rFonts w:hint="eastAsia" w:ascii="宋体" w:hAnsi="宋体" w:eastAsia="宋体" w:cs="Times New Roman"/>
                <w:color w:val="auto"/>
                <w:spacing w:val="0"/>
                <w:sz w:val="24"/>
                <w:szCs w:val="24"/>
              </w:rPr>
              <w:t>5mg/L</w:t>
            </w:r>
          </w:p>
        </w:tc>
      </w:tr>
      <w:tr w14:paraId="034E89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jc w:val="center"/>
        </w:trPr>
        <w:tc>
          <w:tcPr>
            <w:tcW w:w="317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5F5917E">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pH 干扰试验</w:t>
            </w:r>
          </w:p>
        </w:tc>
        <w:tc>
          <w:tcPr>
            <w:tcW w:w="5959" w:type="dxa"/>
            <w:gridSpan w:val="2"/>
            <w:tcBorders>
              <w:top w:val="single" w:color="auto" w:sz="4" w:space="0"/>
              <w:left w:val="single" w:color="auto" w:sz="4" w:space="0"/>
              <w:bottom w:val="single" w:color="auto" w:sz="4" w:space="0"/>
              <w:right w:val="single" w:color="auto" w:sz="4" w:space="0"/>
            </w:tcBorders>
            <w:shd w:val="clear" w:color="auto" w:fill="FFFFFF"/>
            <w:noWrap w:val="0"/>
            <w:vAlign w:val="center"/>
          </w:tcPr>
          <w:p w14:paraId="7768E22B">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 xml:space="preserve">± </w:t>
            </w:r>
            <w:r>
              <w:rPr>
                <w:rFonts w:hint="eastAsia" w:ascii="宋体" w:hAnsi="宋体" w:eastAsia="宋体" w:cs="Times New Roman"/>
                <w:color w:val="auto"/>
                <w:spacing w:val="0"/>
                <w:sz w:val="24"/>
                <w:szCs w:val="24"/>
                <w:lang w:val="en-US" w:eastAsia="zh-CN"/>
              </w:rPr>
              <w:t>6.</w:t>
            </w:r>
            <w:r>
              <w:rPr>
                <w:rFonts w:hint="eastAsia" w:ascii="宋体" w:hAnsi="宋体" w:eastAsia="宋体" w:cs="Times New Roman"/>
                <w:color w:val="auto"/>
                <w:spacing w:val="0"/>
                <w:sz w:val="24"/>
                <w:szCs w:val="24"/>
              </w:rPr>
              <w:t>0%</w:t>
            </w:r>
          </w:p>
        </w:tc>
      </w:tr>
      <w:tr w14:paraId="2FC3F0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jc w:val="center"/>
        </w:trPr>
        <w:tc>
          <w:tcPr>
            <w:tcW w:w="317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D261466">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实际水样比对试验</w:t>
            </w:r>
          </w:p>
        </w:tc>
        <w:tc>
          <w:tcPr>
            <w:tcW w:w="5959" w:type="dxa"/>
            <w:gridSpan w:val="2"/>
            <w:tcBorders>
              <w:top w:val="single" w:color="auto" w:sz="4" w:space="0"/>
              <w:left w:val="single" w:color="auto" w:sz="4" w:space="0"/>
              <w:bottom w:val="single" w:color="auto" w:sz="4" w:space="0"/>
              <w:right w:val="single" w:color="auto" w:sz="4" w:space="0"/>
            </w:tcBorders>
            <w:shd w:val="clear" w:color="auto" w:fill="FFFFFF"/>
            <w:noWrap w:val="0"/>
            <w:vAlign w:val="center"/>
          </w:tcPr>
          <w:p w14:paraId="253144EF">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参照《地表水自动监测技术规范(试行)》(HJ 915-2017)规范实施</w:t>
            </w:r>
          </w:p>
        </w:tc>
      </w:tr>
      <w:tr w14:paraId="1B0E94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jc w:val="center"/>
        </w:trPr>
        <w:tc>
          <w:tcPr>
            <w:tcW w:w="317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D9BA246">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最小维护周期</w:t>
            </w:r>
          </w:p>
        </w:tc>
        <w:tc>
          <w:tcPr>
            <w:tcW w:w="5959" w:type="dxa"/>
            <w:gridSpan w:val="2"/>
            <w:tcBorders>
              <w:top w:val="single" w:color="auto" w:sz="4" w:space="0"/>
              <w:left w:val="single" w:color="auto" w:sz="4" w:space="0"/>
              <w:bottom w:val="single" w:color="auto" w:sz="4" w:space="0"/>
              <w:right w:val="single" w:color="auto" w:sz="4" w:space="0"/>
            </w:tcBorders>
            <w:shd w:val="clear" w:color="auto" w:fill="FFFFFF"/>
            <w:noWrap w:val="0"/>
            <w:vAlign w:val="center"/>
          </w:tcPr>
          <w:p w14:paraId="49ED00FB">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≥168h</w:t>
            </w:r>
          </w:p>
        </w:tc>
      </w:tr>
    </w:tbl>
    <w:p w14:paraId="37225A18">
      <w:pPr>
        <w:widowControl w:val="0"/>
        <w:spacing w:line="240" w:lineRule="auto"/>
        <w:jc w:val="both"/>
        <w:rPr>
          <w:rFonts w:hint="eastAsia" w:ascii="宋体" w:hAnsi="宋体" w:eastAsia="宋体"/>
          <w:color w:val="auto"/>
          <w:spacing w:val="0"/>
          <w:sz w:val="24"/>
          <w:szCs w:val="24"/>
        </w:rPr>
      </w:pPr>
    </w:p>
    <w:p w14:paraId="5ECD3E5B">
      <w:pPr>
        <w:widowControl/>
        <w:spacing w:line="360" w:lineRule="auto"/>
        <w:ind w:firstLine="482"/>
        <w:jc w:val="left"/>
        <w:outlineLvl w:val="9"/>
        <w:rPr>
          <w:rFonts w:hint="default" w:ascii="宋体" w:hAnsi="宋体" w:eastAsia="宋体" w:cs="Arial"/>
          <w:b/>
          <w:bCs/>
          <w:color w:val="auto"/>
          <w:spacing w:val="0"/>
          <w:sz w:val="24"/>
          <w:szCs w:val="24"/>
          <w:lang w:val="en-US" w:eastAsia="zh-CN" w:bidi="ar-SA"/>
        </w:rPr>
      </w:pPr>
      <w:r>
        <w:rPr>
          <w:rFonts w:hint="eastAsia" w:ascii="宋体" w:hAnsi="宋体" w:eastAsia="宋体" w:cs="Arial"/>
          <w:b/>
          <w:bCs/>
          <w:color w:val="auto"/>
          <w:spacing w:val="0"/>
          <w:sz w:val="24"/>
          <w:szCs w:val="24"/>
          <w:lang w:val="en-US" w:eastAsia="zh-CN" w:bidi="ar-SA"/>
        </w:rPr>
        <w:t>2.3、高锰酸盐指数水质自动分析仪</w:t>
      </w:r>
    </w:p>
    <w:tbl>
      <w:tblPr>
        <w:tblStyle w:val="15"/>
        <w:tblW w:w="9344"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1970"/>
        <w:gridCol w:w="7374"/>
      </w:tblGrid>
      <w:tr w14:paraId="500EB37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71" w:hRule="atLeast"/>
          <w:jc w:val="center"/>
        </w:trPr>
        <w:tc>
          <w:tcPr>
            <w:tcW w:w="1970" w:type="dxa"/>
            <w:tcBorders>
              <w:top w:val="single" w:color="auto" w:sz="4" w:space="0"/>
              <w:left w:val="single" w:color="auto" w:sz="2" w:space="0"/>
              <w:bottom w:val="single" w:color="auto" w:sz="2" w:space="0"/>
              <w:right w:val="single" w:color="auto" w:sz="4" w:space="0"/>
            </w:tcBorders>
            <w:noWrap w:val="0"/>
            <w:vAlign w:val="center"/>
          </w:tcPr>
          <w:p w14:paraId="36BBC26C">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项目</w:t>
            </w:r>
          </w:p>
        </w:tc>
        <w:tc>
          <w:tcPr>
            <w:tcW w:w="7374" w:type="dxa"/>
            <w:tcBorders>
              <w:top w:val="single" w:color="auto" w:sz="4" w:space="0"/>
              <w:left w:val="single" w:color="auto" w:sz="4" w:space="0"/>
              <w:bottom w:val="single" w:color="auto" w:sz="2" w:space="0"/>
              <w:right w:val="single" w:color="auto" w:sz="2" w:space="0"/>
            </w:tcBorders>
            <w:noWrap w:val="0"/>
            <w:vAlign w:val="center"/>
          </w:tcPr>
          <w:p w14:paraId="074D22D1">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技术指标</w:t>
            </w:r>
          </w:p>
        </w:tc>
      </w:tr>
      <w:tr w14:paraId="22710D9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71" w:hRule="atLeast"/>
          <w:jc w:val="center"/>
        </w:trPr>
        <w:tc>
          <w:tcPr>
            <w:tcW w:w="1970" w:type="dxa"/>
            <w:tcBorders>
              <w:top w:val="single" w:color="auto" w:sz="2" w:space="0"/>
              <w:left w:val="single" w:color="auto" w:sz="2" w:space="0"/>
              <w:bottom w:val="single" w:color="auto" w:sz="2" w:space="0"/>
              <w:right w:val="single" w:color="auto" w:sz="4" w:space="0"/>
            </w:tcBorders>
            <w:noWrap w:val="0"/>
            <w:vAlign w:val="center"/>
          </w:tcPr>
          <w:p w14:paraId="3B020013">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测定原理</w:t>
            </w:r>
          </w:p>
        </w:tc>
        <w:tc>
          <w:tcPr>
            <w:tcW w:w="7374" w:type="dxa"/>
            <w:tcBorders>
              <w:top w:val="single" w:color="auto" w:sz="2" w:space="0"/>
              <w:left w:val="single" w:color="auto" w:sz="4" w:space="0"/>
              <w:bottom w:val="single" w:color="auto" w:sz="2" w:space="0"/>
              <w:right w:val="single" w:color="auto" w:sz="2" w:space="0"/>
            </w:tcBorders>
            <w:noWrap w:val="0"/>
            <w:vAlign w:val="center"/>
          </w:tcPr>
          <w:p w14:paraId="3A855A8D">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高锰酸钾氧化法</w:t>
            </w:r>
          </w:p>
        </w:tc>
      </w:tr>
      <w:tr w14:paraId="11276D1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71" w:hRule="atLeast"/>
          <w:jc w:val="center"/>
        </w:trPr>
        <w:tc>
          <w:tcPr>
            <w:tcW w:w="1970" w:type="dxa"/>
            <w:tcBorders>
              <w:top w:val="single" w:color="auto" w:sz="2" w:space="0"/>
              <w:left w:val="single" w:color="auto" w:sz="2" w:space="0"/>
              <w:bottom w:val="single" w:color="auto" w:sz="2" w:space="0"/>
              <w:right w:val="single" w:color="auto" w:sz="4" w:space="0"/>
            </w:tcBorders>
            <w:noWrap w:val="0"/>
            <w:vAlign w:val="center"/>
          </w:tcPr>
          <w:p w14:paraId="7FCD8958">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量程</w:t>
            </w:r>
          </w:p>
        </w:tc>
        <w:tc>
          <w:tcPr>
            <w:tcW w:w="7374" w:type="dxa"/>
            <w:tcBorders>
              <w:top w:val="single" w:color="auto" w:sz="2" w:space="0"/>
              <w:left w:val="single" w:color="auto" w:sz="4" w:space="0"/>
              <w:bottom w:val="single" w:color="auto" w:sz="2" w:space="0"/>
              <w:right w:val="single" w:color="auto" w:sz="2" w:space="0"/>
            </w:tcBorders>
            <w:noWrap w:val="0"/>
            <w:vAlign w:val="center"/>
          </w:tcPr>
          <w:p w14:paraId="32CB6D08">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0～5/10/20mg/L，可调</w:t>
            </w:r>
          </w:p>
        </w:tc>
      </w:tr>
      <w:tr w14:paraId="2428CF6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71" w:hRule="atLeast"/>
          <w:jc w:val="center"/>
        </w:trPr>
        <w:tc>
          <w:tcPr>
            <w:tcW w:w="1970" w:type="dxa"/>
            <w:tcBorders>
              <w:top w:val="single" w:color="auto" w:sz="2" w:space="0"/>
              <w:left w:val="single" w:color="auto" w:sz="2" w:space="0"/>
              <w:bottom w:val="single" w:color="auto" w:sz="2" w:space="0"/>
              <w:right w:val="single" w:color="auto" w:sz="4" w:space="0"/>
            </w:tcBorders>
            <w:noWrap w:val="0"/>
            <w:vAlign w:val="center"/>
          </w:tcPr>
          <w:p w14:paraId="2B0DC2B9">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零点漂移</w:t>
            </w:r>
          </w:p>
        </w:tc>
        <w:tc>
          <w:tcPr>
            <w:tcW w:w="7374" w:type="dxa"/>
            <w:tcBorders>
              <w:top w:val="single" w:color="auto" w:sz="2" w:space="0"/>
              <w:left w:val="single" w:color="auto" w:sz="4" w:space="0"/>
              <w:bottom w:val="single" w:color="auto" w:sz="2" w:space="0"/>
              <w:right w:val="single" w:color="auto" w:sz="2" w:space="0"/>
            </w:tcBorders>
            <w:noWrap w:val="0"/>
            <w:vAlign w:val="center"/>
          </w:tcPr>
          <w:p w14:paraId="3FD7BD9C">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≤±5%</w:t>
            </w:r>
          </w:p>
        </w:tc>
      </w:tr>
      <w:tr w14:paraId="72B016D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71" w:hRule="atLeast"/>
          <w:jc w:val="center"/>
        </w:trPr>
        <w:tc>
          <w:tcPr>
            <w:tcW w:w="1970" w:type="dxa"/>
            <w:tcBorders>
              <w:top w:val="single" w:color="auto" w:sz="2" w:space="0"/>
              <w:left w:val="single" w:color="auto" w:sz="2" w:space="0"/>
              <w:bottom w:val="single" w:color="auto" w:sz="2" w:space="0"/>
              <w:right w:val="single" w:color="auto" w:sz="4" w:space="0"/>
            </w:tcBorders>
            <w:noWrap w:val="0"/>
            <w:vAlign w:val="center"/>
          </w:tcPr>
          <w:p w14:paraId="4A8A04BE">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量程漂移</w:t>
            </w:r>
          </w:p>
        </w:tc>
        <w:tc>
          <w:tcPr>
            <w:tcW w:w="7374" w:type="dxa"/>
            <w:tcBorders>
              <w:top w:val="single" w:color="auto" w:sz="2" w:space="0"/>
              <w:left w:val="single" w:color="auto" w:sz="4" w:space="0"/>
              <w:bottom w:val="single" w:color="auto" w:sz="2" w:space="0"/>
              <w:right w:val="single" w:color="auto" w:sz="2" w:space="0"/>
            </w:tcBorders>
            <w:noWrap w:val="0"/>
            <w:vAlign w:val="center"/>
          </w:tcPr>
          <w:p w14:paraId="6374C3D6">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≤±5%</w:t>
            </w:r>
          </w:p>
        </w:tc>
      </w:tr>
      <w:tr w14:paraId="32C8A77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71" w:hRule="atLeast"/>
          <w:jc w:val="center"/>
        </w:trPr>
        <w:tc>
          <w:tcPr>
            <w:tcW w:w="1970" w:type="dxa"/>
            <w:tcBorders>
              <w:top w:val="single" w:color="auto" w:sz="2" w:space="0"/>
              <w:left w:val="single" w:color="auto" w:sz="2" w:space="0"/>
              <w:bottom w:val="single" w:color="auto" w:sz="2" w:space="0"/>
              <w:right w:val="single" w:color="auto" w:sz="4" w:space="0"/>
            </w:tcBorders>
            <w:noWrap w:val="0"/>
            <w:vAlign w:val="center"/>
          </w:tcPr>
          <w:p w14:paraId="3636F62F">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葡萄糖试验</w:t>
            </w:r>
          </w:p>
        </w:tc>
        <w:tc>
          <w:tcPr>
            <w:tcW w:w="7374" w:type="dxa"/>
            <w:tcBorders>
              <w:top w:val="single" w:color="auto" w:sz="2" w:space="0"/>
              <w:left w:val="single" w:color="auto" w:sz="4" w:space="0"/>
              <w:bottom w:val="single" w:color="auto" w:sz="2" w:space="0"/>
              <w:right w:val="single" w:color="auto" w:sz="2" w:space="0"/>
            </w:tcBorders>
            <w:noWrap w:val="0"/>
            <w:vAlign w:val="center"/>
          </w:tcPr>
          <w:p w14:paraId="2F67201C">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≤±5%（测量误差）</w:t>
            </w:r>
          </w:p>
        </w:tc>
      </w:tr>
      <w:tr w14:paraId="4012D91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71" w:hRule="atLeast"/>
          <w:jc w:val="center"/>
        </w:trPr>
        <w:tc>
          <w:tcPr>
            <w:tcW w:w="1970" w:type="dxa"/>
            <w:tcBorders>
              <w:top w:val="single" w:color="auto" w:sz="2" w:space="0"/>
              <w:left w:val="single" w:color="auto" w:sz="2" w:space="0"/>
              <w:bottom w:val="single" w:color="auto" w:sz="2" w:space="0"/>
              <w:right w:val="single" w:color="auto" w:sz="4" w:space="0"/>
            </w:tcBorders>
            <w:noWrap w:val="0"/>
            <w:vAlign w:val="center"/>
          </w:tcPr>
          <w:p w14:paraId="3B3C5B1B">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重复性</w:t>
            </w:r>
          </w:p>
        </w:tc>
        <w:tc>
          <w:tcPr>
            <w:tcW w:w="7374" w:type="dxa"/>
            <w:tcBorders>
              <w:top w:val="single" w:color="auto" w:sz="2" w:space="0"/>
              <w:left w:val="single" w:color="auto" w:sz="4" w:space="0"/>
              <w:bottom w:val="single" w:color="auto" w:sz="2" w:space="0"/>
              <w:right w:val="single" w:color="auto" w:sz="2" w:space="0"/>
            </w:tcBorders>
            <w:noWrap w:val="0"/>
            <w:vAlign w:val="center"/>
          </w:tcPr>
          <w:p w14:paraId="568EFE0D">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highlight w:val="none"/>
              </w:rPr>
              <w:t>≤±</w:t>
            </w:r>
            <w:r>
              <w:rPr>
                <w:rFonts w:hint="eastAsia" w:ascii="宋体" w:hAnsi="宋体" w:eastAsia="宋体" w:cs="Times New Roman"/>
                <w:color w:val="auto"/>
                <w:spacing w:val="0"/>
                <w:sz w:val="24"/>
                <w:szCs w:val="24"/>
                <w:highlight w:val="none"/>
                <w:lang w:val="en-US" w:eastAsia="zh-CN"/>
              </w:rPr>
              <w:t>5</w:t>
            </w:r>
            <w:r>
              <w:rPr>
                <w:rFonts w:hint="eastAsia" w:ascii="宋体" w:hAnsi="宋体" w:eastAsia="宋体" w:cs="Times New Roman"/>
                <w:color w:val="auto"/>
                <w:spacing w:val="0"/>
                <w:sz w:val="24"/>
                <w:szCs w:val="24"/>
                <w:highlight w:val="none"/>
              </w:rPr>
              <w:t>%</w:t>
            </w:r>
          </w:p>
        </w:tc>
      </w:tr>
      <w:tr w14:paraId="64B7F02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71" w:hRule="atLeast"/>
          <w:jc w:val="center"/>
        </w:trPr>
        <w:tc>
          <w:tcPr>
            <w:tcW w:w="1970" w:type="dxa"/>
            <w:tcBorders>
              <w:top w:val="single" w:color="auto" w:sz="2" w:space="0"/>
              <w:left w:val="single" w:color="auto" w:sz="2" w:space="0"/>
              <w:bottom w:val="single" w:color="auto" w:sz="2" w:space="0"/>
              <w:right w:val="single" w:color="auto" w:sz="4" w:space="0"/>
            </w:tcBorders>
            <w:noWrap w:val="0"/>
            <w:vAlign w:val="center"/>
          </w:tcPr>
          <w:p w14:paraId="5853CF5F">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MTBF</w:t>
            </w:r>
          </w:p>
        </w:tc>
        <w:tc>
          <w:tcPr>
            <w:tcW w:w="7374" w:type="dxa"/>
            <w:tcBorders>
              <w:top w:val="single" w:color="auto" w:sz="2" w:space="0"/>
              <w:left w:val="single" w:color="auto" w:sz="4" w:space="0"/>
              <w:bottom w:val="single" w:color="auto" w:sz="2" w:space="0"/>
              <w:right w:val="single" w:color="auto" w:sz="2" w:space="0"/>
            </w:tcBorders>
            <w:noWrap w:val="0"/>
            <w:vAlign w:val="center"/>
          </w:tcPr>
          <w:p w14:paraId="748393DE">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≥720 h/次</w:t>
            </w:r>
          </w:p>
        </w:tc>
      </w:tr>
      <w:tr w14:paraId="36FE647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71" w:hRule="atLeast"/>
          <w:jc w:val="center"/>
        </w:trPr>
        <w:tc>
          <w:tcPr>
            <w:tcW w:w="1970" w:type="dxa"/>
            <w:tcBorders>
              <w:top w:val="single" w:color="auto" w:sz="2" w:space="0"/>
              <w:left w:val="single" w:color="auto" w:sz="2" w:space="0"/>
              <w:bottom w:val="single" w:color="auto" w:sz="2" w:space="0"/>
              <w:right w:val="single" w:color="auto" w:sz="4" w:space="0"/>
            </w:tcBorders>
            <w:noWrap w:val="0"/>
            <w:vAlign w:val="center"/>
          </w:tcPr>
          <w:p w14:paraId="4E513FEF">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抗浊度干扰</w:t>
            </w:r>
          </w:p>
        </w:tc>
        <w:tc>
          <w:tcPr>
            <w:tcW w:w="7374" w:type="dxa"/>
            <w:tcBorders>
              <w:top w:val="single" w:color="auto" w:sz="2" w:space="0"/>
              <w:left w:val="single" w:color="auto" w:sz="4" w:space="0"/>
              <w:bottom w:val="single" w:color="auto" w:sz="2" w:space="0"/>
              <w:right w:val="single" w:color="auto" w:sz="2" w:space="0"/>
            </w:tcBorders>
            <w:noWrap w:val="0"/>
          </w:tcPr>
          <w:p w14:paraId="48AA5447">
            <w:pPr>
              <w:widowControl w:val="0"/>
              <w:spacing w:line="240" w:lineRule="auto"/>
              <w:jc w:val="both"/>
              <w:rPr>
                <w:rFonts w:hint="eastAsia" w:ascii="宋体" w:hAnsi="宋体" w:eastAsia="宋体" w:cs="Times New Roman"/>
                <w:color w:val="auto"/>
                <w:spacing w:val="0"/>
                <w:sz w:val="24"/>
                <w:szCs w:val="24"/>
                <w:lang w:eastAsia="zh-CN"/>
              </w:rPr>
            </w:pPr>
            <w:r>
              <w:rPr>
                <w:rFonts w:hint="eastAsia" w:ascii="宋体" w:hAnsi="宋体" w:eastAsia="宋体" w:cs="Times New Roman"/>
                <w:color w:val="auto"/>
                <w:spacing w:val="0"/>
                <w:sz w:val="24"/>
                <w:szCs w:val="24"/>
              </w:rPr>
              <w:t>可根据样品实际情况(如浊度、色度),自动调整计量进样单元的样品终点信号。</w:t>
            </w:r>
          </w:p>
        </w:tc>
      </w:tr>
      <w:tr w14:paraId="2C9F532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71" w:hRule="atLeast"/>
          <w:jc w:val="center"/>
        </w:trPr>
        <w:tc>
          <w:tcPr>
            <w:tcW w:w="1970" w:type="dxa"/>
            <w:tcBorders>
              <w:top w:val="single" w:color="auto" w:sz="2" w:space="0"/>
              <w:left w:val="single" w:color="auto" w:sz="2" w:space="0"/>
              <w:bottom w:val="single" w:color="auto" w:sz="2" w:space="0"/>
              <w:right w:val="single" w:color="auto" w:sz="4" w:space="0"/>
            </w:tcBorders>
            <w:noWrap w:val="0"/>
            <w:vAlign w:val="center"/>
          </w:tcPr>
          <w:p w14:paraId="3791D639">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测试数据标记</w:t>
            </w:r>
          </w:p>
        </w:tc>
        <w:tc>
          <w:tcPr>
            <w:tcW w:w="7374" w:type="dxa"/>
            <w:tcBorders>
              <w:top w:val="single" w:color="auto" w:sz="2" w:space="0"/>
              <w:left w:val="single" w:color="auto" w:sz="4" w:space="0"/>
              <w:bottom w:val="single" w:color="auto" w:sz="2" w:space="0"/>
              <w:right w:val="single" w:color="auto" w:sz="2" w:space="0"/>
            </w:tcBorders>
            <w:noWrap w:val="0"/>
            <w:vAlign w:val="center"/>
          </w:tcPr>
          <w:p w14:paraId="21A98D77">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具备测试数据标记功能，能够识别测试数据属性</w:t>
            </w:r>
          </w:p>
        </w:tc>
      </w:tr>
      <w:tr w14:paraId="101B13B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71" w:hRule="atLeast"/>
          <w:jc w:val="center"/>
        </w:trPr>
        <w:tc>
          <w:tcPr>
            <w:tcW w:w="1970" w:type="dxa"/>
            <w:tcBorders>
              <w:top w:val="single" w:color="auto" w:sz="2" w:space="0"/>
              <w:left w:val="single" w:color="auto" w:sz="2" w:space="0"/>
              <w:bottom w:val="single" w:color="auto" w:sz="2" w:space="0"/>
              <w:right w:val="single" w:color="auto" w:sz="4" w:space="0"/>
            </w:tcBorders>
            <w:noWrap w:val="0"/>
            <w:vAlign w:val="center"/>
          </w:tcPr>
          <w:p w14:paraId="392178B9">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分析时间</w:t>
            </w:r>
          </w:p>
        </w:tc>
        <w:tc>
          <w:tcPr>
            <w:tcW w:w="7374" w:type="dxa"/>
            <w:tcBorders>
              <w:top w:val="single" w:color="auto" w:sz="2" w:space="0"/>
              <w:left w:val="single" w:color="auto" w:sz="4" w:space="0"/>
              <w:bottom w:val="single" w:color="auto" w:sz="2" w:space="0"/>
              <w:right w:val="single" w:color="auto" w:sz="2" w:space="0"/>
            </w:tcBorders>
            <w:noWrap w:val="0"/>
            <w:vAlign w:val="center"/>
          </w:tcPr>
          <w:p w14:paraId="367A6619">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≤55分钟</w:t>
            </w:r>
          </w:p>
        </w:tc>
      </w:tr>
      <w:tr w14:paraId="15D15C6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71" w:hRule="atLeast"/>
          <w:jc w:val="center"/>
        </w:trPr>
        <w:tc>
          <w:tcPr>
            <w:tcW w:w="1970" w:type="dxa"/>
            <w:tcBorders>
              <w:top w:val="single" w:color="auto" w:sz="2" w:space="0"/>
              <w:left w:val="single" w:color="auto" w:sz="2" w:space="0"/>
              <w:bottom w:val="single" w:color="auto" w:sz="2" w:space="0"/>
              <w:right w:val="single" w:color="auto" w:sz="4" w:space="0"/>
            </w:tcBorders>
            <w:noWrap w:val="0"/>
            <w:vAlign w:val="center"/>
          </w:tcPr>
          <w:p w14:paraId="6064572F">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24小时零点漂移</w:t>
            </w:r>
          </w:p>
        </w:tc>
        <w:tc>
          <w:tcPr>
            <w:tcW w:w="7374" w:type="dxa"/>
            <w:tcBorders>
              <w:top w:val="single" w:color="auto" w:sz="2" w:space="0"/>
              <w:left w:val="single" w:color="auto" w:sz="4" w:space="0"/>
              <w:bottom w:val="single" w:color="auto" w:sz="2" w:space="0"/>
              <w:right w:val="single" w:color="auto" w:sz="2" w:space="0"/>
            </w:tcBorders>
            <w:noWrap w:val="0"/>
          </w:tcPr>
          <w:p w14:paraId="0F35AAD1">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≤±5%</w:t>
            </w:r>
          </w:p>
        </w:tc>
      </w:tr>
      <w:tr w14:paraId="06B730A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71" w:hRule="atLeast"/>
          <w:jc w:val="center"/>
        </w:trPr>
        <w:tc>
          <w:tcPr>
            <w:tcW w:w="1970" w:type="dxa"/>
            <w:tcBorders>
              <w:top w:val="single" w:color="auto" w:sz="2" w:space="0"/>
              <w:left w:val="single" w:color="auto" w:sz="2" w:space="0"/>
              <w:bottom w:val="single" w:color="auto" w:sz="2" w:space="0"/>
              <w:right w:val="single" w:color="auto" w:sz="4" w:space="0"/>
            </w:tcBorders>
            <w:noWrap w:val="0"/>
            <w:vAlign w:val="center"/>
          </w:tcPr>
          <w:p w14:paraId="4DA918A5">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24小时量程漂移</w:t>
            </w:r>
          </w:p>
        </w:tc>
        <w:tc>
          <w:tcPr>
            <w:tcW w:w="7374" w:type="dxa"/>
            <w:tcBorders>
              <w:top w:val="single" w:color="auto" w:sz="2" w:space="0"/>
              <w:left w:val="single" w:color="auto" w:sz="4" w:space="0"/>
              <w:bottom w:val="single" w:color="auto" w:sz="2" w:space="0"/>
              <w:right w:val="single" w:color="auto" w:sz="2" w:space="0"/>
            </w:tcBorders>
            <w:noWrap w:val="0"/>
          </w:tcPr>
          <w:p w14:paraId="0FFC1B29">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≤±5%</w:t>
            </w:r>
          </w:p>
        </w:tc>
      </w:tr>
      <w:tr w14:paraId="401DF8E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71" w:hRule="atLeast"/>
          <w:jc w:val="center"/>
        </w:trPr>
        <w:tc>
          <w:tcPr>
            <w:tcW w:w="1970" w:type="dxa"/>
            <w:tcBorders>
              <w:top w:val="single" w:color="auto" w:sz="2" w:space="0"/>
              <w:left w:val="single" w:color="auto" w:sz="2" w:space="0"/>
              <w:bottom w:val="single" w:color="auto" w:sz="2" w:space="0"/>
              <w:right w:val="single" w:color="auto" w:sz="4" w:space="0"/>
            </w:tcBorders>
            <w:noWrap w:val="0"/>
            <w:vAlign w:val="center"/>
          </w:tcPr>
          <w:p w14:paraId="4211928D">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标样核查</w:t>
            </w:r>
          </w:p>
        </w:tc>
        <w:tc>
          <w:tcPr>
            <w:tcW w:w="7374" w:type="dxa"/>
            <w:tcBorders>
              <w:top w:val="single" w:color="auto" w:sz="2" w:space="0"/>
              <w:left w:val="single" w:color="auto" w:sz="4" w:space="0"/>
              <w:bottom w:val="single" w:color="auto" w:sz="2" w:space="0"/>
              <w:right w:val="single" w:color="auto" w:sz="2" w:space="0"/>
            </w:tcBorders>
            <w:noWrap w:val="0"/>
          </w:tcPr>
          <w:p w14:paraId="6415FB7E">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≤±5%</w:t>
            </w:r>
          </w:p>
        </w:tc>
      </w:tr>
      <w:tr w14:paraId="441080A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71" w:hRule="atLeast"/>
          <w:jc w:val="center"/>
        </w:trPr>
        <w:tc>
          <w:tcPr>
            <w:tcW w:w="1970" w:type="dxa"/>
            <w:tcBorders>
              <w:top w:val="single" w:color="auto" w:sz="2" w:space="0"/>
              <w:left w:val="single" w:color="auto" w:sz="2" w:space="0"/>
              <w:bottom w:val="single" w:color="auto" w:sz="2" w:space="0"/>
              <w:right w:val="single" w:color="auto" w:sz="4" w:space="0"/>
            </w:tcBorders>
            <w:noWrap w:val="0"/>
            <w:vAlign w:val="center"/>
          </w:tcPr>
          <w:p w14:paraId="2232912E">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加标回收率</w:t>
            </w:r>
          </w:p>
        </w:tc>
        <w:tc>
          <w:tcPr>
            <w:tcW w:w="7374" w:type="dxa"/>
            <w:tcBorders>
              <w:top w:val="single" w:color="auto" w:sz="2" w:space="0"/>
              <w:left w:val="single" w:color="auto" w:sz="4" w:space="0"/>
              <w:bottom w:val="single" w:color="auto" w:sz="2" w:space="0"/>
              <w:right w:val="single" w:color="auto" w:sz="2" w:space="0"/>
            </w:tcBorders>
            <w:noWrap w:val="0"/>
          </w:tcPr>
          <w:p w14:paraId="4323BF80">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90%～110%</w:t>
            </w:r>
          </w:p>
        </w:tc>
      </w:tr>
    </w:tbl>
    <w:p w14:paraId="5614F20E">
      <w:pPr>
        <w:widowControl/>
        <w:spacing w:line="360" w:lineRule="auto"/>
        <w:ind w:firstLine="482"/>
        <w:jc w:val="left"/>
        <w:outlineLvl w:val="9"/>
        <w:rPr>
          <w:rFonts w:hint="eastAsia" w:ascii="宋体" w:hAnsi="宋体" w:eastAsia="宋体" w:cs="Arial"/>
          <w:b/>
          <w:bCs/>
          <w:color w:val="auto"/>
          <w:spacing w:val="0"/>
          <w:sz w:val="24"/>
          <w:szCs w:val="24"/>
          <w:lang w:val="en-US" w:eastAsia="zh-CN" w:bidi="ar-SA"/>
        </w:rPr>
      </w:pPr>
      <w:bookmarkStart w:id="244" w:name="_Toc18855283"/>
      <w:bookmarkEnd w:id="244"/>
      <w:bookmarkStart w:id="245" w:name="_Toc18855107"/>
      <w:bookmarkEnd w:id="245"/>
      <w:bookmarkStart w:id="246" w:name="_Toc505184822"/>
      <w:bookmarkEnd w:id="246"/>
      <w:bookmarkStart w:id="247" w:name="_Toc505252671"/>
      <w:bookmarkEnd w:id="247"/>
      <w:bookmarkStart w:id="248" w:name="_Toc20320068"/>
      <w:r>
        <w:rPr>
          <w:rFonts w:hint="eastAsia" w:ascii="宋体" w:hAnsi="宋体" w:eastAsia="宋体" w:cs="Arial"/>
          <w:b/>
          <w:bCs/>
          <w:color w:val="auto"/>
          <w:spacing w:val="0"/>
          <w:sz w:val="24"/>
          <w:szCs w:val="24"/>
          <w:lang w:val="en-US" w:eastAsia="zh-CN" w:bidi="ar-SA"/>
        </w:rPr>
        <w:t>2.4、总磷水质自动分析仪</w:t>
      </w:r>
      <w:bookmarkEnd w:id="248"/>
    </w:p>
    <w:tbl>
      <w:tblPr>
        <w:tblStyle w:val="15"/>
        <w:tblW w:w="9359"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1993"/>
        <w:gridCol w:w="7366"/>
      </w:tblGrid>
      <w:tr w14:paraId="3AAD7EB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33" w:hRule="atLeast"/>
          <w:jc w:val="center"/>
        </w:trPr>
        <w:tc>
          <w:tcPr>
            <w:tcW w:w="1993" w:type="dxa"/>
            <w:tcBorders>
              <w:top w:val="single" w:color="auto" w:sz="2" w:space="0"/>
              <w:left w:val="single" w:color="auto" w:sz="2" w:space="0"/>
              <w:bottom w:val="single" w:color="auto" w:sz="2" w:space="0"/>
              <w:right w:val="single" w:color="auto" w:sz="4" w:space="0"/>
            </w:tcBorders>
            <w:noWrap w:val="0"/>
            <w:vAlign w:val="center"/>
          </w:tcPr>
          <w:p w14:paraId="48208838">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项目</w:t>
            </w:r>
          </w:p>
        </w:tc>
        <w:tc>
          <w:tcPr>
            <w:tcW w:w="7366" w:type="dxa"/>
            <w:tcBorders>
              <w:top w:val="single" w:color="auto" w:sz="2" w:space="0"/>
              <w:left w:val="single" w:color="auto" w:sz="4" w:space="0"/>
              <w:bottom w:val="single" w:color="auto" w:sz="2" w:space="0"/>
              <w:right w:val="single" w:color="auto" w:sz="2" w:space="0"/>
            </w:tcBorders>
            <w:noWrap w:val="0"/>
            <w:vAlign w:val="center"/>
          </w:tcPr>
          <w:p w14:paraId="2C377F81">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技术指标</w:t>
            </w:r>
          </w:p>
        </w:tc>
      </w:tr>
      <w:tr w14:paraId="29A4F91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33" w:hRule="atLeast"/>
          <w:jc w:val="center"/>
        </w:trPr>
        <w:tc>
          <w:tcPr>
            <w:tcW w:w="1993" w:type="dxa"/>
            <w:tcBorders>
              <w:top w:val="single" w:color="auto" w:sz="2" w:space="0"/>
              <w:left w:val="single" w:color="auto" w:sz="2" w:space="0"/>
              <w:bottom w:val="single" w:color="auto" w:sz="2" w:space="0"/>
              <w:right w:val="single" w:color="auto" w:sz="4" w:space="0"/>
            </w:tcBorders>
            <w:noWrap w:val="0"/>
            <w:vAlign w:val="center"/>
          </w:tcPr>
          <w:p w14:paraId="57F5C640">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测定原理</w:t>
            </w:r>
          </w:p>
        </w:tc>
        <w:tc>
          <w:tcPr>
            <w:tcW w:w="7366" w:type="dxa"/>
            <w:tcBorders>
              <w:top w:val="single" w:color="auto" w:sz="2" w:space="0"/>
              <w:left w:val="single" w:color="auto" w:sz="4" w:space="0"/>
              <w:bottom w:val="single" w:color="auto" w:sz="2" w:space="0"/>
              <w:right w:val="single" w:color="auto" w:sz="2" w:space="0"/>
            </w:tcBorders>
            <w:noWrap w:val="0"/>
            <w:vAlign w:val="center"/>
          </w:tcPr>
          <w:p w14:paraId="72DE852C">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钼酸铵分光光度法</w:t>
            </w:r>
          </w:p>
        </w:tc>
      </w:tr>
      <w:tr w14:paraId="082A531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88" w:hRule="atLeast"/>
          <w:jc w:val="center"/>
        </w:trPr>
        <w:tc>
          <w:tcPr>
            <w:tcW w:w="1993" w:type="dxa"/>
            <w:tcBorders>
              <w:top w:val="single" w:color="auto" w:sz="2" w:space="0"/>
              <w:left w:val="single" w:color="auto" w:sz="2" w:space="0"/>
              <w:bottom w:val="single" w:color="auto" w:sz="2" w:space="0"/>
              <w:right w:val="single" w:color="auto" w:sz="4" w:space="0"/>
            </w:tcBorders>
            <w:noWrap w:val="0"/>
            <w:vAlign w:val="center"/>
          </w:tcPr>
          <w:p w14:paraId="6D509440">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量程</w:t>
            </w:r>
          </w:p>
        </w:tc>
        <w:tc>
          <w:tcPr>
            <w:tcW w:w="7366" w:type="dxa"/>
            <w:tcBorders>
              <w:top w:val="single" w:color="auto" w:sz="2" w:space="0"/>
              <w:left w:val="single" w:color="auto" w:sz="4" w:space="0"/>
              <w:bottom w:val="single" w:color="auto" w:sz="2" w:space="0"/>
              <w:right w:val="single" w:color="auto" w:sz="2" w:space="0"/>
            </w:tcBorders>
            <w:noWrap w:val="0"/>
            <w:vAlign w:val="center"/>
          </w:tcPr>
          <w:p w14:paraId="7C0B6CCD">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0～0.5/1/2mg/L，可调</w:t>
            </w:r>
          </w:p>
        </w:tc>
      </w:tr>
      <w:tr w14:paraId="6A4BE02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51" w:hRule="atLeast"/>
          <w:jc w:val="center"/>
        </w:trPr>
        <w:tc>
          <w:tcPr>
            <w:tcW w:w="1993" w:type="dxa"/>
            <w:tcBorders>
              <w:top w:val="single" w:color="auto" w:sz="2" w:space="0"/>
              <w:left w:val="single" w:color="auto" w:sz="2" w:space="0"/>
              <w:bottom w:val="single" w:color="auto" w:sz="2" w:space="0"/>
              <w:right w:val="single" w:color="auto" w:sz="4" w:space="0"/>
            </w:tcBorders>
            <w:noWrap w:val="0"/>
            <w:vAlign w:val="center"/>
          </w:tcPr>
          <w:p w14:paraId="64DBF807">
            <w:pPr>
              <w:widowControl w:val="0"/>
              <w:spacing w:line="240" w:lineRule="auto"/>
              <w:jc w:val="both"/>
              <w:rPr>
                <w:rFonts w:hint="eastAsia" w:ascii="宋体" w:hAnsi="宋体" w:eastAsia="宋体" w:cs="Times New Roman"/>
                <w:color w:val="auto"/>
                <w:spacing w:val="0"/>
                <w:sz w:val="24"/>
                <w:szCs w:val="24"/>
                <w:lang w:val="en-US" w:eastAsia="zh-CN"/>
              </w:rPr>
            </w:pPr>
            <w:r>
              <w:rPr>
                <w:rFonts w:hint="eastAsia" w:ascii="宋体" w:hAnsi="宋体" w:eastAsia="宋体" w:cs="Times New Roman"/>
                <w:color w:val="auto"/>
                <w:spacing w:val="0"/>
                <w:sz w:val="24"/>
                <w:szCs w:val="24"/>
              </w:rPr>
              <w:t>零点漂移</w:t>
            </w:r>
          </w:p>
        </w:tc>
        <w:tc>
          <w:tcPr>
            <w:tcW w:w="7366" w:type="dxa"/>
            <w:tcBorders>
              <w:top w:val="single" w:color="auto" w:sz="2" w:space="0"/>
              <w:left w:val="single" w:color="auto" w:sz="4" w:space="0"/>
              <w:bottom w:val="single" w:color="auto" w:sz="2" w:space="0"/>
              <w:right w:val="single" w:color="auto" w:sz="2" w:space="0"/>
            </w:tcBorders>
            <w:noWrap w:val="0"/>
            <w:vAlign w:val="center"/>
          </w:tcPr>
          <w:p w14:paraId="0ACBB43F">
            <w:pPr>
              <w:widowControl w:val="0"/>
              <w:spacing w:line="240" w:lineRule="auto"/>
              <w:jc w:val="both"/>
              <w:rPr>
                <w:rFonts w:hint="eastAsia" w:ascii="宋体" w:hAnsi="宋体" w:eastAsia="宋体" w:cs="Times New Roman"/>
                <w:color w:val="auto"/>
                <w:spacing w:val="0"/>
                <w:sz w:val="24"/>
                <w:szCs w:val="24"/>
                <w:lang w:val="en-US" w:eastAsia="zh-CN"/>
              </w:rPr>
            </w:pPr>
            <w:r>
              <w:rPr>
                <w:rFonts w:hint="eastAsia" w:ascii="宋体" w:hAnsi="宋体" w:eastAsia="宋体" w:cs="Times New Roman"/>
                <w:color w:val="auto"/>
                <w:spacing w:val="0"/>
                <w:sz w:val="24"/>
                <w:szCs w:val="24"/>
              </w:rPr>
              <w:t>±</w:t>
            </w:r>
            <w:r>
              <w:rPr>
                <w:rFonts w:hint="eastAsia" w:ascii="宋体" w:hAnsi="宋体" w:cs="Times New Roman"/>
                <w:color w:val="auto"/>
                <w:spacing w:val="0"/>
                <w:sz w:val="24"/>
                <w:szCs w:val="24"/>
                <w:lang w:val="en-US" w:eastAsia="zh-CN"/>
              </w:rPr>
              <w:t>2</w:t>
            </w:r>
            <w:r>
              <w:rPr>
                <w:rFonts w:hint="eastAsia" w:ascii="宋体" w:hAnsi="宋体" w:eastAsia="宋体" w:cs="Times New Roman"/>
                <w:color w:val="auto"/>
                <w:spacing w:val="0"/>
                <w:sz w:val="24"/>
                <w:szCs w:val="24"/>
              </w:rPr>
              <w:t>%</w:t>
            </w:r>
          </w:p>
        </w:tc>
      </w:tr>
      <w:tr w14:paraId="5D8EFD0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51" w:hRule="atLeast"/>
          <w:jc w:val="center"/>
        </w:trPr>
        <w:tc>
          <w:tcPr>
            <w:tcW w:w="1993" w:type="dxa"/>
            <w:tcBorders>
              <w:top w:val="single" w:color="auto" w:sz="2" w:space="0"/>
              <w:left w:val="single" w:color="auto" w:sz="2" w:space="0"/>
              <w:bottom w:val="single" w:color="auto" w:sz="2" w:space="0"/>
              <w:right w:val="single" w:color="auto" w:sz="4" w:space="0"/>
            </w:tcBorders>
            <w:noWrap w:val="0"/>
            <w:vAlign w:val="center"/>
          </w:tcPr>
          <w:p w14:paraId="318F0B94">
            <w:pPr>
              <w:widowControl w:val="0"/>
              <w:spacing w:line="240" w:lineRule="auto"/>
              <w:jc w:val="both"/>
              <w:rPr>
                <w:rFonts w:hint="eastAsia" w:ascii="宋体" w:hAnsi="宋体" w:eastAsia="宋体" w:cs="Times New Roman"/>
                <w:color w:val="auto"/>
                <w:spacing w:val="0"/>
                <w:sz w:val="24"/>
                <w:szCs w:val="24"/>
                <w:lang w:val="en-US" w:eastAsia="zh-CN"/>
              </w:rPr>
            </w:pPr>
            <w:r>
              <w:rPr>
                <w:rFonts w:hint="eastAsia" w:ascii="宋体" w:hAnsi="宋体" w:eastAsia="宋体" w:cs="Times New Roman"/>
                <w:color w:val="auto"/>
                <w:spacing w:val="0"/>
                <w:sz w:val="24"/>
                <w:szCs w:val="24"/>
              </w:rPr>
              <w:t>量程漂移</w:t>
            </w:r>
          </w:p>
        </w:tc>
        <w:tc>
          <w:tcPr>
            <w:tcW w:w="7366" w:type="dxa"/>
            <w:tcBorders>
              <w:top w:val="single" w:color="auto" w:sz="2" w:space="0"/>
              <w:left w:val="single" w:color="auto" w:sz="4" w:space="0"/>
              <w:bottom w:val="single" w:color="auto" w:sz="2" w:space="0"/>
              <w:right w:val="single" w:color="auto" w:sz="2" w:space="0"/>
            </w:tcBorders>
            <w:noWrap w:val="0"/>
            <w:vAlign w:val="center"/>
          </w:tcPr>
          <w:p w14:paraId="4A121366">
            <w:pPr>
              <w:widowControl w:val="0"/>
              <w:spacing w:line="240" w:lineRule="auto"/>
              <w:jc w:val="both"/>
              <w:rPr>
                <w:rFonts w:hint="eastAsia" w:ascii="宋体" w:hAnsi="宋体" w:eastAsia="宋体" w:cs="Times New Roman"/>
                <w:color w:val="auto"/>
                <w:spacing w:val="0"/>
                <w:sz w:val="24"/>
                <w:szCs w:val="24"/>
                <w:lang w:val="en-US" w:eastAsia="zh-CN"/>
              </w:rPr>
            </w:pPr>
            <w:r>
              <w:rPr>
                <w:rFonts w:hint="eastAsia" w:ascii="宋体" w:hAnsi="宋体" w:eastAsia="宋体" w:cs="Times New Roman"/>
                <w:color w:val="auto"/>
                <w:spacing w:val="0"/>
                <w:sz w:val="24"/>
                <w:szCs w:val="24"/>
              </w:rPr>
              <w:t>±</w:t>
            </w:r>
            <w:r>
              <w:rPr>
                <w:rFonts w:hint="eastAsia" w:ascii="宋体" w:hAnsi="宋体" w:cs="Times New Roman"/>
                <w:color w:val="auto"/>
                <w:spacing w:val="0"/>
                <w:sz w:val="24"/>
                <w:szCs w:val="24"/>
                <w:lang w:val="en-US" w:eastAsia="zh-CN"/>
              </w:rPr>
              <w:t>2</w:t>
            </w:r>
            <w:r>
              <w:rPr>
                <w:rFonts w:hint="eastAsia" w:ascii="宋体" w:hAnsi="宋体" w:eastAsia="宋体" w:cs="Times New Roman"/>
                <w:color w:val="auto"/>
                <w:spacing w:val="0"/>
                <w:sz w:val="24"/>
                <w:szCs w:val="24"/>
              </w:rPr>
              <w:t>%</w:t>
            </w:r>
          </w:p>
        </w:tc>
      </w:tr>
      <w:tr w14:paraId="48FD9B7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51" w:hRule="atLeast"/>
          <w:jc w:val="center"/>
        </w:trPr>
        <w:tc>
          <w:tcPr>
            <w:tcW w:w="1993" w:type="dxa"/>
            <w:tcBorders>
              <w:top w:val="single" w:color="auto" w:sz="2" w:space="0"/>
              <w:left w:val="single" w:color="auto" w:sz="2" w:space="0"/>
              <w:bottom w:val="single" w:color="auto" w:sz="2" w:space="0"/>
              <w:right w:val="single" w:color="auto" w:sz="4" w:space="0"/>
            </w:tcBorders>
            <w:noWrap w:val="0"/>
            <w:vAlign w:val="center"/>
          </w:tcPr>
          <w:p w14:paraId="258076FC">
            <w:pPr>
              <w:widowControl w:val="0"/>
              <w:spacing w:line="240" w:lineRule="auto"/>
              <w:jc w:val="both"/>
              <w:rPr>
                <w:rFonts w:hint="eastAsia" w:ascii="宋体" w:hAnsi="宋体" w:eastAsia="宋体" w:cs="Times New Roman"/>
                <w:color w:val="auto"/>
                <w:spacing w:val="0"/>
                <w:sz w:val="24"/>
                <w:szCs w:val="24"/>
                <w:lang w:val="en-US" w:eastAsia="zh-CN"/>
              </w:rPr>
            </w:pPr>
            <w:r>
              <w:rPr>
                <w:rFonts w:hint="eastAsia" w:ascii="宋体" w:hAnsi="宋体" w:eastAsia="宋体" w:cs="Times New Roman"/>
                <w:color w:val="auto"/>
                <w:spacing w:val="0"/>
                <w:sz w:val="24"/>
                <w:szCs w:val="24"/>
              </w:rPr>
              <w:t>直线性</w:t>
            </w:r>
          </w:p>
        </w:tc>
        <w:tc>
          <w:tcPr>
            <w:tcW w:w="7366" w:type="dxa"/>
            <w:tcBorders>
              <w:top w:val="single" w:color="auto" w:sz="2" w:space="0"/>
              <w:left w:val="single" w:color="auto" w:sz="4" w:space="0"/>
              <w:bottom w:val="single" w:color="auto" w:sz="2" w:space="0"/>
              <w:right w:val="single" w:color="auto" w:sz="2" w:space="0"/>
            </w:tcBorders>
            <w:noWrap w:val="0"/>
            <w:vAlign w:val="center"/>
          </w:tcPr>
          <w:p w14:paraId="24393159">
            <w:pPr>
              <w:widowControl w:val="0"/>
              <w:spacing w:line="240" w:lineRule="auto"/>
              <w:jc w:val="both"/>
              <w:rPr>
                <w:rFonts w:hint="eastAsia" w:ascii="宋体" w:hAnsi="宋体" w:eastAsia="宋体" w:cs="Times New Roman"/>
                <w:color w:val="auto"/>
                <w:spacing w:val="0"/>
                <w:sz w:val="24"/>
                <w:szCs w:val="24"/>
                <w:lang w:val="en-US" w:eastAsia="zh-CN"/>
              </w:rPr>
            </w:pPr>
            <w:r>
              <w:rPr>
                <w:rFonts w:hint="eastAsia" w:ascii="宋体" w:hAnsi="宋体" w:eastAsia="宋体" w:cs="Times New Roman"/>
                <w:color w:val="auto"/>
                <w:spacing w:val="0"/>
                <w:sz w:val="24"/>
                <w:szCs w:val="24"/>
              </w:rPr>
              <w:t>±</w:t>
            </w:r>
            <w:r>
              <w:rPr>
                <w:rFonts w:hint="eastAsia" w:ascii="宋体" w:hAnsi="宋体" w:cs="Times New Roman"/>
                <w:color w:val="auto"/>
                <w:spacing w:val="0"/>
                <w:sz w:val="24"/>
                <w:szCs w:val="24"/>
                <w:lang w:val="en-US" w:eastAsia="zh-CN"/>
              </w:rPr>
              <w:t>4</w:t>
            </w:r>
            <w:r>
              <w:rPr>
                <w:rFonts w:hint="eastAsia" w:ascii="宋体" w:hAnsi="宋体" w:eastAsia="宋体" w:cs="Times New Roman"/>
                <w:color w:val="auto"/>
                <w:spacing w:val="0"/>
                <w:sz w:val="24"/>
                <w:szCs w:val="24"/>
              </w:rPr>
              <w:t>%</w:t>
            </w:r>
          </w:p>
        </w:tc>
      </w:tr>
      <w:tr w14:paraId="2407169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51" w:hRule="atLeast"/>
          <w:jc w:val="center"/>
        </w:trPr>
        <w:tc>
          <w:tcPr>
            <w:tcW w:w="1993" w:type="dxa"/>
            <w:tcBorders>
              <w:top w:val="single" w:color="auto" w:sz="2" w:space="0"/>
              <w:left w:val="single" w:color="auto" w:sz="2" w:space="0"/>
              <w:bottom w:val="single" w:color="auto" w:sz="2" w:space="0"/>
              <w:right w:val="single" w:color="auto" w:sz="4" w:space="0"/>
            </w:tcBorders>
            <w:noWrap w:val="0"/>
            <w:vAlign w:val="center"/>
          </w:tcPr>
          <w:p w14:paraId="484C1EAB">
            <w:pPr>
              <w:widowControl w:val="0"/>
              <w:spacing w:line="240" w:lineRule="auto"/>
              <w:jc w:val="both"/>
              <w:rPr>
                <w:rFonts w:hint="eastAsia" w:ascii="宋体" w:hAnsi="宋体" w:eastAsia="宋体" w:cs="Times New Roman"/>
                <w:color w:val="auto"/>
                <w:spacing w:val="0"/>
                <w:sz w:val="24"/>
                <w:szCs w:val="24"/>
                <w:lang w:val="en-US" w:eastAsia="zh-CN"/>
              </w:rPr>
            </w:pPr>
            <w:r>
              <w:rPr>
                <w:rFonts w:hint="eastAsia" w:ascii="宋体" w:hAnsi="宋体" w:eastAsia="宋体" w:cs="Times New Roman"/>
                <w:color w:val="auto"/>
                <w:spacing w:val="0"/>
                <w:sz w:val="24"/>
                <w:szCs w:val="24"/>
              </w:rPr>
              <w:t>重复性</w:t>
            </w:r>
          </w:p>
        </w:tc>
        <w:tc>
          <w:tcPr>
            <w:tcW w:w="7366" w:type="dxa"/>
            <w:tcBorders>
              <w:top w:val="single" w:color="auto" w:sz="2" w:space="0"/>
              <w:left w:val="single" w:color="auto" w:sz="4" w:space="0"/>
              <w:bottom w:val="single" w:color="auto" w:sz="2" w:space="0"/>
              <w:right w:val="single" w:color="auto" w:sz="2" w:space="0"/>
            </w:tcBorders>
            <w:noWrap w:val="0"/>
            <w:vAlign w:val="center"/>
          </w:tcPr>
          <w:p w14:paraId="3384A6A2">
            <w:pPr>
              <w:widowControl w:val="0"/>
              <w:spacing w:line="240" w:lineRule="auto"/>
              <w:jc w:val="both"/>
              <w:rPr>
                <w:rFonts w:hint="eastAsia" w:ascii="宋体" w:hAnsi="宋体" w:eastAsia="宋体" w:cs="Times New Roman"/>
                <w:color w:val="auto"/>
                <w:spacing w:val="0"/>
                <w:sz w:val="24"/>
                <w:szCs w:val="24"/>
                <w:lang w:val="en-US" w:eastAsia="zh-CN"/>
              </w:rPr>
            </w:pPr>
            <w:r>
              <w:rPr>
                <w:rFonts w:hint="eastAsia" w:ascii="宋体" w:hAnsi="宋体" w:eastAsia="宋体" w:cs="Times New Roman"/>
                <w:color w:val="auto"/>
                <w:spacing w:val="0"/>
                <w:sz w:val="24"/>
                <w:szCs w:val="24"/>
              </w:rPr>
              <w:t>±</w:t>
            </w:r>
            <w:r>
              <w:rPr>
                <w:rFonts w:hint="eastAsia" w:ascii="宋体" w:hAnsi="宋体" w:cs="Times New Roman"/>
                <w:color w:val="auto"/>
                <w:spacing w:val="0"/>
                <w:sz w:val="24"/>
                <w:szCs w:val="24"/>
                <w:lang w:val="en-US" w:eastAsia="zh-CN"/>
              </w:rPr>
              <w:t>2</w:t>
            </w:r>
            <w:r>
              <w:rPr>
                <w:rFonts w:hint="eastAsia" w:ascii="宋体" w:hAnsi="宋体" w:eastAsia="宋体" w:cs="Times New Roman"/>
                <w:color w:val="auto"/>
                <w:spacing w:val="0"/>
                <w:sz w:val="24"/>
                <w:szCs w:val="24"/>
              </w:rPr>
              <w:t>%</w:t>
            </w:r>
          </w:p>
        </w:tc>
      </w:tr>
      <w:tr w14:paraId="440DB6F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51" w:hRule="atLeast"/>
          <w:jc w:val="center"/>
        </w:trPr>
        <w:tc>
          <w:tcPr>
            <w:tcW w:w="1993" w:type="dxa"/>
            <w:tcBorders>
              <w:top w:val="single" w:color="auto" w:sz="2" w:space="0"/>
              <w:left w:val="single" w:color="auto" w:sz="2" w:space="0"/>
              <w:bottom w:val="single" w:color="auto" w:sz="2" w:space="0"/>
              <w:right w:val="single" w:color="auto" w:sz="4" w:space="0"/>
            </w:tcBorders>
            <w:noWrap w:val="0"/>
            <w:vAlign w:val="center"/>
          </w:tcPr>
          <w:p w14:paraId="69670F8F">
            <w:pPr>
              <w:widowControl w:val="0"/>
              <w:spacing w:line="240" w:lineRule="auto"/>
              <w:jc w:val="both"/>
              <w:rPr>
                <w:rFonts w:hint="default" w:ascii="宋体" w:hAnsi="宋体" w:eastAsia="宋体" w:cs="Times New Roman"/>
                <w:color w:val="auto"/>
                <w:spacing w:val="0"/>
                <w:sz w:val="24"/>
                <w:szCs w:val="24"/>
                <w:lang w:val="en-US" w:eastAsia="zh-CN"/>
              </w:rPr>
            </w:pPr>
            <w:r>
              <w:rPr>
                <w:rFonts w:hint="eastAsia" w:ascii="宋体" w:hAnsi="宋体" w:eastAsia="宋体" w:cs="Times New Roman"/>
                <w:color w:val="auto"/>
                <w:spacing w:val="0"/>
                <w:sz w:val="24"/>
                <w:szCs w:val="24"/>
                <w:lang w:val="en-US" w:eastAsia="zh-CN"/>
              </w:rPr>
              <w:t>实际水样比对实验</w:t>
            </w:r>
          </w:p>
        </w:tc>
        <w:tc>
          <w:tcPr>
            <w:tcW w:w="7366" w:type="dxa"/>
            <w:tcBorders>
              <w:top w:val="single" w:color="auto" w:sz="2" w:space="0"/>
              <w:left w:val="single" w:color="auto" w:sz="4" w:space="0"/>
              <w:bottom w:val="single" w:color="auto" w:sz="2" w:space="0"/>
              <w:right w:val="single" w:color="auto" w:sz="2" w:space="0"/>
            </w:tcBorders>
            <w:noWrap w:val="0"/>
            <w:vAlign w:val="center"/>
          </w:tcPr>
          <w:p w14:paraId="65E8C450">
            <w:pPr>
              <w:widowControl w:val="0"/>
              <w:spacing w:line="240" w:lineRule="auto"/>
              <w:jc w:val="both"/>
              <w:rPr>
                <w:rFonts w:hint="eastAsia" w:ascii="宋体" w:hAnsi="宋体" w:eastAsia="宋体" w:cs="Times New Roman"/>
                <w:color w:val="auto"/>
                <w:spacing w:val="0"/>
                <w:sz w:val="24"/>
                <w:szCs w:val="24"/>
                <w:lang w:val="en-US" w:eastAsia="zh-CN"/>
              </w:rPr>
            </w:pPr>
            <w:r>
              <w:rPr>
                <w:rFonts w:hint="eastAsia" w:ascii="宋体" w:hAnsi="宋体" w:eastAsia="宋体" w:cs="Times New Roman"/>
                <w:color w:val="auto"/>
                <w:spacing w:val="0"/>
                <w:sz w:val="24"/>
                <w:szCs w:val="24"/>
              </w:rPr>
              <w:t>±1</w:t>
            </w:r>
            <w:r>
              <w:rPr>
                <w:rFonts w:hint="eastAsia" w:ascii="宋体" w:hAnsi="宋体" w:eastAsia="宋体" w:cs="Times New Roman"/>
                <w:color w:val="auto"/>
                <w:spacing w:val="0"/>
                <w:sz w:val="24"/>
                <w:szCs w:val="24"/>
                <w:lang w:val="en-US" w:eastAsia="zh-CN"/>
              </w:rPr>
              <w:t>0</w:t>
            </w:r>
            <w:r>
              <w:rPr>
                <w:rFonts w:hint="eastAsia" w:ascii="宋体" w:hAnsi="宋体" w:eastAsia="宋体" w:cs="Times New Roman"/>
                <w:color w:val="auto"/>
                <w:spacing w:val="0"/>
                <w:sz w:val="24"/>
                <w:szCs w:val="24"/>
              </w:rPr>
              <w:t>%</w:t>
            </w:r>
          </w:p>
        </w:tc>
      </w:tr>
      <w:tr w14:paraId="754019F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51" w:hRule="atLeast"/>
          <w:jc w:val="center"/>
        </w:trPr>
        <w:tc>
          <w:tcPr>
            <w:tcW w:w="1993" w:type="dxa"/>
            <w:tcBorders>
              <w:top w:val="single" w:color="auto" w:sz="2" w:space="0"/>
              <w:left w:val="single" w:color="auto" w:sz="2" w:space="0"/>
              <w:bottom w:val="single" w:color="auto" w:sz="2" w:space="0"/>
              <w:right w:val="single" w:color="auto" w:sz="4" w:space="0"/>
            </w:tcBorders>
            <w:noWrap w:val="0"/>
            <w:vAlign w:val="center"/>
          </w:tcPr>
          <w:p w14:paraId="2223F13D">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MTBF</w:t>
            </w:r>
          </w:p>
        </w:tc>
        <w:tc>
          <w:tcPr>
            <w:tcW w:w="7366" w:type="dxa"/>
            <w:tcBorders>
              <w:top w:val="single" w:color="auto" w:sz="2" w:space="0"/>
              <w:left w:val="single" w:color="auto" w:sz="4" w:space="0"/>
              <w:bottom w:val="single" w:color="auto" w:sz="2" w:space="0"/>
              <w:right w:val="single" w:color="auto" w:sz="2" w:space="0"/>
            </w:tcBorders>
            <w:noWrap w:val="0"/>
            <w:vAlign w:val="center"/>
          </w:tcPr>
          <w:p w14:paraId="37EE03E7">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≥720h/次</w:t>
            </w:r>
          </w:p>
        </w:tc>
      </w:tr>
      <w:tr w14:paraId="6725B56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51" w:hRule="atLeast"/>
          <w:jc w:val="center"/>
        </w:trPr>
        <w:tc>
          <w:tcPr>
            <w:tcW w:w="1993" w:type="dxa"/>
            <w:tcBorders>
              <w:top w:val="single" w:color="auto" w:sz="2" w:space="0"/>
              <w:left w:val="single" w:color="auto" w:sz="2" w:space="0"/>
              <w:bottom w:val="single" w:color="auto" w:sz="2" w:space="0"/>
              <w:right w:val="single" w:color="auto" w:sz="4" w:space="0"/>
            </w:tcBorders>
            <w:noWrap w:val="0"/>
            <w:vAlign w:val="center"/>
          </w:tcPr>
          <w:p w14:paraId="342DC64A">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抗浊度干扰</w:t>
            </w:r>
          </w:p>
        </w:tc>
        <w:tc>
          <w:tcPr>
            <w:tcW w:w="7366" w:type="dxa"/>
            <w:tcBorders>
              <w:top w:val="single" w:color="auto" w:sz="2" w:space="0"/>
              <w:left w:val="single" w:color="auto" w:sz="4" w:space="0"/>
              <w:bottom w:val="single" w:color="auto" w:sz="2" w:space="0"/>
              <w:right w:val="single" w:color="auto" w:sz="2" w:space="0"/>
            </w:tcBorders>
            <w:noWrap w:val="0"/>
          </w:tcPr>
          <w:p w14:paraId="1BFD1EA3">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cs="Times New Roman"/>
                <w:color w:val="auto"/>
                <w:spacing w:val="0"/>
                <w:sz w:val="24"/>
                <w:szCs w:val="24"/>
                <w:lang w:eastAsia="zh-CN"/>
              </w:rPr>
              <w:t>▲</w:t>
            </w:r>
            <w:r>
              <w:rPr>
                <w:rFonts w:hint="eastAsia" w:ascii="宋体" w:hAnsi="宋体" w:eastAsia="宋体" w:cs="Times New Roman"/>
                <w:color w:val="auto"/>
                <w:spacing w:val="0"/>
                <w:sz w:val="24"/>
                <w:szCs w:val="24"/>
                <w:lang w:val="en-US" w:eastAsia="zh-CN"/>
              </w:rPr>
              <w:t>应具备抗浊度干扰，需对不同浊度的水体进行测试，测试样本数不少于1</w:t>
            </w:r>
            <w:r>
              <w:rPr>
                <w:rFonts w:hint="eastAsia" w:ascii="宋体" w:hAnsi="宋体" w:cs="Times New Roman"/>
                <w:color w:val="auto"/>
                <w:spacing w:val="0"/>
                <w:sz w:val="24"/>
                <w:szCs w:val="24"/>
                <w:lang w:val="en-US" w:eastAsia="zh-CN"/>
              </w:rPr>
              <w:t>8</w:t>
            </w:r>
            <w:r>
              <w:rPr>
                <w:rFonts w:hint="eastAsia" w:ascii="宋体" w:hAnsi="宋体" w:eastAsia="宋体" w:cs="Times New Roman"/>
                <w:color w:val="auto"/>
                <w:spacing w:val="0"/>
                <w:sz w:val="24"/>
                <w:szCs w:val="24"/>
                <w:lang w:val="en-US" w:eastAsia="zh-CN"/>
              </w:rPr>
              <w:t>个，抗浊度干扰功能能够达到相应的效果，在浊度为100NTU-</w:t>
            </w:r>
            <w:r>
              <w:rPr>
                <w:rFonts w:hint="eastAsia" w:ascii="宋体" w:hAnsi="宋体" w:cs="Times New Roman"/>
                <w:color w:val="auto"/>
                <w:spacing w:val="0"/>
                <w:sz w:val="24"/>
                <w:szCs w:val="24"/>
                <w:lang w:val="en-US" w:eastAsia="zh-CN"/>
              </w:rPr>
              <w:t>350</w:t>
            </w:r>
            <w:r>
              <w:rPr>
                <w:rFonts w:hint="eastAsia" w:ascii="宋体" w:hAnsi="宋体" w:eastAsia="宋体" w:cs="Times New Roman"/>
                <w:color w:val="auto"/>
                <w:spacing w:val="0"/>
                <w:sz w:val="24"/>
                <w:szCs w:val="24"/>
                <w:lang w:val="en-US" w:eastAsia="zh-CN"/>
              </w:rPr>
              <w:t>NTU时与实验室数据相对偏差不超过</w:t>
            </w:r>
            <w:r>
              <w:rPr>
                <w:rFonts w:hint="eastAsia" w:ascii="宋体" w:hAnsi="宋体" w:cs="Times New Roman"/>
                <w:color w:val="auto"/>
                <w:spacing w:val="0"/>
                <w:sz w:val="24"/>
                <w:szCs w:val="24"/>
                <w:lang w:val="en-US" w:eastAsia="zh-CN"/>
              </w:rPr>
              <w:t>15</w:t>
            </w:r>
            <w:r>
              <w:rPr>
                <w:rFonts w:hint="eastAsia" w:ascii="宋体" w:hAnsi="宋体" w:eastAsia="宋体" w:cs="Times New Roman"/>
                <w:color w:val="auto"/>
                <w:spacing w:val="0"/>
                <w:sz w:val="24"/>
                <w:szCs w:val="24"/>
                <w:lang w:val="en-US" w:eastAsia="zh-CN"/>
              </w:rPr>
              <w:t>%，需提供监测报告或相关测试证明材料。</w:t>
            </w:r>
          </w:p>
        </w:tc>
      </w:tr>
      <w:tr w14:paraId="15F51E5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51" w:hRule="atLeast"/>
          <w:jc w:val="center"/>
        </w:trPr>
        <w:tc>
          <w:tcPr>
            <w:tcW w:w="1993" w:type="dxa"/>
            <w:tcBorders>
              <w:top w:val="single" w:color="auto" w:sz="2" w:space="0"/>
              <w:left w:val="single" w:color="auto" w:sz="2" w:space="0"/>
              <w:bottom w:val="single" w:color="auto" w:sz="2" w:space="0"/>
              <w:right w:val="single" w:color="auto" w:sz="4" w:space="0"/>
            </w:tcBorders>
            <w:noWrap w:val="0"/>
            <w:vAlign w:val="center"/>
          </w:tcPr>
          <w:p w14:paraId="35C0FC9C">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测试数据标记</w:t>
            </w:r>
          </w:p>
        </w:tc>
        <w:tc>
          <w:tcPr>
            <w:tcW w:w="7366" w:type="dxa"/>
            <w:tcBorders>
              <w:top w:val="single" w:color="auto" w:sz="2" w:space="0"/>
              <w:left w:val="single" w:color="auto" w:sz="4" w:space="0"/>
              <w:bottom w:val="single" w:color="auto" w:sz="2" w:space="0"/>
              <w:right w:val="single" w:color="auto" w:sz="2" w:space="0"/>
            </w:tcBorders>
            <w:noWrap w:val="0"/>
            <w:vAlign w:val="center"/>
          </w:tcPr>
          <w:p w14:paraId="5875D622">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具备测试数据标记功能，能够识别测试数据属性</w:t>
            </w:r>
          </w:p>
        </w:tc>
      </w:tr>
      <w:tr w14:paraId="75D9A53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51" w:hRule="atLeast"/>
          <w:jc w:val="center"/>
        </w:trPr>
        <w:tc>
          <w:tcPr>
            <w:tcW w:w="1993" w:type="dxa"/>
            <w:tcBorders>
              <w:top w:val="single" w:color="auto" w:sz="2" w:space="0"/>
              <w:left w:val="single" w:color="auto" w:sz="2" w:space="0"/>
              <w:bottom w:val="single" w:color="auto" w:sz="2" w:space="0"/>
              <w:right w:val="single" w:color="auto" w:sz="4" w:space="0"/>
            </w:tcBorders>
            <w:noWrap w:val="0"/>
            <w:vAlign w:val="center"/>
          </w:tcPr>
          <w:p w14:paraId="6E55F5EF">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分析时间</w:t>
            </w:r>
          </w:p>
        </w:tc>
        <w:tc>
          <w:tcPr>
            <w:tcW w:w="7366" w:type="dxa"/>
            <w:tcBorders>
              <w:top w:val="single" w:color="auto" w:sz="2" w:space="0"/>
              <w:left w:val="single" w:color="auto" w:sz="4" w:space="0"/>
              <w:bottom w:val="single" w:color="auto" w:sz="2" w:space="0"/>
              <w:right w:val="single" w:color="auto" w:sz="2" w:space="0"/>
            </w:tcBorders>
            <w:noWrap w:val="0"/>
            <w:vAlign w:val="center"/>
          </w:tcPr>
          <w:p w14:paraId="4A83A4EA">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≤35分钟</w:t>
            </w:r>
          </w:p>
        </w:tc>
      </w:tr>
      <w:tr w14:paraId="04ECF3D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51" w:hRule="atLeast"/>
          <w:jc w:val="center"/>
        </w:trPr>
        <w:tc>
          <w:tcPr>
            <w:tcW w:w="1993" w:type="dxa"/>
            <w:tcBorders>
              <w:top w:val="single" w:color="auto" w:sz="2" w:space="0"/>
              <w:left w:val="single" w:color="auto" w:sz="2" w:space="0"/>
              <w:bottom w:val="single" w:color="auto" w:sz="2" w:space="0"/>
              <w:right w:val="single" w:color="auto" w:sz="4" w:space="0"/>
            </w:tcBorders>
            <w:noWrap w:val="0"/>
            <w:vAlign w:val="center"/>
          </w:tcPr>
          <w:p w14:paraId="0FF0A8BA">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仪器废液</w:t>
            </w:r>
          </w:p>
        </w:tc>
        <w:tc>
          <w:tcPr>
            <w:tcW w:w="7366" w:type="dxa"/>
            <w:tcBorders>
              <w:top w:val="single" w:color="auto" w:sz="2" w:space="0"/>
              <w:left w:val="single" w:color="auto" w:sz="4" w:space="0"/>
              <w:bottom w:val="single" w:color="auto" w:sz="2" w:space="0"/>
              <w:right w:val="single" w:color="auto" w:sz="2" w:space="0"/>
            </w:tcBorders>
            <w:noWrap w:val="0"/>
            <w:vAlign w:val="center"/>
          </w:tcPr>
          <w:p w14:paraId="4A78CF5C">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废液废水分路收集，降低处理成本、单次测试废液量＜15mL</w:t>
            </w:r>
          </w:p>
        </w:tc>
      </w:tr>
      <w:tr w14:paraId="567BE96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51" w:hRule="atLeast"/>
          <w:jc w:val="center"/>
        </w:trPr>
        <w:tc>
          <w:tcPr>
            <w:tcW w:w="1993" w:type="dxa"/>
            <w:tcBorders>
              <w:top w:val="single" w:color="auto" w:sz="2" w:space="0"/>
              <w:left w:val="single" w:color="auto" w:sz="2" w:space="0"/>
              <w:bottom w:val="single" w:color="auto" w:sz="2" w:space="0"/>
              <w:right w:val="single" w:color="auto" w:sz="4" w:space="0"/>
            </w:tcBorders>
            <w:noWrap w:val="0"/>
            <w:vAlign w:val="center"/>
          </w:tcPr>
          <w:p w14:paraId="27593B46">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标样核查</w:t>
            </w:r>
          </w:p>
        </w:tc>
        <w:tc>
          <w:tcPr>
            <w:tcW w:w="7366" w:type="dxa"/>
            <w:tcBorders>
              <w:top w:val="single" w:color="auto" w:sz="2" w:space="0"/>
              <w:left w:val="single" w:color="auto" w:sz="4" w:space="0"/>
              <w:bottom w:val="single" w:color="auto" w:sz="2" w:space="0"/>
              <w:right w:val="single" w:color="auto" w:sz="2" w:space="0"/>
            </w:tcBorders>
            <w:noWrap w:val="0"/>
          </w:tcPr>
          <w:p w14:paraId="582D531C">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≤±5%</w:t>
            </w:r>
          </w:p>
        </w:tc>
      </w:tr>
      <w:tr w14:paraId="6E93A9E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51" w:hRule="atLeast"/>
          <w:jc w:val="center"/>
        </w:trPr>
        <w:tc>
          <w:tcPr>
            <w:tcW w:w="1993" w:type="dxa"/>
            <w:tcBorders>
              <w:top w:val="single" w:color="auto" w:sz="2" w:space="0"/>
              <w:left w:val="single" w:color="auto" w:sz="2" w:space="0"/>
              <w:bottom w:val="single" w:color="auto" w:sz="2" w:space="0"/>
              <w:right w:val="single" w:color="auto" w:sz="4" w:space="0"/>
            </w:tcBorders>
            <w:noWrap w:val="0"/>
            <w:vAlign w:val="center"/>
          </w:tcPr>
          <w:p w14:paraId="2B348608">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加标回收率</w:t>
            </w:r>
          </w:p>
        </w:tc>
        <w:tc>
          <w:tcPr>
            <w:tcW w:w="7366" w:type="dxa"/>
            <w:tcBorders>
              <w:top w:val="single" w:color="auto" w:sz="2" w:space="0"/>
              <w:left w:val="single" w:color="auto" w:sz="4" w:space="0"/>
              <w:bottom w:val="single" w:color="auto" w:sz="2" w:space="0"/>
              <w:right w:val="single" w:color="auto" w:sz="2" w:space="0"/>
            </w:tcBorders>
            <w:noWrap w:val="0"/>
          </w:tcPr>
          <w:p w14:paraId="24A78BEF">
            <w:pPr>
              <w:widowControl w:val="0"/>
              <w:spacing w:line="240" w:lineRule="auto"/>
              <w:jc w:val="both"/>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90%～110%</w:t>
            </w:r>
          </w:p>
        </w:tc>
      </w:tr>
    </w:tbl>
    <w:tbl>
      <w:tblPr>
        <w:tblStyle w:val="29"/>
        <w:tblpPr w:leftFromText="180" w:rightFromText="180" w:vertAnchor="text" w:horzAnchor="page" w:tblpX="1352" w:tblpY="2283"/>
        <w:tblOverlap w:val="never"/>
        <w:tblW w:w="9345"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860"/>
        <w:gridCol w:w="14"/>
        <w:gridCol w:w="6"/>
        <w:gridCol w:w="5465"/>
      </w:tblGrid>
      <w:tr w14:paraId="040CF2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1" w:hRule="atLeast"/>
        </w:trPr>
        <w:tc>
          <w:tcPr>
            <w:tcW w:w="3860" w:type="dxa"/>
            <w:tcBorders>
              <w:top w:val="single" w:color="000000" w:sz="6" w:space="0"/>
              <w:left w:val="single" w:color="000000" w:sz="6" w:space="0"/>
              <w:bottom w:val="single" w:color="000000" w:sz="6" w:space="0"/>
              <w:right w:val="single" w:color="000000" w:sz="6" w:space="0"/>
            </w:tcBorders>
            <w:vAlign w:val="top"/>
          </w:tcPr>
          <w:p w14:paraId="70714B40">
            <w:pPr>
              <w:pStyle w:val="28"/>
              <w:spacing w:before="178" w:line="228" w:lineRule="auto"/>
              <w:ind w:left="16"/>
            </w:pPr>
            <w:bookmarkStart w:id="249" w:name="_Toc504940557"/>
            <w:bookmarkEnd w:id="249"/>
            <w:bookmarkStart w:id="250" w:name="_Toc504927324"/>
            <w:bookmarkEnd w:id="250"/>
            <w:bookmarkStart w:id="251" w:name="_Toc505184823"/>
            <w:bookmarkEnd w:id="251"/>
            <w:bookmarkStart w:id="252" w:name="_Toc505184826"/>
            <w:bookmarkEnd w:id="252"/>
            <w:bookmarkStart w:id="253" w:name="_Toc18855108"/>
            <w:bookmarkEnd w:id="253"/>
            <w:bookmarkStart w:id="254" w:name="_Toc504927079"/>
            <w:bookmarkEnd w:id="254"/>
            <w:bookmarkStart w:id="255" w:name="_Toc504927334"/>
            <w:bookmarkEnd w:id="255"/>
            <w:bookmarkStart w:id="256" w:name="_Toc504940574"/>
            <w:bookmarkEnd w:id="256"/>
            <w:bookmarkStart w:id="257" w:name="_Toc504940555"/>
            <w:bookmarkEnd w:id="257"/>
            <w:bookmarkStart w:id="258" w:name="_Toc504940910"/>
            <w:bookmarkEnd w:id="258"/>
            <w:bookmarkStart w:id="259" w:name="_Toc504927074"/>
            <w:bookmarkEnd w:id="259"/>
            <w:bookmarkStart w:id="260" w:name="_Toc504940576"/>
            <w:bookmarkEnd w:id="260"/>
            <w:bookmarkStart w:id="261" w:name="_Toc502007573"/>
            <w:bookmarkEnd w:id="261"/>
            <w:bookmarkStart w:id="262" w:name="_Toc504927075"/>
            <w:bookmarkEnd w:id="262"/>
            <w:bookmarkStart w:id="263" w:name="_Toc504940572"/>
            <w:bookmarkEnd w:id="263"/>
            <w:bookmarkStart w:id="264" w:name="_Toc504940564"/>
            <w:bookmarkEnd w:id="264"/>
            <w:bookmarkStart w:id="265" w:name="_Toc504940727"/>
            <w:bookmarkEnd w:id="265"/>
            <w:bookmarkStart w:id="266" w:name="_Toc504940628"/>
            <w:bookmarkEnd w:id="266"/>
            <w:bookmarkStart w:id="267" w:name="_Toc504940570"/>
            <w:bookmarkEnd w:id="267"/>
            <w:bookmarkStart w:id="268" w:name="_Toc504940568"/>
            <w:bookmarkEnd w:id="268"/>
            <w:bookmarkStart w:id="269" w:name="_Toc504927090"/>
            <w:bookmarkEnd w:id="269"/>
            <w:bookmarkStart w:id="270" w:name="_Toc504927368"/>
            <w:bookmarkEnd w:id="270"/>
            <w:bookmarkStart w:id="271" w:name="_Toc504927073"/>
            <w:bookmarkEnd w:id="271"/>
            <w:bookmarkStart w:id="272" w:name="_Toc504927089"/>
            <w:bookmarkEnd w:id="272"/>
            <w:bookmarkStart w:id="273" w:name="_Toc504940662"/>
            <w:bookmarkEnd w:id="273"/>
            <w:bookmarkStart w:id="274" w:name="_Toc504940556"/>
            <w:bookmarkEnd w:id="274"/>
            <w:bookmarkStart w:id="275" w:name="_Toc504927299"/>
            <w:bookmarkEnd w:id="275"/>
            <w:bookmarkStart w:id="276" w:name="_Toc504927077"/>
            <w:bookmarkEnd w:id="276"/>
            <w:bookmarkStart w:id="277" w:name="_Toc504940573"/>
            <w:bookmarkEnd w:id="277"/>
            <w:bookmarkStart w:id="278" w:name="_Toc504940810"/>
            <w:bookmarkEnd w:id="278"/>
            <w:bookmarkStart w:id="279" w:name="_Toc504940561"/>
            <w:bookmarkEnd w:id="279"/>
            <w:bookmarkStart w:id="280" w:name="_Toc504927070"/>
            <w:bookmarkEnd w:id="280"/>
            <w:bookmarkStart w:id="281" w:name="_Toc504940571"/>
            <w:bookmarkEnd w:id="281"/>
            <w:bookmarkStart w:id="282" w:name="_Toc504940559"/>
            <w:bookmarkEnd w:id="282"/>
            <w:bookmarkStart w:id="283" w:name="_Toc505252675"/>
            <w:bookmarkEnd w:id="283"/>
            <w:bookmarkStart w:id="284" w:name="_Toc504940796"/>
            <w:bookmarkEnd w:id="284"/>
            <w:bookmarkStart w:id="285" w:name="_Toc504940597"/>
            <w:bookmarkEnd w:id="285"/>
            <w:bookmarkStart w:id="286" w:name="_Toc504927069"/>
            <w:bookmarkEnd w:id="286"/>
            <w:bookmarkStart w:id="287" w:name="_Toc504927241"/>
            <w:bookmarkEnd w:id="287"/>
            <w:bookmarkStart w:id="288" w:name="_Toc504940888"/>
            <w:bookmarkEnd w:id="288"/>
            <w:bookmarkStart w:id="289" w:name="_Toc504927088"/>
            <w:bookmarkEnd w:id="289"/>
            <w:bookmarkStart w:id="290" w:name="_Toc504927176"/>
            <w:bookmarkEnd w:id="290"/>
            <w:bookmarkStart w:id="291" w:name="_Toc504940938"/>
            <w:bookmarkEnd w:id="291"/>
            <w:bookmarkStart w:id="292" w:name="_Toc20320072"/>
            <w:bookmarkEnd w:id="292"/>
            <w:bookmarkStart w:id="293" w:name="_Toc504940563"/>
            <w:bookmarkEnd w:id="293"/>
            <w:bookmarkStart w:id="294" w:name="_Toc504940575"/>
            <w:bookmarkEnd w:id="294"/>
            <w:bookmarkStart w:id="295" w:name="_Toc504940781"/>
            <w:bookmarkEnd w:id="295"/>
            <w:bookmarkStart w:id="296" w:name="_Toc504927091"/>
            <w:bookmarkEnd w:id="296"/>
            <w:bookmarkStart w:id="297" w:name="_Toc504940553"/>
            <w:bookmarkEnd w:id="297"/>
            <w:bookmarkStart w:id="298" w:name="_Toc504927210"/>
            <w:bookmarkEnd w:id="298"/>
            <w:bookmarkStart w:id="299" w:name="_Toc504940578"/>
            <w:bookmarkEnd w:id="299"/>
            <w:bookmarkStart w:id="300" w:name="_Toc20320069"/>
            <w:bookmarkEnd w:id="300"/>
            <w:bookmarkStart w:id="301" w:name="_Toc504927084"/>
            <w:bookmarkEnd w:id="301"/>
            <w:bookmarkStart w:id="302" w:name="_Toc504927310"/>
            <w:bookmarkEnd w:id="302"/>
            <w:bookmarkStart w:id="303" w:name="_Toc504940820"/>
            <w:bookmarkEnd w:id="303"/>
            <w:bookmarkStart w:id="304" w:name="_Toc504940569"/>
            <w:bookmarkEnd w:id="304"/>
            <w:bookmarkStart w:id="305" w:name="_Toc504927071"/>
            <w:bookmarkEnd w:id="305"/>
            <w:bookmarkStart w:id="306" w:name="_Toc504940854"/>
            <w:bookmarkEnd w:id="306"/>
            <w:bookmarkStart w:id="307" w:name="_Toc504940554"/>
            <w:bookmarkEnd w:id="307"/>
            <w:bookmarkStart w:id="308" w:name="_Toc504927275"/>
            <w:bookmarkEnd w:id="308"/>
            <w:bookmarkStart w:id="309" w:name="_Toc504940761"/>
            <w:bookmarkEnd w:id="309"/>
            <w:bookmarkStart w:id="310" w:name="_Toc505252672"/>
            <w:bookmarkEnd w:id="310"/>
            <w:bookmarkStart w:id="311" w:name="_Toc504927081"/>
            <w:bookmarkEnd w:id="311"/>
            <w:bookmarkStart w:id="312" w:name="_Toc504927076"/>
            <w:bookmarkEnd w:id="312"/>
            <w:bookmarkStart w:id="313" w:name="_Toc504927068"/>
            <w:bookmarkEnd w:id="313"/>
            <w:bookmarkStart w:id="314" w:name="_Toc502229133"/>
            <w:bookmarkEnd w:id="314"/>
            <w:bookmarkStart w:id="315" w:name="_Toc504927087"/>
            <w:bookmarkEnd w:id="315"/>
            <w:bookmarkStart w:id="316" w:name="_Toc504940567"/>
            <w:bookmarkEnd w:id="316"/>
            <w:bookmarkStart w:id="317" w:name="_Toc504927072"/>
            <w:bookmarkEnd w:id="317"/>
            <w:bookmarkStart w:id="318" w:name="_Toc504940696"/>
            <w:bookmarkEnd w:id="318"/>
            <w:bookmarkStart w:id="319" w:name="_Toc504927078"/>
            <w:bookmarkEnd w:id="319"/>
            <w:bookmarkStart w:id="320" w:name="_Toc504927424"/>
            <w:bookmarkEnd w:id="320"/>
            <w:bookmarkStart w:id="321" w:name="_Toc504927083"/>
            <w:bookmarkEnd w:id="321"/>
            <w:bookmarkStart w:id="322" w:name="_Toc504040667"/>
            <w:bookmarkEnd w:id="322"/>
            <w:bookmarkStart w:id="323" w:name="_Toc504927295"/>
            <w:bookmarkEnd w:id="323"/>
            <w:bookmarkStart w:id="324" w:name="_Toc504927111"/>
            <w:bookmarkEnd w:id="324"/>
            <w:bookmarkStart w:id="325" w:name="_Toc504940785"/>
            <w:bookmarkEnd w:id="325"/>
            <w:bookmarkStart w:id="326" w:name="_Toc504940562"/>
            <w:bookmarkEnd w:id="326"/>
            <w:bookmarkStart w:id="327" w:name="_Toc504927142"/>
            <w:bookmarkEnd w:id="327"/>
            <w:bookmarkStart w:id="328" w:name="_Toc504927092"/>
            <w:bookmarkEnd w:id="328"/>
            <w:bookmarkStart w:id="329" w:name="_Toc504940577"/>
            <w:bookmarkEnd w:id="329"/>
            <w:bookmarkStart w:id="330" w:name="_Toc504927082"/>
            <w:bookmarkEnd w:id="330"/>
            <w:bookmarkStart w:id="331" w:name="_Toc504927402"/>
            <w:bookmarkEnd w:id="331"/>
            <w:bookmarkStart w:id="332" w:name="_Toc504927085"/>
            <w:bookmarkEnd w:id="332"/>
            <w:bookmarkStart w:id="333" w:name="_Toc504940560"/>
            <w:bookmarkEnd w:id="333"/>
            <w:bookmarkStart w:id="334" w:name="_Toc504940558"/>
            <w:bookmarkEnd w:id="334"/>
            <w:bookmarkStart w:id="335" w:name="_Toc504927086"/>
            <w:bookmarkEnd w:id="335"/>
            <w:bookmarkStart w:id="336" w:name="_Toc504940565"/>
            <w:bookmarkEnd w:id="336"/>
            <w:bookmarkStart w:id="337" w:name="_Toc18855109"/>
            <w:r>
              <w:rPr>
                <w:spacing w:val="3"/>
              </w:rPr>
              <w:t>项目</w:t>
            </w:r>
          </w:p>
        </w:tc>
        <w:tc>
          <w:tcPr>
            <w:tcW w:w="5485" w:type="dxa"/>
            <w:gridSpan w:val="3"/>
            <w:tcBorders>
              <w:top w:val="single" w:color="000000" w:sz="6" w:space="0"/>
              <w:left w:val="single" w:color="000000" w:sz="6" w:space="0"/>
              <w:bottom w:val="single" w:color="000000" w:sz="6" w:space="0"/>
              <w:right w:val="single" w:color="000000" w:sz="6" w:space="0"/>
            </w:tcBorders>
            <w:vAlign w:val="top"/>
          </w:tcPr>
          <w:p w14:paraId="6131CEF1">
            <w:pPr>
              <w:pStyle w:val="28"/>
              <w:spacing w:before="177" w:line="228" w:lineRule="auto"/>
              <w:ind w:left="30"/>
            </w:pPr>
            <w:r>
              <w:rPr>
                <w:spacing w:val="7"/>
              </w:rPr>
              <w:t>技术指标</w:t>
            </w:r>
          </w:p>
        </w:tc>
      </w:tr>
      <w:tr w14:paraId="633768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3860" w:type="dxa"/>
            <w:tcBorders>
              <w:top w:val="single" w:color="000000" w:sz="6" w:space="0"/>
              <w:left w:val="single" w:color="000000" w:sz="6" w:space="0"/>
              <w:bottom w:val="single" w:color="000000" w:sz="6" w:space="0"/>
              <w:right w:val="single" w:color="000000" w:sz="6" w:space="0"/>
            </w:tcBorders>
            <w:vAlign w:val="top"/>
          </w:tcPr>
          <w:p w14:paraId="59F5EE78">
            <w:pPr>
              <w:pStyle w:val="28"/>
              <w:spacing w:before="169" w:line="228" w:lineRule="auto"/>
              <w:ind w:left="13"/>
            </w:pPr>
            <w:r>
              <w:rPr>
                <w:spacing w:val="7"/>
              </w:rPr>
              <w:t>测定原理</w:t>
            </w:r>
          </w:p>
        </w:tc>
        <w:tc>
          <w:tcPr>
            <w:tcW w:w="5485" w:type="dxa"/>
            <w:gridSpan w:val="3"/>
            <w:tcBorders>
              <w:top w:val="single" w:color="000000" w:sz="6" w:space="0"/>
              <w:left w:val="single" w:color="000000" w:sz="6" w:space="0"/>
              <w:bottom w:val="single" w:color="000000" w:sz="6" w:space="0"/>
              <w:right w:val="single" w:color="000000" w:sz="6" w:space="0"/>
            </w:tcBorders>
            <w:vAlign w:val="top"/>
          </w:tcPr>
          <w:p w14:paraId="2C6A14BC">
            <w:pPr>
              <w:pStyle w:val="28"/>
              <w:spacing w:before="168" w:line="227" w:lineRule="auto"/>
              <w:ind w:left="30"/>
            </w:pPr>
            <w:r>
              <w:rPr>
                <w:spacing w:val="9"/>
              </w:rPr>
              <w:t>重铬酸钾氧化分光光度法</w:t>
            </w:r>
          </w:p>
        </w:tc>
      </w:tr>
      <w:tr w14:paraId="36F758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3860" w:type="dxa"/>
            <w:tcBorders>
              <w:top w:val="single" w:color="000000" w:sz="6" w:space="0"/>
              <w:left w:val="single" w:color="000000" w:sz="6" w:space="0"/>
              <w:right w:val="single" w:color="000000" w:sz="6" w:space="0"/>
            </w:tcBorders>
            <w:vAlign w:val="top"/>
          </w:tcPr>
          <w:p w14:paraId="4008E83D">
            <w:pPr>
              <w:pStyle w:val="28"/>
              <w:spacing w:before="170" w:line="228" w:lineRule="auto"/>
              <w:ind w:left="12"/>
            </w:pPr>
            <w:r>
              <w:rPr>
                <w:spacing w:val="4"/>
              </w:rPr>
              <w:t>量程</w:t>
            </w:r>
          </w:p>
        </w:tc>
        <w:tc>
          <w:tcPr>
            <w:tcW w:w="5485" w:type="dxa"/>
            <w:gridSpan w:val="3"/>
            <w:tcBorders>
              <w:top w:val="single" w:color="000000" w:sz="6" w:space="0"/>
              <w:left w:val="single" w:color="000000" w:sz="6" w:space="0"/>
              <w:right w:val="single" w:color="000000" w:sz="6" w:space="0"/>
            </w:tcBorders>
            <w:vAlign w:val="top"/>
          </w:tcPr>
          <w:p w14:paraId="55E93EE9">
            <w:pPr>
              <w:pStyle w:val="28"/>
              <w:spacing w:before="170" w:line="222" w:lineRule="auto"/>
              <w:ind w:left="31"/>
            </w:pPr>
            <w:r>
              <w:rPr>
                <w:spacing w:val="6"/>
              </w:rPr>
              <w:t>0~150</w:t>
            </w:r>
            <w:r>
              <w:t>mg</w:t>
            </w:r>
            <w:r>
              <w:rPr>
                <w:spacing w:val="6"/>
              </w:rPr>
              <w:t>/L（可扩展）</w:t>
            </w:r>
          </w:p>
        </w:tc>
      </w:tr>
      <w:tr w14:paraId="6B068B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trPr>
        <w:tc>
          <w:tcPr>
            <w:tcW w:w="3880" w:type="dxa"/>
            <w:gridSpan w:val="3"/>
            <w:vAlign w:val="top"/>
          </w:tcPr>
          <w:p w14:paraId="6C04D05F">
            <w:pPr>
              <w:pStyle w:val="28"/>
              <w:spacing w:before="176" w:line="228" w:lineRule="auto"/>
              <w:ind w:left="14"/>
            </w:pPr>
            <w:r>
              <w:rPr>
                <w:spacing w:val="6"/>
              </w:rPr>
              <w:t>准确度</w:t>
            </w:r>
          </w:p>
        </w:tc>
        <w:tc>
          <w:tcPr>
            <w:tcW w:w="5465" w:type="dxa"/>
            <w:vAlign w:val="top"/>
          </w:tcPr>
          <w:p w14:paraId="61CA1BFC">
            <w:pPr>
              <w:pStyle w:val="28"/>
              <w:spacing w:before="175" w:line="264" w:lineRule="exact"/>
              <w:ind w:left="34"/>
            </w:pPr>
            <w:r>
              <w:rPr>
                <w:spacing w:val="-5"/>
                <w:position w:val="1"/>
              </w:rPr>
              <w:t>±3%</w:t>
            </w:r>
          </w:p>
        </w:tc>
      </w:tr>
      <w:tr w14:paraId="453F4E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3880" w:type="dxa"/>
            <w:gridSpan w:val="3"/>
            <w:vAlign w:val="top"/>
          </w:tcPr>
          <w:p w14:paraId="263B388A">
            <w:pPr>
              <w:pStyle w:val="28"/>
              <w:spacing w:before="174" w:line="228" w:lineRule="auto"/>
              <w:ind w:left="13"/>
            </w:pPr>
            <w:r>
              <w:rPr>
                <w:spacing w:val="6"/>
              </w:rPr>
              <w:t>重复性</w:t>
            </w:r>
          </w:p>
        </w:tc>
        <w:tc>
          <w:tcPr>
            <w:tcW w:w="5465" w:type="dxa"/>
            <w:vAlign w:val="top"/>
          </w:tcPr>
          <w:p w14:paraId="6D41BDD9">
            <w:pPr>
              <w:pStyle w:val="28"/>
              <w:spacing w:before="174" w:line="265" w:lineRule="exact"/>
              <w:ind w:left="24"/>
            </w:pPr>
            <w:r>
              <w:rPr>
                <w:spacing w:val="-2"/>
                <w:position w:val="1"/>
              </w:rPr>
              <w:t>≤</w:t>
            </w:r>
            <w:r>
              <w:rPr>
                <w:rFonts w:hint="eastAsia"/>
                <w:spacing w:val="-2"/>
                <w:position w:val="1"/>
                <w:lang w:val="en-US" w:eastAsia="zh-CN"/>
              </w:rPr>
              <w:t>3</w:t>
            </w:r>
            <w:r>
              <w:rPr>
                <w:spacing w:val="-2"/>
                <w:position w:val="1"/>
              </w:rPr>
              <w:t>%</w:t>
            </w:r>
          </w:p>
        </w:tc>
      </w:tr>
      <w:tr w14:paraId="1577D5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3880" w:type="dxa"/>
            <w:gridSpan w:val="3"/>
            <w:vAlign w:val="top"/>
          </w:tcPr>
          <w:p w14:paraId="4B22A95C">
            <w:pPr>
              <w:pStyle w:val="28"/>
              <w:spacing w:before="175" w:line="228" w:lineRule="auto"/>
              <w:ind w:left="14"/>
            </w:pPr>
            <w:r>
              <w:rPr>
                <w:spacing w:val="6"/>
              </w:rPr>
              <w:t>直线性</w:t>
            </w:r>
          </w:p>
        </w:tc>
        <w:tc>
          <w:tcPr>
            <w:tcW w:w="5465" w:type="dxa"/>
            <w:vAlign w:val="top"/>
          </w:tcPr>
          <w:p w14:paraId="38522D4C">
            <w:pPr>
              <w:pStyle w:val="28"/>
              <w:spacing w:before="175" w:line="263" w:lineRule="exact"/>
              <w:ind w:left="34"/>
            </w:pPr>
            <w:r>
              <w:rPr>
                <w:spacing w:val="-5"/>
                <w:position w:val="1"/>
              </w:rPr>
              <w:t>±2%</w:t>
            </w:r>
          </w:p>
        </w:tc>
      </w:tr>
      <w:tr w14:paraId="737A25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3880" w:type="dxa"/>
            <w:gridSpan w:val="3"/>
            <w:vAlign w:val="top"/>
          </w:tcPr>
          <w:p w14:paraId="4978DDD8">
            <w:pPr>
              <w:pStyle w:val="28"/>
              <w:spacing w:before="176" w:line="228" w:lineRule="auto"/>
              <w:ind w:left="17"/>
            </w:pPr>
            <w:r>
              <w:rPr>
                <w:spacing w:val="6"/>
              </w:rPr>
              <w:t>定量下限</w:t>
            </w:r>
          </w:p>
        </w:tc>
        <w:tc>
          <w:tcPr>
            <w:tcW w:w="5465" w:type="dxa"/>
            <w:vAlign w:val="top"/>
          </w:tcPr>
          <w:p w14:paraId="799671EE">
            <w:pPr>
              <w:pStyle w:val="28"/>
              <w:spacing w:before="175" w:line="222" w:lineRule="auto"/>
              <w:ind w:left="24"/>
            </w:pPr>
            <w:r>
              <w:rPr>
                <w:spacing w:val="3"/>
              </w:rPr>
              <w:t>≤6</w:t>
            </w:r>
            <w:r>
              <w:t>mg</w:t>
            </w:r>
            <w:r>
              <w:rPr>
                <w:spacing w:val="3"/>
              </w:rPr>
              <w:t>/L</w:t>
            </w:r>
          </w:p>
        </w:tc>
      </w:tr>
      <w:tr w14:paraId="7EA090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3880" w:type="dxa"/>
            <w:gridSpan w:val="3"/>
            <w:vAlign w:val="top"/>
          </w:tcPr>
          <w:p w14:paraId="3124694B">
            <w:pPr>
              <w:pStyle w:val="28"/>
              <w:spacing w:before="175" w:line="228" w:lineRule="auto"/>
              <w:ind w:left="12"/>
            </w:pPr>
            <w:r>
              <w:rPr>
                <w:spacing w:val="6"/>
              </w:rPr>
              <w:t>检出限</w:t>
            </w:r>
          </w:p>
        </w:tc>
        <w:tc>
          <w:tcPr>
            <w:tcW w:w="5465" w:type="dxa"/>
            <w:vAlign w:val="top"/>
          </w:tcPr>
          <w:p w14:paraId="5D6ED795">
            <w:pPr>
              <w:pStyle w:val="28"/>
              <w:spacing w:before="176" w:line="222" w:lineRule="auto"/>
              <w:ind w:left="24"/>
            </w:pPr>
            <w:r>
              <w:rPr>
                <w:spacing w:val="2"/>
              </w:rPr>
              <w:t>≤2</w:t>
            </w:r>
            <w:r>
              <w:t>mg</w:t>
            </w:r>
            <w:r>
              <w:rPr>
                <w:spacing w:val="2"/>
              </w:rPr>
              <w:t>/L</w:t>
            </w:r>
          </w:p>
        </w:tc>
      </w:tr>
      <w:tr w14:paraId="1E89F9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3880" w:type="dxa"/>
            <w:gridSpan w:val="3"/>
            <w:vMerge w:val="restart"/>
            <w:tcBorders>
              <w:bottom w:val="nil"/>
            </w:tcBorders>
            <w:vAlign w:val="top"/>
          </w:tcPr>
          <w:p w14:paraId="255004D1">
            <w:pPr>
              <w:spacing w:line="349" w:lineRule="auto"/>
              <w:rPr>
                <w:rFonts w:ascii="Arial"/>
                <w:sz w:val="21"/>
              </w:rPr>
            </w:pPr>
          </w:p>
          <w:p w14:paraId="4FF582C9">
            <w:pPr>
              <w:pStyle w:val="28"/>
              <w:spacing w:before="65" w:line="228" w:lineRule="auto"/>
              <w:ind w:left="17"/>
            </w:pPr>
            <w:r>
              <w:rPr>
                <w:spacing w:val="8"/>
              </w:rPr>
              <w:t>实际水样比对试验</w:t>
            </w:r>
          </w:p>
        </w:tc>
        <w:tc>
          <w:tcPr>
            <w:tcW w:w="5465" w:type="dxa"/>
            <w:vAlign w:val="top"/>
          </w:tcPr>
          <w:p w14:paraId="0311EF1C">
            <w:pPr>
              <w:pStyle w:val="28"/>
              <w:spacing w:before="176" w:line="222" w:lineRule="auto"/>
              <w:ind w:left="8"/>
            </w:pPr>
            <w:r>
              <w:t>COD</w:t>
            </w:r>
            <w:r>
              <w:rPr>
                <w:spacing w:val="9"/>
              </w:rPr>
              <w:t>≥50</w:t>
            </w:r>
            <w:r>
              <w:t>mg</w:t>
            </w:r>
            <w:r>
              <w:rPr>
                <w:spacing w:val="9"/>
              </w:rPr>
              <w:t>/L，相对误差≤</w:t>
            </w:r>
            <w:r>
              <w:rPr>
                <w:rFonts w:hint="eastAsia"/>
                <w:spacing w:val="9"/>
                <w:lang w:val="en-US" w:eastAsia="zh-CN"/>
              </w:rPr>
              <w:t>5</w:t>
            </w:r>
            <w:r>
              <w:rPr>
                <w:spacing w:val="9"/>
              </w:rPr>
              <w:t>%</w:t>
            </w:r>
          </w:p>
        </w:tc>
      </w:tr>
      <w:tr w14:paraId="503649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3880" w:type="dxa"/>
            <w:gridSpan w:val="3"/>
            <w:vMerge w:val="continue"/>
            <w:tcBorders>
              <w:top w:val="nil"/>
            </w:tcBorders>
            <w:vAlign w:val="top"/>
          </w:tcPr>
          <w:p w14:paraId="02E390EF">
            <w:pPr>
              <w:rPr>
                <w:rFonts w:ascii="Arial"/>
                <w:sz w:val="21"/>
              </w:rPr>
            </w:pPr>
          </w:p>
        </w:tc>
        <w:tc>
          <w:tcPr>
            <w:tcW w:w="5465" w:type="dxa"/>
            <w:vAlign w:val="top"/>
          </w:tcPr>
          <w:p w14:paraId="6C640F18">
            <w:pPr>
              <w:pStyle w:val="28"/>
              <w:spacing w:before="178" w:line="222" w:lineRule="auto"/>
              <w:ind w:left="8"/>
              <w:rPr>
                <w:rFonts w:hint="default"/>
                <w:lang w:val="en-US"/>
              </w:rPr>
            </w:pPr>
            <w:r>
              <w:t>COD</w:t>
            </w:r>
            <w:r>
              <w:rPr>
                <w:spacing w:val="9"/>
              </w:rPr>
              <w:t>＜50</w:t>
            </w:r>
            <w:r>
              <w:t>mg</w:t>
            </w:r>
            <w:r>
              <w:rPr>
                <w:spacing w:val="9"/>
              </w:rPr>
              <w:t>/L，绝对误差≤</w:t>
            </w:r>
            <w:r>
              <w:rPr>
                <w:rFonts w:hint="eastAsia"/>
                <w:spacing w:val="9"/>
                <w:lang w:val="en-US" w:eastAsia="zh-CN"/>
              </w:rPr>
              <w:t>3</w:t>
            </w:r>
            <w:r>
              <w:t>mg</w:t>
            </w:r>
            <w:r>
              <w:rPr>
                <w:spacing w:val="9"/>
              </w:rPr>
              <w:t>/L</w:t>
            </w:r>
          </w:p>
        </w:tc>
      </w:tr>
      <w:tr w14:paraId="1ECA93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3874" w:type="dxa"/>
            <w:gridSpan w:val="2"/>
            <w:vAlign w:val="top"/>
          </w:tcPr>
          <w:p w14:paraId="3432BCFD">
            <w:pPr>
              <w:pStyle w:val="28"/>
              <w:spacing w:before="180" w:line="228" w:lineRule="auto"/>
              <w:ind w:left="15"/>
            </w:pPr>
            <w:r>
              <w:rPr>
                <w:spacing w:val="6"/>
              </w:rPr>
              <w:t>分辨率</w:t>
            </w:r>
          </w:p>
        </w:tc>
        <w:tc>
          <w:tcPr>
            <w:tcW w:w="5471" w:type="dxa"/>
            <w:gridSpan w:val="2"/>
            <w:vAlign w:val="top"/>
          </w:tcPr>
          <w:p w14:paraId="6B41E893">
            <w:pPr>
              <w:pStyle w:val="28"/>
              <w:spacing w:before="181" w:line="222" w:lineRule="auto"/>
              <w:ind w:left="13"/>
            </w:pPr>
            <w:r>
              <w:rPr>
                <w:spacing w:val="5"/>
              </w:rPr>
              <w:t>0.1</w:t>
            </w:r>
            <w:r>
              <w:t>mg</w:t>
            </w:r>
            <w:r>
              <w:rPr>
                <w:spacing w:val="5"/>
              </w:rPr>
              <w:t>/L</w:t>
            </w:r>
          </w:p>
        </w:tc>
      </w:tr>
      <w:tr w14:paraId="2112B6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trPr>
        <w:tc>
          <w:tcPr>
            <w:tcW w:w="3874" w:type="dxa"/>
            <w:gridSpan w:val="2"/>
            <w:vAlign w:val="top"/>
          </w:tcPr>
          <w:p w14:paraId="5EAE6B2D">
            <w:pPr>
              <w:pStyle w:val="28"/>
              <w:spacing w:before="178" w:line="229" w:lineRule="auto"/>
              <w:ind w:left="13"/>
            </w:pPr>
            <w:r>
              <w:rPr>
                <w:spacing w:val="7"/>
              </w:rPr>
              <w:t>测量时间</w:t>
            </w:r>
          </w:p>
        </w:tc>
        <w:tc>
          <w:tcPr>
            <w:tcW w:w="5471" w:type="dxa"/>
            <w:gridSpan w:val="2"/>
            <w:vAlign w:val="top"/>
          </w:tcPr>
          <w:p w14:paraId="73DA723D">
            <w:pPr>
              <w:pStyle w:val="28"/>
              <w:spacing w:before="178" w:line="264" w:lineRule="exact"/>
              <w:ind w:left="25"/>
            </w:pPr>
            <w:r>
              <w:rPr>
                <w:spacing w:val="3"/>
                <w:position w:val="1"/>
              </w:rPr>
              <w:t>≤35</w:t>
            </w:r>
            <w:r>
              <w:rPr>
                <w:position w:val="1"/>
              </w:rPr>
              <w:t>min</w:t>
            </w:r>
          </w:p>
        </w:tc>
      </w:tr>
      <w:tr w14:paraId="13A702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trPr>
        <w:tc>
          <w:tcPr>
            <w:tcW w:w="3874" w:type="dxa"/>
            <w:gridSpan w:val="2"/>
            <w:vAlign w:val="top"/>
          </w:tcPr>
          <w:p w14:paraId="22947C24">
            <w:pPr>
              <w:pStyle w:val="28"/>
              <w:spacing w:before="178" w:line="228" w:lineRule="auto"/>
              <w:ind w:left="12"/>
            </w:pPr>
            <w:r>
              <w:rPr>
                <w:spacing w:val="9"/>
              </w:rPr>
              <w:t>平均无故障运行时间</w:t>
            </w:r>
          </w:p>
        </w:tc>
        <w:tc>
          <w:tcPr>
            <w:tcW w:w="5471" w:type="dxa"/>
            <w:gridSpan w:val="2"/>
            <w:vAlign w:val="top"/>
          </w:tcPr>
          <w:p w14:paraId="16FCA9CA">
            <w:pPr>
              <w:pStyle w:val="28"/>
              <w:spacing w:before="178" w:line="228" w:lineRule="auto"/>
              <w:ind w:left="31"/>
            </w:pPr>
            <w:r>
              <w:rPr>
                <w:spacing w:val="2"/>
              </w:rPr>
              <w:t>≥1440h/次</w:t>
            </w:r>
          </w:p>
        </w:tc>
      </w:tr>
      <w:tr w14:paraId="61F7C1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trPr>
        <w:tc>
          <w:tcPr>
            <w:tcW w:w="3874" w:type="dxa"/>
            <w:gridSpan w:val="2"/>
            <w:vAlign w:val="top"/>
          </w:tcPr>
          <w:p w14:paraId="03B4995A">
            <w:pPr>
              <w:pStyle w:val="28"/>
              <w:spacing w:before="179" w:line="228" w:lineRule="auto"/>
              <w:ind w:left="37"/>
            </w:pPr>
            <w:r>
              <w:rPr>
                <w:spacing w:val="3"/>
              </w:rPr>
              <w:t>电压稳定性</w:t>
            </w:r>
          </w:p>
        </w:tc>
        <w:tc>
          <w:tcPr>
            <w:tcW w:w="5471" w:type="dxa"/>
            <w:gridSpan w:val="2"/>
            <w:vAlign w:val="top"/>
          </w:tcPr>
          <w:p w14:paraId="0B51A0DA">
            <w:pPr>
              <w:pStyle w:val="28"/>
              <w:spacing w:before="180" w:line="264" w:lineRule="exact"/>
              <w:ind w:left="35"/>
            </w:pPr>
            <w:r>
              <w:rPr>
                <w:spacing w:val="-5"/>
                <w:position w:val="1"/>
              </w:rPr>
              <w:t>±5%</w:t>
            </w:r>
          </w:p>
        </w:tc>
      </w:tr>
      <w:tr w14:paraId="17A0E5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9" w:hRule="atLeast"/>
        </w:trPr>
        <w:tc>
          <w:tcPr>
            <w:tcW w:w="3874" w:type="dxa"/>
            <w:gridSpan w:val="2"/>
            <w:vAlign w:val="top"/>
          </w:tcPr>
          <w:p w14:paraId="08DFC40C">
            <w:pPr>
              <w:pStyle w:val="28"/>
              <w:spacing w:before="180" w:line="228" w:lineRule="auto"/>
              <w:ind w:left="13"/>
            </w:pPr>
            <w:r>
              <w:rPr>
                <w:spacing w:val="8"/>
              </w:rPr>
              <w:t>环境温度稳定性</w:t>
            </w:r>
          </w:p>
        </w:tc>
        <w:tc>
          <w:tcPr>
            <w:tcW w:w="5471" w:type="dxa"/>
            <w:gridSpan w:val="2"/>
            <w:vAlign w:val="top"/>
          </w:tcPr>
          <w:p w14:paraId="5578A661">
            <w:pPr>
              <w:pStyle w:val="28"/>
              <w:spacing w:before="181" w:line="264" w:lineRule="exact"/>
              <w:ind w:left="35"/>
            </w:pPr>
            <w:r>
              <w:rPr>
                <w:spacing w:val="-5"/>
                <w:position w:val="1"/>
              </w:rPr>
              <w:t>±3%</w:t>
            </w:r>
          </w:p>
        </w:tc>
      </w:tr>
    </w:tbl>
    <w:p w14:paraId="7DF0B716">
      <w:pPr>
        <w:rPr>
          <w:rFonts w:hint="eastAsia" w:ascii="宋体" w:hAnsi="宋体" w:eastAsia="宋体" w:cs="Arial"/>
          <w:b/>
          <w:bCs/>
          <w:color w:val="auto"/>
          <w:spacing w:val="0"/>
          <w:sz w:val="24"/>
          <w:szCs w:val="24"/>
          <w:lang w:val="en-US" w:eastAsia="zh-CN" w:bidi="ar-SA"/>
        </w:rPr>
      </w:pPr>
    </w:p>
    <w:p w14:paraId="4E31BD28">
      <w:pPr>
        <w:widowControl/>
        <w:spacing w:line="360" w:lineRule="auto"/>
        <w:ind w:firstLine="482"/>
        <w:jc w:val="left"/>
        <w:outlineLvl w:val="9"/>
        <w:rPr>
          <w:rFonts w:hint="eastAsia" w:ascii="宋体" w:hAnsi="宋体" w:eastAsia="宋体" w:cs="Arial"/>
          <w:b/>
          <w:bCs/>
          <w:color w:val="auto"/>
          <w:spacing w:val="0"/>
          <w:sz w:val="24"/>
          <w:szCs w:val="24"/>
          <w:lang w:val="en-US" w:eastAsia="zh-CN" w:bidi="ar-SA"/>
        </w:rPr>
      </w:pPr>
      <w:r>
        <w:rPr>
          <w:rFonts w:hint="eastAsia" w:ascii="宋体" w:hAnsi="宋体" w:eastAsia="宋体" w:cs="Arial"/>
          <w:b/>
          <w:bCs/>
          <w:color w:val="auto"/>
          <w:spacing w:val="0"/>
          <w:sz w:val="24"/>
          <w:szCs w:val="24"/>
          <w:lang w:val="en-US" w:eastAsia="zh-CN" w:bidi="ar-SA"/>
        </w:rPr>
        <w:t>2.</w:t>
      </w:r>
      <w:r>
        <w:rPr>
          <w:rFonts w:hint="eastAsia" w:ascii="宋体" w:hAnsi="宋体" w:cs="Arial"/>
          <w:b/>
          <w:bCs/>
          <w:color w:val="auto"/>
          <w:spacing w:val="0"/>
          <w:sz w:val="24"/>
          <w:szCs w:val="24"/>
          <w:lang w:val="en-US" w:eastAsia="zh-CN" w:bidi="ar-SA"/>
        </w:rPr>
        <w:t>5</w:t>
      </w:r>
      <w:r>
        <w:rPr>
          <w:rFonts w:hint="eastAsia" w:ascii="宋体" w:hAnsi="宋体" w:eastAsia="宋体" w:cs="Arial"/>
          <w:b/>
          <w:bCs/>
          <w:color w:val="auto"/>
          <w:spacing w:val="0"/>
          <w:sz w:val="24"/>
          <w:szCs w:val="24"/>
          <w:lang w:val="en-US" w:eastAsia="zh-CN" w:bidi="ar-SA"/>
        </w:rPr>
        <w:t>、</w:t>
      </w:r>
      <w:r>
        <w:rPr>
          <w:rFonts w:hint="eastAsia" w:ascii="宋体" w:hAnsi="宋体" w:cs="Arial"/>
          <w:b/>
          <w:bCs/>
          <w:color w:val="auto"/>
          <w:spacing w:val="0"/>
          <w:sz w:val="24"/>
          <w:szCs w:val="24"/>
          <w:lang w:val="en-US" w:eastAsia="zh-CN" w:bidi="ar-SA"/>
        </w:rPr>
        <w:t>化学需氧量</w:t>
      </w:r>
      <w:r>
        <w:rPr>
          <w:rFonts w:hint="eastAsia" w:ascii="宋体" w:hAnsi="宋体" w:eastAsia="宋体" w:cs="Arial"/>
          <w:b/>
          <w:bCs/>
          <w:color w:val="auto"/>
          <w:spacing w:val="0"/>
          <w:sz w:val="24"/>
          <w:szCs w:val="24"/>
          <w:lang w:val="en-US" w:eastAsia="zh-CN" w:bidi="ar-SA"/>
        </w:rPr>
        <w:t>水质自动分析仪</w:t>
      </w:r>
    </w:p>
    <w:p w14:paraId="4D9FC7A5">
      <w:pPr>
        <w:rPr>
          <w:rFonts w:hint="eastAsia" w:ascii="宋体" w:hAnsi="宋体" w:eastAsia="宋体" w:cs="Arial"/>
          <w:b/>
          <w:bCs/>
          <w:color w:val="auto"/>
          <w:spacing w:val="0"/>
          <w:sz w:val="24"/>
          <w:szCs w:val="24"/>
          <w:lang w:val="en-US" w:eastAsia="zh-CN" w:bidi="ar-SA"/>
        </w:rPr>
      </w:pPr>
      <w:r>
        <w:rPr>
          <w:rFonts w:hint="eastAsia" w:ascii="宋体" w:hAnsi="宋体" w:eastAsia="宋体" w:cs="Arial"/>
          <w:b/>
          <w:bCs/>
          <w:color w:val="auto"/>
          <w:spacing w:val="0"/>
          <w:sz w:val="24"/>
          <w:szCs w:val="24"/>
          <w:lang w:val="en-US" w:eastAsia="zh-CN" w:bidi="ar-SA"/>
        </w:rPr>
        <w:br w:type="page"/>
      </w:r>
    </w:p>
    <w:p w14:paraId="4BB5D597">
      <w:pPr>
        <w:keepNext w:val="0"/>
        <w:keepLines w:val="0"/>
        <w:pageBreakBefore w:val="0"/>
        <w:widowControl w:val="0"/>
        <w:spacing w:line="360" w:lineRule="auto"/>
        <w:ind w:left="0" w:right="0" w:firstLine="480"/>
        <w:jc w:val="left"/>
        <w:rPr>
          <w:rFonts w:hint="eastAsia" w:ascii="宋体" w:hAnsi="宋体" w:eastAsia="宋体" w:cs="Arial"/>
          <w:b/>
          <w:bCs/>
          <w:color w:val="auto"/>
          <w:spacing w:val="0"/>
          <w:sz w:val="24"/>
          <w:szCs w:val="24"/>
          <w:lang w:val="en-US" w:eastAsia="zh-CN" w:bidi="ar-SA"/>
        </w:rPr>
      </w:pPr>
      <w:r>
        <w:rPr>
          <w:rFonts w:hint="eastAsia" w:ascii="宋体" w:hAnsi="宋体" w:eastAsia="宋体" w:cs="Arial"/>
          <w:b/>
          <w:bCs/>
          <w:color w:val="auto"/>
          <w:spacing w:val="0"/>
          <w:sz w:val="24"/>
          <w:szCs w:val="24"/>
          <w:lang w:val="en-US" w:eastAsia="zh-CN" w:bidi="ar-SA"/>
        </w:rPr>
        <w:t>2.</w:t>
      </w:r>
      <w:r>
        <w:rPr>
          <w:rFonts w:hint="eastAsia" w:ascii="宋体" w:hAnsi="宋体" w:cs="Arial"/>
          <w:b/>
          <w:bCs/>
          <w:color w:val="auto"/>
          <w:spacing w:val="0"/>
          <w:sz w:val="24"/>
          <w:szCs w:val="24"/>
          <w:lang w:val="en-US" w:eastAsia="zh-CN" w:bidi="ar-SA"/>
        </w:rPr>
        <w:t>6</w:t>
      </w:r>
      <w:r>
        <w:rPr>
          <w:rFonts w:hint="eastAsia" w:ascii="宋体" w:hAnsi="宋体" w:eastAsia="宋体" w:cs="Arial"/>
          <w:b/>
          <w:bCs/>
          <w:color w:val="auto"/>
          <w:spacing w:val="0"/>
          <w:sz w:val="24"/>
          <w:szCs w:val="24"/>
          <w:lang w:val="en-US" w:eastAsia="zh-CN" w:bidi="ar-SA"/>
        </w:rPr>
        <w:t>、</w:t>
      </w:r>
      <w:r>
        <w:rPr>
          <w:rFonts w:hint="eastAsia" w:ascii="宋体" w:hAnsi="宋体" w:cs="Arial"/>
          <w:b/>
          <w:bCs/>
          <w:color w:val="auto"/>
          <w:spacing w:val="0"/>
          <w:sz w:val="24"/>
          <w:szCs w:val="24"/>
          <w:lang w:val="en-US" w:eastAsia="zh-CN" w:bidi="ar-SA"/>
        </w:rPr>
        <w:t>总氮</w:t>
      </w:r>
      <w:r>
        <w:rPr>
          <w:rFonts w:hint="eastAsia" w:ascii="宋体" w:hAnsi="宋体" w:eastAsia="宋体" w:cs="Arial"/>
          <w:b/>
          <w:bCs/>
          <w:color w:val="auto"/>
          <w:spacing w:val="0"/>
          <w:sz w:val="24"/>
          <w:szCs w:val="24"/>
          <w:lang w:val="en-US" w:eastAsia="zh-CN" w:bidi="ar-SA"/>
        </w:rPr>
        <w:t>水质自动分析仪</w:t>
      </w:r>
    </w:p>
    <w:tbl>
      <w:tblPr>
        <w:tblStyle w:val="15"/>
        <w:tblW w:w="5095"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4101"/>
        <w:gridCol w:w="4583"/>
      </w:tblGrid>
      <w:tr w14:paraId="2C8BFEC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2361" w:type="pct"/>
            <w:tcBorders>
              <w:top w:val="single" w:color="auto" w:sz="8" w:space="0"/>
              <w:bottom w:val="single" w:color="auto" w:sz="8" w:space="0"/>
            </w:tcBorders>
            <w:noWrap w:val="0"/>
            <w:vAlign w:val="center"/>
          </w:tcPr>
          <w:p w14:paraId="4D877233">
            <w:pPr>
              <w:spacing w:line="240" w:lineRule="auto"/>
              <w:jc w:val="center"/>
            </w:pPr>
            <w:r>
              <w:t>项   目</w:t>
            </w:r>
          </w:p>
        </w:tc>
        <w:tc>
          <w:tcPr>
            <w:tcW w:w="2638" w:type="pct"/>
            <w:tcBorders>
              <w:top w:val="single" w:color="auto" w:sz="8" w:space="0"/>
              <w:bottom w:val="single" w:color="auto" w:sz="8" w:space="0"/>
            </w:tcBorders>
            <w:noWrap w:val="0"/>
            <w:vAlign w:val="center"/>
          </w:tcPr>
          <w:p w14:paraId="28DB6063">
            <w:pPr>
              <w:spacing w:line="240" w:lineRule="auto"/>
              <w:jc w:val="center"/>
            </w:pPr>
            <w:r>
              <w:t>技术指标</w:t>
            </w:r>
          </w:p>
        </w:tc>
      </w:tr>
      <w:tr w14:paraId="12E66AE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2361" w:type="pct"/>
            <w:tcBorders>
              <w:top w:val="single" w:color="auto" w:sz="8" w:space="0"/>
              <w:bottom w:val="single" w:color="auto" w:sz="8" w:space="0"/>
            </w:tcBorders>
            <w:noWrap w:val="0"/>
            <w:vAlign w:val="center"/>
          </w:tcPr>
          <w:p w14:paraId="5ABD104D">
            <w:pPr>
              <w:pStyle w:val="30"/>
            </w:pPr>
            <w:r>
              <w:t>分析方法</w:t>
            </w:r>
          </w:p>
        </w:tc>
        <w:tc>
          <w:tcPr>
            <w:tcW w:w="2638" w:type="pct"/>
            <w:tcBorders>
              <w:top w:val="single" w:color="auto" w:sz="8" w:space="0"/>
              <w:bottom w:val="single" w:color="auto" w:sz="8" w:space="0"/>
            </w:tcBorders>
            <w:noWrap w:val="0"/>
            <w:vAlign w:val="center"/>
          </w:tcPr>
          <w:p w14:paraId="6EABF4C7">
            <w:pPr>
              <w:pStyle w:val="30"/>
            </w:pPr>
            <w:r>
              <w:t>碱性过硫酸钾消解紫外分光光度法</w:t>
            </w:r>
            <w:r>
              <w:rPr>
                <w:rFonts w:hint="eastAsia"/>
              </w:rPr>
              <w:t>/碱性过硫酸钾消解-NED比色法</w:t>
            </w:r>
          </w:p>
        </w:tc>
      </w:tr>
      <w:tr w14:paraId="55CA4A4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2361" w:type="pct"/>
            <w:tcBorders>
              <w:top w:val="single" w:color="auto" w:sz="8" w:space="0"/>
            </w:tcBorders>
            <w:noWrap w:val="0"/>
            <w:vAlign w:val="center"/>
          </w:tcPr>
          <w:p w14:paraId="512FF190">
            <w:pPr>
              <w:pStyle w:val="30"/>
            </w:pPr>
            <w:r>
              <w:t>测定范围</w:t>
            </w:r>
          </w:p>
        </w:tc>
        <w:tc>
          <w:tcPr>
            <w:tcW w:w="2638" w:type="pct"/>
            <w:tcBorders>
              <w:top w:val="single" w:color="auto" w:sz="8" w:space="0"/>
            </w:tcBorders>
            <w:noWrap w:val="0"/>
            <w:vAlign w:val="center"/>
          </w:tcPr>
          <w:p w14:paraId="519A75A1">
            <w:pPr>
              <w:pStyle w:val="30"/>
            </w:pPr>
            <w:r>
              <w:t>0~50mg/L（可扩展）</w:t>
            </w:r>
          </w:p>
        </w:tc>
      </w:tr>
      <w:tr w14:paraId="2EBBDA8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2361" w:type="pct"/>
            <w:tcBorders>
              <w:bottom w:val="single" w:color="auto" w:sz="4" w:space="0"/>
            </w:tcBorders>
            <w:noWrap w:val="0"/>
            <w:vAlign w:val="center"/>
          </w:tcPr>
          <w:p w14:paraId="228C70CC">
            <w:pPr>
              <w:pStyle w:val="30"/>
            </w:pPr>
            <w:r>
              <w:t>准确度</w:t>
            </w:r>
          </w:p>
        </w:tc>
        <w:tc>
          <w:tcPr>
            <w:tcW w:w="2638" w:type="pct"/>
            <w:tcBorders>
              <w:bottom w:val="single" w:color="auto" w:sz="4" w:space="0"/>
            </w:tcBorders>
            <w:noWrap w:val="0"/>
            <w:vAlign w:val="top"/>
          </w:tcPr>
          <w:p w14:paraId="02490D1F">
            <w:pPr>
              <w:pStyle w:val="30"/>
            </w:pPr>
            <w:r>
              <w:t>±</w:t>
            </w:r>
            <w:r>
              <w:rPr>
                <w:rFonts w:hint="eastAsia"/>
              </w:rPr>
              <w:t>5</w:t>
            </w:r>
            <w:r>
              <w:t>%</w:t>
            </w:r>
          </w:p>
        </w:tc>
      </w:tr>
      <w:tr w14:paraId="5EB410C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2361" w:type="pct"/>
            <w:tcBorders>
              <w:top w:val="single" w:color="auto" w:sz="4" w:space="0"/>
              <w:bottom w:val="single" w:color="auto" w:sz="4" w:space="0"/>
            </w:tcBorders>
            <w:noWrap w:val="0"/>
            <w:vAlign w:val="center"/>
          </w:tcPr>
          <w:p w14:paraId="6B28F658">
            <w:pPr>
              <w:pStyle w:val="30"/>
            </w:pPr>
            <w:r>
              <w:t>重复性</w:t>
            </w:r>
          </w:p>
        </w:tc>
        <w:tc>
          <w:tcPr>
            <w:tcW w:w="2638" w:type="pct"/>
            <w:tcBorders>
              <w:top w:val="single" w:color="auto" w:sz="4" w:space="0"/>
              <w:bottom w:val="single" w:color="auto" w:sz="4" w:space="0"/>
            </w:tcBorders>
            <w:noWrap w:val="0"/>
            <w:vAlign w:val="top"/>
          </w:tcPr>
          <w:p w14:paraId="58945690">
            <w:pPr>
              <w:pStyle w:val="30"/>
            </w:pPr>
            <w:r>
              <w:t>≤</w:t>
            </w:r>
            <w:r>
              <w:rPr>
                <w:rFonts w:hint="eastAsia"/>
              </w:rPr>
              <w:t>3</w:t>
            </w:r>
            <w:r>
              <w:t>%</w:t>
            </w:r>
          </w:p>
        </w:tc>
      </w:tr>
      <w:tr w14:paraId="3D9FD25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2361" w:type="pct"/>
            <w:tcBorders>
              <w:top w:val="single" w:color="auto" w:sz="4" w:space="0"/>
              <w:bottom w:val="single" w:color="auto" w:sz="4" w:space="0"/>
            </w:tcBorders>
            <w:noWrap w:val="0"/>
            <w:vAlign w:val="center"/>
          </w:tcPr>
          <w:p w14:paraId="5235B8FD">
            <w:pPr>
              <w:pStyle w:val="30"/>
            </w:pPr>
            <w:r>
              <w:t>零点漂移</w:t>
            </w:r>
          </w:p>
        </w:tc>
        <w:tc>
          <w:tcPr>
            <w:tcW w:w="2638" w:type="pct"/>
            <w:tcBorders>
              <w:top w:val="single" w:color="auto" w:sz="4" w:space="0"/>
              <w:bottom w:val="single" w:color="auto" w:sz="4" w:space="0"/>
            </w:tcBorders>
            <w:noWrap w:val="0"/>
            <w:vAlign w:val="top"/>
          </w:tcPr>
          <w:p w14:paraId="4831B029">
            <w:pPr>
              <w:pStyle w:val="30"/>
            </w:pPr>
            <w:r>
              <w:t>±5%</w:t>
            </w:r>
          </w:p>
        </w:tc>
      </w:tr>
      <w:tr w14:paraId="027E264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2361" w:type="pct"/>
            <w:tcBorders>
              <w:top w:val="single" w:color="auto" w:sz="4" w:space="0"/>
              <w:bottom w:val="single" w:color="auto" w:sz="8" w:space="0"/>
            </w:tcBorders>
            <w:noWrap w:val="0"/>
            <w:vAlign w:val="center"/>
          </w:tcPr>
          <w:p w14:paraId="290A06B5">
            <w:pPr>
              <w:pStyle w:val="30"/>
            </w:pPr>
            <w:r>
              <w:t>量程漂移</w:t>
            </w:r>
          </w:p>
        </w:tc>
        <w:tc>
          <w:tcPr>
            <w:tcW w:w="2638" w:type="pct"/>
            <w:tcBorders>
              <w:top w:val="single" w:color="auto" w:sz="4" w:space="0"/>
              <w:bottom w:val="single" w:color="auto" w:sz="8" w:space="0"/>
            </w:tcBorders>
            <w:noWrap w:val="0"/>
            <w:vAlign w:val="top"/>
          </w:tcPr>
          <w:p w14:paraId="0769427D">
            <w:pPr>
              <w:pStyle w:val="30"/>
            </w:pPr>
            <w:r>
              <w:t>±5%</w:t>
            </w:r>
          </w:p>
        </w:tc>
      </w:tr>
      <w:tr w14:paraId="56C4869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2361" w:type="pct"/>
            <w:tcBorders>
              <w:top w:val="single" w:color="auto" w:sz="8" w:space="0"/>
              <w:bottom w:val="single" w:color="auto" w:sz="8" w:space="0"/>
            </w:tcBorders>
            <w:noWrap w:val="0"/>
            <w:vAlign w:val="center"/>
          </w:tcPr>
          <w:p w14:paraId="71AB954F">
            <w:pPr>
              <w:pStyle w:val="30"/>
            </w:pPr>
            <w:r>
              <w:t>检出限</w:t>
            </w:r>
          </w:p>
        </w:tc>
        <w:tc>
          <w:tcPr>
            <w:tcW w:w="2638" w:type="pct"/>
            <w:tcBorders>
              <w:top w:val="single" w:color="auto" w:sz="8" w:space="0"/>
              <w:bottom w:val="single" w:color="auto" w:sz="8" w:space="0"/>
            </w:tcBorders>
            <w:noWrap w:val="0"/>
            <w:vAlign w:val="center"/>
          </w:tcPr>
          <w:p w14:paraId="5D0EF095">
            <w:pPr>
              <w:pStyle w:val="30"/>
            </w:pPr>
            <w:r>
              <w:t>≤0.05mg/L</w:t>
            </w:r>
          </w:p>
        </w:tc>
      </w:tr>
      <w:tr w14:paraId="3B2D5B0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2361" w:type="pct"/>
            <w:tcBorders>
              <w:top w:val="single" w:color="auto" w:sz="8" w:space="0"/>
            </w:tcBorders>
            <w:noWrap w:val="0"/>
            <w:vAlign w:val="center"/>
          </w:tcPr>
          <w:p w14:paraId="047D932D">
            <w:pPr>
              <w:pStyle w:val="30"/>
            </w:pPr>
            <w:r>
              <w:t>实际水样比对试验</w:t>
            </w:r>
          </w:p>
        </w:tc>
        <w:tc>
          <w:tcPr>
            <w:tcW w:w="2638" w:type="pct"/>
            <w:tcBorders>
              <w:top w:val="single" w:color="auto" w:sz="8" w:space="0"/>
            </w:tcBorders>
            <w:noWrap w:val="0"/>
            <w:vAlign w:val="center"/>
          </w:tcPr>
          <w:p w14:paraId="27A7DECB">
            <w:pPr>
              <w:pStyle w:val="30"/>
            </w:pPr>
            <w:r>
              <w:t>≤10%</w:t>
            </w:r>
          </w:p>
        </w:tc>
      </w:tr>
      <w:tr w14:paraId="41F9933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2361" w:type="pct"/>
            <w:tcBorders>
              <w:bottom w:val="single" w:color="auto" w:sz="4" w:space="0"/>
            </w:tcBorders>
            <w:noWrap w:val="0"/>
            <w:vAlign w:val="center"/>
          </w:tcPr>
          <w:p w14:paraId="43D5A9E3">
            <w:pPr>
              <w:pStyle w:val="30"/>
            </w:pPr>
            <w:r>
              <w:t>分辨率</w:t>
            </w:r>
          </w:p>
        </w:tc>
        <w:tc>
          <w:tcPr>
            <w:tcW w:w="2638" w:type="pct"/>
            <w:tcBorders>
              <w:bottom w:val="single" w:color="auto" w:sz="4" w:space="0"/>
            </w:tcBorders>
            <w:noWrap w:val="0"/>
            <w:vAlign w:val="center"/>
          </w:tcPr>
          <w:p w14:paraId="10184486">
            <w:pPr>
              <w:pStyle w:val="30"/>
            </w:pPr>
            <w:r>
              <w:t>0.01mg/L</w:t>
            </w:r>
          </w:p>
        </w:tc>
      </w:tr>
      <w:tr w14:paraId="48E2EF6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2361" w:type="pct"/>
            <w:tcBorders>
              <w:top w:val="single" w:color="auto" w:sz="4" w:space="0"/>
              <w:bottom w:val="single" w:color="auto" w:sz="4" w:space="0"/>
            </w:tcBorders>
            <w:noWrap w:val="0"/>
            <w:vAlign w:val="center"/>
          </w:tcPr>
          <w:p w14:paraId="3B75360A">
            <w:pPr>
              <w:pStyle w:val="30"/>
            </w:pPr>
            <w:r>
              <w:t>测量时间</w:t>
            </w:r>
          </w:p>
        </w:tc>
        <w:tc>
          <w:tcPr>
            <w:tcW w:w="2638" w:type="pct"/>
            <w:tcBorders>
              <w:top w:val="single" w:color="auto" w:sz="4" w:space="0"/>
              <w:bottom w:val="single" w:color="auto" w:sz="4" w:space="0"/>
            </w:tcBorders>
            <w:noWrap w:val="0"/>
            <w:vAlign w:val="center"/>
          </w:tcPr>
          <w:p w14:paraId="1E3DB16A">
            <w:pPr>
              <w:pStyle w:val="30"/>
            </w:pPr>
            <w:r>
              <w:t>≤</w:t>
            </w:r>
            <w:r>
              <w:rPr>
                <w:rFonts w:hint="eastAsia"/>
                <w:lang w:val="en-US" w:eastAsia="zh-CN"/>
              </w:rPr>
              <w:t>3</w:t>
            </w:r>
            <w:r>
              <w:t>5min</w:t>
            </w:r>
          </w:p>
        </w:tc>
      </w:tr>
      <w:tr w14:paraId="1C00D65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2361" w:type="pct"/>
            <w:tcBorders>
              <w:top w:val="single" w:color="auto" w:sz="4" w:space="0"/>
              <w:bottom w:val="single" w:color="auto" w:sz="4" w:space="0"/>
            </w:tcBorders>
            <w:noWrap w:val="0"/>
            <w:vAlign w:val="center"/>
          </w:tcPr>
          <w:p w14:paraId="6E758A7C">
            <w:pPr>
              <w:pStyle w:val="30"/>
            </w:pPr>
            <w:r>
              <w:t>平均无故障运行时间</w:t>
            </w:r>
          </w:p>
        </w:tc>
        <w:tc>
          <w:tcPr>
            <w:tcW w:w="2638" w:type="pct"/>
            <w:tcBorders>
              <w:top w:val="single" w:color="auto" w:sz="4" w:space="0"/>
              <w:bottom w:val="single" w:color="auto" w:sz="4" w:space="0"/>
            </w:tcBorders>
            <w:noWrap w:val="0"/>
            <w:vAlign w:val="center"/>
          </w:tcPr>
          <w:p w14:paraId="5F01F35B">
            <w:pPr>
              <w:pStyle w:val="30"/>
            </w:pPr>
            <w:r>
              <w:t>≥1440h/次</w:t>
            </w:r>
          </w:p>
        </w:tc>
      </w:tr>
      <w:tr w14:paraId="6ECEA53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2361" w:type="pct"/>
            <w:tcBorders>
              <w:top w:val="single" w:color="auto" w:sz="4" w:space="0"/>
              <w:bottom w:val="single" w:color="auto" w:sz="8" w:space="0"/>
            </w:tcBorders>
            <w:noWrap w:val="0"/>
            <w:vAlign w:val="center"/>
          </w:tcPr>
          <w:p w14:paraId="7B85B670">
            <w:pPr>
              <w:pStyle w:val="30"/>
            </w:pPr>
            <w:r>
              <w:t>电压稳定性</w:t>
            </w:r>
          </w:p>
        </w:tc>
        <w:tc>
          <w:tcPr>
            <w:tcW w:w="2638" w:type="pct"/>
            <w:tcBorders>
              <w:top w:val="single" w:color="auto" w:sz="4" w:space="0"/>
              <w:bottom w:val="single" w:color="auto" w:sz="8" w:space="0"/>
            </w:tcBorders>
            <w:noWrap w:val="0"/>
            <w:vAlign w:val="center"/>
          </w:tcPr>
          <w:p w14:paraId="4AF86CDA">
            <w:pPr>
              <w:pStyle w:val="30"/>
            </w:pPr>
            <w:r>
              <w:t>±5%</w:t>
            </w:r>
          </w:p>
        </w:tc>
      </w:tr>
      <w:tr w14:paraId="25EAF30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2361" w:type="pct"/>
            <w:tcBorders>
              <w:top w:val="single" w:color="auto" w:sz="4" w:space="0"/>
              <w:bottom w:val="single" w:color="auto" w:sz="4" w:space="0"/>
            </w:tcBorders>
            <w:noWrap w:val="0"/>
            <w:vAlign w:val="center"/>
          </w:tcPr>
          <w:p w14:paraId="290C1EAA">
            <w:pPr>
              <w:pStyle w:val="30"/>
            </w:pPr>
            <w:r>
              <w:t>环境温度稳定性</w:t>
            </w:r>
          </w:p>
        </w:tc>
        <w:tc>
          <w:tcPr>
            <w:tcW w:w="2638" w:type="pct"/>
            <w:tcBorders>
              <w:top w:val="single" w:color="auto" w:sz="4" w:space="0"/>
              <w:bottom w:val="single" w:color="auto" w:sz="4" w:space="0"/>
            </w:tcBorders>
            <w:noWrap w:val="0"/>
            <w:vAlign w:val="center"/>
          </w:tcPr>
          <w:p w14:paraId="55100E4C">
            <w:pPr>
              <w:pStyle w:val="30"/>
            </w:pPr>
            <w:r>
              <w:t>±10%</w:t>
            </w:r>
          </w:p>
        </w:tc>
      </w:tr>
      <w:tr w14:paraId="2F015EB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2361" w:type="pct"/>
            <w:tcBorders>
              <w:top w:val="single" w:color="auto" w:sz="4" w:space="0"/>
              <w:bottom w:val="single" w:color="auto" w:sz="4" w:space="0"/>
            </w:tcBorders>
            <w:noWrap w:val="0"/>
            <w:vAlign w:val="center"/>
          </w:tcPr>
          <w:p w14:paraId="51A4A544">
            <w:pPr>
              <w:pStyle w:val="30"/>
            </w:pPr>
            <w:r>
              <w:rPr>
                <w:rFonts w:hint="eastAsia"/>
              </w:rPr>
              <w:t>直线性</w:t>
            </w:r>
          </w:p>
        </w:tc>
        <w:tc>
          <w:tcPr>
            <w:tcW w:w="2638" w:type="pct"/>
            <w:tcBorders>
              <w:top w:val="single" w:color="auto" w:sz="4" w:space="0"/>
              <w:bottom w:val="single" w:color="auto" w:sz="4" w:space="0"/>
            </w:tcBorders>
            <w:noWrap w:val="0"/>
            <w:vAlign w:val="center"/>
          </w:tcPr>
          <w:p w14:paraId="7CC88551">
            <w:pPr>
              <w:pStyle w:val="30"/>
            </w:pPr>
            <w:r>
              <w:t>±10%</w:t>
            </w:r>
          </w:p>
        </w:tc>
      </w:tr>
      <w:tr w14:paraId="1B0091B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2361" w:type="pct"/>
            <w:tcBorders>
              <w:top w:val="single" w:color="auto" w:sz="4" w:space="0"/>
              <w:bottom w:val="single" w:color="auto" w:sz="4" w:space="0"/>
            </w:tcBorders>
            <w:noWrap w:val="0"/>
            <w:vAlign w:val="center"/>
          </w:tcPr>
          <w:p w14:paraId="18EAF703">
            <w:pPr>
              <w:pStyle w:val="30"/>
            </w:pPr>
            <w:r>
              <w:rPr>
                <w:rFonts w:hint="eastAsia"/>
              </w:rPr>
              <w:t>绝缘阻抗</w:t>
            </w:r>
          </w:p>
        </w:tc>
        <w:tc>
          <w:tcPr>
            <w:tcW w:w="2638" w:type="pct"/>
            <w:tcBorders>
              <w:top w:val="single" w:color="auto" w:sz="4" w:space="0"/>
              <w:bottom w:val="single" w:color="auto" w:sz="4" w:space="0"/>
            </w:tcBorders>
            <w:noWrap w:val="0"/>
            <w:vAlign w:val="center"/>
          </w:tcPr>
          <w:p w14:paraId="534B0004">
            <w:pPr>
              <w:pStyle w:val="30"/>
            </w:pPr>
            <w:r>
              <w:rPr>
                <w:rFonts w:hint="eastAsia"/>
              </w:rPr>
              <w:t>＞5M</w:t>
            </w:r>
            <w:r>
              <w:t>Ω</w:t>
            </w:r>
          </w:p>
        </w:tc>
      </w:tr>
      <w:tr w14:paraId="3A18199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2361" w:type="pct"/>
            <w:tcBorders>
              <w:top w:val="single" w:color="auto" w:sz="4" w:space="0"/>
              <w:bottom w:val="single" w:color="auto" w:sz="4" w:space="0"/>
            </w:tcBorders>
            <w:shd w:val="clear" w:color="auto" w:fill="auto"/>
            <w:noWrap w:val="0"/>
            <w:vAlign w:val="center"/>
          </w:tcPr>
          <w:p w14:paraId="4B6A1DCF">
            <w:pPr>
              <w:pBdr>
                <w:top w:val="none" w:color="000000" w:sz="0" w:space="0"/>
                <w:left w:val="none" w:color="000000" w:sz="0" w:space="0"/>
                <w:bottom w:val="none" w:color="000000" w:sz="0" w:space="0"/>
                <w:right w:val="none" w:color="000000" w:sz="0" w:space="0"/>
              </w:pBdr>
              <w:spacing w:before="0" w:after="0" w:line="85" w:lineRule="atLeast"/>
              <w:ind w:left="0" w:leftChars="0" w:right="0" w:rightChars="0" w:firstLine="0" w:firstLineChars="0"/>
              <w:jc w:val="both"/>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color w:val="000000"/>
                <w:sz w:val="21"/>
                <w:szCs w:val="21"/>
              </w:rPr>
              <w:t>抗浊度干扰</w:t>
            </w:r>
          </w:p>
        </w:tc>
        <w:tc>
          <w:tcPr>
            <w:tcW w:w="2638" w:type="pct"/>
            <w:tcBorders>
              <w:top w:val="single" w:color="auto" w:sz="4" w:space="0"/>
              <w:bottom w:val="single" w:color="auto" w:sz="4" w:space="0"/>
            </w:tcBorders>
            <w:shd w:val="clear" w:color="auto" w:fill="auto"/>
            <w:noWrap w:val="0"/>
            <w:vAlign w:val="top"/>
          </w:tcPr>
          <w:p w14:paraId="24DB513F">
            <w:pPr>
              <w:pBdr>
                <w:top w:val="none" w:color="000000" w:sz="0" w:space="0"/>
                <w:left w:val="none" w:color="000000" w:sz="0" w:space="0"/>
                <w:bottom w:val="none" w:color="000000" w:sz="0" w:space="0"/>
                <w:right w:val="none" w:color="000000" w:sz="0" w:space="0"/>
              </w:pBdr>
              <w:spacing w:before="0" w:after="0" w:line="85" w:lineRule="atLeast"/>
              <w:ind w:left="0" w:leftChars="0" w:right="0" w:rightChars="0" w:firstLine="0" w:firstLineChars="0"/>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color w:val="000000"/>
                <w:sz w:val="21"/>
                <w:szCs w:val="21"/>
              </w:rPr>
              <w:t>▲应具备抗浊度干扰，需对不同浊度的水体进行测试，测试样本数不少于15个，抗浊度干扰功能能够达到相应的效果，在浊度为100NTU-350NTU时与实验室数据相对偏差不超过15%，需提供监测报告或相关测试证明材料。</w:t>
            </w:r>
          </w:p>
        </w:tc>
      </w:tr>
    </w:tbl>
    <w:p w14:paraId="7FD2671C">
      <w:pPr>
        <w:keepNext w:val="0"/>
        <w:keepLines w:val="0"/>
        <w:pageBreakBefore w:val="0"/>
        <w:widowControl w:val="0"/>
        <w:spacing w:line="360" w:lineRule="auto"/>
        <w:ind w:left="0" w:right="0" w:firstLine="480"/>
        <w:jc w:val="left"/>
        <w:rPr>
          <w:rFonts w:hint="eastAsia" w:ascii="宋体" w:hAnsi="宋体" w:eastAsia="宋体" w:cs="Arial"/>
          <w:b/>
          <w:bCs/>
          <w:color w:val="auto"/>
          <w:spacing w:val="0"/>
          <w:sz w:val="24"/>
          <w:szCs w:val="24"/>
          <w:lang w:val="en-US" w:eastAsia="zh-CN" w:bidi="ar-SA"/>
        </w:rPr>
      </w:pPr>
    </w:p>
    <w:p w14:paraId="6F34D76D">
      <w:pPr>
        <w:keepNext w:val="0"/>
        <w:keepLines w:val="0"/>
        <w:pageBreakBefore w:val="0"/>
        <w:widowControl w:val="0"/>
        <w:spacing w:line="360" w:lineRule="auto"/>
        <w:ind w:left="0" w:right="0" w:firstLine="480"/>
        <w:jc w:val="left"/>
        <w:rPr>
          <w:rFonts w:hint="default" w:ascii="宋体" w:hAnsi="宋体" w:cs="Times New Roman"/>
          <w:color w:val="auto"/>
          <w:spacing w:val="0"/>
          <w:sz w:val="24"/>
          <w:szCs w:val="24"/>
          <w:lang w:val="en-US" w:eastAsia="zh-CN"/>
        </w:rPr>
      </w:pPr>
      <w:r>
        <w:rPr>
          <w:rFonts w:hint="eastAsia" w:ascii="宋体" w:hAnsi="宋体" w:eastAsia="宋体" w:cs="Arial"/>
          <w:b/>
          <w:bCs/>
          <w:color w:val="auto"/>
          <w:spacing w:val="0"/>
          <w:sz w:val="24"/>
          <w:szCs w:val="24"/>
          <w:lang w:val="en-US" w:eastAsia="zh-CN" w:bidi="ar-SA"/>
        </w:rPr>
        <w:t>2.</w:t>
      </w:r>
      <w:r>
        <w:rPr>
          <w:rFonts w:hint="eastAsia" w:ascii="宋体" w:hAnsi="宋体" w:cs="Arial"/>
          <w:b/>
          <w:bCs/>
          <w:color w:val="auto"/>
          <w:spacing w:val="0"/>
          <w:sz w:val="24"/>
          <w:szCs w:val="24"/>
          <w:lang w:val="en-US" w:eastAsia="zh-CN" w:bidi="ar-SA"/>
        </w:rPr>
        <w:t>7</w:t>
      </w:r>
      <w:r>
        <w:rPr>
          <w:rFonts w:hint="eastAsia" w:ascii="宋体" w:hAnsi="宋体" w:eastAsia="宋体" w:cs="Arial"/>
          <w:b/>
          <w:bCs/>
          <w:color w:val="auto"/>
          <w:spacing w:val="0"/>
          <w:sz w:val="24"/>
          <w:szCs w:val="24"/>
          <w:lang w:val="en-US" w:eastAsia="zh-CN" w:bidi="ar-SA"/>
        </w:rPr>
        <w:t>、</w:t>
      </w:r>
      <w:r>
        <w:rPr>
          <w:rFonts w:hint="eastAsia" w:ascii="宋体" w:hAnsi="宋体"/>
          <w:b/>
          <w:bCs/>
          <w:color w:val="auto"/>
          <w:spacing w:val="0"/>
          <w:sz w:val="24"/>
          <w:szCs w:val="24"/>
          <w:lang w:val="en-US" w:eastAsia="zh-CN"/>
        </w:rPr>
        <w:t>流向流速仪</w:t>
      </w:r>
    </w:p>
    <w:tbl>
      <w:tblPr>
        <w:tblStyle w:val="29"/>
        <w:tblW w:w="8928" w:type="dxa"/>
        <w:tblInd w:w="3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72"/>
        <w:gridCol w:w="2941"/>
        <w:gridCol w:w="1680"/>
        <w:gridCol w:w="2835"/>
      </w:tblGrid>
      <w:tr w14:paraId="42491F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1472" w:type="dxa"/>
            <w:noWrap w:val="0"/>
            <w:vAlign w:val="top"/>
          </w:tcPr>
          <w:p w14:paraId="4B70072C">
            <w:pPr>
              <w:pStyle w:val="32"/>
              <w:ind w:firstLine="438"/>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水位量程</w:t>
            </w:r>
          </w:p>
        </w:tc>
        <w:tc>
          <w:tcPr>
            <w:tcW w:w="2941" w:type="dxa"/>
            <w:noWrap w:val="0"/>
            <w:vAlign w:val="top"/>
          </w:tcPr>
          <w:p w14:paraId="251891C2">
            <w:pPr>
              <w:pStyle w:val="32"/>
              <w:ind w:firstLine="438"/>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0.05~10m</w:t>
            </w:r>
          </w:p>
        </w:tc>
        <w:tc>
          <w:tcPr>
            <w:tcW w:w="1680" w:type="dxa"/>
            <w:noWrap w:val="0"/>
            <w:vAlign w:val="top"/>
          </w:tcPr>
          <w:p w14:paraId="671B9351">
            <w:pPr>
              <w:pStyle w:val="32"/>
              <w:ind w:firstLine="438"/>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工作原理</w:t>
            </w:r>
          </w:p>
        </w:tc>
        <w:tc>
          <w:tcPr>
            <w:tcW w:w="2835" w:type="dxa"/>
            <w:noWrap w:val="0"/>
            <w:vAlign w:val="top"/>
          </w:tcPr>
          <w:p w14:paraId="456F8BDD">
            <w:pPr>
              <w:pStyle w:val="32"/>
              <w:ind w:firstLine="438"/>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120+24GHz FMCW+CW</w:t>
            </w:r>
          </w:p>
        </w:tc>
      </w:tr>
      <w:tr w14:paraId="5629A8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0" w:hRule="atLeast"/>
        </w:trPr>
        <w:tc>
          <w:tcPr>
            <w:tcW w:w="1472" w:type="dxa"/>
            <w:noWrap w:val="0"/>
            <w:vAlign w:val="top"/>
          </w:tcPr>
          <w:p w14:paraId="26496954">
            <w:pPr>
              <w:pStyle w:val="32"/>
              <w:ind w:firstLine="438"/>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流速量程</w:t>
            </w:r>
          </w:p>
        </w:tc>
        <w:tc>
          <w:tcPr>
            <w:tcW w:w="2941" w:type="dxa"/>
            <w:noWrap w:val="0"/>
            <w:vAlign w:val="top"/>
          </w:tcPr>
          <w:p w14:paraId="2240D900">
            <w:pPr>
              <w:pStyle w:val="32"/>
              <w:ind w:firstLine="438"/>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0.1m/s-20m/s</w:t>
            </w:r>
          </w:p>
        </w:tc>
        <w:tc>
          <w:tcPr>
            <w:tcW w:w="1680" w:type="dxa"/>
            <w:noWrap w:val="0"/>
            <w:vAlign w:val="top"/>
          </w:tcPr>
          <w:p w14:paraId="50F31052">
            <w:pPr>
              <w:pStyle w:val="32"/>
              <w:ind w:firstLine="438"/>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发射功率</w:t>
            </w:r>
          </w:p>
        </w:tc>
        <w:tc>
          <w:tcPr>
            <w:tcW w:w="2835" w:type="dxa"/>
            <w:noWrap w:val="0"/>
            <w:vAlign w:val="top"/>
          </w:tcPr>
          <w:p w14:paraId="634F3BB4">
            <w:pPr>
              <w:pStyle w:val="32"/>
              <w:ind w:firstLine="438"/>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20dBm(自适应调节)</w:t>
            </w:r>
          </w:p>
        </w:tc>
      </w:tr>
      <w:tr w14:paraId="0D456D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1472" w:type="dxa"/>
            <w:noWrap w:val="0"/>
            <w:vAlign w:val="top"/>
          </w:tcPr>
          <w:p w14:paraId="5917B0FE">
            <w:pPr>
              <w:pStyle w:val="32"/>
              <w:ind w:firstLine="438"/>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水位精度</w:t>
            </w:r>
          </w:p>
        </w:tc>
        <w:tc>
          <w:tcPr>
            <w:tcW w:w="2941" w:type="dxa"/>
            <w:noWrap w:val="0"/>
            <w:vAlign w:val="top"/>
          </w:tcPr>
          <w:p w14:paraId="5D9971C8">
            <w:pPr>
              <w:pStyle w:val="32"/>
              <w:ind w:firstLine="438"/>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±1mm</w:t>
            </w:r>
          </w:p>
        </w:tc>
        <w:tc>
          <w:tcPr>
            <w:tcW w:w="1680" w:type="dxa"/>
            <w:noWrap w:val="0"/>
            <w:vAlign w:val="top"/>
          </w:tcPr>
          <w:p w14:paraId="2B22011E">
            <w:pPr>
              <w:pStyle w:val="32"/>
              <w:ind w:left="0" w:leftChars="0" w:firstLine="0" w:firstLineChars="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响 应 时 间</w:t>
            </w:r>
          </w:p>
        </w:tc>
        <w:tc>
          <w:tcPr>
            <w:tcW w:w="2835" w:type="dxa"/>
            <w:noWrap w:val="0"/>
            <w:vAlign w:val="top"/>
          </w:tcPr>
          <w:p w14:paraId="23C85018">
            <w:pPr>
              <w:pStyle w:val="32"/>
              <w:ind w:firstLine="438"/>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最快 100ms</w:t>
            </w:r>
          </w:p>
        </w:tc>
      </w:tr>
      <w:tr w14:paraId="2DD4B0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0" w:hRule="atLeast"/>
        </w:trPr>
        <w:tc>
          <w:tcPr>
            <w:tcW w:w="1472" w:type="dxa"/>
            <w:noWrap w:val="0"/>
            <w:vAlign w:val="top"/>
          </w:tcPr>
          <w:p w14:paraId="403EE803">
            <w:pPr>
              <w:pStyle w:val="32"/>
              <w:ind w:firstLine="438"/>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流速精度</w:t>
            </w:r>
          </w:p>
        </w:tc>
        <w:tc>
          <w:tcPr>
            <w:tcW w:w="2941" w:type="dxa"/>
            <w:noWrap w:val="0"/>
            <w:vAlign w:val="top"/>
          </w:tcPr>
          <w:p w14:paraId="3CBC80A5">
            <w:pPr>
              <w:pStyle w:val="32"/>
              <w:ind w:firstLine="438"/>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0.01m/s</w:t>
            </w:r>
          </w:p>
        </w:tc>
        <w:tc>
          <w:tcPr>
            <w:tcW w:w="1680" w:type="dxa"/>
            <w:noWrap w:val="0"/>
            <w:vAlign w:val="top"/>
          </w:tcPr>
          <w:p w14:paraId="1C0A5FE3">
            <w:pPr>
              <w:pStyle w:val="32"/>
              <w:ind w:firstLine="438"/>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天线形式</w:t>
            </w:r>
          </w:p>
        </w:tc>
        <w:tc>
          <w:tcPr>
            <w:tcW w:w="2835" w:type="dxa"/>
            <w:noWrap w:val="0"/>
            <w:vAlign w:val="top"/>
          </w:tcPr>
          <w:p w14:paraId="5DBA8BF9">
            <w:pPr>
              <w:pStyle w:val="32"/>
              <w:ind w:firstLine="438"/>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微波透镜+微带阵列</w:t>
            </w:r>
          </w:p>
        </w:tc>
      </w:tr>
      <w:tr w14:paraId="4CC8FF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1472" w:type="dxa"/>
            <w:noWrap w:val="0"/>
            <w:vAlign w:val="top"/>
          </w:tcPr>
          <w:p w14:paraId="753A5048">
            <w:pPr>
              <w:pStyle w:val="32"/>
              <w:ind w:firstLine="438"/>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波束角</w:t>
            </w:r>
          </w:p>
        </w:tc>
        <w:tc>
          <w:tcPr>
            <w:tcW w:w="2941" w:type="dxa"/>
            <w:noWrap w:val="0"/>
            <w:vAlign w:val="top"/>
          </w:tcPr>
          <w:p w14:paraId="39163551">
            <w:pPr>
              <w:pStyle w:val="32"/>
              <w:ind w:left="0" w:leftChars="0" w:firstLine="0" w:firstLineChars="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测距 4°*4°/测速 20°*20°</w:t>
            </w:r>
          </w:p>
        </w:tc>
        <w:tc>
          <w:tcPr>
            <w:tcW w:w="1680" w:type="dxa"/>
            <w:noWrap w:val="0"/>
            <w:vAlign w:val="top"/>
          </w:tcPr>
          <w:p w14:paraId="595F984D">
            <w:pPr>
              <w:pStyle w:val="32"/>
              <w:ind w:firstLine="438"/>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工作温度</w:t>
            </w:r>
          </w:p>
        </w:tc>
        <w:tc>
          <w:tcPr>
            <w:tcW w:w="2835" w:type="dxa"/>
            <w:noWrap w:val="0"/>
            <w:vAlign w:val="top"/>
          </w:tcPr>
          <w:p w14:paraId="2B708608">
            <w:pPr>
              <w:pStyle w:val="32"/>
              <w:ind w:firstLine="438"/>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-40℃ ~+80℃</w:t>
            </w:r>
          </w:p>
        </w:tc>
      </w:tr>
      <w:tr w14:paraId="15A400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0" w:hRule="atLeast"/>
        </w:trPr>
        <w:tc>
          <w:tcPr>
            <w:tcW w:w="1472" w:type="dxa"/>
            <w:noWrap w:val="0"/>
            <w:vAlign w:val="top"/>
          </w:tcPr>
          <w:p w14:paraId="7690C145">
            <w:pPr>
              <w:pStyle w:val="32"/>
              <w:ind w:firstLine="438"/>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通信协议</w:t>
            </w:r>
          </w:p>
        </w:tc>
        <w:tc>
          <w:tcPr>
            <w:tcW w:w="2941" w:type="dxa"/>
            <w:noWrap w:val="0"/>
            <w:vAlign w:val="top"/>
          </w:tcPr>
          <w:p w14:paraId="73FC2C4D">
            <w:pPr>
              <w:pStyle w:val="32"/>
              <w:ind w:firstLine="438"/>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RS-485,ModBus</w:t>
            </w:r>
          </w:p>
        </w:tc>
        <w:tc>
          <w:tcPr>
            <w:tcW w:w="1680" w:type="dxa"/>
            <w:noWrap w:val="0"/>
            <w:vAlign w:val="top"/>
          </w:tcPr>
          <w:p w14:paraId="3BFF64B4">
            <w:pPr>
              <w:pStyle w:val="32"/>
              <w:ind w:firstLine="438"/>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温度输出</w:t>
            </w:r>
          </w:p>
        </w:tc>
        <w:tc>
          <w:tcPr>
            <w:tcW w:w="2835" w:type="dxa"/>
            <w:noWrap w:val="0"/>
            <w:vAlign w:val="top"/>
          </w:tcPr>
          <w:p w14:paraId="1C6F6A23">
            <w:pPr>
              <w:pStyle w:val="32"/>
              <w:ind w:firstLine="438"/>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精度 1℃,分辨率 0.1℃</w:t>
            </w:r>
          </w:p>
        </w:tc>
      </w:tr>
      <w:tr w14:paraId="705041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1472" w:type="dxa"/>
            <w:noWrap w:val="0"/>
            <w:vAlign w:val="top"/>
          </w:tcPr>
          <w:p w14:paraId="65D72F4A">
            <w:pPr>
              <w:pStyle w:val="32"/>
              <w:ind w:firstLine="438"/>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工作电压</w:t>
            </w:r>
          </w:p>
        </w:tc>
        <w:tc>
          <w:tcPr>
            <w:tcW w:w="2941" w:type="dxa"/>
            <w:noWrap w:val="0"/>
            <w:vAlign w:val="top"/>
          </w:tcPr>
          <w:p w14:paraId="1535F8AF">
            <w:pPr>
              <w:pStyle w:val="32"/>
              <w:ind w:firstLine="438"/>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12vDc(6~30vDc)</w:t>
            </w:r>
          </w:p>
        </w:tc>
        <w:tc>
          <w:tcPr>
            <w:tcW w:w="1680" w:type="dxa"/>
            <w:noWrap w:val="0"/>
            <w:vAlign w:val="top"/>
          </w:tcPr>
          <w:p w14:paraId="6AD199D1">
            <w:pPr>
              <w:pStyle w:val="32"/>
              <w:ind w:firstLine="438"/>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防护等级</w:t>
            </w:r>
          </w:p>
        </w:tc>
        <w:tc>
          <w:tcPr>
            <w:tcW w:w="2835" w:type="dxa"/>
            <w:noWrap w:val="0"/>
            <w:vAlign w:val="top"/>
          </w:tcPr>
          <w:p w14:paraId="68B4E64A">
            <w:pPr>
              <w:pStyle w:val="32"/>
              <w:ind w:firstLine="438"/>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IP68</w:t>
            </w:r>
          </w:p>
        </w:tc>
      </w:tr>
      <w:tr w14:paraId="1B46AF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1472" w:type="dxa"/>
            <w:noWrap w:val="0"/>
            <w:vAlign w:val="top"/>
          </w:tcPr>
          <w:p w14:paraId="7C3B3357">
            <w:pPr>
              <w:pStyle w:val="32"/>
              <w:ind w:left="0" w:leftChars="0" w:firstLine="0" w:firstLineChars="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典 型 功 耗</w:t>
            </w:r>
          </w:p>
        </w:tc>
        <w:tc>
          <w:tcPr>
            <w:tcW w:w="2941" w:type="dxa"/>
            <w:noWrap w:val="0"/>
            <w:vAlign w:val="top"/>
          </w:tcPr>
          <w:p w14:paraId="45B1BE5A">
            <w:pPr>
              <w:pStyle w:val="32"/>
              <w:ind w:firstLine="438"/>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720mW</w:t>
            </w:r>
          </w:p>
        </w:tc>
        <w:tc>
          <w:tcPr>
            <w:tcW w:w="1680" w:type="dxa"/>
            <w:noWrap w:val="0"/>
            <w:vAlign w:val="top"/>
          </w:tcPr>
          <w:p w14:paraId="4AD2980D">
            <w:pPr>
              <w:pStyle w:val="32"/>
              <w:ind w:firstLine="438"/>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外壳材质</w:t>
            </w:r>
          </w:p>
        </w:tc>
        <w:tc>
          <w:tcPr>
            <w:tcW w:w="2835" w:type="dxa"/>
            <w:noWrap w:val="0"/>
            <w:vAlign w:val="top"/>
          </w:tcPr>
          <w:p w14:paraId="315CD466">
            <w:pPr>
              <w:pStyle w:val="32"/>
              <w:ind w:firstLine="438"/>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硬铝合金(主体)</w:t>
            </w:r>
          </w:p>
        </w:tc>
      </w:tr>
      <w:tr w14:paraId="3197EF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1472" w:type="dxa"/>
            <w:noWrap w:val="0"/>
            <w:vAlign w:val="top"/>
          </w:tcPr>
          <w:p w14:paraId="254A027E">
            <w:pPr>
              <w:pStyle w:val="32"/>
              <w:ind w:firstLine="438"/>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防雷等级</w:t>
            </w:r>
          </w:p>
        </w:tc>
        <w:tc>
          <w:tcPr>
            <w:tcW w:w="2941" w:type="dxa"/>
            <w:noWrap w:val="0"/>
            <w:vAlign w:val="top"/>
          </w:tcPr>
          <w:p w14:paraId="79FE8CFF">
            <w:pPr>
              <w:pStyle w:val="32"/>
              <w:ind w:firstLine="438"/>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6kV 雷击浪涌</w:t>
            </w:r>
          </w:p>
        </w:tc>
        <w:tc>
          <w:tcPr>
            <w:tcW w:w="1680" w:type="dxa"/>
            <w:noWrap w:val="0"/>
            <w:vAlign w:val="top"/>
          </w:tcPr>
          <w:p w14:paraId="0E7791BF">
            <w:pPr>
              <w:pStyle w:val="32"/>
              <w:ind w:firstLine="438"/>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安装方式</w:t>
            </w:r>
          </w:p>
        </w:tc>
        <w:tc>
          <w:tcPr>
            <w:tcW w:w="2835" w:type="dxa"/>
            <w:noWrap w:val="0"/>
            <w:vAlign w:val="top"/>
          </w:tcPr>
          <w:p w14:paraId="72C32317">
            <w:pPr>
              <w:pStyle w:val="32"/>
              <w:ind w:firstLine="438"/>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支架安装</w:t>
            </w:r>
          </w:p>
        </w:tc>
      </w:tr>
    </w:tbl>
    <w:p w14:paraId="2D5E15B0">
      <w:pPr>
        <w:keepNext w:val="0"/>
        <w:keepLines w:val="0"/>
        <w:pageBreakBefore w:val="0"/>
        <w:widowControl w:val="0"/>
        <w:spacing w:line="360" w:lineRule="auto"/>
        <w:ind w:left="0" w:right="0" w:firstLine="480"/>
        <w:jc w:val="left"/>
        <w:rPr>
          <w:rFonts w:hint="eastAsia" w:ascii="宋体" w:hAnsi="宋体" w:cs="Times New Roman"/>
          <w:color w:val="auto"/>
          <w:spacing w:val="0"/>
          <w:sz w:val="24"/>
          <w:szCs w:val="24"/>
          <w:lang w:val="en-US" w:eastAsia="zh-CN"/>
        </w:rPr>
      </w:pPr>
    </w:p>
    <w:p w14:paraId="5308E544">
      <w:pPr>
        <w:keepNext w:val="0"/>
        <w:keepLines w:val="0"/>
        <w:pageBreakBefore w:val="0"/>
        <w:widowControl w:val="0"/>
        <w:spacing w:line="360" w:lineRule="auto"/>
        <w:ind w:left="0" w:right="0" w:firstLine="480"/>
        <w:jc w:val="left"/>
        <w:rPr>
          <w:rFonts w:hint="eastAsia" w:ascii="宋体" w:hAnsi="宋体" w:cs="Times New Roman"/>
          <w:color w:val="auto"/>
          <w:spacing w:val="0"/>
          <w:sz w:val="24"/>
          <w:szCs w:val="24"/>
          <w:lang w:val="en-US" w:eastAsia="zh-CN"/>
        </w:rPr>
      </w:pPr>
      <w:r>
        <w:rPr>
          <w:rFonts w:hint="eastAsia" w:ascii="宋体" w:hAnsi="宋体" w:cs="Times New Roman"/>
          <w:color w:val="auto"/>
          <w:spacing w:val="0"/>
          <w:sz w:val="24"/>
          <w:szCs w:val="24"/>
          <w:lang w:val="en-US" w:eastAsia="zh-CN"/>
        </w:rPr>
        <w:t>（三）人员要求</w:t>
      </w:r>
    </w:p>
    <w:p w14:paraId="35CF2167">
      <w:pPr>
        <w:keepNext w:val="0"/>
        <w:keepLines w:val="0"/>
        <w:pageBreakBefore w:val="0"/>
        <w:widowControl w:val="0"/>
        <w:spacing w:line="360" w:lineRule="auto"/>
        <w:ind w:left="0" w:right="0" w:firstLine="480"/>
        <w:jc w:val="left"/>
        <w:rPr>
          <w:rFonts w:hint="default" w:ascii="宋体" w:hAnsi="宋体" w:eastAsia="宋体" w:cs="Arial"/>
          <w:b/>
          <w:bCs/>
          <w:color w:val="auto"/>
          <w:spacing w:val="0"/>
          <w:sz w:val="24"/>
          <w:szCs w:val="24"/>
          <w:highlight w:val="green"/>
          <w:lang w:val="en-US" w:eastAsia="zh-CN" w:bidi="ar-SA"/>
        </w:rPr>
      </w:pPr>
      <w:r>
        <w:rPr>
          <w:rFonts w:hint="eastAsia" w:ascii="宋体" w:hAnsi="宋体" w:cs="Times New Roman"/>
          <w:color w:val="auto"/>
          <w:spacing w:val="0"/>
          <w:sz w:val="24"/>
          <w:szCs w:val="24"/>
          <w:lang w:val="en-US" w:eastAsia="zh-CN"/>
        </w:rPr>
        <w:t>技术人员：</w:t>
      </w:r>
      <w:r>
        <w:rPr>
          <w:rFonts w:hint="eastAsia" w:ascii="宋体" w:hAnsi="宋体" w:cs="Times New Roman"/>
          <w:color w:val="auto"/>
          <w:spacing w:val="0"/>
          <w:sz w:val="24"/>
          <w:szCs w:val="24"/>
          <w:lang w:eastAsia="zh-CN"/>
        </w:rPr>
        <w:t>投标人应保证配备足够的专业技术人员，投标人为本项目派遣的项目组成员具有环保类职称，在履约期间未经采购人许可不得更换。</w:t>
      </w:r>
    </w:p>
    <w:p w14:paraId="704031CD">
      <w:pPr>
        <w:keepNext w:val="0"/>
        <w:keepLines w:val="0"/>
        <w:pageBreakBefore w:val="0"/>
        <w:widowControl w:val="0"/>
        <w:spacing w:line="360" w:lineRule="auto"/>
        <w:ind w:left="0" w:right="0" w:firstLine="480"/>
        <w:jc w:val="left"/>
        <w:rPr>
          <w:rFonts w:hint="eastAsia" w:ascii="宋体" w:hAnsi="宋体" w:cs="Times New Roman"/>
          <w:color w:val="auto"/>
          <w:spacing w:val="0"/>
          <w:sz w:val="24"/>
          <w:szCs w:val="24"/>
          <w:lang w:val="en-US" w:eastAsia="zh-CN"/>
        </w:rPr>
      </w:pPr>
      <w:r>
        <w:rPr>
          <w:rFonts w:hint="eastAsia" w:ascii="宋体" w:hAnsi="宋体" w:cs="Times New Roman"/>
          <w:color w:val="auto"/>
          <w:spacing w:val="0"/>
          <w:sz w:val="24"/>
          <w:szCs w:val="24"/>
          <w:lang w:val="en-US" w:eastAsia="zh-CN"/>
        </w:rPr>
        <w:t>（四）、水站系统集成要求</w:t>
      </w:r>
      <w:bookmarkEnd w:id="337"/>
    </w:p>
    <w:p w14:paraId="0DBF8939">
      <w:pPr>
        <w:keepNext w:val="0"/>
        <w:keepLines w:val="0"/>
        <w:pageBreakBefore w:val="0"/>
        <w:widowControl w:val="0"/>
        <w:spacing w:line="360" w:lineRule="auto"/>
        <w:ind w:left="0" w:right="0" w:firstLine="480"/>
        <w:jc w:val="left"/>
        <w:rPr>
          <w:rFonts w:hint="eastAsia" w:ascii="宋体" w:hAnsi="宋体" w:cs="Times New Roman"/>
          <w:color w:val="auto"/>
          <w:spacing w:val="0"/>
          <w:sz w:val="24"/>
          <w:szCs w:val="24"/>
          <w:lang w:eastAsia="zh-CN"/>
        </w:rPr>
      </w:pPr>
      <w:r>
        <w:rPr>
          <w:rFonts w:hint="eastAsia" w:ascii="宋体" w:hAnsi="宋体" w:cs="Times New Roman"/>
          <w:color w:val="auto"/>
          <w:spacing w:val="0"/>
          <w:sz w:val="24"/>
          <w:szCs w:val="24"/>
          <w:lang w:eastAsia="zh-CN"/>
        </w:rPr>
        <w:t>水站系统集成主要包括采水单元、配水单元、监测仪器、留样单元、控制单元、辅助单元及安防单元、监测站房、文化建设等。</w:t>
      </w:r>
    </w:p>
    <w:p w14:paraId="13B9C8BF">
      <w:pPr>
        <w:keepNext w:val="0"/>
        <w:keepLines w:val="0"/>
        <w:pageBreakBefore w:val="0"/>
        <w:widowControl w:val="0"/>
        <w:spacing w:line="360" w:lineRule="auto"/>
        <w:ind w:left="0" w:right="0" w:firstLine="480"/>
        <w:jc w:val="left"/>
        <w:rPr>
          <w:rFonts w:hint="eastAsia" w:ascii="宋体" w:hAnsi="宋体" w:cs="Times New Roman"/>
          <w:color w:val="auto"/>
          <w:spacing w:val="0"/>
          <w:sz w:val="24"/>
          <w:szCs w:val="24"/>
          <w:lang w:eastAsia="zh-CN"/>
        </w:rPr>
      </w:pPr>
      <w:r>
        <w:rPr>
          <w:rFonts w:hint="eastAsia" w:ascii="宋体" w:hAnsi="宋体" w:cs="Times New Roman"/>
          <w:color w:val="auto"/>
          <w:spacing w:val="0"/>
          <w:sz w:val="24"/>
          <w:szCs w:val="24"/>
          <w:lang w:eastAsia="zh-CN"/>
        </w:rPr>
        <w:t>投标人须提供合理、先进、完整的系统集成方案，具备智能化、标准化、流程化和可溯源的质量控制体系，确保采水、配水、分析、数据采集及传输等环节的准确可靠。</w:t>
      </w:r>
    </w:p>
    <w:p w14:paraId="58C69960">
      <w:pPr>
        <w:keepNext w:val="0"/>
        <w:keepLines w:val="0"/>
        <w:pageBreakBefore w:val="0"/>
        <w:widowControl w:val="0"/>
        <w:spacing w:line="360" w:lineRule="auto"/>
        <w:ind w:left="0" w:right="0" w:firstLine="480"/>
        <w:jc w:val="left"/>
        <w:rPr>
          <w:rFonts w:hint="eastAsia" w:ascii="宋体" w:hAnsi="宋体" w:cs="Times New Roman"/>
          <w:color w:val="auto"/>
          <w:spacing w:val="0"/>
          <w:sz w:val="24"/>
          <w:szCs w:val="24"/>
          <w:lang w:eastAsia="zh-CN"/>
        </w:rPr>
      </w:pPr>
      <w:bookmarkStart w:id="338" w:name="_Toc505184827"/>
      <w:bookmarkEnd w:id="338"/>
      <w:bookmarkStart w:id="339" w:name="_Toc18855286"/>
      <w:bookmarkEnd w:id="339"/>
      <w:bookmarkStart w:id="340" w:name="_Toc504940939"/>
      <w:bookmarkEnd w:id="340"/>
      <w:bookmarkStart w:id="341" w:name="_Toc505252676"/>
      <w:bookmarkEnd w:id="341"/>
      <w:bookmarkStart w:id="342" w:name="_Toc20320073"/>
      <w:bookmarkEnd w:id="342"/>
      <w:bookmarkStart w:id="343" w:name="_Toc18855110"/>
      <w:r>
        <w:rPr>
          <w:rFonts w:hint="eastAsia" w:ascii="宋体" w:hAnsi="宋体" w:cs="Times New Roman"/>
          <w:color w:val="auto"/>
          <w:spacing w:val="0"/>
          <w:sz w:val="24"/>
          <w:szCs w:val="24"/>
          <w:lang w:eastAsia="zh-CN"/>
        </w:rPr>
        <w:t>1</w:t>
      </w:r>
      <w:bookmarkEnd w:id="343"/>
      <w:r>
        <w:rPr>
          <w:rFonts w:hint="eastAsia" w:ascii="宋体" w:hAnsi="宋体" w:cs="Times New Roman"/>
          <w:color w:val="auto"/>
          <w:spacing w:val="0"/>
          <w:sz w:val="24"/>
          <w:szCs w:val="24"/>
          <w:lang w:eastAsia="zh-CN"/>
        </w:rPr>
        <w:t>.系统集成功能要求</w:t>
      </w:r>
    </w:p>
    <w:p w14:paraId="6680C54F">
      <w:pPr>
        <w:keepNext w:val="0"/>
        <w:keepLines w:val="0"/>
        <w:pageBreakBefore w:val="0"/>
        <w:widowControl w:val="0"/>
        <w:spacing w:line="360" w:lineRule="auto"/>
        <w:ind w:left="0" w:right="0" w:firstLine="480"/>
        <w:jc w:val="left"/>
        <w:rPr>
          <w:rFonts w:hint="eastAsia" w:ascii="宋体" w:hAnsi="宋体" w:cs="Times New Roman"/>
          <w:color w:val="auto"/>
          <w:spacing w:val="0"/>
          <w:sz w:val="24"/>
          <w:szCs w:val="24"/>
          <w:lang w:eastAsia="zh-CN"/>
        </w:rPr>
      </w:pPr>
      <w:r>
        <w:rPr>
          <w:rFonts w:hint="eastAsia" w:ascii="宋体" w:hAnsi="宋体" w:cs="Times New Roman"/>
          <w:color w:val="auto"/>
          <w:spacing w:val="0"/>
          <w:sz w:val="24"/>
          <w:szCs w:val="24"/>
          <w:lang w:val="en-US" w:eastAsia="zh-CN"/>
        </w:rPr>
        <w:t>1.1</w:t>
      </w:r>
      <w:r>
        <w:rPr>
          <w:rFonts w:hint="eastAsia" w:ascii="宋体" w:hAnsi="宋体" w:cs="Times New Roman"/>
          <w:color w:val="auto"/>
          <w:spacing w:val="0"/>
          <w:sz w:val="24"/>
          <w:szCs w:val="24"/>
          <w:lang w:eastAsia="zh-CN"/>
        </w:rPr>
        <w:t>具有仪器及系统运行周期（连续或间歇）设置功能，至少具备常规、应急、质控、维护等多种运行模式；</w:t>
      </w:r>
    </w:p>
    <w:p w14:paraId="53626D84">
      <w:pPr>
        <w:keepNext w:val="0"/>
        <w:keepLines w:val="0"/>
        <w:pageBreakBefore w:val="0"/>
        <w:widowControl w:val="0"/>
        <w:spacing w:line="360" w:lineRule="auto"/>
        <w:ind w:left="0" w:right="0" w:firstLine="480"/>
        <w:jc w:val="left"/>
        <w:rPr>
          <w:rFonts w:hint="eastAsia" w:ascii="宋体" w:hAnsi="宋体" w:cs="Times New Roman"/>
          <w:color w:val="auto"/>
          <w:spacing w:val="0"/>
          <w:sz w:val="24"/>
          <w:szCs w:val="24"/>
          <w:lang w:eastAsia="zh-CN"/>
        </w:rPr>
      </w:pPr>
      <w:r>
        <w:rPr>
          <w:rFonts w:hint="eastAsia" w:ascii="宋体" w:hAnsi="宋体" w:cs="Times New Roman"/>
          <w:color w:val="auto"/>
          <w:spacing w:val="0"/>
          <w:sz w:val="24"/>
          <w:szCs w:val="24"/>
          <w:lang w:val="en-US" w:eastAsia="zh-CN"/>
        </w:rPr>
        <w:t>1.2</w:t>
      </w:r>
      <w:r>
        <w:rPr>
          <w:rFonts w:hint="eastAsia" w:ascii="宋体" w:hAnsi="宋体" w:cs="Times New Roman"/>
          <w:color w:val="auto"/>
          <w:spacing w:val="0"/>
          <w:sz w:val="24"/>
          <w:szCs w:val="24"/>
          <w:lang w:eastAsia="zh-CN"/>
        </w:rPr>
        <w:t>具有异常信息记录和上传功能，如采水故障、部件故障、超量程报警、超标报警、缺试剂报警等信息；</w:t>
      </w:r>
    </w:p>
    <w:p w14:paraId="657ECBF0">
      <w:pPr>
        <w:keepNext w:val="0"/>
        <w:keepLines w:val="0"/>
        <w:pageBreakBefore w:val="0"/>
        <w:widowControl w:val="0"/>
        <w:spacing w:line="360" w:lineRule="auto"/>
        <w:ind w:left="0" w:right="0" w:firstLine="480"/>
        <w:jc w:val="left"/>
        <w:rPr>
          <w:rFonts w:hint="eastAsia" w:ascii="宋体" w:hAnsi="宋体" w:cs="Times New Roman"/>
          <w:color w:val="auto"/>
          <w:spacing w:val="0"/>
          <w:sz w:val="24"/>
          <w:szCs w:val="24"/>
          <w:lang w:eastAsia="zh-CN"/>
        </w:rPr>
      </w:pPr>
      <w:r>
        <w:rPr>
          <w:rFonts w:hint="eastAsia" w:ascii="宋体" w:hAnsi="宋体" w:cs="Times New Roman"/>
          <w:color w:val="auto"/>
          <w:spacing w:val="0"/>
          <w:sz w:val="24"/>
          <w:szCs w:val="24"/>
          <w:lang w:val="en-US" w:eastAsia="zh-CN"/>
        </w:rPr>
        <w:t>1.3</w:t>
      </w:r>
      <w:r>
        <w:rPr>
          <w:rFonts w:hint="eastAsia" w:ascii="宋体" w:hAnsi="宋体" w:cs="Times New Roman"/>
          <w:color w:val="auto"/>
          <w:spacing w:val="0"/>
          <w:sz w:val="24"/>
          <w:szCs w:val="24"/>
          <w:lang w:eastAsia="zh-CN"/>
        </w:rPr>
        <w:t>具备仪器关键参数实时上传及远程设置功能，能接受远程控制指令；</w:t>
      </w:r>
    </w:p>
    <w:p w14:paraId="5E4ECF6E">
      <w:pPr>
        <w:keepNext w:val="0"/>
        <w:keepLines w:val="0"/>
        <w:pageBreakBefore w:val="0"/>
        <w:widowControl w:val="0"/>
        <w:spacing w:line="360" w:lineRule="auto"/>
        <w:ind w:left="0" w:right="0" w:firstLine="480"/>
        <w:jc w:val="left"/>
        <w:rPr>
          <w:rFonts w:hint="eastAsia" w:ascii="宋体" w:hAnsi="宋体" w:cs="Times New Roman"/>
          <w:color w:val="auto"/>
          <w:spacing w:val="0"/>
          <w:sz w:val="24"/>
          <w:szCs w:val="24"/>
          <w:lang w:eastAsia="zh-CN"/>
        </w:rPr>
      </w:pPr>
      <w:r>
        <w:rPr>
          <w:rFonts w:hint="eastAsia" w:ascii="宋体" w:hAnsi="宋体" w:cs="Times New Roman"/>
          <w:color w:val="auto"/>
          <w:spacing w:val="0"/>
          <w:sz w:val="24"/>
          <w:szCs w:val="24"/>
          <w:lang w:val="en-US" w:eastAsia="zh-CN"/>
        </w:rPr>
        <w:t>1.4</w:t>
      </w:r>
      <w:r>
        <w:rPr>
          <w:rFonts w:hint="eastAsia" w:ascii="宋体" w:hAnsi="宋体" w:cs="Times New Roman"/>
          <w:color w:val="auto"/>
          <w:spacing w:val="0"/>
          <w:sz w:val="24"/>
          <w:szCs w:val="24"/>
          <w:lang w:eastAsia="zh-CN"/>
        </w:rPr>
        <w:t>能够实现对水质自动分析仪器进行自动标样核查、自动零点核查、自动跨度核查等质控功能，并具备自动留样功能；</w:t>
      </w:r>
    </w:p>
    <w:p w14:paraId="6FE26D03">
      <w:pPr>
        <w:keepNext w:val="0"/>
        <w:keepLines w:val="0"/>
        <w:pageBreakBefore w:val="0"/>
        <w:widowControl w:val="0"/>
        <w:spacing w:line="360" w:lineRule="auto"/>
        <w:ind w:left="0" w:right="0" w:firstLine="480"/>
        <w:jc w:val="left"/>
        <w:rPr>
          <w:rFonts w:hint="eastAsia" w:ascii="宋体" w:hAnsi="宋体" w:cs="Times New Roman"/>
          <w:color w:val="auto"/>
          <w:spacing w:val="0"/>
          <w:sz w:val="24"/>
          <w:szCs w:val="24"/>
          <w:lang w:eastAsia="zh-CN"/>
        </w:rPr>
      </w:pPr>
      <w:r>
        <w:rPr>
          <w:rFonts w:hint="eastAsia" w:ascii="宋体" w:hAnsi="宋体" w:cs="Times New Roman"/>
          <w:color w:val="auto"/>
          <w:spacing w:val="0"/>
          <w:sz w:val="24"/>
          <w:szCs w:val="24"/>
          <w:lang w:val="en-US" w:eastAsia="zh-CN"/>
        </w:rPr>
        <w:t>1.5</w:t>
      </w:r>
      <w:r>
        <w:rPr>
          <w:rFonts w:hint="eastAsia" w:ascii="宋体" w:hAnsi="宋体" w:cs="Times New Roman"/>
          <w:color w:val="auto"/>
          <w:spacing w:val="0"/>
          <w:sz w:val="24"/>
          <w:szCs w:val="24"/>
          <w:lang w:eastAsia="zh-CN"/>
        </w:rPr>
        <w:t>具有系统状态(测量、空闲、故障、维护等)显示；具备系统过程日志记录并上传(清洗外管路、取原水、取水成功启动仪器测试、进样管开始进样等以及时间节点显示)，对系统过程的关键节点有记录，满足系统数据溯源的要求；</w:t>
      </w:r>
    </w:p>
    <w:p w14:paraId="17A89ED4">
      <w:pPr>
        <w:keepNext w:val="0"/>
        <w:keepLines w:val="0"/>
        <w:pageBreakBefore w:val="0"/>
        <w:widowControl w:val="0"/>
        <w:spacing w:line="360" w:lineRule="auto"/>
        <w:ind w:left="0" w:right="0" w:firstLine="480"/>
        <w:jc w:val="left"/>
        <w:rPr>
          <w:rFonts w:hint="eastAsia" w:ascii="宋体" w:hAnsi="宋体" w:cs="Times New Roman"/>
          <w:color w:val="auto"/>
          <w:spacing w:val="0"/>
          <w:sz w:val="24"/>
          <w:szCs w:val="24"/>
          <w:lang w:eastAsia="zh-CN"/>
        </w:rPr>
      </w:pPr>
      <w:r>
        <w:rPr>
          <w:rFonts w:hint="eastAsia" w:ascii="宋体" w:hAnsi="宋体" w:cs="Times New Roman"/>
          <w:color w:val="auto"/>
          <w:spacing w:val="0"/>
          <w:sz w:val="24"/>
          <w:szCs w:val="24"/>
          <w:lang w:val="en-US" w:eastAsia="zh-CN"/>
        </w:rPr>
        <w:t>1.6</w:t>
      </w:r>
      <w:r>
        <w:rPr>
          <w:rFonts w:hint="eastAsia" w:ascii="宋体" w:hAnsi="宋体" w:cs="Times New Roman"/>
          <w:color w:val="auto"/>
          <w:spacing w:val="0"/>
          <w:sz w:val="24"/>
          <w:szCs w:val="24"/>
          <w:lang w:eastAsia="zh-CN"/>
        </w:rPr>
        <w:t>具有系统采水、配水及预处理、分析流程、试剂抽取、清洗等关键节点的过程日志记录和环境参数记录功能，并能够上传至监控中心平台；</w:t>
      </w:r>
    </w:p>
    <w:p w14:paraId="271EEDA6">
      <w:pPr>
        <w:keepNext w:val="0"/>
        <w:keepLines w:val="0"/>
        <w:pageBreakBefore w:val="0"/>
        <w:widowControl w:val="0"/>
        <w:spacing w:line="360" w:lineRule="auto"/>
        <w:ind w:left="0" w:right="0" w:firstLine="480"/>
        <w:jc w:val="left"/>
        <w:rPr>
          <w:rFonts w:hint="eastAsia" w:ascii="宋体" w:hAnsi="宋体" w:cs="Times New Roman"/>
          <w:color w:val="auto"/>
          <w:spacing w:val="0"/>
          <w:sz w:val="24"/>
          <w:szCs w:val="24"/>
          <w:lang w:eastAsia="zh-CN"/>
        </w:rPr>
      </w:pPr>
      <w:r>
        <w:rPr>
          <w:rFonts w:hint="eastAsia" w:ascii="宋体" w:hAnsi="宋体" w:cs="Times New Roman"/>
          <w:color w:val="auto"/>
          <w:spacing w:val="0"/>
          <w:sz w:val="24"/>
          <w:szCs w:val="24"/>
          <w:lang w:val="en-US" w:eastAsia="zh-CN"/>
        </w:rPr>
        <w:t>1.7</w:t>
      </w:r>
      <w:r>
        <w:rPr>
          <w:rFonts w:hint="eastAsia" w:ascii="宋体" w:hAnsi="宋体" w:cs="Times New Roman"/>
          <w:color w:val="auto"/>
          <w:spacing w:val="0"/>
          <w:sz w:val="24"/>
          <w:szCs w:val="24"/>
          <w:lang w:eastAsia="zh-CN"/>
        </w:rPr>
        <w:t>针对不同的水质情况(浊度、色度、泥沙等)，控制系统满足复杂水样的监测要求，具备抗浊度模式、抗色度模式、抗泥沙模式等，并可一键配置，还可灵活修改配置PLC的流程关键参数(如采水时间、沉降时间、清洗时间等)；</w:t>
      </w:r>
    </w:p>
    <w:p w14:paraId="6A3F76F2">
      <w:pPr>
        <w:keepNext w:val="0"/>
        <w:keepLines w:val="0"/>
        <w:pageBreakBefore w:val="0"/>
        <w:widowControl w:val="0"/>
        <w:spacing w:line="360" w:lineRule="auto"/>
        <w:ind w:left="0" w:right="0" w:firstLine="480"/>
        <w:jc w:val="left"/>
        <w:rPr>
          <w:rFonts w:hint="eastAsia" w:ascii="宋体" w:hAnsi="宋体" w:cs="Times New Roman"/>
          <w:color w:val="auto"/>
          <w:spacing w:val="0"/>
          <w:sz w:val="24"/>
          <w:szCs w:val="24"/>
          <w:lang w:eastAsia="zh-CN"/>
        </w:rPr>
      </w:pPr>
      <w:r>
        <w:rPr>
          <w:rFonts w:hint="eastAsia" w:ascii="宋体" w:hAnsi="宋体" w:cs="Times New Roman"/>
          <w:color w:val="auto"/>
          <w:spacing w:val="0"/>
          <w:sz w:val="24"/>
          <w:szCs w:val="24"/>
          <w:lang w:val="en-US" w:eastAsia="zh-CN"/>
        </w:rPr>
        <w:t>1.8</w:t>
      </w:r>
      <w:r>
        <w:rPr>
          <w:rFonts w:hint="eastAsia" w:ascii="宋体" w:hAnsi="宋体" w:cs="Times New Roman"/>
          <w:color w:val="auto"/>
          <w:spacing w:val="0"/>
          <w:sz w:val="24"/>
          <w:szCs w:val="24"/>
          <w:lang w:eastAsia="zh-CN"/>
        </w:rPr>
        <w:t>多种水样预处理模式搭配使用，满足仪器分析测试需要；</w:t>
      </w:r>
    </w:p>
    <w:p w14:paraId="12929D4E">
      <w:pPr>
        <w:keepNext w:val="0"/>
        <w:keepLines w:val="0"/>
        <w:pageBreakBefore w:val="0"/>
        <w:widowControl w:val="0"/>
        <w:spacing w:line="360" w:lineRule="auto"/>
        <w:ind w:left="0" w:right="0" w:firstLine="480"/>
        <w:jc w:val="left"/>
        <w:rPr>
          <w:rFonts w:hint="eastAsia" w:ascii="宋体" w:hAnsi="宋体" w:cs="Times New Roman"/>
          <w:color w:val="auto"/>
          <w:spacing w:val="0"/>
          <w:sz w:val="24"/>
          <w:szCs w:val="24"/>
          <w:lang w:eastAsia="zh-CN"/>
        </w:rPr>
      </w:pPr>
      <w:r>
        <w:rPr>
          <w:rFonts w:hint="eastAsia" w:ascii="宋体" w:hAnsi="宋体" w:cs="Times New Roman"/>
          <w:color w:val="auto"/>
          <w:spacing w:val="0"/>
          <w:sz w:val="24"/>
          <w:szCs w:val="24"/>
          <w:lang w:val="en-US" w:eastAsia="zh-CN"/>
        </w:rPr>
        <w:t>1.9</w:t>
      </w:r>
      <w:r>
        <w:rPr>
          <w:rFonts w:hint="eastAsia" w:ascii="宋体" w:hAnsi="宋体" w:cs="Times New Roman"/>
          <w:color w:val="auto"/>
          <w:spacing w:val="0"/>
          <w:sz w:val="24"/>
          <w:szCs w:val="24"/>
          <w:lang w:eastAsia="zh-CN"/>
        </w:rPr>
        <w:t>具有分析仪器及系统过程日志记录和环境参数记录功能，并能够上传至中心平台；</w:t>
      </w:r>
    </w:p>
    <w:p w14:paraId="1A7254E3">
      <w:pPr>
        <w:keepNext w:val="0"/>
        <w:keepLines w:val="0"/>
        <w:pageBreakBefore w:val="0"/>
        <w:widowControl w:val="0"/>
        <w:spacing w:line="360" w:lineRule="auto"/>
        <w:ind w:left="0" w:right="0" w:firstLine="480"/>
        <w:jc w:val="left"/>
        <w:rPr>
          <w:rFonts w:hint="eastAsia" w:ascii="宋体" w:hAnsi="宋体" w:cs="Times New Roman"/>
          <w:color w:val="auto"/>
          <w:spacing w:val="0"/>
          <w:sz w:val="24"/>
          <w:szCs w:val="24"/>
          <w:lang w:eastAsia="zh-CN"/>
        </w:rPr>
      </w:pPr>
      <w:r>
        <w:rPr>
          <w:rFonts w:hint="eastAsia" w:ascii="宋体" w:hAnsi="宋体" w:cs="Times New Roman"/>
          <w:color w:val="auto"/>
          <w:spacing w:val="0"/>
          <w:sz w:val="24"/>
          <w:szCs w:val="24"/>
          <w:lang w:val="en-US" w:eastAsia="zh-CN"/>
        </w:rPr>
        <w:t>1.10</w:t>
      </w:r>
      <w:r>
        <w:rPr>
          <w:rFonts w:hint="eastAsia" w:ascii="宋体" w:hAnsi="宋体" w:cs="Times New Roman"/>
          <w:color w:val="auto"/>
          <w:spacing w:val="0"/>
          <w:sz w:val="24"/>
          <w:szCs w:val="24"/>
          <w:lang w:eastAsia="zh-CN"/>
        </w:rPr>
        <w:t>存储不少于1年的原始数据和运行日志；</w:t>
      </w:r>
    </w:p>
    <w:p w14:paraId="0F524024">
      <w:pPr>
        <w:keepNext w:val="0"/>
        <w:keepLines w:val="0"/>
        <w:pageBreakBefore w:val="0"/>
        <w:widowControl w:val="0"/>
        <w:spacing w:line="360" w:lineRule="auto"/>
        <w:ind w:left="0" w:right="0" w:firstLine="480"/>
        <w:jc w:val="left"/>
        <w:rPr>
          <w:rFonts w:hint="eastAsia" w:ascii="宋体" w:hAnsi="宋体" w:cs="Times New Roman"/>
          <w:color w:val="auto"/>
          <w:spacing w:val="0"/>
          <w:sz w:val="24"/>
          <w:szCs w:val="24"/>
          <w:lang w:eastAsia="zh-CN"/>
        </w:rPr>
      </w:pPr>
      <w:r>
        <w:rPr>
          <w:rFonts w:hint="eastAsia" w:ascii="宋体" w:hAnsi="宋体" w:cs="Times New Roman"/>
          <w:color w:val="auto"/>
          <w:spacing w:val="0"/>
          <w:sz w:val="24"/>
          <w:szCs w:val="24"/>
          <w:lang w:val="en-US" w:eastAsia="zh-CN"/>
        </w:rPr>
        <w:t>1.11</w:t>
      </w:r>
      <w:r>
        <w:rPr>
          <w:rFonts w:hint="eastAsia" w:ascii="宋体" w:hAnsi="宋体" w:cs="Times New Roman"/>
          <w:color w:val="auto"/>
          <w:spacing w:val="0"/>
          <w:sz w:val="24"/>
          <w:szCs w:val="24"/>
          <w:lang w:eastAsia="zh-CN"/>
        </w:rPr>
        <w:t>控制单元具有三级管理权限，根据登录用户的权限，调取权限范围内的操作功能，如查看数据、参数设置、网络设置、单点控制等，并同步记录所有操作日志；</w:t>
      </w:r>
    </w:p>
    <w:p w14:paraId="2F362A8E">
      <w:pPr>
        <w:keepNext w:val="0"/>
        <w:keepLines w:val="0"/>
        <w:pageBreakBefore w:val="0"/>
        <w:widowControl w:val="0"/>
        <w:spacing w:line="360" w:lineRule="auto"/>
        <w:ind w:left="0" w:right="0" w:firstLine="480"/>
        <w:jc w:val="left"/>
        <w:rPr>
          <w:rFonts w:hint="eastAsia" w:ascii="宋体" w:hAnsi="宋体" w:cs="Times New Roman"/>
          <w:color w:val="auto"/>
          <w:spacing w:val="0"/>
          <w:sz w:val="24"/>
          <w:szCs w:val="24"/>
          <w:lang w:eastAsia="zh-CN"/>
        </w:rPr>
      </w:pPr>
      <w:r>
        <w:rPr>
          <w:rFonts w:hint="eastAsia" w:ascii="宋体" w:hAnsi="宋体" w:cs="Times New Roman"/>
          <w:color w:val="auto"/>
          <w:spacing w:val="0"/>
          <w:sz w:val="24"/>
          <w:szCs w:val="24"/>
          <w:lang w:val="en-US" w:eastAsia="zh-CN"/>
        </w:rPr>
        <w:t>1.12</w:t>
      </w:r>
      <w:r>
        <w:rPr>
          <w:rFonts w:hint="eastAsia" w:ascii="宋体" w:hAnsi="宋体" w:cs="Times New Roman"/>
          <w:color w:val="auto"/>
          <w:spacing w:val="0"/>
          <w:sz w:val="24"/>
          <w:szCs w:val="24"/>
          <w:lang w:eastAsia="zh-CN"/>
        </w:rPr>
        <w:t>系统应具有良好的扩展性和兼容性，根据实际应用需要，可增加新的监测参数，并方便仪器安装与接入；</w:t>
      </w:r>
    </w:p>
    <w:p w14:paraId="2CC532DB">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Times New Roman"/>
          <w:color w:val="auto"/>
          <w:spacing w:val="0"/>
          <w:sz w:val="24"/>
          <w:szCs w:val="24"/>
          <w:lang w:eastAsia="zh-CN"/>
        </w:rPr>
        <w:t>▲</w:t>
      </w:r>
      <w:r>
        <w:rPr>
          <w:rFonts w:hint="eastAsia" w:ascii="宋体" w:hAnsi="宋体" w:cs="Times New Roman"/>
          <w:color w:val="auto"/>
          <w:spacing w:val="0"/>
          <w:sz w:val="24"/>
          <w:szCs w:val="24"/>
          <w:lang w:val="en-US" w:eastAsia="zh-CN"/>
        </w:rPr>
        <w:t>1.13</w:t>
      </w:r>
      <w:r>
        <w:rPr>
          <w:rFonts w:ascii="宋体" w:hAnsi="宋体" w:eastAsia="宋体" w:cs="PingFang SC"/>
          <w:color w:val="auto"/>
          <w:spacing w:val="0"/>
          <w:sz w:val="24"/>
          <w:szCs w:val="24"/>
        </w:rPr>
        <w:t>可提供水站运行的站点软件及可视动画仿真监控界面，并支持画面手动控制、参数设置、数据和报表显示，历史数据检索等功能。</w:t>
      </w:r>
    </w:p>
    <w:p w14:paraId="4AB12612">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PingFang SC"/>
          <w:color w:val="auto"/>
          <w:spacing w:val="0"/>
          <w:sz w:val="24"/>
          <w:szCs w:val="24"/>
          <w:lang w:val="en-US" w:eastAsia="zh-CN"/>
        </w:rPr>
        <w:t>1.14</w:t>
      </w:r>
      <w:r>
        <w:rPr>
          <w:rFonts w:hint="eastAsia" w:ascii="宋体" w:hAnsi="宋体" w:eastAsia="宋体" w:cs="PingFang SC"/>
          <w:color w:val="auto"/>
          <w:spacing w:val="0"/>
          <w:sz w:val="24"/>
          <w:szCs w:val="24"/>
          <w:lang w:val="en-US" w:eastAsia="zh-CN"/>
        </w:rPr>
        <w:t>提供</w:t>
      </w:r>
      <w:r>
        <w:rPr>
          <w:rFonts w:ascii="宋体" w:hAnsi="宋体" w:eastAsia="宋体" w:cs="PingFang SC"/>
          <w:color w:val="auto"/>
          <w:spacing w:val="0"/>
          <w:sz w:val="24"/>
          <w:szCs w:val="24"/>
        </w:rPr>
        <w:t>智慧</w:t>
      </w:r>
      <w:r>
        <w:rPr>
          <w:rFonts w:hint="eastAsia" w:ascii="宋体" w:hAnsi="宋体" w:eastAsia="宋体" w:cs="PingFang SC"/>
          <w:color w:val="auto"/>
          <w:spacing w:val="0"/>
          <w:sz w:val="24"/>
          <w:szCs w:val="24"/>
          <w:lang w:val="en-US" w:eastAsia="zh-CN"/>
        </w:rPr>
        <w:t>水站</w:t>
      </w:r>
      <w:r>
        <w:rPr>
          <w:rFonts w:ascii="宋体" w:hAnsi="宋体" w:eastAsia="宋体" w:cs="PingFang SC"/>
          <w:color w:val="auto"/>
          <w:spacing w:val="0"/>
          <w:sz w:val="24"/>
          <w:szCs w:val="24"/>
        </w:rPr>
        <w:t>监管平台，</w:t>
      </w:r>
      <w:r>
        <w:rPr>
          <w:rFonts w:hint="eastAsia" w:ascii="宋体" w:hAnsi="宋体" w:eastAsia="宋体" w:cs="PingFang SC"/>
          <w:color w:val="auto"/>
          <w:spacing w:val="0"/>
          <w:sz w:val="24"/>
          <w:szCs w:val="24"/>
          <w:lang w:val="en-US" w:eastAsia="zh-CN"/>
        </w:rPr>
        <w:t>需</w:t>
      </w:r>
      <w:r>
        <w:rPr>
          <w:rFonts w:ascii="宋体" w:hAnsi="宋体" w:eastAsia="宋体" w:cs="PingFang SC"/>
          <w:color w:val="auto"/>
          <w:spacing w:val="0"/>
          <w:sz w:val="24"/>
          <w:szCs w:val="24"/>
        </w:rPr>
        <w:t>实现以下功能要求：</w:t>
      </w:r>
    </w:p>
    <w:p w14:paraId="1D7C480A">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PingFang SC"/>
          <w:color w:val="auto"/>
          <w:spacing w:val="0"/>
          <w:sz w:val="24"/>
          <w:szCs w:val="24"/>
          <w:lang w:val="en-US" w:eastAsia="zh-CN"/>
        </w:rPr>
        <w:t>1.14.1</w:t>
      </w:r>
      <w:r>
        <w:rPr>
          <w:rFonts w:ascii="宋体" w:hAnsi="宋体" w:eastAsia="宋体" w:cs="PingFang SC"/>
          <w:color w:val="auto"/>
          <w:spacing w:val="0"/>
          <w:sz w:val="24"/>
          <w:szCs w:val="24"/>
        </w:rPr>
        <w:t>智慧监管数据中心</w:t>
      </w:r>
    </w:p>
    <w:p w14:paraId="78A68040">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ascii="宋体" w:hAnsi="宋体" w:eastAsia="宋体" w:cs="PingFang SC"/>
          <w:color w:val="auto"/>
          <w:spacing w:val="0"/>
          <w:sz w:val="24"/>
          <w:szCs w:val="24"/>
        </w:rPr>
        <w:t>数据资源中心采集汇聚的多源数据，选定数据策略，开展高通量数据传输、数据接入、数据存储、数据监控、数据处理、数据挖掘、数据更新、数据共享服务和运维管理，构建统一数据资源管理、统一数据目录管理、统一数据共享交换能力，形成基础数据、主题数据和专题数据，实现对内进行数据治理整合，对外进行数据获取和共享交换，全面支撑对智慧监管工作。</w:t>
      </w:r>
    </w:p>
    <w:p w14:paraId="1263772B">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PingFang SC"/>
          <w:color w:val="auto"/>
          <w:spacing w:val="0"/>
          <w:sz w:val="24"/>
          <w:szCs w:val="24"/>
          <w:lang w:val="en-US" w:eastAsia="zh-CN"/>
        </w:rPr>
        <w:t>1.14.2</w:t>
      </w:r>
      <w:r>
        <w:rPr>
          <w:rFonts w:ascii="宋体" w:hAnsi="宋体" w:eastAsia="宋体" w:cs="PingFang SC"/>
          <w:color w:val="auto"/>
          <w:spacing w:val="0"/>
          <w:sz w:val="24"/>
          <w:szCs w:val="24"/>
        </w:rPr>
        <w:t>物联网感知管理</w:t>
      </w:r>
    </w:p>
    <w:p w14:paraId="43727CC3">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ascii="宋体" w:hAnsi="宋体" w:eastAsia="宋体" w:cs="PingFang SC"/>
          <w:color w:val="auto"/>
          <w:spacing w:val="0"/>
          <w:sz w:val="24"/>
          <w:szCs w:val="24"/>
        </w:rPr>
        <w:t>物联网感知管理实现包括水站各类站点数据互联互通。具有设备管理、数据转发、远程控制、连接管理、数据保存、异常检测、数据回补等功能。系统需支持《</w:t>
      </w:r>
      <w:r>
        <w:rPr>
          <w:rFonts w:ascii="宋体" w:hAnsi="宋体" w:eastAsia="宋体" w:cs="Times New Roman"/>
          <w:color w:val="auto"/>
          <w:spacing w:val="0"/>
          <w:sz w:val="24"/>
          <w:szCs w:val="24"/>
        </w:rPr>
        <w:t>HJ/T212-2017</w:t>
      </w:r>
      <w:r>
        <w:rPr>
          <w:rFonts w:ascii="宋体" w:hAnsi="宋体" w:eastAsia="宋体" w:cs="PingFang SC"/>
          <w:color w:val="auto"/>
          <w:spacing w:val="0"/>
          <w:sz w:val="24"/>
          <w:szCs w:val="24"/>
        </w:rPr>
        <w:t>协议》、《国家地表水自动监测系统通信协议技术要求》</w:t>
      </w:r>
      <w:r>
        <w:rPr>
          <w:rFonts w:ascii="宋体" w:hAnsi="宋体" w:eastAsia="宋体" w:cs="Times New Roman"/>
          <w:color w:val="auto"/>
          <w:spacing w:val="0"/>
          <w:sz w:val="24"/>
          <w:szCs w:val="24"/>
        </w:rPr>
        <w:t>,</w:t>
      </w:r>
      <w:r>
        <w:rPr>
          <w:rFonts w:ascii="宋体" w:hAnsi="宋体" w:eastAsia="宋体" w:cs="PingFang SC"/>
          <w:color w:val="auto"/>
          <w:spacing w:val="0"/>
          <w:sz w:val="24"/>
          <w:szCs w:val="24"/>
        </w:rPr>
        <w:t>底层协议可采用</w:t>
      </w:r>
      <w:r>
        <w:rPr>
          <w:rFonts w:ascii="宋体" w:hAnsi="宋体" w:eastAsia="宋体" w:cs="Times New Roman"/>
          <w:color w:val="auto"/>
          <w:spacing w:val="0"/>
          <w:sz w:val="24"/>
          <w:szCs w:val="24"/>
        </w:rPr>
        <w:t>TCP</w:t>
      </w:r>
      <w:r>
        <w:rPr>
          <w:rFonts w:ascii="宋体" w:hAnsi="宋体" w:eastAsia="宋体" w:cs="PingFang SC"/>
          <w:color w:val="auto"/>
          <w:spacing w:val="0"/>
          <w:sz w:val="24"/>
          <w:szCs w:val="24"/>
        </w:rPr>
        <w:t>与</w:t>
      </w:r>
      <w:r>
        <w:rPr>
          <w:rFonts w:ascii="宋体" w:hAnsi="宋体" w:eastAsia="宋体" w:cs="Times New Roman"/>
          <w:color w:val="auto"/>
          <w:spacing w:val="0"/>
          <w:sz w:val="24"/>
          <w:szCs w:val="24"/>
        </w:rPr>
        <w:t>UDP</w:t>
      </w:r>
      <w:r>
        <w:rPr>
          <w:rFonts w:ascii="宋体" w:hAnsi="宋体" w:eastAsia="宋体" w:cs="PingFang SC"/>
          <w:color w:val="auto"/>
          <w:spacing w:val="0"/>
          <w:sz w:val="24"/>
          <w:szCs w:val="24"/>
        </w:rPr>
        <w:t>协议，以文本格式实时记录原始通信包，并实时记录每个连接的状态。</w:t>
      </w:r>
    </w:p>
    <w:p w14:paraId="35E97367">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PingFang SC"/>
          <w:color w:val="auto"/>
          <w:spacing w:val="0"/>
          <w:sz w:val="24"/>
          <w:szCs w:val="24"/>
          <w:lang w:val="en-US" w:eastAsia="zh-CN"/>
        </w:rPr>
        <w:t>1.14.3</w:t>
      </w:r>
      <w:r>
        <w:rPr>
          <w:rFonts w:ascii="宋体" w:hAnsi="宋体" w:eastAsia="宋体" w:cs="PingFang SC"/>
          <w:color w:val="auto"/>
          <w:spacing w:val="0"/>
          <w:sz w:val="24"/>
          <w:szCs w:val="24"/>
        </w:rPr>
        <w:t>智慧站房监管</w:t>
      </w:r>
    </w:p>
    <w:p w14:paraId="6B7277C3">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ascii="宋体" w:hAnsi="宋体" w:eastAsia="宋体" w:cs="PingFang SC"/>
          <w:color w:val="auto"/>
          <w:spacing w:val="0"/>
          <w:sz w:val="24"/>
          <w:szCs w:val="24"/>
        </w:rPr>
        <w:t>智慧化站房监管需全面汇聚水站各类传感数据，通过站房环境、系统集成、分析设备、智能消防、智能温控、智能视频、智能门禁、电子围栏等设备。构建数字化站房感知与调控，实时掌握水站运行状态。</w:t>
      </w:r>
    </w:p>
    <w:p w14:paraId="2BFB7308">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PingFang SC"/>
          <w:color w:val="auto"/>
          <w:spacing w:val="0"/>
          <w:sz w:val="24"/>
          <w:szCs w:val="24"/>
          <w:lang w:val="en-US" w:eastAsia="zh-CN"/>
        </w:rPr>
        <w:t>1.14.5</w:t>
      </w:r>
      <w:r>
        <w:rPr>
          <w:rFonts w:ascii="宋体" w:hAnsi="宋体" w:eastAsia="宋体" w:cs="PingFang SC"/>
          <w:color w:val="auto"/>
          <w:spacing w:val="0"/>
          <w:sz w:val="24"/>
          <w:szCs w:val="24"/>
        </w:rPr>
        <w:t>无人化智慧运维管理</w:t>
      </w:r>
    </w:p>
    <w:p w14:paraId="1DFE5855">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ascii="宋体" w:hAnsi="宋体" w:eastAsia="宋体" w:cs="PingFang SC"/>
          <w:color w:val="auto"/>
          <w:spacing w:val="0"/>
          <w:sz w:val="24"/>
          <w:szCs w:val="24"/>
        </w:rPr>
        <w:t>创新水质自动监测站运行维护模式，在全过程智能感知的基础上，运用物联网、大数据、云计算等手段，系统能对监测站进行远程控制和智能调控，降低人工干预。每日、每周、每月自动对仪器质量进行质控，对关键节点进行监管，自动识别异常、故障情况并通过内置故障处理模型进行自动修复。</w:t>
      </w:r>
    </w:p>
    <w:p w14:paraId="2F436EBB">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PingFang SC"/>
          <w:color w:val="auto"/>
          <w:spacing w:val="0"/>
          <w:sz w:val="24"/>
          <w:szCs w:val="24"/>
          <w:lang w:val="en-US" w:eastAsia="zh-CN"/>
        </w:rPr>
        <w:t>1.14.6</w:t>
      </w:r>
      <w:r>
        <w:rPr>
          <w:rFonts w:ascii="宋体" w:hAnsi="宋体" w:eastAsia="宋体" w:cs="PingFang SC"/>
          <w:color w:val="auto"/>
          <w:spacing w:val="0"/>
          <w:sz w:val="24"/>
          <w:szCs w:val="24"/>
        </w:rPr>
        <w:t>电子围栏</w:t>
      </w:r>
    </w:p>
    <w:p w14:paraId="1E2ED354">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ascii="宋体" w:hAnsi="宋体" w:eastAsia="宋体" w:cs="PingFang SC"/>
          <w:color w:val="auto"/>
          <w:spacing w:val="0"/>
          <w:sz w:val="24"/>
          <w:szCs w:val="24"/>
        </w:rPr>
        <w:t>具备站点远程监管可视化服务、站点视频监控智能化服务、站点分类电子围栏设置服务、站点</w:t>
      </w:r>
      <w:r>
        <w:rPr>
          <w:rFonts w:ascii="宋体" w:hAnsi="宋体" w:eastAsia="宋体" w:cs="Times New Roman"/>
          <w:color w:val="auto"/>
          <w:spacing w:val="0"/>
          <w:sz w:val="24"/>
          <w:szCs w:val="24"/>
        </w:rPr>
        <w:t>AI</w:t>
      </w:r>
      <w:r>
        <w:rPr>
          <w:rFonts w:ascii="宋体" w:hAnsi="宋体" w:eastAsia="宋体" w:cs="PingFang SC"/>
          <w:color w:val="auto"/>
          <w:spacing w:val="0"/>
          <w:sz w:val="24"/>
          <w:szCs w:val="24"/>
        </w:rPr>
        <w:t>告警事件定位服务、站点告警派单闭环管理服务和站点告警信息管理与查询、告警数据统计分析、自动生成工作报告等其他功能。</w:t>
      </w:r>
    </w:p>
    <w:p w14:paraId="60AF066E">
      <w:pPr>
        <w:keepNext w:val="0"/>
        <w:keepLines w:val="0"/>
        <w:pageBreakBefore w:val="0"/>
        <w:widowControl w:val="0"/>
        <w:numPr>
          <w:ilvl w:val="0"/>
          <w:numId w:val="0"/>
        </w:numPr>
        <w:spacing w:line="360" w:lineRule="auto"/>
        <w:ind w:left="0" w:right="0" w:firstLine="480"/>
        <w:jc w:val="left"/>
        <w:rPr>
          <w:rFonts w:ascii="宋体" w:hAnsi="宋体" w:eastAsia="宋体" w:cs="PingFang SC"/>
          <w:b w:val="0"/>
          <w:bCs w:val="0"/>
          <w:color w:val="auto"/>
          <w:spacing w:val="0"/>
          <w:sz w:val="24"/>
          <w:szCs w:val="24"/>
        </w:rPr>
      </w:pPr>
      <w:r>
        <w:rPr>
          <w:rFonts w:hint="eastAsia" w:ascii="宋体" w:hAnsi="宋体" w:cs="PingFang SC"/>
          <w:b w:val="0"/>
          <w:bCs w:val="0"/>
          <w:color w:val="auto"/>
          <w:spacing w:val="0"/>
          <w:sz w:val="24"/>
          <w:szCs w:val="24"/>
          <w:lang w:val="en-US" w:eastAsia="zh-CN" w:bidi="ar-SA"/>
        </w:rPr>
        <w:t>1.15</w:t>
      </w:r>
      <w:r>
        <w:rPr>
          <w:rFonts w:ascii="宋体" w:hAnsi="宋体" w:eastAsia="宋体" w:cs="PingFang SC"/>
          <w:b w:val="0"/>
          <w:bCs w:val="0"/>
          <w:color w:val="auto"/>
          <w:spacing w:val="0"/>
          <w:sz w:val="24"/>
          <w:szCs w:val="24"/>
        </w:rPr>
        <w:t>手机</w:t>
      </w:r>
      <w:r>
        <w:rPr>
          <w:rFonts w:ascii="宋体" w:hAnsi="宋体" w:eastAsia="宋体" w:cs="华文宋体"/>
          <w:b w:val="0"/>
          <w:bCs w:val="0"/>
          <w:color w:val="auto"/>
          <w:spacing w:val="0"/>
          <w:sz w:val="24"/>
          <w:szCs w:val="24"/>
        </w:rPr>
        <w:t>APP</w:t>
      </w:r>
      <w:r>
        <w:rPr>
          <w:rFonts w:ascii="宋体" w:hAnsi="宋体" w:eastAsia="宋体" w:cs="PingFang SC"/>
          <w:b w:val="0"/>
          <w:bCs w:val="0"/>
          <w:color w:val="auto"/>
          <w:spacing w:val="0"/>
          <w:sz w:val="24"/>
          <w:szCs w:val="24"/>
        </w:rPr>
        <w:t>实时监控，远程掌握站房情况</w:t>
      </w:r>
    </w:p>
    <w:p w14:paraId="7D631401">
      <w:pPr>
        <w:keepNext w:val="0"/>
        <w:keepLines w:val="0"/>
        <w:pageBreakBefore w:val="0"/>
        <w:widowControl w:val="0"/>
        <w:numPr>
          <w:ilvl w:val="0"/>
          <w:numId w:val="0"/>
        </w:numPr>
        <w:spacing w:line="360" w:lineRule="auto"/>
        <w:ind w:left="0" w:right="0" w:firstLine="480"/>
        <w:jc w:val="left"/>
        <w:rPr>
          <w:rFonts w:ascii="宋体" w:hAnsi="宋体" w:eastAsia="宋体" w:cs="PingFang SC"/>
          <w:color w:val="auto"/>
          <w:spacing w:val="0"/>
          <w:sz w:val="24"/>
          <w:szCs w:val="24"/>
        </w:rPr>
      </w:pPr>
      <w:r>
        <w:rPr>
          <w:rFonts w:ascii="宋体" w:hAnsi="宋体" w:eastAsia="宋体" w:cs="PingFang SC"/>
          <w:color w:val="auto"/>
          <w:spacing w:val="0"/>
          <w:sz w:val="24"/>
          <w:szCs w:val="24"/>
        </w:rPr>
        <w:t>通过手机</w:t>
      </w:r>
      <w:r>
        <w:rPr>
          <w:rFonts w:ascii="宋体" w:hAnsi="宋体" w:eastAsia="宋体" w:cs="Times New Roman"/>
          <w:color w:val="auto"/>
          <w:spacing w:val="0"/>
          <w:sz w:val="24"/>
          <w:szCs w:val="24"/>
        </w:rPr>
        <w:t>APP</w:t>
      </w:r>
      <w:r>
        <w:rPr>
          <w:rFonts w:ascii="宋体" w:hAnsi="宋体" w:eastAsia="宋体" w:cs="PingFang SC"/>
          <w:color w:val="auto"/>
          <w:spacing w:val="0"/>
          <w:sz w:val="24"/>
          <w:szCs w:val="24"/>
        </w:rPr>
        <w:t>，可对站房环境参数监测数据进行远程查看。当环境参数监测数据发生异常，</w:t>
      </w:r>
      <w:r>
        <w:rPr>
          <w:rFonts w:ascii="宋体" w:hAnsi="宋体" w:eastAsia="宋体" w:cs="Times New Roman"/>
          <w:color w:val="auto"/>
          <w:spacing w:val="0"/>
          <w:sz w:val="24"/>
          <w:szCs w:val="24"/>
        </w:rPr>
        <w:t>APP</w:t>
      </w:r>
      <w:r>
        <w:rPr>
          <w:rFonts w:ascii="宋体" w:hAnsi="宋体" w:eastAsia="宋体" w:cs="PingFang SC"/>
          <w:color w:val="auto"/>
          <w:spacing w:val="0"/>
          <w:sz w:val="24"/>
          <w:szCs w:val="24"/>
        </w:rPr>
        <w:t>界面主动提示日志信息，显示明显的告警状态。另外，现场发生异常时，触发监控摄像机实现自动拍照及录像，也可实时通过监控画面查看站房内环境详情，实时查看站点的异常情况。维护人员采用手机</w:t>
      </w:r>
      <w:r>
        <w:rPr>
          <w:rFonts w:ascii="宋体" w:hAnsi="宋体" w:eastAsia="宋体" w:cs="Times New Roman"/>
          <w:color w:val="auto"/>
          <w:spacing w:val="0"/>
          <w:sz w:val="24"/>
          <w:szCs w:val="24"/>
        </w:rPr>
        <w:t>APP</w:t>
      </w:r>
      <w:r>
        <w:rPr>
          <w:rFonts w:ascii="宋体" w:hAnsi="宋体" w:eastAsia="宋体" w:cs="PingFang SC"/>
          <w:color w:val="auto"/>
          <w:spacing w:val="0"/>
          <w:sz w:val="24"/>
          <w:szCs w:val="24"/>
        </w:rPr>
        <w:t>实时掌握现场情况，及时的进行针对性的人工维护，有效减少异常情况对于在线监测系统正常运行的影响，有效保障水质在线监测系统的数据有效率。</w:t>
      </w:r>
    </w:p>
    <w:p w14:paraId="4A7BF2A5">
      <w:pPr>
        <w:keepNext w:val="0"/>
        <w:keepLines w:val="0"/>
        <w:pageBreakBefore w:val="0"/>
        <w:spacing w:line="360" w:lineRule="auto"/>
        <w:ind w:left="0" w:right="0" w:firstLine="480"/>
        <w:jc w:val="left"/>
        <w:rPr>
          <w:rFonts w:ascii="宋体" w:hAnsi="宋体" w:eastAsia="宋体" w:cs="PingFang SC"/>
          <w:color w:val="auto"/>
          <w:spacing w:val="0"/>
          <w:sz w:val="24"/>
          <w:szCs w:val="24"/>
        </w:rPr>
      </w:pPr>
      <w:r>
        <w:rPr>
          <w:rFonts w:hint="eastAsia" w:ascii="宋体" w:hAnsi="宋体" w:eastAsia="宋体" w:cs="PingFang SC"/>
          <w:color w:val="auto"/>
          <w:spacing w:val="0"/>
          <w:sz w:val="24"/>
          <w:szCs w:val="24"/>
          <w:lang w:val="en-US" w:eastAsia="zh-CN"/>
        </w:rPr>
        <w:t>1.15.1</w:t>
      </w:r>
      <w:r>
        <w:rPr>
          <w:rFonts w:ascii="宋体" w:hAnsi="宋体" w:eastAsia="宋体" w:cs="PingFang SC"/>
          <w:color w:val="auto"/>
          <w:spacing w:val="0"/>
          <w:sz w:val="24"/>
          <w:szCs w:val="24"/>
        </w:rPr>
        <w:t>视频终端</w:t>
      </w:r>
    </w:p>
    <w:p w14:paraId="6E44B955">
      <w:pPr>
        <w:keepNext w:val="0"/>
        <w:keepLines w:val="0"/>
        <w:pageBreakBefore w:val="0"/>
        <w:spacing w:line="360" w:lineRule="auto"/>
        <w:ind w:left="0" w:right="0" w:firstLine="480"/>
        <w:jc w:val="left"/>
        <w:rPr>
          <w:rFonts w:ascii="宋体" w:hAnsi="宋体" w:eastAsia="宋体" w:cs="PingFang SC"/>
          <w:color w:val="auto"/>
          <w:spacing w:val="0"/>
          <w:sz w:val="24"/>
          <w:szCs w:val="24"/>
        </w:rPr>
      </w:pPr>
      <w:r>
        <w:rPr>
          <w:rFonts w:ascii="宋体" w:hAnsi="宋体" w:eastAsia="宋体" w:cs="PingFang SC"/>
          <w:color w:val="auto"/>
          <w:spacing w:val="0"/>
          <w:sz w:val="24"/>
          <w:szCs w:val="24"/>
        </w:rPr>
        <w:t>自动站已装备站房内监控摄像机和站房进出口人脸识别摄像机等视频终端的，应统筹使用，避免重复建设。在覆盖范围上，视频监控原则上要能覆盖断面采水区域、采水口、采水管路、站房、上游</w:t>
      </w:r>
      <w:r>
        <w:rPr>
          <w:rFonts w:ascii="宋体" w:hAnsi="宋体" w:eastAsia="宋体" w:cs="Times New Roman"/>
          <w:color w:val="auto"/>
          <w:spacing w:val="0"/>
          <w:sz w:val="24"/>
          <w:szCs w:val="24"/>
        </w:rPr>
        <w:t>2</w:t>
      </w:r>
      <w:r>
        <w:rPr>
          <w:rFonts w:ascii="宋体" w:hAnsi="宋体" w:eastAsia="宋体" w:cs="PingFang SC"/>
          <w:color w:val="auto"/>
          <w:spacing w:val="0"/>
          <w:sz w:val="24"/>
          <w:szCs w:val="24"/>
        </w:rPr>
        <w:t>公里河道及两边岸线、下游</w:t>
      </w:r>
      <w:r>
        <w:rPr>
          <w:rFonts w:ascii="宋体" w:hAnsi="宋体" w:eastAsia="宋体" w:cs="Times New Roman"/>
          <w:color w:val="auto"/>
          <w:spacing w:val="0"/>
          <w:sz w:val="24"/>
          <w:szCs w:val="24"/>
        </w:rPr>
        <w:t>500</w:t>
      </w:r>
      <w:r>
        <w:rPr>
          <w:rFonts w:ascii="宋体" w:hAnsi="宋体" w:eastAsia="宋体" w:cs="PingFang SC"/>
          <w:color w:val="auto"/>
          <w:spacing w:val="0"/>
          <w:sz w:val="24"/>
          <w:szCs w:val="24"/>
        </w:rPr>
        <w:t>米河道及两边岸线等所有需要重点监管的区域（上游</w:t>
      </w:r>
      <w:r>
        <w:rPr>
          <w:rFonts w:ascii="宋体" w:hAnsi="宋体" w:eastAsia="宋体" w:cs="Times New Roman"/>
          <w:color w:val="auto"/>
          <w:spacing w:val="0"/>
          <w:sz w:val="24"/>
          <w:szCs w:val="24"/>
        </w:rPr>
        <w:t>1</w:t>
      </w:r>
      <w:r>
        <w:rPr>
          <w:rFonts w:ascii="宋体" w:hAnsi="宋体" w:eastAsia="宋体" w:cs="PingFang SC"/>
          <w:color w:val="auto"/>
          <w:spacing w:val="0"/>
          <w:sz w:val="24"/>
          <w:szCs w:val="24"/>
        </w:rPr>
        <w:t>公里、下游</w:t>
      </w:r>
      <w:r>
        <w:rPr>
          <w:rFonts w:ascii="宋体" w:hAnsi="宋体" w:eastAsia="宋体" w:cs="Times New Roman"/>
          <w:color w:val="auto"/>
          <w:spacing w:val="0"/>
          <w:sz w:val="24"/>
          <w:szCs w:val="24"/>
        </w:rPr>
        <w:t>200</w:t>
      </w:r>
      <w:r>
        <w:rPr>
          <w:rFonts w:ascii="宋体" w:hAnsi="宋体" w:eastAsia="宋体" w:cs="PingFang SC"/>
          <w:color w:val="auto"/>
          <w:spacing w:val="0"/>
          <w:sz w:val="24"/>
          <w:szCs w:val="24"/>
        </w:rPr>
        <w:t>米为核心区，上游</w:t>
      </w:r>
      <w:r>
        <w:rPr>
          <w:rFonts w:ascii="宋体" w:hAnsi="宋体" w:eastAsia="宋体" w:cs="Times New Roman"/>
          <w:color w:val="auto"/>
          <w:spacing w:val="0"/>
          <w:sz w:val="24"/>
          <w:szCs w:val="24"/>
        </w:rPr>
        <w:t>2</w:t>
      </w:r>
      <w:r>
        <w:rPr>
          <w:rFonts w:ascii="宋体" w:hAnsi="宋体" w:eastAsia="宋体" w:cs="PingFang SC"/>
          <w:color w:val="auto"/>
          <w:spacing w:val="0"/>
          <w:sz w:val="24"/>
          <w:szCs w:val="24"/>
        </w:rPr>
        <w:t>公里、下游</w:t>
      </w:r>
      <w:r>
        <w:rPr>
          <w:rFonts w:ascii="宋体" w:hAnsi="宋体" w:eastAsia="宋体" w:cs="Times New Roman"/>
          <w:color w:val="auto"/>
          <w:spacing w:val="0"/>
          <w:sz w:val="24"/>
          <w:szCs w:val="24"/>
        </w:rPr>
        <w:t>500</w:t>
      </w:r>
      <w:r>
        <w:rPr>
          <w:rFonts w:ascii="宋体" w:hAnsi="宋体" w:eastAsia="宋体" w:cs="PingFang SC"/>
          <w:color w:val="auto"/>
          <w:spacing w:val="0"/>
          <w:sz w:val="24"/>
          <w:szCs w:val="24"/>
        </w:rPr>
        <w:t>米为重点监控预警区），对于核心区应能够清楚辨认人体外貌特征、人脸特征、车辆牌照等细节；预警区域应识别车辆类型、人体轮廓。点位位于湖库的，视实际情况设置，除大型湖库外，原则上监控范围不小于以点位为中心的方圆</w:t>
      </w:r>
      <w:r>
        <w:rPr>
          <w:rFonts w:ascii="宋体" w:hAnsi="宋体" w:eastAsia="宋体" w:cs="Times New Roman"/>
          <w:color w:val="auto"/>
          <w:spacing w:val="0"/>
          <w:sz w:val="24"/>
          <w:szCs w:val="24"/>
        </w:rPr>
        <w:t>1000m</w:t>
      </w:r>
      <w:r>
        <w:rPr>
          <w:rFonts w:ascii="宋体" w:hAnsi="宋体" w:eastAsia="宋体" w:cs="PingFang SC"/>
          <w:color w:val="auto"/>
          <w:spacing w:val="0"/>
          <w:sz w:val="24"/>
          <w:szCs w:val="24"/>
        </w:rPr>
        <w:t>范围。电子围栏要具备</w:t>
      </w:r>
      <w:r>
        <w:rPr>
          <w:rFonts w:ascii="宋体" w:hAnsi="宋体" w:eastAsia="宋体" w:cs="Times New Roman"/>
          <w:color w:val="auto"/>
          <w:spacing w:val="0"/>
          <w:sz w:val="24"/>
          <w:szCs w:val="24"/>
        </w:rPr>
        <w:t>7*24</w:t>
      </w:r>
      <w:r>
        <w:rPr>
          <w:rFonts w:ascii="宋体" w:hAnsi="宋体" w:eastAsia="宋体" w:cs="PingFang SC"/>
          <w:color w:val="auto"/>
          <w:spacing w:val="0"/>
          <w:sz w:val="24"/>
          <w:szCs w:val="24"/>
        </w:rPr>
        <w:t>小时的无死角、全覆盖、可视化的监控。</w:t>
      </w:r>
    </w:p>
    <w:p w14:paraId="54BBD348">
      <w:pPr>
        <w:keepNext w:val="0"/>
        <w:keepLines w:val="0"/>
        <w:pageBreakBefore w:val="0"/>
        <w:widowControl w:val="0"/>
        <w:spacing w:line="360" w:lineRule="auto"/>
        <w:ind w:left="0" w:right="0" w:firstLine="480"/>
        <w:jc w:val="both"/>
        <w:rPr>
          <w:rFonts w:ascii="宋体" w:hAnsi="宋体" w:eastAsia="宋体" w:cs="PingFang SC"/>
          <w:color w:val="auto"/>
          <w:spacing w:val="0"/>
          <w:sz w:val="24"/>
          <w:szCs w:val="24"/>
        </w:rPr>
      </w:pPr>
      <w:r>
        <w:rPr>
          <w:rFonts w:ascii="宋体" w:hAnsi="宋体" w:eastAsia="宋体" w:cs="PingFang SC"/>
          <w:color w:val="auto"/>
          <w:spacing w:val="0"/>
          <w:sz w:val="24"/>
          <w:szCs w:val="24"/>
        </w:rPr>
        <w:t>在视频终端设备选型方面，高点监控设备主视频分辨率不低于2560×1440，可提供高清画面质量，光学变焦不低于40倍，可实现远距离的物体放大观察；低点监控设备要求具有400万及以上像素CMOS传感器，可获得清晰的图像细节，分辨率不小于2560×1440，光学变焦不低于40倍，满足细节监管的需求。</w:t>
      </w:r>
    </w:p>
    <w:p w14:paraId="4A783E4F">
      <w:pPr>
        <w:keepNext w:val="0"/>
        <w:keepLines w:val="0"/>
        <w:pageBreakBefore w:val="0"/>
        <w:spacing w:line="360" w:lineRule="auto"/>
        <w:ind w:left="0" w:right="0" w:firstLine="480"/>
        <w:jc w:val="left"/>
        <w:rPr>
          <w:rFonts w:hint="eastAsia" w:ascii="宋体" w:hAnsi="宋体" w:eastAsia="宋体" w:cs="PingFang SC"/>
          <w:color w:val="auto"/>
          <w:spacing w:val="0"/>
          <w:sz w:val="24"/>
          <w:szCs w:val="24"/>
          <w:lang w:val="en-US" w:eastAsia="zh-CN"/>
        </w:rPr>
      </w:pPr>
      <w:r>
        <w:rPr>
          <w:rFonts w:hint="eastAsia" w:ascii="宋体" w:hAnsi="宋体" w:eastAsia="宋体" w:cs="PingFang SC"/>
          <w:color w:val="auto"/>
          <w:spacing w:val="0"/>
          <w:sz w:val="24"/>
          <w:szCs w:val="24"/>
          <w:lang w:val="en-US" w:eastAsia="zh-CN"/>
        </w:rPr>
        <w:t>1.15.2AI服务器</w:t>
      </w:r>
    </w:p>
    <w:p w14:paraId="69136B38">
      <w:pPr>
        <w:keepNext w:val="0"/>
        <w:keepLines w:val="0"/>
        <w:pageBreakBefore w:val="0"/>
        <w:widowControl w:val="0"/>
        <w:spacing w:before="0" w:line="360" w:lineRule="auto"/>
        <w:ind w:left="0" w:right="0" w:firstLine="480"/>
        <w:jc w:val="left"/>
        <w:rPr>
          <w:rFonts w:hint="default" w:ascii="宋体" w:hAnsi="宋体" w:eastAsia="宋体" w:cs="Arial"/>
          <w:color w:val="auto"/>
          <w:spacing w:val="0"/>
          <w:sz w:val="24"/>
          <w:szCs w:val="21"/>
          <w:lang w:val="en-US" w:eastAsia="en-US" w:bidi="ar-SA"/>
        </w:rPr>
      </w:pPr>
      <w:r>
        <w:rPr>
          <w:rFonts w:ascii="宋体" w:hAnsi="宋体" w:eastAsia="宋体" w:cs="PingFang SC"/>
          <w:color w:val="auto"/>
          <w:spacing w:val="0"/>
          <w:sz w:val="24"/>
          <w:szCs w:val="24"/>
        </w:rPr>
        <w:t>依托智能警戒球机、全景AI摄像头、云计算、大数据和人工智能等新技术，使用计算机模仿人类视觉系统技术，建立一套符合环保特色的算法框架体系。通过AI视频分析技术让前端普通摄像头拥有类似人类眼睛所提取、处理、理解和分析图像以及图像序列的能力。可根据不同场景、不同事件自动识别，实现从被动发现向主动发现转变，达到“智能发现－智能预警－实时监控－抓拍取证”闭环管理，提升智能预警和防范人为干扰能力。电子围栏主要监控识别以下情形：（1）非运维人员违规进入站房及取水采样口周边的；（2）河流改道或断流；（3）设置人工喷泉、曝气等设施；（4）河道整治施工；（5）投放生物、化学药剂等；（6）破坏监测设备、采水设施、电力和通讯线路、其它辅助设施；（7）其他人为干扰监测行为。智能算法能自主学习可升级。梳理优化自动监测站管理流程，挖掘和深化防范人为干扰监测数据的应用场景，实现与系统无缝衔接，提高系统的实用性和操作性，有效剔除飞鸟、动物、树叶等干扰，不断提高智能预警的有效性、准确性和全面性。</w:t>
      </w:r>
    </w:p>
    <w:p w14:paraId="7782D64D">
      <w:pPr>
        <w:keepNext w:val="0"/>
        <w:keepLines w:val="0"/>
        <w:pageBreakBefore w:val="0"/>
        <w:widowControl w:val="0"/>
        <w:spacing w:line="360" w:lineRule="auto"/>
        <w:ind w:left="0" w:right="0" w:firstLine="482"/>
        <w:jc w:val="left"/>
        <w:outlineLvl w:val="9"/>
        <w:rPr>
          <w:rFonts w:ascii="宋体" w:hAnsi="宋体" w:eastAsia="宋体" w:cs="PingFang SC"/>
          <w:color w:val="auto"/>
          <w:spacing w:val="0"/>
          <w:sz w:val="24"/>
          <w:szCs w:val="24"/>
        </w:rPr>
      </w:pPr>
      <w:r>
        <w:rPr>
          <w:rFonts w:ascii="宋体" w:hAnsi="宋体" w:eastAsia="宋体" w:cs="华文宋体"/>
          <w:b/>
          <w:bCs/>
          <w:color w:val="auto"/>
          <w:spacing w:val="0"/>
          <w:sz w:val="24"/>
          <w:szCs w:val="24"/>
        </w:rPr>
        <w:t>2.</w:t>
      </w:r>
      <w:r>
        <w:rPr>
          <w:rFonts w:ascii="宋体" w:hAnsi="宋体" w:eastAsia="宋体" w:cs="PingFang SC"/>
          <w:b/>
          <w:bCs/>
          <w:color w:val="auto"/>
          <w:spacing w:val="0"/>
          <w:sz w:val="24"/>
          <w:szCs w:val="24"/>
        </w:rPr>
        <w:t>水站系统集成技术要求</w:t>
      </w:r>
    </w:p>
    <w:p w14:paraId="2F07BCD7">
      <w:pPr>
        <w:keepNext w:val="0"/>
        <w:keepLines w:val="0"/>
        <w:pageBreakBefore w:val="0"/>
        <w:widowControl w:val="0"/>
        <w:spacing w:line="360" w:lineRule="auto"/>
        <w:ind w:left="0" w:right="0" w:firstLine="482"/>
        <w:jc w:val="left"/>
        <w:rPr>
          <w:rFonts w:ascii="宋体" w:hAnsi="宋体" w:eastAsia="宋体" w:cs="PingFang SC"/>
          <w:color w:val="auto"/>
          <w:spacing w:val="0"/>
          <w:sz w:val="24"/>
          <w:szCs w:val="24"/>
        </w:rPr>
      </w:pPr>
      <w:r>
        <w:rPr>
          <w:rFonts w:ascii="宋体" w:hAnsi="宋体" w:eastAsia="宋体" w:cs="华文宋体"/>
          <w:b/>
          <w:bCs/>
          <w:color w:val="auto"/>
          <w:spacing w:val="0"/>
          <w:sz w:val="24"/>
          <w:szCs w:val="24"/>
        </w:rPr>
        <w:t>2.1</w:t>
      </w:r>
      <w:r>
        <w:rPr>
          <w:rFonts w:ascii="宋体" w:hAnsi="宋体" w:eastAsia="宋体" w:cs="PingFang SC"/>
          <w:b/>
          <w:bCs/>
          <w:color w:val="auto"/>
          <w:spacing w:val="0"/>
          <w:sz w:val="24"/>
          <w:szCs w:val="24"/>
        </w:rPr>
        <w:t>配水及预处理单元</w:t>
      </w:r>
    </w:p>
    <w:p w14:paraId="0CCF0203">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ascii="宋体" w:hAnsi="宋体" w:eastAsia="宋体" w:cs="PingFang SC"/>
          <w:color w:val="auto"/>
          <w:spacing w:val="0"/>
          <w:sz w:val="24"/>
          <w:szCs w:val="24"/>
        </w:rPr>
        <w:t>配水及预处理单元由水样分配单元、预处理装置及管道等组成。预处理单元应根据国家标准分析方法要求为分析仪器配备相应的预处理装置，常规五参数分析仪使用原水直接分析。</w:t>
      </w:r>
    </w:p>
    <w:p w14:paraId="0E2B9E1A">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ascii="宋体" w:hAnsi="宋体" w:eastAsia="宋体" w:cs="PingFang SC"/>
          <w:color w:val="auto"/>
          <w:spacing w:val="0"/>
          <w:sz w:val="24"/>
          <w:szCs w:val="24"/>
        </w:rPr>
        <w:t>投标人应提供针对性的配水和预处理方案，具体需满足以下要求：</w:t>
      </w:r>
    </w:p>
    <w:p w14:paraId="554C6D0E">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PingFang SC"/>
          <w:color w:val="auto"/>
          <w:spacing w:val="0"/>
          <w:sz w:val="24"/>
          <w:szCs w:val="24"/>
          <w:lang w:val="en-US" w:eastAsia="zh-CN"/>
        </w:rPr>
        <w:t>2.1.1</w:t>
      </w:r>
      <w:r>
        <w:rPr>
          <w:rFonts w:ascii="宋体" w:hAnsi="宋体" w:eastAsia="宋体" w:cs="PingFang SC"/>
          <w:color w:val="auto"/>
          <w:spacing w:val="0"/>
          <w:sz w:val="24"/>
          <w:szCs w:val="24"/>
        </w:rPr>
        <w:t>配水管路设计合理，流向清晰，便于维护；保证仪器分析测试的水样应能代表断面水质情况并满足仪器测试需求；</w:t>
      </w:r>
    </w:p>
    <w:p w14:paraId="0FD15290">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PingFang SC"/>
          <w:color w:val="auto"/>
          <w:spacing w:val="0"/>
          <w:sz w:val="24"/>
          <w:szCs w:val="24"/>
          <w:lang w:val="en-US" w:eastAsia="zh-CN"/>
        </w:rPr>
        <w:t>2.1.2</w:t>
      </w:r>
      <w:r>
        <w:rPr>
          <w:rFonts w:ascii="宋体" w:hAnsi="宋体" w:eastAsia="宋体" w:cs="PingFang SC"/>
          <w:color w:val="auto"/>
          <w:spacing w:val="0"/>
          <w:sz w:val="24"/>
          <w:szCs w:val="24"/>
        </w:rPr>
        <w:t>配水单元具备自动反清（吹）洗和自动除藻功能，防止菌类和藻类等微生物对样品污染或对系统工作造成不良影响，设计中不使用对环境产生污染的清洗方法；</w:t>
      </w:r>
    </w:p>
    <w:p w14:paraId="536FCE23">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PingFang SC"/>
          <w:color w:val="auto"/>
          <w:spacing w:val="0"/>
          <w:sz w:val="24"/>
          <w:szCs w:val="24"/>
          <w:lang w:val="en-US" w:eastAsia="zh-CN"/>
        </w:rPr>
        <w:t>2.1.3</w:t>
      </w:r>
      <w:r>
        <w:rPr>
          <w:rFonts w:ascii="宋体" w:hAnsi="宋体" w:eastAsia="宋体" w:cs="PingFang SC"/>
          <w:color w:val="auto"/>
          <w:spacing w:val="0"/>
          <w:sz w:val="24"/>
          <w:szCs w:val="24"/>
        </w:rPr>
        <w:t>配水主管路采用串联方式，各仪器之间管路采用并联方式，每台仪器从各自的取样杯中取水，任何仪器的配水管路出现故障不能影响其他仪器的测试；</w:t>
      </w:r>
    </w:p>
    <w:p w14:paraId="3B261270">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PingFang SC"/>
          <w:color w:val="auto"/>
          <w:spacing w:val="0"/>
          <w:sz w:val="24"/>
          <w:szCs w:val="24"/>
          <w:lang w:val="en-US" w:eastAsia="zh-CN"/>
        </w:rPr>
        <w:t>2.1.4</w:t>
      </w:r>
      <w:r>
        <w:rPr>
          <w:rFonts w:ascii="宋体" w:hAnsi="宋体" w:eastAsia="宋体" w:cs="PingFang SC"/>
          <w:color w:val="auto"/>
          <w:spacing w:val="0"/>
          <w:sz w:val="24"/>
          <w:szCs w:val="24"/>
        </w:rPr>
        <w:t>具备可扩展功能，水站预留不少于</w:t>
      </w:r>
      <w:r>
        <w:rPr>
          <w:rFonts w:ascii="宋体" w:hAnsi="宋体" w:eastAsia="宋体" w:cs="Times New Roman"/>
          <w:color w:val="auto"/>
          <w:spacing w:val="0"/>
          <w:sz w:val="24"/>
          <w:szCs w:val="24"/>
        </w:rPr>
        <w:t>4</w:t>
      </w:r>
      <w:r>
        <w:rPr>
          <w:rFonts w:ascii="宋体" w:hAnsi="宋体" w:eastAsia="宋体" w:cs="PingFang SC"/>
          <w:color w:val="auto"/>
          <w:spacing w:val="0"/>
          <w:sz w:val="24"/>
          <w:szCs w:val="24"/>
        </w:rPr>
        <w:t>台设备的接水口、排水口以及水样比对实验用的手动取水口；</w:t>
      </w:r>
    </w:p>
    <w:p w14:paraId="5824B64E">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PingFang SC"/>
          <w:color w:val="auto"/>
          <w:spacing w:val="0"/>
          <w:sz w:val="24"/>
          <w:szCs w:val="24"/>
          <w:lang w:val="en-US" w:eastAsia="zh-CN"/>
        </w:rPr>
        <w:t>2.1.5</w:t>
      </w:r>
      <w:r>
        <w:rPr>
          <w:rFonts w:ascii="宋体" w:hAnsi="宋体" w:eastAsia="宋体" w:cs="PingFang SC"/>
          <w:color w:val="auto"/>
          <w:spacing w:val="0"/>
          <w:sz w:val="24"/>
          <w:szCs w:val="24"/>
        </w:rPr>
        <w:t>能配合系统实现水样自动分配、自动预处理、故障自动报警、关键部件工作状态的显示和反控等功能；</w:t>
      </w:r>
    </w:p>
    <w:p w14:paraId="02E27D01">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PingFang SC"/>
          <w:color w:val="auto"/>
          <w:spacing w:val="0"/>
          <w:sz w:val="24"/>
          <w:szCs w:val="24"/>
          <w:lang w:val="en-US" w:eastAsia="zh-CN"/>
        </w:rPr>
        <w:t>2.1.6</w:t>
      </w:r>
      <w:r>
        <w:rPr>
          <w:rFonts w:ascii="宋体" w:hAnsi="宋体" w:eastAsia="宋体" w:cs="PingFang SC"/>
          <w:color w:val="auto"/>
          <w:spacing w:val="0"/>
          <w:sz w:val="24"/>
          <w:szCs w:val="24"/>
        </w:rPr>
        <w:t>配水单元的所有操作均可通过控制单元实现，并接受平台端的远程控制；</w:t>
      </w:r>
    </w:p>
    <w:p w14:paraId="3BF7DAB9">
      <w:pPr>
        <w:keepNext w:val="0"/>
        <w:keepLines w:val="0"/>
        <w:pageBreakBefore w:val="0"/>
        <w:widowControl w:val="0"/>
        <w:spacing w:line="360" w:lineRule="auto"/>
        <w:ind w:left="0" w:right="0" w:firstLine="480"/>
        <w:jc w:val="left"/>
        <w:rPr>
          <w:rFonts w:ascii="宋体" w:hAnsi="宋体" w:eastAsia="宋体"/>
          <w:color w:val="auto"/>
          <w:spacing w:val="0"/>
          <w:sz w:val="24"/>
          <w:szCs w:val="24"/>
        </w:rPr>
      </w:pPr>
      <w:r>
        <w:rPr>
          <w:rFonts w:hint="eastAsia" w:ascii="宋体" w:hAnsi="宋体" w:cs="PingFang SC"/>
          <w:color w:val="auto"/>
          <w:spacing w:val="0"/>
          <w:sz w:val="24"/>
          <w:szCs w:val="24"/>
          <w:lang w:val="en-US" w:eastAsia="zh-CN"/>
        </w:rPr>
        <w:t>2.1.7</w:t>
      </w:r>
      <w:r>
        <w:rPr>
          <w:rFonts w:ascii="宋体" w:hAnsi="宋体" w:eastAsia="宋体" w:cs="PingFang SC"/>
          <w:color w:val="auto"/>
          <w:spacing w:val="0"/>
          <w:sz w:val="24"/>
          <w:szCs w:val="24"/>
        </w:rPr>
        <w:t>所选管材机械强度及化学稳定性好、使用寿命长、便于安装维护，不会对水样水质造成影响；管路内径、压力、流量、流速满足仪器分析需要，并留有余量；</w:t>
      </w:r>
    </w:p>
    <w:p w14:paraId="428F5E33">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PingFang SC"/>
          <w:color w:val="auto"/>
          <w:spacing w:val="0"/>
          <w:sz w:val="24"/>
          <w:szCs w:val="24"/>
          <w:lang w:val="en-US" w:eastAsia="zh-CN"/>
        </w:rPr>
        <w:t>2.1.8</w:t>
      </w:r>
      <w:r>
        <w:rPr>
          <w:rFonts w:ascii="宋体" w:hAnsi="宋体" w:eastAsia="宋体" w:cs="PingFang SC"/>
          <w:color w:val="auto"/>
          <w:spacing w:val="0"/>
          <w:sz w:val="24"/>
          <w:szCs w:val="24"/>
        </w:rPr>
        <w:t>针对泥沙较大水体、暴雨期间、泄洪、丰水期等浊度影响较大的情况，系统应针对性的设计预处理旁路系统，并具备自动切换预处理系统工作功能。</w:t>
      </w:r>
    </w:p>
    <w:p w14:paraId="5553C1CA">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PingFang SC"/>
          <w:color w:val="auto"/>
          <w:spacing w:val="0"/>
          <w:sz w:val="24"/>
          <w:szCs w:val="24"/>
          <w:lang w:val="en-US" w:eastAsia="zh-CN"/>
        </w:rPr>
        <w:t>2.1.9</w:t>
      </w:r>
      <w:r>
        <w:rPr>
          <w:rFonts w:ascii="宋体" w:hAnsi="宋体" w:eastAsia="宋体" w:cs="PingFang SC"/>
          <w:color w:val="auto"/>
          <w:spacing w:val="0"/>
          <w:sz w:val="24"/>
          <w:szCs w:val="24"/>
        </w:rPr>
        <w:t>除水质五参数仪器使用源水直接分析外，其他仪器根据测试方法要求采用沉降、超声过滤、离心、稀释测量等不同预处理方式。</w:t>
      </w:r>
    </w:p>
    <w:p w14:paraId="62D23846">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PingFang SC"/>
          <w:color w:val="auto"/>
          <w:spacing w:val="0"/>
          <w:sz w:val="24"/>
          <w:szCs w:val="24"/>
          <w:lang w:val="en-US" w:eastAsia="zh-CN"/>
        </w:rPr>
        <w:t>2.1.10</w:t>
      </w:r>
      <w:r>
        <w:rPr>
          <w:rFonts w:ascii="宋体" w:hAnsi="宋体" w:eastAsia="宋体" w:cs="PingFang SC"/>
          <w:color w:val="auto"/>
          <w:spacing w:val="0"/>
          <w:sz w:val="24"/>
          <w:szCs w:val="24"/>
        </w:rPr>
        <w:t>预处理单元满足标准分析方法中对样品的要求，根据不同仪器采取合适的预处理方式，如自然沉降、</w:t>
      </w:r>
      <w:r>
        <w:rPr>
          <w:rFonts w:ascii="宋体" w:hAnsi="宋体" w:eastAsia="宋体" w:cs="Times New Roman"/>
          <w:color w:val="auto"/>
          <w:spacing w:val="0"/>
          <w:sz w:val="24"/>
          <w:szCs w:val="24"/>
        </w:rPr>
        <w:t>63μm</w:t>
      </w:r>
      <w:r>
        <w:rPr>
          <w:rFonts w:ascii="宋体" w:hAnsi="宋体" w:eastAsia="宋体" w:cs="PingFang SC"/>
          <w:color w:val="auto"/>
          <w:spacing w:val="0"/>
          <w:sz w:val="24"/>
          <w:szCs w:val="24"/>
        </w:rPr>
        <w:t>粗过滤、超声波匀化、微孔过滤</w:t>
      </w:r>
      <w:r>
        <w:rPr>
          <w:rFonts w:ascii="宋体" w:hAnsi="宋体" w:eastAsia="宋体" w:cs="Times New Roman"/>
          <w:color w:val="auto"/>
          <w:spacing w:val="0"/>
          <w:sz w:val="24"/>
          <w:szCs w:val="24"/>
        </w:rPr>
        <w:t>(10μm</w:t>
      </w:r>
      <w:r>
        <w:rPr>
          <w:rFonts w:ascii="宋体" w:hAnsi="宋体" w:eastAsia="宋体" w:cs="PingFang SC"/>
          <w:color w:val="auto"/>
          <w:spacing w:val="0"/>
          <w:sz w:val="24"/>
          <w:szCs w:val="24"/>
        </w:rPr>
        <w:t>以下</w:t>
      </w:r>
      <w:r>
        <w:rPr>
          <w:rFonts w:ascii="宋体" w:hAnsi="宋体" w:eastAsia="宋体" w:cs="Times New Roman"/>
          <w:color w:val="auto"/>
          <w:spacing w:val="0"/>
          <w:sz w:val="24"/>
          <w:szCs w:val="24"/>
        </w:rPr>
        <w:t>)</w:t>
      </w:r>
      <w:r>
        <w:rPr>
          <w:rFonts w:ascii="宋体" w:hAnsi="宋体" w:eastAsia="宋体" w:cs="PingFang SC"/>
          <w:color w:val="auto"/>
          <w:spacing w:val="0"/>
          <w:sz w:val="24"/>
          <w:szCs w:val="24"/>
        </w:rPr>
        <w:t>等方式；</w:t>
      </w:r>
    </w:p>
    <w:p w14:paraId="13527401">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PingFang SC"/>
          <w:color w:val="auto"/>
          <w:spacing w:val="0"/>
          <w:sz w:val="24"/>
          <w:szCs w:val="24"/>
          <w:lang w:val="en-US" w:eastAsia="zh-CN"/>
        </w:rPr>
        <w:t>2.1.11</w:t>
      </w:r>
      <w:r>
        <w:rPr>
          <w:rFonts w:ascii="宋体" w:hAnsi="宋体" w:eastAsia="宋体" w:cs="PingFang SC"/>
          <w:color w:val="auto"/>
          <w:spacing w:val="0"/>
          <w:sz w:val="24"/>
          <w:szCs w:val="24"/>
        </w:rPr>
        <w:t>五参数检测池、预处理装置单元和配水单元等均具有自动清洗功能；</w:t>
      </w:r>
    </w:p>
    <w:p w14:paraId="095145B9">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PingFang SC"/>
          <w:color w:val="auto"/>
          <w:spacing w:val="0"/>
          <w:sz w:val="24"/>
          <w:szCs w:val="24"/>
          <w:lang w:val="en-US" w:eastAsia="zh-CN"/>
        </w:rPr>
        <w:t>2.1.12</w:t>
      </w:r>
      <w:r>
        <w:rPr>
          <w:rFonts w:ascii="宋体" w:hAnsi="宋体" w:eastAsia="宋体" w:cs="PingFang SC"/>
          <w:color w:val="auto"/>
          <w:spacing w:val="0"/>
          <w:sz w:val="24"/>
          <w:szCs w:val="24"/>
        </w:rPr>
        <w:t>具有沉降后上清液浊度自动检测功能；</w:t>
      </w:r>
    </w:p>
    <w:p w14:paraId="2378B65F">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PingFang SC"/>
          <w:color w:val="auto"/>
          <w:spacing w:val="0"/>
          <w:sz w:val="24"/>
          <w:szCs w:val="24"/>
          <w:lang w:val="en-US" w:eastAsia="zh-CN"/>
        </w:rPr>
        <w:t>2.1.13</w:t>
      </w:r>
      <w:r>
        <w:rPr>
          <w:rFonts w:ascii="宋体" w:hAnsi="宋体" w:eastAsia="宋体" w:cs="PingFang SC"/>
          <w:color w:val="auto"/>
          <w:spacing w:val="0"/>
          <w:sz w:val="24"/>
          <w:szCs w:val="24"/>
        </w:rPr>
        <w:t>针对不同分析仪器分别进行水样预处理。</w:t>
      </w:r>
    </w:p>
    <w:p w14:paraId="6FD9F57A">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PingFang SC"/>
          <w:color w:val="auto"/>
          <w:spacing w:val="0"/>
          <w:sz w:val="24"/>
          <w:szCs w:val="24"/>
          <w:lang w:val="en-US" w:eastAsia="zh-CN"/>
        </w:rPr>
        <w:t>2.1.14</w:t>
      </w:r>
      <w:r>
        <w:rPr>
          <w:rFonts w:ascii="宋体" w:hAnsi="宋体" w:eastAsia="宋体" w:cs="PingFang SC"/>
          <w:color w:val="auto"/>
          <w:spacing w:val="0"/>
          <w:sz w:val="24"/>
          <w:szCs w:val="24"/>
        </w:rPr>
        <w:t>系统具备多种沉降模式，可设定沉降时间</w:t>
      </w:r>
      <w:r>
        <w:rPr>
          <w:rFonts w:ascii="宋体" w:hAnsi="宋体" w:eastAsia="宋体" w:cs="Times New Roman"/>
          <w:color w:val="auto"/>
          <w:spacing w:val="0"/>
          <w:sz w:val="24"/>
          <w:szCs w:val="24"/>
        </w:rPr>
        <w:t>(</w:t>
      </w:r>
      <w:r>
        <w:rPr>
          <w:rFonts w:ascii="宋体" w:hAnsi="宋体" w:eastAsia="宋体" w:cs="PingFang SC"/>
          <w:color w:val="auto"/>
          <w:spacing w:val="0"/>
          <w:sz w:val="24"/>
          <w:szCs w:val="24"/>
        </w:rPr>
        <w:t>时间模式</w:t>
      </w:r>
      <w:r>
        <w:rPr>
          <w:rFonts w:ascii="宋体" w:hAnsi="宋体" w:eastAsia="宋体" w:cs="Times New Roman"/>
          <w:color w:val="auto"/>
          <w:spacing w:val="0"/>
          <w:sz w:val="24"/>
          <w:szCs w:val="24"/>
        </w:rPr>
        <w:t>)</w:t>
      </w:r>
      <w:r>
        <w:rPr>
          <w:rFonts w:ascii="宋体" w:hAnsi="宋体" w:eastAsia="宋体" w:cs="PingFang SC"/>
          <w:color w:val="auto"/>
          <w:spacing w:val="0"/>
          <w:sz w:val="24"/>
          <w:szCs w:val="24"/>
        </w:rPr>
        <w:t>，可设定上层水样的浊度预值</w:t>
      </w:r>
      <w:r>
        <w:rPr>
          <w:rFonts w:ascii="宋体" w:hAnsi="宋体" w:eastAsia="宋体" w:cs="Times New Roman"/>
          <w:color w:val="auto"/>
          <w:spacing w:val="0"/>
          <w:sz w:val="24"/>
          <w:szCs w:val="24"/>
        </w:rPr>
        <w:t>(</w:t>
      </w:r>
      <w:r>
        <w:rPr>
          <w:rFonts w:ascii="宋体" w:hAnsi="宋体" w:eastAsia="宋体" w:cs="PingFang SC"/>
          <w:color w:val="auto"/>
          <w:spacing w:val="0"/>
          <w:sz w:val="24"/>
          <w:szCs w:val="24"/>
        </w:rPr>
        <w:t>浊度判断模式</w:t>
      </w:r>
      <w:r>
        <w:rPr>
          <w:rFonts w:ascii="宋体" w:hAnsi="宋体" w:eastAsia="宋体" w:cs="Times New Roman"/>
          <w:color w:val="auto"/>
          <w:spacing w:val="0"/>
          <w:sz w:val="24"/>
          <w:szCs w:val="24"/>
        </w:rPr>
        <w:t>)</w:t>
      </w:r>
      <w:r>
        <w:rPr>
          <w:rFonts w:ascii="宋体" w:hAnsi="宋体" w:eastAsia="宋体" w:cs="PingFang SC"/>
          <w:color w:val="auto"/>
          <w:spacing w:val="0"/>
          <w:sz w:val="24"/>
          <w:szCs w:val="24"/>
        </w:rPr>
        <w:t>，也可根据原水浊度的不同范围智能确定沉降时间</w:t>
      </w:r>
      <w:r>
        <w:rPr>
          <w:rFonts w:ascii="宋体" w:hAnsi="宋体" w:eastAsia="宋体" w:cs="Times New Roman"/>
          <w:color w:val="auto"/>
          <w:spacing w:val="0"/>
          <w:sz w:val="24"/>
          <w:szCs w:val="24"/>
        </w:rPr>
        <w:t>(</w:t>
      </w:r>
      <w:r>
        <w:rPr>
          <w:rFonts w:ascii="宋体" w:hAnsi="宋体" w:eastAsia="宋体" w:cs="PingFang SC"/>
          <w:color w:val="auto"/>
          <w:spacing w:val="0"/>
          <w:sz w:val="24"/>
          <w:szCs w:val="24"/>
        </w:rPr>
        <w:t>智能模式</w:t>
      </w:r>
      <w:r>
        <w:rPr>
          <w:rFonts w:ascii="宋体" w:hAnsi="宋体" w:eastAsia="宋体" w:cs="Times New Roman"/>
          <w:color w:val="auto"/>
          <w:spacing w:val="0"/>
          <w:sz w:val="24"/>
          <w:szCs w:val="24"/>
        </w:rPr>
        <w:t>)</w:t>
      </w:r>
      <w:r>
        <w:rPr>
          <w:rFonts w:ascii="宋体" w:hAnsi="宋体" w:eastAsia="宋体" w:cs="PingFang SC"/>
          <w:color w:val="auto"/>
          <w:spacing w:val="0"/>
          <w:sz w:val="24"/>
          <w:szCs w:val="24"/>
        </w:rPr>
        <w:t>；</w:t>
      </w:r>
    </w:p>
    <w:p w14:paraId="188BB9CD">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PingFang SC"/>
          <w:color w:val="auto"/>
          <w:spacing w:val="0"/>
          <w:sz w:val="24"/>
          <w:szCs w:val="24"/>
          <w:lang w:val="en-US" w:eastAsia="zh-CN"/>
        </w:rPr>
        <w:t>2.1.15</w:t>
      </w:r>
      <w:r>
        <w:rPr>
          <w:rFonts w:ascii="宋体" w:hAnsi="宋体" w:eastAsia="宋体" w:cs="PingFang SC"/>
          <w:color w:val="auto"/>
          <w:spacing w:val="0"/>
          <w:sz w:val="24"/>
          <w:szCs w:val="24"/>
        </w:rPr>
        <w:t>采用自动换膜过滤装置，可自动更换过滤膜，在满足重金属等过滤参数的同时还能方便维护，节约人力物力成本。</w:t>
      </w:r>
    </w:p>
    <w:p w14:paraId="783AB362">
      <w:pPr>
        <w:keepNext w:val="0"/>
        <w:keepLines w:val="0"/>
        <w:pageBreakBefore w:val="0"/>
        <w:widowControl w:val="0"/>
        <w:spacing w:line="360" w:lineRule="auto"/>
        <w:ind w:left="0" w:right="0" w:firstLine="480"/>
        <w:jc w:val="left"/>
        <w:rPr>
          <w:rFonts w:ascii="宋体" w:hAnsi="宋体" w:eastAsia="宋体" w:cs="PingFang SC"/>
          <w:b w:val="0"/>
          <w:bCs w:val="0"/>
          <w:color w:val="auto"/>
          <w:spacing w:val="0"/>
          <w:sz w:val="24"/>
          <w:szCs w:val="24"/>
        </w:rPr>
      </w:pPr>
      <w:r>
        <w:rPr>
          <w:rFonts w:ascii="宋体" w:hAnsi="宋体" w:eastAsia="宋体" w:cs="华文宋体"/>
          <w:b w:val="0"/>
          <w:bCs w:val="0"/>
          <w:color w:val="auto"/>
          <w:spacing w:val="0"/>
          <w:sz w:val="24"/>
          <w:szCs w:val="24"/>
        </w:rPr>
        <w:t>2.2</w:t>
      </w:r>
      <w:r>
        <w:rPr>
          <w:rFonts w:ascii="宋体" w:hAnsi="宋体" w:eastAsia="宋体" w:cs="PingFang SC"/>
          <w:b w:val="0"/>
          <w:bCs w:val="0"/>
          <w:color w:val="auto"/>
          <w:spacing w:val="0"/>
          <w:sz w:val="24"/>
          <w:szCs w:val="24"/>
        </w:rPr>
        <w:t>控制单元</w:t>
      </w:r>
    </w:p>
    <w:p w14:paraId="543B4512">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ascii="宋体" w:hAnsi="宋体" w:eastAsia="宋体" w:cs="PingFang SC"/>
          <w:color w:val="auto"/>
          <w:spacing w:val="0"/>
          <w:sz w:val="24"/>
          <w:szCs w:val="24"/>
        </w:rPr>
        <w:t>控制单元对采水单元、配水及预处理单元、分析单元、留样单元、辅助单元及视频单元进行控制，并实现数据采集与传输功能，保证系统连续、可靠和安全运行。</w:t>
      </w:r>
    </w:p>
    <w:p w14:paraId="36B9B6AD">
      <w:pPr>
        <w:keepNext w:val="0"/>
        <w:keepLines w:val="0"/>
        <w:pageBreakBefore w:val="0"/>
        <w:widowControl w:val="0"/>
        <w:spacing w:line="360" w:lineRule="auto"/>
        <w:ind w:left="0" w:right="0" w:firstLine="480"/>
        <w:jc w:val="left"/>
        <w:rPr>
          <w:rFonts w:ascii="宋体" w:hAnsi="宋体" w:eastAsia="宋体" w:cs="PingFang SC"/>
          <w:b w:val="0"/>
          <w:bCs w:val="0"/>
          <w:color w:val="auto"/>
          <w:spacing w:val="0"/>
          <w:sz w:val="24"/>
          <w:szCs w:val="24"/>
        </w:rPr>
      </w:pPr>
      <w:r>
        <w:rPr>
          <w:rFonts w:ascii="宋体" w:hAnsi="宋体" w:eastAsia="宋体" w:cs="华文宋体"/>
          <w:b w:val="0"/>
          <w:bCs w:val="0"/>
          <w:color w:val="auto"/>
          <w:spacing w:val="0"/>
          <w:sz w:val="24"/>
          <w:szCs w:val="24"/>
        </w:rPr>
        <w:t>2.2.1</w:t>
      </w:r>
      <w:r>
        <w:rPr>
          <w:rFonts w:ascii="宋体" w:hAnsi="宋体" w:eastAsia="宋体" w:cs="PingFang SC"/>
          <w:b w:val="0"/>
          <w:bCs w:val="0"/>
          <w:color w:val="auto"/>
          <w:spacing w:val="0"/>
          <w:sz w:val="24"/>
          <w:szCs w:val="24"/>
        </w:rPr>
        <w:t>功能要求</w:t>
      </w:r>
    </w:p>
    <w:p w14:paraId="0BE62770">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bookmarkStart w:id="344" w:name="bookmark42"/>
      <w:bookmarkEnd w:id="344"/>
      <w:r>
        <w:rPr>
          <w:rFonts w:hint="eastAsia" w:ascii="宋体" w:hAnsi="宋体" w:cs="PingFang SC"/>
          <w:color w:val="auto"/>
          <w:spacing w:val="0"/>
          <w:sz w:val="24"/>
          <w:szCs w:val="24"/>
          <w:lang w:val="en-US" w:eastAsia="zh-CN"/>
        </w:rPr>
        <w:t>2.2.1.1</w:t>
      </w:r>
      <w:r>
        <w:rPr>
          <w:rFonts w:ascii="宋体" w:hAnsi="宋体" w:eastAsia="宋体" w:cs="PingFang SC"/>
          <w:color w:val="auto"/>
          <w:spacing w:val="0"/>
          <w:sz w:val="24"/>
          <w:szCs w:val="24"/>
        </w:rPr>
        <w:t>具有断电保护功能，能够在断电时保存系统参数和历史数据，在来电时自动恢复系统；</w:t>
      </w:r>
    </w:p>
    <w:p w14:paraId="1684A754">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PingFang SC"/>
          <w:color w:val="auto"/>
          <w:spacing w:val="0"/>
          <w:sz w:val="24"/>
          <w:szCs w:val="24"/>
          <w:lang w:val="en-US" w:eastAsia="zh-CN"/>
        </w:rPr>
        <w:t>2.2.1.2</w:t>
      </w:r>
      <w:r>
        <w:rPr>
          <w:rFonts w:ascii="宋体" w:hAnsi="宋体" w:eastAsia="宋体" w:cs="PingFang SC"/>
          <w:color w:val="auto"/>
          <w:spacing w:val="0"/>
          <w:sz w:val="24"/>
          <w:szCs w:val="24"/>
        </w:rPr>
        <w:t>具备自动采集数据功能，包括自动采集水质自动分析仪器数据、集成控制数据等，采集的数据应自动添加数据标识，异常监测数据能自动识别，并主动上传至中心平台；</w:t>
      </w:r>
    </w:p>
    <w:p w14:paraId="1201E784">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Times New Roman"/>
          <w:color w:val="auto"/>
          <w:spacing w:val="0"/>
          <w:sz w:val="24"/>
          <w:szCs w:val="24"/>
          <w:lang w:eastAsia="zh-CN"/>
        </w:rPr>
        <w:t>▲</w:t>
      </w:r>
      <w:r>
        <w:rPr>
          <w:rFonts w:hint="eastAsia" w:ascii="宋体" w:hAnsi="宋体" w:cs="PingFang SC"/>
          <w:color w:val="auto"/>
          <w:spacing w:val="0"/>
          <w:sz w:val="24"/>
          <w:szCs w:val="24"/>
          <w:lang w:val="en-US" w:eastAsia="zh-CN"/>
        </w:rPr>
        <w:t>2.2.1.3</w:t>
      </w:r>
      <w:r>
        <w:rPr>
          <w:rFonts w:ascii="宋体" w:hAnsi="宋体" w:eastAsia="宋体" w:cs="PingFang SC"/>
          <w:color w:val="auto"/>
          <w:spacing w:val="0"/>
          <w:sz w:val="24"/>
          <w:szCs w:val="24"/>
        </w:rPr>
        <w:t>具有工控机软关机功能，即断电后</w:t>
      </w:r>
      <w:r>
        <w:rPr>
          <w:rFonts w:ascii="宋体" w:hAnsi="宋体" w:eastAsia="宋体" w:cs="Times New Roman"/>
          <w:color w:val="auto"/>
          <w:spacing w:val="0"/>
          <w:sz w:val="24"/>
          <w:szCs w:val="24"/>
        </w:rPr>
        <w:t>UPS</w:t>
      </w:r>
      <w:r>
        <w:rPr>
          <w:rFonts w:ascii="宋体" w:hAnsi="宋体" w:eastAsia="宋体" w:cs="PingFang SC"/>
          <w:color w:val="auto"/>
          <w:spacing w:val="0"/>
          <w:sz w:val="24"/>
          <w:szCs w:val="24"/>
        </w:rPr>
        <w:t>电量耗完前，基站软件触发操作系统正常关机，以防止强制断电造成的硬盘损坏或数据库损坏；</w:t>
      </w:r>
    </w:p>
    <w:p w14:paraId="51C677AA">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PingFang SC"/>
          <w:color w:val="auto"/>
          <w:spacing w:val="0"/>
          <w:sz w:val="24"/>
          <w:szCs w:val="24"/>
          <w:lang w:val="en-US" w:eastAsia="zh-CN"/>
        </w:rPr>
        <w:t>2.2.1.4</w:t>
      </w:r>
      <w:r>
        <w:rPr>
          <w:rFonts w:ascii="宋体" w:hAnsi="宋体" w:eastAsia="宋体" w:cs="PingFang SC"/>
          <w:color w:val="auto"/>
          <w:spacing w:val="0"/>
          <w:sz w:val="24"/>
          <w:szCs w:val="24"/>
        </w:rPr>
        <w:t>具备单点控制功能，能够对单一控制点（阀、泵等）进行调试；</w:t>
      </w:r>
    </w:p>
    <w:p w14:paraId="5996F273">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PingFang SC"/>
          <w:color w:val="auto"/>
          <w:spacing w:val="0"/>
          <w:sz w:val="24"/>
          <w:szCs w:val="24"/>
          <w:lang w:val="en-US" w:eastAsia="zh-CN"/>
        </w:rPr>
        <w:t>2.2.1.5</w:t>
      </w:r>
      <w:r>
        <w:rPr>
          <w:rFonts w:ascii="宋体" w:hAnsi="宋体" w:eastAsia="宋体" w:cs="PingFang SC"/>
          <w:color w:val="auto"/>
          <w:spacing w:val="0"/>
          <w:sz w:val="24"/>
          <w:szCs w:val="24"/>
        </w:rPr>
        <w:t>具备对自动分析仪器的启停、校时、校准、质控测试等控制功能；</w:t>
      </w:r>
    </w:p>
    <w:p w14:paraId="0C9DAD11">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PingFang SC"/>
          <w:color w:val="auto"/>
          <w:spacing w:val="0"/>
          <w:sz w:val="24"/>
          <w:szCs w:val="24"/>
          <w:lang w:val="en-US" w:eastAsia="zh-CN"/>
        </w:rPr>
        <w:t>2.2.1.6</w:t>
      </w:r>
      <w:r>
        <w:rPr>
          <w:rFonts w:ascii="宋体" w:hAnsi="宋体" w:eastAsia="宋体" w:cs="PingFang SC"/>
          <w:color w:val="auto"/>
          <w:spacing w:val="0"/>
          <w:sz w:val="24"/>
          <w:szCs w:val="24"/>
        </w:rPr>
        <w:t>具备对留样单元的留样、排样的控制功能；</w:t>
      </w:r>
    </w:p>
    <w:p w14:paraId="67386EF2">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PingFang SC"/>
          <w:color w:val="auto"/>
          <w:spacing w:val="0"/>
          <w:sz w:val="24"/>
          <w:szCs w:val="24"/>
          <w:lang w:val="en-US" w:eastAsia="zh-CN"/>
        </w:rPr>
        <w:t>2.2.1.7</w:t>
      </w:r>
      <w:r>
        <w:rPr>
          <w:rFonts w:ascii="宋体" w:hAnsi="宋体" w:eastAsia="宋体" w:cs="PingFang SC"/>
          <w:color w:val="auto"/>
          <w:spacing w:val="0"/>
          <w:sz w:val="24"/>
          <w:szCs w:val="24"/>
        </w:rPr>
        <w:t>能够兼容视频监控设备并能实现对视频设备进行校时、重新启动、参数设置、软件升级、远程维护等功能；</w:t>
      </w:r>
    </w:p>
    <w:p w14:paraId="5ADC5C22">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PingFang SC"/>
          <w:color w:val="auto"/>
          <w:spacing w:val="0"/>
          <w:sz w:val="24"/>
          <w:szCs w:val="24"/>
          <w:lang w:val="en-US" w:eastAsia="zh-CN"/>
        </w:rPr>
        <w:t>2.2.1.8</w:t>
      </w:r>
      <w:r>
        <w:rPr>
          <w:rFonts w:ascii="宋体" w:hAnsi="宋体" w:eastAsia="宋体" w:cs="PingFang SC"/>
          <w:color w:val="auto"/>
          <w:spacing w:val="0"/>
          <w:sz w:val="24"/>
          <w:szCs w:val="24"/>
        </w:rPr>
        <w:t>具备参数设置功能，能够对小数位、单位、仪器测定上下限、报警（超标）上下限等参数进行设置；</w:t>
      </w:r>
    </w:p>
    <w:p w14:paraId="1D1DAF05">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PingFang SC"/>
          <w:color w:val="auto"/>
          <w:spacing w:val="0"/>
          <w:sz w:val="24"/>
          <w:szCs w:val="24"/>
          <w:lang w:val="en-US" w:eastAsia="zh-CN"/>
        </w:rPr>
        <w:t>2.2.1.9</w:t>
      </w:r>
      <w:r>
        <w:rPr>
          <w:rFonts w:ascii="宋体" w:hAnsi="宋体" w:eastAsia="宋体" w:cs="PingFang SC"/>
          <w:color w:val="auto"/>
          <w:spacing w:val="0"/>
          <w:sz w:val="24"/>
          <w:szCs w:val="24"/>
        </w:rPr>
        <w:t>具备各仪器监测结果、状态参数、运行流程、报警信息等显示的功能；</w:t>
      </w:r>
    </w:p>
    <w:p w14:paraId="0193037E">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PingFang SC"/>
          <w:color w:val="auto"/>
          <w:spacing w:val="0"/>
          <w:sz w:val="24"/>
          <w:szCs w:val="24"/>
          <w:lang w:val="en-US" w:eastAsia="zh-CN"/>
        </w:rPr>
        <w:t>2.2.1.10</w:t>
      </w:r>
      <w:r>
        <w:rPr>
          <w:rFonts w:ascii="宋体" w:hAnsi="宋体" w:eastAsia="宋体" w:cs="PingFang SC"/>
          <w:color w:val="auto"/>
          <w:spacing w:val="0"/>
          <w:sz w:val="24"/>
          <w:szCs w:val="24"/>
        </w:rPr>
        <w:t>具有监测数据查询、导出、自动备份功能，可分类查询水质周期数据、质控数据（空白测试数据、标样核查数据、加标回收率数据等）及其对应的仪器、系统日志流程信息。</w:t>
      </w:r>
    </w:p>
    <w:p w14:paraId="161E7A1C">
      <w:pPr>
        <w:keepNext w:val="0"/>
        <w:keepLines w:val="0"/>
        <w:pageBreakBefore w:val="0"/>
        <w:widowControl w:val="0"/>
        <w:spacing w:line="360" w:lineRule="auto"/>
        <w:ind w:left="0" w:right="0" w:firstLine="480"/>
        <w:jc w:val="left"/>
        <w:rPr>
          <w:rFonts w:ascii="宋体" w:hAnsi="宋体" w:eastAsia="宋体" w:cs="PingFang SC"/>
          <w:b w:val="0"/>
          <w:bCs w:val="0"/>
          <w:color w:val="auto"/>
          <w:spacing w:val="0"/>
          <w:sz w:val="24"/>
          <w:szCs w:val="24"/>
        </w:rPr>
      </w:pPr>
      <w:r>
        <w:rPr>
          <w:rFonts w:ascii="宋体" w:hAnsi="宋体" w:eastAsia="宋体" w:cs="华文宋体"/>
          <w:b w:val="0"/>
          <w:bCs w:val="0"/>
          <w:color w:val="auto"/>
          <w:spacing w:val="0"/>
          <w:sz w:val="24"/>
          <w:szCs w:val="24"/>
        </w:rPr>
        <w:t>2.2.2</w:t>
      </w:r>
      <w:r>
        <w:rPr>
          <w:rFonts w:ascii="宋体" w:hAnsi="宋体" w:eastAsia="宋体" w:cs="PingFang SC"/>
          <w:b w:val="0"/>
          <w:bCs w:val="0"/>
          <w:color w:val="auto"/>
          <w:spacing w:val="0"/>
          <w:sz w:val="24"/>
          <w:szCs w:val="24"/>
        </w:rPr>
        <w:t>硬件设备技术参数</w:t>
      </w:r>
    </w:p>
    <w:p w14:paraId="7E1E775F">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PingFang SC"/>
          <w:color w:val="auto"/>
          <w:spacing w:val="0"/>
          <w:sz w:val="24"/>
          <w:szCs w:val="24"/>
          <w:lang w:val="en-US" w:eastAsia="zh-CN"/>
        </w:rPr>
        <w:t>2.2.2.1</w:t>
      </w:r>
      <w:r>
        <w:rPr>
          <w:rFonts w:ascii="宋体" w:hAnsi="宋体" w:eastAsia="宋体" w:cs="PingFang SC"/>
          <w:color w:val="auto"/>
          <w:spacing w:val="0"/>
          <w:sz w:val="24"/>
          <w:szCs w:val="24"/>
        </w:rPr>
        <w:t>工业控制计算机</w:t>
      </w:r>
    </w:p>
    <w:tbl>
      <w:tblPr>
        <w:tblStyle w:val="29"/>
        <w:tblW w:w="9138" w:type="dxa"/>
        <w:tblInd w:w="42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080"/>
        <w:gridCol w:w="1920"/>
        <w:gridCol w:w="6138"/>
      </w:tblGrid>
      <w:tr w14:paraId="76299C2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57" w:hRule="atLeast"/>
        </w:trPr>
        <w:tc>
          <w:tcPr>
            <w:tcW w:w="1080" w:type="dxa"/>
            <w:noWrap w:val="0"/>
            <w:vAlign w:val="top"/>
          </w:tcPr>
          <w:p w14:paraId="218B224D">
            <w:pPr>
              <w:keepNext w:val="0"/>
              <w:keepLines w:val="0"/>
              <w:pageBreakBefore w:val="0"/>
              <w:widowControl w:val="0"/>
              <w:spacing w:before="0" w:line="360" w:lineRule="auto"/>
              <w:ind w:left="0" w:right="0" w:firstLine="482"/>
              <w:jc w:val="left"/>
              <w:rPr>
                <w:rFonts w:hint="default" w:ascii="宋体" w:hAnsi="宋体" w:eastAsia="宋体" w:cs="PingFang SC"/>
                <w:color w:val="auto"/>
                <w:spacing w:val="0"/>
                <w:sz w:val="24"/>
                <w:szCs w:val="24"/>
                <w:lang w:val="en-US" w:eastAsia="en-US" w:bidi="ar-SA"/>
              </w:rPr>
            </w:pPr>
            <w:r>
              <w:rPr>
                <w:rFonts w:hint="default" w:ascii="宋体" w:hAnsi="宋体" w:eastAsia="宋体" w:cs="PingFang SC"/>
                <w:b/>
                <w:bCs/>
                <w:color w:val="auto"/>
                <w:spacing w:val="0"/>
                <w:sz w:val="24"/>
                <w:szCs w:val="24"/>
                <w:lang w:val="en-US" w:eastAsia="en-US" w:bidi="ar-SA"/>
              </w:rPr>
              <w:t>序号</w:t>
            </w:r>
          </w:p>
        </w:tc>
        <w:tc>
          <w:tcPr>
            <w:tcW w:w="1920" w:type="dxa"/>
            <w:noWrap w:val="0"/>
            <w:vAlign w:val="top"/>
          </w:tcPr>
          <w:p w14:paraId="454A7A00">
            <w:pPr>
              <w:keepNext w:val="0"/>
              <w:keepLines w:val="0"/>
              <w:pageBreakBefore w:val="0"/>
              <w:widowControl w:val="0"/>
              <w:spacing w:before="0" w:line="360" w:lineRule="auto"/>
              <w:ind w:left="0" w:right="0" w:firstLine="482"/>
              <w:jc w:val="left"/>
              <w:rPr>
                <w:rFonts w:hint="default" w:ascii="宋体" w:hAnsi="宋体" w:eastAsia="宋体" w:cs="PingFang SC"/>
                <w:color w:val="auto"/>
                <w:spacing w:val="0"/>
                <w:sz w:val="24"/>
                <w:szCs w:val="24"/>
                <w:lang w:val="en-US" w:eastAsia="en-US" w:bidi="ar-SA"/>
              </w:rPr>
            </w:pPr>
            <w:r>
              <w:rPr>
                <w:rFonts w:hint="default" w:ascii="宋体" w:hAnsi="宋体" w:eastAsia="宋体" w:cs="PingFang SC"/>
                <w:b/>
                <w:bCs/>
                <w:color w:val="auto"/>
                <w:spacing w:val="0"/>
                <w:sz w:val="24"/>
                <w:szCs w:val="24"/>
                <w:lang w:val="en-US" w:eastAsia="en-US" w:bidi="ar-SA"/>
              </w:rPr>
              <w:t>指标名称</w:t>
            </w:r>
          </w:p>
        </w:tc>
        <w:tc>
          <w:tcPr>
            <w:tcW w:w="6138" w:type="dxa"/>
            <w:noWrap w:val="0"/>
            <w:vAlign w:val="top"/>
          </w:tcPr>
          <w:p w14:paraId="2FA8E0AA">
            <w:pPr>
              <w:keepNext w:val="0"/>
              <w:keepLines w:val="0"/>
              <w:pageBreakBefore w:val="0"/>
              <w:widowControl w:val="0"/>
              <w:spacing w:before="0" w:line="360" w:lineRule="auto"/>
              <w:ind w:left="0" w:right="0" w:firstLine="482"/>
              <w:jc w:val="left"/>
              <w:rPr>
                <w:rFonts w:hint="default" w:ascii="宋体" w:hAnsi="宋体" w:eastAsia="宋体" w:cs="PingFang SC"/>
                <w:color w:val="auto"/>
                <w:spacing w:val="0"/>
                <w:sz w:val="24"/>
                <w:szCs w:val="24"/>
                <w:lang w:val="en-US" w:eastAsia="en-US" w:bidi="ar-SA"/>
              </w:rPr>
            </w:pPr>
            <w:r>
              <w:rPr>
                <w:rFonts w:hint="default" w:ascii="宋体" w:hAnsi="宋体" w:eastAsia="宋体" w:cs="PingFang SC"/>
                <w:b/>
                <w:bCs/>
                <w:color w:val="auto"/>
                <w:spacing w:val="0"/>
                <w:sz w:val="24"/>
                <w:szCs w:val="24"/>
                <w:lang w:val="en-US" w:eastAsia="en-US" w:bidi="ar-SA"/>
              </w:rPr>
              <w:t>性能指标</w:t>
            </w:r>
          </w:p>
        </w:tc>
      </w:tr>
      <w:tr w14:paraId="6D41456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64" w:hRule="atLeast"/>
        </w:trPr>
        <w:tc>
          <w:tcPr>
            <w:tcW w:w="1080" w:type="dxa"/>
            <w:noWrap w:val="0"/>
            <w:vAlign w:val="top"/>
          </w:tcPr>
          <w:p w14:paraId="23AF07A9">
            <w:pPr>
              <w:keepNext w:val="0"/>
              <w:keepLines w:val="0"/>
              <w:pageBreakBefore w:val="0"/>
              <w:widowControl w:val="0"/>
              <w:spacing w:line="360" w:lineRule="auto"/>
              <w:ind w:left="0" w:right="0" w:firstLine="480"/>
              <w:jc w:val="left"/>
              <w:rPr>
                <w:rFonts w:ascii="宋体" w:hAnsi="宋体" w:eastAsia="宋体" w:cs="Times New Roman"/>
                <w:color w:val="auto"/>
                <w:spacing w:val="0"/>
                <w:sz w:val="24"/>
                <w:szCs w:val="24"/>
              </w:rPr>
            </w:pPr>
            <w:r>
              <w:rPr>
                <w:rFonts w:ascii="宋体" w:hAnsi="宋体" w:eastAsia="宋体" w:cs="Times New Roman"/>
                <w:color w:val="auto"/>
                <w:spacing w:val="0"/>
                <w:sz w:val="24"/>
                <w:szCs w:val="24"/>
              </w:rPr>
              <w:t>1</w:t>
            </w:r>
          </w:p>
        </w:tc>
        <w:tc>
          <w:tcPr>
            <w:tcW w:w="1920" w:type="dxa"/>
            <w:noWrap w:val="0"/>
            <w:vAlign w:val="top"/>
          </w:tcPr>
          <w:p w14:paraId="24D41BD2">
            <w:pPr>
              <w:keepNext w:val="0"/>
              <w:keepLines w:val="0"/>
              <w:pageBreakBefore w:val="0"/>
              <w:widowControl w:val="0"/>
              <w:spacing w:line="360" w:lineRule="auto"/>
              <w:ind w:left="0" w:right="0" w:firstLine="480"/>
              <w:jc w:val="left"/>
              <w:rPr>
                <w:rFonts w:ascii="宋体" w:hAnsi="宋体" w:eastAsia="宋体" w:cs="Times New Roman"/>
                <w:color w:val="auto"/>
                <w:spacing w:val="0"/>
                <w:sz w:val="24"/>
                <w:szCs w:val="24"/>
              </w:rPr>
            </w:pPr>
            <w:r>
              <w:rPr>
                <w:rFonts w:ascii="宋体" w:hAnsi="宋体" w:eastAsia="宋体" w:cs="Times New Roman"/>
                <w:color w:val="auto"/>
                <w:spacing w:val="0"/>
                <w:sz w:val="24"/>
                <w:szCs w:val="24"/>
              </w:rPr>
              <w:t>CPU</w:t>
            </w:r>
          </w:p>
        </w:tc>
        <w:tc>
          <w:tcPr>
            <w:tcW w:w="6138" w:type="dxa"/>
            <w:noWrap w:val="0"/>
            <w:vAlign w:val="top"/>
          </w:tcPr>
          <w:p w14:paraId="783B130A">
            <w:pPr>
              <w:keepNext w:val="0"/>
              <w:keepLines w:val="0"/>
              <w:pageBreakBefore w:val="0"/>
              <w:widowControl w:val="0"/>
              <w:spacing w:line="360" w:lineRule="auto"/>
              <w:ind w:left="0" w:right="0" w:firstLine="480"/>
              <w:jc w:val="left"/>
              <w:rPr>
                <w:rFonts w:ascii="宋体" w:hAnsi="宋体" w:eastAsia="宋体" w:cs="Times New Roman"/>
                <w:color w:val="auto"/>
                <w:spacing w:val="0"/>
                <w:sz w:val="24"/>
                <w:szCs w:val="24"/>
              </w:rPr>
            </w:pPr>
            <w:r>
              <w:rPr>
                <w:rFonts w:ascii="宋体" w:hAnsi="宋体" w:eastAsia="宋体" w:cs="Times New Roman"/>
                <w:color w:val="auto"/>
                <w:spacing w:val="0"/>
                <w:sz w:val="24"/>
                <w:szCs w:val="24"/>
              </w:rPr>
              <w:t>≥2.0GHz</w:t>
            </w:r>
          </w:p>
        </w:tc>
      </w:tr>
      <w:tr w14:paraId="5E6A7E5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55" w:hRule="atLeast"/>
        </w:trPr>
        <w:tc>
          <w:tcPr>
            <w:tcW w:w="1080" w:type="dxa"/>
            <w:noWrap w:val="0"/>
            <w:vAlign w:val="top"/>
          </w:tcPr>
          <w:p w14:paraId="4F851E64">
            <w:pPr>
              <w:keepNext w:val="0"/>
              <w:keepLines w:val="0"/>
              <w:pageBreakBefore w:val="0"/>
              <w:widowControl w:val="0"/>
              <w:spacing w:line="360" w:lineRule="auto"/>
              <w:ind w:left="0" w:right="0" w:firstLine="480"/>
              <w:jc w:val="left"/>
              <w:rPr>
                <w:rFonts w:ascii="宋体" w:hAnsi="宋体" w:eastAsia="宋体" w:cs="Times New Roman"/>
                <w:color w:val="auto"/>
                <w:spacing w:val="0"/>
                <w:sz w:val="24"/>
                <w:szCs w:val="24"/>
              </w:rPr>
            </w:pPr>
            <w:r>
              <w:rPr>
                <w:rFonts w:ascii="宋体" w:hAnsi="宋体" w:eastAsia="宋体" w:cs="Times New Roman"/>
                <w:color w:val="auto"/>
                <w:spacing w:val="0"/>
                <w:sz w:val="24"/>
                <w:szCs w:val="24"/>
              </w:rPr>
              <w:t>2</w:t>
            </w:r>
          </w:p>
        </w:tc>
        <w:tc>
          <w:tcPr>
            <w:tcW w:w="1920" w:type="dxa"/>
            <w:noWrap w:val="0"/>
            <w:vAlign w:val="top"/>
          </w:tcPr>
          <w:p w14:paraId="25ADAA23">
            <w:pPr>
              <w:keepNext w:val="0"/>
              <w:keepLines w:val="0"/>
              <w:pageBreakBefore w:val="0"/>
              <w:widowControl w:val="0"/>
              <w:spacing w:before="0" w:line="360" w:lineRule="auto"/>
              <w:ind w:left="0" w:right="0" w:firstLine="480"/>
              <w:jc w:val="left"/>
              <w:rPr>
                <w:rFonts w:hint="default" w:ascii="宋体" w:hAnsi="宋体" w:eastAsia="宋体" w:cs="PingFang SC"/>
                <w:color w:val="auto"/>
                <w:spacing w:val="0"/>
                <w:sz w:val="24"/>
                <w:szCs w:val="24"/>
                <w:lang w:val="en-US" w:eastAsia="en-US" w:bidi="ar-SA"/>
              </w:rPr>
            </w:pPr>
            <w:r>
              <w:rPr>
                <w:rFonts w:hint="default" w:ascii="宋体" w:hAnsi="宋体" w:eastAsia="宋体" w:cs="PingFang SC"/>
                <w:color w:val="auto"/>
                <w:spacing w:val="0"/>
                <w:sz w:val="24"/>
                <w:szCs w:val="24"/>
                <w:lang w:val="en-US" w:eastAsia="en-US" w:bidi="ar-SA"/>
              </w:rPr>
              <w:t>内存</w:t>
            </w:r>
          </w:p>
        </w:tc>
        <w:tc>
          <w:tcPr>
            <w:tcW w:w="6138" w:type="dxa"/>
            <w:noWrap w:val="0"/>
            <w:vAlign w:val="top"/>
          </w:tcPr>
          <w:p w14:paraId="52DD54DE">
            <w:pPr>
              <w:keepNext w:val="0"/>
              <w:keepLines w:val="0"/>
              <w:pageBreakBefore w:val="0"/>
              <w:widowControl w:val="0"/>
              <w:spacing w:line="360" w:lineRule="auto"/>
              <w:ind w:left="0" w:right="0" w:firstLine="480"/>
              <w:jc w:val="left"/>
              <w:rPr>
                <w:rFonts w:ascii="宋体" w:hAnsi="宋体" w:eastAsia="宋体" w:cs="Times New Roman"/>
                <w:color w:val="auto"/>
                <w:spacing w:val="0"/>
                <w:sz w:val="24"/>
                <w:szCs w:val="24"/>
              </w:rPr>
            </w:pPr>
            <w:r>
              <w:rPr>
                <w:rFonts w:ascii="宋体" w:hAnsi="宋体" w:eastAsia="宋体" w:cs="Times New Roman"/>
                <w:color w:val="auto"/>
                <w:spacing w:val="0"/>
                <w:sz w:val="24"/>
                <w:szCs w:val="24"/>
              </w:rPr>
              <w:t>≥2GB</w:t>
            </w:r>
          </w:p>
        </w:tc>
      </w:tr>
      <w:tr w14:paraId="1FFC0E5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55" w:hRule="atLeast"/>
        </w:trPr>
        <w:tc>
          <w:tcPr>
            <w:tcW w:w="1080" w:type="dxa"/>
            <w:noWrap w:val="0"/>
            <w:vAlign w:val="top"/>
          </w:tcPr>
          <w:p w14:paraId="1A02215F">
            <w:pPr>
              <w:keepNext w:val="0"/>
              <w:keepLines w:val="0"/>
              <w:pageBreakBefore w:val="0"/>
              <w:widowControl w:val="0"/>
              <w:spacing w:line="360" w:lineRule="auto"/>
              <w:ind w:left="0" w:right="0" w:firstLine="480"/>
              <w:jc w:val="left"/>
              <w:rPr>
                <w:rFonts w:ascii="宋体" w:hAnsi="宋体" w:eastAsia="宋体" w:cs="Times New Roman"/>
                <w:color w:val="auto"/>
                <w:spacing w:val="0"/>
                <w:sz w:val="24"/>
                <w:szCs w:val="24"/>
              </w:rPr>
            </w:pPr>
            <w:r>
              <w:rPr>
                <w:rFonts w:ascii="宋体" w:hAnsi="宋体" w:eastAsia="宋体" w:cs="Times New Roman"/>
                <w:color w:val="auto"/>
                <w:spacing w:val="0"/>
                <w:sz w:val="24"/>
                <w:szCs w:val="24"/>
              </w:rPr>
              <w:t>3</w:t>
            </w:r>
          </w:p>
        </w:tc>
        <w:tc>
          <w:tcPr>
            <w:tcW w:w="1920" w:type="dxa"/>
            <w:noWrap w:val="0"/>
            <w:vAlign w:val="top"/>
          </w:tcPr>
          <w:p w14:paraId="68973FF3">
            <w:pPr>
              <w:keepNext w:val="0"/>
              <w:keepLines w:val="0"/>
              <w:pageBreakBefore w:val="0"/>
              <w:widowControl w:val="0"/>
              <w:spacing w:before="0" w:line="360" w:lineRule="auto"/>
              <w:ind w:left="0" w:right="0" w:firstLine="480"/>
              <w:jc w:val="left"/>
              <w:rPr>
                <w:rFonts w:hint="default" w:ascii="宋体" w:hAnsi="宋体" w:eastAsia="宋体" w:cs="PingFang SC"/>
                <w:color w:val="auto"/>
                <w:spacing w:val="0"/>
                <w:sz w:val="24"/>
                <w:szCs w:val="24"/>
                <w:lang w:val="en-US" w:eastAsia="en-US" w:bidi="ar-SA"/>
              </w:rPr>
            </w:pPr>
            <w:r>
              <w:rPr>
                <w:rFonts w:hint="default" w:ascii="宋体" w:hAnsi="宋体" w:eastAsia="宋体" w:cs="PingFang SC"/>
                <w:color w:val="auto"/>
                <w:spacing w:val="0"/>
                <w:sz w:val="24"/>
                <w:szCs w:val="24"/>
                <w:lang w:val="en-US" w:eastAsia="en-US" w:bidi="ar-SA"/>
              </w:rPr>
              <w:t>硬盘容量</w:t>
            </w:r>
          </w:p>
        </w:tc>
        <w:tc>
          <w:tcPr>
            <w:tcW w:w="6138" w:type="dxa"/>
            <w:noWrap w:val="0"/>
            <w:vAlign w:val="top"/>
          </w:tcPr>
          <w:p w14:paraId="723BA171">
            <w:pPr>
              <w:keepNext w:val="0"/>
              <w:keepLines w:val="0"/>
              <w:pageBreakBefore w:val="0"/>
              <w:widowControl w:val="0"/>
              <w:spacing w:line="360" w:lineRule="auto"/>
              <w:ind w:left="0" w:right="0" w:firstLine="480"/>
              <w:jc w:val="left"/>
              <w:rPr>
                <w:rFonts w:ascii="宋体" w:hAnsi="宋体" w:eastAsia="宋体" w:cs="Times New Roman"/>
                <w:color w:val="auto"/>
                <w:spacing w:val="0"/>
                <w:sz w:val="24"/>
                <w:szCs w:val="24"/>
              </w:rPr>
            </w:pPr>
            <w:r>
              <w:rPr>
                <w:rFonts w:ascii="宋体" w:hAnsi="宋体" w:eastAsia="宋体" w:cs="Times New Roman"/>
                <w:color w:val="auto"/>
                <w:spacing w:val="0"/>
                <w:sz w:val="24"/>
                <w:szCs w:val="24"/>
              </w:rPr>
              <w:t>≥500GB</w:t>
            </w:r>
          </w:p>
        </w:tc>
      </w:tr>
      <w:tr w14:paraId="6ADEFFC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54" w:hRule="atLeast"/>
        </w:trPr>
        <w:tc>
          <w:tcPr>
            <w:tcW w:w="1080" w:type="dxa"/>
            <w:noWrap w:val="0"/>
            <w:vAlign w:val="top"/>
          </w:tcPr>
          <w:p w14:paraId="4BD54F6F">
            <w:pPr>
              <w:keepNext w:val="0"/>
              <w:keepLines w:val="0"/>
              <w:pageBreakBefore w:val="0"/>
              <w:widowControl w:val="0"/>
              <w:spacing w:line="360" w:lineRule="auto"/>
              <w:ind w:left="0" w:right="0" w:firstLine="480"/>
              <w:jc w:val="left"/>
              <w:rPr>
                <w:rFonts w:ascii="宋体" w:hAnsi="宋体" w:eastAsia="宋体" w:cs="Times New Roman"/>
                <w:color w:val="auto"/>
                <w:spacing w:val="0"/>
                <w:sz w:val="24"/>
                <w:szCs w:val="24"/>
              </w:rPr>
            </w:pPr>
            <w:r>
              <w:rPr>
                <w:rFonts w:ascii="宋体" w:hAnsi="宋体" w:eastAsia="宋体" w:cs="Times New Roman"/>
                <w:color w:val="auto"/>
                <w:spacing w:val="0"/>
                <w:sz w:val="24"/>
                <w:szCs w:val="24"/>
              </w:rPr>
              <w:t>4</w:t>
            </w:r>
          </w:p>
        </w:tc>
        <w:tc>
          <w:tcPr>
            <w:tcW w:w="1920" w:type="dxa"/>
            <w:noWrap w:val="0"/>
            <w:vAlign w:val="top"/>
          </w:tcPr>
          <w:p w14:paraId="79968E50">
            <w:pPr>
              <w:keepNext w:val="0"/>
              <w:keepLines w:val="0"/>
              <w:pageBreakBefore w:val="0"/>
              <w:widowControl w:val="0"/>
              <w:spacing w:before="0" w:line="360" w:lineRule="auto"/>
              <w:ind w:left="0" w:right="0" w:firstLine="480"/>
              <w:jc w:val="left"/>
              <w:rPr>
                <w:rFonts w:hint="default" w:ascii="宋体" w:hAnsi="宋体" w:eastAsia="宋体" w:cs="PingFang SC"/>
                <w:color w:val="auto"/>
                <w:spacing w:val="0"/>
                <w:sz w:val="24"/>
                <w:szCs w:val="24"/>
                <w:lang w:val="en-US" w:eastAsia="en-US" w:bidi="ar-SA"/>
              </w:rPr>
            </w:pPr>
            <w:r>
              <w:rPr>
                <w:rFonts w:hint="default" w:ascii="宋体" w:hAnsi="宋体" w:eastAsia="宋体" w:cs="PingFang SC"/>
                <w:color w:val="auto"/>
                <w:spacing w:val="0"/>
                <w:sz w:val="24"/>
                <w:szCs w:val="24"/>
                <w:lang w:val="en-US" w:eastAsia="en-US" w:bidi="ar-SA"/>
              </w:rPr>
              <w:t>显示器</w:t>
            </w:r>
          </w:p>
        </w:tc>
        <w:tc>
          <w:tcPr>
            <w:tcW w:w="6138" w:type="dxa"/>
            <w:noWrap w:val="0"/>
            <w:vAlign w:val="top"/>
          </w:tcPr>
          <w:p w14:paraId="05E79D6C">
            <w:pPr>
              <w:keepNext w:val="0"/>
              <w:keepLines w:val="0"/>
              <w:pageBreakBefore w:val="0"/>
              <w:widowControl w:val="0"/>
              <w:spacing w:before="0" w:line="360" w:lineRule="auto"/>
              <w:ind w:left="0" w:right="0" w:firstLine="480"/>
              <w:jc w:val="left"/>
              <w:rPr>
                <w:rFonts w:hint="default" w:ascii="宋体" w:hAnsi="宋体" w:eastAsia="宋体" w:cs="PingFang SC"/>
                <w:color w:val="auto"/>
                <w:spacing w:val="0"/>
                <w:sz w:val="24"/>
                <w:szCs w:val="24"/>
                <w:lang w:val="en-US" w:eastAsia="en-US" w:bidi="ar-SA"/>
              </w:rPr>
            </w:pPr>
            <w:r>
              <w:rPr>
                <w:rFonts w:hint="default" w:ascii="宋体" w:hAnsi="宋体" w:eastAsia="宋体" w:cs="Times New Roman"/>
                <w:color w:val="auto"/>
                <w:spacing w:val="0"/>
                <w:sz w:val="24"/>
                <w:szCs w:val="24"/>
                <w:lang w:val="en-US" w:eastAsia="en-US" w:bidi="ar-SA"/>
              </w:rPr>
              <w:t>≥12</w:t>
            </w:r>
            <w:r>
              <w:rPr>
                <w:rFonts w:hint="default" w:ascii="宋体" w:hAnsi="宋体" w:eastAsia="宋体" w:cs="PingFang SC"/>
                <w:color w:val="auto"/>
                <w:spacing w:val="0"/>
                <w:sz w:val="24"/>
                <w:szCs w:val="24"/>
                <w:lang w:val="en-US" w:eastAsia="en-US" w:bidi="ar-SA"/>
              </w:rPr>
              <w:t>英寸</w:t>
            </w:r>
          </w:p>
        </w:tc>
      </w:tr>
      <w:tr w14:paraId="7E1766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55" w:hRule="atLeast"/>
        </w:trPr>
        <w:tc>
          <w:tcPr>
            <w:tcW w:w="1080" w:type="dxa"/>
            <w:vMerge w:val="restart"/>
            <w:tcBorders>
              <w:bottom w:val="nil"/>
            </w:tcBorders>
            <w:noWrap w:val="0"/>
            <w:vAlign w:val="top"/>
          </w:tcPr>
          <w:p w14:paraId="6D535E5F">
            <w:pPr>
              <w:keepNext w:val="0"/>
              <w:keepLines w:val="0"/>
              <w:pageBreakBefore w:val="0"/>
              <w:widowControl w:val="0"/>
              <w:spacing w:line="360" w:lineRule="auto"/>
              <w:ind w:left="0" w:right="0" w:firstLine="480"/>
              <w:jc w:val="left"/>
              <w:rPr>
                <w:rFonts w:ascii="宋体" w:hAnsi="宋体" w:eastAsia="宋体" w:cs="Times New Roman"/>
                <w:color w:val="auto"/>
                <w:spacing w:val="0"/>
                <w:sz w:val="24"/>
                <w:szCs w:val="24"/>
              </w:rPr>
            </w:pPr>
            <w:r>
              <w:rPr>
                <w:rFonts w:ascii="宋体" w:hAnsi="宋体" w:eastAsia="宋体" w:cs="Times New Roman"/>
                <w:color w:val="auto"/>
                <w:spacing w:val="0"/>
                <w:sz w:val="24"/>
                <w:szCs w:val="24"/>
              </w:rPr>
              <w:t>5</w:t>
            </w:r>
          </w:p>
        </w:tc>
        <w:tc>
          <w:tcPr>
            <w:tcW w:w="1920" w:type="dxa"/>
            <w:vMerge w:val="restart"/>
            <w:tcBorders>
              <w:bottom w:val="nil"/>
            </w:tcBorders>
            <w:noWrap w:val="0"/>
            <w:vAlign w:val="top"/>
          </w:tcPr>
          <w:p w14:paraId="56E20643">
            <w:pPr>
              <w:keepNext w:val="0"/>
              <w:keepLines w:val="0"/>
              <w:pageBreakBefore w:val="0"/>
              <w:widowControl w:val="0"/>
              <w:spacing w:before="0" w:line="360" w:lineRule="auto"/>
              <w:ind w:left="0" w:right="0" w:firstLine="480"/>
              <w:jc w:val="left"/>
              <w:rPr>
                <w:rFonts w:hint="default" w:ascii="宋体" w:hAnsi="宋体" w:eastAsia="宋体" w:cs="PingFang SC"/>
                <w:color w:val="auto"/>
                <w:spacing w:val="0"/>
                <w:sz w:val="24"/>
                <w:szCs w:val="24"/>
                <w:lang w:val="en-US" w:eastAsia="en-US" w:bidi="ar-SA"/>
              </w:rPr>
            </w:pPr>
            <w:r>
              <w:rPr>
                <w:rFonts w:hint="default" w:ascii="宋体" w:hAnsi="宋体" w:eastAsia="宋体" w:cs="PingFang SC"/>
                <w:color w:val="auto"/>
                <w:spacing w:val="0"/>
                <w:sz w:val="24"/>
                <w:szCs w:val="24"/>
                <w:lang w:val="en-US" w:eastAsia="en-US" w:bidi="ar-SA"/>
              </w:rPr>
              <w:t>通讯接口</w:t>
            </w:r>
          </w:p>
        </w:tc>
        <w:tc>
          <w:tcPr>
            <w:tcW w:w="6138" w:type="dxa"/>
            <w:noWrap w:val="0"/>
            <w:vAlign w:val="top"/>
          </w:tcPr>
          <w:p w14:paraId="697D9052">
            <w:pPr>
              <w:keepNext w:val="0"/>
              <w:keepLines w:val="0"/>
              <w:pageBreakBefore w:val="0"/>
              <w:widowControl w:val="0"/>
              <w:spacing w:before="0" w:line="360" w:lineRule="auto"/>
              <w:ind w:left="0" w:right="0" w:firstLine="480"/>
              <w:jc w:val="left"/>
              <w:rPr>
                <w:rFonts w:hint="default" w:ascii="宋体" w:hAnsi="宋体" w:eastAsia="宋体" w:cs="PingFang SC"/>
                <w:color w:val="auto"/>
                <w:spacing w:val="0"/>
                <w:sz w:val="24"/>
                <w:szCs w:val="24"/>
                <w:lang w:val="en-US" w:eastAsia="en-US" w:bidi="ar-SA"/>
              </w:rPr>
            </w:pPr>
            <w:r>
              <w:rPr>
                <w:rFonts w:hint="default" w:ascii="宋体" w:hAnsi="宋体" w:eastAsia="宋体" w:cs="Times New Roman"/>
                <w:color w:val="auto"/>
                <w:spacing w:val="0"/>
                <w:sz w:val="24"/>
                <w:szCs w:val="24"/>
                <w:lang w:val="en-US" w:eastAsia="en-US" w:bidi="ar-SA"/>
              </w:rPr>
              <w:t>RS-232/485 COM</w:t>
            </w:r>
            <w:r>
              <w:rPr>
                <w:rFonts w:hint="default" w:ascii="宋体" w:hAnsi="宋体" w:eastAsia="宋体" w:cs="PingFang SC"/>
                <w:color w:val="auto"/>
                <w:spacing w:val="0"/>
                <w:sz w:val="24"/>
                <w:szCs w:val="24"/>
                <w:lang w:val="en-US" w:eastAsia="en-US" w:bidi="ar-SA"/>
              </w:rPr>
              <w:t>口，不小于</w:t>
            </w:r>
            <w:r>
              <w:rPr>
                <w:rFonts w:hint="default" w:ascii="宋体" w:hAnsi="宋体" w:eastAsia="宋体" w:cs="Times New Roman"/>
                <w:color w:val="auto"/>
                <w:spacing w:val="0"/>
                <w:sz w:val="24"/>
                <w:szCs w:val="24"/>
                <w:lang w:val="en-US" w:eastAsia="en-US" w:bidi="ar-SA"/>
              </w:rPr>
              <w:t>8</w:t>
            </w:r>
            <w:r>
              <w:rPr>
                <w:rFonts w:hint="default" w:ascii="宋体" w:hAnsi="宋体" w:eastAsia="宋体" w:cs="PingFang SC"/>
                <w:color w:val="auto"/>
                <w:spacing w:val="0"/>
                <w:sz w:val="24"/>
                <w:szCs w:val="24"/>
                <w:lang w:val="en-US" w:eastAsia="en-US" w:bidi="ar-SA"/>
              </w:rPr>
              <w:t>个</w:t>
            </w:r>
          </w:p>
        </w:tc>
      </w:tr>
      <w:tr w14:paraId="24851A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64" w:hRule="atLeast"/>
        </w:trPr>
        <w:tc>
          <w:tcPr>
            <w:tcW w:w="1080" w:type="dxa"/>
            <w:vMerge w:val="continue"/>
            <w:tcBorders>
              <w:top w:val="nil"/>
            </w:tcBorders>
            <w:noWrap w:val="0"/>
            <w:vAlign w:val="top"/>
          </w:tcPr>
          <w:p w14:paraId="7181767F">
            <w:pPr>
              <w:keepNext w:val="0"/>
              <w:keepLines w:val="0"/>
              <w:pageBreakBefore w:val="0"/>
              <w:widowControl w:val="0"/>
              <w:spacing w:line="360" w:lineRule="auto"/>
              <w:ind w:left="0" w:right="0" w:firstLine="480"/>
              <w:jc w:val="left"/>
              <w:rPr>
                <w:rFonts w:ascii="宋体" w:hAnsi="宋体" w:eastAsia="宋体"/>
                <w:color w:val="auto"/>
                <w:spacing w:val="0"/>
                <w:sz w:val="24"/>
                <w:szCs w:val="24"/>
              </w:rPr>
            </w:pPr>
          </w:p>
        </w:tc>
        <w:tc>
          <w:tcPr>
            <w:tcW w:w="1920" w:type="dxa"/>
            <w:vMerge w:val="continue"/>
            <w:tcBorders>
              <w:top w:val="nil"/>
            </w:tcBorders>
            <w:noWrap w:val="0"/>
            <w:vAlign w:val="top"/>
          </w:tcPr>
          <w:p w14:paraId="6CB8D86E">
            <w:pPr>
              <w:keepNext w:val="0"/>
              <w:keepLines w:val="0"/>
              <w:pageBreakBefore w:val="0"/>
              <w:widowControl w:val="0"/>
              <w:spacing w:line="360" w:lineRule="auto"/>
              <w:ind w:left="0" w:right="0" w:firstLine="480"/>
              <w:jc w:val="left"/>
              <w:rPr>
                <w:rFonts w:ascii="宋体" w:hAnsi="宋体" w:eastAsia="宋体"/>
                <w:color w:val="auto"/>
                <w:spacing w:val="0"/>
                <w:sz w:val="24"/>
                <w:szCs w:val="24"/>
              </w:rPr>
            </w:pPr>
          </w:p>
        </w:tc>
        <w:tc>
          <w:tcPr>
            <w:tcW w:w="6138" w:type="dxa"/>
            <w:noWrap w:val="0"/>
            <w:vAlign w:val="top"/>
          </w:tcPr>
          <w:p w14:paraId="2DA5F918">
            <w:pPr>
              <w:keepNext w:val="0"/>
              <w:keepLines w:val="0"/>
              <w:pageBreakBefore w:val="0"/>
              <w:widowControl w:val="0"/>
              <w:spacing w:before="0" w:line="360" w:lineRule="auto"/>
              <w:ind w:left="0" w:right="0" w:firstLine="480"/>
              <w:jc w:val="left"/>
              <w:rPr>
                <w:rFonts w:hint="default" w:ascii="宋体" w:hAnsi="宋体" w:eastAsia="宋体" w:cs="PingFang SC"/>
                <w:color w:val="auto"/>
                <w:spacing w:val="0"/>
                <w:sz w:val="24"/>
                <w:szCs w:val="24"/>
                <w:lang w:val="en-US" w:eastAsia="en-US" w:bidi="ar-SA"/>
              </w:rPr>
            </w:pPr>
            <w:r>
              <w:rPr>
                <w:rFonts w:hint="default" w:ascii="宋体" w:hAnsi="宋体" w:eastAsia="宋体" w:cs="PingFang SC"/>
                <w:color w:val="auto"/>
                <w:spacing w:val="0"/>
                <w:sz w:val="24"/>
                <w:szCs w:val="24"/>
                <w:lang w:val="en-US" w:eastAsia="en-US" w:bidi="ar-SA"/>
              </w:rPr>
              <w:t>网口，不少于</w:t>
            </w:r>
            <w:r>
              <w:rPr>
                <w:rFonts w:hint="default" w:ascii="宋体" w:hAnsi="宋体" w:eastAsia="宋体" w:cs="Times New Roman"/>
                <w:color w:val="auto"/>
                <w:spacing w:val="0"/>
                <w:sz w:val="24"/>
                <w:szCs w:val="24"/>
                <w:lang w:val="en-US" w:eastAsia="en-US" w:bidi="ar-SA"/>
              </w:rPr>
              <w:t>2</w:t>
            </w:r>
            <w:r>
              <w:rPr>
                <w:rFonts w:hint="default" w:ascii="宋体" w:hAnsi="宋体" w:eastAsia="宋体" w:cs="PingFang SC"/>
                <w:color w:val="auto"/>
                <w:spacing w:val="0"/>
                <w:sz w:val="24"/>
                <w:szCs w:val="24"/>
                <w:lang w:val="en-US" w:eastAsia="en-US" w:bidi="ar-SA"/>
              </w:rPr>
              <w:t>个</w:t>
            </w:r>
          </w:p>
        </w:tc>
      </w:tr>
    </w:tbl>
    <w:p w14:paraId="470B4682">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PingFang SC"/>
          <w:color w:val="auto"/>
          <w:spacing w:val="0"/>
          <w:sz w:val="24"/>
          <w:szCs w:val="24"/>
          <w:lang w:val="en-US" w:eastAsia="zh-CN"/>
        </w:rPr>
        <w:t>2.2.2.2</w:t>
      </w:r>
      <w:r>
        <w:rPr>
          <w:rFonts w:ascii="宋体" w:hAnsi="宋体" w:eastAsia="宋体" w:cs="PingFang SC"/>
          <w:color w:val="auto"/>
          <w:spacing w:val="0"/>
          <w:sz w:val="24"/>
          <w:szCs w:val="24"/>
        </w:rPr>
        <w:t>可编程控制器</w:t>
      </w:r>
    </w:p>
    <w:tbl>
      <w:tblPr>
        <w:tblStyle w:val="29"/>
        <w:tblW w:w="9138" w:type="dxa"/>
        <w:tblInd w:w="42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095"/>
        <w:gridCol w:w="1905"/>
        <w:gridCol w:w="6138"/>
      </w:tblGrid>
      <w:tr w14:paraId="116A2DB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63" w:hRule="atLeast"/>
        </w:trPr>
        <w:tc>
          <w:tcPr>
            <w:tcW w:w="1095" w:type="dxa"/>
            <w:noWrap w:val="0"/>
            <w:vAlign w:val="top"/>
          </w:tcPr>
          <w:p w14:paraId="7C586193">
            <w:pPr>
              <w:keepNext w:val="0"/>
              <w:keepLines w:val="0"/>
              <w:pageBreakBefore w:val="0"/>
              <w:widowControl w:val="0"/>
              <w:spacing w:before="0" w:line="360" w:lineRule="auto"/>
              <w:ind w:left="0" w:right="0" w:firstLine="482"/>
              <w:jc w:val="left"/>
              <w:rPr>
                <w:rFonts w:hint="default" w:ascii="宋体" w:hAnsi="宋体" w:eastAsia="宋体" w:cs="PingFang SC"/>
                <w:color w:val="auto"/>
                <w:spacing w:val="0"/>
                <w:sz w:val="24"/>
                <w:szCs w:val="24"/>
                <w:lang w:val="en-US" w:eastAsia="en-US" w:bidi="ar-SA"/>
              </w:rPr>
            </w:pPr>
            <w:r>
              <w:rPr>
                <w:rFonts w:hint="default" w:ascii="宋体" w:hAnsi="宋体" w:eastAsia="宋体" w:cs="PingFang SC"/>
                <w:b/>
                <w:bCs/>
                <w:color w:val="auto"/>
                <w:spacing w:val="0"/>
                <w:sz w:val="24"/>
                <w:szCs w:val="24"/>
                <w:lang w:val="en-US" w:eastAsia="en-US" w:bidi="ar-SA"/>
              </w:rPr>
              <w:t>序号</w:t>
            </w:r>
          </w:p>
        </w:tc>
        <w:tc>
          <w:tcPr>
            <w:tcW w:w="1905" w:type="dxa"/>
            <w:noWrap w:val="0"/>
            <w:vAlign w:val="top"/>
          </w:tcPr>
          <w:p w14:paraId="7616B5E0">
            <w:pPr>
              <w:keepNext w:val="0"/>
              <w:keepLines w:val="0"/>
              <w:pageBreakBefore w:val="0"/>
              <w:widowControl w:val="0"/>
              <w:spacing w:before="0" w:line="360" w:lineRule="auto"/>
              <w:ind w:left="0" w:right="0" w:firstLine="482"/>
              <w:jc w:val="left"/>
              <w:rPr>
                <w:rFonts w:hint="default" w:ascii="宋体" w:hAnsi="宋体" w:eastAsia="宋体" w:cs="PingFang SC"/>
                <w:color w:val="auto"/>
                <w:spacing w:val="0"/>
                <w:sz w:val="24"/>
                <w:szCs w:val="24"/>
                <w:lang w:val="en-US" w:eastAsia="en-US" w:bidi="ar-SA"/>
              </w:rPr>
            </w:pPr>
            <w:r>
              <w:rPr>
                <w:rFonts w:hint="default" w:ascii="宋体" w:hAnsi="宋体" w:eastAsia="宋体" w:cs="PingFang SC"/>
                <w:b/>
                <w:bCs/>
                <w:color w:val="auto"/>
                <w:spacing w:val="0"/>
                <w:sz w:val="24"/>
                <w:szCs w:val="24"/>
                <w:lang w:val="en-US" w:eastAsia="en-US" w:bidi="ar-SA"/>
              </w:rPr>
              <w:t>指标名称</w:t>
            </w:r>
          </w:p>
        </w:tc>
        <w:tc>
          <w:tcPr>
            <w:tcW w:w="6138" w:type="dxa"/>
            <w:noWrap w:val="0"/>
            <w:vAlign w:val="top"/>
          </w:tcPr>
          <w:p w14:paraId="65CE563E">
            <w:pPr>
              <w:keepNext w:val="0"/>
              <w:keepLines w:val="0"/>
              <w:pageBreakBefore w:val="0"/>
              <w:widowControl w:val="0"/>
              <w:spacing w:before="0" w:line="360" w:lineRule="auto"/>
              <w:ind w:left="0" w:right="0" w:firstLine="482"/>
              <w:jc w:val="left"/>
              <w:rPr>
                <w:rFonts w:hint="default" w:ascii="宋体" w:hAnsi="宋体" w:eastAsia="宋体" w:cs="PingFang SC"/>
                <w:color w:val="auto"/>
                <w:spacing w:val="0"/>
                <w:sz w:val="24"/>
                <w:szCs w:val="24"/>
                <w:lang w:val="en-US" w:eastAsia="en-US" w:bidi="ar-SA"/>
              </w:rPr>
            </w:pPr>
            <w:r>
              <w:rPr>
                <w:rFonts w:hint="default" w:ascii="宋体" w:hAnsi="宋体" w:eastAsia="宋体" w:cs="PingFang SC"/>
                <w:b/>
                <w:bCs/>
                <w:color w:val="auto"/>
                <w:spacing w:val="0"/>
                <w:sz w:val="24"/>
                <w:szCs w:val="24"/>
                <w:lang w:val="en-US" w:eastAsia="en-US" w:bidi="ar-SA"/>
              </w:rPr>
              <w:t>性能指标</w:t>
            </w:r>
          </w:p>
        </w:tc>
      </w:tr>
      <w:tr w14:paraId="2E43F03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118" w:hRule="atLeast"/>
        </w:trPr>
        <w:tc>
          <w:tcPr>
            <w:tcW w:w="1095" w:type="dxa"/>
            <w:noWrap w:val="0"/>
            <w:vAlign w:val="top"/>
          </w:tcPr>
          <w:p w14:paraId="0ED973EB">
            <w:pPr>
              <w:keepNext w:val="0"/>
              <w:keepLines w:val="0"/>
              <w:pageBreakBefore w:val="0"/>
              <w:widowControl w:val="0"/>
              <w:spacing w:line="360" w:lineRule="auto"/>
              <w:ind w:left="0" w:right="0" w:firstLine="480"/>
              <w:jc w:val="left"/>
              <w:rPr>
                <w:rFonts w:ascii="宋体" w:hAnsi="宋体" w:eastAsia="宋体" w:cs="Times New Roman"/>
                <w:color w:val="auto"/>
                <w:spacing w:val="0"/>
                <w:sz w:val="24"/>
                <w:szCs w:val="24"/>
              </w:rPr>
            </w:pPr>
            <w:r>
              <w:rPr>
                <w:rFonts w:ascii="宋体" w:hAnsi="宋体" w:eastAsia="宋体" w:cs="Times New Roman"/>
                <w:color w:val="auto"/>
                <w:spacing w:val="0"/>
                <w:sz w:val="24"/>
                <w:szCs w:val="24"/>
              </w:rPr>
              <w:t>1</w:t>
            </w:r>
          </w:p>
        </w:tc>
        <w:tc>
          <w:tcPr>
            <w:tcW w:w="1905" w:type="dxa"/>
            <w:noWrap w:val="0"/>
            <w:vAlign w:val="top"/>
          </w:tcPr>
          <w:p w14:paraId="3E785FCE">
            <w:pPr>
              <w:keepNext w:val="0"/>
              <w:keepLines w:val="0"/>
              <w:pageBreakBefore w:val="0"/>
              <w:widowControl w:val="0"/>
              <w:spacing w:before="0" w:line="360" w:lineRule="auto"/>
              <w:ind w:left="0" w:right="0" w:firstLine="480"/>
              <w:jc w:val="left"/>
              <w:rPr>
                <w:rFonts w:hint="default" w:ascii="宋体" w:hAnsi="宋体" w:eastAsia="宋体" w:cs="PingFang SC"/>
                <w:color w:val="auto"/>
                <w:spacing w:val="0"/>
                <w:sz w:val="24"/>
                <w:szCs w:val="24"/>
                <w:lang w:val="en-US" w:eastAsia="en-US" w:bidi="ar-SA"/>
              </w:rPr>
            </w:pPr>
            <w:r>
              <w:rPr>
                <w:rFonts w:hint="default" w:ascii="宋体" w:hAnsi="宋体" w:eastAsia="宋体" w:cs="PingFang SC"/>
                <w:color w:val="auto"/>
                <w:spacing w:val="0"/>
                <w:sz w:val="24"/>
                <w:szCs w:val="24"/>
                <w:lang w:val="en-US" w:eastAsia="en-US" w:bidi="ar-SA"/>
              </w:rPr>
              <w:t>扩展能力</w:t>
            </w:r>
          </w:p>
        </w:tc>
        <w:tc>
          <w:tcPr>
            <w:tcW w:w="6138" w:type="dxa"/>
            <w:noWrap w:val="0"/>
            <w:vAlign w:val="top"/>
          </w:tcPr>
          <w:p w14:paraId="12699F4A">
            <w:pPr>
              <w:keepNext w:val="0"/>
              <w:keepLines w:val="0"/>
              <w:pageBreakBefore w:val="0"/>
              <w:widowControl w:val="0"/>
              <w:spacing w:before="0" w:line="360" w:lineRule="auto"/>
              <w:ind w:left="0" w:right="0" w:firstLine="480"/>
              <w:jc w:val="left"/>
              <w:rPr>
                <w:rFonts w:hint="default" w:ascii="宋体" w:hAnsi="宋体" w:eastAsia="宋体" w:cs="PingFang SC"/>
                <w:color w:val="auto"/>
                <w:spacing w:val="0"/>
                <w:sz w:val="24"/>
                <w:szCs w:val="24"/>
                <w:lang w:val="en-US" w:eastAsia="en-US" w:bidi="ar-SA"/>
              </w:rPr>
            </w:pPr>
            <w:r>
              <w:rPr>
                <w:rFonts w:hint="default" w:ascii="宋体" w:hAnsi="宋体" w:eastAsia="宋体" w:cs="PingFang SC"/>
                <w:color w:val="auto"/>
                <w:spacing w:val="0"/>
                <w:sz w:val="24"/>
                <w:szCs w:val="24"/>
                <w:lang w:val="en-US" w:eastAsia="en-US" w:bidi="ar-SA"/>
              </w:rPr>
              <w:t>控制器输入输出接口满足需求且余量不少于</w:t>
            </w:r>
            <w:r>
              <w:rPr>
                <w:rFonts w:hint="default" w:ascii="宋体" w:hAnsi="宋体" w:eastAsia="宋体" w:cs="Times New Roman"/>
                <w:color w:val="auto"/>
                <w:spacing w:val="0"/>
                <w:sz w:val="24"/>
                <w:szCs w:val="24"/>
                <w:lang w:val="en-US" w:eastAsia="en-US" w:bidi="ar-SA"/>
              </w:rPr>
              <w:t>4</w:t>
            </w:r>
            <w:r>
              <w:rPr>
                <w:rFonts w:hint="default" w:ascii="宋体" w:hAnsi="宋体" w:eastAsia="宋体" w:cs="PingFang SC"/>
                <w:color w:val="auto"/>
                <w:spacing w:val="0"/>
                <w:sz w:val="24"/>
                <w:szCs w:val="24"/>
                <w:lang w:val="en-US" w:eastAsia="en-US" w:bidi="ar-SA"/>
              </w:rPr>
              <w:t>路，以便以后扩展。</w:t>
            </w:r>
          </w:p>
        </w:tc>
      </w:tr>
      <w:tr w14:paraId="592D0CA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3" w:hRule="atLeast"/>
        </w:trPr>
        <w:tc>
          <w:tcPr>
            <w:tcW w:w="1095" w:type="dxa"/>
            <w:noWrap w:val="0"/>
            <w:vAlign w:val="top"/>
          </w:tcPr>
          <w:p w14:paraId="6919E00B">
            <w:pPr>
              <w:keepNext w:val="0"/>
              <w:keepLines w:val="0"/>
              <w:pageBreakBefore w:val="0"/>
              <w:widowControl w:val="0"/>
              <w:spacing w:line="360" w:lineRule="auto"/>
              <w:ind w:left="0" w:right="0" w:firstLine="480"/>
              <w:jc w:val="left"/>
              <w:rPr>
                <w:rFonts w:ascii="宋体" w:hAnsi="宋体" w:eastAsia="宋体" w:cs="Times New Roman"/>
                <w:color w:val="auto"/>
                <w:spacing w:val="0"/>
                <w:sz w:val="24"/>
                <w:szCs w:val="24"/>
              </w:rPr>
            </w:pPr>
            <w:r>
              <w:rPr>
                <w:rFonts w:ascii="宋体" w:hAnsi="宋体" w:eastAsia="宋体" w:cs="Times New Roman"/>
                <w:color w:val="auto"/>
                <w:spacing w:val="0"/>
                <w:sz w:val="24"/>
                <w:szCs w:val="24"/>
              </w:rPr>
              <w:t>2</w:t>
            </w:r>
          </w:p>
        </w:tc>
        <w:tc>
          <w:tcPr>
            <w:tcW w:w="1905" w:type="dxa"/>
            <w:noWrap w:val="0"/>
            <w:vAlign w:val="top"/>
          </w:tcPr>
          <w:p w14:paraId="7B030FBE">
            <w:pPr>
              <w:keepNext w:val="0"/>
              <w:keepLines w:val="0"/>
              <w:pageBreakBefore w:val="0"/>
              <w:widowControl w:val="0"/>
              <w:spacing w:before="0" w:line="360" w:lineRule="auto"/>
              <w:ind w:right="0"/>
              <w:jc w:val="left"/>
              <w:rPr>
                <w:rFonts w:hint="default" w:ascii="宋体" w:hAnsi="宋体" w:eastAsia="宋体" w:cs="PingFang SC"/>
                <w:color w:val="auto"/>
                <w:spacing w:val="0"/>
                <w:sz w:val="24"/>
                <w:szCs w:val="24"/>
                <w:lang w:val="en-US" w:eastAsia="en-US" w:bidi="ar-SA"/>
              </w:rPr>
            </w:pPr>
            <w:r>
              <w:rPr>
                <w:rFonts w:hint="default" w:ascii="宋体" w:hAnsi="宋体" w:eastAsia="宋体" w:cs="PingFang SC"/>
                <w:color w:val="auto"/>
                <w:spacing w:val="0"/>
                <w:sz w:val="24"/>
                <w:szCs w:val="24"/>
                <w:lang w:val="en-US" w:eastAsia="en-US" w:bidi="ar-SA"/>
              </w:rPr>
              <w:t>防雷抗干扰能力</w:t>
            </w:r>
          </w:p>
        </w:tc>
        <w:tc>
          <w:tcPr>
            <w:tcW w:w="6138" w:type="dxa"/>
            <w:noWrap w:val="0"/>
            <w:vAlign w:val="top"/>
          </w:tcPr>
          <w:p w14:paraId="50D76E22">
            <w:pPr>
              <w:keepNext w:val="0"/>
              <w:keepLines w:val="0"/>
              <w:pageBreakBefore w:val="0"/>
              <w:widowControl w:val="0"/>
              <w:spacing w:before="0" w:line="360" w:lineRule="auto"/>
              <w:ind w:left="0" w:right="0" w:firstLine="480"/>
              <w:jc w:val="left"/>
              <w:rPr>
                <w:rFonts w:hint="default" w:ascii="宋体" w:hAnsi="宋体" w:eastAsia="宋体" w:cs="PingFang SC"/>
                <w:color w:val="auto"/>
                <w:spacing w:val="0"/>
                <w:sz w:val="24"/>
                <w:szCs w:val="24"/>
                <w:lang w:val="en-US" w:eastAsia="en-US" w:bidi="ar-SA"/>
              </w:rPr>
            </w:pPr>
            <w:r>
              <w:rPr>
                <w:rFonts w:hint="default" w:ascii="宋体" w:hAnsi="宋体" w:eastAsia="宋体" w:cs="PingFang SC"/>
                <w:color w:val="auto"/>
                <w:spacing w:val="0"/>
                <w:sz w:val="24"/>
                <w:szCs w:val="24"/>
                <w:lang w:val="en-US" w:eastAsia="en-US" w:bidi="ar-SA"/>
              </w:rPr>
              <w:t>符合抗电磁辐射、电磁感应的相关规定，具备电源隔离和信号隔离措施。</w:t>
            </w:r>
          </w:p>
        </w:tc>
      </w:tr>
    </w:tbl>
    <w:p w14:paraId="3EBA4B8B">
      <w:pPr>
        <w:keepNext w:val="0"/>
        <w:keepLines w:val="0"/>
        <w:pageBreakBefore w:val="0"/>
        <w:widowControl w:val="0"/>
        <w:spacing w:line="360" w:lineRule="auto"/>
        <w:ind w:left="0" w:right="0" w:firstLine="480"/>
        <w:jc w:val="left"/>
        <w:rPr>
          <w:rFonts w:ascii="宋体" w:hAnsi="宋体" w:eastAsia="宋体" w:cs="Times New Roman"/>
          <w:color w:val="auto"/>
          <w:spacing w:val="0"/>
          <w:sz w:val="24"/>
          <w:szCs w:val="24"/>
        </w:rPr>
      </w:pPr>
      <w:r>
        <w:rPr>
          <w:rFonts w:hint="eastAsia" w:ascii="宋体" w:hAnsi="宋体" w:cs="PingFang SC"/>
          <w:color w:val="auto"/>
          <w:spacing w:val="0"/>
          <w:sz w:val="24"/>
          <w:szCs w:val="24"/>
          <w:lang w:val="en-US" w:eastAsia="zh-CN"/>
        </w:rPr>
        <w:t>2.2.2.3</w:t>
      </w:r>
      <w:r>
        <w:rPr>
          <w:rFonts w:ascii="宋体" w:hAnsi="宋体" w:eastAsia="宋体" w:cs="Times New Roman"/>
          <w:color w:val="auto"/>
          <w:spacing w:val="0"/>
          <w:sz w:val="24"/>
          <w:szCs w:val="24"/>
        </w:rPr>
        <w:t>VPN</w:t>
      </w:r>
    </w:p>
    <w:tbl>
      <w:tblPr>
        <w:tblStyle w:val="29"/>
        <w:tblW w:w="9123" w:type="dxa"/>
        <w:tblInd w:w="441"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065"/>
        <w:gridCol w:w="2250"/>
        <w:gridCol w:w="5808"/>
      </w:tblGrid>
      <w:tr w14:paraId="1D7A17A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65" w:hRule="atLeast"/>
        </w:trPr>
        <w:tc>
          <w:tcPr>
            <w:tcW w:w="1065" w:type="dxa"/>
            <w:noWrap w:val="0"/>
            <w:vAlign w:val="top"/>
          </w:tcPr>
          <w:p w14:paraId="23B884CC">
            <w:pPr>
              <w:keepNext w:val="0"/>
              <w:keepLines w:val="0"/>
              <w:pageBreakBefore w:val="0"/>
              <w:widowControl w:val="0"/>
              <w:spacing w:before="0" w:line="360" w:lineRule="auto"/>
              <w:ind w:left="0" w:right="0" w:firstLine="482"/>
              <w:jc w:val="left"/>
              <w:rPr>
                <w:rFonts w:hint="default" w:ascii="宋体" w:hAnsi="宋体" w:eastAsia="宋体" w:cs="PingFang SC"/>
                <w:color w:val="auto"/>
                <w:spacing w:val="0"/>
                <w:sz w:val="24"/>
                <w:szCs w:val="24"/>
                <w:lang w:val="en-US" w:eastAsia="en-US" w:bidi="ar-SA"/>
              </w:rPr>
            </w:pPr>
            <w:r>
              <w:rPr>
                <w:rFonts w:hint="default" w:ascii="宋体" w:hAnsi="宋体" w:eastAsia="宋体" w:cs="PingFang SC"/>
                <w:b/>
                <w:bCs/>
                <w:color w:val="auto"/>
                <w:spacing w:val="0"/>
                <w:sz w:val="24"/>
                <w:szCs w:val="24"/>
                <w:lang w:val="en-US" w:eastAsia="en-US" w:bidi="ar-SA"/>
              </w:rPr>
              <w:t>序号</w:t>
            </w:r>
          </w:p>
        </w:tc>
        <w:tc>
          <w:tcPr>
            <w:tcW w:w="2250" w:type="dxa"/>
            <w:noWrap w:val="0"/>
            <w:vAlign w:val="top"/>
          </w:tcPr>
          <w:p w14:paraId="1EF712F0">
            <w:pPr>
              <w:keepNext w:val="0"/>
              <w:keepLines w:val="0"/>
              <w:pageBreakBefore w:val="0"/>
              <w:widowControl w:val="0"/>
              <w:spacing w:before="0" w:line="360" w:lineRule="auto"/>
              <w:ind w:left="0" w:right="0" w:firstLine="482"/>
              <w:jc w:val="left"/>
              <w:rPr>
                <w:rFonts w:hint="default" w:ascii="宋体" w:hAnsi="宋体" w:eastAsia="宋体" w:cs="PingFang SC"/>
                <w:color w:val="auto"/>
                <w:spacing w:val="0"/>
                <w:sz w:val="24"/>
                <w:szCs w:val="24"/>
                <w:lang w:val="en-US" w:eastAsia="en-US" w:bidi="ar-SA"/>
              </w:rPr>
            </w:pPr>
            <w:r>
              <w:rPr>
                <w:rFonts w:hint="default" w:ascii="宋体" w:hAnsi="宋体" w:eastAsia="宋体" w:cs="PingFang SC"/>
                <w:b/>
                <w:bCs/>
                <w:color w:val="auto"/>
                <w:spacing w:val="0"/>
                <w:sz w:val="24"/>
                <w:szCs w:val="24"/>
                <w:lang w:val="en-US" w:eastAsia="en-US" w:bidi="ar-SA"/>
              </w:rPr>
              <w:t>项目</w:t>
            </w:r>
          </w:p>
        </w:tc>
        <w:tc>
          <w:tcPr>
            <w:tcW w:w="5808" w:type="dxa"/>
            <w:noWrap w:val="0"/>
            <w:vAlign w:val="top"/>
          </w:tcPr>
          <w:p w14:paraId="731DBC0B">
            <w:pPr>
              <w:keepNext w:val="0"/>
              <w:keepLines w:val="0"/>
              <w:pageBreakBefore w:val="0"/>
              <w:widowControl w:val="0"/>
              <w:spacing w:before="0" w:line="360" w:lineRule="auto"/>
              <w:ind w:left="0" w:right="0" w:firstLine="482"/>
              <w:jc w:val="left"/>
              <w:rPr>
                <w:rFonts w:hint="default" w:ascii="宋体" w:hAnsi="宋体" w:eastAsia="宋体" w:cs="PingFang SC"/>
                <w:color w:val="auto"/>
                <w:spacing w:val="0"/>
                <w:sz w:val="24"/>
                <w:szCs w:val="24"/>
                <w:lang w:val="en-US" w:eastAsia="en-US" w:bidi="ar-SA"/>
              </w:rPr>
            </w:pPr>
            <w:r>
              <w:rPr>
                <w:rFonts w:hint="default" w:ascii="宋体" w:hAnsi="宋体" w:eastAsia="宋体" w:cs="PingFang SC"/>
                <w:b/>
                <w:bCs/>
                <w:color w:val="auto"/>
                <w:spacing w:val="0"/>
                <w:sz w:val="24"/>
                <w:szCs w:val="24"/>
                <w:lang w:val="en-US" w:eastAsia="en-US" w:bidi="ar-SA"/>
              </w:rPr>
              <w:t>性能指标</w:t>
            </w:r>
          </w:p>
        </w:tc>
      </w:tr>
      <w:tr w14:paraId="09AEBD9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55" w:hRule="atLeast"/>
        </w:trPr>
        <w:tc>
          <w:tcPr>
            <w:tcW w:w="1065" w:type="dxa"/>
            <w:noWrap w:val="0"/>
            <w:vAlign w:val="top"/>
          </w:tcPr>
          <w:p w14:paraId="4E6953BC">
            <w:pPr>
              <w:keepNext w:val="0"/>
              <w:keepLines w:val="0"/>
              <w:pageBreakBefore w:val="0"/>
              <w:widowControl w:val="0"/>
              <w:spacing w:line="360" w:lineRule="auto"/>
              <w:ind w:left="0" w:right="0" w:firstLine="480"/>
              <w:jc w:val="left"/>
              <w:rPr>
                <w:rFonts w:ascii="宋体" w:hAnsi="宋体" w:eastAsia="宋体" w:cs="Times New Roman"/>
                <w:color w:val="auto"/>
                <w:spacing w:val="0"/>
                <w:sz w:val="24"/>
                <w:szCs w:val="24"/>
              </w:rPr>
            </w:pPr>
            <w:r>
              <w:rPr>
                <w:rFonts w:ascii="宋体" w:hAnsi="宋体" w:eastAsia="宋体" w:cs="Times New Roman"/>
                <w:color w:val="auto"/>
                <w:spacing w:val="0"/>
                <w:sz w:val="24"/>
                <w:szCs w:val="24"/>
              </w:rPr>
              <w:t>1</w:t>
            </w:r>
          </w:p>
        </w:tc>
        <w:tc>
          <w:tcPr>
            <w:tcW w:w="2250" w:type="dxa"/>
            <w:noWrap w:val="0"/>
            <w:vAlign w:val="top"/>
          </w:tcPr>
          <w:p w14:paraId="3C670292">
            <w:pPr>
              <w:keepNext w:val="0"/>
              <w:keepLines w:val="0"/>
              <w:pageBreakBefore w:val="0"/>
              <w:widowControl w:val="0"/>
              <w:spacing w:before="0" w:line="360" w:lineRule="auto"/>
              <w:ind w:left="0" w:right="0" w:firstLine="480"/>
              <w:jc w:val="left"/>
              <w:rPr>
                <w:rFonts w:hint="default" w:ascii="宋体" w:hAnsi="宋体" w:eastAsia="宋体" w:cs="PingFang SC"/>
                <w:color w:val="auto"/>
                <w:spacing w:val="0"/>
                <w:sz w:val="24"/>
                <w:szCs w:val="24"/>
                <w:lang w:val="en-US" w:eastAsia="en-US" w:bidi="ar-SA"/>
              </w:rPr>
            </w:pPr>
            <w:r>
              <w:rPr>
                <w:rFonts w:hint="default" w:ascii="宋体" w:hAnsi="宋体" w:eastAsia="宋体" w:cs="PingFang SC"/>
                <w:color w:val="auto"/>
                <w:spacing w:val="0"/>
                <w:sz w:val="24"/>
                <w:szCs w:val="24"/>
                <w:lang w:val="en-US" w:eastAsia="en-US" w:bidi="ar-SA"/>
              </w:rPr>
              <w:t>网络接口</w:t>
            </w:r>
          </w:p>
        </w:tc>
        <w:tc>
          <w:tcPr>
            <w:tcW w:w="5808" w:type="dxa"/>
            <w:noWrap w:val="0"/>
            <w:vAlign w:val="top"/>
          </w:tcPr>
          <w:p w14:paraId="19B52D21">
            <w:pPr>
              <w:keepNext w:val="0"/>
              <w:keepLines w:val="0"/>
              <w:pageBreakBefore w:val="0"/>
              <w:widowControl w:val="0"/>
              <w:spacing w:before="0" w:line="360" w:lineRule="auto"/>
              <w:ind w:left="0" w:right="0" w:firstLine="480"/>
              <w:jc w:val="left"/>
              <w:rPr>
                <w:rFonts w:hint="default" w:ascii="宋体" w:hAnsi="宋体" w:eastAsia="宋体" w:cs="PingFang SC"/>
                <w:color w:val="auto"/>
                <w:spacing w:val="0"/>
                <w:sz w:val="24"/>
                <w:szCs w:val="24"/>
                <w:lang w:val="en-US" w:eastAsia="en-US" w:bidi="ar-SA"/>
              </w:rPr>
            </w:pPr>
            <w:r>
              <w:rPr>
                <w:rFonts w:hint="default" w:ascii="宋体" w:hAnsi="宋体" w:eastAsia="宋体" w:cs="Times New Roman"/>
                <w:color w:val="auto"/>
                <w:spacing w:val="0"/>
                <w:sz w:val="24"/>
                <w:szCs w:val="24"/>
                <w:lang w:val="en-US" w:eastAsia="en-US" w:bidi="ar-SA"/>
              </w:rPr>
              <w:t>≥4</w:t>
            </w:r>
            <w:r>
              <w:rPr>
                <w:rFonts w:hint="default" w:ascii="宋体" w:hAnsi="宋体" w:eastAsia="宋体" w:cs="PingFang SC"/>
                <w:color w:val="auto"/>
                <w:spacing w:val="0"/>
                <w:sz w:val="24"/>
                <w:szCs w:val="24"/>
                <w:lang w:val="en-US" w:eastAsia="en-US" w:bidi="ar-SA"/>
              </w:rPr>
              <w:t>个千兆电口</w:t>
            </w:r>
          </w:p>
        </w:tc>
      </w:tr>
      <w:tr w14:paraId="6A9F394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55" w:hRule="atLeast"/>
        </w:trPr>
        <w:tc>
          <w:tcPr>
            <w:tcW w:w="1065" w:type="dxa"/>
            <w:noWrap w:val="0"/>
            <w:vAlign w:val="top"/>
          </w:tcPr>
          <w:p w14:paraId="6C393D1E">
            <w:pPr>
              <w:keepNext w:val="0"/>
              <w:keepLines w:val="0"/>
              <w:pageBreakBefore w:val="0"/>
              <w:widowControl w:val="0"/>
              <w:spacing w:line="360" w:lineRule="auto"/>
              <w:ind w:left="0" w:right="0" w:firstLine="480"/>
              <w:jc w:val="left"/>
              <w:rPr>
                <w:rFonts w:ascii="宋体" w:hAnsi="宋体" w:eastAsia="宋体" w:cs="Times New Roman"/>
                <w:color w:val="auto"/>
                <w:spacing w:val="0"/>
                <w:sz w:val="24"/>
                <w:szCs w:val="24"/>
              </w:rPr>
            </w:pPr>
            <w:r>
              <w:rPr>
                <w:rFonts w:ascii="宋体" w:hAnsi="宋体" w:eastAsia="宋体" w:cs="Times New Roman"/>
                <w:color w:val="auto"/>
                <w:spacing w:val="0"/>
                <w:sz w:val="24"/>
                <w:szCs w:val="24"/>
              </w:rPr>
              <w:t>2</w:t>
            </w:r>
          </w:p>
        </w:tc>
        <w:tc>
          <w:tcPr>
            <w:tcW w:w="2250" w:type="dxa"/>
            <w:noWrap w:val="0"/>
            <w:vAlign w:val="top"/>
          </w:tcPr>
          <w:p w14:paraId="228BD2B0">
            <w:pPr>
              <w:keepNext w:val="0"/>
              <w:keepLines w:val="0"/>
              <w:pageBreakBefore w:val="0"/>
              <w:widowControl w:val="0"/>
              <w:spacing w:before="0" w:line="360" w:lineRule="auto"/>
              <w:ind w:left="0" w:right="0" w:firstLine="480"/>
              <w:jc w:val="left"/>
              <w:rPr>
                <w:rFonts w:hint="default" w:ascii="宋体" w:hAnsi="宋体" w:eastAsia="宋体" w:cs="PingFang SC"/>
                <w:color w:val="auto"/>
                <w:spacing w:val="0"/>
                <w:sz w:val="24"/>
                <w:szCs w:val="24"/>
                <w:lang w:val="en-US" w:eastAsia="en-US" w:bidi="ar-SA"/>
              </w:rPr>
            </w:pPr>
            <w:r>
              <w:rPr>
                <w:rFonts w:hint="default" w:ascii="宋体" w:hAnsi="宋体" w:eastAsia="宋体" w:cs="PingFang SC"/>
                <w:color w:val="auto"/>
                <w:spacing w:val="0"/>
                <w:sz w:val="24"/>
                <w:szCs w:val="24"/>
                <w:lang w:val="en-US" w:eastAsia="en-US" w:bidi="ar-SA"/>
              </w:rPr>
              <w:t>防火墙吞吐量</w:t>
            </w:r>
          </w:p>
        </w:tc>
        <w:tc>
          <w:tcPr>
            <w:tcW w:w="5808" w:type="dxa"/>
            <w:noWrap w:val="0"/>
            <w:vAlign w:val="top"/>
          </w:tcPr>
          <w:p w14:paraId="400A521D">
            <w:pPr>
              <w:keepNext w:val="0"/>
              <w:keepLines w:val="0"/>
              <w:pageBreakBefore w:val="0"/>
              <w:widowControl w:val="0"/>
              <w:spacing w:line="360" w:lineRule="auto"/>
              <w:ind w:left="0" w:right="0" w:firstLine="480"/>
              <w:jc w:val="left"/>
              <w:rPr>
                <w:rFonts w:ascii="宋体" w:hAnsi="宋体" w:eastAsia="宋体" w:cs="Times New Roman"/>
                <w:color w:val="auto"/>
                <w:spacing w:val="0"/>
                <w:sz w:val="24"/>
                <w:szCs w:val="24"/>
              </w:rPr>
            </w:pPr>
            <w:r>
              <w:rPr>
                <w:rFonts w:ascii="宋体" w:hAnsi="宋体" w:eastAsia="宋体" w:cs="Times New Roman"/>
                <w:color w:val="auto"/>
                <w:spacing w:val="0"/>
                <w:sz w:val="24"/>
                <w:szCs w:val="24"/>
              </w:rPr>
              <w:t>≥150Mbps</w:t>
            </w:r>
          </w:p>
        </w:tc>
      </w:tr>
      <w:tr w14:paraId="52D5088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55" w:hRule="atLeast"/>
        </w:trPr>
        <w:tc>
          <w:tcPr>
            <w:tcW w:w="1065" w:type="dxa"/>
            <w:noWrap w:val="0"/>
            <w:vAlign w:val="top"/>
          </w:tcPr>
          <w:p w14:paraId="27E2D7AA">
            <w:pPr>
              <w:keepNext w:val="0"/>
              <w:keepLines w:val="0"/>
              <w:pageBreakBefore w:val="0"/>
              <w:widowControl w:val="0"/>
              <w:spacing w:line="360" w:lineRule="auto"/>
              <w:ind w:left="0" w:right="0" w:firstLine="480"/>
              <w:jc w:val="left"/>
              <w:rPr>
                <w:rFonts w:ascii="宋体" w:hAnsi="宋体" w:eastAsia="宋体" w:cs="Times New Roman"/>
                <w:color w:val="auto"/>
                <w:spacing w:val="0"/>
                <w:sz w:val="24"/>
                <w:szCs w:val="24"/>
              </w:rPr>
            </w:pPr>
            <w:r>
              <w:rPr>
                <w:rFonts w:ascii="宋体" w:hAnsi="宋体" w:eastAsia="宋体" w:cs="Times New Roman"/>
                <w:color w:val="auto"/>
                <w:spacing w:val="0"/>
                <w:sz w:val="24"/>
                <w:szCs w:val="24"/>
              </w:rPr>
              <w:t>3</w:t>
            </w:r>
          </w:p>
        </w:tc>
        <w:tc>
          <w:tcPr>
            <w:tcW w:w="2250" w:type="dxa"/>
            <w:noWrap w:val="0"/>
            <w:vAlign w:val="top"/>
          </w:tcPr>
          <w:p w14:paraId="0CD03231">
            <w:pPr>
              <w:keepNext w:val="0"/>
              <w:keepLines w:val="0"/>
              <w:pageBreakBefore w:val="0"/>
              <w:widowControl w:val="0"/>
              <w:spacing w:before="0" w:line="360" w:lineRule="auto"/>
              <w:ind w:left="0" w:right="0" w:firstLine="480"/>
              <w:jc w:val="left"/>
              <w:rPr>
                <w:rFonts w:hint="default" w:ascii="宋体" w:hAnsi="宋体" w:eastAsia="宋体" w:cs="PingFang SC"/>
                <w:color w:val="auto"/>
                <w:spacing w:val="0"/>
                <w:sz w:val="24"/>
                <w:szCs w:val="24"/>
                <w:lang w:val="en-US" w:eastAsia="en-US" w:bidi="ar-SA"/>
              </w:rPr>
            </w:pPr>
            <w:r>
              <w:rPr>
                <w:rFonts w:hint="default" w:ascii="宋体" w:hAnsi="宋体" w:eastAsia="宋体" w:cs="PingFang SC"/>
                <w:color w:val="auto"/>
                <w:spacing w:val="0"/>
                <w:sz w:val="24"/>
                <w:szCs w:val="24"/>
                <w:lang w:val="en-US" w:eastAsia="en-US" w:bidi="ar-SA"/>
              </w:rPr>
              <w:t>最大并发会话数</w:t>
            </w:r>
          </w:p>
        </w:tc>
        <w:tc>
          <w:tcPr>
            <w:tcW w:w="5808" w:type="dxa"/>
            <w:noWrap w:val="0"/>
            <w:vAlign w:val="top"/>
          </w:tcPr>
          <w:p w14:paraId="640B44CB">
            <w:pPr>
              <w:keepNext w:val="0"/>
              <w:keepLines w:val="0"/>
              <w:pageBreakBefore w:val="0"/>
              <w:widowControl w:val="0"/>
              <w:spacing w:before="0" w:line="360" w:lineRule="auto"/>
              <w:ind w:left="0" w:right="0" w:firstLine="480"/>
              <w:jc w:val="left"/>
              <w:rPr>
                <w:rFonts w:hint="default" w:ascii="宋体" w:hAnsi="宋体" w:eastAsia="宋体" w:cs="PingFang SC"/>
                <w:color w:val="auto"/>
                <w:spacing w:val="0"/>
                <w:sz w:val="24"/>
                <w:szCs w:val="24"/>
                <w:lang w:val="en-US" w:eastAsia="en-US" w:bidi="ar-SA"/>
              </w:rPr>
            </w:pPr>
            <w:r>
              <w:rPr>
                <w:rFonts w:hint="default" w:ascii="宋体" w:hAnsi="宋体" w:eastAsia="宋体" w:cs="Times New Roman"/>
                <w:color w:val="auto"/>
                <w:spacing w:val="0"/>
                <w:sz w:val="24"/>
                <w:szCs w:val="24"/>
                <w:lang w:val="en-US" w:eastAsia="en-US" w:bidi="ar-SA"/>
              </w:rPr>
              <w:t>≥35</w:t>
            </w:r>
            <w:r>
              <w:rPr>
                <w:rFonts w:hint="default" w:ascii="宋体" w:hAnsi="宋体" w:eastAsia="宋体" w:cs="PingFang SC"/>
                <w:color w:val="auto"/>
                <w:spacing w:val="0"/>
                <w:sz w:val="24"/>
                <w:szCs w:val="24"/>
                <w:lang w:val="en-US" w:eastAsia="en-US" w:bidi="ar-SA"/>
              </w:rPr>
              <w:t>万</w:t>
            </w:r>
          </w:p>
        </w:tc>
      </w:tr>
      <w:tr w14:paraId="46E6A94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55" w:hRule="atLeast"/>
        </w:trPr>
        <w:tc>
          <w:tcPr>
            <w:tcW w:w="1065" w:type="dxa"/>
            <w:noWrap w:val="0"/>
            <w:vAlign w:val="top"/>
          </w:tcPr>
          <w:p w14:paraId="779171A3">
            <w:pPr>
              <w:keepNext w:val="0"/>
              <w:keepLines w:val="0"/>
              <w:pageBreakBefore w:val="0"/>
              <w:widowControl w:val="0"/>
              <w:spacing w:line="360" w:lineRule="auto"/>
              <w:ind w:left="0" w:right="0" w:firstLine="480"/>
              <w:jc w:val="left"/>
              <w:rPr>
                <w:rFonts w:ascii="宋体" w:hAnsi="宋体" w:eastAsia="宋体" w:cs="Times New Roman"/>
                <w:color w:val="auto"/>
                <w:spacing w:val="0"/>
                <w:sz w:val="24"/>
                <w:szCs w:val="24"/>
              </w:rPr>
            </w:pPr>
            <w:r>
              <w:rPr>
                <w:rFonts w:ascii="宋体" w:hAnsi="宋体" w:eastAsia="宋体" w:cs="Times New Roman"/>
                <w:color w:val="auto"/>
                <w:spacing w:val="0"/>
                <w:sz w:val="24"/>
                <w:szCs w:val="24"/>
              </w:rPr>
              <w:t>4</w:t>
            </w:r>
          </w:p>
        </w:tc>
        <w:tc>
          <w:tcPr>
            <w:tcW w:w="2250" w:type="dxa"/>
            <w:noWrap w:val="0"/>
            <w:vAlign w:val="top"/>
          </w:tcPr>
          <w:p w14:paraId="62E4A089">
            <w:pPr>
              <w:keepNext w:val="0"/>
              <w:keepLines w:val="0"/>
              <w:pageBreakBefore w:val="0"/>
              <w:widowControl w:val="0"/>
              <w:spacing w:before="0" w:line="360" w:lineRule="auto"/>
              <w:ind w:left="0" w:right="0" w:firstLine="480"/>
              <w:jc w:val="left"/>
              <w:rPr>
                <w:rFonts w:hint="default" w:ascii="宋体" w:hAnsi="宋体" w:eastAsia="宋体" w:cs="PingFang SC"/>
                <w:color w:val="auto"/>
                <w:spacing w:val="0"/>
                <w:sz w:val="24"/>
                <w:szCs w:val="24"/>
                <w:lang w:val="en-US" w:eastAsia="en-US" w:bidi="ar-SA"/>
              </w:rPr>
            </w:pPr>
            <w:r>
              <w:rPr>
                <w:rFonts w:hint="default" w:ascii="宋体" w:hAnsi="宋体" w:eastAsia="宋体" w:cs="Times New Roman"/>
                <w:color w:val="auto"/>
                <w:spacing w:val="0"/>
                <w:sz w:val="24"/>
                <w:szCs w:val="24"/>
                <w:lang w:val="en-US" w:eastAsia="en-US" w:bidi="ar-SA"/>
              </w:rPr>
              <w:t>SSLVPN</w:t>
            </w:r>
            <w:r>
              <w:rPr>
                <w:rFonts w:hint="default" w:ascii="宋体" w:hAnsi="宋体" w:eastAsia="宋体" w:cs="PingFang SC"/>
                <w:color w:val="auto"/>
                <w:spacing w:val="0"/>
                <w:sz w:val="24"/>
                <w:szCs w:val="24"/>
                <w:lang w:val="en-US" w:eastAsia="en-US" w:bidi="ar-SA"/>
              </w:rPr>
              <w:t>加密速度</w:t>
            </w:r>
          </w:p>
        </w:tc>
        <w:tc>
          <w:tcPr>
            <w:tcW w:w="5808" w:type="dxa"/>
            <w:noWrap w:val="0"/>
            <w:vAlign w:val="top"/>
          </w:tcPr>
          <w:p w14:paraId="2031250E">
            <w:pPr>
              <w:keepNext w:val="0"/>
              <w:keepLines w:val="0"/>
              <w:pageBreakBefore w:val="0"/>
              <w:widowControl w:val="0"/>
              <w:spacing w:line="360" w:lineRule="auto"/>
              <w:ind w:left="0" w:right="0" w:firstLine="480"/>
              <w:jc w:val="left"/>
              <w:rPr>
                <w:rFonts w:ascii="宋体" w:hAnsi="宋体" w:eastAsia="宋体" w:cs="Times New Roman"/>
                <w:color w:val="auto"/>
                <w:spacing w:val="0"/>
                <w:sz w:val="24"/>
                <w:szCs w:val="24"/>
              </w:rPr>
            </w:pPr>
            <w:r>
              <w:rPr>
                <w:rFonts w:ascii="宋体" w:hAnsi="宋体" w:eastAsia="宋体" w:cs="Times New Roman"/>
                <w:color w:val="auto"/>
                <w:spacing w:val="0"/>
                <w:sz w:val="24"/>
                <w:szCs w:val="24"/>
              </w:rPr>
              <w:t>≥100Mbps</w:t>
            </w:r>
          </w:p>
        </w:tc>
      </w:tr>
      <w:tr w14:paraId="2FD891B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55" w:hRule="atLeast"/>
        </w:trPr>
        <w:tc>
          <w:tcPr>
            <w:tcW w:w="1065" w:type="dxa"/>
            <w:noWrap w:val="0"/>
            <w:vAlign w:val="top"/>
          </w:tcPr>
          <w:p w14:paraId="50A4E1B2">
            <w:pPr>
              <w:keepNext w:val="0"/>
              <w:keepLines w:val="0"/>
              <w:pageBreakBefore w:val="0"/>
              <w:widowControl w:val="0"/>
              <w:spacing w:line="360" w:lineRule="auto"/>
              <w:ind w:left="0" w:right="0" w:firstLine="480"/>
              <w:jc w:val="left"/>
              <w:rPr>
                <w:rFonts w:ascii="宋体" w:hAnsi="宋体" w:eastAsia="宋体" w:cs="Times New Roman"/>
                <w:color w:val="auto"/>
                <w:spacing w:val="0"/>
                <w:sz w:val="24"/>
                <w:szCs w:val="24"/>
              </w:rPr>
            </w:pPr>
            <w:r>
              <w:rPr>
                <w:rFonts w:ascii="宋体" w:hAnsi="宋体" w:eastAsia="宋体" w:cs="Times New Roman"/>
                <w:color w:val="auto"/>
                <w:spacing w:val="0"/>
                <w:sz w:val="24"/>
                <w:szCs w:val="24"/>
              </w:rPr>
              <w:t>5</w:t>
            </w:r>
          </w:p>
        </w:tc>
        <w:tc>
          <w:tcPr>
            <w:tcW w:w="2250" w:type="dxa"/>
            <w:noWrap w:val="0"/>
            <w:vAlign w:val="top"/>
          </w:tcPr>
          <w:p w14:paraId="201B34BD">
            <w:pPr>
              <w:keepNext w:val="0"/>
              <w:keepLines w:val="0"/>
              <w:pageBreakBefore w:val="0"/>
              <w:widowControl w:val="0"/>
              <w:spacing w:before="0" w:line="360" w:lineRule="auto"/>
              <w:ind w:left="0" w:right="0" w:firstLine="480"/>
              <w:jc w:val="left"/>
              <w:rPr>
                <w:rFonts w:hint="default" w:ascii="宋体" w:hAnsi="宋体" w:eastAsia="宋体" w:cs="PingFang SC"/>
                <w:color w:val="auto"/>
                <w:spacing w:val="0"/>
                <w:sz w:val="24"/>
                <w:szCs w:val="24"/>
                <w:lang w:val="en-US" w:eastAsia="en-US" w:bidi="ar-SA"/>
              </w:rPr>
            </w:pPr>
            <w:r>
              <w:rPr>
                <w:rFonts w:hint="default" w:ascii="宋体" w:hAnsi="宋体" w:eastAsia="宋体" w:cs="PingFang SC"/>
                <w:color w:val="auto"/>
                <w:spacing w:val="0"/>
                <w:sz w:val="24"/>
                <w:szCs w:val="24"/>
                <w:lang w:val="en-US" w:eastAsia="en-US" w:bidi="ar-SA"/>
              </w:rPr>
              <w:t>并发</w:t>
            </w:r>
            <w:r>
              <w:rPr>
                <w:rFonts w:hint="default" w:ascii="宋体" w:hAnsi="宋体" w:eastAsia="宋体" w:cs="Times New Roman"/>
                <w:color w:val="auto"/>
                <w:spacing w:val="0"/>
                <w:sz w:val="24"/>
                <w:szCs w:val="24"/>
                <w:lang w:val="en-US" w:eastAsia="en-US" w:bidi="ar-SA"/>
              </w:rPr>
              <w:t>SSL</w:t>
            </w:r>
            <w:r>
              <w:rPr>
                <w:rFonts w:hint="default" w:ascii="宋体" w:hAnsi="宋体" w:eastAsia="宋体" w:cs="PingFang SC"/>
                <w:color w:val="auto"/>
                <w:spacing w:val="0"/>
                <w:sz w:val="24"/>
                <w:szCs w:val="24"/>
                <w:lang w:val="en-US" w:eastAsia="en-US" w:bidi="ar-SA"/>
              </w:rPr>
              <w:t>用户数</w:t>
            </w:r>
          </w:p>
        </w:tc>
        <w:tc>
          <w:tcPr>
            <w:tcW w:w="5808" w:type="dxa"/>
            <w:noWrap w:val="0"/>
            <w:vAlign w:val="top"/>
          </w:tcPr>
          <w:p w14:paraId="0DF6F2C3">
            <w:pPr>
              <w:keepNext w:val="0"/>
              <w:keepLines w:val="0"/>
              <w:pageBreakBefore w:val="0"/>
              <w:widowControl w:val="0"/>
              <w:spacing w:before="0" w:line="360" w:lineRule="auto"/>
              <w:ind w:left="0" w:right="0" w:firstLine="480"/>
              <w:jc w:val="left"/>
              <w:rPr>
                <w:rFonts w:hint="default" w:ascii="宋体" w:hAnsi="宋体" w:eastAsia="宋体" w:cs="PingFang SC"/>
                <w:color w:val="auto"/>
                <w:spacing w:val="0"/>
                <w:sz w:val="24"/>
                <w:szCs w:val="24"/>
                <w:lang w:val="en-US" w:eastAsia="en-US" w:bidi="ar-SA"/>
              </w:rPr>
            </w:pPr>
            <w:r>
              <w:rPr>
                <w:rFonts w:hint="default" w:ascii="宋体" w:hAnsi="宋体" w:eastAsia="宋体" w:cs="Times New Roman"/>
                <w:color w:val="auto"/>
                <w:spacing w:val="0"/>
                <w:sz w:val="24"/>
                <w:szCs w:val="24"/>
                <w:lang w:val="en-US" w:eastAsia="en-US" w:bidi="ar-SA"/>
              </w:rPr>
              <w:t>≥300</w:t>
            </w:r>
            <w:r>
              <w:rPr>
                <w:rFonts w:hint="default" w:ascii="宋体" w:hAnsi="宋体" w:eastAsia="宋体" w:cs="PingFang SC"/>
                <w:color w:val="auto"/>
                <w:spacing w:val="0"/>
                <w:sz w:val="24"/>
                <w:szCs w:val="24"/>
                <w:lang w:val="en-US" w:eastAsia="en-US" w:bidi="ar-SA"/>
              </w:rPr>
              <w:t>个</w:t>
            </w:r>
          </w:p>
        </w:tc>
      </w:tr>
      <w:tr w14:paraId="606FD21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76" w:hRule="atLeast"/>
        </w:trPr>
        <w:tc>
          <w:tcPr>
            <w:tcW w:w="1065" w:type="dxa"/>
            <w:noWrap w:val="0"/>
            <w:vAlign w:val="top"/>
          </w:tcPr>
          <w:p w14:paraId="3483553A">
            <w:pPr>
              <w:keepNext w:val="0"/>
              <w:keepLines w:val="0"/>
              <w:pageBreakBefore w:val="0"/>
              <w:widowControl w:val="0"/>
              <w:spacing w:line="360" w:lineRule="auto"/>
              <w:ind w:left="0" w:right="0" w:firstLine="480"/>
              <w:jc w:val="left"/>
              <w:rPr>
                <w:rFonts w:ascii="宋体" w:hAnsi="宋体" w:eastAsia="宋体" w:cs="Times New Roman"/>
                <w:color w:val="auto"/>
                <w:spacing w:val="0"/>
                <w:sz w:val="24"/>
                <w:szCs w:val="24"/>
              </w:rPr>
            </w:pPr>
            <w:r>
              <w:rPr>
                <w:rFonts w:ascii="宋体" w:hAnsi="宋体" w:eastAsia="宋体" w:cs="Times New Roman"/>
                <w:color w:val="auto"/>
                <w:spacing w:val="0"/>
                <w:sz w:val="24"/>
                <w:szCs w:val="24"/>
              </w:rPr>
              <w:t>6</w:t>
            </w:r>
          </w:p>
        </w:tc>
        <w:tc>
          <w:tcPr>
            <w:tcW w:w="2250" w:type="dxa"/>
            <w:noWrap w:val="0"/>
            <w:vAlign w:val="top"/>
          </w:tcPr>
          <w:p w14:paraId="003982C7">
            <w:pPr>
              <w:keepNext w:val="0"/>
              <w:keepLines w:val="0"/>
              <w:pageBreakBefore w:val="0"/>
              <w:widowControl w:val="0"/>
              <w:spacing w:before="0" w:line="360" w:lineRule="auto"/>
              <w:ind w:left="0" w:right="0" w:firstLine="480"/>
              <w:jc w:val="left"/>
              <w:rPr>
                <w:rFonts w:hint="default" w:ascii="宋体" w:hAnsi="宋体" w:eastAsia="宋体" w:cs="Times New Roman"/>
                <w:color w:val="auto"/>
                <w:spacing w:val="0"/>
                <w:sz w:val="24"/>
                <w:szCs w:val="24"/>
                <w:lang w:val="en-US" w:eastAsia="en-US" w:bidi="ar-SA"/>
              </w:rPr>
            </w:pPr>
            <w:r>
              <w:rPr>
                <w:rFonts w:hint="default" w:ascii="宋体" w:hAnsi="宋体" w:eastAsia="宋体" w:cs="Times New Roman"/>
                <w:color w:val="auto"/>
                <w:spacing w:val="0"/>
                <w:sz w:val="24"/>
                <w:szCs w:val="24"/>
                <w:lang w:val="en-US" w:eastAsia="en-US" w:bidi="ar-SA"/>
              </w:rPr>
              <w:t>IPSecVPN</w:t>
            </w:r>
            <w:r>
              <w:rPr>
                <w:rFonts w:hint="default" w:ascii="宋体" w:hAnsi="宋体" w:eastAsia="宋体" w:cs="PingFang SC"/>
                <w:color w:val="auto"/>
                <w:spacing w:val="0"/>
                <w:sz w:val="24"/>
                <w:szCs w:val="24"/>
                <w:lang w:val="en-US" w:eastAsia="en-US" w:bidi="ar-SA"/>
              </w:rPr>
              <w:t>加密速</w:t>
            </w:r>
          </w:p>
          <w:p w14:paraId="7E6C144A">
            <w:pPr>
              <w:keepNext w:val="0"/>
              <w:keepLines w:val="0"/>
              <w:pageBreakBefore w:val="0"/>
              <w:widowControl w:val="0"/>
              <w:spacing w:line="360" w:lineRule="auto"/>
              <w:ind w:left="0" w:right="0" w:firstLine="480"/>
              <w:jc w:val="left"/>
              <w:rPr>
                <w:rFonts w:hint="default" w:ascii="宋体" w:hAnsi="宋体" w:eastAsia="宋体" w:cs="PingFang SC"/>
                <w:color w:val="auto"/>
                <w:spacing w:val="0"/>
                <w:sz w:val="24"/>
                <w:szCs w:val="24"/>
                <w:lang w:val="en-US" w:eastAsia="en-US" w:bidi="ar-SA"/>
              </w:rPr>
            </w:pPr>
            <w:r>
              <w:rPr>
                <w:rFonts w:hint="default" w:ascii="宋体" w:hAnsi="宋体" w:eastAsia="宋体" w:cs="PingFang SC"/>
                <w:color w:val="auto"/>
                <w:spacing w:val="0"/>
                <w:sz w:val="24"/>
                <w:szCs w:val="24"/>
                <w:lang w:val="en-US" w:eastAsia="en-US" w:bidi="ar-SA"/>
              </w:rPr>
              <w:t>度</w:t>
            </w:r>
          </w:p>
        </w:tc>
        <w:tc>
          <w:tcPr>
            <w:tcW w:w="5808" w:type="dxa"/>
            <w:noWrap w:val="0"/>
            <w:vAlign w:val="top"/>
          </w:tcPr>
          <w:p w14:paraId="68F1E299">
            <w:pPr>
              <w:keepNext w:val="0"/>
              <w:keepLines w:val="0"/>
              <w:pageBreakBefore w:val="0"/>
              <w:widowControl w:val="0"/>
              <w:spacing w:line="360" w:lineRule="auto"/>
              <w:ind w:left="0" w:right="0" w:firstLine="480"/>
              <w:jc w:val="left"/>
              <w:rPr>
                <w:rFonts w:ascii="宋体" w:hAnsi="宋体" w:eastAsia="宋体" w:cs="Times New Roman"/>
                <w:color w:val="auto"/>
                <w:spacing w:val="0"/>
                <w:sz w:val="24"/>
                <w:szCs w:val="24"/>
              </w:rPr>
            </w:pPr>
            <w:r>
              <w:rPr>
                <w:rFonts w:ascii="宋体" w:hAnsi="宋体" w:eastAsia="宋体" w:cs="Times New Roman"/>
                <w:color w:val="auto"/>
                <w:spacing w:val="0"/>
                <w:sz w:val="24"/>
                <w:szCs w:val="24"/>
              </w:rPr>
              <w:t>≥55Mbps</w:t>
            </w:r>
          </w:p>
        </w:tc>
      </w:tr>
      <w:tr w14:paraId="51BD95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56" w:hRule="atLeast"/>
        </w:trPr>
        <w:tc>
          <w:tcPr>
            <w:tcW w:w="1065" w:type="dxa"/>
            <w:noWrap w:val="0"/>
            <w:vAlign w:val="top"/>
          </w:tcPr>
          <w:p w14:paraId="2D1AA25B">
            <w:pPr>
              <w:keepNext w:val="0"/>
              <w:keepLines w:val="0"/>
              <w:pageBreakBefore w:val="0"/>
              <w:widowControl w:val="0"/>
              <w:spacing w:line="360" w:lineRule="auto"/>
              <w:ind w:left="0" w:right="0" w:firstLine="480"/>
              <w:jc w:val="left"/>
              <w:rPr>
                <w:rFonts w:ascii="宋体" w:hAnsi="宋体" w:eastAsia="宋体" w:cs="Times New Roman"/>
                <w:color w:val="auto"/>
                <w:spacing w:val="0"/>
                <w:sz w:val="24"/>
                <w:szCs w:val="24"/>
              </w:rPr>
            </w:pPr>
            <w:r>
              <w:rPr>
                <w:rFonts w:ascii="宋体" w:hAnsi="宋体" w:eastAsia="宋体" w:cs="Times New Roman"/>
                <w:color w:val="auto"/>
                <w:spacing w:val="0"/>
                <w:sz w:val="24"/>
                <w:szCs w:val="24"/>
              </w:rPr>
              <w:t>7</w:t>
            </w:r>
          </w:p>
        </w:tc>
        <w:tc>
          <w:tcPr>
            <w:tcW w:w="2250" w:type="dxa"/>
            <w:noWrap w:val="0"/>
            <w:vAlign w:val="top"/>
          </w:tcPr>
          <w:p w14:paraId="38CBB995">
            <w:pPr>
              <w:keepNext w:val="0"/>
              <w:keepLines w:val="0"/>
              <w:pageBreakBefore w:val="0"/>
              <w:widowControl w:val="0"/>
              <w:spacing w:before="0" w:line="360" w:lineRule="auto"/>
              <w:ind w:left="0" w:right="0" w:firstLine="480"/>
              <w:jc w:val="left"/>
              <w:rPr>
                <w:rFonts w:hint="default" w:ascii="宋体" w:hAnsi="宋体" w:eastAsia="宋体" w:cs="PingFang SC"/>
                <w:color w:val="auto"/>
                <w:spacing w:val="0"/>
                <w:sz w:val="24"/>
                <w:szCs w:val="24"/>
                <w:lang w:val="en-US" w:eastAsia="en-US" w:bidi="ar-SA"/>
              </w:rPr>
            </w:pPr>
            <w:r>
              <w:rPr>
                <w:rFonts w:hint="default" w:ascii="宋体" w:hAnsi="宋体" w:eastAsia="宋体" w:cs="Times New Roman"/>
                <w:color w:val="auto"/>
                <w:spacing w:val="0"/>
                <w:sz w:val="24"/>
                <w:szCs w:val="24"/>
                <w:lang w:val="en-US" w:eastAsia="en-US" w:bidi="ar-SA"/>
              </w:rPr>
              <w:t>IPSecVPN</w:t>
            </w:r>
            <w:r>
              <w:rPr>
                <w:rFonts w:hint="default" w:ascii="宋体" w:hAnsi="宋体" w:eastAsia="宋体" w:cs="PingFang SC"/>
                <w:color w:val="auto"/>
                <w:spacing w:val="0"/>
                <w:sz w:val="24"/>
                <w:szCs w:val="24"/>
                <w:lang w:val="en-US" w:eastAsia="en-US" w:bidi="ar-SA"/>
              </w:rPr>
              <w:t>隧道数</w:t>
            </w:r>
          </w:p>
        </w:tc>
        <w:tc>
          <w:tcPr>
            <w:tcW w:w="5808" w:type="dxa"/>
            <w:noWrap w:val="0"/>
            <w:vAlign w:val="top"/>
          </w:tcPr>
          <w:p w14:paraId="53424A1F">
            <w:pPr>
              <w:keepNext w:val="0"/>
              <w:keepLines w:val="0"/>
              <w:pageBreakBefore w:val="0"/>
              <w:widowControl w:val="0"/>
              <w:spacing w:line="360" w:lineRule="auto"/>
              <w:ind w:left="0" w:right="0" w:firstLine="480"/>
              <w:jc w:val="left"/>
              <w:rPr>
                <w:rFonts w:ascii="宋体" w:hAnsi="宋体" w:eastAsia="宋体" w:cs="Times New Roman"/>
                <w:color w:val="auto"/>
                <w:spacing w:val="0"/>
                <w:sz w:val="24"/>
                <w:szCs w:val="24"/>
              </w:rPr>
            </w:pPr>
            <w:r>
              <w:rPr>
                <w:rFonts w:ascii="宋体" w:hAnsi="宋体" w:eastAsia="宋体" w:cs="Times New Roman"/>
                <w:color w:val="auto"/>
                <w:spacing w:val="0"/>
                <w:sz w:val="24"/>
                <w:szCs w:val="24"/>
              </w:rPr>
              <w:t>≥300</w:t>
            </w:r>
          </w:p>
        </w:tc>
      </w:tr>
      <w:tr w14:paraId="384E0EE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56" w:hRule="atLeast"/>
        </w:trPr>
        <w:tc>
          <w:tcPr>
            <w:tcW w:w="1065" w:type="dxa"/>
            <w:noWrap w:val="0"/>
            <w:vAlign w:val="top"/>
          </w:tcPr>
          <w:p w14:paraId="692A3A5A">
            <w:pPr>
              <w:keepNext w:val="0"/>
              <w:keepLines w:val="0"/>
              <w:pageBreakBefore w:val="0"/>
              <w:widowControl w:val="0"/>
              <w:spacing w:line="360" w:lineRule="auto"/>
              <w:ind w:left="0" w:right="0" w:firstLine="480"/>
              <w:jc w:val="left"/>
              <w:rPr>
                <w:rFonts w:ascii="宋体" w:hAnsi="宋体" w:eastAsia="宋体" w:cs="Times New Roman"/>
                <w:color w:val="auto"/>
                <w:spacing w:val="0"/>
                <w:sz w:val="24"/>
                <w:szCs w:val="24"/>
              </w:rPr>
            </w:pPr>
            <w:r>
              <w:rPr>
                <w:rFonts w:ascii="宋体" w:hAnsi="宋体" w:eastAsia="宋体" w:cs="Times New Roman"/>
                <w:color w:val="auto"/>
                <w:spacing w:val="0"/>
                <w:sz w:val="24"/>
                <w:szCs w:val="24"/>
              </w:rPr>
              <w:t>8</w:t>
            </w:r>
          </w:p>
        </w:tc>
        <w:tc>
          <w:tcPr>
            <w:tcW w:w="2250" w:type="dxa"/>
            <w:noWrap w:val="0"/>
            <w:vAlign w:val="top"/>
          </w:tcPr>
          <w:p w14:paraId="312DD8F4">
            <w:pPr>
              <w:keepNext w:val="0"/>
              <w:keepLines w:val="0"/>
              <w:pageBreakBefore w:val="0"/>
              <w:widowControl w:val="0"/>
              <w:spacing w:before="0" w:line="360" w:lineRule="auto"/>
              <w:ind w:left="0" w:right="0" w:firstLine="480"/>
              <w:jc w:val="left"/>
              <w:rPr>
                <w:rFonts w:hint="default" w:ascii="宋体" w:hAnsi="宋体" w:eastAsia="宋体" w:cs="PingFang SC"/>
                <w:color w:val="auto"/>
                <w:spacing w:val="0"/>
                <w:sz w:val="24"/>
                <w:szCs w:val="24"/>
                <w:lang w:val="en-US" w:eastAsia="en-US" w:bidi="ar-SA"/>
              </w:rPr>
            </w:pPr>
            <w:r>
              <w:rPr>
                <w:rFonts w:hint="default" w:ascii="宋体" w:hAnsi="宋体" w:eastAsia="宋体" w:cs="PingFang SC"/>
                <w:color w:val="auto"/>
                <w:spacing w:val="0"/>
                <w:sz w:val="24"/>
                <w:szCs w:val="24"/>
                <w:lang w:val="en-US" w:eastAsia="en-US" w:bidi="ar-SA"/>
              </w:rPr>
              <w:t>产品尺寸</w:t>
            </w:r>
          </w:p>
        </w:tc>
        <w:tc>
          <w:tcPr>
            <w:tcW w:w="5808" w:type="dxa"/>
            <w:noWrap w:val="0"/>
            <w:vAlign w:val="top"/>
          </w:tcPr>
          <w:p w14:paraId="07E8A731">
            <w:pPr>
              <w:keepNext w:val="0"/>
              <w:keepLines w:val="0"/>
              <w:pageBreakBefore w:val="0"/>
              <w:widowControl w:val="0"/>
              <w:spacing w:before="0" w:line="360" w:lineRule="auto"/>
              <w:ind w:left="0" w:right="0" w:firstLine="480"/>
              <w:jc w:val="left"/>
              <w:rPr>
                <w:rFonts w:hint="default" w:ascii="宋体" w:hAnsi="宋体" w:eastAsia="宋体" w:cs="PingFang SC"/>
                <w:color w:val="auto"/>
                <w:spacing w:val="0"/>
                <w:sz w:val="24"/>
                <w:szCs w:val="24"/>
                <w:lang w:val="en-US" w:eastAsia="en-US" w:bidi="ar-SA"/>
              </w:rPr>
            </w:pPr>
            <w:r>
              <w:rPr>
                <w:rFonts w:hint="default" w:ascii="宋体" w:hAnsi="宋体" w:eastAsia="宋体" w:cs="PingFang SC"/>
                <w:color w:val="auto"/>
                <w:spacing w:val="0"/>
                <w:sz w:val="24"/>
                <w:szCs w:val="24"/>
                <w:lang w:val="en-US" w:eastAsia="en-US" w:bidi="ar-SA"/>
              </w:rPr>
              <w:t>标准</w:t>
            </w:r>
            <w:r>
              <w:rPr>
                <w:rFonts w:hint="default" w:ascii="宋体" w:hAnsi="宋体" w:eastAsia="宋体" w:cs="Times New Roman"/>
                <w:color w:val="auto"/>
                <w:spacing w:val="0"/>
                <w:sz w:val="24"/>
                <w:szCs w:val="24"/>
                <w:lang w:val="en-US" w:eastAsia="en-US" w:bidi="ar-SA"/>
              </w:rPr>
              <w:t>1U</w:t>
            </w:r>
            <w:r>
              <w:rPr>
                <w:rFonts w:hint="default" w:ascii="宋体" w:hAnsi="宋体" w:eastAsia="宋体" w:cs="PingFang SC"/>
                <w:color w:val="auto"/>
                <w:spacing w:val="0"/>
                <w:sz w:val="24"/>
                <w:szCs w:val="24"/>
                <w:lang w:val="en-US" w:eastAsia="en-US" w:bidi="ar-SA"/>
              </w:rPr>
              <w:t>架构</w:t>
            </w:r>
          </w:p>
        </w:tc>
      </w:tr>
      <w:tr w14:paraId="125DFAD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56" w:hRule="atLeast"/>
        </w:trPr>
        <w:tc>
          <w:tcPr>
            <w:tcW w:w="1065" w:type="dxa"/>
            <w:noWrap w:val="0"/>
            <w:vAlign w:val="top"/>
          </w:tcPr>
          <w:p w14:paraId="23F4F3E4">
            <w:pPr>
              <w:keepNext w:val="0"/>
              <w:keepLines w:val="0"/>
              <w:pageBreakBefore w:val="0"/>
              <w:widowControl w:val="0"/>
              <w:spacing w:line="360" w:lineRule="auto"/>
              <w:ind w:left="0" w:right="0" w:firstLine="480"/>
              <w:jc w:val="left"/>
              <w:rPr>
                <w:rFonts w:ascii="宋体" w:hAnsi="宋体" w:eastAsia="宋体" w:cs="Times New Roman"/>
                <w:color w:val="auto"/>
                <w:spacing w:val="0"/>
                <w:sz w:val="24"/>
                <w:szCs w:val="24"/>
              </w:rPr>
            </w:pPr>
            <w:r>
              <w:rPr>
                <w:rFonts w:ascii="宋体" w:hAnsi="宋体" w:eastAsia="宋体" w:cs="Times New Roman"/>
                <w:color w:val="auto"/>
                <w:spacing w:val="0"/>
                <w:sz w:val="24"/>
                <w:szCs w:val="24"/>
              </w:rPr>
              <w:t>9</w:t>
            </w:r>
          </w:p>
        </w:tc>
        <w:tc>
          <w:tcPr>
            <w:tcW w:w="2250" w:type="dxa"/>
            <w:noWrap w:val="0"/>
            <w:vAlign w:val="top"/>
          </w:tcPr>
          <w:p w14:paraId="6FED992C">
            <w:pPr>
              <w:keepNext w:val="0"/>
              <w:keepLines w:val="0"/>
              <w:pageBreakBefore w:val="0"/>
              <w:widowControl w:val="0"/>
              <w:spacing w:before="0" w:line="360" w:lineRule="auto"/>
              <w:ind w:left="0" w:right="0" w:firstLine="480"/>
              <w:jc w:val="left"/>
              <w:rPr>
                <w:rFonts w:hint="default" w:ascii="宋体" w:hAnsi="宋体" w:eastAsia="宋体" w:cs="PingFang SC"/>
                <w:color w:val="auto"/>
                <w:spacing w:val="0"/>
                <w:sz w:val="24"/>
                <w:szCs w:val="24"/>
                <w:lang w:val="en-US" w:eastAsia="en-US" w:bidi="ar-SA"/>
              </w:rPr>
            </w:pPr>
            <w:r>
              <w:rPr>
                <w:rFonts w:hint="default" w:ascii="宋体" w:hAnsi="宋体" w:eastAsia="宋体" w:cs="PingFang SC"/>
                <w:color w:val="auto"/>
                <w:spacing w:val="0"/>
                <w:sz w:val="24"/>
                <w:szCs w:val="24"/>
                <w:lang w:val="en-US" w:eastAsia="en-US" w:bidi="ar-SA"/>
              </w:rPr>
              <w:t>电源</w:t>
            </w:r>
          </w:p>
        </w:tc>
        <w:tc>
          <w:tcPr>
            <w:tcW w:w="5808" w:type="dxa"/>
            <w:noWrap w:val="0"/>
            <w:vAlign w:val="top"/>
          </w:tcPr>
          <w:p w14:paraId="492290E4">
            <w:pPr>
              <w:keepNext w:val="0"/>
              <w:keepLines w:val="0"/>
              <w:pageBreakBefore w:val="0"/>
              <w:widowControl w:val="0"/>
              <w:spacing w:before="0" w:line="360" w:lineRule="auto"/>
              <w:ind w:left="0" w:right="0" w:firstLine="480"/>
              <w:jc w:val="left"/>
              <w:rPr>
                <w:rFonts w:hint="default" w:ascii="宋体" w:hAnsi="宋体" w:eastAsia="宋体" w:cs="PingFang SC"/>
                <w:color w:val="auto"/>
                <w:spacing w:val="0"/>
                <w:sz w:val="24"/>
                <w:szCs w:val="24"/>
                <w:lang w:val="en-US" w:eastAsia="en-US" w:bidi="ar-SA"/>
              </w:rPr>
            </w:pPr>
            <w:r>
              <w:rPr>
                <w:rFonts w:hint="default" w:ascii="宋体" w:hAnsi="宋体" w:eastAsia="宋体" w:cs="PingFang SC"/>
                <w:color w:val="auto"/>
                <w:spacing w:val="0"/>
                <w:sz w:val="24"/>
                <w:szCs w:val="24"/>
                <w:lang w:val="en-US" w:eastAsia="en-US" w:bidi="ar-SA"/>
              </w:rPr>
              <w:t>单电源</w:t>
            </w:r>
          </w:p>
        </w:tc>
      </w:tr>
      <w:tr w14:paraId="0277267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465" w:hRule="atLeast"/>
        </w:trPr>
        <w:tc>
          <w:tcPr>
            <w:tcW w:w="1065" w:type="dxa"/>
            <w:noWrap w:val="0"/>
            <w:vAlign w:val="top"/>
          </w:tcPr>
          <w:p w14:paraId="22E1D077">
            <w:pPr>
              <w:keepNext w:val="0"/>
              <w:keepLines w:val="0"/>
              <w:pageBreakBefore w:val="0"/>
              <w:widowControl w:val="0"/>
              <w:spacing w:line="360" w:lineRule="auto"/>
              <w:ind w:left="0" w:right="0" w:firstLine="480"/>
              <w:jc w:val="left"/>
              <w:rPr>
                <w:rFonts w:ascii="宋体" w:hAnsi="宋体" w:eastAsia="宋体" w:cs="Times New Roman"/>
                <w:color w:val="auto"/>
                <w:spacing w:val="0"/>
                <w:sz w:val="24"/>
                <w:szCs w:val="24"/>
              </w:rPr>
            </w:pPr>
            <w:r>
              <w:rPr>
                <w:rFonts w:ascii="宋体" w:hAnsi="宋体" w:eastAsia="宋体" w:cs="Times New Roman"/>
                <w:color w:val="auto"/>
                <w:spacing w:val="0"/>
                <w:sz w:val="24"/>
                <w:szCs w:val="24"/>
              </w:rPr>
              <w:t>10</w:t>
            </w:r>
          </w:p>
        </w:tc>
        <w:tc>
          <w:tcPr>
            <w:tcW w:w="2250" w:type="dxa"/>
            <w:noWrap w:val="0"/>
            <w:vAlign w:val="top"/>
          </w:tcPr>
          <w:p w14:paraId="4EB6611E">
            <w:pPr>
              <w:keepNext w:val="0"/>
              <w:keepLines w:val="0"/>
              <w:pageBreakBefore w:val="0"/>
              <w:widowControl w:val="0"/>
              <w:spacing w:before="0" w:line="360" w:lineRule="auto"/>
              <w:ind w:left="0" w:right="0" w:firstLine="480"/>
              <w:jc w:val="left"/>
              <w:rPr>
                <w:rFonts w:hint="default" w:ascii="宋体" w:hAnsi="宋体" w:eastAsia="宋体" w:cs="PingFang SC"/>
                <w:color w:val="auto"/>
                <w:spacing w:val="0"/>
                <w:sz w:val="24"/>
                <w:szCs w:val="24"/>
                <w:lang w:val="en-US" w:eastAsia="en-US" w:bidi="ar-SA"/>
              </w:rPr>
            </w:pPr>
            <w:r>
              <w:rPr>
                <w:rFonts w:hint="default" w:ascii="宋体" w:hAnsi="宋体" w:eastAsia="宋体" w:cs="PingFang SC"/>
                <w:color w:val="auto"/>
                <w:spacing w:val="0"/>
                <w:sz w:val="24"/>
                <w:szCs w:val="24"/>
                <w:lang w:val="en-US" w:eastAsia="en-US" w:bidi="ar-SA"/>
              </w:rPr>
              <w:t>功能</w:t>
            </w:r>
          </w:p>
        </w:tc>
        <w:tc>
          <w:tcPr>
            <w:tcW w:w="5808" w:type="dxa"/>
            <w:noWrap w:val="0"/>
            <w:vAlign w:val="top"/>
          </w:tcPr>
          <w:p w14:paraId="42A81C3F">
            <w:pPr>
              <w:keepNext w:val="0"/>
              <w:keepLines w:val="0"/>
              <w:pageBreakBefore w:val="0"/>
              <w:widowControl w:val="0"/>
              <w:spacing w:before="0" w:line="360" w:lineRule="auto"/>
              <w:ind w:left="0" w:right="0" w:firstLine="480"/>
              <w:jc w:val="left"/>
              <w:rPr>
                <w:rFonts w:hint="default" w:ascii="宋体" w:hAnsi="宋体" w:eastAsia="宋体" w:cs="PingFang SC"/>
                <w:color w:val="auto"/>
                <w:spacing w:val="0"/>
                <w:sz w:val="24"/>
                <w:szCs w:val="24"/>
                <w:lang w:val="en-US" w:eastAsia="en-US" w:bidi="ar-SA"/>
              </w:rPr>
            </w:pPr>
            <w:r>
              <w:rPr>
                <w:rFonts w:hint="default" w:ascii="宋体" w:hAnsi="宋体" w:eastAsia="宋体" w:cs="PingFang SC"/>
                <w:color w:val="auto"/>
                <w:spacing w:val="0"/>
                <w:sz w:val="24"/>
                <w:szCs w:val="24"/>
                <w:lang w:val="en-US" w:eastAsia="en-US" w:bidi="ar-SA"/>
              </w:rPr>
              <w:t>支持基于</w:t>
            </w:r>
            <w:r>
              <w:rPr>
                <w:rFonts w:hint="default" w:ascii="宋体" w:hAnsi="宋体" w:eastAsia="宋体" w:cs="Times New Roman"/>
                <w:color w:val="auto"/>
                <w:spacing w:val="0"/>
                <w:sz w:val="24"/>
                <w:szCs w:val="24"/>
                <w:lang w:val="en-US" w:eastAsia="en-US" w:bidi="ar-SA"/>
              </w:rPr>
              <w:t>TCP</w:t>
            </w:r>
            <w:r>
              <w:rPr>
                <w:rFonts w:hint="default" w:ascii="宋体" w:hAnsi="宋体" w:eastAsia="宋体" w:cs="PingFang SC"/>
                <w:color w:val="auto"/>
                <w:spacing w:val="0"/>
                <w:sz w:val="24"/>
                <w:szCs w:val="24"/>
                <w:lang w:val="en-US" w:eastAsia="en-US" w:bidi="ar-SA"/>
              </w:rPr>
              <w:t>、</w:t>
            </w:r>
            <w:r>
              <w:rPr>
                <w:rFonts w:hint="default" w:ascii="宋体" w:hAnsi="宋体" w:eastAsia="宋体" w:cs="Times New Roman"/>
                <w:color w:val="auto"/>
                <w:spacing w:val="0"/>
                <w:sz w:val="24"/>
                <w:szCs w:val="24"/>
                <w:lang w:val="en-US" w:eastAsia="en-US" w:bidi="ar-SA"/>
              </w:rPr>
              <w:t>UDP</w:t>
            </w:r>
            <w:r>
              <w:rPr>
                <w:rFonts w:hint="default" w:ascii="宋体" w:hAnsi="宋体" w:eastAsia="宋体" w:cs="PingFang SC"/>
                <w:color w:val="auto"/>
                <w:spacing w:val="0"/>
                <w:sz w:val="24"/>
                <w:szCs w:val="24"/>
                <w:lang w:val="en-US" w:eastAsia="en-US" w:bidi="ar-SA"/>
              </w:rPr>
              <w:t>、</w:t>
            </w:r>
            <w:r>
              <w:rPr>
                <w:rFonts w:hint="default" w:ascii="宋体" w:hAnsi="宋体" w:eastAsia="宋体" w:cs="Times New Roman"/>
                <w:color w:val="auto"/>
                <w:spacing w:val="0"/>
                <w:sz w:val="24"/>
                <w:szCs w:val="24"/>
                <w:lang w:val="en-US" w:eastAsia="en-US" w:bidi="ar-SA"/>
              </w:rPr>
              <w:t>ICMP</w:t>
            </w:r>
            <w:r>
              <w:rPr>
                <w:rFonts w:hint="default" w:ascii="宋体" w:hAnsi="宋体" w:eastAsia="宋体" w:cs="PingFang SC"/>
                <w:color w:val="auto"/>
                <w:spacing w:val="0"/>
                <w:sz w:val="24"/>
                <w:szCs w:val="24"/>
                <w:lang w:val="en-US" w:eastAsia="en-US" w:bidi="ar-SA"/>
              </w:rPr>
              <w:t>的应用；</w:t>
            </w:r>
          </w:p>
          <w:p w14:paraId="0EA6C4E8">
            <w:pPr>
              <w:keepNext w:val="0"/>
              <w:keepLines w:val="0"/>
              <w:pageBreakBefore w:val="0"/>
              <w:widowControl w:val="0"/>
              <w:spacing w:before="0" w:line="360" w:lineRule="auto"/>
              <w:ind w:left="0" w:right="0" w:firstLine="480"/>
              <w:jc w:val="left"/>
              <w:rPr>
                <w:rFonts w:hint="default" w:ascii="宋体" w:hAnsi="宋体" w:eastAsia="宋体" w:cs="PingFang SC"/>
                <w:color w:val="auto"/>
                <w:spacing w:val="0"/>
                <w:sz w:val="24"/>
                <w:szCs w:val="24"/>
                <w:lang w:val="en-US" w:eastAsia="en-US" w:bidi="ar-SA"/>
              </w:rPr>
            </w:pPr>
            <w:r>
              <w:rPr>
                <w:rFonts w:hint="default" w:ascii="宋体" w:hAnsi="宋体" w:eastAsia="宋体" w:cs="PingFang SC"/>
                <w:color w:val="auto"/>
                <w:spacing w:val="0"/>
                <w:sz w:val="24"/>
                <w:szCs w:val="24"/>
                <w:lang w:val="en-US" w:eastAsia="en-US" w:bidi="ar-SA"/>
              </w:rPr>
              <w:t>完整支持主流操作系统（</w:t>
            </w:r>
            <w:r>
              <w:rPr>
                <w:rFonts w:hint="default" w:ascii="宋体" w:hAnsi="宋体" w:eastAsia="宋体" w:cs="Times New Roman"/>
                <w:color w:val="auto"/>
                <w:spacing w:val="0"/>
                <w:sz w:val="24"/>
                <w:szCs w:val="24"/>
                <w:lang w:val="en-US" w:eastAsia="en-US" w:bidi="ar-SA"/>
              </w:rPr>
              <w:t>Windows</w:t>
            </w:r>
            <w:r>
              <w:rPr>
                <w:rFonts w:hint="default" w:ascii="宋体" w:hAnsi="宋体" w:eastAsia="宋体" w:cs="PingFang SC"/>
                <w:color w:val="auto"/>
                <w:spacing w:val="0"/>
                <w:sz w:val="24"/>
                <w:szCs w:val="24"/>
                <w:lang w:val="en-US" w:eastAsia="en-US" w:bidi="ar-SA"/>
              </w:rPr>
              <w:t>、</w:t>
            </w:r>
            <w:r>
              <w:rPr>
                <w:rFonts w:hint="default" w:ascii="宋体" w:hAnsi="宋体" w:eastAsia="宋体" w:cs="Times New Roman"/>
                <w:color w:val="auto"/>
                <w:spacing w:val="0"/>
                <w:sz w:val="24"/>
                <w:szCs w:val="24"/>
                <w:lang w:val="en-US" w:eastAsia="en-US" w:bidi="ar-SA"/>
              </w:rPr>
              <w:t>Linux</w:t>
            </w:r>
            <w:r>
              <w:rPr>
                <w:rFonts w:hint="default" w:ascii="宋体" w:hAnsi="宋体" w:eastAsia="宋体" w:cs="PingFang SC"/>
                <w:color w:val="auto"/>
                <w:spacing w:val="0"/>
                <w:sz w:val="24"/>
                <w:szCs w:val="24"/>
                <w:lang w:val="en-US" w:eastAsia="en-US" w:bidi="ar-SA"/>
              </w:rPr>
              <w:t>、</w:t>
            </w:r>
            <w:r>
              <w:rPr>
                <w:rFonts w:hint="default" w:ascii="宋体" w:hAnsi="宋体" w:eastAsia="宋体" w:cs="Times New Roman"/>
                <w:color w:val="auto"/>
                <w:spacing w:val="0"/>
                <w:sz w:val="24"/>
                <w:szCs w:val="24"/>
                <w:lang w:val="en-US" w:eastAsia="en-US" w:bidi="ar-SA"/>
              </w:rPr>
              <w:t>Mac</w:t>
            </w:r>
            <w:r>
              <w:rPr>
                <w:rFonts w:hint="default" w:ascii="宋体" w:hAnsi="宋体" w:eastAsia="宋体" w:cs="PingFang SC"/>
                <w:color w:val="auto"/>
                <w:spacing w:val="0"/>
                <w:sz w:val="24"/>
                <w:szCs w:val="24"/>
                <w:lang w:val="en-US" w:eastAsia="en-US" w:bidi="ar-SA"/>
              </w:rPr>
              <w:t>）；</w:t>
            </w:r>
          </w:p>
          <w:p w14:paraId="4790B988">
            <w:pPr>
              <w:keepNext w:val="0"/>
              <w:keepLines w:val="0"/>
              <w:pageBreakBefore w:val="0"/>
              <w:widowControl w:val="0"/>
              <w:spacing w:before="0" w:line="360" w:lineRule="auto"/>
              <w:ind w:left="0" w:right="0" w:firstLine="480"/>
              <w:jc w:val="left"/>
              <w:rPr>
                <w:rFonts w:hint="default" w:ascii="宋体" w:hAnsi="宋体" w:eastAsia="宋体" w:cs="PingFang SC"/>
                <w:color w:val="auto"/>
                <w:spacing w:val="0"/>
                <w:sz w:val="24"/>
                <w:szCs w:val="24"/>
                <w:lang w:val="en-US" w:eastAsia="en-US" w:bidi="ar-SA"/>
              </w:rPr>
            </w:pPr>
            <w:r>
              <w:rPr>
                <w:rFonts w:hint="default" w:ascii="宋体" w:hAnsi="宋体" w:eastAsia="宋体" w:cs="PingFang SC"/>
                <w:color w:val="auto"/>
                <w:spacing w:val="0"/>
                <w:sz w:val="24"/>
                <w:szCs w:val="24"/>
                <w:lang w:val="en-US" w:eastAsia="en-US" w:bidi="ar-SA"/>
              </w:rPr>
              <w:t>支持</w:t>
            </w:r>
            <w:r>
              <w:rPr>
                <w:rFonts w:hint="default" w:ascii="宋体" w:hAnsi="宋体" w:eastAsia="宋体" w:cs="Times New Roman"/>
                <w:color w:val="auto"/>
                <w:spacing w:val="0"/>
                <w:sz w:val="24"/>
                <w:szCs w:val="24"/>
                <w:lang w:val="en-US" w:eastAsia="en-US" w:bidi="ar-SA"/>
              </w:rPr>
              <w:t>IE</w:t>
            </w:r>
            <w:r>
              <w:rPr>
                <w:rFonts w:hint="default" w:ascii="宋体" w:hAnsi="宋体" w:eastAsia="宋体" w:cs="PingFang SC"/>
                <w:color w:val="auto"/>
                <w:spacing w:val="0"/>
                <w:sz w:val="24"/>
                <w:szCs w:val="24"/>
                <w:lang w:val="en-US" w:eastAsia="en-US" w:bidi="ar-SA"/>
              </w:rPr>
              <w:t>、</w:t>
            </w:r>
            <w:r>
              <w:rPr>
                <w:rFonts w:hint="default" w:ascii="宋体" w:hAnsi="宋体" w:eastAsia="宋体" w:cs="Times New Roman"/>
                <w:color w:val="auto"/>
                <w:spacing w:val="0"/>
                <w:sz w:val="24"/>
                <w:szCs w:val="24"/>
                <w:lang w:val="en-US" w:eastAsia="en-US" w:bidi="ar-SA"/>
              </w:rPr>
              <w:t>Firefox</w:t>
            </w:r>
            <w:r>
              <w:rPr>
                <w:rFonts w:hint="default" w:ascii="宋体" w:hAnsi="宋体" w:eastAsia="宋体" w:cs="PingFang SC"/>
                <w:color w:val="auto"/>
                <w:spacing w:val="0"/>
                <w:sz w:val="24"/>
                <w:szCs w:val="24"/>
                <w:lang w:val="en-US" w:eastAsia="en-US" w:bidi="ar-SA"/>
              </w:rPr>
              <w:t>、</w:t>
            </w:r>
            <w:r>
              <w:rPr>
                <w:rFonts w:hint="default" w:ascii="宋体" w:hAnsi="宋体" w:eastAsia="宋体" w:cs="Times New Roman"/>
                <w:color w:val="auto"/>
                <w:spacing w:val="0"/>
                <w:sz w:val="24"/>
                <w:szCs w:val="24"/>
                <w:lang w:val="en-US" w:eastAsia="en-US" w:bidi="ar-SA"/>
              </w:rPr>
              <w:t>Safari</w:t>
            </w:r>
            <w:r>
              <w:rPr>
                <w:rFonts w:hint="default" w:ascii="宋体" w:hAnsi="宋体" w:eastAsia="宋体" w:cs="PingFang SC"/>
                <w:color w:val="auto"/>
                <w:spacing w:val="0"/>
                <w:sz w:val="24"/>
                <w:szCs w:val="24"/>
                <w:lang w:val="en-US" w:eastAsia="en-US" w:bidi="ar-SA"/>
              </w:rPr>
              <w:t>、</w:t>
            </w:r>
            <w:r>
              <w:rPr>
                <w:rFonts w:hint="default" w:ascii="宋体" w:hAnsi="宋体" w:eastAsia="宋体" w:cs="Times New Roman"/>
                <w:color w:val="auto"/>
                <w:spacing w:val="0"/>
                <w:sz w:val="24"/>
                <w:szCs w:val="24"/>
                <w:lang w:val="en-US" w:eastAsia="en-US" w:bidi="ar-SA"/>
              </w:rPr>
              <w:t>Google Chrome</w:t>
            </w:r>
            <w:r>
              <w:rPr>
                <w:rFonts w:hint="default" w:ascii="宋体" w:hAnsi="宋体" w:eastAsia="宋体" w:cs="PingFang SC"/>
                <w:color w:val="auto"/>
                <w:spacing w:val="0"/>
                <w:sz w:val="24"/>
                <w:szCs w:val="24"/>
                <w:lang w:val="en-US" w:eastAsia="en-US" w:bidi="ar-SA"/>
              </w:rPr>
              <w:t>、</w:t>
            </w:r>
            <w:r>
              <w:rPr>
                <w:rFonts w:hint="default" w:ascii="宋体" w:hAnsi="宋体" w:eastAsia="宋体" w:cs="Times New Roman"/>
                <w:color w:val="auto"/>
                <w:spacing w:val="0"/>
                <w:sz w:val="24"/>
                <w:szCs w:val="24"/>
                <w:lang w:val="en-US" w:eastAsia="en-US" w:bidi="ar-SA"/>
              </w:rPr>
              <w:t>Opera</w:t>
            </w:r>
            <w:r>
              <w:rPr>
                <w:rFonts w:hint="default" w:ascii="宋体" w:hAnsi="宋体" w:eastAsia="宋体" w:cs="PingFang SC"/>
                <w:color w:val="auto"/>
                <w:spacing w:val="0"/>
                <w:sz w:val="24"/>
                <w:szCs w:val="24"/>
                <w:lang w:val="en-US" w:eastAsia="en-US" w:bidi="ar-SA"/>
              </w:rPr>
              <w:t>等主流浏览器；</w:t>
            </w:r>
          </w:p>
          <w:p w14:paraId="28F512F3">
            <w:pPr>
              <w:keepNext w:val="0"/>
              <w:keepLines w:val="0"/>
              <w:pageBreakBefore w:val="0"/>
              <w:widowControl w:val="0"/>
              <w:spacing w:before="0" w:line="360" w:lineRule="auto"/>
              <w:ind w:left="0" w:right="0" w:firstLine="480"/>
              <w:jc w:val="left"/>
              <w:rPr>
                <w:rFonts w:hint="default" w:ascii="宋体" w:hAnsi="宋体" w:eastAsia="宋体" w:cs="PingFang SC"/>
                <w:color w:val="auto"/>
                <w:spacing w:val="0"/>
                <w:sz w:val="24"/>
                <w:szCs w:val="24"/>
                <w:lang w:val="en-US" w:eastAsia="en-US" w:bidi="ar-SA"/>
              </w:rPr>
            </w:pPr>
            <w:r>
              <w:rPr>
                <w:rFonts w:hint="default" w:ascii="宋体" w:hAnsi="宋体" w:eastAsia="宋体" w:cs="PingFang SC"/>
                <w:color w:val="auto"/>
                <w:spacing w:val="0"/>
                <w:sz w:val="24"/>
                <w:szCs w:val="24"/>
                <w:lang w:val="en-US" w:eastAsia="en-US" w:bidi="ar-SA"/>
              </w:rPr>
              <w:t>全面支持智能手机、移动终端；</w:t>
            </w:r>
          </w:p>
          <w:p w14:paraId="0B4AD573">
            <w:pPr>
              <w:keepNext w:val="0"/>
              <w:keepLines w:val="0"/>
              <w:pageBreakBefore w:val="0"/>
              <w:widowControl w:val="0"/>
              <w:spacing w:before="0" w:line="360" w:lineRule="auto"/>
              <w:ind w:left="0" w:right="0" w:firstLine="480"/>
              <w:jc w:val="left"/>
              <w:rPr>
                <w:rFonts w:hint="default" w:ascii="宋体" w:hAnsi="宋体" w:eastAsia="宋体" w:cs="PingFang SC"/>
                <w:color w:val="auto"/>
                <w:spacing w:val="0"/>
                <w:sz w:val="24"/>
                <w:szCs w:val="24"/>
                <w:lang w:val="en-US" w:eastAsia="en-US" w:bidi="ar-SA"/>
              </w:rPr>
            </w:pPr>
            <w:r>
              <w:rPr>
                <w:rFonts w:hint="default" w:ascii="宋体" w:hAnsi="宋体" w:eastAsia="宋体" w:cs="PingFang SC"/>
                <w:color w:val="auto"/>
                <w:spacing w:val="0"/>
                <w:sz w:val="24"/>
                <w:szCs w:val="24"/>
                <w:lang w:val="en-US" w:eastAsia="en-US" w:bidi="ar-SA"/>
              </w:rPr>
              <w:t>支持主流商业加密算法与国密算法；</w:t>
            </w:r>
          </w:p>
          <w:p w14:paraId="00E19877">
            <w:pPr>
              <w:keepNext w:val="0"/>
              <w:keepLines w:val="0"/>
              <w:pageBreakBefore w:val="0"/>
              <w:widowControl w:val="0"/>
              <w:spacing w:before="0" w:line="360" w:lineRule="auto"/>
              <w:ind w:left="0" w:right="0" w:firstLine="480"/>
              <w:jc w:val="left"/>
              <w:rPr>
                <w:rFonts w:hint="default" w:ascii="宋体" w:hAnsi="宋体" w:eastAsia="宋体" w:cs="PingFang SC"/>
                <w:color w:val="auto"/>
                <w:spacing w:val="0"/>
                <w:sz w:val="24"/>
                <w:szCs w:val="24"/>
                <w:lang w:val="en-US" w:eastAsia="en-US" w:bidi="ar-SA"/>
              </w:rPr>
            </w:pPr>
            <w:r>
              <w:rPr>
                <w:rFonts w:hint="default" w:ascii="宋体" w:hAnsi="宋体" w:eastAsia="宋体" w:cs="PingFang SC"/>
                <w:color w:val="auto"/>
                <w:spacing w:val="0"/>
                <w:sz w:val="24"/>
                <w:szCs w:val="24"/>
                <w:lang w:val="en-US" w:eastAsia="en-US" w:bidi="ar-SA"/>
              </w:rPr>
              <w:t>支持虚拟安全桌面；</w:t>
            </w:r>
          </w:p>
          <w:p w14:paraId="6637E101">
            <w:pPr>
              <w:keepNext w:val="0"/>
              <w:keepLines w:val="0"/>
              <w:pageBreakBefore w:val="0"/>
              <w:widowControl w:val="0"/>
              <w:spacing w:before="0" w:line="360" w:lineRule="auto"/>
              <w:ind w:left="0" w:right="0" w:firstLine="480"/>
              <w:jc w:val="left"/>
              <w:rPr>
                <w:rFonts w:hint="default" w:ascii="宋体" w:hAnsi="宋体" w:eastAsia="宋体" w:cs="PingFang SC"/>
                <w:color w:val="auto"/>
                <w:spacing w:val="0"/>
                <w:sz w:val="24"/>
                <w:szCs w:val="24"/>
                <w:lang w:val="en-US" w:eastAsia="en-US" w:bidi="ar-SA"/>
              </w:rPr>
            </w:pPr>
            <w:r>
              <w:rPr>
                <w:rFonts w:hint="default" w:ascii="宋体" w:hAnsi="宋体" w:eastAsia="宋体" w:cs="PingFang SC"/>
                <w:color w:val="auto"/>
                <w:spacing w:val="0"/>
                <w:sz w:val="24"/>
                <w:szCs w:val="24"/>
                <w:lang w:val="en-US" w:eastAsia="en-US" w:bidi="ar-SA"/>
              </w:rPr>
              <w:t>支持跨平台文件共享。</w:t>
            </w:r>
          </w:p>
        </w:tc>
      </w:tr>
    </w:tbl>
    <w:p w14:paraId="7F853A37">
      <w:pPr>
        <w:keepNext w:val="0"/>
        <w:keepLines w:val="0"/>
        <w:pageBreakBefore w:val="0"/>
        <w:widowControl w:val="0"/>
        <w:spacing w:line="360" w:lineRule="auto"/>
        <w:ind w:left="0" w:right="0" w:firstLine="480"/>
        <w:jc w:val="left"/>
        <w:rPr>
          <w:rFonts w:ascii="宋体" w:hAnsi="宋体" w:eastAsia="宋体" w:cs="PingFang SC"/>
          <w:b w:val="0"/>
          <w:bCs w:val="0"/>
          <w:color w:val="auto"/>
          <w:spacing w:val="0"/>
          <w:sz w:val="24"/>
          <w:szCs w:val="24"/>
        </w:rPr>
      </w:pPr>
      <w:r>
        <w:rPr>
          <w:rFonts w:ascii="宋体" w:hAnsi="宋体" w:eastAsia="宋体" w:cs="华文宋体"/>
          <w:b w:val="0"/>
          <w:bCs w:val="0"/>
          <w:color w:val="auto"/>
          <w:spacing w:val="0"/>
          <w:sz w:val="24"/>
          <w:szCs w:val="24"/>
        </w:rPr>
        <w:t>2.2.3</w:t>
      </w:r>
      <w:r>
        <w:rPr>
          <w:rFonts w:ascii="宋体" w:hAnsi="宋体" w:eastAsia="宋体" w:cs="PingFang SC"/>
          <w:b w:val="0"/>
          <w:bCs w:val="0"/>
          <w:color w:val="auto"/>
          <w:spacing w:val="0"/>
          <w:sz w:val="24"/>
          <w:szCs w:val="24"/>
        </w:rPr>
        <w:t>数据采集与传输要求</w:t>
      </w:r>
    </w:p>
    <w:p w14:paraId="14BB3786">
      <w:pPr>
        <w:numPr>
          <w:ilvl w:val="0"/>
          <w:numId w:val="0"/>
        </w:numPr>
        <w:rPr>
          <w:rFonts w:ascii="宋体" w:hAnsi="宋体" w:eastAsia="宋体" w:cs="PingFang SC"/>
          <w:b w:val="0"/>
          <w:bCs w:val="0"/>
          <w:color w:val="FF0000"/>
          <w:spacing w:val="0"/>
          <w:sz w:val="28"/>
          <w:szCs w:val="28"/>
        </w:rPr>
      </w:pPr>
      <w:r>
        <w:rPr>
          <w:rFonts w:hint="default" w:ascii="宋体" w:hAnsi="宋体" w:eastAsia="宋体" w:cs="宋体"/>
          <w:b/>
          <w:bCs/>
          <w:color w:val="FF0000"/>
          <w:sz w:val="28"/>
          <w:szCs w:val="28"/>
          <w:lang w:val="en-US" w:eastAsia="zh-CN" w:bidi="ar-SA"/>
        </w:rPr>
        <w:t>投标单位需</w:t>
      </w:r>
      <w:r>
        <w:rPr>
          <w:rFonts w:hint="eastAsia" w:ascii="宋体" w:hAnsi="宋体" w:eastAsia="宋体" w:cs="宋体"/>
          <w:b/>
          <w:bCs/>
          <w:color w:val="FF0000"/>
          <w:sz w:val="28"/>
          <w:szCs w:val="28"/>
          <w:lang w:val="en-US" w:eastAsia="zh-CN" w:bidi="ar-SA"/>
        </w:rPr>
        <w:t>提供</w:t>
      </w:r>
      <w:r>
        <w:rPr>
          <w:rFonts w:hint="default" w:ascii="宋体" w:hAnsi="宋体" w:eastAsia="宋体" w:cs="宋体"/>
          <w:b/>
          <w:bCs/>
          <w:color w:val="FF0000"/>
          <w:sz w:val="28"/>
          <w:szCs w:val="28"/>
          <w:lang w:val="en-US" w:eastAsia="zh-CN" w:bidi="ar-SA"/>
        </w:rPr>
        <w:t>数据管理平台</w:t>
      </w:r>
      <w:r>
        <w:rPr>
          <w:rFonts w:hint="eastAsia" w:ascii="宋体" w:hAnsi="宋体" w:eastAsia="宋体" w:cs="宋体"/>
          <w:b/>
          <w:bCs/>
          <w:color w:val="FF0000"/>
          <w:sz w:val="28"/>
          <w:szCs w:val="28"/>
          <w:lang w:val="en-US" w:eastAsia="zh-CN" w:bidi="ar-SA"/>
        </w:rPr>
        <w:t>供采购人使用</w:t>
      </w:r>
      <w:r>
        <w:rPr>
          <w:rFonts w:hint="default" w:ascii="宋体" w:hAnsi="宋体" w:eastAsia="宋体" w:cs="宋体"/>
          <w:b/>
          <w:bCs/>
          <w:color w:val="FF0000"/>
          <w:sz w:val="28"/>
          <w:szCs w:val="28"/>
          <w:lang w:val="en-US" w:eastAsia="zh-CN" w:bidi="ar-SA"/>
        </w:rPr>
        <w:t>，确保采购单位随时查看</w:t>
      </w:r>
      <w:r>
        <w:rPr>
          <w:rFonts w:hint="eastAsia" w:ascii="宋体" w:hAnsi="宋体" w:eastAsia="宋体" w:cs="宋体"/>
          <w:b/>
          <w:bCs/>
          <w:color w:val="FF0000"/>
          <w:sz w:val="28"/>
          <w:szCs w:val="28"/>
          <w:lang w:val="en-US" w:eastAsia="zh-CN" w:bidi="ar-SA"/>
        </w:rPr>
        <w:t>设备状态及</w:t>
      </w:r>
      <w:r>
        <w:rPr>
          <w:rFonts w:hint="default" w:ascii="宋体" w:hAnsi="宋体" w:eastAsia="宋体" w:cs="宋体"/>
          <w:b/>
          <w:bCs/>
          <w:color w:val="FF0000"/>
          <w:sz w:val="28"/>
          <w:szCs w:val="28"/>
          <w:lang w:val="en-US" w:eastAsia="zh-CN" w:bidi="ar-SA"/>
        </w:rPr>
        <w:t>数据</w:t>
      </w:r>
      <w:r>
        <w:rPr>
          <w:rFonts w:hint="eastAsia" w:ascii="宋体" w:hAnsi="宋体" w:eastAsia="宋体" w:cs="宋体"/>
          <w:b/>
          <w:bCs/>
          <w:color w:val="FF0000"/>
          <w:sz w:val="28"/>
          <w:szCs w:val="28"/>
          <w:lang w:val="en-US" w:eastAsia="zh-CN" w:bidi="ar-SA"/>
        </w:rPr>
        <w:t>情况且可根据采购人要求接入已有水站数据</w:t>
      </w:r>
      <w:r>
        <w:rPr>
          <w:rFonts w:hint="default" w:ascii="宋体" w:hAnsi="宋体" w:eastAsia="宋体" w:cs="宋体"/>
          <w:b/>
          <w:bCs/>
          <w:color w:val="FF0000"/>
          <w:sz w:val="28"/>
          <w:szCs w:val="28"/>
          <w:lang w:val="en-US" w:eastAsia="zh-CN" w:bidi="ar-SA"/>
        </w:rPr>
        <w:t>。</w:t>
      </w:r>
      <w:r>
        <w:rPr>
          <w:rFonts w:hint="eastAsia" w:ascii="宋体" w:hAnsi="宋体" w:eastAsia="宋体" w:cs="宋体"/>
          <w:b/>
          <w:bCs/>
          <w:color w:val="FF0000"/>
          <w:sz w:val="28"/>
          <w:szCs w:val="28"/>
          <w:lang w:val="en-US" w:eastAsia="zh-CN" w:bidi="ar-SA"/>
        </w:rPr>
        <w:t>（提供承诺函）</w:t>
      </w:r>
    </w:p>
    <w:p w14:paraId="1E9A42AA">
      <w:pPr>
        <w:keepNext w:val="0"/>
        <w:keepLines w:val="0"/>
        <w:pageBreakBefore w:val="0"/>
        <w:widowControl w:val="0"/>
        <w:spacing w:line="360" w:lineRule="auto"/>
        <w:ind w:left="0" w:right="0" w:firstLine="480"/>
        <w:jc w:val="left"/>
        <w:rPr>
          <w:rFonts w:ascii="宋体" w:hAnsi="宋体" w:eastAsia="宋体" w:cs="PingFang SC"/>
          <w:b w:val="0"/>
          <w:bCs w:val="0"/>
          <w:color w:val="auto"/>
          <w:spacing w:val="0"/>
          <w:sz w:val="24"/>
          <w:szCs w:val="24"/>
        </w:rPr>
      </w:pPr>
      <w:r>
        <w:rPr>
          <w:rFonts w:ascii="宋体" w:hAnsi="宋体" w:eastAsia="宋体"/>
          <w:b w:val="0"/>
          <w:bCs w:val="0"/>
          <w:color w:val="auto"/>
          <w:spacing w:val="0"/>
          <w:sz w:val="24"/>
          <w:szCs w:val="24"/>
        </w:rPr>
        <w:fldChar w:fldCharType="begin"/>
      </w:r>
      <w:r>
        <w:rPr>
          <w:rFonts w:ascii="宋体" w:hAnsi="宋体" w:eastAsia="宋体"/>
          <w:b w:val="0"/>
          <w:bCs w:val="0"/>
          <w:color w:val="auto"/>
          <w:spacing w:val="0"/>
          <w:sz w:val="24"/>
          <w:szCs w:val="24"/>
        </w:rPr>
        <w:instrText xml:space="preserve">HYPERLINK"2.2.3.1"</w:instrText>
      </w:r>
      <w:r>
        <w:rPr>
          <w:rFonts w:ascii="宋体" w:hAnsi="宋体" w:eastAsia="宋体"/>
          <w:b w:val="0"/>
          <w:bCs w:val="0"/>
          <w:color w:val="auto"/>
          <w:spacing w:val="0"/>
          <w:sz w:val="24"/>
          <w:szCs w:val="24"/>
        </w:rPr>
        <w:fldChar w:fldCharType="separate"/>
      </w:r>
      <w:r>
        <w:rPr>
          <w:rFonts w:ascii="宋体" w:hAnsi="宋体" w:eastAsia="宋体" w:cs="华文宋体"/>
          <w:b w:val="0"/>
          <w:bCs w:val="0"/>
          <w:color w:val="auto"/>
          <w:spacing w:val="0"/>
          <w:sz w:val="24"/>
          <w:szCs w:val="24"/>
        </w:rPr>
        <w:t>2.2.3.1</w:t>
      </w:r>
      <w:r>
        <w:rPr>
          <w:rFonts w:ascii="宋体" w:hAnsi="宋体" w:eastAsia="宋体" w:cs="华文宋体"/>
          <w:b w:val="0"/>
          <w:bCs w:val="0"/>
          <w:color w:val="auto"/>
          <w:spacing w:val="0"/>
          <w:sz w:val="24"/>
          <w:szCs w:val="24"/>
        </w:rPr>
        <w:fldChar w:fldCharType="end"/>
      </w:r>
      <w:r>
        <w:rPr>
          <w:rFonts w:ascii="宋体" w:hAnsi="宋体" w:eastAsia="宋体" w:cs="PingFang SC"/>
          <w:b w:val="0"/>
          <w:bCs w:val="0"/>
          <w:color w:val="auto"/>
          <w:spacing w:val="0"/>
          <w:sz w:val="24"/>
          <w:szCs w:val="24"/>
        </w:rPr>
        <w:t>数据采集与存储</w:t>
      </w:r>
    </w:p>
    <w:p w14:paraId="203DC99F">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PingFang SC"/>
          <w:color w:val="auto"/>
          <w:spacing w:val="0"/>
          <w:sz w:val="24"/>
          <w:szCs w:val="24"/>
          <w:lang w:val="en-US" w:eastAsia="zh-CN"/>
        </w:rPr>
        <w:t>2.2.3.1.1</w:t>
      </w:r>
      <w:r>
        <w:rPr>
          <w:rFonts w:ascii="宋体" w:hAnsi="宋体" w:eastAsia="宋体" w:cs="PingFang SC"/>
          <w:color w:val="auto"/>
          <w:spacing w:val="0"/>
          <w:sz w:val="24"/>
          <w:szCs w:val="24"/>
        </w:rPr>
        <w:t>采集自动分析仪器的监测数据，并分类保存；</w:t>
      </w:r>
    </w:p>
    <w:p w14:paraId="2F59D243">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PingFang SC"/>
          <w:color w:val="auto"/>
          <w:spacing w:val="0"/>
          <w:sz w:val="24"/>
          <w:szCs w:val="24"/>
          <w:lang w:val="en-US" w:eastAsia="zh-CN"/>
        </w:rPr>
        <w:t>2.2.3.1.2</w:t>
      </w:r>
      <w:r>
        <w:rPr>
          <w:rFonts w:ascii="宋体" w:hAnsi="宋体" w:eastAsia="宋体" w:cs="PingFang SC"/>
          <w:color w:val="auto"/>
          <w:spacing w:val="0"/>
          <w:sz w:val="24"/>
          <w:szCs w:val="24"/>
        </w:rPr>
        <w:t>采集自动分析仪器和集成系统各单元的工作状态量，并以运行日志的形式记录保存；</w:t>
      </w:r>
    </w:p>
    <w:p w14:paraId="0C043BE9">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PingFang SC"/>
          <w:color w:val="auto"/>
          <w:spacing w:val="0"/>
          <w:sz w:val="24"/>
          <w:szCs w:val="24"/>
          <w:lang w:val="en-US" w:eastAsia="zh-CN"/>
        </w:rPr>
        <w:t>2.2.3.1.3</w:t>
      </w:r>
      <w:r>
        <w:rPr>
          <w:rFonts w:ascii="宋体" w:hAnsi="宋体" w:eastAsia="宋体" w:cs="PingFang SC"/>
          <w:color w:val="auto"/>
          <w:spacing w:val="0"/>
          <w:sz w:val="24"/>
          <w:szCs w:val="24"/>
        </w:rPr>
        <w:t>采集关键性参数（测量量程、测量精度、测量间隔、测量检出限、消解温度、消解时长、空白校准时间、标样校准时间、测量信号曲线斜率（</w:t>
      </w:r>
      <w:r>
        <w:rPr>
          <w:rFonts w:ascii="宋体" w:hAnsi="宋体" w:eastAsia="宋体" w:cs="Times New Roman"/>
          <w:color w:val="auto"/>
          <w:spacing w:val="0"/>
          <w:sz w:val="24"/>
          <w:szCs w:val="24"/>
        </w:rPr>
        <w:t>k</w:t>
      </w:r>
      <w:r>
        <w:rPr>
          <w:rFonts w:ascii="宋体" w:hAnsi="宋体" w:eastAsia="宋体" w:cs="PingFang SC"/>
          <w:color w:val="auto"/>
          <w:spacing w:val="0"/>
          <w:sz w:val="24"/>
          <w:szCs w:val="24"/>
        </w:rPr>
        <w:t>）、曲线截距（</w:t>
      </w:r>
      <w:r>
        <w:rPr>
          <w:rFonts w:ascii="宋体" w:hAnsi="宋体" w:eastAsia="宋体" w:cs="Times New Roman"/>
          <w:color w:val="auto"/>
          <w:spacing w:val="0"/>
          <w:sz w:val="24"/>
          <w:szCs w:val="24"/>
        </w:rPr>
        <w:t>b</w:t>
      </w:r>
      <w:r>
        <w:rPr>
          <w:rFonts w:ascii="宋体" w:hAnsi="宋体" w:eastAsia="宋体" w:cs="PingFang SC"/>
          <w:color w:val="auto"/>
          <w:spacing w:val="0"/>
          <w:sz w:val="24"/>
          <w:szCs w:val="24"/>
        </w:rPr>
        <w:t>）、相关系数（</w:t>
      </w:r>
      <w:r>
        <w:rPr>
          <w:rFonts w:ascii="宋体" w:hAnsi="宋体" w:eastAsia="宋体" w:cs="Times New Roman"/>
          <w:color w:val="auto"/>
          <w:spacing w:val="0"/>
          <w:sz w:val="24"/>
          <w:szCs w:val="24"/>
        </w:rPr>
        <w:t>R</w:t>
      </w:r>
      <w:r>
        <w:rPr>
          <w:rFonts w:ascii="宋体" w:hAnsi="宋体" w:eastAsia="宋体" w:cs="PingFang SC"/>
          <w:color w:val="auto"/>
          <w:spacing w:val="0"/>
          <w:sz w:val="24"/>
          <w:szCs w:val="24"/>
        </w:rPr>
        <w:t>））；</w:t>
      </w:r>
    </w:p>
    <w:p w14:paraId="4014C6DD">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PingFang SC"/>
          <w:color w:val="auto"/>
          <w:spacing w:val="0"/>
          <w:sz w:val="24"/>
          <w:szCs w:val="24"/>
          <w:lang w:val="en-US" w:eastAsia="zh-CN"/>
        </w:rPr>
        <w:t>2.2.3.1.4</w:t>
      </w:r>
      <w:r>
        <w:rPr>
          <w:rFonts w:ascii="宋体" w:hAnsi="宋体" w:eastAsia="宋体" w:cs="PingFang SC"/>
          <w:color w:val="auto"/>
          <w:spacing w:val="0"/>
          <w:sz w:val="24"/>
          <w:szCs w:val="24"/>
        </w:rPr>
        <w:t>能够实时采集视频信息并传输至中心平台；</w:t>
      </w:r>
    </w:p>
    <w:p w14:paraId="0C12BE26">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PingFang SC"/>
          <w:color w:val="auto"/>
          <w:spacing w:val="0"/>
          <w:sz w:val="24"/>
          <w:szCs w:val="24"/>
          <w:lang w:val="en-US" w:eastAsia="zh-CN"/>
        </w:rPr>
        <w:t>2.2.3.1.5</w:t>
      </w:r>
      <w:r>
        <w:rPr>
          <w:rFonts w:ascii="宋体" w:hAnsi="宋体" w:eastAsia="宋体" w:cs="PingFang SC"/>
          <w:color w:val="auto"/>
          <w:spacing w:val="0"/>
          <w:sz w:val="24"/>
          <w:szCs w:val="24"/>
        </w:rPr>
        <w:t>断电后能自动保存历史数据和参数设置。</w:t>
      </w:r>
    </w:p>
    <w:p w14:paraId="0ED49C48">
      <w:pPr>
        <w:keepNext w:val="0"/>
        <w:keepLines w:val="0"/>
        <w:pageBreakBefore w:val="0"/>
        <w:widowControl w:val="0"/>
        <w:spacing w:line="360" w:lineRule="auto"/>
        <w:ind w:left="0" w:right="0" w:firstLine="480"/>
        <w:jc w:val="left"/>
        <w:rPr>
          <w:rFonts w:ascii="宋体" w:hAnsi="宋体" w:eastAsia="宋体" w:cs="PingFang SC"/>
          <w:b w:val="0"/>
          <w:bCs w:val="0"/>
          <w:color w:val="auto"/>
          <w:spacing w:val="0"/>
          <w:sz w:val="24"/>
          <w:szCs w:val="24"/>
        </w:rPr>
      </w:pPr>
      <w:r>
        <w:rPr>
          <w:rFonts w:ascii="宋体" w:hAnsi="宋体" w:eastAsia="宋体"/>
          <w:b w:val="0"/>
          <w:bCs w:val="0"/>
          <w:color w:val="auto"/>
          <w:spacing w:val="0"/>
          <w:sz w:val="24"/>
          <w:szCs w:val="24"/>
        </w:rPr>
        <w:fldChar w:fldCharType="begin"/>
      </w:r>
      <w:r>
        <w:rPr>
          <w:rFonts w:ascii="宋体" w:hAnsi="宋体" w:eastAsia="宋体"/>
          <w:b w:val="0"/>
          <w:bCs w:val="0"/>
          <w:color w:val="auto"/>
          <w:spacing w:val="0"/>
          <w:sz w:val="24"/>
          <w:szCs w:val="24"/>
        </w:rPr>
        <w:instrText xml:space="preserve">HYPERLINK"2.2.3.2"</w:instrText>
      </w:r>
      <w:r>
        <w:rPr>
          <w:rFonts w:ascii="宋体" w:hAnsi="宋体" w:eastAsia="宋体"/>
          <w:b w:val="0"/>
          <w:bCs w:val="0"/>
          <w:color w:val="auto"/>
          <w:spacing w:val="0"/>
          <w:sz w:val="24"/>
          <w:szCs w:val="24"/>
        </w:rPr>
        <w:fldChar w:fldCharType="separate"/>
      </w:r>
      <w:r>
        <w:rPr>
          <w:rFonts w:ascii="宋体" w:hAnsi="宋体" w:eastAsia="宋体" w:cs="华文宋体"/>
          <w:b w:val="0"/>
          <w:bCs w:val="0"/>
          <w:color w:val="auto"/>
          <w:spacing w:val="0"/>
          <w:sz w:val="24"/>
          <w:szCs w:val="24"/>
        </w:rPr>
        <w:t>2.2.3.2</w:t>
      </w:r>
      <w:r>
        <w:rPr>
          <w:rFonts w:ascii="宋体" w:hAnsi="宋体" w:eastAsia="宋体" w:cs="华文宋体"/>
          <w:b w:val="0"/>
          <w:bCs w:val="0"/>
          <w:color w:val="auto"/>
          <w:spacing w:val="0"/>
          <w:sz w:val="24"/>
          <w:szCs w:val="24"/>
        </w:rPr>
        <w:fldChar w:fldCharType="end"/>
      </w:r>
      <w:r>
        <w:rPr>
          <w:rFonts w:ascii="宋体" w:hAnsi="宋体" w:eastAsia="宋体" w:cs="PingFang SC"/>
          <w:b w:val="0"/>
          <w:bCs w:val="0"/>
          <w:color w:val="auto"/>
          <w:spacing w:val="0"/>
          <w:sz w:val="24"/>
          <w:szCs w:val="24"/>
        </w:rPr>
        <w:t>数据传输与通讯</w:t>
      </w:r>
    </w:p>
    <w:p w14:paraId="775BDF72">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PingFang SC"/>
          <w:color w:val="auto"/>
          <w:spacing w:val="0"/>
          <w:sz w:val="24"/>
          <w:szCs w:val="24"/>
          <w:lang w:val="en-US" w:eastAsia="zh-CN"/>
        </w:rPr>
        <w:t>2.2.3.2.1</w:t>
      </w:r>
      <w:r>
        <w:rPr>
          <w:rFonts w:ascii="宋体" w:hAnsi="宋体" w:eastAsia="宋体" w:cs="PingFang SC"/>
          <w:color w:val="auto"/>
          <w:spacing w:val="0"/>
          <w:sz w:val="24"/>
          <w:szCs w:val="24"/>
        </w:rPr>
        <w:t>采用无线、有线的通讯方式满足数据传输要求；</w:t>
      </w:r>
    </w:p>
    <w:p w14:paraId="0822C0FA">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PingFang SC"/>
          <w:color w:val="auto"/>
          <w:spacing w:val="0"/>
          <w:sz w:val="24"/>
          <w:szCs w:val="24"/>
          <w:lang w:val="en-US" w:eastAsia="zh-CN"/>
        </w:rPr>
        <w:t>2.2.3.2.2</w:t>
      </w:r>
      <w:r>
        <w:rPr>
          <w:rFonts w:ascii="宋体" w:hAnsi="宋体" w:eastAsia="宋体" w:cs="PingFang SC"/>
          <w:color w:val="auto"/>
          <w:spacing w:val="0"/>
          <w:sz w:val="24"/>
          <w:szCs w:val="24"/>
        </w:rPr>
        <w:t>采用虚拟专用网络（</w:t>
      </w:r>
      <w:r>
        <w:rPr>
          <w:rFonts w:ascii="宋体" w:hAnsi="宋体" w:eastAsia="宋体" w:cs="Times New Roman"/>
          <w:color w:val="auto"/>
          <w:spacing w:val="0"/>
          <w:sz w:val="24"/>
          <w:szCs w:val="24"/>
        </w:rPr>
        <w:t>VPN</w:t>
      </w:r>
      <w:r>
        <w:rPr>
          <w:rFonts w:ascii="宋体" w:hAnsi="宋体" w:eastAsia="宋体" w:cs="PingFang SC"/>
          <w:color w:val="auto"/>
          <w:spacing w:val="0"/>
          <w:sz w:val="24"/>
          <w:szCs w:val="24"/>
        </w:rPr>
        <w:t>）数据传输方式；</w:t>
      </w:r>
    </w:p>
    <w:p w14:paraId="14C614D9">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PingFang SC"/>
          <w:color w:val="auto"/>
          <w:spacing w:val="0"/>
          <w:sz w:val="24"/>
          <w:szCs w:val="24"/>
          <w:lang w:val="en-US" w:eastAsia="zh-CN"/>
        </w:rPr>
        <w:t>2.2.3.2.3</w:t>
      </w:r>
      <w:r>
        <w:rPr>
          <w:rFonts w:ascii="宋体" w:hAnsi="宋体" w:eastAsia="宋体" w:cs="PingFang SC"/>
          <w:color w:val="auto"/>
          <w:spacing w:val="0"/>
          <w:sz w:val="24"/>
          <w:szCs w:val="24"/>
        </w:rPr>
        <w:t>具备对通信链路的自动诊断功能，具备超时补发功能。</w:t>
      </w:r>
    </w:p>
    <w:p w14:paraId="40680451">
      <w:pPr>
        <w:keepNext w:val="0"/>
        <w:keepLines w:val="0"/>
        <w:pageBreakBefore w:val="0"/>
        <w:widowControl w:val="0"/>
        <w:spacing w:line="360" w:lineRule="auto"/>
        <w:ind w:left="0" w:right="0" w:firstLine="480"/>
        <w:jc w:val="left"/>
        <w:rPr>
          <w:rFonts w:ascii="宋体" w:hAnsi="宋体" w:eastAsia="宋体" w:cs="PingFang SC"/>
          <w:b w:val="0"/>
          <w:bCs w:val="0"/>
          <w:color w:val="auto"/>
          <w:spacing w:val="0"/>
          <w:sz w:val="24"/>
          <w:szCs w:val="24"/>
        </w:rPr>
      </w:pPr>
      <w:r>
        <w:rPr>
          <w:rFonts w:ascii="宋体" w:hAnsi="宋体" w:eastAsia="宋体" w:cs="华文宋体"/>
          <w:b w:val="0"/>
          <w:bCs w:val="0"/>
          <w:color w:val="auto"/>
          <w:spacing w:val="0"/>
          <w:sz w:val="24"/>
          <w:szCs w:val="24"/>
        </w:rPr>
        <w:t>2.3</w:t>
      </w:r>
      <w:r>
        <w:rPr>
          <w:rFonts w:ascii="宋体" w:hAnsi="宋体" w:eastAsia="宋体" w:cs="PingFang SC"/>
          <w:b w:val="0"/>
          <w:bCs w:val="0"/>
          <w:color w:val="auto"/>
          <w:spacing w:val="0"/>
          <w:sz w:val="24"/>
          <w:szCs w:val="24"/>
        </w:rPr>
        <w:t>留样单元</w:t>
      </w:r>
    </w:p>
    <w:p w14:paraId="6ED62EC8">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PingFang SC"/>
          <w:color w:val="auto"/>
          <w:spacing w:val="0"/>
          <w:sz w:val="24"/>
          <w:szCs w:val="24"/>
          <w:lang w:val="en-US" w:eastAsia="zh-CN"/>
        </w:rPr>
        <w:t>2.3.1</w:t>
      </w:r>
      <w:r>
        <w:rPr>
          <w:rFonts w:ascii="宋体" w:hAnsi="宋体" w:eastAsia="宋体" w:cs="PingFang SC"/>
          <w:color w:val="auto"/>
          <w:spacing w:val="0"/>
          <w:sz w:val="24"/>
          <w:szCs w:val="24"/>
        </w:rPr>
        <w:t>具备水样冷藏功能，温度在</w:t>
      </w:r>
      <w:r>
        <w:rPr>
          <w:rFonts w:ascii="宋体" w:hAnsi="宋体" w:eastAsia="宋体" w:cs="Times New Roman"/>
          <w:color w:val="auto"/>
          <w:spacing w:val="0"/>
          <w:sz w:val="24"/>
          <w:szCs w:val="24"/>
        </w:rPr>
        <w:t>4±2</w:t>
      </w:r>
      <w:r>
        <w:rPr>
          <w:rFonts w:ascii="宋体" w:hAnsi="宋体" w:eastAsia="宋体" w:cs="PingFang SC"/>
          <w:color w:val="auto"/>
          <w:spacing w:val="0"/>
          <w:sz w:val="24"/>
          <w:szCs w:val="24"/>
        </w:rPr>
        <w:t>℃;</w:t>
      </w:r>
    </w:p>
    <w:p w14:paraId="774BC892">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PingFang SC"/>
          <w:color w:val="auto"/>
          <w:spacing w:val="0"/>
          <w:sz w:val="24"/>
          <w:szCs w:val="24"/>
          <w:lang w:val="en-US" w:eastAsia="zh-CN"/>
        </w:rPr>
        <w:t>2.3.2</w:t>
      </w:r>
      <w:r>
        <w:rPr>
          <w:rFonts w:ascii="宋体" w:hAnsi="宋体" w:eastAsia="宋体" w:cs="PingFang SC"/>
          <w:color w:val="auto"/>
          <w:spacing w:val="0"/>
          <w:sz w:val="24"/>
          <w:szCs w:val="24"/>
        </w:rPr>
        <w:t>留样瓶由惰性材料制成，易清洗，容量应</w:t>
      </w:r>
      <w:r>
        <w:rPr>
          <w:rFonts w:ascii="宋体" w:hAnsi="宋体" w:eastAsia="宋体" w:cs="Times New Roman"/>
          <w:color w:val="auto"/>
          <w:spacing w:val="0"/>
          <w:sz w:val="24"/>
          <w:szCs w:val="24"/>
        </w:rPr>
        <w:t>≥500mL</w:t>
      </w:r>
      <w:r>
        <w:rPr>
          <w:rFonts w:ascii="宋体" w:hAnsi="宋体" w:eastAsia="宋体" w:cs="PingFang SC"/>
          <w:color w:val="auto"/>
          <w:spacing w:val="0"/>
          <w:sz w:val="24"/>
          <w:szCs w:val="24"/>
        </w:rPr>
        <w:t>，瓶数</w:t>
      </w:r>
      <w:r>
        <w:rPr>
          <w:rFonts w:ascii="宋体" w:hAnsi="宋体" w:eastAsia="宋体" w:cs="Times New Roman"/>
          <w:color w:val="auto"/>
          <w:spacing w:val="0"/>
          <w:sz w:val="24"/>
          <w:szCs w:val="24"/>
        </w:rPr>
        <w:t>≥24</w:t>
      </w:r>
      <w:r>
        <w:rPr>
          <w:rFonts w:ascii="宋体" w:hAnsi="宋体" w:eastAsia="宋体" w:cs="PingFang SC"/>
          <w:color w:val="auto"/>
          <w:spacing w:val="0"/>
          <w:sz w:val="24"/>
          <w:szCs w:val="24"/>
        </w:rPr>
        <w:t>个，有密封功能；</w:t>
      </w:r>
    </w:p>
    <w:p w14:paraId="4E4C04AC">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PingFang SC"/>
          <w:color w:val="auto"/>
          <w:spacing w:val="0"/>
          <w:sz w:val="24"/>
          <w:szCs w:val="24"/>
          <w:lang w:val="en-US" w:eastAsia="zh-CN"/>
        </w:rPr>
        <w:t>2.3.3</w:t>
      </w:r>
      <w:r>
        <w:rPr>
          <w:rFonts w:ascii="宋体" w:hAnsi="宋体" w:eastAsia="宋体" w:cs="PingFang SC"/>
          <w:color w:val="auto"/>
          <w:spacing w:val="0"/>
          <w:sz w:val="24"/>
          <w:szCs w:val="24"/>
        </w:rPr>
        <w:t>具有留样前自动润洗，留样后自动排空的功能；</w:t>
      </w:r>
    </w:p>
    <w:p w14:paraId="4D79A73F">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PingFang SC"/>
          <w:color w:val="auto"/>
          <w:spacing w:val="0"/>
          <w:sz w:val="24"/>
          <w:szCs w:val="24"/>
          <w:lang w:val="en-US" w:eastAsia="zh-CN"/>
        </w:rPr>
        <w:t>2.3.4</w:t>
      </w:r>
      <w:r>
        <w:rPr>
          <w:rFonts w:ascii="宋体" w:hAnsi="宋体" w:eastAsia="宋体" w:cs="PingFang SC"/>
          <w:color w:val="auto"/>
          <w:spacing w:val="0"/>
          <w:sz w:val="24"/>
          <w:szCs w:val="24"/>
        </w:rPr>
        <w:t>具有人工留样、自动留样、超标留样和远程反控留样等功能</w:t>
      </w:r>
    </w:p>
    <w:p w14:paraId="0C882DE0">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PingFang SC"/>
          <w:color w:val="auto"/>
          <w:spacing w:val="0"/>
          <w:sz w:val="24"/>
          <w:szCs w:val="24"/>
          <w:lang w:val="en-US" w:eastAsia="zh-CN"/>
        </w:rPr>
        <w:t>2.3.5</w:t>
      </w:r>
      <w:r>
        <w:rPr>
          <w:rFonts w:ascii="宋体" w:hAnsi="宋体" w:eastAsia="宋体" w:cs="PingFang SC"/>
          <w:color w:val="auto"/>
          <w:spacing w:val="0"/>
          <w:sz w:val="24"/>
          <w:szCs w:val="24"/>
        </w:rPr>
        <w:t>配置门禁系统并具备开关门记录功能；</w:t>
      </w:r>
    </w:p>
    <w:p w14:paraId="58A06C61">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PingFang SC"/>
          <w:color w:val="auto"/>
          <w:spacing w:val="0"/>
          <w:sz w:val="24"/>
          <w:szCs w:val="24"/>
          <w:lang w:val="en-US" w:eastAsia="zh-CN"/>
        </w:rPr>
        <w:t>2.3.6</w:t>
      </w:r>
      <w:r>
        <w:rPr>
          <w:rFonts w:ascii="宋体" w:hAnsi="宋体" w:eastAsia="宋体" w:cs="PingFang SC"/>
          <w:color w:val="auto"/>
          <w:spacing w:val="0"/>
          <w:sz w:val="24"/>
          <w:szCs w:val="24"/>
        </w:rPr>
        <w:t>具有留样失败报警功能。</w:t>
      </w:r>
    </w:p>
    <w:p w14:paraId="7C2EB941">
      <w:pPr>
        <w:keepNext w:val="0"/>
        <w:keepLines w:val="0"/>
        <w:pageBreakBefore w:val="0"/>
        <w:widowControl w:val="0"/>
        <w:spacing w:line="360" w:lineRule="auto"/>
        <w:ind w:left="0" w:right="0" w:firstLine="480"/>
        <w:jc w:val="left"/>
        <w:rPr>
          <w:rFonts w:ascii="宋体" w:hAnsi="宋体" w:eastAsia="宋体" w:cs="PingFang SC"/>
          <w:b w:val="0"/>
          <w:bCs w:val="0"/>
          <w:color w:val="auto"/>
          <w:spacing w:val="0"/>
          <w:sz w:val="24"/>
          <w:szCs w:val="24"/>
        </w:rPr>
      </w:pPr>
      <w:r>
        <w:rPr>
          <w:rFonts w:ascii="宋体" w:hAnsi="宋体" w:eastAsia="宋体" w:cs="华文宋体"/>
          <w:b w:val="0"/>
          <w:bCs w:val="0"/>
          <w:color w:val="auto"/>
          <w:spacing w:val="0"/>
          <w:sz w:val="24"/>
          <w:szCs w:val="24"/>
        </w:rPr>
        <w:t>2.4</w:t>
      </w:r>
      <w:r>
        <w:rPr>
          <w:rFonts w:ascii="宋体" w:hAnsi="宋体" w:eastAsia="宋体" w:cs="PingFang SC"/>
          <w:b w:val="0"/>
          <w:bCs w:val="0"/>
          <w:color w:val="auto"/>
          <w:spacing w:val="0"/>
          <w:sz w:val="24"/>
          <w:szCs w:val="24"/>
        </w:rPr>
        <w:t>质控单元</w:t>
      </w:r>
    </w:p>
    <w:p w14:paraId="7D9F665E">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ascii="宋体" w:hAnsi="宋体" w:eastAsia="宋体" w:cs="PingFang SC"/>
          <w:color w:val="auto"/>
          <w:spacing w:val="0"/>
          <w:sz w:val="24"/>
          <w:szCs w:val="24"/>
        </w:rPr>
        <w:t>与分析单元联用，通过现场工控机上的控制软件协同控制分析单元和质控配样装置，实现分析仪器的质控测试。质控功能包括但不限于：平行样测试、标样核查、加标回收率测试、</w:t>
      </w:r>
      <w:r>
        <w:rPr>
          <w:rFonts w:ascii="宋体" w:hAnsi="宋体" w:eastAsia="宋体" w:cs="Times New Roman"/>
          <w:color w:val="auto"/>
          <w:spacing w:val="0"/>
          <w:sz w:val="24"/>
          <w:szCs w:val="24"/>
        </w:rPr>
        <w:t>24</w:t>
      </w:r>
      <w:r>
        <w:rPr>
          <w:rFonts w:ascii="宋体" w:hAnsi="宋体" w:eastAsia="宋体" w:cs="PingFang SC"/>
          <w:color w:val="auto"/>
          <w:spacing w:val="0"/>
          <w:sz w:val="24"/>
          <w:szCs w:val="24"/>
        </w:rPr>
        <w:t>小时零点漂移、</w:t>
      </w:r>
      <w:r>
        <w:rPr>
          <w:rFonts w:ascii="宋体" w:hAnsi="宋体" w:eastAsia="宋体" w:cs="Times New Roman"/>
          <w:color w:val="auto"/>
          <w:spacing w:val="0"/>
          <w:sz w:val="24"/>
          <w:szCs w:val="24"/>
        </w:rPr>
        <w:t>24</w:t>
      </w:r>
      <w:r>
        <w:rPr>
          <w:rFonts w:ascii="宋体" w:hAnsi="宋体" w:eastAsia="宋体" w:cs="PingFang SC"/>
          <w:color w:val="auto"/>
          <w:spacing w:val="0"/>
          <w:sz w:val="24"/>
          <w:szCs w:val="24"/>
        </w:rPr>
        <w:t>小时跨度（量程）漂移、自动零点核查和自动跨度（量程）核查等，具体要求如下：</w:t>
      </w:r>
    </w:p>
    <w:p w14:paraId="1D8CE882">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PingFang SC"/>
          <w:color w:val="auto"/>
          <w:spacing w:val="0"/>
          <w:sz w:val="24"/>
          <w:szCs w:val="24"/>
          <w:lang w:val="en-US" w:eastAsia="zh-CN"/>
        </w:rPr>
        <w:t>2.4.1</w:t>
      </w:r>
      <w:r>
        <w:rPr>
          <w:rFonts w:ascii="宋体" w:hAnsi="宋体" w:eastAsia="宋体" w:cs="PingFang SC"/>
          <w:color w:val="auto"/>
          <w:spacing w:val="0"/>
          <w:sz w:val="24"/>
          <w:szCs w:val="24"/>
        </w:rPr>
        <w:t>能够实现对水质自动分析仪器进行空白样测试、平行样测量、自动标样核查、自动加标回收率测试、自动零点核查、自动跨度核查、</w:t>
      </w:r>
      <w:r>
        <w:rPr>
          <w:rFonts w:ascii="宋体" w:hAnsi="宋体" w:eastAsia="宋体" w:cs="Times New Roman"/>
          <w:color w:val="auto"/>
          <w:spacing w:val="0"/>
          <w:sz w:val="24"/>
          <w:szCs w:val="24"/>
        </w:rPr>
        <w:t>24</w:t>
      </w:r>
      <w:r>
        <w:rPr>
          <w:rFonts w:ascii="宋体" w:hAnsi="宋体" w:eastAsia="宋体" w:cs="PingFang SC"/>
          <w:color w:val="auto"/>
          <w:spacing w:val="0"/>
          <w:sz w:val="24"/>
          <w:szCs w:val="24"/>
        </w:rPr>
        <w:t>小时零点漂移、</w:t>
      </w:r>
      <w:r>
        <w:rPr>
          <w:rFonts w:ascii="宋体" w:hAnsi="宋体" w:eastAsia="宋体" w:cs="Times New Roman"/>
          <w:color w:val="auto"/>
          <w:spacing w:val="0"/>
          <w:sz w:val="24"/>
          <w:szCs w:val="24"/>
        </w:rPr>
        <w:t>24</w:t>
      </w:r>
      <w:r>
        <w:rPr>
          <w:rFonts w:ascii="宋体" w:hAnsi="宋体" w:eastAsia="宋体" w:cs="PingFang SC"/>
          <w:color w:val="auto"/>
          <w:spacing w:val="0"/>
          <w:sz w:val="24"/>
          <w:szCs w:val="24"/>
        </w:rPr>
        <w:t>小时跨度漂移等质控功能并具备远程质控功能；</w:t>
      </w:r>
    </w:p>
    <w:p w14:paraId="721B9AD0">
      <w:pPr>
        <w:keepNext w:val="0"/>
        <w:keepLines w:val="0"/>
        <w:pageBreakBefore w:val="0"/>
        <w:widowControl w:val="0"/>
        <w:spacing w:line="360" w:lineRule="auto"/>
        <w:ind w:left="0" w:right="0" w:firstLine="480"/>
        <w:jc w:val="left"/>
        <w:rPr>
          <w:rFonts w:hint="default" w:ascii="宋体" w:hAnsi="宋体" w:eastAsia="宋体" w:cs="Arial"/>
          <w:color w:val="auto"/>
          <w:spacing w:val="0"/>
          <w:sz w:val="24"/>
          <w:szCs w:val="21"/>
          <w:lang w:val="en-US" w:eastAsia="en-US" w:bidi="ar-SA"/>
        </w:rPr>
      </w:pPr>
      <w:r>
        <w:rPr>
          <w:rFonts w:hint="eastAsia" w:ascii="宋体" w:hAnsi="宋体" w:cs="PingFang SC"/>
          <w:color w:val="auto"/>
          <w:spacing w:val="0"/>
          <w:sz w:val="24"/>
          <w:szCs w:val="24"/>
          <w:lang w:val="en-US" w:eastAsia="zh-CN"/>
        </w:rPr>
        <w:t>2.4.2</w:t>
      </w:r>
      <w:r>
        <w:rPr>
          <w:rFonts w:ascii="宋体" w:hAnsi="宋体" w:eastAsia="宋体" w:cs="PingFang SC"/>
          <w:color w:val="auto"/>
          <w:spacing w:val="0"/>
          <w:sz w:val="24"/>
          <w:szCs w:val="24"/>
        </w:rPr>
        <w:t>质控单元具有远程盲样考核功能。平台可远程向基站的质控单元发送加密的盲样制备指令，联动控制仪器启动抽样测试命令，该功能可随时考核仪器测试样品数据的准确稳定性。</w:t>
      </w:r>
    </w:p>
    <w:p w14:paraId="4AA0D279">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PingFang SC"/>
          <w:color w:val="auto"/>
          <w:spacing w:val="0"/>
          <w:sz w:val="24"/>
          <w:szCs w:val="24"/>
          <w:lang w:val="en-US" w:eastAsia="zh-CN"/>
        </w:rPr>
        <w:t>2.4.3</w:t>
      </w:r>
      <w:r>
        <w:rPr>
          <w:rFonts w:ascii="宋体" w:hAnsi="宋体" w:eastAsia="宋体" w:cs="PingFang SC"/>
          <w:color w:val="auto"/>
          <w:spacing w:val="0"/>
          <w:sz w:val="24"/>
          <w:szCs w:val="24"/>
        </w:rPr>
        <w:t>具有动态密码加标功能，可以根据水样测量值不同而自动调整加标体积。具有数据异常自动留样功能；</w:t>
      </w:r>
    </w:p>
    <w:p w14:paraId="133A4984">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PingFang SC"/>
          <w:color w:val="auto"/>
          <w:spacing w:val="0"/>
          <w:sz w:val="24"/>
          <w:szCs w:val="24"/>
          <w:lang w:val="en-US" w:eastAsia="zh-CN"/>
        </w:rPr>
        <w:t>2.4.4</w:t>
      </w:r>
      <w:r>
        <w:rPr>
          <w:rFonts w:ascii="宋体" w:hAnsi="宋体" w:eastAsia="宋体" w:cs="PingFang SC"/>
          <w:color w:val="auto"/>
          <w:spacing w:val="0"/>
          <w:sz w:val="24"/>
          <w:szCs w:val="24"/>
        </w:rPr>
        <w:t>系统具有自动诊断功能，数据出现异常波动时，自动追加的质控措施；具有门禁系统；</w:t>
      </w:r>
    </w:p>
    <w:p w14:paraId="66287B1C">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PingFang SC"/>
          <w:color w:val="auto"/>
          <w:spacing w:val="0"/>
          <w:sz w:val="24"/>
          <w:szCs w:val="24"/>
          <w:lang w:val="en-US" w:eastAsia="zh-CN"/>
        </w:rPr>
        <w:t>2.4.5</w:t>
      </w:r>
      <w:r>
        <w:rPr>
          <w:rFonts w:ascii="宋体" w:hAnsi="宋体" w:eastAsia="宋体" w:cs="PingFang SC"/>
          <w:color w:val="auto"/>
          <w:spacing w:val="0"/>
          <w:sz w:val="24"/>
          <w:szCs w:val="24"/>
        </w:rPr>
        <w:t>质控单元可动态监控水样杯中的水样量，周期测试时仪器未从水样杯中取样会触发报警，从而保证水样数据的真实性。可实时监控加标标液温度，保证质控样品准确、有效；</w:t>
      </w:r>
    </w:p>
    <w:p w14:paraId="30A77E21">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PingFang SC"/>
          <w:color w:val="auto"/>
          <w:spacing w:val="0"/>
          <w:sz w:val="24"/>
          <w:szCs w:val="24"/>
          <w:lang w:val="en-US" w:eastAsia="zh-CN"/>
        </w:rPr>
        <w:t>2.4.6</w:t>
      </w:r>
      <w:r>
        <w:rPr>
          <w:rFonts w:ascii="宋体" w:hAnsi="宋体" w:eastAsia="宋体" w:cs="PingFang SC"/>
          <w:color w:val="auto"/>
          <w:spacing w:val="0"/>
          <w:sz w:val="24"/>
          <w:szCs w:val="24"/>
        </w:rPr>
        <w:t>具备自动切换标样管和水样管的功能，以免交叉污染。每台仪器配备独立的质控装置，保证质控考核的独立性，可实现</w:t>
      </w:r>
      <w:r>
        <w:rPr>
          <w:rFonts w:ascii="宋体" w:hAnsi="宋体" w:eastAsia="宋体" w:cs="Times New Roman"/>
          <w:color w:val="auto"/>
          <w:spacing w:val="0"/>
          <w:sz w:val="24"/>
          <w:szCs w:val="24"/>
        </w:rPr>
        <w:t>20uL~10mL</w:t>
      </w:r>
      <w:r>
        <w:rPr>
          <w:rFonts w:ascii="宋体" w:hAnsi="宋体" w:eastAsia="宋体" w:cs="PingFang SC"/>
          <w:color w:val="auto"/>
          <w:spacing w:val="0"/>
          <w:sz w:val="24"/>
          <w:szCs w:val="24"/>
        </w:rPr>
        <w:t>范围内任意标液体积的精确加取；</w:t>
      </w:r>
    </w:p>
    <w:p w14:paraId="58F06F32">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PingFang SC"/>
          <w:color w:val="auto"/>
          <w:spacing w:val="0"/>
          <w:sz w:val="24"/>
          <w:szCs w:val="24"/>
          <w:lang w:val="en-US" w:eastAsia="zh-CN"/>
        </w:rPr>
        <w:t>2.4.7</w:t>
      </w:r>
      <w:r>
        <w:rPr>
          <w:rFonts w:ascii="宋体" w:hAnsi="宋体" w:eastAsia="宋体" w:cs="PingFang SC"/>
          <w:color w:val="auto"/>
          <w:spacing w:val="0"/>
          <w:sz w:val="24"/>
          <w:szCs w:val="24"/>
        </w:rPr>
        <w:t>具备自动实现加标量、标液浓度和定容体积设置的功能，并将加标量、标液浓度和定容体积信息保存并上传至平台。仪器设备、集成系统具备自动平行样测定功能，并能将平行样结果独立保存到数据库中。</w:t>
      </w:r>
    </w:p>
    <w:p w14:paraId="0EF13AF2">
      <w:pPr>
        <w:keepNext w:val="0"/>
        <w:keepLines w:val="0"/>
        <w:pageBreakBefore w:val="0"/>
        <w:widowControl w:val="0"/>
        <w:spacing w:line="360" w:lineRule="auto"/>
        <w:ind w:left="0" w:right="0" w:firstLine="480"/>
        <w:jc w:val="left"/>
        <w:rPr>
          <w:rFonts w:ascii="宋体" w:hAnsi="宋体" w:eastAsia="宋体" w:cs="PingFang SC"/>
          <w:b w:val="0"/>
          <w:bCs w:val="0"/>
          <w:color w:val="auto"/>
          <w:spacing w:val="0"/>
          <w:sz w:val="24"/>
          <w:szCs w:val="24"/>
        </w:rPr>
      </w:pPr>
      <w:r>
        <w:rPr>
          <w:rFonts w:ascii="宋体" w:hAnsi="宋体" w:eastAsia="宋体" w:cs="华文宋体"/>
          <w:b w:val="0"/>
          <w:bCs w:val="0"/>
          <w:color w:val="auto"/>
          <w:spacing w:val="0"/>
          <w:sz w:val="24"/>
          <w:szCs w:val="24"/>
        </w:rPr>
        <w:t>2.5</w:t>
      </w:r>
      <w:r>
        <w:rPr>
          <w:rFonts w:ascii="宋体" w:hAnsi="宋体" w:eastAsia="宋体" w:cs="PingFang SC"/>
          <w:b w:val="0"/>
          <w:bCs w:val="0"/>
          <w:color w:val="auto"/>
          <w:spacing w:val="0"/>
          <w:sz w:val="24"/>
          <w:szCs w:val="24"/>
        </w:rPr>
        <w:t>辅助单元（</w:t>
      </w:r>
      <w:r>
        <w:rPr>
          <w:rFonts w:ascii="宋体" w:hAnsi="宋体" w:eastAsia="宋体" w:cs="华文宋体"/>
          <w:b w:val="0"/>
          <w:bCs w:val="0"/>
          <w:color w:val="auto"/>
          <w:spacing w:val="0"/>
          <w:sz w:val="24"/>
          <w:szCs w:val="24"/>
        </w:rPr>
        <w:t>VPN</w:t>
      </w:r>
      <w:r>
        <w:rPr>
          <w:rFonts w:ascii="宋体" w:hAnsi="宋体" w:eastAsia="宋体" w:cs="PingFang SC"/>
          <w:b w:val="0"/>
          <w:bCs w:val="0"/>
          <w:color w:val="auto"/>
          <w:spacing w:val="0"/>
          <w:sz w:val="24"/>
          <w:szCs w:val="24"/>
        </w:rPr>
        <w:t>、稳压电源、机柜、试剂冰箱、空压机、臭氧发生器、不间断电源</w:t>
      </w:r>
      <w:r>
        <w:rPr>
          <w:rFonts w:ascii="宋体" w:hAnsi="宋体" w:eastAsia="宋体" w:cs="华文宋体"/>
          <w:b w:val="0"/>
          <w:bCs w:val="0"/>
          <w:color w:val="auto"/>
          <w:spacing w:val="0"/>
          <w:sz w:val="24"/>
          <w:szCs w:val="24"/>
        </w:rPr>
        <w:t>UPS</w:t>
      </w:r>
      <w:r>
        <w:rPr>
          <w:rFonts w:ascii="宋体" w:hAnsi="宋体" w:eastAsia="宋体" w:cs="PingFang SC"/>
          <w:b w:val="0"/>
          <w:bCs w:val="0"/>
          <w:color w:val="auto"/>
          <w:spacing w:val="0"/>
          <w:sz w:val="24"/>
          <w:szCs w:val="24"/>
        </w:rPr>
        <w:t>、视频监控系统、废液收集单元）</w:t>
      </w:r>
    </w:p>
    <w:p w14:paraId="6005348B">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ascii="宋体" w:hAnsi="宋体" w:eastAsia="宋体" w:cs="PingFang SC"/>
          <w:color w:val="auto"/>
          <w:spacing w:val="0"/>
          <w:sz w:val="24"/>
          <w:szCs w:val="24"/>
        </w:rPr>
        <w:t>具体要求如下：</w:t>
      </w:r>
    </w:p>
    <w:p w14:paraId="5822A6F0">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PingFang SC"/>
          <w:color w:val="auto"/>
          <w:spacing w:val="0"/>
          <w:sz w:val="24"/>
          <w:szCs w:val="24"/>
          <w:lang w:val="en-US" w:eastAsia="zh-CN"/>
        </w:rPr>
        <w:t>2.5.1</w:t>
      </w:r>
      <w:r>
        <w:rPr>
          <w:rFonts w:ascii="宋体" w:hAnsi="宋体" w:eastAsia="宋体" w:cs="Times New Roman"/>
          <w:color w:val="auto"/>
          <w:spacing w:val="0"/>
          <w:sz w:val="24"/>
          <w:szCs w:val="24"/>
        </w:rPr>
        <w:t>VPN</w:t>
      </w:r>
      <w:r>
        <w:rPr>
          <w:rFonts w:ascii="宋体" w:hAnsi="宋体" w:eastAsia="宋体" w:cs="PingFang SC"/>
          <w:color w:val="auto"/>
          <w:spacing w:val="0"/>
          <w:sz w:val="24"/>
          <w:szCs w:val="24"/>
        </w:rPr>
        <w:t>：要求同</w:t>
      </w:r>
      <w:r>
        <w:rPr>
          <w:rFonts w:ascii="宋体" w:hAnsi="宋体" w:eastAsia="宋体" w:cs="Times New Roman"/>
          <w:color w:val="auto"/>
          <w:spacing w:val="0"/>
          <w:sz w:val="24"/>
          <w:szCs w:val="24"/>
        </w:rPr>
        <w:t>2.2.2</w:t>
      </w:r>
      <w:r>
        <w:rPr>
          <w:rFonts w:ascii="宋体" w:hAnsi="宋体" w:eastAsia="宋体" w:cs="PingFang SC"/>
          <w:color w:val="auto"/>
          <w:spacing w:val="0"/>
          <w:sz w:val="24"/>
          <w:szCs w:val="24"/>
        </w:rPr>
        <w:t>条；</w:t>
      </w:r>
    </w:p>
    <w:p w14:paraId="61221667">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PingFang SC"/>
          <w:color w:val="auto"/>
          <w:spacing w:val="0"/>
          <w:sz w:val="24"/>
          <w:szCs w:val="24"/>
          <w:lang w:val="en-US" w:eastAsia="zh-CN"/>
        </w:rPr>
        <w:t>2.5.2</w:t>
      </w:r>
      <w:r>
        <w:rPr>
          <w:rFonts w:ascii="宋体" w:hAnsi="宋体" w:eastAsia="宋体" w:cs="Times New Roman"/>
          <w:color w:val="auto"/>
          <w:spacing w:val="0"/>
          <w:sz w:val="24"/>
          <w:szCs w:val="24"/>
        </w:rPr>
        <w:t>UPS</w:t>
      </w:r>
      <w:r>
        <w:rPr>
          <w:rFonts w:ascii="宋体" w:hAnsi="宋体" w:eastAsia="宋体" w:cs="PingFang SC"/>
          <w:color w:val="auto"/>
          <w:spacing w:val="0"/>
          <w:sz w:val="24"/>
          <w:szCs w:val="24"/>
        </w:rPr>
        <w:t>：总功率</w:t>
      </w:r>
      <w:r>
        <w:rPr>
          <w:rFonts w:ascii="宋体" w:hAnsi="宋体" w:eastAsia="宋体" w:cs="Times New Roman"/>
          <w:color w:val="auto"/>
          <w:spacing w:val="0"/>
          <w:sz w:val="24"/>
          <w:szCs w:val="24"/>
        </w:rPr>
        <w:t>≥3KVA</w:t>
      </w:r>
      <w:r>
        <w:rPr>
          <w:rFonts w:ascii="宋体" w:hAnsi="宋体" w:eastAsia="宋体" w:cs="PingFang SC"/>
          <w:color w:val="auto"/>
          <w:spacing w:val="0"/>
          <w:sz w:val="24"/>
          <w:szCs w:val="24"/>
        </w:rPr>
        <w:t>，断电后至少能保证仪器完成一个测量周期和数据上传，且待机不少于</w:t>
      </w:r>
      <w:r>
        <w:rPr>
          <w:rFonts w:ascii="宋体" w:hAnsi="宋体" w:eastAsia="宋体" w:cs="Times New Roman"/>
          <w:color w:val="auto"/>
          <w:spacing w:val="0"/>
          <w:sz w:val="24"/>
          <w:szCs w:val="24"/>
        </w:rPr>
        <w:t>1h</w:t>
      </w:r>
      <w:r>
        <w:rPr>
          <w:rFonts w:ascii="宋体" w:hAnsi="宋体" w:eastAsia="宋体" w:cs="PingFang SC"/>
          <w:color w:val="auto"/>
          <w:spacing w:val="0"/>
          <w:sz w:val="24"/>
          <w:szCs w:val="24"/>
        </w:rPr>
        <w:t>、三相稳压电源功率</w:t>
      </w:r>
      <w:r>
        <w:rPr>
          <w:rFonts w:ascii="宋体" w:hAnsi="宋体" w:eastAsia="宋体" w:cs="Times New Roman"/>
          <w:color w:val="auto"/>
          <w:spacing w:val="0"/>
          <w:sz w:val="24"/>
          <w:szCs w:val="24"/>
        </w:rPr>
        <w:t>≥15KW</w:t>
      </w:r>
      <w:r>
        <w:rPr>
          <w:rFonts w:ascii="宋体" w:hAnsi="宋体" w:eastAsia="宋体" w:cs="PingFang SC"/>
          <w:color w:val="auto"/>
          <w:spacing w:val="0"/>
          <w:sz w:val="24"/>
          <w:szCs w:val="24"/>
        </w:rPr>
        <w:t>；</w:t>
      </w:r>
    </w:p>
    <w:p w14:paraId="6574089E">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PingFang SC"/>
          <w:color w:val="auto"/>
          <w:spacing w:val="0"/>
          <w:sz w:val="24"/>
          <w:szCs w:val="24"/>
          <w:lang w:val="en-US" w:eastAsia="zh-CN"/>
        </w:rPr>
        <w:t>2.5.2</w:t>
      </w:r>
      <w:r>
        <w:rPr>
          <w:rFonts w:ascii="宋体" w:hAnsi="宋体" w:eastAsia="宋体" w:cs="PingFang SC"/>
          <w:color w:val="auto"/>
          <w:spacing w:val="0"/>
          <w:sz w:val="24"/>
          <w:szCs w:val="24"/>
        </w:rPr>
        <w:t>具备系统集成机柜、维护专用成套工具、试剂冰箱、空压机、臭氧发生器等；</w:t>
      </w:r>
    </w:p>
    <w:p w14:paraId="3F2640DD">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PingFang SC"/>
          <w:color w:val="auto"/>
          <w:spacing w:val="0"/>
          <w:sz w:val="24"/>
          <w:szCs w:val="24"/>
          <w:lang w:val="en-US" w:eastAsia="zh-CN"/>
        </w:rPr>
        <w:t>2.5.3</w:t>
      </w:r>
      <w:r>
        <w:rPr>
          <w:rFonts w:ascii="宋体" w:hAnsi="宋体" w:eastAsia="宋体" w:cs="PingFang SC"/>
          <w:color w:val="auto"/>
          <w:spacing w:val="0"/>
          <w:sz w:val="24"/>
          <w:szCs w:val="24"/>
        </w:rPr>
        <w:t>配备废液收集单元，满足两周以上废液量的收集；</w:t>
      </w:r>
    </w:p>
    <w:p w14:paraId="3C014AF5">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hint="eastAsia" w:ascii="宋体" w:hAnsi="宋体" w:cs="PingFang SC"/>
          <w:color w:val="auto"/>
          <w:spacing w:val="0"/>
          <w:sz w:val="24"/>
          <w:szCs w:val="24"/>
          <w:lang w:val="en-US" w:eastAsia="zh-CN"/>
        </w:rPr>
        <w:t>2.5.4</w:t>
      </w:r>
      <w:r>
        <w:rPr>
          <w:rFonts w:ascii="宋体" w:hAnsi="宋体" w:eastAsia="宋体" w:cs="PingFang SC"/>
          <w:color w:val="auto"/>
          <w:spacing w:val="0"/>
          <w:sz w:val="24"/>
          <w:szCs w:val="24"/>
        </w:rPr>
        <w:t>视频监控系统：站房视频监控单元应能够接入站房中控系统和远程应配置</w:t>
      </w:r>
      <w:r>
        <w:rPr>
          <w:rFonts w:ascii="宋体" w:hAnsi="宋体" w:eastAsia="宋体" w:cs="Times New Roman"/>
          <w:color w:val="auto"/>
          <w:spacing w:val="0"/>
          <w:sz w:val="24"/>
          <w:szCs w:val="24"/>
        </w:rPr>
        <w:t>1</w:t>
      </w:r>
      <w:r>
        <w:rPr>
          <w:rFonts w:ascii="宋体" w:hAnsi="宋体" w:eastAsia="宋体" w:cs="PingFang SC"/>
          <w:color w:val="auto"/>
          <w:spacing w:val="0"/>
          <w:sz w:val="24"/>
          <w:szCs w:val="24"/>
        </w:rPr>
        <w:t>套视频监控系统，至少包含</w:t>
      </w:r>
      <w:r>
        <w:rPr>
          <w:rFonts w:ascii="宋体" w:hAnsi="宋体" w:eastAsia="宋体" w:cs="Times New Roman"/>
          <w:color w:val="auto"/>
          <w:spacing w:val="0"/>
          <w:sz w:val="24"/>
          <w:szCs w:val="24"/>
        </w:rPr>
        <w:t>1</w:t>
      </w:r>
      <w:r>
        <w:rPr>
          <w:rFonts w:ascii="宋体" w:hAnsi="宋体" w:eastAsia="宋体" w:cs="PingFang SC"/>
          <w:color w:val="auto"/>
          <w:spacing w:val="0"/>
          <w:sz w:val="24"/>
          <w:szCs w:val="24"/>
        </w:rPr>
        <w:t>台硬盘录像机和</w:t>
      </w:r>
      <w:r>
        <w:rPr>
          <w:rFonts w:ascii="宋体" w:hAnsi="宋体" w:eastAsia="宋体" w:cs="Times New Roman"/>
          <w:color w:val="auto"/>
          <w:spacing w:val="0"/>
          <w:sz w:val="24"/>
          <w:szCs w:val="24"/>
        </w:rPr>
        <w:t>3</w:t>
      </w:r>
      <w:r>
        <w:rPr>
          <w:rFonts w:ascii="宋体" w:hAnsi="宋体" w:eastAsia="宋体" w:cs="PingFang SC"/>
          <w:color w:val="auto"/>
          <w:spacing w:val="0"/>
          <w:sz w:val="24"/>
          <w:szCs w:val="24"/>
        </w:rPr>
        <w:t>台摄像机，分别置于监控站房仪表间，采水口及站房周边。可远程监视站房内设备（采水单元、自动监测分析仪器、供电系统、数据采集及传输系统等）的整体运行情况，观察取水工程（取样水泵、浮台等）工作状况，水站周边的水位、流量等水文信息的直观情况，同时也可观察站房周边环境。</w:t>
      </w:r>
    </w:p>
    <w:p w14:paraId="4BD79866">
      <w:pPr>
        <w:keepNext w:val="0"/>
        <w:keepLines w:val="0"/>
        <w:pageBreakBefore w:val="0"/>
        <w:widowControl w:val="0"/>
        <w:spacing w:line="360" w:lineRule="auto"/>
        <w:ind w:left="0" w:right="0" w:firstLine="480"/>
        <w:jc w:val="left"/>
        <w:rPr>
          <w:rFonts w:ascii="宋体" w:hAnsi="宋体" w:eastAsia="宋体" w:cs="PingFang SC"/>
          <w:b w:val="0"/>
          <w:bCs w:val="0"/>
          <w:color w:val="auto"/>
          <w:spacing w:val="0"/>
          <w:sz w:val="24"/>
          <w:szCs w:val="24"/>
        </w:rPr>
      </w:pPr>
      <w:r>
        <w:rPr>
          <w:rFonts w:ascii="宋体" w:hAnsi="宋体" w:eastAsia="宋体" w:cs="PingFang SC"/>
          <w:b w:val="0"/>
          <w:bCs w:val="0"/>
          <w:color w:val="auto"/>
          <w:spacing w:val="0"/>
          <w:sz w:val="24"/>
          <w:szCs w:val="24"/>
        </w:rPr>
        <w:t>视频监控单元功能要求：</w:t>
      </w:r>
    </w:p>
    <w:p w14:paraId="1D468709">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ascii="宋体" w:hAnsi="宋体" w:eastAsia="宋体" w:cs="PingFang SC"/>
          <w:color w:val="auto"/>
          <w:spacing w:val="0"/>
          <w:sz w:val="24"/>
          <w:szCs w:val="24"/>
        </w:rPr>
        <w:t>（</w:t>
      </w:r>
      <w:r>
        <w:rPr>
          <w:rFonts w:ascii="宋体" w:hAnsi="宋体" w:eastAsia="宋体" w:cs="Times New Roman"/>
          <w:color w:val="auto"/>
          <w:spacing w:val="0"/>
          <w:sz w:val="24"/>
          <w:szCs w:val="24"/>
        </w:rPr>
        <w:t>a</w:t>
      </w:r>
      <w:r>
        <w:rPr>
          <w:rFonts w:ascii="宋体" w:hAnsi="宋体" w:eastAsia="宋体" w:cs="PingFang SC"/>
          <w:color w:val="auto"/>
          <w:spacing w:val="0"/>
          <w:sz w:val="24"/>
          <w:szCs w:val="24"/>
        </w:rPr>
        <w:t>）实时监控功能：可实现</w:t>
      </w:r>
      <w:r>
        <w:rPr>
          <w:rFonts w:ascii="宋体" w:hAnsi="宋体" w:eastAsia="宋体" w:cs="Times New Roman"/>
          <w:color w:val="auto"/>
          <w:spacing w:val="0"/>
          <w:sz w:val="24"/>
          <w:szCs w:val="24"/>
        </w:rPr>
        <w:t>24</w:t>
      </w:r>
      <w:r>
        <w:rPr>
          <w:rFonts w:ascii="宋体" w:hAnsi="宋体" w:eastAsia="宋体" w:cs="PingFang SC"/>
          <w:color w:val="auto"/>
          <w:spacing w:val="0"/>
          <w:sz w:val="24"/>
          <w:szCs w:val="24"/>
        </w:rPr>
        <w:t>小时不间断监控，实时获取监控区域内清晰的监控图像。</w:t>
      </w:r>
    </w:p>
    <w:p w14:paraId="20FEDDFE">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ascii="宋体" w:hAnsi="宋体" w:eastAsia="宋体" w:cs="PingFang SC"/>
          <w:color w:val="auto"/>
          <w:spacing w:val="0"/>
          <w:sz w:val="24"/>
          <w:szCs w:val="24"/>
        </w:rPr>
        <w:t>（</w:t>
      </w:r>
      <w:r>
        <w:rPr>
          <w:rFonts w:ascii="宋体" w:hAnsi="宋体" w:eastAsia="宋体" w:cs="Times New Roman"/>
          <w:color w:val="auto"/>
          <w:spacing w:val="0"/>
          <w:sz w:val="24"/>
          <w:szCs w:val="24"/>
        </w:rPr>
        <w:t>b</w:t>
      </w:r>
      <w:r>
        <w:rPr>
          <w:rFonts w:ascii="宋体" w:hAnsi="宋体" w:eastAsia="宋体" w:cs="PingFang SC"/>
          <w:color w:val="auto"/>
          <w:spacing w:val="0"/>
          <w:sz w:val="24"/>
          <w:szCs w:val="24"/>
        </w:rPr>
        <w:t>）云台操作功能：可实现全方位、多视角、无盲区、全天候式监控。</w:t>
      </w:r>
    </w:p>
    <w:p w14:paraId="5C993659">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ascii="宋体" w:hAnsi="宋体" w:eastAsia="宋体" w:cs="PingFang SC"/>
          <w:color w:val="auto"/>
          <w:spacing w:val="0"/>
          <w:sz w:val="24"/>
          <w:szCs w:val="24"/>
        </w:rPr>
        <w:t>（</w:t>
      </w:r>
      <w:r>
        <w:rPr>
          <w:rFonts w:ascii="宋体" w:hAnsi="宋体" w:eastAsia="宋体" w:cs="Times New Roman"/>
          <w:color w:val="auto"/>
          <w:spacing w:val="0"/>
          <w:sz w:val="24"/>
          <w:szCs w:val="24"/>
        </w:rPr>
        <w:t>c</w:t>
      </w:r>
      <w:r>
        <w:rPr>
          <w:rFonts w:ascii="宋体" w:hAnsi="宋体" w:eastAsia="宋体" w:cs="PingFang SC"/>
          <w:color w:val="auto"/>
          <w:spacing w:val="0"/>
          <w:sz w:val="24"/>
          <w:szCs w:val="24"/>
        </w:rPr>
        <w:t>）录像存储功能：支持前端存储和中心存储两种模式，既可通过前端的视音信号接入视频处理单元存储数据，满足前端存储的需要，供事后调查取证；也可通过部署存储服务器和存储设备，满足大容量多通道并发的中心存储需要。</w:t>
      </w:r>
    </w:p>
    <w:p w14:paraId="330B1B7B">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ascii="宋体" w:hAnsi="宋体" w:eastAsia="宋体" w:cs="PingFang SC"/>
          <w:color w:val="auto"/>
          <w:spacing w:val="0"/>
          <w:sz w:val="24"/>
          <w:szCs w:val="24"/>
        </w:rPr>
        <w:t>（</w:t>
      </w:r>
      <w:r>
        <w:rPr>
          <w:rFonts w:ascii="宋体" w:hAnsi="宋体" w:eastAsia="宋体" w:cs="Times New Roman"/>
          <w:color w:val="auto"/>
          <w:spacing w:val="0"/>
          <w:sz w:val="24"/>
          <w:szCs w:val="24"/>
        </w:rPr>
        <w:t>d</w:t>
      </w:r>
      <w:r>
        <w:rPr>
          <w:rFonts w:ascii="宋体" w:hAnsi="宋体" w:eastAsia="宋体" w:cs="PingFang SC"/>
          <w:color w:val="auto"/>
          <w:spacing w:val="0"/>
          <w:sz w:val="24"/>
          <w:szCs w:val="24"/>
        </w:rPr>
        <w:t>）语音监听功能。</w:t>
      </w:r>
    </w:p>
    <w:p w14:paraId="339D6F67">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ascii="宋体" w:hAnsi="宋体" w:eastAsia="宋体" w:cs="PingFang SC"/>
          <w:color w:val="auto"/>
          <w:spacing w:val="0"/>
          <w:sz w:val="24"/>
          <w:szCs w:val="24"/>
        </w:rPr>
        <w:t>（</w:t>
      </w:r>
      <w:r>
        <w:rPr>
          <w:rFonts w:ascii="宋体" w:hAnsi="宋体" w:eastAsia="宋体" w:cs="Times New Roman"/>
          <w:color w:val="auto"/>
          <w:spacing w:val="0"/>
          <w:sz w:val="24"/>
          <w:szCs w:val="24"/>
        </w:rPr>
        <w:t>e</w:t>
      </w:r>
      <w:r>
        <w:rPr>
          <w:rFonts w:ascii="宋体" w:hAnsi="宋体" w:eastAsia="宋体" w:cs="PingFang SC"/>
          <w:color w:val="auto"/>
          <w:spacing w:val="0"/>
          <w:sz w:val="24"/>
          <w:szCs w:val="24"/>
        </w:rPr>
        <w:t>）远程维护功能：可通过平台软件对前端设备进行校时、重启、修正参数、软件升级、远程维护等操作。</w:t>
      </w:r>
    </w:p>
    <w:p w14:paraId="3E96950A">
      <w:pPr>
        <w:keepNext w:val="0"/>
        <w:keepLines w:val="0"/>
        <w:pageBreakBefore w:val="0"/>
        <w:widowControl w:val="0"/>
        <w:spacing w:line="360" w:lineRule="auto"/>
        <w:ind w:left="0" w:right="0" w:firstLine="480"/>
        <w:jc w:val="left"/>
        <w:rPr>
          <w:rFonts w:ascii="宋体" w:hAnsi="宋体" w:eastAsia="宋体" w:cs="PingFang SC"/>
          <w:b w:val="0"/>
          <w:bCs w:val="0"/>
          <w:color w:val="auto"/>
          <w:spacing w:val="0"/>
          <w:sz w:val="24"/>
          <w:szCs w:val="24"/>
        </w:rPr>
      </w:pPr>
      <w:r>
        <w:rPr>
          <w:rFonts w:ascii="宋体" w:hAnsi="宋体" w:eastAsia="宋体" w:cs="PingFang SC"/>
          <w:b w:val="0"/>
          <w:bCs w:val="0"/>
          <w:color w:val="auto"/>
          <w:spacing w:val="0"/>
          <w:sz w:val="24"/>
          <w:szCs w:val="24"/>
        </w:rPr>
        <w:t>视频监控设备布设要求：</w:t>
      </w:r>
    </w:p>
    <w:p w14:paraId="01BCDA1D">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ascii="宋体" w:hAnsi="宋体" w:eastAsia="宋体" w:cs="PingFang SC"/>
          <w:color w:val="auto"/>
          <w:spacing w:val="0"/>
          <w:sz w:val="24"/>
          <w:szCs w:val="24"/>
        </w:rPr>
        <w:t>（</w:t>
      </w:r>
      <w:r>
        <w:rPr>
          <w:rFonts w:ascii="宋体" w:hAnsi="宋体" w:eastAsia="宋体" w:cs="Times New Roman"/>
          <w:color w:val="auto"/>
          <w:spacing w:val="0"/>
          <w:sz w:val="24"/>
          <w:szCs w:val="24"/>
        </w:rPr>
        <w:t>a</w:t>
      </w:r>
      <w:r>
        <w:rPr>
          <w:rFonts w:ascii="宋体" w:hAnsi="宋体" w:eastAsia="宋体" w:cs="PingFang SC"/>
          <w:color w:val="auto"/>
          <w:spacing w:val="0"/>
          <w:sz w:val="24"/>
          <w:szCs w:val="24"/>
        </w:rPr>
        <w:t>）站房外取水口（至少</w:t>
      </w:r>
      <w:r>
        <w:rPr>
          <w:rFonts w:ascii="宋体" w:hAnsi="宋体" w:eastAsia="宋体" w:cs="Times New Roman"/>
          <w:color w:val="auto"/>
          <w:spacing w:val="0"/>
          <w:sz w:val="24"/>
          <w:szCs w:val="24"/>
        </w:rPr>
        <w:t>1</w:t>
      </w:r>
      <w:r>
        <w:rPr>
          <w:rFonts w:ascii="宋体" w:hAnsi="宋体" w:eastAsia="宋体" w:cs="PingFang SC"/>
          <w:color w:val="auto"/>
          <w:spacing w:val="0"/>
          <w:sz w:val="24"/>
          <w:szCs w:val="24"/>
        </w:rPr>
        <w:t>台高清球机）：安装在靠近取水口岸边，并考虑</w:t>
      </w:r>
      <w:r>
        <w:rPr>
          <w:rFonts w:ascii="宋体" w:hAnsi="宋体" w:eastAsia="宋体" w:cs="Times New Roman"/>
          <w:color w:val="auto"/>
          <w:spacing w:val="0"/>
          <w:sz w:val="24"/>
          <w:szCs w:val="24"/>
        </w:rPr>
        <w:t>50</w:t>
      </w:r>
      <w:r>
        <w:rPr>
          <w:rFonts w:ascii="宋体" w:hAnsi="宋体" w:eastAsia="宋体" w:cs="PingFang SC"/>
          <w:color w:val="auto"/>
          <w:spacing w:val="0"/>
          <w:sz w:val="24"/>
          <w:szCs w:val="24"/>
        </w:rPr>
        <w:t>年一遇的防洪要求，用于监控取水口及站房周边情况。监控设备可水平</w:t>
      </w:r>
      <w:r>
        <w:rPr>
          <w:rFonts w:ascii="宋体" w:hAnsi="宋体" w:eastAsia="宋体" w:cs="Times New Roman"/>
          <w:color w:val="auto"/>
          <w:spacing w:val="0"/>
          <w:sz w:val="24"/>
          <w:szCs w:val="24"/>
        </w:rPr>
        <w:t>360</w:t>
      </w:r>
      <w:r>
        <w:rPr>
          <w:rFonts w:ascii="宋体" w:hAnsi="宋体" w:eastAsia="宋体" w:cs="PingFang SC"/>
          <w:color w:val="auto"/>
          <w:spacing w:val="0"/>
          <w:sz w:val="24"/>
          <w:szCs w:val="24"/>
        </w:rPr>
        <w:t>度旋转。</w:t>
      </w:r>
    </w:p>
    <w:p w14:paraId="5B4DAA3C">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ascii="宋体" w:hAnsi="宋体" w:eastAsia="宋体" w:cs="PingFang SC"/>
          <w:color w:val="auto"/>
          <w:spacing w:val="0"/>
          <w:sz w:val="24"/>
          <w:szCs w:val="24"/>
        </w:rPr>
        <w:t>（</w:t>
      </w:r>
      <w:r>
        <w:rPr>
          <w:rFonts w:ascii="宋体" w:hAnsi="宋体" w:eastAsia="宋体" w:cs="Times New Roman"/>
          <w:color w:val="auto"/>
          <w:spacing w:val="0"/>
          <w:sz w:val="24"/>
          <w:szCs w:val="24"/>
        </w:rPr>
        <w:t>b</w:t>
      </w:r>
      <w:r>
        <w:rPr>
          <w:rFonts w:ascii="宋体" w:hAnsi="宋体" w:eastAsia="宋体" w:cs="PingFang SC"/>
          <w:color w:val="auto"/>
          <w:spacing w:val="0"/>
          <w:sz w:val="24"/>
          <w:szCs w:val="24"/>
        </w:rPr>
        <w:t>）站房进门处（至少</w:t>
      </w:r>
      <w:r>
        <w:rPr>
          <w:rFonts w:ascii="宋体" w:hAnsi="宋体" w:eastAsia="宋体" w:cs="Times New Roman"/>
          <w:color w:val="auto"/>
          <w:spacing w:val="0"/>
          <w:sz w:val="24"/>
          <w:szCs w:val="24"/>
        </w:rPr>
        <w:t>1</w:t>
      </w:r>
      <w:r>
        <w:rPr>
          <w:rFonts w:ascii="宋体" w:hAnsi="宋体" w:eastAsia="宋体" w:cs="PingFang SC"/>
          <w:color w:val="auto"/>
          <w:spacing w:val="0"/>
          <w:sz w:val="24"/>
          <w:szCs w:val="24"/>
        </w:rPr>
        <w:t>台高清枪机）：安装在站房进门处，用以监控站房的出入情况。监控设备应配置枪机，固定监控视角。</w:t>
      </w:r>
    </w:p>
    <w:p w14:paraId="6721121F">
      <w:pPr>
        <w:keepNext w:val="0"/>
        <w:keepLines w:val="0"/>
        <w:pageBreakBefore w:val="0"/>
        <w:widowControl w:val="0"/>
        <w:spacing w:line="360" w:lineRule="auto"/>
        <w:ind w:left="0" w:right="0" w:firstLine="480"/>
        <w:jc w:val="left"/>
        <w:rPr>
          <w:rFonts w:hint="default" w:ascii="宋体" w:hAnsi="宋体" w:eastAsia="宋体" w:cs="Arial"/>
          <w:color w:val="auto"/>
          <w:spacing w:val="0"/>
          <w:sz w:val="24"/>
          <w:szCs w:val="21"/>
          <w:lang w:val="en-US" w:eastAsia="en-US" w:bidi="ar-SA"/>
        </w:rPr>
      </w:pPr>
      <w:r>
        <w:rPr>
          <w:rFonts w:ascii="宋体" w:hAnsi="宋体" w:eastAsia="宋体" w:cs="PingFang SC"/>
          <w:color w:val="auto"/>
          <w:spacing w:val="0"/>
          <w:sz w:val="24"/>
          <w:szCs w:val="24"/>
        </w:rPr>
        <w:t>（</w:t>
      </w:r>
      <w:r>
        <w:rPr>
          <w:rFonts w:ascii="宋体" w:hAnsi="宋体" w:eastAsia="宋体" w:cs="Times New Roman"/>
          <w:color w:val="auto"/>
          <w:spacing w:val="0"/>
          <w:sz w:val="24"/>
          <w:szCs w:val="24"/>
        </w:rPr>
        <w:t>c</w:t>
      </w:r>
      <w:r>
        <w:rPr>
          <w:rFonts w:ascii="宋体" w:hAnsi="宋体" w:eastAsia="宋体" w:cs="PingFang SC"/>
          <w:color w:val="auto"/>
          <w:spacing w:val="0"/>
          <w:sz w:val="24"/>
          <w:szCs w:val="24"/>
        </w:rPr>
        <w:t>）站房仪表间（至少</w:t>
      </w:r>
      <w:r>
        <w:rPr>
          <w:rFonts w:ascii="宋体" w:hAnsi="宋体" w:eastAsia="宋体" w:cs="Times New Roman"/>
          <w:color w:val="auto"/>
          <w:spacing w:val="0"/>
          <w:sz w:val="24"/>
          <w:szCs w:val="24"/>
        </w:rPr>
        <w:t>1</w:t>
      </w:r>
      <w:r>
        <w:rPr>
          <w:rFonts w:ascii="宋体" w:hAnsi="宋体" w:eastAsia="宋体" w:cs="PingFang SC"/>
          <w:color w:val="auto"/>
          <w:spacing w:val="0"/>
          <w:sz w:val="24"/>
          <w:szCs w:val="24"/>
        </w:rPr>
        <w:t>台高清球机）：安装在仪器设备集成机柜正面墙壁上，用于监控仪表间内部设备运行情况。监控设备可水平</w:t>
      </w:r>
      <w:r>
        <w:rPr>
          <w:rFonts w:ascii="宋体" w:hAnsi="宋体" w:eastAsia="宋体" w:cs="Times New Roman"/>
          <w:color w:val="auto"/>
          <w:spacing w:val="0"/>
          <w:sz w:val="24"/>
          <w:szCs w:val="24"/>
        </w:rPr>
        <w:t>360</w:t>
      </w:r>
      <w:r>
        <w:rPr>
          <w:rFonts w:ascii="宋体" w:hAnsi="宋体" w:eastAsia="宋体" w:cs="PingFang SC"/>
          <w:color w:val="auto"/>
          <w:spacing w:val="0"/>
          <w:sz w:val="24"/>
          <w:szCs w:val="24"/>
        </w:rPr>
        <w:t>度旋转。</w:t>
      </w:r>
    </w:p>
    <w:p w14:paraId="646532EB">
      <w:pPr>
        <w:keepNext w:val="0"/>
        <w:keepLines w:val="0"/>
        <w:pageBreakBefore w:val="0"/>
        <w:widowControl w:val="0"/>
        <w:spacing w:line="360" w:lineRule="auto"/>
        <w:ind w:left="0" w:right="0" w:firstLine="480"/>
        <w:jc w:val="left"/>
        <w:rPr>
          <w:rFonts w:ascii="宋体" w:hAnsi="宋体" w:eastAsia="宋体" w:cs="PingFang SC"/>
          <w:b w:val="0"/>
          <w:bCs w:val="0"/>
          <w:color w:val="auto"/>
          <w:spacing w:val="0"/>
          <w:sz w:val="24"/>
          <w:szCs w:val="24"/>
        </w:rPr>
      </w:pPr>
      <w:r>
        <w:rPr>
          <w:rFonts w:ascii="宋体" w:hAnsi="宋体" w:eastAsia="宋体" w:cs="PingFang SC"/>
          <w:b w:val="0"/>
          <w:bCs w:val="0"/>
          <w:color w:val="auto"/>
          <w:spacing w:val="0"/>
          <w:sz w:val="24"/>
          <w:szCs w:val="24"/>
        </w:rPr>
        <w:t>视频监控设备技术要求：</w:t>
      </w:r>
    </w:p>
    <w:p w14:paraId="6A33141B">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ascii="宋体" w:hAnsi="宋体" w:eastAsia="宋体" w:cs="PingFang SC"/>
          <w:color w:val="auto"/>
          <w:spacing w:val="0"/>
          <w:sz w:val="24"/>
          <w:szCs w:val="24"/>
        </w:rPr>
        <w:t>（</w:t>
      </w:r>
      <w:r>
        <w:rPr>
          <w:rFonts w:ascii="宋体" w:hAnsi="宋体" w:eastAsia="宋体" w:cs="Times New Roman"/>
          <w:color w:val="auto"/>
          <w:spacing w:val="0"/>
          <w:sz w:val="24"/>
          <w:szCs w:val="24"/>
        </w:rPr>
        <w:t>a</w:t>
      </w:r>
      <w:r>
        <w:rPr>
          <w:rFonts w:ascii="宋体" w:hAnsi="宋体" w:eastAsia="宋体" w:cs="PingFang SC"/>
          <w:color w:val="auto"/>
          <w:spacing w:val="0"/>
          <w:sz w:val="24"/>
          <w:szCs w:val="24"/>
        </w:rPr>
        <w:t>）网络红外球型摄像机：球机带云台，可水平</w:t>
      </w:r>
      <w:r>
        <w:rPr>
          <w:rFonts w:ascii="宋体" w:hAnsi="宋体" w:eastAsia="宋体" w:cs="Times New Roman"/>
          <w:color w:val="auto"/>
          <w:spacing w:val="0"/>
          <w:sz w:val="24"/>
          <w:szCs w:val="24"/>
        </w:rPr>
        <w:t>360</w:t>
      </w:r>
      <w:r>
        <w:rPr>
          <w:rFonts w:ascii="宋体" w:hAnsi="宋体" w:eastAsia="宋体" w:cs="PingFang SC"/>
          <w:color w:val="auto"/>
          <w:spacing w:val="0"/>
          <w:sz w:val="24"/>
          <w:szCs w:val="24"/>
        </w:rPr>
        <w:t>度旋转；不低于</w:t>
      </w:r>
      <w:r>
        <w:rPr>
          <w:rFonts w:ascii="宋体" w:hAnsi="宋体" w:eastAsia="宋体" w:cs="Times New Roman"/>
          <w:color w:val="auto"/>
          <w:spacing w:val="0"/>
          <w:sz w:val="24"/>
          <w:szCs w:val="24"/>
        </w:rPr>
        <w:t>300</w:t>
      </w:r>
      <w:r>
        <w:rPr>
          <w:rFonts w:ascii="宋体" w:hAnsi="宋体" w:eastAsia="宋体" w:cs="PingFang SC"/>
          <w:color w:val="auto"/>
          <w:spacing w:val="0"/>
          <w:sz w:val="24"/>
          <w:szCs w:val="24"/>
        </w:rPr>
        <w:t>万像素；带红外，支持夜间查看。</w:t>
      </w:r>
    </w:p>
    <w:p w14:paraId="1A936097">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ascii="宋体" w:hAnsi="宋体" w:eastAsia="宋体" w:cs="PingFang SC"/>
          <w:color w:val="auto"/>
          <w:spacing w:val="0"/>
          <w:sz w:val="24"/>
          <w:szCs w:val="24"/>
        </w:rPr>
        <w:t>（</w:t>
      </w:r>
      <w:r>
        <w:rPr>
          <w:rFonts w:ascii="宋体" w:hAnsi="宋体" w:eastAsia="宋体" w:cs="Times New Roman"/>
          <w:color w:val="auto"/>
          <w:spacing w:val="0"/>
          <w:sz w:val="24"/>
          <w:szCs w:val="24"/>
        </w:rPr>
        <w:t>b</w:t>
      </w:r>
      <w:r>
        <w:rPr>
          <w:rFonts w:ascii="宋体" w:hAnsi="宋体" w:eastAsia="宋体" w:cs="PingFang SC"/>
          <w:color w:val="auto"/>
          <w:spacing w:val="0"/>
          <w:sz w:val="24"/>
          <w:szCs w:val="24"/>
        </w:rPr>
        <w:t>）云台筒式摄像机；云台摄像机可水平</w:t>
      </w:r>
      <w:r>
        <w:rPr>
          <w:rFonts w:ascii="宋体" w:hAnsi="宋体" w:eastAsia="宋体" w:cs="Times New Roman"/>
          <w:color w:val="auto"/>
          <w:spacing w:val="0"/>
          <w:sz w:val="24"/>
          <w:szCs w:val="24"/>
        </w:rPr>
        <w:t>180</w:t>
      </w:r>
      <w:r>
        <w:rPr>
          <w:rFonts w:ascii="宋体" w:hAnsi="宋体" w:eastAsia="宋体" w:cs="PingFang SC"/>
          <w:color w:val="auto"/>
          <w:spacing w:val="0"/>
          <w:sz w:val="24"/>
          <w:szCs w:val="24"/>
        </w:rPr>
        <w:t>度旋转，竖直</w:t>
      </w:r>
      <w:r>
        <w:rPr>
          <w:rFonts w:ascii="宋体" w:hAnsi="宋体" w:eastAsia="宋体" w:cs="Times New Roman"/>
          <w:color w:val="auto"/>
          <w:spacing w:val="0"/>
          <w:sz w:val="24"/>
          <w:szCs w:val="24"/>
        </w:rPr>
        <w:t>-40</w:t>
      </w:r>
      <w:r>
        <w:rPr>
          <w:rFonts w:ascii="宋体" w:hAnsi="宋体" w:eastAsia="宋体" w:cs="PingFang SC"/>
          <w:color w:val="auto"/>
          <w:spacing w:val="0"/>
          <w:sz w:val="24"/>
          <w:szCs w:val="24"/>
        </w:rPr>
        <w:t>～</w:t>
      </w:r>
      <w:r>
        <w:rPr>
          <w:rFonts w:ascii="宋体" w:hAnsi="宋体" w:eastAsia="宋体" w:cs="Times New Roman"/>
          <w:color w:val="auto"/>
          <w:spacing w:val="0"/>
          <w:sz w:val="24"/>
          <w:szCs w:val="24"/>
        </w:rPr>
        <w:t>30</w:t>
      </w:r>
      <w:r>
        <w:rPr>
          <w:rFonts w:ascii="宋体" w:hAnsi="宋体" w:eastAsia="宋体" w:cs="PingFang SC"/>
          <w:color w:val="auto"/>
          <w:spacing w:val="0"/>
          <w:sz w:val="24"/>
          <w:szCs w:val="24"/>
        </w:rPr>
        <w:t>度旋转，具备云台操作功能，对视角、方位、焦距的调整，实现全方位、多视角、全天候监控；</w:t>
      </w:r>
    </w:p>
    <w:p w14:paraId="6E9CC06E">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ascii="宋体" w:hAnsi="宋体" w:eastAsia="宋体" w:cs="PingFang SC"/>
          <w:color w:val="auto"/>
          <w:spacing w:val="0"/>
          <w:sz w:val="24"/>
          <w:szCs w:val="24"/>
        </w:rPr>
        <w:t>（</w:t>
      </w:r>
      <w:r>
        <w:rPr>
          <w:rFonts w:ascii="宋体" w:hAnsi="宋体" w:eastAsia="宋体" w:cs="Times New Roman"/>
          <w:color w:val="auto"/>
          <w:spacing w:val="0"/>
          <w:sz w:val="24"/>
          <w:szCs w:val="24"/>
        </w:rPr>
        <w:t>c</w:t>
      </w:r>
      <w:r>
        <w:rPr>
          <w:rFonts w:ascii="宋体" w:hAnsi="宋体" w:eastAsia="宋体" w:cs="PingFang SC"/>
          <w:color w:val="auto"/>
          <w:spacing w:val="0"/>
          <w:sz w:val="24"/>
          <w:szCs w:val="24"/>
        </w:rPr>
        <w:t>）高清网络录像机：应选用可接驳符合开放型网络视频接口、</w:t>
      </w:r>
      <w:r>
        <w:rPr>
          <w:rFonts w:ascii="宋体" w:hAnsi="宋体" w:eastAsia="宋体" w:cs="Times New Roman"/>
          <w:color w:val="auto"/>
          <w:spacing w:val="0"/>
          <w:sz w:val="24"/>
          <w:szCs w:val="24"/>
        </w:rPr>
        <w:t>RTSP</w:t>
      </w:r>
      <w:r>
        <w:rPr>
          <w:rFonts w:ascii="宋体" w:hAnsi="宋体" w:eastAsia="宋体" w:cs="PingFang SC"/>
          <w:color w:val="auto"/>
          <w:spacing w:val="0"/>
          <w:sz w:val="24"/>
          <w:szCs w:val="24"/>
        </w:rPr>
        <w:t>、</w:t>
      </w:r>
      <w:r>
        <w:rPr>
          <w:rFonts w:ascii="宋体" w:hAnsi="宋体" w:eastAsia="宋体" w:cs="Times New Roman"/>
          <w:color w:val="auto"/>
          <w:spacing w:val="0"/>
          <w:sz w:val="24"/>
          <w:szCs w:val="24"/>
        </w:rPr>
        <w:t>GB28181</w:t>
      </w:r>
      <w:r>
        <w:rPr>
          <w:rFonts w:ascii="宋体" w:hAnsi="宋体" w:eastAsia="宋体" w:cs="PingFang SC"/>
          <w:color w:val="auto"/>
          <w:spacing w:val="0"/>
          <w:sz w:val="24"/>
          <w:szCs w:val="24"/>
        </w:rPr>
        <w:t>标准的网络摄像机；支持不低于</w:t>
      </w:r>
      <w:r>
        <w:rPr>
          <w:rFonts w:ascii="宋体" w:hAnsi="宋体" w:eastAsia="宋体" w:cs="Times New Roman"/>
          <w:color w:val="auto"/>
          <w:spacing w:val="0"/>
          <w:sz w:val="24"/>
          <w:szCs w:val="24"/>
        </w:rPr>
        <w:t>300</w:t>
      </w:r>
      <w:r>
        <w:rPr>
          <w:rFonts w:ascii="宋体" w:hAnsi="宋体" w:eastAsia="宋体" w:cs="PingFang SC"/>
          <w:color w:val="auto"/>
          <w:spacing w:val="0"/>
          <w:sz w:val="24"/>
          <w:szCs w:val="24"/>
        </w:rPr>
        <w:t>万像素高清网络视频的预览、存储和回放；支持</w:t>
      </w:r>
      <w:r>
        <w:rPr>
          <w:rFonts w:ascii="宋体" w:hAnsi="宋体" w:eastAsia="宋体" w:cs="Times New Roman"/>
          <w:color w:val="auto"/>
          <w:spacing w:val="0"/>
          <w:sz w:val="24"/>
          <w:szCs w:val="24"/>
        </w:rPr>
        <w:t>IPC</w:t>
      </w:r>
      <w:r>
        <w:rPr>
          <w:rFonts w:ascii="宋体" w:hAnsi="宋体" w:eastAsia="宋体" w:cs="PingFang SC"/>
          <w:color w:val="auto"/>
          <w:spacing w:val="0"/>
          <w:sz w:val="24"/>
          <w:szCs w:val="24"/>
        </w:rPr>
        <w:t>集中管理，包括</w:t>
      </w:r>
      <w:r>
        <w:rPr>
          <w:rFonts w:ascii="宋体" w:hAnsi="宋体" w:eastAsia="宋体" w:cs="Times New Roman"/>
          <w:color w:val="auto"/>
          <w:spacing w:val="0"/>
          <w:sz w:val="24"/>
          <w:szCs w:val="24"/>
        </w:rPr>
        <w:t>IPC</w:t>
      </w:r>
      <w:r>
        <w:rPr>
          <w:rFonts w:ascii="宋体" w:hAnsi="宋体" w:eastAsia="宋体" w:cs="PingFang SC"/>
          <w:color w:val="auto"/>
          <w:spacing w:val="0"/>
          <w:sz w:val="24"/>
          <w:szCs w:val="24"/>
        </w:rPr>
        <w:t>参数配置、信息的导入</w:t>
      </w:r>
      <w:r>
        <w:rPr>
          <w:rFonts w:ascii="宋体" w:hAnsi="宋体" w:eastAsia="宋体" w:cs="Times New Roman"/>
          <w:color w:val="auto"/>
          <w:spacing w:val="0"/>
          <w:sz w:val="24"/>
          <w:szCs w:val="24"/>
        </w:rPr>
        <w:t>/</w:t>
      </w:r>
      <w:r>
        <w:rPr>
          <w:rFonts w:ascii="宋体" w:hAnsi="宋体" w:eastAsia="宋体" w:cs="PingFang SC"/>
          <w:color w:val="auto"/>
          <w:spacing w:val="0"/>
          <w:sz w:val="24"/>
          <w:szCs w:val="24"/>
        </w:rPr>
        <w:t>导出、语音对讲和升级等；支持智能搜索、回放及备份，至少满足</w:t>
      </w:r>
      <w:r>
        <w:rPr>
          <w:rFonts w:ascii="宋体" w:hAnsi="宋体" w:eastAsia="宋体" w:cs="Times New Roman"/>
          <w:color w:val="auto"/>
          <w:spacing w:val="0"/>
          <w:sz w:val="24"/>
          <w:szCs w:val="24"/>
        </w:rPr>
        <w:t>30</w:t>
      </w:r>
      <w:r>
        <w:rPr>
          <w:rFonts w:ascii="宋体" w:hAnsi="宋体" w:eastAsia="宋体" w:cs="PingFang SC"/>
          <w:color w:val="auto"/>
          <w:spacing w:val="0"/>
          <w:sz w:val="24"/>
          <w:szCs w:val="24"/>
        </w:rPr>
        <w:t>天的存储。</w:t>
      </w:r>
    </w:p>
    <w:p w14:paraId="11F79707">
      <w:pPr>
        <w:keepNext w:val="0"/>
        <w:keepLines w:val="0"/>
        <w:pageBreakBefore w:val="0"/>
        <w:widowControl w:val="0"/>
        <w:spacing w:line="360" w:lineRule="auto"/>
        <w:ind w:left="0" w:right="0" w:firstLine="480"/>
        <w:jc w:val="left"/>
        <w:rPr>
          <w:rFonts w:ascii="宋体" w:hAnsi="宋体" w:eastAsia="宋体" w:cs="PingFang SC"/>
          <w:color w:val="auto"/>
          <w:spacing w:val="0"/>
          <w:sz w:val="24"/>
          <w:szCs w:val="24"/>
        </w:rPr>
      </w:pPr>
      <w:r>
        <w:rPr>
          <w:rFonts w:ascii="宋体" w:hAnsi="宋体" w:eastAsia="宋体" w:cs="PingFang SC"/>
          <w:color w:val="auto"/>
          <w:spacing w:val="0"/>
          <w:sz w:val="24"/>
          <w:szCs w:val="24"/>
        </w:rPr>
        <w:t>（</w:t>
      </w:r>
      <w:r>
        <w:rPr>
          <w:rFonts w:ascii="宋体" w:hAnsi="宋体" w:eastAsia="宋体" w:cs="Times New Roman"/>
          <w:color w:val="auto"/>
          <w:spacing w:val="0"/>
          <w:sz w:val="24"/>
          <w:szCs w:val="24"/>
        </w:rPr>
        <w:t>d</w:t>
      </w:r>
      <w:r>
        <w:rPr>
          <w:rFonts w:ascii="宋体" w:hAnsi="宋体" w:eastAsia="宋体" w:cs="PingFang SC"/>
          <w:color w:val="auto"/>
          <w:spacing w:val="0"/>
          <w:sz w:val="24"/>
          <w:szCs w:val="24"/>
        </w:rPr>
        <w:t>）视频监控系统具备断电自启功能。</w:t>
      </w:r>
    </w:p>
    <w:p w14:paraId="6EA1B9C6">
      <w:pPr>
        <w:keepNext w:val="0"/>
        <w:keepLines w:val="0"/>
        <w:pageBreakBefore w:val="0"/>
        <w:widowControl w:val="0"/>
        <w:spacing w:line="360" w:lineRule="auto"/>
        <w:ind w:left="0" w:right="0" w:firstLine="482"/>
        <w:jc w:val="left"/>
        <w:outlineLvl w:val="9"/>
        <w:rPr>
          <w:rFonts w:hint="eastAsia" w:ascii="宋体" w:hAnsi="宋体" w:eastAsia="宋体" w:cs="华文宋体"/>
          <w:b/>
          <w:bCs/>
          <w:color w:val="auto"/>
          <w:spacing w:val="0"/>
          <w:sz w:val="24"/>
          <w:szCs w:val="24"/>
          <w:lang w:val="en-US" w:eastAsia="zh-CN"/>
        </w:rPr>
      </w:pPr>
      <w:r>
        <w:rPr>
          <w:rFonts w:hint="eastAsia" w:ascii="宋体" w:hAnsi="宋体" w:eastAsia="宋体" w:cs="华文宋体"/>
          <w:b/>
          <w:bCs/>
          <w:color w:val="auto"/>
          <w:spacing w:val="0"/>
          <w:sz w:val="24"/>
          <w:szCs w:val="24"/>
          <w:lang w:val="en-US" w:eastAsia="zh-CN"/>
        </w:rPr>
        <w:t>3、监测站房</w:t>
      </w:r>
    </w:p>
    <w:p w14:paraId="0CF2D9C4">
      <w:pPr>
        <w:keepNext w:val="0"/>
        <w:keepLines w:val="0"/>
        <w:pageBreakBefore w:val="0"/>
        <w:widowControl w:val="0"/>
        <w:spacing w:line="360" w:lineRule="auto"/>
        <w:ind w:left="0" w:right="0" w:firstLine="482"/>
        <w:jc w:val="left"/>
        <w:outlineLvl w:val="9"/>
        <w:rPr>
          <w:rFonts w:hint="eastAsia" w:ascii="宋体" w:hAnsi="宋体" w:eastAsia="宋体" w:cs="华文宋体"/>
          <w:b/>
          <w:bCs/>
          <w:color w:val="auto"/>
          <w:spacing w:val="0"/>
          <w:sz w:val="24"/>
          <w:szCs w:val="24"/>
          <w:lang w:val="en-US" w:eastAsia="zh-CN"/>
        </w:rPr>
      </w:pPr>
      <w:r>
        <w:rPr>
          <w:rFonts w:hint="eastAsia" w:ascii="宋体" w:hAnsi="宋体" w:eastAsia="宋体" w:cs="华文宋体"/>
          <w:b/>
          <w:bCs/>
          <w:color w:val="auto"/>
          <w:spacing w:val="0"/>
          <w:sz w:val="24"/>
          <w:szCs w:val="24"/>
          <w:lang w:val="en-US" w:eastAsia="zh-CN"/>
        </w:rPr>
        <w:t>3.1一体化监测站房</w:t>
      </w:r>
    </w:p>
    <w:p w14:paraId="0E8E632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eastAsia="zh-Hans"/>
        </w:rPr>
        <w:t>根据HJ 915-2017 站房的设计与施工结合地质结构、水位、气候等周边环境状况进行，同时做好防雷、抗震、防洪、防低温、防鼠害、防火、防盗、防断电及视频监控等措施。站房配套设计废液处理和生活污水收集设施。站房设计尺寸应满足仪表及系统集成装置的安装要求，站房材质宜采用轻型材料，具备恒温、隔热、防雨和报警等功能。</w:t>
      </w:r>
    </w:p>
    <w:p w14:paraId="6582272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eastAsia="zh-Hans"/>
        </w:rPr>
        <w:t>一体化站房基本规格须按以下内容和制作，包括但不仅限于此范围，必须严格按照HG/T 20516 和SH3006 的规范进行制作与室内仪表的安装。</w:t>
      </w:r>
    </w:p>
    <w:p w14:paraId="39A2CCC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eastAsia="zh-Hans"/>
        </w:rPr>
        <w:t>一体化站房采用型钢框架结构，外墙及屋顶采用1.2mm镀锌板拼装，内墙为1.2mm镀锌板喷涂。双层墙夹层设计，内层添加50mm厚阻燃型聚氨脂保温隔热材料。底座为12#槽钢，底座和骨架为金属结构，有足够的强度，小屋结构承载能力最小500Kg/㎡，屋顶最小应承受250kg/㎡重量，满足设备维修、安装和施工要求。顶部配整体吊装耳环。墙体用不镀锌板各个线缝紧密美观，各个结合面统一谐调。</w:t>
      </w:r>
    </w:p>
    <w:p w14:paraId="440546D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eastAsia="zh-Hans"/>
        </w:rPr>
        <w:t>站房设计有一扇门，外开型，门的强度必须在设计制作中考虑，门转动灵活，结构牢固可靠，在门体合适高度设计安全可视窗（玻璃为5毫米防弹玻璃），门带阻尼限位闭门器和安全逃生锁，有外锁机构。自动锁门器选用可靠产品，锁门器的速度和力量适宜，锁门器的使用次数不得小于25万次。需要设置耐火金属杠杆门锁（逃生锁），杠杆门锁（逃生锁）触碰开启灵活，关闭牢固可靠。</w:t>
      </w:r>
    </w:p>
    <w:p w14:paraId="76A667D1">
      <w:pPr>
        <w:spacing w:line="360" w:lineRule="auto"/>
        <w:ind w:firstLine="480"/>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eastAsia="zh-Hans"/>
        </w:rPr>
        <w:t>站房地板为2+3mm 厚花纹防滑铝板，底层采用2mm镀铝锌板，上面再铺厚度为3mm的防滑铝板，（防腐、减震、隔音、增强）。</w:t>
      </w:r>
    </w:p>
    <w:p w14:paraId="52CAC134">
      <w:pPr>
        <w:pStyle w:val="9"/>
        <w:ind w:left="0" w:leftChars="0" w:firstLine="0" w:firstLineChars="0"/>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eastAsia="zh-Hans"/>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kern w:val="2"/>
          <w:sz w:val="24"/>
          <w:szCs w:val="24"/>
          <w:lang w:val="en-US" w:eastAsia="zh-Hans" w:bidi="ar-SA"/>
        </w:rPr>
        <w:t>站房不低于12平方</w:t>
      </w:r>
      <w:r>
        <w:rPr>
          <w:rFonts w:hint="eastAsia" w:ascii="宋体" w:hAnsi="宋体" w:eastAsia="宋体" w:cs="宋体"/>
          <w:color w:val="auto"/>
          <w:kern w:val="2"/>
          <w:sz w:val="24"/>
          <w:szCs w:val="24"/>
          <w:lang w:val="en-US" w:eastAsia="zh-CN" w:bidi="ar-SA"/>
        </w:rPr>
        <w:t>,站房地基材质为加钢筋C30混凝土材质,不小于3.5m*5m*25cm，</w:t>
      </w:r>
      <w:r>
        <w:rPr>
          <w:rFonts w:hint="eastAsia" w:ascii="宋体" w:hAnsi="宋体" w:eastAsia="宋体" w:cs="宋体"/>
          <w:color w:val="auto"/>
          <w:sz w:val="24"/>
          <w:szCs w:val="24"/>
          <w:lang w:eastAsia="zh-Hans"/>
        </w:rPr>
        <w:t>站房含防雷等配套设施。</w:t>
      </w:r>
    </w:p>
    <w:p w14:paraId="19BC5594">
      <w:pPr>
        <w:spacing w:line="360" w:lineRule="auto"/>
        <w:ind w:firstLine="480"/>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eastAsia="zh-Hans"/>
        </w:rPr>
        <w:t>空调：站房内配置冷暖空调1P一部。</w:t>
      </w:r>
    </w:p>
    <w:p w14:paraId="62320495">
      <w:pPr>
        <w:spacing w:line="360" w:lineRule="auto"/>
        <w:ind w:firstLine="480"/>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eastAsia="zh-Hans"/>
        </w:rPr>
        <w:t>照明站房内置2具LED灯，屋内照度不低于200Lux.</w:t>
      </w:r>
    </w:p>
    <w:p w14:paraId="0C9E83A1">
      <w:pPr>
        <w:spacing w:line="360" w:lineRule="auto"/>
        <w:ind w:firstLine="480"/>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eastAsia="zh-Hans"/>
        </w:rPr>
        <w:t>插座：站房内设置维修插座和空调插座两个，</w:t>
      </w:r>
    </w:p>
    <w:p w14:paraId="56A317BE">
      <w:pPr>
        <w:spacing w:line="360" w:lineRule="auto"/>
        <w:ind w:firstLine="480"/>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eastAsia="zh-Hans"/>
        </w:rPr>
        <w:t>站房含防雷等配套设施。</w:t>
      </w:r>
    </w:p>
    <w:p w14:paraId="0D077CEC">
      <w:pPr>
        <w:spacing w:line="360" w:lineRule="auto"/>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eastAsia="zh-Hans"/>
        </w:rPr>
        <w:t>主体使用寿命为 10 年，站房应做好防雷，并在验收时提供防雷检测报告。</w:t>
      </w:r>
    </w:p>
    <w:p w14:paraId="1EFD762E">
      <w:pPr>
        <w:keepNext w:val="0"/>
        <w:keepLines w:val="0"/>
        <w:pageBreakBefore w:val="0"/>
        <w:widowControl w:val="0"/>
        <w:spacing w:line="360" w:lineRule="auto"/>
        <w:ind w:left="0" w:right="0" w:firstLine="482"/>
        <w:jc w:val="left"/>
        <w:outlineLvl w:val="9"/>
        <w:rPr>
          <w:rFonts w:hint="eastAsia" w:ascii="宋体" w:hAnsi="宋体" w:eastAsia="宋体" w:cs="华文宋体"/>
          <w:b/>
          <w:bCs/>
          <w:color w:val="auto"/>
          <w:spacing w:val="0"/>
          <w:sz w:val="24"/>
          <w:szCs w:val="24"/>
          <w:lang w:val="en-US" w:eastAsia="zh-CN"/>
        </w:rPr>
      </w:pPr>
      <w:r>
        <w:rPr>
          <w:rFonts w:hint="eastAsia" w:ascii="宋体" w:hAnsi="宋体" w:eastAsia="宋体" w:cs="华文宋体"/>
          <w:b/>
          <w:bCs/>
          <w:color w:val="auto"/>
          <w:spacing w:val="0"/>
          <w:sz w:val="24"/>
          <w:szCs w:val="24"/>
          <w:lang w:val="en-US" w:eastAsia="zh-CN"/>
        </w:rPr>
        <w:t>3.2智慧站房改造</w:t>
      </w:r>
    </w:p>
    <w:p w14:paraId="463409CD">
      <w:pPr>
        <w:pStyle w:val="33"/>
        <w:rPr>
          <w:rFonts w:hint="eastAsia" w:eastAsia="宋体"/>
          <w:b w:val="0"/>
          <w:bCs w:val="0"/>
          <w:color w:val="FF0000"/>
          <w:lang w:val="en-US" w:eastAsia="zh-CN"/>
        </w:rPr>
      </w:pPr>
      <w:r>
        <w:rPr>
          <w:rFonts w:hint="eastAsia" w:ascii="Times New Roman" w:hAnsi="Times New Roman" w:eastAsia="宋体" w:cs="宋体"/>
          <w:b w:val="0"/>
          <w:bCs w:val="0"/>
          <w:spacing w:val="7"/>
          <w:sz w:val="24"/>
          <w:szCs w:val="23"/>
          <w:highlight w:val="none"/>
        </w:rPr>
        <w:t>具体内容包括</w:t>
      </w:r>
      <w:r>
        <w:rPr>
          <w:rFonts w:hint="eastAsia" w:ascii="Times New Roman" w:hAnsi="Times New Roman" w:eastAsia="宋体" w:cs="宋体"/>
          <w:b w:val="0"/>
          <w:bCs w:val="0"/>
          <w:spacing w:val="7"/>
          <w:sz w:val="24"/>
          <w:szCs w:val="23"/>
          <w:highlight w:val="none"/>
          <w:lang w:eastAsia="zh-CN"/>
        </w:rPr>
        <w:t>：</w:t>
      </w:r>
      <w:r>
        <w:rPr>
          <w:rFonts w:hint="eastAsia" w:ascii="Times New Roman" w:hAnsi="Times New Roman" w:eastAsia="宋体" w:cs="宋体"/>
          <w:b w:val="0"/>
          <w:bCs w:val="0"/>
          <w:spacing w:val="7"/>
          <w:sz w:val="24"/>
          <w:szCs w:val="23"/>
          <w:highlight w:val="none"/>
        </w:rPr>
        <w:t>增加自动质控、自动异常识别、故障自动处理及修复并建设电子围栏，以达到对水站监测系统的关键节点进行实时监控、远程控制、智能调控，降低人工运维频次，有效防止人为干扰或恶意破坏监测设施的目的，保障水站平稳有效运行，监测数据真实有效。</w:t>
      </w:r>
      <w:r>
        <w:rPr>
          <w:rFonts w:hint="eastAsia" w:ascii="Times New Roman" w:cs="宋体"/>
          <w:b w:val="0"/>
          <w:bCs w:val="0"/>
          <w:color w:val="FF0000"/>
          <w:spacing w:val="7"/>
          <w:sz w:val="24"/>
          <w:szCs w:val="23"/>
          <w:highlight w:val="none"/>
          <w:lang w:eastAsia="zh-CN"/>
        </w:rPr>
        <w:t>（现有站</w:t>
      </w:r>
      <w:r>
        <w:rPr>
          <w:rFonts w:hint="eastAsia" w:ascii="Times New Roman" w:hAnsi="Times New Roman" w:eastAsia="宋体" w:cs="宋体"/>
          <w:b w:val="0"/>
          <w:bCs w:val="0"/>
          <w:caps/>
          <w:color w:val="FF0000"/>
          <w:spacing w:val="7"/>
          <w:sz w:val="24"/>
          <w:szCs w:val="23"/>
          <w:highlight w:val="none"/>
          <w:lang w:val="en-US" w:eastAsia="zh-Hans" w:bidi="ar-SA"/>
        </w:rPr>
        <w:t>房</w:t>
      </w:r>
      <w:r>
        <w:rPr>
          <w:rFonts w:hint="eastAsia" w:ascii="Times New Roman" w:cs="宋体"/>
          <w:b w:val="0"/>
          <w:bCs w:val="0"/>
          <w:caps/>
          <w:color w:val="FF0000"/>
          <w:spacing w:val="7"/>
          <w:sz w:val="24"/>
          <w:szCs w:val="23"/>
          <w:highlight w:val="none"/>
          <w:lang w:val="en-US" w:eastAsia="zh-CN" w:bidi="ar-SA"/>
        </w:rPr>
        <w:t>内部改造：包括自来水、三箱电、防雷、网络系统、监控、文化建设、标识标牌、灯箱、防水等</w:t>
      </w:r>
      <w:r>
        <w:rPr>
          <w:rFonts w:hint="eastAsia" w:ascii="Times New Roman" w:cs="宋体"/>
          <w:b w:val="0"/>
          <w:bCs w:val="0"/>
          <w:color w:val="FF0000"/>
          <w:spacing w:val="7"/>
          <w:sz w:val="24"/>
          <w:szCs w:val="23"/>
          <w:highlight w:val="none"/>
          <w:lang w:eastAsia="zh-CN"/>
        </w:rPr>
        <w:t>）</w:t>
      </w:r>
    </w:p>
    <w:p w14:paraId="20D34A0A">
      <w:pPr>
        <w:keepNext w:val="0"/>
        <w:keepLines w:val="0"/>
        <w:pageBreakBefore w:val="0"/>
        <w:widowControl w:val="0"/>
        <w:numPr>
          <w:ilvl w:val="0"/>
          <w:numId w:val="0"/>
        </w:numPr>
        <w:spacing w:line="560" w:lineRule="exact"/>
        <w:ind w:firstLine="510"/>
        <w:jc w:val="both"/>
        <w:outlineLvl w:val="2"/>
        <w:rPr>
          <w:rFonts w:ascii="Times New Roman" w:hAnsi="Times New Roman" w:eastAsia="宋体" w:cs="宋体"/>
          <w:b/>
          <w:bCs/>
          <w:spacing w:val="7"/>
          <w:sz w:val="24"/>
          <w:szCs w:val="23"/>
          <w:highlight w:val="none"/>
          <w:lang w:val="en-US" w:eastAsia="zh-CN"/>
        </w:rPr>
      </w:pPr>
      <w:r>
        <w:rPr>
          <w:rFonts w:hint="eastAsia" w:ascii="Times New Roman" w:hAnsi="Times New Roman" w:eastAsia="宋体" w:cs="宋体"/>
          <w:b/>
          <w:bCs/>
          <w:spacing w:val="7"/>
          <w:sz w:val="24"/>
          <w:szCs w:val="23"/>
          <w:highlight w:val="none"/>
          <w:lang w:val="en-US" w:eastAsia="zh-CN"/>
        </w:rPr>
        <w:t>3.2.1、</w:t>
      </w:r>
      <w:r>
        <w:rPr>
          <w:rFonts w:ascii="Times New Roman" w:hAnsi="Times New Roman" w:eastAsia="宋体" w:cs="宋体"/>
          <w:b/>
          <w:bCs/>
          <w:spacing w:val="7"/>
          <w:sz w:val="24"/>
          <w:szCs w:val="23"/>
          <w:highlight w:val="none"/>
          <w:lang w:val="en-US" w:eastAsia="zh-CN"/>
        </w:rPr>
        <w:t>集成</w:t>
      </w:r>
      <w:r>
        <w:rPr>
          <w:rFonts w:hint="eastAsia" w:ascii="Times New Roman" w:hAnsi="Times New Roman" w:eastAsia="宋体" w:cs="宋体"/>
          <w:b/>
          <w:bCs/>
          <w:spacing w:val="7"/>
          <w:sz w:val="24"/>
          <w:szCs w:val="23"/>
          <w:highlight w:val="none"/>
          <w:lang w:val="en-US" w:eastAsia="zh-CN"/>
        </w:rPr>
        <w:t>部分改造</w:t>
      </w:r>
    </w:p>
    <w:p w14:paraId="0066C182">
      <w:pPr>
        <w:keepNext w:val="0"/>
        <w:keepLines w:val="0"/>
        <w:pageBreakBefore w:val="0"/>
        <w:widowControl w:val="0"/>
        <w:numPr>
          <w:ilvl w:val="0"/>
          <w:numId w:val="0"/>
        </w:numPr>
        <w:spacing w:line="560" w:lineRule="exact"/>
        <w:ind w:firstLine="508"/>
        <w:jc w:val="both"/>
        <w:outlineLvl w:val="9"/>
        <w:rPr>
          <w:rFonts w:ascii="Times New Roman" w:hAnsi="Times New Roman" w:eastAsia="宋体" w:cs="宋体"/>
          <w:spacing w:val="7"/>
          <w:sz w:val="24"/>
          <w:szCs w:val="23"/>
          <w:highlight w:val="none"/>
          <w:lang w:val="en-US" w:eastAsia="zh-CN"/>
        </w:rPr>
      </w:pPr>
      <w:r>
        <w:rPr>
          <w:rFonts w:hint="eastAsia" w:ascii="Times New Roman" w:hAnsi="Times New Roman" w:eastAsia="宋体" w:cs="宋体"/>
          <w:spacing w:val="7"/>
          <w:sz w:val="24"/>
          <w:szCs w:val="23"/>
          <w:highlight w:val="none"/>
          <w:lang w:val="en-US" w:eastAsia="zh-CN"/>
        </w:rPr>
        <w:t>1、</w:t>
      </w:r>
      <w:r>
        <w:rPr>
          <w:rFonts w:ascii="Times New Roman" w:hAnsi="Times New Roman" w:eastAsia="宋体" w:cs="宋体"/>
          <w:spacing w:val="7"/>
          <w:sz w:val="24"/>
          <w:szCs w:val="23"/>
          <w:highlight w:val="none"/>
          <w:lang w:val="en-US" w:eastAsia="zh-CN"/>
        </w:rPr>
        <w:t>控制单元</w:t>
      </w:r>
    </w:p>
    <w:p w14:paraId="48635125">
      <w:pPr>
        <w:keepNext w:val="0"/>
        <w:keepLines w:val="0"/>
        <w:pageBreakBefore w:val="0"/>
        <w:widowControl w:val="0"/>
        <w:numPr>
          <w:ilvl w:val="0"/>
          <w:numId w:val="0"/>
        </w:numPr>
        <w:spacing w:line="560" w:lineRule="exact"/>
        <w:ind w:firstLine="508"/>
        <w:jc w:val="both"/>
        <w:outlineLvl w:val="9"/>
        <w:rPr>
          <w:rFonts w:ascii="Times New Roman" w:hAnsi="Times New Roman" w:eastAsia="宋体" w:cs="宋体"/>
          <w:spacing w:val="7"/>
          <w:sz w:val="24"/>
          <w:szCs w:val="23"/>
          <w:highlight w:val="none"/>
          <w:lang w:val="en-US" w:eastAsia="zh-CN"/>
        </w:rPr>
      </w:pPr>
      <w:r>
        <w:rPr>
          <w:rFonts w:ascii="Times New Roman" w:hAnsi="Times New Roman" w:eastAsia="宋体" w:cs="宋体"/>
          <w:spacing w:val="7"/>
          <w:sz w:val="24"/>
          <w:szCs w:val="23"/>
          <w:highlight w:val="none"/>
          <w:lang w:val="en-US" w:eastAsia="zh-CN"/>
        </w:rPr>
        <w:t>运行模式智能切换，基于水体纳污种类复杂多样、水质波动大，设计异常数据自识别、监测流程自切换的运行模式。</w:t>
      </w:r>
    </w:p>
    <w:p w14:paraId="056CC4DD">
      <w:pPr>
        <w:keepNext w:val="0"/>
        <w:keepLines w:val="0"/>
        <w:pageBreakBefore w:val="0"/>
        <w:widowControl w:val="0"/>
        <w:numPr>
          <w:ilvl w:val="0"/>
          <w:numId w:val="0"/>
        </w:numPr>
        <w:spacing w:line="560" w:lineRule="exact"/>
        <w:ind w:firstLine="508"/>
        <w:jc w:val="both"/>
        <w:outlineLvl w:val="9"/>
        <w:rPr>
          <w:rFonts w:ascii="Times New Roman" w:hAnsi="Times New Roman" w:eastAsia="宋体" w:cs="宋体"/>
          <w:spacing w:val="7"/>
          <w:sz w:val="24"/>
          <w:szCs w:val="23"/>
          <w:highlight w:val="none"/>
          <w:lang w:val="en-US" w:eastAsia="zh-CN"/>
        </w:rPr>
      </w:pPr>
      <w:r>
        <w:rPr>
          <w:rFonts w:ascii="Times New Roman" w:hAnsi="Times New Roman" w:eastAsia="宋体" w:cs="宋体"/>
          <w:spacing w:val="7"/>
          <w:sz w:val="24"/>
          <w:szCs w:val="23"/>
          <w:highlight w:val="none"/>
          <w:lang w:val="en-US" w:eastAsia="zh-CN"/>
        </w:rPr>
        <w:t>（1）数据异常识别超过指定阀值自动启动平行测试、标样核查、加标回收率测试，进一步判断数据可靠性。</w:t>
      </w:r>
    </w:p>
    <w:p w14:paraId="28A36E5C">
      <w:pPr>
        <w:keepNext w:val="0"/>
        <w:keepLines w:val="0"/>
        <w:pageBreakBefore w:val="0"/>
        <w:widowControl w:val="0"/>
        <w:numPr>
          <w:ilvl w:val="0"/>
          <w:numId w:val="0"/>
        </w:numPr>
        <w:spacing w:line="560" w:lineRule="exact"/>
        <w:ind w:firstLine="508"/>
        <w:jc w:val="both"/>
        <w:outlineLvl w:val="9"/>
        <w:rPr>
          <w:rFonts w:ascii="Times New Roman" w:hAnsi="Times New Roman" w:eastAsia="宋体" w:cs="宋体"/>
          <w:spacing w:val="7"/>
          <w:sz w:val="24"/>
          <w:szCs w:val="23"/>
          <w:highlight w:val="none"/>
          <w:lang w:val="en-US" w:eastAsia="zh-CN"/>
        </w:rPr>
      </w:pPr>
      <w:r>
        <w:rPr>
          <w:rFonts w:ascii="Times New Roman" w:hAnsi="Times New Roman" w:eastAsia="宋体" w:cs="宋体"/>
          <w:spacing w:val="7"/>
          <w:sz w:val="24"/>
          <w:szCs w:val="23"/>
          <w:highlight w:val="none"/>
          <w:lang w:val="en-US" w:eastAsia="zh-CN"/>
        </w:rPr>
        <w:t>（2）数据异常识别超过指定阀值切换至应急模式（加密监测周期、自动报警并发送短信通知相关人员），数据恢复正常自动接触，并恢复正常运行模式。</w:t>
      </w:r>
    </w:p>
    <w:p w14:paraId="07C4DF3E">
      <w:pPr>
        <w:keepNext w:val="0"/>
        <w:keepLines w:val="0"/>
        <w:pageBreakBefore w:val="0"/>
        <w:widowControl w:val="0"/>
        <w:numPr>
          <w:ilvl w:val="0"/>
          <w:numId w:val="0"/>
        </w:numPr>
        <w:spacing w:line="560" w:lineRule="exact"/>
        <w:ind w:firstLine="508"/>
        <w:jc w:val="both"/>
        <w:outlineLvl w:val="9"/>
        <w:rPr>
          <w:rFonts w:ascii="Times New Roman" w:hAnsi="Times New Roman" w:eastAsia="宋体" w:cs="宋体"/>
          <w:spacing w:val="7"/>
          <w:sz w:val="24"/>
          <w:szCs w:val="23"/>
          <w:highlight w:val="none"/>
          <w:lang w:val="en-US" w:eastAsia="zh-CN"/>
        </w:rPr>
      </w:pPr>
      <w:r>
        <w:rPr>
          <w:rFonts w:ascii="Times New Roman" w:hAnsi="Times New Roman" w:eastAsia="宋体" w:cs="宋体"/>
          <w:spacing w:val="7"/>
          <w:sz w:val="24"/>
          <w:szCs w:val="23"/>
          <w:highlight w:val="none"/>
          <w:lang w:val="en-US" w:eastAsia="zh-CN"/>
        </w:rPr>
        <w:t>（3）具备“异常数据判断+应急监测”智能运行模式，提高水站运行灵活性、智能化。</w:t>
      </w:r>
    </w:p>
    <w:p w14:paraId="37E38843">
      <w:pPr>
        <w:keepNext w:val="0"/>
        <w:keepLines w:val="0"/>
        <w:pageBreakBefore w:val="0"/>
        <w:widowControl w:val="0"/>
        <w:numPr>
          <w:ilvl w:val="0"/>
          <w:numId w:val="0"/>
        </w:numPr>
        <w:spacing w:line="560" w:lineRule="exact"/>
        <w:ind w:firstLine="508"/>
        <w:jc w:val="both"/>
        <w:outlineLvl w:val="9"/>
        <w:rPr>
          <w:rFonts w:ascii="Times New Roman" w:hAnsi="Times New Roman" w:eastAsia="宋体" w:cs="宋体"/>
          <w:spacing w:val="7"/>
          <w:sz w:val="24"/>
          <w:szCs w:val="23"/>
          <w:highlight w:val="none"/>
          <w:lang w:val="en-US" w:eastAsia="zh-CN"/>
        </w:rPr>
      </w:pPr>
      <w:r>
        <w:rPr>
          <w:rFonts w:ascii="Times New Roman" w:hAnsi="Times New Roman" w:eastAsia="宋体" w:cs="宋体"/>
          <w:spacing w:val="7"/>
          <w:sz w:val="24"/>
          <w:szCs w:val="23"/>
          <w:highlight w:val="none"/>
          <w:lang w:val="en-US" w:eastAsia="zh-CN"/>
        </w:rPr>
        <w:t>（4）具备超标预警和应急自动加密监测功能。</w:t>
      </w:r>
    </w:p>
    <w:p w14:paraId="714A241E">
      <w:pPr>
        <w:keepNext w:val="0"/>
        <w:keepLines w:val="0"/>
        <w:pageBreakBefore w:val="0"/>
        <w:widowControl w:val="0"/>
        <w:numPr>
          <w:ilvl w:val="0"/>
          <w:numId w:val="0"/>
        </w:numPr>
        <w:spacing w:line="560" w:lineRule="exact"/>
        <w:ind w:firstLine="508"/>
        <w:jc w:val="both"/>
        <w:outlineLvl w:val="9"/>
        <w:rPr>
          <w:rFonts w:ascii="Times New Roman" w:hAnsi="Times New Roman" w:eastAsia="宋体" w:cs="宋体"/>
          <w:spacing w:val="7"/>
          <w:sz w:val="24"/>
          <w:szCs w:val="23"/>
          <w:highlight w:val="none"/>
          <w:lang w:val="en-US" w:eastAsia="zh-CN"/>
        </w:rPr>
      </w:pPr>
      <w:r>
        <w:rPr>
          <w:rFonts w:ascii="Times New Roman" w:hAnsi="Times New Roman" w:eastAsia="宋体" w:cs="宋体"/>
          <w:spacing w:val="7"/>
          <w:sz w:val="24"/>
          <w:szCs w:val="23"/>
          <w:highlight w:val="none"/>
          <w:lang w:val="en-US" w:eastAsia="zh-CN"/>
        </w:rPr>
        <w:t>（5）具备站房运行环境信息的采集，可实现对站房的电源、暖通、安防、消防等功能模块进行监控，并实现远程管控。</w:t>
      </w:r>
    </w:p>
    <w:p w14:paraId="5F40AB1B">
      <w:pPr>
        <w:keepNext w:val="0"/>
        <w:keepLines w:val="0"/>
        <w:pageBreakBefore w:val="0"/>
        <w:widowControl w:val="0"/>
        <w:numPr>
          <w:ilvl w:val="0"/>
          <w:numId w:val="0"/>
        </w:numPr>
        <w:spacing w:line="560" w:lineRule="exact"/>
        <w:ind w:firstLine="508"/>
        <w:jc w:val="both"/>
        <w:outlineLvl w:val="9"/>
        <w:rPr>
          <w:rFonts w:ascii="Times New Roman" w:hAnsi="Times New Roman" w:eastAsia="宋体" w:cs="宋体"/>
          <w:spacing w:val="7"/>
          <w:sz w:val="24"/>
          <w:szCs w:val="23"/>
          <w:highlight w:val="none"/>
          <w:lang w:val="en-US" w:eastAsia="zh-CN"/>
        </w:rPr>
      </w:pPr>
      <w:r>
        <w:rPr>
          <w:rFonts w:ascii="Times New Roman" w:hAnsi="Times New Roman" w:eastAsia="宋体" w:cs="宋体"/>
          <w:spacing w:val="7"/>
          <w:sz w:val="24"/>
          <w:szCs w:val="23"/>
          <w:highlight w:val="none"/>
          <w:lang w:val="en-US" w:eastAsia="zh-CN"/>
        </w:rPr>
        <w:t>（6）水质自动监测站集成控制系统具备多种智能模式运行设置功能，并可在本地或远程灵活设定；在数据平稳、数据波动异常、数据超标等各类情况下自动分析、精准识别，数据波动异常、持续升高或连续超标等场景自动进入应急加密监测模式，并自动对系统全流程进行记录。</w:t>
      </w:r>
    </w:p>
    <w:p w14:paraId="094164CD">
      <w:pPr>
        <w:keepNext w:val="0"/>
        <w:keepLines w:val="0"/>
        <w:pageBreakBefore w:val="0"/>
        <w:widowControl w:val="0"/>
        <w:numPr>
          <w:ilvl w:val="0"/>
          <w:numId w:val="0"/>
        </w:numPr>
        <w:spacing w:line="560" w:lineRule="exact"/>
        <w:ind w:firstLine="508"/>
        <w:jc w:val="both"/>
        <w:outlineLvl w:val="9"/>
        <w:rPr>
          <w:rFonts w:ascii="Times New Roman" w:hAnsi="Times New Roman" w:eastAsia="宋体" w:cs="宋体"/>
          <w:spacing w:val="7"/>
          <w:sz w:val="24"/>
          <w:szCs w:val="23"/>
          <w:highlight w:val="none"/>
          <w:lang w:val="en-US" w:eastAsia="zh-CN"/>
        </w:rPr>
      </w:pPr>
      <w:r>
        <w:rPr>
          <w:rFonts w:ascii="Times New Roman" w:hAnsi="Times New Roman" w:eastAsia="宋体" w:cs="宋体"/>
          <w:spacing w:val="7"/>
          <w:sz w:val="24"/>
          <w:szCs w:val="23"/>
          <w:highlight w:val="none"/>
          <w:lang w:val="en-US" w:eastAsia="zh-CN"/>
        </w:rPr>
        <w:t>（7）可远程访问数据平台，并可进行远程控制，包括：校时、重启、水样测试、质控测试（空白样品测试、标样测试、平行样测试、加标回收率测试）、参数设置、下次测试时间、测试周期（频率）、紧急监测、留样方式控制等，平台可对命令进行响应、记录反控日志信息。</w:t>
      </w:r>
    </w:p>
    <w:p w14:paraId="66140512">
      <w:pPr>
        <w:keepNext w:val="0"/>
        <w:keepLines w:val="0"/>
        <w:pageBreakBefore w:val="0"/>
        <w:widowControl w:val="0"/>
        <w:numPr>
          <w:ilvl w:val="0"/>
          <w:numId w:val="0"/>
        </w:numPr>
        <w:spacing w:line="560" w:lineRule="exact"/>
        <w:ind w:firstLine="508"/>
        <w:jc w:val="both"/>
        <w:outlineLvl w:val="9"/>
        <w:rPr>
          <w:rFonts w:ascii="Times New Roman" w:hAnsi="Times New Roman" w:eastAsia="宋体" w:cs="宋体"/>
          <w:spacing w:val="7"/>
          <w:sz w:val="24"/>
          <w:szCs w:val="23"/>
          <w:highlight w:val="none"/>
          <w:lang w:val="en-US" w:eastAsia="zh-CN"/>
        </w:rPr>
      </w:pPr>
      <w:r>
        <w:rPr>
          <w:rFonts w:ascii="Times New Roman" w:hAnsi="Times New Roman" w:eastAsia="宋体" w:cs="宋体"/>
          <w:spacing w:val="7"/>
          <w:sz w:val="24"/>
          <w:szCs w:val="23"/>
          <w:highlight w:val="none"/>
          <w:lang w:val="en-US" w:eastAsia="zh-CN"/>
        </w:rPr>
        <w:t>（8）具备定时主动上传数据功能，按通讯协议要求上报监测数据、质控数据、日志信息、设备状态量、报警信息、数据标识信息等。</w:t>
      </w:r>
    </w:p>
    <w:p w14:paraId="11B7DCB1">
      <w:pPr>
        <w:keepNext w:val="0"/>
        <w:keepLines w:val="0"/>
        <w:pageBreakBefore w:val="0"/>
        <w:widowControl w:val="0"/>
        <w:numPr>
          <w:ilvl w:val="0"/>
          <w:numId w:val="0"/>
        </w:numPr>
        <w:spacing w:line="560" w:lineRule="exact"/>
        <w:ind w:firstLine="508"/>
        <w:jc w:val="both"/>
        <w:outlineLvl w:val="9"/>
        <w:rPr>
          <w:rFonts w:ascii="Times New Roman" w:hAnsi="Times New Roman" w:eastAsia="宋体" w:cs="宋体"/>
          <w:spacing w:val="7"/>
          <w:sz w:val="24"/>
          <w:szCs w:val="23"/>
          <w:highlight w:val="none"/>
          <w:lang w:val="en-US" w:eastAsia="zh-CN"/>
        </w:rPr>
      </w:pPr>
      <w:r>
        <w:rPr>
          <w:rFonts w:ascii="Times New Roman" w:hAnsi="Times New Roman" w:eastAsia="宋体" w:cs="宋体"/>
          <w:spacing w:val="7"/>
          <w:sz w:val="24"/>
          <w:szCs w:val="23"/>
          <w:highlight w:val="none"/>
          <w:lang w:val="en-US" w:eastAsia="zh-CN"/>
        </w:rPr>
        <w:t>（9）支持通过数据平台远程或现场操作，进行自动盲样考核：通过发送加密指令，控制单元自动配制任意指定浓度的盲样，仪器完成盲样测试后将结构上传。平台记录所有远程和现场操作日志，并可远程实时获取现场操作人员对控制单元的操作信息，便于溯源。</w:t>
      </w:r>
    </w:p>
    <w:p w14:paraId="1FA82B84">
      <w:pPr>
        <w:keepNext w:val="0"/>
        <w:keepLines w:val="0"/>
        <w:pageBreakBefore w:val="0"/>
        <w:widowControl w:val="0"/>
        <w:numPr>
          <w:ilvl w:val="0"/>
          <w:numId w:val="0"/>
        </w:numPr>
        <w:spacing w:line="560" w:lineRule="exact"/>
        <w:ind w:firstLine="508"/>
        <w:jc w:val="both"/>
        <w:outlineLvl w:val="9"/>
        <w:rPr>
          <w:rFonts w:ascii="Times New Roman" w:hAnsi="Times New Roman" w:eastAsia="宋体" w:cs="宋体"/>
          <w:spacing w:val="7"/>
          <w:sz w:val="24"/>
          <w:szCs w:val="23"/>
          <w:highlight w:val="none"/>
          <w:lang w:val="en-US" w:eastAsia="zh-CN"/>
        </w:rPr>
      </w:pPr>
      <w:r>
        <w:rPr>
          <w:rFonts w:hint="eastAsia" w:ascii="Times New Roman" w:hAnsi="Times New Roman" w:eastAsia="宋体" w:cs="宋体"/>
          <w:spacing w:val="7"/>
          <w:sz w:val="24"/>
          <w:szCs w:val="23"/>
          <w:highlight w:val="none"/>
          <w:lang w:val="en-US" w:eastAsia="zh-CN"/>
        </w:rPr>
        <w:t>2、</w:t>
      </w:r>
      <w:r>
        <w:rPr>
          <w:rFonts w:ascii="Times New Roman" w:hAnsi="Times New Roman" w:eastAsia="宋体" w:cs="宋体"/>
          <w:spacing w:val="7"/>
          <w:sz w:val="24"/>
          <w:szCs w:val="23"/>
          <w:highlight w:val="none"/>
          <w:lang w:val="en-US" w:eastAsia="zh-CN"/>
        </w:rPr>
        <w:t>质控单元</w:t>
      </w:r>
    </w:p>
    <w:p w14:paraId="734B5892">
      <w:pPr>
        <w:keepNext w:val="0"/>
        <w:keepLines w:val="0"/>
        <w:pageBreakBefore w:val="0"/>
        <w:widowControl w:val="0"/>
        <w:numPr>
          <w:ilvl w:val="0"/>
          <w:numId w:val="0"/>
        </w:numPr>
        <w:spacing w:line="560" w:lineRule="exact"/>
        <w:ind w:firstLine="508"/>
        <w:jc w:val="both"/>
        <w:outlineLvl w:val="9"/>
        <w:rPr>
          <w:rFonts w:ascii="Times New Roman" w:hAnsi="Times New Roman" w:eastAsia="宋体" w:cs="宋体"/>
          <w:spacing w:val="7"/>
          <w:sz w:val="24"/>
          <w:szCs w:val="23"/>
          <w:highlight w:val="none"/>
          <w:lang w:val="en-US" w:eastAsia="zh-CN"/>
        </w:rPr>
      </w:pPr>
      <w:r>
        <w:rPr>
          <w:rFonts w:ascii="Times New Roman" w:hAnsi="Times New Roman" w:eastAsia="宋体" w:cs="宋体"/>
          <w:spacing w:val="7"/>
          <w:sz w:val="24"/>
          <w:szCs w:val="23"/>
          <w:highlight w:val="none"/>
          <w:lang w:val="en-US" w:eastAsia="zh-CN"/>
        </w:rPr>
        <w:t>具备智能化质控和配样模块，可制备任意浓度标准样品，可远程质控，具备以下功能：</w:t>
      </w:r>
    </w:p>
    <w:p w14:paraId="68D1170A">
      <w:pPr>
        <w:keepNext w:val="0"/>
        <w:keepLines w:val="0"/>
        <w:pageBreakBefore w:val="0"/>
        <w:widowControl w:val="0"/>
        <w:numPr>
          <w:ilvl w:val="0"/>
          <w:numId w:val="0"/>
        </w:numPr>
        <w:spacing w:line="560" w:lineRule="exact"/>
        <w:ind w:firstLine="508"/>
        <w:jc w:val="both"/>
        <w:outlineLvl w:val="9"/>
        <w:rPr>
          <w:rFonts w:ascii="Times New Roman" w:hAnsi="Times New Roman" w:eastAsia="宋体" w:cs="宋体"/>
          <w:spacing w:val="7"/>
          <w:sz w:val="24"/>
          <w:szCs w:val="23"/>
          <w:highlight w:val="none"/>
          <w:lang w:val="en-US" w:eastAsia="zh-CN"/>
        </w:rPr>
      </w:pPr>
      <w:r>
        <w:rPr>
          <w:rFonts w:ascii="Times New Roman" w:hAnsi="Times New Roman" w:eastAsia="宋体" w:cs="宋体"/>
          <w:spacing w:val="7"/>
          <w:sz w:val="24"/>
          <w:szCs w:val="23"/>
          <w:highlight w:val="none"/>
          <w:lang w:val="en-US" w:eastAsia="zh-CN"/>
        </w:rPr>
        <w:t>（1）质控模块可自动制备任意浓度的标准样品，远程发送指令，配置指定浓度盲样。</w:t>
      </w:r>
    </w:p>
    <w:p w14:paraId="38014572">
      <w:pPr>
        <w:keepNext w:val="0"/>
        <w:keepLines w:val="0"/>
        <w:pageBreakBefore w:val="0"/>
        <w:widowControl w:val="0"/>
        <w:numPr>
          <w:ilvl w:val="0"/>
          <w:numId w:val="0"/>
        </w:numPr>
        <w:spacing w:line="560" w:lineRule="exact"/>
        <w:ind w:firstLine="508"/>
        <w:jc w:val="both"/>
        <w:outlineLvl w:val="9"/>
        <w:rPr>
          <w:rFonts w:ascii="Times New Roman" w:hAnsi="Times New Roman" w:eastAsia="宋体" w:cs="宋体"/>
          <w:spacing w:val="7"/>
          <w:sz w:val="24"/>
          <w:szCs w:val="23"/>
          <w:highlight w:val="none"/>
          <w:lang w:val="en-US" w:eastAsia="zh-CN"/>
        </w:rPr>
      </w:pPr>
      <w:r>
        <w:rPr>
          <w:rFonts w:ascii="Times New Roman" w:hAnsi="Times New Roman" w:eastAsia="宋体" w:cs="宋体"/>
          <w:spacing w:val="7"/>
          <w:sz w:val="24"/>
          <w:szCs w:val="23"/>
          <w:highlight w:val="none"/>
          <w:lang w:val="en-US" w:eastAsia="zh-CN"/>
        </w:rPr>
        <w:t>（2）可自动制备多点线性核查校正液，通过平台远程对仪器测量曲线进行线性核查或校准。</w:t>
      </w:r>
    </w:p>
    <w:p w14:paraId="5AC512D2">
      <w:pPr>
        <w:keepNext w:val="0"/>
        <w:keepLines w:val="0"/>
        <w:pageBreakBefore w:val="0"/>
        <w:widowControl w:val="0"/>
        <w:numPr>
          <w:ilvl w:val="0"/>
          <w:numId w:val="0"/>
        </w:numPr>
        <w:spacing w:line="560" w:lineRule="exact"/>
        <w:ind w:firstLine="508"/>
        <w:jc w:val="both"/>
        <w:outlineLvl w:val="9"/>
        <w:rPr>
          <w:rFonts w:ascii="Times New Roman" w:hAnsi="Times New Roman" w:eastAsia="宋体" w:cs="宋体"/>
          <w:spacing w:val="7"/>
          <w:sz w:val="24"/>
          <w:szCs w:val="23"/>
          <w:highlight w:val="none"/>
          <w:lang w:val="en-US" w:eastAsia="zh-CN"/>
        </w:rPr>
      </w:pPr>
      <w:r>
        <w:rPr>
          <w:rFonts w:ascii="Times New Roman" w:hAnsi="Times New Roman" w:eastAsia="宋体" w:cs="宋体"/>
          <w:spacing w:val="7"/>
          <w:sz w:val="24"/>
          <w:szCs w:val="23"/>
          <w:highlight w:val="none"/>
          <w:lang w:val="en-US" w:eastAsia="zh-CN"/>
        </w:rPr>
        <w:t>（3）样杯可通过电子锁进行锁控，防止水样被篡改，同时通过对样杯蓄水量的实时检测，可识别仪器是否从样杯进样。</w:t>
      </w:r>
    </w:p>
    <w:p w14:paraId="23900F55">
      <w:pPr>
        <w:keepNext w:val="0"/>
        <w:keepLines w:val="0"/>
        <w:pageBreakBefore w:val="0"/>
        <w:widowControl w:val="0"/>
        <w:numPr>
          <w:ilvl w:val="0"/>
          <w:numId w:val="0"/>
        </w:numPr>
        <w:spacing w:line="560" w:lineRule="exact"/>
        <w:ind w:firstLine="508"/>
        <w:jc w:val="both"/>
        <w:outlineLvl w:val="9"/>
        <w:rPr>
          <w:rFonts w:ascii="Times New Roman" w:hAnsi="Times New Roman" w:eastAsia="宋体" w:cs="宋体"/>
          <w:spacing w:val="7"/>
          <w:sz w:val="24"/>
          <w:szCs w:val="23"/>
          <w:highlight w:val="none"/>
          <w:lang w:val="en-US" w:eastAsia="zh-CN"/>
        </w:rPr>
      </w:pPr>
      <w:r>
        <w:rPr>
          <w:rFonts w:ascii="Times New Roman" w:hAnsi="Times New Roman" w:eastAsia="宋体" w:cs="宋体"/>
          <w:spacing w:val="7"/>
          <w:sz w:val="24"/>
          <w:szCs w:val="23"/>
          <w:highlight w:val="none"/>
          <w:lang w:val="en-US" w:eastAsia="zh-CN"/>
        </w:rPr>
        <w:t>（4）可实现远程校准仪器，通过平台实现远程多点线性测试。</w:t>
      </w:r>
    </w:p>
    <w:p w14:paraId="7E0821B5">
      <w:pPr>
        <w:keepNext w:val="0"/>
        <w:keepLines w:val="0"/>
        <w:pageBreakBefore w:val="0"/>
        <w:widowControl w:val="0"/>
        <w:numPr>
          <w:ilvl w:val="0"/>
          <w:numId w:val="0"/>
        </w:numPr>
        <w:spacing w:line="560" w:lineRule="exact"/>
        <w:ind w:firstLine="508"/>
        <w:jc w:val="both"/>
        <w:outlineLvl w:val="9"/>
        <w:rPr>
          <w:rFonts w:ascii="Times New Roman" w:hAnsi="Times New Roman" w:eastAsia="宋体" w:cs="宋体"/>
          <w:spacing w:val="7"/>
          <w:sz w:val="24"/>
          <w:szCs w:val="23"/>
          <w:highlight w:val="none"/>
          <w:lang w:val="en-US" w:eastAsia="zh-CN"/>
        </w:rPr>
      </w:pPr>
      <w:r>
        <w:rPr>
          <w:rFonts w:ascii="Times New Roman" w:hAnsi="Times New Roman" w:eastAsia="宋体" w:cs="宋体"/>
          <w:spacing w:val="7"/>
          <w:sz w:val="24"/>
          <w:szCs w:val="23"/>
          <w:highlight w:val="none"/>
          <w:lang w:val="en-US" w:eastAsia="zh-CN"/>
        </w:rPr>
        <w:t>（5）盲样考核时具有将分析仪器的检测数据远程报送给平台的功能，平台再从质控模块提取加密的盲样浓度值。</w:t>
      </w:r>
    </w:p>
    <w:p w14:paraId="6B90E488">
      <w:pPr>
        <w:keepNext w:val="0"/>
        <w:keepLines w:val="0"/>
        <w:pageBreakBefore w:val="0"/>
        <w:widowControl w:val="0"/>
        <w:numPr>
          <w:ilvl w:val="0"/>
          <w:numId w:val="0"/>
        </w:numPr>
        <w:spacing w:line="560" w:lineRule="exact"/>
        <w:ind w:firstLine="508"/>
        <w:jc w:val="both"/>
        <w:outlineLvl w:val="9"/>
        <w:rPr>
          <w:rFonts w:ascii="Times New Roman" w:hAnsi="Times New Roman" w:eastAsia="宋体" w:cs="宋体"/>
          <w:spacing w:val="7"/>
          <w:sz w:val="24"/>
          <w:szCs w:val="23"/>
          <w:highlight w:val="none"/>
          <w:lang w:val="en-US" w:eastAsia="zh-CN"/>
        </w:rPr>
      </w:pPr>
      <w:r>
        <w:rPr>
          <w:rFonts w:ascii="Times New Roman" w:hAnsi="Times New Roman" w:eastAsia="宋体" w:cs="宋体"/>
          <w:spacing w:val="7"/>
          <w:sz w:val="24"/>
          <w:szCs w:val="23"/>
          <w:highlight w:val="none"/>
          <w:lang w:val="en-US" w:eastAsia="zh-CN"/>
        </w:rPr>
        <w:t>（6）具备远程控制仪器自动无定量稀释倍数功能；具备远程控制仪器进行自动加标回收测试功能。</w:t>
      </w:r>
    </w:p>
    <w:p w14:paraId="16BE0001">
      <w:pPr>
        <w:keepNext w:val="0"/>
        <w:keepLines w:val="0"/>
        <w:pageBreakBefore w:val="0"/>
        <w:widowControl w:val="0"/>
        <w:numPr>
          <w:ilvl w:val="0"/>
          <w:numId w:val="0"/>
        </w:numPr>
        <w:spacing w:line="560" w:lineRule="exact"/>
        <w:ind w:firstLine="508"/>
        <w:jc w:val="both"/>
        <w:outlineLvl w:val="9"/>
        <w:rPr>
          <w:rFonts w:ascii="Times New Roman" w:hAnsi="Times New Roman" w:eastAsia="宋体" w:cs="宋体"/>
          <w:spacing w:val="7"/>
          <w:sz w:val="24"/>
          <w:szCs w:val="23"/>
          <w:highlight w:val="none"/>
          <w:lang w:val="en-US" w:eastAsia="zh-CN"/>
        </w:rPr>
      </w:pPr>
      <w:r>
        <w:rPr>
          <w:rFonts w:ascii="Times New Roman" w:hAnsi="Times New Roman" w:eastAsia="宋体" w:cs="宋体"/>
          <w:spacing w:val="7"/>
          <w:sz w:val="24"/>
          <w:szCs w:val="23"/>
          <w:highlight w:val="none"/>
          <w:lang w:val="en-US" w:eastAsia="zh-CN"/>
        </w:rPr>
        <w:t>（7）质控系统水样杯与标样杯互相独立，分别测试。双杯设计能有效避免交叉污染，保护待测水样，提高测量精度，保证数据的准确性与可靠性。</w:t>
      </w:r>
    </w:p>
    <w:p w14:paraId="3F2D4778">
      <w:pPr>
        <w:keepNext w:val="0"/>
        <w:keepLines w:val="0"/>
        <w:pageBreakBefore w:val="0"/>
        <w:widowControl w:val="0"/>
        <w:numPr>
          <w:ilvl w:val="0"/>
          <w:numId w:val="0"/>
        </w:numPr>
        <w:spacing w:line="560" w:lineRule="exact"/>
        <w:ind w:firstLine="508"/>
        <w:jc w:val="both"/>
        <w:outlineLvl w:val="9"/>
        <w:rPr>
          <w:rFonts w:ascii="Times New Roman" w:hAnsi="Times New Roman" w:eastAsia="宋体" w:cs="宋体"/>
          <w:spacing w:val="7"/>
          <w:sz w:val="24"/>
          <w:szCs w:val="23"/>
          <w:highlight w:val="none"/>
          <w:lang w:val="en-US" w:eastAsia="zh-CN"/>
        </w:rPr>
      </w:pPr>
      <w:r>
        <w:rPr>
          <w:rFonts w:ascii="Times New Roman" w:hAnsi="Times New Roman" w:eastAsia="宋体" w:cs="宋体"/>
          <w:spacing w:val="7"/>
          <w:sz w:val="24"/>
          <w:szCs w:val="23"/>
          <w:highlight w:val="none"/>
          <w:lang w:val="en-US" w:eastAsia="zh-CN"/>
        </w:rPr>
        <w:t>（8）具有实时更新质控模块的当前状态信息，并向中心平台和基站传输当前状态信息数据。具有加标及配标前推空管口部分与空气接触的母液的功能，避免变质母液影响测量结果。</w:t>
      </w:r>
    </w:p>
    <w:p w14:paraId="7ADB7284">
      <w:pPr>
        <w:keepNext w:val="0"/>
        <w:keepLines w:val="0"/>
        <w:pageBreakBefore w:val="0"/>
        <w:widowControl w:val="0"/>
        <w:numPr>
          <w:ilvl w:val="0"/>
          <w:numId w:val="0"/>
        </w:numPr>
        <w:spacing w:line="560" w:lineRule="exact"/>
        <w:ind w:firstLine="508"/>
        <w:jc w:val="both"/>
        <w:outlineLvl w:val="9"/>
        <w:rPr>
          <w:rFonts w:ascii="Times New Roman" w:hAnsi="Times New Roman" w:eastAsia="宋体" w:cs="宋体"/>
          <w:spacing w:val="7"/>
          <w:sz w:val="24"/>
          <w:szCs w:val="23"/>
          <w:highlight w:val="none"/>
          <w:lang w:val="en-US" w:eastAsia="zh-CN"/>
        </w:rPr>
      </w:pPr>
      <w:r>
        <w:rPr>
          <w:rFonts w:ascii="Times New Roman" w:hAnsi="Times New Roman" w:eastAsia="宋体" w:cs="宋体"/>
          <w:spacing w:val="7"/>
          <w:sz w:val="24"/>
          <w:szCs w:val="23"/>
          <w:highlight w:val="none"/>
          <w:lang w:val="en-US" w:eastAsia="zh-CN"/>
        </w:rPr>
        <w:t>（9）具有流程日志记录功能，直观反映仪器的工作进度及健康状态，提供了问题溯源的依据。</w:t>
      </w:r>
    </w:p>
    <w:p w14:paraId="0A012DB2">
      <w:pPr>
        <w:keepNext w:val="0"/>
        <w:keepLines w:val="0"/>
        <w:pageBreakBefore w:val="0"/>
        <w:widowControl w:val="0"/>
        <w:numPr>
          <w:ilvl w:val="0"/>
          <w:numId w:val="0"/>
        </w:numPr>
        <w:spacing w:line="560" w:lineRule="exact"/>
        <w:ind w:firstLine="508"/>
        <w:jc w:val="both"/>
        <w:outlineLvl w:val="9"/>
        <w:rPr>
          <w:rFonts w:ascii="Times New Roman" w:hAnsi="Times New Roman" w:eastAsia="宋体" w:cs="宋体"/>
          <w:spacing w:val="7"/>
          <w:sz w:val="24"/>
          <w:szCs w:val="23"/>
          <w:highlight w:val="none"/>
          <w:lang w:val="en-US" w:eastAsia="zh-CN"/>
        </w:rPr>
      </w:pPr>
      <w:r>
        <w:rPr>
          <w:rFonts w:hint="eastAsia" w:ascii="Times New Roman" w:hAnsi="Times New Roman" w:eastAsia="宋体" w:cs="宋体"/>
          <w:spacing w:val="7"/>
          <w:sz w:val="24"/>
          <w:szCs w:val="23"/>
          <w:highlight w:val="none"/>
          <w:lang w:val="en-US" w:eastAsia="zh-CN"/>
        </w:rPr>
        <w:t>3、</w:t>
      </w:r>
      <w:r>
        <w:rPr>
          <w:rFonts w:ascii="Times New Roman" w:hAnsi="Times New Roman" w:eastAsia="宋体" w:cs="宋体"/>
          <w:spacing w:val="7"/>
          <w:sz w:val="24"/>
          <w:szCs w:val="23"/>
          <w:highlight w:val="none"/>
          <w:lang w:val="en-US" w:eastAsia="zh-CN"/>
        </w:rPr>
        <w:t>留样单元</w:t>
      </w:r>
    </w:p>
    <w:p w14:paraId="016DBB3F">
      <w:pPr>
        <w:keepNext w:val="0"/>
        <w:keepLines w:val="0"/>
        <w:pageBreakBefore w:val="0"/>
        <w:widowControl w:val="0"/>
        <w:numPr>
          <w:ilvl w:val="0"/>
          <w:numId w:val="0"/>
        </w:numPr>
        <w:spacing w:line="560" w:lineRule="exact"/>
        <w:ind w:firstLine="508"/>
        <w:jc w:val="both"/>
        <w:outlineLvl w:val="9"/>
        <w:rPr>
          <w:rFonts w:ascii="Times New Roman" w:hAnsi="Times New Roman" w:eastAsia="宋体" w:cs="宋体"/>
          <w:spacing w:val="7"/>
          <w:sz w:val="24"/>
          <w:szCs w:val="23"/>
          <w:highlight w:val="none"/>
          <w:lang w:val="en-US" w:eastAsia="zh-CN"/>
        </w:rPr>
      </w:pPr>
      <w:r>
        <w:rPr>
          <w:rFonts w:ascii="Times New Roman" w:hAnsi="Times New Roman" w:eastAsia="宋体" w:cs="宋体"/>
          <w:spacing w:val="7"/>
          <w:sz w:val="24"/>
          <w:szCs w:val="23"/>
          <w:highlight w:val="none"/>
          <w:lang w:val="en-US" w:eastAsia="zh-CN"/>
        </w:rPr>
        <w:t>采用智能采样瓶设计的留样单元，具有唯一识别码、全程温度记录、智能防伪，全时监控等功能。实现样品采集、样品运输、样品测试全过程信息化监管与溯源管理。</w:t>
      </w:r>
    </w:p>
    <w:p w14:paraId="5B717CC7">
      <w:pPr>
        <w:keepNext w:val="0"/>
        <w:keepLines w:val="0"/>
        <w:pageBreakBefore w:val="0"/>
        <w:widowControl w:val="0"/>
        <w:numPr>
          <w:ilvl w:val="0"/>
          <w:numId w:val="0"/>
        </w:numPr>
        <w:spacing w:line="560" w:lineRule="exact"/>
        <w:ind w:firstLine="510"/>
        <w:jc w:val="both"/>
        <w:outlineLvl w:val="2"/>
        <w:rPr>
          <w:rFonts w:ascii="Times New Roman" w:hAnsi="Times New Roman" w:eastAsia="宋体" w:cs="宋体"/>
          <w:b/>
          <w:bCs/>
          <w:spacing w:val="7"/>
          <w:sz w:val="24"/>
          <w:szCs w:val="23"/>
          <w:highlight w:val="none"/>
          <w:lang w:val="en-US" w:eastAsia="zh-CN"/>
        </w:rPr>
      </w:pPr>
      <w:r>
        <w:rPr>
          <w:rFonts w:hint="eastAsia" w:ascii="Times New Roman" w:hAnsi="Times New Roman" w:eastAsia="宋体" w:cs="宋体"/>
          <w:b/>
          <w:bCs/>
          <w:spacing w:val="7"/>
          <w:sz w:val="24"/>
          <w:szCs w:val="23"/>
          <w:highlight w:val="none"/>
          <w:lang w:val="en-US" w:eastAsia="zh-CN"/>
        </w:rPr>
        <w:t>3.2.2、视频部分改造</w:t>
      </w:r>
    </w:p>
    <w:p w14:paraId="5C4A9BA8">
      <w:pPr>
        <w:keepNext w:val="0"/>
        <w:keepLines w:val="0"/>
        <w:pageBreakBefore w:val="0"/>
        <w:widowControl w:val="0"/>
        <w:numPr>
          <w:ilvl w:val="0"/>
          <w:numId w:val="0"/>
        </w:numPr>
        <w:spacing w:line="560" w:lineRule="exact"/>
        <w:ind w:firstLine="428"/>
        <w:outlineLvl w:val="9"/>
        <w:rPr>
          <w:rFonts w:ascii="Times New Roman" w:hAnsi="Times New Roman" w:eastAsia="宋体" w:cs="宋体"/>
          <w:spacing w:val="-13"/>
          <w:sz w:val="24"/>
          <w:szCs w:val="23"/>
          <w:highlight w:val="none"/>
          <w:lang w:val="en-US" w:eastAsia="zh-CN"/>
        </w:rPr>
      </w:pPr>
      <w:r>
        <w:rPr>
          <w:rFonts w:hint="eastAsia" w:ascii="Times New Roman" w:hAnsi="Times New Roman" w:eastAsia="宋体" w:cs="宋体"/>
          <w:spacing w:val="-13"/>
          <w:sz w:val="24"/>
          <w:szCs w:val="23"/>
          <w:highlight w:val="none"/>
          <w:lang w:val="en-US" w:eastAsia="zh-CN"/>
        </w:rPr>
        <w:t>1、</w:t>
      </w:r>
      <w:r>
        <w:rPr>
          <w:rFonts w:ascii="Times New Roman" w:hAnsi="Times New Roman" w:eastAsia="宋体" w:cs="宋体"/>
          <w:spacing w:val="-13"/>
          <w:sz w:val="24"/>
          <w:szCs w:val="23"/>
          <w:highlight w:val="none"/>
          <w:lang w:val="en-US" w:eastAsia="zh-CN"/>
        </w:rPr>
        <w:t>视频监控单元</w:t>
      </w:r>
    </w:p>
    <w:p w14:paraId="3D871209">
      <w:pPr>
        <w:keepNext w:val="0"/>
        <w:keepLines w:val="0"/>
        <w:pageBreakBefore w:val="0"/>
        <w:widowControl w:val="0"/>
        <w:numPr>
          <w:ilvl w:val="0"/>
          <w:numId w:val="0"/>
        </w:numPr>
        <w:spacing w:line="560" w:lineRule="exact"/>
        <w:ind w:firstLine="428"/>
        <w:outlineLvl w:val="9"/>
        <w:rPr>
          <w:rFonts w:ascii="Times New Roman" w:hAnsi="Times New Roman" w:eastAsia="宋体" w:cs="宋体"/>
          <w:spacing w:val="-13"/>
          <w:sz w:val="24"/>
          <w:szCs w:val="23"/>
          <w:highlight w:val="none"/>
          <w:lang w:val="en-US" w:eastAsia="zh-CN"/>
        </w:rPr>
      </w:pPr>
      <w:r>
        <w:rPr>
          <w:rFonts w:ascii="Times New Roman" w:hAnsi="Times New Roman" w:eastAsia="宋体" w:cs="宋体"/>
          <w:spacing w:val="-13"/>
          <w:sz w:val="24"/>
          <w:szCs w:val="23"/>
          <w:highlight w:val="none"/>
          <w:lang w:val="en-US" w:eastAsia="zh-CN"/>
        </w:rPr>
        <w:t>站房视频监控单元应能够接入站房中控系统和远程指定平台。应配置1套视频监控系统，至少包含1台硬盘录像机和3台摄像机，分别置于监控站房仪表间，采水口及站房周边。可远程监视站房内设备（采水单元、自动监测分析仪器、供电系统、数据采集及传输系统等）的整体运行情况，观察取水工程（取样水泵、浮台等）工作状况，水站周边的水位、流量等水文信息的直观情况，同时也可观察站房周边环境。</w:t>
      </w:r>
    </w:p>
    <w:p w14:paraId="223B115F">
      <w:pPr>
        <w:keepNext w:val="0"/>
        <w:keepLines w:val="0"/>
        <w:pageBreakBefore w:val="0"/>
        <w:widowControl w:val="0"/>
        <w:numPr>
          <w:ilvl w:val="0"/>
          <w:numId w:val="0"/>
        </w:numPr>
        <w:spacing w:line="560" w:lineRule="exact"/>
        <w:ind w:firstLine="428"/>
        <w:outlineLvl w:val="9"/>
        <w:rPr>
          <w:rFonts w:ascii="Times New Roman" w:hAnsi="Times New Roman" w:eastAsia="宋体" w:cs="宋体"/>
          <w:spacing w:val="-13"/>
          <w:sz w:val="24"/>
          <w:szCs w:val="23"/>
          <w:highlight w:val="none"/>
          <w:lang w:val="en-US" w:eastAsia="zh-CN"/>
        </w:rPr>
      </w:pPr>
      <w:r>
        <w:rPr>
          <w:rFonts w:hint="eastAsia" w:ascii="Times New Roman" w:hAnsi="Times New Roman" w:eastAsia="宋体" w:cs="宋体"/>
          <w:spacing w:val="-13"/>
          <w:sz w:val="24"/>
          <w:szCs w:val="23"/>
          <w:highlight w:val="none"/>
          <w:lang w:val="en-US" w:eastAsia="zh-CN"/>
        </w:rPr>
        <w:t>2、</w:t>
      </w:r>
      <w:r>
        <w:rPr>
          <w:rFonts w:ascii="Times New Roman" w:hAnsi="Times New Roman" w:eastAsia="宋体" w:cs="宋体"/>
          <w:spacing w:val="-13"/>
          <w:sz w:val="24"/>
          <w:szCs w:val="23"/>
          <w:highlight w:val="none"/>
          <w:lang w:val="en-US" w:eastAsia="zh-CN"/>
        </w:rPr>
        <w:t>视频监控单元功能要求</w:t>
      </w:r>
    </w:p>
    <w:p w14:paraId="35E76758">
      <w:pPr>
        <w:keepNext w:val="0"/>
        <w:keepLines w:val="0"/>
        <w:pageBreakBefore w:val="0"/>
        <w:widowControl w:val="0"/>
        <w:numPr>
          <w:ilvl w:val="0"/>
          <w:numId w:val="0"/>
        </w:numPr>
        <w:spacing w:line="560" w:lineRule="exact"/>
        <w:ind w:firstLine="428"/>
        <w:outlineLvl w:val="9"/>
        <w:rPr>
          <w:rFonts w:ascii="Times New Roman" w:hAnsi="Times New Roman" w:eastAsia="宋体" w:cs="宋体"/>
          <w:spacing w:val="-13"/>
          <w:sz w:val="24"/>
          <w:szCs w:val="23"/>
          <w:highlight w:val="none"/>
          <w:lang w:val="en-US" w:eastAsia="zh-CN"/>
        </w:rPr>
      </w:pPr>
      <w:r>
        <w:rPr>
          <w:rFonts w:ascii="Times New Roman" w:hAnsi="Times New Roman" w:eastAsia="宋体" w:cs="宋体"/>
          <w:spacing w:val="-13"/>
          <w:sz w:val="24"/>
          <w:szCs w:val="23"/>
          <w:highlight w:val="none"/>
          <w:lang w:val="en-US" w:eastAsia="zh-CN"/>
        </w:rPr>
        <w:t>（1）实时监控功能：可实现24小时不间断监控，实时获取监控区域内清晰的监控图像。</w:t>
      </w:r>
    </w:p>
    <w:p w14:paraId="7DA1B4DE">
      <w:pPr>
        <w:keepNext w:val="0"/>
        <w:keepLines w:val="0"/>
        <w:pageBreakBefore w:val="0"/>
        <w:widowControl w:val="0"/>
        <w:numPr>
          <w:ilvl w:val="0"/>
          <w:numId w:val="0"/>
        </w:numPr>
        <w:spacing w:line="560" w:lineRule="exact"/>
        <w:ind w:firstLine="428"/>
        <w:outlineLvl w:val="9"/>
        <w:rPr>
          <w:rFonts w:ascii="Times New Roman" w:hAnsi="Times New Roman" w:eastAsia="宋体" w:cs="宋体"/>
          <w:spacing w:val="-13"/>
          <w:sz w:val="24"/>
          <w:szCs w:val="23"/>
          <w:highlight w:val="none"/>
          <w:lang w:val="en-US" w:eastAsia="zh-CN"/>
        </w:rPr>
      </w:pPr>
      <w:r>
        <w:rPr>
          <w:rFonts w:ascii="Times New Roman" w:hAnsi="Times New Roman" w:eastAsia="宋体" w:cs="宋体"/>
          <w:spacing w:val="-13"/>
          <w:sz w:val="24"/>
          <w:szCs w:val="23"/>
          <w:highlight w:val="none"/>
          <w:lang w:val="en-US" w:eastAsia="zh-CN"/>
        </w:rPr>
        <w:t>（2）云台操作功能：可实现全方位、多视角、无盲区、全天候式监控。</w:t>
      </w:r>
    </w:p>
    <w:p w14:paraId="41891019">
      <w:pPr>
        <w:keepNext w:val="0"/>
        <w:keepLines w:val="0"/>
        <w:pageBreakBefore w:val="0"/>
        <w:widowControl w:val="0"/>
        <w:numPr>
          <w:ilvl w:val="0"/>
          <w:numId w:val="0"/>
        </w:numPr>
        <w:spacing w:line="560" w:lineRule="exact"/>
        <w:ind w:firstLine="428"/>
        <w:outlineLvl w:val="9"/>
        <w:rPr>
          <w:rFonts w:ascii="Times New Roman" w:hAnsi="Times New Roman" w:eastAsia="宋体" w:cs="宋体"/>
          <w:spacing w:val="-13"/>
          <w:sz w:val="24"/>
          <w:szCs w:val="23"/>
          <w:highlight w:val="none"/>
          <w:lang w:val="en-US" w:eastAsia="zh-CN"/>
        </w:rPr>
      </w:pPr>
      <w:r>
        <w:rPr>
          <w:rFonts w:ascii="Times New Roman" w:hAnsi="Times New Roman" w:eastAsia="宋体" w:cs="宋体"/>
          <w:spacing w:val="-13"/>
          <w:sz w:val="24"/>
          <w:szCs w:val="23"/>
          <w:highlight w:val="none"/>
          <w:lang w:val="en-US" w:eastAsia="zh-CN"/>
        </w:rPr>
        <w:t>（3）录像存储功能：支持前端存储和中心存储两种模式，既可通过前端的视音信号接入视频处理单元存储数据，满足前端存储的需要，供事后调查取证；也可通过部署存储服务器和存储设备，满足大容量多通道并发的中心存储需要。</w:t>
      </w:r>
    </w:p>
    <w:p w14:paraId="60D52B2C">
      <w:pPr>
        <w:keepNext w:val="0"/>
        <w:keepLines w:val="0"/>
        <w:pageBreakBefore w:val="0"/>
        <w:widowControl w:val="0"/>
        <w:numPr>
          <w:ilvl w:val="0"/>
          <w:numId w:val="0"/>
        </w:numPr>
        <w:spacing w:line="560" w:lineRule="exact"/>
        <w:ind w:firstLine="428"/>
        <w:outlineLvl w:val="9"/>
        <w:rPr>
          <w:rFonts w:ascii="Times New Roman" w:hAnsi="Times New Roman" w:eastAsia="宋体" w:cs="宋体"/>
          <w:spacing w:val="-13"/>
          <w:sz w:val="24"/>
          <w:szCs w:val="23"/>
          <w:highlight w:val="none"/>
          <w:lang w:val="en-US" w:eastAsia="zh-CN"/>
        </w:rPr>
      </w:pPr>
      <w:r>
        <w:rPr>
          <w:rFonts w:ascii="Times New Roman" w:hAnsi="Times New Roman" w:eastAsia="宋体" w:cs="宋体"/>
          <w:spacing w:val="-13"/>
          <w:sz w:val="24"/>
          <w:szCs w:val="23"/>
          <w:highlight w:val="none"/>
          <w:lang w:val="en-US" w:eastAsia="zh-CN"/>
        </w:rPr>
        <w:t>（4）语音监听功能。</w:t>
      </w:r>
    </w:p>
    <w:p w14:paraId="7CBA8813">
      <w:pPr>
        <w:keepNext w:val="0"/>
        <w:keepLines w:val="0"/>
        <w:pageBreakBefore w:val="0"/>
        <w:widowControl w:val="0"/>
        <w:numPr>
          <w:ilvl w:val="0"/>
          <w:numId w:val="0"/>
        </w:numPr>
        <w:spacing w:line="560" w:lineRule="exact"/>
        <w:ind w:firstLine="428"/>
        <w:outlineLvl w:val="9"/>
        <w:rPr>
          <w:rFonts w:ascii="Times New Roman" w:hAnsi="Times New Roman" w:eastAsia="宋体" w:cs="宋体"/>
          <w:spacing w:val="-13"/>
          <w:sz w:val="24"/>
          <w:szCs w:val="23"/>
          <w:highlight w:val="none"/>
          <w:lang w:val="en-US" w:eastAsia="zh-CN"/>
        </w:rPr>
      </w:pPr>
      <w:r>
        <w:rPr>
          <w:rFonts w:ascii="Times New Roman" w:hAnsi="Times New Roman" w:eastAsia="宋体" w:cs="宋体"/>
          <w:spacing w:val="-13"/>
          <w:sz w:val="24"/>
          <w:szCs w:val="23"/>
          <w:highlight w:val="none"/>
          <w:lang w:val="en-US" w:eastAsia="zh-CN"/>
        </w:rPr>
        <w:t>（5）远程维护功能：可通过平台软件对前端设备进行校时、重启、修正参数、软件升级、远程维护等操作。</w:t>
      </w:r>
    </w:p>
    <w:p w14:paraId="680AB383">
      <w:pPr>
        <w:keepNext w:val="0"/>
        <w:keepLines w:val="0"/>
        <w:pageBreakBefore w:val="0"/>
        <w:widowControl w:val="0"/>
        <w:numPr>
          <w:ilvl w:val="0"/>
          <w:numId w:val="0"/>
        </w:numPr>
        <w:spacing w:line="560" w:lineRule="exact"/>
        <w:ind w:firstLine="428"/>
        <w:outlineLvl w:val="9"/>
        <w:rPr>
          <w:rFonts w:ascii="Times New Roman" w:hAnsi="Times New Roman" w:eastAsia="宋体" w:cs="宋体"/>
          <w:spacing w:val="-13"/>
          <w:sz w:val="24"/>
          <w:szCs w:val="23"/>
          <w:highlight w:val="none"/>
          <w:lang w:val="en-US" w:eastAsia="zh-CN"/>
        </w:rPr>
      </w:pPr>
      <w:r>
        <w:rPr>
          <w:rFonts w:hint="eastAsia" w:ascii="Times New Roman" w:hAnsi="Times New Roman" w:eastAsia="宋体" w:cs="宋体"/>
          <w:spacing w:val="-13"/>
          <w:sz w:val="24"/>
          <w:szCs w:val="23"/>
          <w:highlight w:val="none"/>
          <w:lang w:val="en-US" w:eastAsia="zh-CN"/>
        </w:rPr>
        <w:t>3、</w:t>
      </w:r>
      <w:r>
        <w:rPr>
          <w:rFonts w:ascii="Times New Roman" w:hAnsi="Times New Roman" w:eastAsia="宋体" w:cs="宋体"/>
          <w:spacing w:val="-13"/>
          <w:sz w:val="24"/>
          <w:szCs w:val="23"/>
          <w:highlight w:val="none"/>
          <w:lang w:val="en-US" w:eastAsia="zh-CN"/>
        </w:rPr>
        <w:t>视频监控设备布设要求</w:t>
      </w:r>
    </w:p>
    <w:p w14:paraId="0B7200CA">
      <w:pPr>
        <w:keepNext w:val="0"/>
        <w:keepLines w:val="0"/>
        <w:pageBreakBefore w:val="0"/>
        <w:widowControl w:val="0"/>
        <w:numPr>
          <w:ilvl w:val="0"/>
          <w:numId w:val="0"/>
        </w:numPr>
        <w:spacing w:line="560" w:lineRule="exact"/>
        <w:ind w:firstLine="428"/>
        <w:outlineLvl w:val="9"/>
        <w:rPr>
          <w:rFonts w:ascii="Times New Roman" w:hAnsi="Times New Roman" w:eastAsia="宋体" w:cs="宋体"/>
          <w:spacing w:val="-13"/>
          <w:sz w:val="24"/>
          <w:szCs w:val="23"/>
          <w:highlight w:val="none"/>
          <w:lang w:val="en-US" w:eastAsia="zh-CN"/>
        </w:rPr>
      </w:pPr>
      <w:r>
        <w:rPr>
          <w:rFonts w:ascii="Times New Roman" w:hAnsi="Times New Roman" w:eastAsia="宋体" w:cs="宋体"/>
          <w:spacing w:val="-13"/>
          <w:sz w:val="24"/>
          <w:szCs w:val="23"/>
          <w:highlight w:val="none"/>
          <w:lang w:val="en-US" w:eastAsia="zh-CN"/>
        </w:rPr>
        <w:t>（1）站房外取水口（至少1台高清球机）：安装在靠近取水口岸边，并考虑50年一遇的防洪要求，用于监控取水口及站房周边情况。监控设备可水平360度旋转。</w:t>
      </w:r>
    </w:p>
    <w:p w14:paraId="7A432B11">
      <w:pPr>
        <w:keepNext w:val="0"/>
        <w:keepLines w:val="0"/>
        <w:pageBreakBefore w:val="0"/>
        <w:widowControl w:val="0"/>
        <w:numPr>
          <w:ilvl w:val="0"/>
          <w:numId w:val="0"/>
        </w:numPr>
        <w:spacing w:line="560" w:lineRule="exact"/>
        <w:ind w:firstLine="428"/>
        <w:outlineLvl w:val="9"/>
        <w:rPr>
          <w:rFonts w:ascii="Times New Roman" w:hAnsi="Times New Roman" w:eastAsia="宋体" w:cs="宋体"/>
          <w:spacing w:val="-13"/>
          <w:sz w:val="24"/>
          <w:szCs w:val="23"/>
          <w:highlight w:val="none"/>
          <w:lang w:val="en-US" w:eastAsia="zh-CN"/>
        </w:rPr>
      </w:pPr>
      <w:r>
        <w:rPr>
          <w:rFonts w:ascii="Times New Roman" w:hAnsi="Times New Roman" w:eastAsia="宋体" w:cs="宋体"/>
          <w:spacing w:val="-13"/>
          <w:sz w:val="24"/>
          <w:szCs w:val="23"/>
          <w:highlight w:val="none"/>
          <w:lang w:val="en-US" w:eastAsia="zh-CN"/>
        </w:rPr>
        <w:t>（2）站房进门处（至少1台高清枪机）：安装在站房进门处，用以监控站房的出入情况。监控设备应配置枪机，固定监控视角。</w:t>
      </w:r>
    </w:p>
    <w:p w14:paraId="2DEB4599">
      <w:pPr>
        <w:keepNext w:val="0"/>
        <w:keepLines w:val="0"/>
        <w:pageBreakBefore w:val="0"/>
        <w:widowControl w:val="0"/>
        <w:numPr>
          <w:ilvl w:val="0"/>
          <w:numId w:val="0"/>
        </w:numPr>
        <w:spacing w:line="560" w:lineRule="exact"/>
        <w:ind w:firstLine="428"/>
        <w:outlineLvl w:val="9"/>
        <w:rPr>
          <w:rFonts w:ascii="Times New Roman" w:hAnsi="Times New Roman" w:eastAsia="宋体" w:cs="宋体"/>
          <w:spacing w:val="-13"/>
          <w:sz w:val="24"/>
          <w:szCs w:val="23"/>
          <w:highlight w:val="none"/>
          <w:lang w:val="en-US" w:eastAsia="zh-CN"/>
        </w:rPr>
      </w:pPr>
      <w:r>
        <w:rPr>
          <w:rFonts w:ascii="Times New Roman" w:hAnsi="Times New Roman" w:eastAsia="宋体" w:cs="宋体"/>
          <w:spacing w:val="-13"/>
          <w:sz w:val="24"/>
          <w:szCs w:val="23"/>
          <w:highlight w:val="none"/>
          <w:lang w:val="en-US" w:eastAsia="zh-CN"/>
        </w:rPr>
        <w:t>（3）站房仪表间（至少1台高清球机）：安装在仪器设备集成机柜正面墙壁上，用于监控仪表间内部设备运行情况。监控设备可水平360度旋转。</w:t>
      </w:r>
    </w:p>
    <w:p w14:paraId="1791341C">
      <w:pPr>
        <w:keepNext w:val="0"/>
        <w:keepLines w:val="0"/>
        <w:pageBreakBefore w:val="0"/>
        <w:widowControl w:val="0"/>
        <w:numPr>
          <w:ilvl w:val="0"/>
          <w:numId w:val="0"/>
        </w:numPr>
        <w:spacing w:line="560" w:lineRule="exact"/>
        <w:ind w:firstLine="428"/>
        <w:outlineLvl w:val="9"/>
        <w:rPr>
          <w:rFonts w:ascii="Times New Roman" w:hAnsi="Times New Roman" w:eastAsia="宋体" w:cs="宋体"/>
          <w:spacing w:val="-13"/>
          <w:sz w:val="24"/>
          <w:szCs w:val="23"/>
          <w:highlight w:val="none"/>
          <w:lang w:val="en-US" w:eastAsia="zh-CN"/>
        </w:rPr>
      </w:pPr>
      <w:r>
        <w:rPr>
          <w:rFonts w:hint="eastAsia" w:ascii="Times New Roman" w:hAnsi="Times New Roman" w:eastAsia="宋体" w:cs="宋体"/>
          <w:spacing w:val="-13"/>
          <w:sz w:val="24"/>
          <w:szCs w:val="23"/>
          <w:highlight w:val="none"/>
          <w:lang w:val="en-US" w:eastAsia="zh-CN"/>
        </w:rPr>
        <w:t>4、</w:t>
      </w:r>
      <w:r>
        <w:rPr>
          <w:rFonts w:ascii="Times New Roman" w:hAnsi="Times New Roman" w:eastAsia="宋体" w:cs="宋体"/>
          <w:spacing w:val="-13"/>
          <w:sz w:val="24"/>
          <w:szCs w:val="23"/>
          <w:highlight w:val="none"/>
          <w:lang w:val="en-US" w:eastAsia="zh-CN"/>
        </w:rPr>
        <w:t>视频监控设备技术要求</w:t>
      </w:r>
    </w:p>
    <w:p w14:paraId="7117EA90">
      <w:pPr>
        <w:keepNext w:val="0"/>
        <w:keepLines w:val="0"/>
        <w:pageBreakBefore w:val="0"/>
        <w:widowControl w:val="0"/>
        <w:numPr>
          <w:ilvl w:val="0"/>
          <w:numId w:val="0"/>
        </w:numPr>
        <w:spacing w:line="560" w:lineRule="exact"/>
        <w:ind w:firstLine="428"/>
        <w:outlineLvl w:val="9"/>
        <w:rPr>
          <w:rFonts w:ascii="Times New Roman" w:hAnsi="Times New Roman" w:eastAsia="宋体" w:cs="宋体"/>
          <w:spacing w:val="-13"/>
          <w:sz w:val="24"/>
          <w:szCs w:val="23"/>
          <w:highlight w:val="none"/>
          <w:lang w:val="en-US" w:eastAsia="zh-CN"/>
        </w:rPr>
      </w:pPr>
      <w:r>
        <w:rPr>
          <w:rFonts w:ascii="Times New Roman" w:hAnsi="Times New Roman" w:eastAsia="宋体" w:cs="宋体"/>
          <w:spacing w:val="-13"/>
          <w:sz w:val="24"/>
          <w:szCs w:val="23"/>
          <w:highlight w:val="none"/>
          <w:lang w:val="en-US" w:eastAsia="zh-CN"/>
        </w:rPr>
        <w:t>（1）网络红外球型摄像机：球机带云台，可水平360度旋转；不低于300万像素；带红外，支持夜间查看。</w:t>
      </w:r>
    </w:p>
    <w:p w14:paraId="0251AEE8">
      <w:pPr>
        <w:keepNext w:val="0"/>
        <w:keepLines w:val="0"/>
        <w:pageBreakBefore w:val="0"/>
        <w:widowControl w:val="0"/>
        <w:numPr>
          <w:ilvl w:val="0"/>
          <w:numId w:val="0"/>
        </w:numPr>
        <w:spacing w:line="560" w:lineRule="exact"/>
        <w:ind w:firstLine="428"/>
        <w:outlineLvl w:val="9"/>
        <w:rPr>
          <w:rFonts w:ascii="Times New Roman" w:hAnsi="Times New Roman" w:eastAsia="宋体" w:cs="宋体"/>
          <w:spacing w:val="-13"/>
          <w:sz w:val="24"/>
          <w:szCs w:val="23"/>
          <w:highlight w:val="none"/>
          <w:lang w:val="en-US" w:eastAsia="zh-CN"/>
        </w:rPr>
      </w:pPr>
      <w:r>
        <w:rPr>
          <w:rFonts w:ascii="Times New Roman" w:hAnsi="Times New Roman" w:eastAsia="宋体" w:cs="宋体"/>
          <w:spacing w:val="-13"/>
          <w:sz w:val="24"/>
          <w:szCs w:val="23"/>
          <w:highlight w:val="none"/>
          <w:lang w:val="en-US" w:eastAsia="zh-CN"/>
        </w:rPr>
        <w:t>（2）云台筒式摄像机：云台摄像机可水平180度旋转，竖直-40～30度旋转，具备云台操作功能，对视角、方位、焦距的调整，实现全方位、多视角、全天候监控；</w:t>
      </w:r>
    </w:p>
    <w:p w14:paraId="5088AE2F">
      <w:pPr>
        <w:keepNext w:val="0"/>
        <w:keepLines w:val="0"/>
        <w:pageBreakBefore w:val="0"/>
        <w:widowControl w:val="0"/>
        <w:numPr>
          <w:ilvl w:val="0"/>
          <w:numId w:val="0"/>
        </w:numPr>
        <w:spacing w:line="560" w:lineRule="exact"/>
        <w:ind w:firstLine="428"/>
        <w:outlineLvl w:val="9"/>
        <w:rPr>
          <w:rFonts w:ascii="Times New Roman" w:hAnsi="Times New Roman" w:eastAsia="宋体" w:cs="宋体"/>
          <w:spacing w:val="-13"/>
          <w:sz w:val="24"/>
          <w:szCs w:val="23"/>
          <w:highlight w:val="none"/>
          <w:lang w:val="en-US" w:eastAsia="zh-CN"/>
        </w:rPr>
      </w:pPr>
      <w:r>
        <w:rPr>
          <w:rFonts w:ascii="Times New Roman" w:hAnsi="Times New Roman" w:eastAsia="宋体" w:cs="宋体"/>
          <w:spacing w:val="-13"/>
          <w:sz w:val="24"/>
          <w:szCs w:val="23"/>
          <w:highlight w:val="none"/>
          <w:lang w:val="en-US" w:eastAsia="zh-CN"/>
        </w:rPr>
        <w:t>（3）高清网络录像机：应选用可接驳符合开放型网络视频接口、RTSP、GB28181标准的网络摄像机；支持不低于300万像素高清网络视频的预览、存储和回放；支持IPC集中管理，包括IPC参数配置、信息的导入/导出、语音对讲和升级等；支持智能搜索、回放及备份，至少满足30天的存储。</w:t>
      </w:r>
    </w:p>
    <w:p w14:paraId="082D24DA">
      <w:pPr>
        <w:keepNext w:val="0"/>
        <w:keepLines w:val="0"/>
        <w:pageBreakBefore w:val="0"/>
        <w:widowControl w:val="0"/>
        <w:numPr>
          <w:ilvl w:val="0"/>
          <w:numId w:val="0"/>
        </w:numPr>
        <w:spacing w:line="560" w:lineRule="exact"/>
        <w:ind w:firstLine="428"/>
        <w:outlineLvl w:val="9"/>
        <w:rPr>
          <w:rFonts w:ascii="Times New Roman" w:hAnsi="Times New Roman" w:eastAsia="宋体" w:cs="宋体"/>
          <w:spacing w:val="-13"/>
          <w:sz w:val="24"/>
          <w:szCs w:val="23"/>
          <w:highlight w:val="none"/>
          <w:lang w:val="en-US" w:eastAsia="zh-CN"/>
        </w:rPr>
      </w:pPr>
      <w:r>
        <w:rPr>
          <w:rFonts w:ascii="Times New Roman" w:hAnsi="Times New Roman" w:eastAsia="宋体" w:cs="宋体"/>
          <w:spacing w:val="-13"/>
          <w:sz w:val="24"/>
          <w:szCs w:val="23"/>
          <w:highlight w:val="none"/>
          <w:lang w:val="en-US" w:eastAsia="zh-CN"/>
        </w:rPr>
        <w:t>（4）视频监控系统具备断电自启功能。</w:t>
      </w:r>
    </w:p>
    <w:p w14:paraId="6F38FA5D">
      <w:pPr>
        <w:keepNext w:val="0"/>
        <w:keepLines w:val="0"/>
        <w:pageBreakBefore w:val="0"/>
        <w:widowControl w:val="0"/>
        <w:numPr>
          <w:ilvl w:val="0"/>
          <w:numId w:val="0"/>
        </w:numPr>
        <w:spacing w:line="560" w:lineRule="exact"/>
        <w:ind w:firstLine="510"/>
        <w:jc w:val="both"/>
        <w:outlineLvl w:val="2"/>
        <w:rPr>
          <w:rFonts w:hint="eastAsia" w:ascii="Times New Roman" w:hAnsi="Times New Roman" w:eastAsia="宋体" w:cs="宋体"/>
          <w:b/>
          <w:bCs/>
          <w:spacing w:val="7"/>
          <w:sz w:val="24"/>
          <w:szCs w:val="23"/>
          <w:highlight w:val="none"/>
          <w:lang w:val="en-US" w:eastAsia="zh-CN"/>
        </w:rPr>
      </w:pPr>
      <w:r>
        <w:rPr>
          <w:rFonts w:hint="eastAsia" w:ascii="Times New Roman" w:hAnsi="Times New Roman" w:eastAsia="宋体" w:cs="宋体"/>
          <w:b/>
          <w:bCs/>
          <w:spacing w:val="7"/>
          <w:sz w:val="24"/>
          <w:szCs w:val="23"/>
          <w:highlight w:val="none"/>
          <w:lang w:val="en-US" w:eastAsia="zh-CN"/>
        </w:rPr>
        <w:t>3.2.3、辅助部分改造</w:t>
      </w:r>
    </w:p>
    <w:p w14:paraId="03A40636">
      <w:pPr>
        <w:keepNext w:val="0"/>
        <w:keepLines w:val="0"/>
        <w:pageBreakBefore w:val="0"/>
        <w:widowControl w:val="0"/>
        <w:numPr>
          <w:ilvl w:val="0"/>
          <w:numId w:val="0"/>
        </w:numPr>
        <w:spacing w:line="560" w:lineRule="exact"/>
        <w:ind w:firstLine="508"/>
        <w:outlineLvl w:val="9"/>
        <w:rPr>
          <w:rFonts w:ascii="Times New Roman" w:hAnsi="Times New Roman" w:eastAsia="宋体" w:cs="宋体"/>
          <w:b w:val="0"/>
          <w:bCs w:val="0"/>
          <w:spacing w:val="7"/>
          <w:sz w:val="24"/>
          <w:szCs w:val="23"/>
          <w:highlight w:val="none"/>
          <w:lang w:val="en-US" w:eastAsia="zh-CN"/>
        </w:rPr>
      </w:pPr>
      <w:r>
        <w:rPr>
          <w:rFonts w:ascii="Times New Roman" w:hAnsi="Times New Roman" w:eastAsia="宋体" w:cs="宋体"/>
          <w:b w:val="0"/>
          <w:bCs w:val="0"/>
          <w:spacing w:val="7"/>
          <w:sz w:val="24"/>
          <w:szCs w:val="23"/>
          <w:highlight w:val="none"/>
          <w:lang w:val="en-US" w:eastAsia="zh-CN"/>
        </w:rPr>
        <w:t>（1）UPS：总功率≥3KVA，断电后至少能保证仪器完成一个测量周期和数据上传，且待机不少于1h、三相稳压电源功率≥15KW；</w:t>
      </w:r>
    </w:p>
    <w:p w14:paraId="3D2FCC84">
      <w:pPr>
        <w:keepNext w:val="0"/>
        <w:keepLines w:val="0"/>
        <w:pageBreakBefore w:val="0"/>
        <w:widowControl w:val="0"/>
        <w:numPr>
          <w:ilvl w:val="0"/>
          <w:numId w:val="0"/>
        </w:numPr>
        <w:spacing w:line="560" w:lineRule="exact"/>
        <w:ind w:firstLine="508"/>
        <w:outlineLvl w:val="9"/>
        <w:rPr>
          <w:rFonts w:ascii="Times New Roman" w:hAnsi="Times New Roman" w:eastAsia="宋体" w:cs="宋体"/>
          <w:b w:val="0"/>
          <w:bCs w:val="0"/>
          <w:spacing w:val="7"/>
          <w:sz w:val="24"/>
          <w:szCs w:val="23"/>
          <w:highlight w:val="none"/>
          <w:lang w:val="en-US" w:eastAsia="zh-CN"/>
        </w:rPr>
      </w:pPr>
      <w:r>
        <w:rPr>
          <w:rFonts w:ascii="Times New Roman" w:hAnsi="Times New Roman" w:eastAsia="宋体" w:cs="宋体"/>
          <w:b w:val="0"/>
          <w:bCs w:val="0"/>
          <w:spacing w:val="7"/>
          <w:sz w:val="24"/>
          <w:szCs w:val="23"/>
          <w:highlight w:val="none"/>
          <w:lang w:val="en-US" w:eastAsia="zh-CN"/>
        </w:rPr>
        <w:t>（2）具备系统集成机柜、维护专用成套工具、试剂冰箱、空压机、臭氧发生器等；</w:t>
      </w:r>
    </w:p>
    <w:p w14:paraId="5E78AEDE">
      <w:pPr>
        <w:keepNext w:val="0"/>
        <w:keepLines w:val="0"/>
        <w:pageBreakBefore w:val="0"/>
        <w:widowControl w:val="0"/>
        <w:numPr>
          <w:ilvl w:val="0"/>
          <w:numId w:val="0"/>
        </w:numPr>
        <w:spacing w:line="560" w:lineRule="exact"/>
        <w:ind w:firstLine="508"/>
        <w:outlineLvl w:val="9"/>
        <w:rPr>
          <w:rFonts w:ascii="Times New Roman" w:hAnsi="Times New Roman" w:eastAsia="宋体" w:cs="宋体"/>
          <w:b w:val="0"/>
          <w:bCs w:val="0"/>
          <w:spacing w:val="7"/>
          <w:sz w:val="24"/>
          <w:szCs w:val="23"/>
          <w:highlight w:val="none"/>
          <w:lang w:val="en-US" w:eastAsia="zh-CN"/>
        </w:rPr>
      </w:pPr>
      <w:r>
        <w:rPr>
          <w:rFonts w:ascii="Times New Roman" w:hAnsi="Times New Roman" w:eastAsia="宋体" w:cs="宋体"/>
          <w:b w:val="0"/>
          <w:bCs w:val="0"/>
          <w:spacing w:val="7"/>
          <w:sz w:val="24"/>
          <w:szCs w:val="23"/>
          <w:highlight w:val="none"/>
          <w:lang w:val="en-US" w:eastAsia="zh-CN"/>
        </w:rPr>
        <w:t>（3）配备废液收集单元，满足两周以上废液量的收集。</w:t>
      </w:r>
    </w:p>
    <w:p w14:paraId="4F0D2951">
      <w:pPr>
        <w:keepNext w:val="0"/>
        <w:keepLines w:val="0"/>
        <w:pageBreakBefore w:val="0"/>
        <w:widowControl w:val="0"/>
        <w:numPr>
          <w:ilvl w:val="0"/>
          <w:numId w:val="0"/>
        </w:numPr>
        <w:spacing w:line="560" w:lineRule="exact"/>
        <w:ind w:firstLine="510"/>
        <w:jc w:val="both"/>
        <w:outlineLvl w:val="2"/>
        <w:rPr>
          <w:rFonts w:ascii="Times New Roman" w:hAnsi="Times New Roman" w:eastAsia="宋体" w:cs="宋体"/>
          <w:b/>
          <w:bCs/>
          <w:spacing w:val="7"/>
          <w:sz w:val="24"/>
          <w:szCs w:val="23"/>
          <w:highlight w:val="none"/>
          <w:lang w:val="en-US" w:eastAsia="zh-CN"/>
        </w:rPr>
      </w:pPr>
      <w:r>
        <w:rPr>
          <w:rFonts w:hint="eastAsia" w:ascii="Times New Roman" w:hAnsi="Times New Roman" w:eastAsia="宋体" w:cs="宋体"/>
          <w:b/>
          <w:bCs/>
          <w:spacing w:val="7"/>
          <w:sz w:val="24"/>
          <w:szCs w:val="23"/>
          <w:highlight w:val="none"/>
          <w:lang w:val="en-US" w:eastAsia="zh-CN"/>
        </w:rPr>
        <w:t>3.2.4、</w:t>
      </w:r>
      <w:r>
        <w:rPr>
          <w:rFonts w:ascii="Times New Roman" w:hAnsi="Times New Roman" w:eastAsia="宋体" w:cs="宋体"/>
          <w:b/>
          <w:bCs/>
          <w:spacing w:val="7"/>
          <w:sz w:val="24"/>
          <w:szCs w:val="23"/>
          <w:highlight w:val="none"/>
          <w:lang w:val="en-US" w:eastAsia="zh-CN"/>
        </w:rPr>
        <w:t>智慧站房</w:t>
      </w:r>
      <w:r>
        <w:rPr>
          <w:rFonts w:hint="eastAsia" w:ascii="Times New Roman" w:hAnsi="Times New Roman" w:eastAsia="宋体" w:cs="宋体"/>
          <w:b/>
          <w:bCs/>
          <w:spacing w:val="7"/>
          <w:sz w:val="24"/>
          <w:szCs w:val="23"/>
          <w:highlight w:val="none"/>
          <w:lang w:val="en-US" w:eastAsia="zh-CN"/>
        </w:rPr>
        <w:t>改造</w:t>
      </w:r>
    </w:p>
    <w:p w14:paraId="424BFD07">
      <w:pPr>
        <w:keepNext w:val="0"/>
        <w:keepLines w:val="0"/>
        <w:pageBreakBefore w:val="0"/>
        <w:widowControl w:val="0"/>
        <w:numPr>
          <w:ilvl w:val="0"/>
          <w:numId w:val="0"/>
        </w:numPr>
        <w:spacing w:line="560" w:lineRule="exact"/>
        <w:ind w:firstLine="508"/>
        <w:jc w:val="both"/>
        <w:outlineLvl w:val="9"/>
        <w:rPr>
          <w:rFonts w:ascii="Times New Roman" w:hAnsi="Times New Roman" w:eastAsia="宋体" w:cs="宋体"/>
          <w:spacing w:val="7"/>
          <w:sz w:val="24"/>
          <w:szCs w:val="23"/>
          <w:highlight w:val="none"/>
          <w:lang w:val="en-US" w:eastAsia="zh-CN"/>
        </w:rPr>
      </w:pPr>
      <w:r>
        <w:rPr>
          <w:rFonts w:ascii="Times New Roman" w:hAnsi="Times New Roman" w:eastAsia="宋体" w:cs="宋体"/>
          <w:spacing w:val="7"/>
          <w:sz w:val="24"/>
          <w:szCs w:val="23"/>
          <w:highlight w:val="none"/>
          <w:lang w:val="en-US" w:eastAsia="zh-CN"/>
        </w:rPr>
        <w:t>智慧站房系统集成站房动力监控、环境监控、视频监控等设备状态信息，实现对站房环境的智能监控和管理。系统通过对室内温度湿度、视频、室内空气质量、气压（设备用气瓶）、动力环境（站房电流电压、UPS状态等）、水浸、烟雾等进行监控，并对空调、新风进行远程控制，实现对仪器运行环境的自动调节，提高监测数据的稳定性和准确性。</w:t>
      </w:r>
    </w:p>
    <w:p w14:paraId="4076F1F8">
      <w:pPr>
        <w:keepNext w:val="0"/>
        <w:keepLines w:val="0"/>
        <w:pageBreakBefore w:val="0"/>
        <w:widowControl w:val="0"/>
        <w:numPr>
          <w:ilvl w:val="0"/>
          <w:numId w:val="0"/>
        </w:numPr>
        <w:spacing w:line="560" w:lineRule="exact"/>
        <w:ind w:firstLine="510"/>
        <w:jc w:val="both"/>
        <w:outlineLvl w:val="2"/>
        <w:rPr>
          <w:rFonts w:ascii="Times New Roman" w:hAnsi="Times New Roman" w:eastAsia="宋体" w:cs="宋体"/>
          <w:b/>
          <w:bCs/>
          <w:spacing w:val="7"/>
          <w:sz w:val="24"/>
          <w:szCs w:val="23"/>
          <w:highlight w:val="none"/>
          <w:lang w:val="en-US" w:eastAsia="zh-CN"/>
        </w:rPr>
      </w:pPr>
      <w:r>
        <w:rPr>
          <w:rFonts w:hint="eastAsia" w:ascii="Times New Roman" w:hAnsi="Times New Roman" w:eastAsia="宋体" w:cs="宋体"/>
          <w:b/>
          <w:bCs/>
          <w:spacing w:val="7"/>
          <w:sz w:val="24"/>
          <w:szCs w:val="23"/>
          <w:highlight w:val="none"/>
          <w:lang w:val="en-US" w:eastAsia="zh-CN"/>
        </w:rPr>
        <w:t>3.2.5、加密传输</w:t>
      </w:r>
    </w:p>
    <w:p w14:paraId="59ED5A24">
      <w:pPr>
        <w:spacing w:before="78" w:line="315" w:lineRule="exact"/>
        <w:ind w:left="512"/>
        <w:rPr>
          <w:rFonts w:ascii="Times New Roman" w:hAnsi="Times New Roman" w:eastAsia="宋体" w:cs="Times New Roman"/>
          <w:sz w:val="24"/>
          <w:szCs w:val="23"/>
          <w:highlight w:val="none"/>
        </w:rPr>
      </w:pPr>
      <w:r>
        <w:rPr>
          <w:rFonts w:ascii="Times New Roman" w:hAnsi="Times New Roman" w:eastAsia="宋体" w:cs="Times New Roman"/>
          <w:position w:val="1"/>
          <w:sz w:val="24"/>
          <w:szCs w:val="23"/>
          <w:highlight w:val="none"/>
        </w:rPr>
        <w:t>VPN</w:t>
      </w:r>
    </w:p>
    <w:p w14:paraId="4E574088">
      <w:pPr>
        <w:spacing w:line="75" w:lineRule="exact"/>
        <w:rPr>
          <w:rFonts w:ascii="Times New Roman" w:hAnsi="Times New Roman" w:eastAsia="宋体" w:cs="Times New Roman"/>
          <w:sz w:val="24"/>
          <w:szCs w:val="21"/>
          <w:highlight w:val="none"/>
        </w:rPr>
      </w:pPr>
    </w:p>
    <w:tbl>
      <w:tblPr>
        <w:tblStyle w:val="15"/>
        <w:tblW w:w="8079" w:type="dxa"/>
        <w:tblInd w:w="12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0"/>
        <w:gridCol w:w="2769"/>
        <w:gridCol w:w="4460"/>
      </w:tblGrid>
      <w:tr w14:paraId="195370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850" w:type="dxa"/>
            <w:noWrap w:val="0"/>
            <w:vAlign w:val="top"/>
          </w:tcPr>
          <w:p w14:paraId="26311C08">
            <w:pPr>
              <w:widowControl w:val="0"/>
              <w:spacing w:before="40" w:line="217" w:lineRule="auto"/>
              <w:ind w:left="190"/>
              <w:jc w:val="both"/>
              <w:rPr>
                <w:rFonts w:ascii="Times New Roman" w:hAnsi="Times New Roman" w:eastAsia="宋体" w:cs="宋体"/>
                <w:sz w:val="24"/>
                <w:szCs w:val="23"/>
                <w:highlight w:val="none"/>
                <w:lang w:val="en-US" w:eastAsia="en-US" w:bidi="ar-SA"/>
              </w:rPr>
            </w:pPr>
            <w:r>
              <w:rPr>
                <w:rFonts w:ascii="Times New Roman" w:hAnsi="Times New Roman" w:eastAsia="宋体" w:cs="宋体"/>
                <w:b/>
                <w:bCs/>
                <w:spacing w:val="3"/>
                <w:sz w:val="24"/>
                <w:szCs w:val="23"/>
                <w:highlight w:val="none"/>
                <w:lang w:val="en-US" w:eastAsia="en-US" w:bidi="ar-SA"/>
              </w:rPr>
              <w:t>序号</w:t>
            </w:r>
          </w:p>
        </w:tc>
        <w:tc>
          <w:tcPr>
            <w:tcW w:w="2769" w:type="dxa"/>
            <w:noWrap w:val="0"/>
            <w:vAlign w:val="top"/>
          </w:tcPr>
          <w:p w14:paraId="7D7CFDDB">
            <w:pPr>
              <w:widowControl w:val="0"/>
              <w:spacing w:before="40" w:line="217" w:lineRule="auto"/>
              <w:ind w:left="900"/>
              <w:jc w:val="both"/>
              <w:rPr>
                <w:rFonts w:ascii="Times New Roman" w:hAnsi="Times New Roman" w:eastAsia="宋体" w:cs="宋体"/>
                <w:sz w:val="24"/>
                <w:szCs w:val="23"/>
                <w:highlight w:val="none"/>
                <w:lang w:val="en-US" w:eastAsia="en-US" w:bidi="ar-SA"/>
              </w:rPr>
            </w:pPr>
            <w:r>
              <w:rPr>
                <w:rFonts w:ascii="Times New Roman" w:hAnsi="Times New Roman" w:eastAsia="宋体" w:cs="宋体"/>
                <w:b/>
                <w:bCs/>
                <w:sz w:val="24"/>
                <w:szCs w:val="23"/>
                <w:highlight w:val="none"/>
                <w:lang w:val="en-US" w:eastAsia="en-US" w:bidi="ar-SA"/>
              </w:rPr>
              <w:t>项目</w:t>
            </w:r>
          </w:p>
        </w:tc>
        <w:tc>
          <w:tcPr>
            <w:tcW w:w="4460" w:type="dxa"/>
            <w:noWrap w:val="0"/>
            <w:vAlign w:val="top"/>
          </w:tcPr>
          <w:p w14:paraId="061CBF5E">
            <w:pPr>
              <w:widowControl w:val="0"/>
              <w:spacing w:before="40" w:line="217" w:lineRule="auto"/>
              <w:ind w:left="2005"/>
              <w:jc w:val="both"/>
              <w:rPr>
                <w:rFonts w:ascii="Times New Roman" w:hAnsi="Times New Roman" w:eastAsia="宋体" w:cs="宋体"/>
                <w:sz w:val="24"/>
                <w:szCs w:val="23"/>
                <w:highlight w:val="none"/>
                <w:lang w:val="en-US" w:eastAsia="en-US" w:bidi="ar-SA"/>
              </w:rPr>
            </w:pPr>
            <w:r>
              <w:rPr>
                <w:rFonts w:ascii="Times New Roman" w:hAnsi="Times New Roman" w:eastAsia="宋体" w:cs="宋体"/>
                <w:b/>
                <w:bCs/>
                <w:spacing w:val="5"/>
                <w:sz w:val="24"/>
                <w:szCs w:val="23"/>
                <w:highlight w:val="none"/>
                <w:lang w:val="en-US" w:eastAsia="en-US" w:bidi="ar-SA"/>
              </w:rPr>
              <w:t>性能指标</w:t>
            </w:r>
          </w:p>
        </w:tc>
      </w:tr>
      <w:tr w14:paraId="786884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50" w:type="dxa"/>
            <w:noWrap w:val="0"/>
            <w:vAlign w:val="top"/>
          </w:tcPr>
          <w:p w14:paraId="7CA86215">
            <w:pPr>
              <w:spacing w:before="1" w:line="304" w:lineRule="exact"/>
              <w:ind w:left="390"/>
              <w:rPr>
                <w:rFonts w:ascii="Times New Roman" w:hAnsi="Times New Roman" w:eastAsia="宋体" w:cs="Times New Roman"/>
                <w:sz w:val="24"/>
                <w:szCs w:val="23"/>
                <w:highlight w:val="none"/>
              </w:rPr>
            </w:pPr>
            <w:r>
              <w:rPr>
                <w:rFonts w:ascii="Times New Roman" w:hAnsi="Times New Roman" w:eastAsia="宋体" w:cs="Times New Roman"/>
                <w:position w:val="1"/>
                <w:sz w:val="24"/>
                <w:szCs w:val="23"/>
                <w:highlight w:val="none"/>
              </w:rPr>
              <w:t>1</w:t>
            </w:r>
          </w:p>
        </w:tc>
        <w:tc>
          <w:tcPr>
            <w:tcW w:w="2769" w:type="dxa"/>
            <w:noWrap w:val="0"/>
            <w:vAlign w:val="top"/>
          </w:tcPr>
          <w:p w14:paraId="63F90892">
            <w:pPr>
              <w:widowControl w:val="0"/>
              <w:spacing w:before="36" w:line="216" w:lineRule="auto"/>
              <w:ind w:left="678"/>
              <w:jc w:val="both"/>
              <w:rPr>
                <w:rFonts w:ascii="Times New Roman" w:hAnsi="Times New Roman" w:eastAsia="宋体" w:cs="宋体"/>
                <w:sz w:val="24"/>
                <w:szCs w:val="23"/>
                <w:highlight w:val="none"/>
                <w:lang w:val="en-US" w:eastAsia="en-US" w:bidi="ar-SA"/>
              </w:rPr>
            </w:pPr>
            <w:r>
              <w:rPr>
                <w:rFonts w:ascii="Times New Roman" w:hAnsi="Times New Roman" w:eastAsia="宋体" w:cs="宋体"/>
                <w:spacing w:val="2"/>
                <w:sz w:val="24"/>
                <w:szCs w:val="23"/>
                <w:highlight w:val="none"/>
                <w:lang w:val="en-US" w:eastAsia="en-US" w:bidi="ar-SA"/>
              </w:rPr>
              <w:t>网络接口</w:t>
            </w:r>
          </w:p>
        </w:tc>
        <w:tc>
          <w:tcPr>
            <w:tcW w:w="4460" w:type="dxa"/>
            <w:noWrap w:val="0"/>
            <w:vAlign w:val="top"/>
          </w:tcPr>
          <w:p w14:paraId="5D602089">
            <w:pPr>
              <w:widowControl w:val="0"/>
              <w:spacing w:before="1" w:line="304" w:lineRule="exact"/>
              <w:ind w:left="1699"/>
              <w:jc w:val="both"/>
              <w:rPr>
                <w:rFonts w:ascii="Times New Roman" w:hAnsi="Times New Roman" w:eastAsia="宋体" w:cs="宋体"/>
                <w:sz w:val="24"/>
                <w:szCs w:val="23"/>
                <w:highlight w:val="none"/>
                <w:lang w:val="en-US" w:eastAsia="en-US" w:bidi="ar-SA"/>
              </w:rPr>
            </w:pPr>
            <w:r>
              <w:rPr>
                <w:rFonts w:ascii="Times New Roman" w:hAnsi="Times New Roman" w:eastAsia="宋体" w:cs="宋体"/>
                <w:spacing w:val="4"/>
                <w:position w:val="1"/>
                <w:sz w:val="24"/>
                <w:szCs w:val="23"/>
                <w:highlight w:val="none"/>
                <w:lang w:val="en-US" w:eastAsia="en-US" w:bidi="ar-SA"/>
              </w:rPr>
              <w:t>≥</w:t>
            </w:r>
            <w:r>
              <w:rPr>
                <w:rFonts w:ascii="Times New Roman" w:hAnsi="Times New Roman" w:eastAsia="宋体" w:cs="Times New Roman"/>
                <w:spacing w:val="4"/>
                <w:position w:val="1"/>
                <w:sz w:val="24"/>
                <w:szCs w:val="23"/>
                <w:highlight w:val="none"/>
                <w:lang w:val="en-US" w:eastAsia="en-US" w:bidi="ar-SA"/>
              </w:rPr>
              <w:t>4</w:t>
            </w:r>
            <w:r>
              <w:rPr>
                <w:rFonts w:ascii="Times New Roman" w:hAnsi="Times New Roman" w:eastAsia="宋体" w:cs="宋体"/>
                <w:spacing w:val="4"/>
                <w:position w:val="1"/>
                <w:sz w:val="24"/>
                <w:szCs w:val="23"/>
                <w:highlight w:val="none"/>
                <w:lang w:val="en-US" w:eastAsia="en-US" w:bidi="ar-SA"/>
              </w:rPr>
              <w:t>个千兆电口</w:t>
            </w:r>
          </w:p>
        </w:tc>
      </w:tr>
      <w:tr w14:paraId="5B0646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50" w:type="dxa"/>
            <w:noWrap w:val="0"/>
            <w:vAlign w:val="top"/>
          </w:tcPr>
          <w:p w14:paraId="6D0069E4">
            <w:pPr>
              <w:spacing w:before="1" w:line="304" w:lineRule="exact"/>
              <w:ind w:left="367"/>
              <w:rPr>
                <w:rFonts w:ascii="Times New Roman" w:hAnsi="Times New Roman" w:eastAsia="宋体" w:cs="Times New Roman"/>
                <w:sz w:val="24"/>
                <w:szCs w:val="23"/>
                <w:highlight w:val="none"/>
              </w:rPr>
            </w:pPr>
            <w:r>
              <w:rPr>
                <w:rFonts w:ascii="Times New Roman" w:hAnsi="Times New Roman" w:eastAsia="宋体" w:cs="Times New Roman"/>
                <w:position w:val="1"/>
                <w:sz w:val="24"/>
                <w:szCs w:val="23"/>
                <w:highlight w:val="none"/>
              </w:rPr>
              <w:t>2</w:t>
            </w:r>
          </w:p>
        </w:tc>
        <w:tc>
          <w:tcPr>
            <w:tcW w:w="2769" w:type="dxa"/>
            <w:noWrap w:val="0"/>
            <w:vAlign w:val="top"/>
          </w:tcPr>
          <w:p w14:paraId="6560EB05">
            <w:pPr>
              <w:widowControl w:val="0"/>
              <w:spacing w:before="36" w:line="216" w:lineRule="auto"/>
              <w:ind w:left="434"/>
              <w:jc w:val="both"/>
              <w:rPr>
                <w:rFonts w:ascii="Times New Roman" w:hAnsi="Times New Roman" w:eastAsia="宋体" w:cs="宋体"/>
                <w:sz w:val="24"/>
                <w:szCs w:val="23"/>
                <w:highlight w:val="none"/>
                <w:lang w:val="en-US" w:eastAsia="en-US" w:bidi="ar-SA"/>
              </w:rPr>
            </w:pPr>
            <w:r>
              <w:rPr>
                <w:rFonts w:ascii="Times New Roman" w:hAnsi="Times New Roman" w:eastAsia="宋体" w:cs="宋体"/>
                <w:spacing w:val="5"/>
                <w:sz w:val="24"/>
                <w:szCs w:val="23"/>
                <w:highlight w:val="none"/>
                <w:lang w:val="en-US" w:eastAsia="en-US" w:bidi="ar-SA"/>
              </w:rPr>
              <w:t>防火墙吞吐量</w:t>
            </w:r>
          </w:p>
        </w:tc>
        <w:tc>
          <w:tcPr>
            <w:tcW w:w="4460" w:type="dxa"/>
            <w:noWrap w:val="0"/>
            <w:vAlign w:val="top"/>
          </w:tcPr>
          <w:p w14:paraId="66A317C9">
            <w:pPr>
              <w:widowControl w:val="0"/>
              <w:spacing w:before="36" w:line="216" w:lineRule="auto"/>
              <w:ind w:left="1937"/>
              <w:jc w:val="both"/>
              <w:rPr>
                <w:rFonts w:ascii="Times New Roman" w:hAnsi="Times New Roman" w:eastAsia="宋体" w:cs="Times New Roman"/>
                <w:sz w:val="24"/>
                <w:szCs w:val="23"/>
                <w:highlight w:val="none"/>
                <w:lang w:val="en-US" w:eastAsia="en-US" w:bidi="ar-SA"/>
              </w:rPr>
            </w:pPr>
            <w:r>
              <w:rPr>
                <w:rFonts w:ascii="Times New Roman" w:hAnsi="Times New Roman" w:eastAsia="宋体" w:cs="宋体"/>
                <w:spacing w:val="3"/>
                <w:sz w:val="24"/>
                <w:szCs w:val="23"/>
                <w:highlight w:val="none"/>
                <w:lang w:val="en-US" w:eastAsia="en-US" w:bidi="ar-SA"/>
              </w:rPr>
              <w:t>≥</w:t>
            </w:r>
            <w:r>
              <w:rPr>
                <w:rFonts w:ascii="Times New Roman" w:hAnsi="Times New Roman" w:eastAsia="宋体" w:cs="Times New Roman"/>
                <w:spacing w:val="3"/>
                <w:sz w:val="24"/>
                <w:szCs w:val="23"/>
                <w:highlight w:val="none"/>
                <w:lang w:val="en-US" w:eastAsia="en-US" w:bidi="ar-SA"/>
              </w:rPr>
              <w:t>150</w:t>
            </w:r>
            <w:r>
              <w:rPr>
                <w:rFonts w:ascii="Times New Roman" w:hAnsi="Times New Roman" w:eastAsia="宋体" w:cs="Times New Roman"/>
                <w:sz w:val="24"/>
                <w:szCs w:val="23"/>
                <w:highlight w:val="none"/>
                <w:lang w:val="en-US" w:eastAsia="en-US" w:bidi="ar-SA"/>
              </w:rPr>
              <w:t>Mbps</w:t>
            </w:r>
          </w:p>
        </w:tc>
      </w:tr>
      <w:tr w14:paraId="257B5F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50" w:type="dxa"/>
            <w:noWrap w:val="0"/>
            <w:vAlign w:val="top"/>
          </w:tcPr>
          <w:p w14:paraId="69377D13">
            <w:pPr>
              <w:spacing w:before="2" w:line="305" w:lineRule="exact"/>
              <w:ind w:left="372"/>
              <w:rPr>
                <w:rFonts w:ascii="Times New Roman" w:hAnsi="Times New Roman" w:eastAsia="宋体" w:cs="Times New Roman"/>
                <w:sz w:val="24"/>
                <w:szCs w:val="23"/>
                <w:highlight w:val="none"/>
              </w:rPr>
            </w:pPr>
            <w:r>
              <w:rPr>
                <w:rFonts w:ascii="Times New Roman" w:hAnsi="Times New Roman" w:eastAsia="宋体" w:cs="Times New Roman"/>
                <w:position w:val="2"/>
                <w:sz w:val="24"/>
                <w:szCs w:val="23"/>
                <w:highlight w:val="none"/>
              </w:rPr>
              <w:t>3</w:t>
            </w:r>
          </w:p>
        </w:tc>
        <w:tc>
          <w:tcPr>
            <w:tcW w:w="2769" w:type="dxa"/>
            <w:noWrap w:val="0"/>
            <w:vAlign w:val="top"/>
          </w:tcPr>
          <w:p w14:paraId="52F56EE9">
            <w:pPr>
              <w:widowControl w:val="0"/>
              <w:spacing w:before="37" w:line="216" w:lineRule="auto"/>
              <w:ind w:left="302"/>
              <w:jc w:val="both"/>
              <w:rPr>
                <w:rFonts w:ascii="Times New Roman" w:hAnsi="Times New Roman" w:eastAsia="宋体" w:cs="宋体"/>
                <w:sz w:val="24"/>
                <w:szCs w:val="23"/>
                <w:highlight w:val="none"/>
                <w:lang w:val="en-US" w:eastAsia="en-US" w:bidi="ar-SA"/>
              </w:rPr>
            </w:pPr>
            <w:r>
              <w:rPr>
                <w:rFonts w:ascii="Times New Roman" w:hAnsi="Times New Roman" w:eastAsia="宋体" w:cs="宋体"/>
                <w:spacing w:val="8"/>
                <w:sz w:val="24"/>
                <w:szCs w:val="23"/>
                <w:highlight w:val="none"/>
                <w:lang w:val="en-US" w:eastAsia="en-US" w:bidi="ar-SA"/>
              </w:rPr>
              <w:t>最大并发会话数</w:t>
            </w:r>
          </w:p>
        </w:tc>
        <w:tc>
          <w:tcPr>
            <w:tcW w:w="4460" w:type="dxa"/>
            <w:noWrap w:val="0"/>
            <w:vAlign w:val="top"/>
          </w:tcPr>
          <w:p w14:paraId="661BB743">
            <w:pPr>
              <w:widowControl w:val="0"/>
              <w:spacing w:before="2" w:line="305" w:lineRule="exact"/>
              <w:ind w:left="2119"/>
              <w:jc w:val="both"/>
              <w:rPr>
                <w:rFonts w:ascii="Times New Roman" w:hAnsi="Times New Roman" w:eastAsia="宋体" w:cs="宋体"/>
                <w:sz w:val="24"/>
                <w:szCs w:val="23"/>
                <w:highlight w:val="none"/>
                <w:lang w:val="en-US" w:eastAsia="en-US" w:bidi="ar-SA"/>
              </w:rPr>
            </w:pPr>
            <w:r>
              <w:rPr>
                <w:rFonts w:ascii="Times New Roman" w:hAnsi="Times New Roman" w:eastAsia="宋体" w:cs="宋体"/>
                <w:spacing w:val="-4"/>
                <w:position w:val="2"/>
                <w:sz w:val="24"/>
                <w:szCs w:val="23"/>
                <w:highlight w:val="none"/>
                <w:lang w:val="en-US" w:eastAsia="en-US" w:bidi="ar-SA"/>
              </w:rPr>
              <w:t>≥</w:t>
            </w:r>
            <w:r>
              <w:rPr>
                <w:rFonts w:ascii="Times New Roman" w:hAnsi="Times New Roman" w:eastAsia="宋体" w:cs="Times New Roman"/>
                <w:spacing w:val="-4"/>
                <w:position w:val="2"/>
                <w:sz w:val="24"/>
                <w:szCs w:val="23"/>
                <w:highlight w:val="none"/>
                <w:lang w:val="en-US" w:eastAsia="en-US" w:bidi="ar-SA"/>
              </w:rPr>
              <w:t>35</w:t>
            </w:r>
            <w:r>
              <w:rPr>
                <w:rFonts w:ascii="Times New Roman" w:hAnsi="Times New Roman" w:eastAsia="宋体" w:cs="宋体"/>
                <w:spacing w:val="-4"/>
                <w:position w:val="2"/>
                <w:sz w:val="24"/>
                <w:szCs w:val="23"/>
                <w:highlight w:val="none"/>
                <w:lang w:val="en-US" w:eastAsia="en-US" w:bidi="ar-SA"/>
              </w:rPr>
              <w:t>万</w:t>
            </w:r>
          </w:p>
        </w:tc>
      </w:tr>
      <w:tr w14:paraId="4C17FA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50" w:type="dxa"/>
            <w:noWrap w:val="0"/>
            <w:vAlign w:val="top"/>
          </w:tcPr>
          <w:p w14:paraId="2BF40DFE">
            <w:pPr>
              <w:spacing w:before="1" w:line="306" w:lineRule="exact"/>
              <w:ind w:left="366"/>
              <w:rPr>
                <w:rFonts w:ascii="Times New Roman" w:hAnsi="Times New Roman" w:eastAsia="宋体" w:cs="Times New Roman"/>
                <w:sz w:val="24"/>
                <w:szCs w:val="23"/>
                <w:highlight w:val="none"/>
              </w:rPr>
            </w:pPr>
            <w:r>
              <w:rPr>
                <w:rFonts w:ascii="Times New Roman" w:hAnsi="Times New Roman" w:eastAsia="宋体" w:cs="Times New Roman"/>
                <w:spacing w:val="1"/>
                <w:position w:val="1"/>
                <w:sz w:val="24"/>
                <w:szCs w:val="23"/>
                <w:highlight w:val="none"/>
              </w:rPr>
              <w:t>4</w:t>
            </w:r>
          </w:p>
        </w:tc>
        <w:tc>
          <w:tcPr>
            <w:tcW w:w="2769" w:type="dxa"/>
            <w:noWrap w:val="0"/>
            <w:vAlign w:val="top"/>
          </w:tcPr>
          <w:p w14:paraId="7BA17677">
            <w:pPr>
              <w:widowControl w:val="0"/>
              <w:spacing w:before="39" w:line="215" w:lineRule="auto"/>
              <w:ind w:left="187"/>
              <w:jc w:val="both"/>
              <w:rPr>
                <w:rFonts w:ascii="Times New Roman" w:hAnsi="Times New Roman" w:eastAsia="宋体" w:cs="宋体"/>
                <w:sz w:val="24"/>
                <w:szCs w:val="23"/>
                <w:highlight w:val="none"/>
                <w:lang w:val="en-US" w:eastAsia="en-US" w:bidi="ar-SA"/>
              </w:rPr>
            </w:pPr>
            <w:r>
              <w:rPr>
                <w:rFonts w:ascii="Times New Roman" w:hAnsi="Times New Roman" w:eastAsia="宋体" w:cs="Times New Roman"/>
                <w:sz w:val="24"/>
                <w:szCs w:val="23"/>
                <w:highlight w:val="none"/>
                <w:lang w:val="en-US" w:eastAsia="en-US" w:bidi="ar-SA"/>
              </w:rPr>
              <w:t>SSLVPN</w:t>
            </w:r>
            <w:r>
              <w:rPr>
                <w:rFonts w:ascii="Times New Roman" w:hAnsi="Times New Roman" w:eastAsia="宋体" w:cs="宋体"/>
                <w:spacing w:val="12"/>
                <w:sz w:val="24"/>
                <w:szCs w:val="23"/>
                <w:highlight w:val="none"/>
                <w:lang w:val="en-US" w:eastAsia="en-US" w:bidi="ar-SA"/>
              </w:rPr>
              <w:t>加密速度</w:t>
            </w:r>
          </w:p>
        </w:tc>
        <w:tc>
          <w:tcPr>
            <w:tcW w:w="4460" w:type="dxa"/>
            <w:noWrap w:val="0"/>
            <w:vAlign w:val="top"/>
          </w:tcPr>
          <w:p w14:paraId="424E31EE">
            <w:pPr>
              <w:widowControl w:val="0"/>
              <w:spacing w:before="39" w:line="215" w:lineRule="auto"/>
              <w:ind w:left="1937"/>
              <w:jc w:val="both"/>
              <w:rPr>
                <w:rFonts w:ascii="Times New Roman" w:hAnsi="Times New Roman" w:eastAsia="宋体" w:cs="Times New Roman"/>
                <w:sz w:val="24"/>
                <w:szCs w:val="23"/>
                <w:highlight w:val="none"/>
                <w:lang w:val="en-US" w:eastAsia="en-US" w:bidi="ar-SA"/>
              </w:rPr>
            </w:pPr>
            <w:r>
              <w:rPr>
                <w:rFonts w:ascii="Times New Roman" w:hAnsi="Times New Roman" w:eastAsia="宋体" w:cs="宋体"/>
                <w:spacing w:val="3"/>
                <w:sz w:val="24"/>
                <w:szCs w:val="23"/>
                <w:highlight w:val="none"/>
                <w:lang w:val="en-US" w:eastAsia="en-US" w:bidi="ar-SA"/>
              </w:rPr>
              <w:t>≥</w:t>
            </w:r>
            <w:r>
              <w:rPr>
                <w:rFonts w:ascii="Times New Roman" w:hAnsi="Times New Roman" w:eastAsia="宋体" w:cs="Times New Roman"/>
                <w:spacing w:val="3"/>
                <w:sz w:val="24"/>
                <w:szCs w:val="23"/>
                <w:highlight w:val="none"/>
                <w:lang w:val="en-US" w:eastAsia="en-US" w:bidi="ar-SA"/>
              </w:rPr>
              <w:t>100</w:t>
            </w:r>
            <w:r>
              <w:rPr>
                <w:rFonts w:ascii="Times New Roman" w:hAnsi="Times New Roman" w:eastAsia="宋体" w:cs="Times New Roman"/>
                <w:sz w:val="24"/>
                <w:szCs w:val="23"/>
                <w:highlight w:val="none"/>
                <w:lang w:val="en-US" w:eastAsia="en-US" w:bidi="ar-SA"/>
              </w:rPr>
              <w:t>Mbps</w:t>
            </w:r>
          </w:p>
        </w:tc>
      </w:tr>
      <w:tr w14:paraId="4A31AA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50" w:type="dxa"/>
            <w:noWrap w:val="0"/>
            <w:vAlign w:val="top"/>
          </w:tcPr>
          <w:p w14:paraId="5001618A">
            <w:pPr>
              <w:spacing w:before="82" w:line="191" w:lineRule="auto"/>
              <w:ind w:left="373"/>
              <w:rPr>
                <w:rFonts w:ascii="Times New Roman" w:hAnsi="Times New Roman" w:eastAsia="宋体" w:cs="Times New Roman"/>
                <w:sz w:val="24"/>
                <w:szCs w:val="23"/>
                <w:highlight w:val="none"/>
              </w:rPr>
            </w:pPr>
            <w:r>
              <w:rPr>
                <w:rFonts w:ascii="Times New Roman" w:hAnsi="Times New Roman" w:eastAsia="宋体" w:cs="Times New Roman"/>
                <w:sz w:val="24"/>
                <w:szCs w:val="23"/>
                <w:highlight w:val="none"/>
              </w:rPr>
              <w:t>5</w:t>
            </w:r>
          </w:p>
        </w:tc>
        <w:tc>
          <w:tcPr>
            <w:tcW w:w="2769" w:type="dxa"/>
            <w:noWrap w:val="0"/>
            <w:vAlign w:val="top"/>
          </w:tcPr>
          <w:p w14:paraId="693513BB">
            <w:pPr>
              <w:widowControl w:val="0"/>
              <w:spacing w:before="39" w:line="215" w:lineRule="auto"/>
              <w:ind w:left="278"/>
              <w:jc w:val="both"/>
              <w:rPr>
                <w:rFonts w:ascii="Times New Roman" w:hAnsi="Times New Roman" w:eastAsia="宋体" w:cs="宋体"/>
                <w:sz w:val="24"/>
                <w:szCs w:val="23"/>
                <w:highlight w:val="none"/>
                <w:lang w:val="en-US" w:eastAsia="en-US" w:bidi="ar-SA"/>
              </w:rPr>
            </w:pPr>
            <w:r>
              <w:rPr>
                <w:rFonts w:ascii="Times New Roman" w:hAnsi="Times New Roman" w:eastAsia="宋体" w:cs="宋体"/>
                <w:spacing w:val="4"/>
                <w:sz w:val="24"/>
                <w:szCs w:val="23"/>
                <w:highlight w:val="none"/>
                <w:lang w:val="en-US" w:eastAsia="en-US" w:bidi="ar-SA"/>
              </w:rPr>
              <w:t>并发</w:t>
            </w:r>
            <w:r>
              <w:rPr>
                <w:rFonts w:ascii="Times New Roman" w:hAnsi="Times New Roman" w:eastAsia="宋体" w:cs="Times New Roman"/>
                <w:sz w:val="24"/>
                <w:szCs w:val="23"/>
                <w:highlight w:val="none"/>
                <w:lang w:val="en-US" w:eastAsia="en-US" w:bidi="ar-SA"/>
              </w:rPr>
              <w:t>SSL</w:t>
            </w:r>
            <w:r>
              <w:rPr>
                <w:rFonts w:ascii="Times New Roman" w:hAnsi="Times New Roman" w:eastAsia="宋体" w:cs="宋体"/>
                <w:spacing w:val="4"/>
                <w:sz w:val="24"/>
                <w:szCs w:val="23"/>
                <w:highlight w:val="none"/>
                <w:lang w:val="en-US" w:eastAsia="en-US" w:bidi="ar-SA"/>
              </w:rPr>
              <w:t>用户数</w:t>
            </w:r>
          </w:p>
        </w:tc>
        <w:tc>
          <w:tcPr>
            <w:tcW w:w="4460" w:type="dxa"/>
            <w:noWrap w:val="0"/>
            <w:vAlign w:val="top"/>
          </w:tcPr>
          <w:p w14:paraId="3F64CB08">
            <w:pPr>
              <w:widowControl w:val="0"/>
              <w:spacing w:before="1" w:line="306" w:lineRule="exact"/>
              <w:ind w:left="2059"/>
              <w:jc w:val="both"/>
              <w:rPr>
                <w:rFonts w:ascii="Times New Roman" w:hAnsi="Times New Roman" w:eastAsia="宋体" w:cs="宋体"/>
                <w:sz w:val="24"/>
                <w:szCs w:val="23"/>
                <w:highlight w:val="none"/>
                <w:lang w:val="en-US" w:eastAsia="en-US" w:bidi="ar-SA"/>
              </w:rPr>
            </w:pPr>
            <w:r>
              <w:rPr>
                <w:rFonts w:ascii="Times New Roman" w:hAnsi="Times New Roman" w:eastAsia="宋体" w:cs="宋体"/>
                <w:spacing w:val="-2"/>
                <w:position w:val="1"/>
                <w:sz w:val="24"/>
                <w:szCs w:val="23"/>
                <w:highlight w:val="none"/>
                <w:lang w:val="en-US" w:eastAsia="en-US" w:bidi="ar-SA"/>
              </w:rPr>
              <w:t>≥</w:t>
            </w:r>
            <w:r>
              <w:rPr>
                <w:rFonts w:ascii="Times New Roman" w:hAnsi="Times New Roman" w:eastAsia="宋体" w:cs="Times New Roman"/>
                <w:spacing w:val="-2"/>
                <w:position w:val="1"/>
                <w:sz w:val="24"/>
                <w:szCs w:val="23"/>
                <w:highlight w:val="none"/>
                <w:lang w:val="en-US" w:eastAsia="en-US" w:bidi="ar-SA"/>
              </w:rPr>
              <w:t>300</w:t>
            </w:r>
            <w:r>
              <w:rPr>
                <w:rFonts w:ascii="Times New Roman" w:hAnsi="Times New Roman" w:eastAsia="宋体" w:cs="宋体"/>
                <w:spacing w:val="-2"/>
                <w:position w:val="1"/>
                <w:sz w:val="24"/>
                <w:szCs w:val="23"/>
                <w:highlight w:val="none"/>
                <w:lang w:val="en-US" w:eastAsia="en-US" w:bidi="ar-SA"/>
              </w:rPr>
              <w:t>个</w:t>
            </w:r>
          </w:p>
        </w:tc>
      </w:tr>
      <w:tr w14:paraId="7C60D4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50" w:type="dxa"/>
            <w:noWrap w:val="0"/>
            <w:vAlign w:val="top"/>
          </w:tcPr>
          <w:p w14:paraId="1160EDC4">
            <w:pPr>
              <w:spacing w:before="3" w:line="304" w:lineRule="exact"/>
              <w:ind w:left="372"/>
              <w:rPr>
                <w:rFonts w:ascii="Times New Roman" w:hAnsi="Times New Roman" w:eastAsia="宋体" w:cs="Times New Roman"/>
                <w:sz w:val="24"/>
                <w:szCs w:val="23"/>
                <w:highlight w:val="none"/>
              </w:rPr>
            </w:pPr>
            <w:r>
              <w:rPr>
                <w:rFonts w:ascii="Times New Roman" w:hAnsi="Times New Roman" w:eastAsia="宋体" w:cs="Times New Roman"/>
                <w:position w:val="1"/>
                <w:sz w:val="24"/>
                <w:szCs w:val="23"/>
                <w:highlight w:val="none"/>
              </w:rPr>
              <w:t>6</w:t>
            </w:r>
          </w:p>
        </w:tc>
        <w:tc>
          <w:tcPr>
            <w:tcW w:w="2769" w:type="dxa"/>
            <w:noWrap w:val="0"/>
            <w:vAlign w:val="top"/>
          </w:tcPr>
          <w:p w14:paraId="5B358739">
            <w:pPr>
              <w:widowControl w:val="0"/>
              <w:spacing w:before="39" w:line="215" w:lineRule="auto"/>
              <w:ind w:left="108"/>
              <w:jc w:val="both"/>
              <w:rPr>
                <w:rFonts w:ascii="Times New Roman" w:hAnsi="Times New Roman" w:eastAsia="宋体" w:cs="宋体"/>
                <w:sz w:val="24"/>
                <w:szCs w:val="23"/>
                <w:highlight w:val="none"/>
                <w:lang w:val="en-US" w:eastAsia="en-US" w:bidi="ar-SA"/>
              </w:rPr>
            </w:pPr>
            <w:r>
              <w:rPr>
                <w:rFonts w:ascii="Times New Roman" w:hAnsi="Times New Roman" w:eastAsia="宋体" w:cs="Times New Roman"/>
                <w:sz w:val="24"/>
                <w:szCs w:val="23"/>
                <w:highlight w:val="none"/>
                <w:lang w:val="en-US" w:eastAsia="en-US" w:bidi="ar-SA"/>
              </w:rPr>
              <w:t>IPSecVPN</w:t>
            </w:r>
            <w:r>
              <w:rPr>
                <w:rFonts w:ascii="Times New Roman" w:hAnsi="Times New Roman" w:eastAsia="宋体" w:cs="宋体"/>
                <w:spacing w:val="14"/>
                <w:sz w:val="24"/>
                <w:szCs w:val="23"/>
                <w:highlight w:val="none"/>
                <w:lang w:val="en-US" w:eastAsia="en-US" w:bidi="ar-SA"/>
              </w:rPr>
              <w:t>加密速度</w:t>
            </w:r>
          </w:p>
        </w:tc>
        <w:tc>
          <w:tcPr>
            <w:tcW w:w="4460" w:type="dxa"/>
            <w:noWrap w:val="0"/>
            <w:vAlign w:val="top"/>
          </w:tcPr>
          <w:p w14:paraId="5DDEC983">
            <w:pPr>
              <w:widowControl w:val="0"/>
              <w:spacing w:before="39" w:line="215" w:lineRule="auto"/>
              <w:ind w:left="1997"/>
              <w:jc w:val="both"/>
              <w:rPr>
                <w:rFonts w:ascii="Times New Roman" w:hAnsi="Times New Roman" w:eastAsia="宋体" w:cs="Times New Roman"/>
                <w:sz w:val="24"/>
                <w:szCs w:val="23"/>
                <w:highlight w:val="none"/>
                <w:lang w:val="en-US" w:eastAsia="en-US" w:bidi="ar-SA"/>
              </w:rPr>
            </w:pPr>
            <w:r>
              <w:rPr>
                <w:rFonts w:ascii="Times New Roman" w:hAnsi="Times New Roman" w:eastAsia="宋体" w:cs="宋体"/>
                <w:spacing w:val="2"/>
                <w:sz w:val="24"/>
                <w:szCs w:val="23"/>
                <w:highlight w:val="none"/>
                <w:lang w:val="en-US" w:eastAsia="en-US" w:bidi="ar-SA"/>
              </w:rPr>
              <w:t>≥</w:t>
            </w:r>
            <w:r>
              <w:rPr>
                <w:rFonts w:ascii="Times New Roman" w:hAnsi="Times New Roman" w:eastAsia="宋体" w:cs="Times New Roman"/>
                <w:spacing w:val="2"/>
                <w:sz w:val="24"/>
                <w:szCs w:val="23"/>
                <w:highlight w:val="none"/>
                <w:lang w:val="en-US" w:eastAsia="en-US" w:bidi="ar-SA"/>
              </w:rPr>
              <w:t>55</w:t>
            </w:r>
            <w:r>
              <w:rPr>
                <w:rFonts w:ascii="Times New Roman" w:hAnsi="Times New Roman" w:eastAsia="宋体" w:cs="Times New Roman"/>
                <w:sz w:val="24"/>
                <w:szCs w:val="23"/>
                <w:highlight w:val="none"/>
                <w:lang w:val="en-US" w:eastAsia="en-US" w:bidi="ar-SA"/>
              </w:rPr>
              <w:t>Mbps</w:t>
            </w:r>
          </w:p>
        </w:tc>
      </w:tr>
      <w:tr w14:paraId="59D88D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50" w:type="dxa"/>
            <w:noWrap w:val="0"/>
            <w:vAlign w:val="top"/>
          </w:tcPr>
          <w:p w14:paraId="5E20B49C">
            <w:pPr>
              <w:spacing w:before="83" w:line="191" w:lineRule="auto"/>
              <w:ind w:left="371"/>
              <w:rPr>
                <w:rFonts w:ascii="Times New Roman" w:hAnsi="Times New Roman" w:eastAsia="宋体" w:cs="Times New Roman"/>
                <w:sz w:val="24"/>
                <w:szCs w:val="23"/>
                <w:highlight w:val="none"/>
              </w:rPr>
            </w:pPr>
            <w:r>
              <w:rPr>
                <w:rFonts w:ascii="Times New Roman" w:hAnsi="Times New Roman" w:eastAsia="宋体" w:cs="Times New Roman"/>
                <w:sz w:val="24"/>
                <w:szCs w:val="23"/>
                <w:highlight w:val="none"/>
              </w:rPr>
              <w:t>7</w:t>
            </w:r>
          </w:p>
        </w:tc>
        <w:tc>
          <w:tcPr>
            <w:tcW w:w="2769" w:type="dxa"/>
            <w:noWrap w:val="0"/>
            <w:vAlign w:val="top"/>
          </w:tcPr>
          <w:p w14:paraId="0DAE58B9">
            <w:pPr>
              <w:widowControl w:val="0"/>
              <w:spacing w:before="38" w:line="215" w:lineRule="auto"/>
              <w:ind w:left="226"/>
              <w:jc w:val="both"/>
              <w:rPr>
                <w:rFonts w:ascii="Times New Roman" w:hAnsi="Times New Roman" w:eastAsia="宋体" w:cs="宋体"/>
                <w:sz w:val="24"/>
                <w:szCs w:val="23"/>
                <w:highlight w:val="none"/>
                <w:lang w:val="en-US" w:eastAsia="en-US" w:bidi="ar-SA"/>
              </w:rPr>
            </w:pPr>
            <w:r>
              <w:rPr>
                <w:rFonts w:ascii="Times New Roman" w:hAnsi="Times New Roman" w:eastAsia="宋体" w:cs="Times New Roman"/>
                <w:sz w:val="24"/>
                <w:szCs w:val="23"/>
                <w:highlight w:val="none"/>
                <w:lang w:val="en-US" w:eastAsia="en-US" w:bidi="ar-SA"/>
              </w:rPr>
              <w:t>IPSecVPN</w:t>
            </w:r>
            <w:r>
              <w:rPr>
                <w:rFonts w:ascii="Times New Roman" w:hAnsi="Times New Roman" w:eastAsia="宋体" w:cs="宋体"/>
                <w:spacing w:val="14"/>
                <w:sz w:val="24"/>
                <w:szCs w:val="23"/>
                <w:highlight w:val="none"/>
                <w:lang w:val="en-US" w:eastAsia="en-US" w:bidi="ar-SA"/>
              </w:rPr>
              <w:t>隧道数</w:t>
            </w:r>
          </w:p>
        </w:tc>
        <w:tc>
          <w:tcPr>
            <w:tcW w:w="4460" w:type="dxa"/>
            <w:noWrap w:val="0"/>
            <w:vAlign w:val="top"/>
          </w:tcPr>
          <w:p w14:paraId="6F734E94">
            <w:pPr>
              <w:widowControl w:val="0"/>
              <w:spacing w:before="3" w:line="302" w:lineRule="exact"/>
              <w:ind w:left="2211"/>
              <w:jc w:val="both"/>
              <w:rPr>
                <w:rFonts w:ascii="Times New Roman" w:hAnsi="Times New Roman" w:eastAsia="宋体" w:cs="Times New Roman"/>
                <w:sz w:val="24"/>
                <w:szCs w:val="23"/>
                <w:highlight w:val="none"/>
                <w:lang w:val="en-US" w:eastAsia="en-US" w:bidi="ar-SA"/>
              </w:rPr>
            </w:pPr>
            <w:r>
              <w:rPr>
                <w:rFonts w:ascii="Times New Roman" w:hAnsi="Times New Roman" w:eastAsia="宋体" w:cs="宋体"/>
                <w:spacing w:val="-3"/>
                <w:position w:val="1"/>
                <w:sz w:val="24"/>
                <w:szCs w:val="23"/>
                <w:highlight w:val="none"/>
                <w:lang w:val="en-US" w:eastAsia="en-US" w:bidi="ar-SA"/>
              </w:rPr>
              <w:t>≥</w:t>
            </w:r>
            <w:r>
              <w:rPr>
                <w:rFonts w:ascii="Times New Roman" w:hAnsi="Times New Roman" w:eastAsia="宋体" w:cs="Times New Roman"/>
                <w:spacing w:val="-3"/>
                <w:position w:val="1"/>
                <w:sz w:val="24"/>
                <w:szCs w:val="23"/>
                <w:highlight w:val="none"/>
                <w:lang w:val="en-US" w:eastAsia="en-US" w:bidi="ar-SA"/>
              </w:rPr>
              <w:t>300</w:t>
            </w:r>
          </w:p>
        </w:tc>
      </w:tr>
      <w:tr w14:paraId="3FD27B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50" w:type="dxa"/>
            <w:noWrap w:val="0"/>
            <w:vAlign w:val="top"/>
          </w:tcPr>
          <w:p w14:paraId="6BB58575">
            <w:pPr>
              <w:spacing w:before="3" w:line="304" w:lineRule="exact"/>
              <w:ind w:left="377"/>
              <w:rPr>
                <w:rFonts w:ascii="Times New Roman" w:hAnsi="Times New Roman" w:eastAsia="宋体" w:cs="Times New Roman"/>
                <w:sz w:val="24"/>
                <w:szCs w:val="23"/>
                <w:highlight w:val="none"/>
              </w:rPr>
            </w:pPr>
            <w:r>
              <w:rPr>
                <w:rFonts w:ascii="Times New Roman" w:hAnsi="Times New Roman" w:eastAsia="宋体" w:cs="Times New Roman"/>
                <w:position w:val="1"/>
                <w:sz w:val="24"/>
                <w:szCs w:val="23"/>
                <w:highlight w:val="none"/>
              </w:rPr>
              <w:t>8</w:t>
            </w:r>
          </w:p>
        </w:tc>
        <w:tc>
          <w:tcPr>
            <w:tcW w:w="2769" w:type="dxa"/>
            <w:noWrap w:val="0"/>
            <w:vAlign w:val="top"/>
          </w:tcPr>
          <w:p w14:paraId="3674E333">
            <w:pPr>
              <w:widowControl w:val="0"/>
              <w:spacing w:before="39" w:line="215" w:lineRule="auto"/>
              <w:ind w:left="659"/>
              <w:jc w:val="both"/>
              <w:rPr>
                <w:rFonts w:ascii="Times New Roman" w:hAnsi="Times New Roman" w:eastAsia="宋体" w:cs="宋体"/>
                <w:sz w:val="24"/>
                <w:szCs w:val="23"/>
                <w:highlight w:val="none"/>
                <w:lang w:val="en-US" w:eastAsia="en-US" w:bidi="ar-SA"/>
              </w:rPr>
            </w:pPr>
            <w:r>
              <w:rPr>
                <w:rFonts w:ascii="Times New Roman" w:hAnsi="Times New Roman" w:eastAsia="宋体" w:cs="宋体"/>
                <w:spacing w:val="7"/>
                <w:sz w:val="24"/>
                <w:szCs w:val="23"/>
                <w:highlight w:val="none"/>
                <w:lang w:val="en-US" w:eastAsia="en-US" w:bidi="ar-SA"/>
              </w:rPr>
              <w:t>产品尺寸</w:t>
            </w:r>
          </w:p>
        </w:tc>
        <w:tc>
          <w:tcPr>
            <w:tcW w:w="4460" w:type="dxa"/>
            <w:noWrap w:val="0"/>
            <w:vAlign w:val="top"/>
          </w:tcPr>
          <w:p w14:paraId="69E29DE9">
            <w:pPr>
              <w:widowControl w:val="0"/>
              <w:spacing w:before="39" w:line="215" w:lineRule="auto"/>
              <w:ind w:left="1802"/>
              <w:jc w:val="both"/>
              <w:rPr>
                <w:rFonts w:ascii="Times New Roman" w:hAnsi="Times New Roman" w:eastAsia="宋体" w:cs="宋体"/>
                <w:sz w:val="24"/>
                <w:szCs w:val="23"/>
                <w:highlight w:val="none"/>
                <w:lang w:val="en-US" w:eastAsia="en-US" w:bidi="ar-SA"/>
              </w:rPr>
            </w:pPr>
            <w:r>
              <w:rPr>
                <w:rFonts w:ascii="Times New Roman" w:hAnsi="Times New Roman" w:eastAsia="宋体" w:cs="宋体"/>
                <w:sz w:val="24"/>
                <w:szCs w:val="23"/>
                <w:highlight w:val="none"/>
                <w:lang w:val="en-US" w:eastAsia="en-US" w:bidi="ar-SA"/>
              </w:rPr>
              <w:t>标准</w:t>
            </w:r>
            <w:r>
              <w:rPr>
                <w:rFonts w:ascii="Times New Roman" w:hAnsi="Times New Roman" w:eastAsia="宋体" w:cs="Times New Roman"/>
                <w:sz w:val="24"/>
                <w:szCs w:val="23"/>
                <w:highlight w:val="none"/>
                <w:lang w:val="en-US" w:eastAsia="en-US" w:bidi="ar-SA"/>
              </w:rPr>
              <w:t>1U</w:t>
            </w:r>
            <w:r>
              <w:rPr>
                <w:rFonts w:ascii="Times New Roman" w:hAnsi="Times New Roman" w:eastAsia="宋体" w:cs="宋体"/>
                <w:sz w:val="24"/>
                <w:szCs w:val="23"/>
                <w:highlight w:val="none"/>
                <w:lang w:val="en-US" w:eastAsia="en-US" w:bidi="ar-SA"/>
              </w:rPr>
              <w:t>架构</w:t>
            </w:r>
          </w:p>
        </w:tc>
      </w:tr>
      <w:tr w14:paraId="5BBB6E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50" w:type="dxa"/>
            <w:noWrap w:val="0"/>
            <w:vAlign w:val="top"/>
          </w:tcPr>
          <w:p w14:paraId="638D57EA">
            <w:pPr>
              <w:spacing w:before="3" w:line="304" w:lineRule="exact"/>
              <w:ind w:left="371"/>
              <w:rPr>
                <w:rFonts w:ascii="Times New Roman" w:hAnsi="Times New Roman" w:eastAsia="宋体" w:cs="Times New Roman"/>
                <w:sz w:val="24"/>
                <w:szCs w:val="23"/>
                <w:highlight w:val="none"/>
              </w:rPr>
            </w:pPr>
            <w:r>
              <w:rPr>
                <w:rFonts w:ascii="Times New Roman" w:hAnsi="Times New Roman" w:eastAsia="宋体" w:cs="Times New Roman"/>
                <w:position w:val="1"/>
                <w:sz w:val="24"/>
                <w:szCs w:val="23"/>
                <w:highlight w:val="none"/>
              </w:rPr>
              <w:t>9</w:t>
            </w:r>
          </w:p>
        </w:tc>
        <w:tc>
          <w:tcPr>
            <w:tcW w:w="2769" w:type="dxa"/>
            <w:noWrap w:val="0"/>
            <w:vAlign w:val="top"/>
          </w:tcPr>
          <w:p w14:paraId="1E102CD7">
            <w:pPr>
              <w:widowControl w:val="0"/>
              <w:spacing w:before="39" w:line="215" w:lineRule="auto"/>
              <w:ind w:left="927"/>
              <w:jc w:val="both"/>
              <w:rPr>
                <w:rFonts w:ascii="Times New Roman" w:hAnsi="Times New Roman" w:eastAsia="宋体" w:cs="宋体"/>
                <w:sz w:val="24"/>
                <w:szCs w:val="23"/>
                <w:highlight w:val="none"/>
                <w:lang w:val="en-US" w:eastAsia="en-US" w:bidi="ar-SA"/>
              </w:rPr>
            </w:pPr>
            <w:r>
              <w:rPr>
                <w:rFonts w:ascii="Times New Roman" w:hAnsi="Times New Roman" w:eastAsia="宋体" w:cs="宋体"/>
                <w:spacing w:val="-5"/>
                <w:sz w:val="24"/>
                <w:szCs w:val="23"/>
                <w:highlight w:val="none"/>
                <w:lang w:val="en-US" w:eastAsia="en-US" w:bidi="ar-SA"/>
              </w:rPr>
              <w:t>电源</w:t>
            </w:r>
          </w:p>
        </w:tc>
        <w:tc>
          <w:tcPr>
            <w:tcW w:w="4460" w:type="dxa"/>
            <w:noWrap w:val="0"/>
            <w:vAlign w:val="top"/>
          </w:tcPr>
          <w:p w14:paraId="3FC3EB19">
            <w:pPr>
              <w:widowControl w:val="0"/>
              <w:spacing w:before="39" w:line="215" w:lineRule="auto"/>
              <w:ind w:left="2129"/>
              <w:jc w:val="both"/>
              <w:rPr>
                <w:rFonts w:ascii="Times New Roman" w:hAnsi="Times New Roman" w:eastAsia="宋体" w:cs="宋体"/>
                <w:sz w:val="24"/>
                <w:szCs w:val="23"/>
                <w:highlight w:val="none"/>
                <w:lang w:val="en-US" w:eastAsia="en-US" w:bidi="ar-SA"/>
              </w:rPr>
            </w:pPr>
            <w:r>
              <w:rPr>
                <w:rFonts w:ascii="Times New Roman" w:hAnsi="Times New Roman" w:eastAsia="宋体" w:cs="宋体"/>
                <w:spacing w:val="6"/>
                <w:sz w:val="24"/>
                <w:szCs w:val="23"/>
                <w:highlight w:val="none"/>
                <w:lang w:val="en-US" w:eastAsia="en-US" w:bidi="ar-SA"/>
              </w:rPr>
              <w:t>单电源</w:t>
            </w:r>
          </w:p>
        </w:tc>
      </w:tr>
      <w:tr w14:paraId="57E781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80" w:hRule="atLeast"/>
        </w:trPr>
        <w:tc>
          <w:tcPr>
            <w:tcW w:w="850" w:type="dxa"/>
            <w:noWrap w:val="0"/>
            <w:vAlign w:val="top"/>
          </w:tcPr>
          <w:p w14:paraId="272F3AAB">
            <w:pPr>
              <w:spacing w:line="356" w:lineRule="auto"/>
              <w:rPr>
                <w:rFonts w:ascii="Times New Roman" w:hAnsi="Times New Roman" w:eastAsia="宋体" w:cs="Times New Roman"/>
                <w:sz w:val="24"/>
                <w:szCs w:val="21"/>
                <w:highlight w:val="none"/>
              </w:rPr>
            </w:pPr>
          </w:p>
          <w:p w14:paraId="7FCF6403">
            <w:pPr>
              <w:spacing w:line="356" w:lineRule="auto"/>
              <w:rPr>
                <w:rFonts w:ascii="Times New Roman" w:hAnsi="Times New Roman" w:eastAsia="宋体" w:cs="Times New Roman"/>
                <w:sz w:val="24"/>
                <w:szCs w:val="21"/>
                <w:highlight w:val="none"/>
              </w:rPr>
            </w:pPr>
          </w:p>
          <w:p w14:paraId="0C68D659">
            <w:pPr>
              <w:spacing w:before="66" w:line="315" w:lineRule="exact"/>
              <w:ind w:left="330"/>
              <w:rPr>
                <w:rFonts w:ascii="Times New Roman" w:hAnsi="Times New Roman" w:eastAsia="宋体" w:cs="Times New Roman"/>
                <w:sz w:val="24"/>
                <w:szCs w:val="23"/>
                <w:highlight w:val="none"/>
              </w:rPr>
            </w:pPr>
            <w:r>
              <w:rPr>
                <w:rFonts w:ascii="Times New Roman" w:hAnsi="Times New Roman" w:eastAsia="宋体" w:cs="Times New Roman"/>
                <w:spacing w:val="-11"/>
                <w:position w:val="2"/>
                <w:sz w:val="24"/>
                <w:szCs w:val="23"/>
                <w:highlight w:val="none"/>
              </w:rPr>
              <w:t>10</w:t>
            </w:r>
          </w:p>
        </w:tc>
        <w:tc>
          <w:tcPr>
            <w:tcW w:w="2769" w:type="dxa"/>
            <w:noWrap w:val="0"/>
            <w:vAlign w:val="top"/>
          </w:tcPr>
          <w:p w14:paraId="7775219F">
            <w:pPr>
              <w:spacing w:line="246" w:lineRule="auto"/>
              <w:rPr>
                <w:rFonts w:ascii="Times New Roman" w:hAnsi="Times New Roman" w:eastAsia="宋体" w:cs="Times New Roman"/>
                <w:sz w:val="24"/>
                <w:szCs w:val="21"/>
                <w:highlight w:val="none"/>
              </w:rPr>
            </w:pPr>
          </w:p>
          <w:p w14:paraId="6961BE08">
            <w:pPr>
              <w:spacing w:line="247" w:lineRule="auto"/>
              <w:rPr>
                <w:rFonts w:ascii="Times New Roman" w:hAnsi="Times New Roman" w:eastAsia="宋体" w:cs="Times New Roman"/>
                <w:sz w:val="24"/>
                <w:szCs w:val="21"/>
                <w:highlight w:val="none"/>
              </w:rPr>
            </w:pPr>
          </w:p>
          <w:p w14:paraId="3C6AC83F">
            <w:pPr>
              <w:spacing w:line="247" w:lineRule="auto"/>
              <w:rPr>
                <w:rFonts w:ascii="Times New Roman" w:hAnsi="Times New Roman" w:eastAsia="宋体" w:cs="Times New Roman"/>
                <w:sz w:val="24"/>
                <w:szCs w:val="21"/>
                <w:highlight w:val="none"/>
              </w:rPr>
            </w:pPr>
          </w:p>
          <w:p w14:paraId="590F6C75">
            <w:pPr>
              <w:widowControl w:val="0"/>
              <w:spacing w:before="75" w:line="229" w:lineRule="auto"/>
              <w:ind w:left="903"/>
              <w:jc w:val="both"/>
              <w:rPr>
                <w:rFonts w:ascii="Times New Roman" w:hAnsi="Times New Roman" w:eastAsia="宋体" w:cs="宋体"/>
                <w:sz w:val="24"/>
                <w:szCs w:val="23"/>
                <w:highlight w:val="none"/>
                <w:lang w:val="en-US" w:eastAsia="en-US" w:bidi="ar-SA"/>
              </w:rPr>
            </w:pPr>
            <w:r>
              <w:rPr>
                <w:rFonts w:ascii="Times New Roman" w:hAnsi="Times New Roman" w:eastAsia="宋体" w:cs="宋体"/>
                <w:spacing w:val="3"/>
                <w:sz w:val="24"/>
                <w:szCs w:val="23"/>
                <w:highlight w:val="none"/>
                <w:lang w:val="en-US" w:eastAsia="en-US" w:bidi="ar-SA"/>
              </w:rPr>
              <w:t>功能</w:t>
            </w:r>
          </w:p>
        </w:tc>
        <w:tc>
          <w:tcPr>
            <w:tcW w:w="4460" w:type="dxa"/>
            <w:noWrap w:val="0"/>
            <w:vAlign w:val="top"/>
          </w:tcPr>
          <w:p w14:paraId="07881CC6">
            <w:pPr>
              <w:widowControl w:val="0"/>
              <w:spacing w:before="38" w:line="245" w:lineRule="auto"/>
              <w:ind w:left="115" w:right="48"/>
              <w:jc w:val="both"/>
              <w:rPr>
                <w:rFonts w:ascii="Times New Roman" w:hAnsi="Times New Roman" w:eastAsia="宋体" w:cs="宋体"/>
                <w:sz w:val="24"/>
                <w:szCs w:val="23"/>
                <w:highlight w:val="none"/>
                <w:lang w:val="en-US" w:eastAsia="en-US" w:bidi="ar-SA"/>
              </w:rPr>
            </w:pPr>
            <w:r>
              <w:rPr>
                <w:rFonts w:ascii="Times New Roman" w:hAnsi="Times New Roman" w:eastAsia="宋体" w:cs="宋体"/>
                <w:spacing w:val="6"/>
                <w:sz w:val="24"/>
                <w:szCs w:val="23"/>
                <w:highlight w:val="none"/>
                <w:lang w:val="en-US" w:eastAsia="en-US" w:bidi="ar-SA"/>
              </w:rPr>
              <w:t>支持基于</w:t>
            </w:r>
            <w:r>
              <w:rPr>
                <w:rFonts w:ascii="Times New Roman" w:hAnsi="Times New Roman" w:eastAsia="宋体" w:cs="Times New Roman"/>
                <w:sz w:val="24"/>
                <w:szCs w:val="23"/>
                <w:highlight w:val="none"/>
                <w:lang w:val="en-US" w:eastAsia="en-US" w:bidi="ar-SA"/>
              </w:rPr>
              <w:t>TCP</w:t>
            </w:r>
            <w:r>
              <w:rPr>
                <w:rFonts w:ascii="Times New Roman" w:hAnsi="Times New Roman" w:eastAsia="宋体" w:cs="宋体"/>
                <w:spacing w:val="6"/>
                <w:sz w:val="24"/>
                <w:szCs w:val="23"/>
                <w:highlight w:val="none"/>
                <w:lang w:val="en-US" w:eastAsia="en-US" w:bidi="ar-SA"/>
              </w:rPr>
              <w:t>、</w:t>
            </w:r>
            <w:r>
              <w:rPr>
                <w:rFonts w:ascii="Times New Roman" w:hAnsi="Times New Roman" w:eastAsia="宋体" w:cs="Times New Roman"/>
                <w:sz w:val="24"/>
                <w:szCs w:val="23"/>
                <w:highlight w:val="none"/>
                <w:lang w:val="en-US" w:eastAsia="en-US" w:bidi="ar-SA"/>
              </w:rPr>
              <w:t>UDP</w:t>
            </w:r>
            <w:r>
              <w:rPr>
                <w:rFonts w:ascii="Times New Roman" w:hAnsi="Times New Roman" w:eastAsia="宋体" w:cs="宋体"/>
                <w:spacing w:val="6"/>
                <w:sz w:val="24"/>
                <w:szCs w:val="23"/>
                <w:highlight w:val="none"/>
                <w:lang w:val="en-US" w:eastAsia="en-US" w:bidi="ar-SA"/>
              </w:rPr>
              <w:t>、</w:t>
            </w:r>
            <w:r>
              <w:rPr>
                <w:rFonts w:ascii="Times New Roman" w:hAnsi="Times New Roman" w:eastAsia="宋体" w:cs="Times New Roman"/>
                <w:sz w:val="24"/>
                <w:szCs w:val="23"/>
                <w:highlight w:val="none"/>
                <w:lang w:val="en-US" w:eastAsia="en-US" w:bidi="ar-SA"/>
              </w:rPr>
              <w:t>ICMP</w:t>
            </w:r>
            <w:r>
              <w:rPr>
                <w:rFonts w:ascii="Times New Roman" w:hAnsi="Times New Roman" w:eastAsia="宋体" w:cs="宋体"/>
                <w:spacing w:val="6"/>
                <w:sz w:val="24"/>
                <w:szCs w:val="23"/>
                <w:highlight w:val="none"/>
                <w:lang w:val="en-US" w:eastAsia="en-US" w:bidi="ar-SA"/>
              </w:rPr>
              <w:t>的应用；完整支</w:t>
            </w:r>
            <w:r>
              <w:rPr>
                <w:rFonts w:ascii="Times New Roman" w:hAnsi="Times New Roman" w:eastAsia="宋体" w:cs="宋体"/>
                <w:spacing w:val="11"/>
                <w:sz w:val="24"/>
                <w:szCs w:val="23"/>
                <w:highlight w:val="none"/>
                <w:lang w:val="en-US" w:eastAsia="en-US" w:bidi="ar-SA"/>
              </w:rPr>
              <w:t>持主流操作系统（</w:t>
            </w:r>
            <w:r>
              <w:rPr>
                <w:rFonts w:ascii="Times New Roman" w:hAnsi="Times New Roman" w:eastAsia="宋体" w:cs="Times New Roman"/>
                <w:sz w:val="24"/>
                <w:szCs w:val="23"/>
                <w:highlight w:val="none"/>
                <w:lang w:val="en-US" w:eastAsia="en-US" w:bidi="ar-SA"/>
              </w:rPr>
              <w:t>Windows</w:t>
            </w:r>
            <w:r>
              <w:rPr>
                <w:rFonts w:ascii="Times New Roman" w:hAnsi="Times New Roman" w:eastAsia="宋体" w:cs="宋体"/>
                <w:spacing w:val="11"/>
                <w:sz w:val="24"/>
                <w:szCs w:val="23"/>
                <w:highlight w:val="none"/>
                <w:lang w:val="en-US" w:eastAsia="en-US" w:bidi="ar-SA"/>
              </w:rPr>
              <w:t>、</w:t>
            </w:r>
            <w:r>
              <w:rPr>
                <w:rFonts w:ascii="Times New Roman" w:hAnsi="Times New Roman" w:eastAsia="宋体" w:cs="Times New Roman"/>
                <w:sz w:val="24"/>
                <w:szCs w:val="23"/>
                <w:highlight w:val="none"/>
                <w:lang w:val="en-US" w:eastAsia="en-US" w:bidi="ar-SA"/>
              </w:rPr>
              <w:t>Linux</w:t>
            </w:r>
            <w:r>
              <w:rPr>
                <w:rFonts w:ascii="Times New Roman" w:hAnsi="Times New Roman" w:eastAsia="宋体" w:cs="宋体"/>
                <w:spacing w:val="11"/>
                <w:sz w:val="24"/>
                <w:szCs w:val="23"/>
                <w:highlight w:val="none"/>
                <w:lang w:val="en-US" w:eastAsia="en-US" w:bidi="ar-SA"/>
              </w:rPr>
              <w:t>、</w:t>
            </w:r>
            <w:r>
              <w:rPr>
                <w:rFonts w:ascii="Times New Roman" w:hAnsi="Times New Roman" w:eastAsia="宋体" w:cs="Times New Roman"/>
                <w:sz w:val="24"/>
                <w:szCs w:val="23"/>
                <w:highlight w:val="none"/>
                <w:lang w:val="en-US" w:eastAsia="en-US" w:bidi="ar-SA"/>
              </w:rPr>
              <w:t>Mac</w:t>
            </w:r>
            <w:r>
              <w:rPr>
                <w:rFonts w:ascii="Times New Roman" w:hAnsi="Times New Roman" w:eastAsia="宋体" w:cs="宋体"/>
                <w:spacing w:val="14"/>
                <w:sz w:val="24"/>
                <w:szCs w:val="23"/>
                <w:highlight w:val="none"/>
                <w:lang w:val="en-US" w:eastAsia="en-US" w:bidi="ar-SA"/>
              </w:rPr>
              <w:t>）；</w:t>
            </w:r>
            <w:r>
              <w:rPr>
                <w:rFonts w:ascii="Times New Roman" w:hAnsi="Times New Roman" w:eastAsia="宋体" w:cs="宋体"/>
                <w:spacing w:val="-7"/>
                <w:sz w:val="24"/>
                <w:szCs w:val="23"/>
                <w:highlight w:val="none"/>
                <w:lang w:val="en-US" w:eastAsia="en-US" w:bidi="ar-SA"/>
              </w:rPr>
              <w:t>支持</w:t>
            </w:r>
            <w:r>
              <w:rPr>
                <w:rFonts w:ascii="Times New Roman" w:hAnsi="Times New Roman" w:eastAsia="宋体" w:cs="Times New Roman"/>
                <w:spacing w:val="-7"/>
                <w:sz w:val="24"/>
                <w:szCs w:val="23"/>
                <w:highlight w:val="none"/>
                <w:lang w:val="en-US" w:eastAsia="en-US" w:bidi="ar-SA"/>
              </w:rPr>
              <w:t>IE</w:t>
            </w:r>
            <w:r>
              <w:rPr>
                <w:rFonts w:ascii="Times New Roman" w:hAnsi="Times New Roman" w:eastAsia="宋体" w:cs="宋体"/>
                <w:spacing w:val="-7"/>
                <w:sz w:val="24"/>
                <w:szCs w:val="23"/>
                <w:highlight w:val="none"/>
                <w:lang w:val="en-US" w:eastAsia="en-US" w:bidi="ar-SA"/>
              </w:rPr>
              <w:t>、</w:t>
            </w:r>
            <w:r>
              <w:rPr>
                <w:rFonts w:ascii="Times New Roman" w:hAnsi="Times New Roman" w:eastAsia="宋体" w:cs="Times New Roman"/>
                <w:spacing w:val="-7"/>
                <w:sz w:val="24"/>
                <w:szCs w:val="23"/>
                <w:highlight w:val="none"/>
                <w:lang w:val="en-US" w:eastAsia="en-US" w:bidi="ar-SA"/>
              </w:rPr>
              <w:t>Firefox</w:t>
            </w:r>
            <w:r>
              <w:rPr>
                <w:rFonts w:ascii="Times New Roman" w:hAnsi="Times New Roman" w:eastAsia="宋体" w:cs="宋体"/>
                <w:spacing w:val="-7"/>
                <w:sz w:val="24"/>
                <w:szCs w:val="23"/>
                <w:highlight w:val="none"/>
                <w:lang w:val="en-US" w:eastAsia="en-US" w:bidi="ar-SA"/>
              </w:rPr>
              <w:t>、</w:t>
            </w:r>
            <w:r>
              <w:rPr>
                <w:rFonts w:ascii="Times New Roman" w:hAnsi="Times New Roman" w:eastAsia="宋体" w:cs="Times New Roman"/>
                <w:spacing w:val="-7"/>
                <w:sz w:val="24"/>
                <w:szCs w:val="23"/>
                <w:highlight w:val="none"/>
                <w:lang w:val="en-US" w:eastAsia="en-US" w:bidi="ar-SA"/>
              </w:rPr>
              <w:t>Safari</w:t>
            </w:r>
            <w:r>
              <w:rPr>
                <w:rFonts w:ascii="Times New Roman" w:hAnsi="Times New Roman" w:eastAsia="宋体" w:cs="宋体"/>
                <w:spacing w:val="-7"/>
                <w:sz w:val="24"/>
                <w:szCs w:val="23"/>
                <w:highlight w:val="none"/>
                <w:lang w:val="en-US" w:eastAsia="en-US" w:bidi="ar-SA"/>
              </w:rPr>
              <w:t>、</w:t>
            </w:r>
            <w:r>
              <w:rPr>
                <w:rFonts w:ascii="Times New Roman" w:hAnsi="Times New Roman" w:eastAsia="宋体" w:cs="Times New Roman"/>
                <w:spacing w:val="-7"/>
                <w:sz w:val="24"/>
                <w:szCs w:val="23"/>
                <w:highlight w:val="none"/>
                <w:lang w:val="en-US" w:eastAsia="en-US" w:bidi="ar-SA"/>
              </w:rPr>
              <w:t>Goog1eChrome</w:t>
            </w:r>
            <w:r>
              <w:rPr>
                <w:rFonts w:ascii="Times New Roman" w:hAnsi="Times New Roman" w:eastAsia="宋体" w:cs="宋体"/>
                <w:spacing w:val="-7"/>
                <w:sz w:val="24"/>
                <w:szCs w:val="23"/>
                <w:highlight w:val="none"/>
                <w:lang w:val="en-US" w:eastAsia="en-US" w:bidi="ar-SA"/>
              </w:rPr>
              <w:t>、</w:t>
            </w:r>
            <w:r>
              <w:rPr>
                <w:rFonts w:ascii="Times New Roman" w:hAnsi="Times New Roman" w:eastAsia="宋体" w:cs="Times New Roman"/>
                <w:spacing w:val="-7"/>
                <w:sz w:val="24"/>
                <w:szCs w:val="23"/>
                <w:highlight w:val="none"/>
                <w:lang w:val="en-US" w:eastAsia="en-US" w:bidi="ar-SA"/>
              </w:rPr>
              <w:t>Opera</w:t>
            </w:r>
            <w:r>
              <w:rPr>
                <w:rFonts w:ascii="Times New Roman" w:hAnsi="Times New Roman" w:eastAsia="宋体" w:cs="宋体"/>
                <w:spacing w:val="-2"/>
                <w:sz w:val="24"/>
                <w:szCs w:val="23"/>
                <w:highlight w:val="none"/>
                <w:lang w:val="en-US" w:eastAsia="en-US" w:bidi="ar-SA"/>
              </w:rPr>
              <w:t>等主流浏览器；全面支持智能手机、移动终端；</w:t>
            </w:r>
            <w:r>
              <w:rPr>
                <w:rFonts w:ascii="Times New Roman" w:hAnsi="Times New Roman" w:eastAsia="宋体" w:cs="宋体"/>
                <w:spacing w:val="6"/>
                <w:sz w:val="24"/>
                <w:szCs w:val="23"/>
                <w:highlight w:val="none"/>
                <w:lang w:val="en-US" w:eastAsia="en-US" w:bidi="ar-SA"/>
              </w:rPr>
              <w:t>支持主流商业加密算法与国密算法；支持虚拟</w:t>
            </w:r>
            <w:r>
              <w:rPr>
                <w:rFonts w:ascii="Times New Roman" w:hAnsi="Times New Roman" w:eastAsia="宋体" w:cs="宋体"/>
                <w:spacing w:val="3"/>
                <w:sz w:val="24"/>
                <w:szCs w:val="23"/>
                <w:highlight w:val="none"/>
                <w:lang w:val="en-US" w:eastAsia="en-US" w:bidi="ar-SA"/>
              </w:rPr>
              <w:t>安全桌面；支持跨平台文件共享。</w:t>
            </w:r>
          </w:p>
        </w:tc>
      </w:tr>
    </w:tbl>
    <w:p w14:paraId="710AA574">
      <w:pPr>
        <w:keepNext w:val="0"/>
        <w:keepLines w:val="0"/>
        <w:pageBreakBefore w:val="0"/>
        <w:widowControl w:val="0"/>
        <w:spacing w:line="360" w:lineRule="auto"/>
        <w:ind w:left="0" w:right="0" w:firstLine="482"/>
        <w:jc w:val="left"/>
        <w:outlineLvl w:val="9"/>
        <w:rPr>
          <w:rFonts w:hint="default" w:ascii="宋体" w:hAnsi="宋体" w:eastAsia="宋体" w:cs="华文宋体"/>
          <w:b/>
          <w:bCs/>
          <w:color w:val="auto"/>
          <w:spacing w:val="0"/>
          <w:sz w:val="24"/>
          <w:szCs w:val="24"/>
          <w:lang w:val="en-US" w:eastAsia="zh-CN"/>
        </w:rPr>
      </w:pPr>
    </w:p>
    <w:p w14:paraId="4A08D2F1">
      <w:pPr>
        <w:pStyle w:val="4"/>
        <w:rPr>
          <w:rFonts w:hint="eastAsia" w:ascii="宋体" w:hAnsi="宋体" w:eastAsia="宋体" w:cs="宋体"/>
          <w:b/>
          <w:bCs/>
          <w:color w:val="auto"/>
          <w:sz w:val="24"/>
          <w:szCs w:val="24"/>
          <w:lang w:eastAsia="zh-Hans"/>
        </w:rPr>
      </w:pPr>
      <w:r>
        <w:rPr>
          <w:rFonts w:hint="eastAsia" w:ascii="宋体" w:hAnsi="宋体" w:eastAsia="宋体" w:cs="宋体"/>
          <w:b/>
          <w:bCs/>
          <w:color w:val="auto"/>
          <w:sz w:val="24"/>
          <w:szCs w:val="24"/>
          <w:lang w:val="en-US" w:eastAsia="zh-CN"/>
        </w:rPr>
        <w:t>3.3</w:t>
      </w:r>
      <w:r>
        <w:rPr>
          <w:rFonts w:hint="eastAsia" w:ascii="宋体" w:hAnsi="宋体" w:eastAsia="宋体" w:cs="宋体"/>
          <w:b/>
          <w:bCs/>
          <w:color w:val="auto"/>
          <w:sz w:val="24"/>
          <w:szCs w:val="24"/>
        </w:rPr>
        <w:t>、</w:t>
      </w:r>
      <w:r>
        <w:rPr>
          <w:rFonts w:hint="eastAsia" w:ascii="宋体" w:hAnsi="宋体" w:eastAsia="宋体" w:cs="宋体"/>
          <w:b/>
          <w:bCs/>
          <w:color w:val="auto"/>
          <w:sz w:val="24"/>
          <w:szCs w:val="24"/>
          <w:lang w:eastAsia="zh-Hans"/>
        </w:rPr>
        <w:t>综合布线系统工程技术要求</w:t>
      </w:r>
    </w:p>
    <w:p w14:paraId="7AC0BF4A">
      <w:pPr>
        <w:pStyle w:val="5"/>
        <w:numPr>
          <w:ilvl w:val="0"/>
          <w:numId w:val="0"/>
        </w:numPr>
        <w:tabs>
          <w:tab w:val="left" w:pos="1800"/>
          <w:tab w:val="clear" w:pos="360"/>
        </w:tabs>
        <w:spacing w:before="120" w:after="120"/>
        <w:ind w:firstLine="482" w:firstLineChars="200"/>
        <w:rPr>
          <w:rFonts w:hint="eastAsia" w:ascii="宋体" w:hAnsi="宋体" w:eastAsia="宋体" w:cs="宋体"/>
          <w:b/>
          <w:color w:val="auto"/>
          <w:sz w:val="24"/>
          <w:szCs w:val="24"/>
          <w:lang w:eastAsia="zh-Hans"/>
        </w:rPr>
      </w:pPr>
      <w:r>
        <w:rPr>
          <w:rFonts w:hint="eastAsia" w:ascii="宋体" w:hAnsi="宋体" w:eastAsia="宋体" w:cs="宋体"/>
          <w:b/>
          <w:color w:val="auto"/>
          <w:sz w:val="24"/>
          <w:szCs w:val="24"/>
          <w:lang w:eastAsia="zh-Hans"/>
        </w:rPr>
        <w:t>(1)通电要求</w:t>
      </w:r>
    </w:p>
    <w:p w14:paraId="119B137F">
      <w:pPr>
        <w:numPr>
          <w:ilvl w:val="0"/>
          <w:numId w:val="11"/>
        </w:numPr>
        <w:spacing w:line="360" w:lineRule="auto"/>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eastAsia="zh-Hans"/>
        </w:rPr>
        <w:t>供电负荷等级和供电要求应按现行国家标准《供配电系统设计规范》（GB50052）的规定执行。</w:t>
      </w:r>
    </w:p>
    <w:p w14:paraId="4741E8B9">
      <w:pPr>
        <w:numPr>
          <w:ilvl w:val="0"/>
          <w:numId w:val="11"/>
        </w:numPr>
        <w:spacing w:line="360" w:lineRule="auto"/>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eastAsia="zh-Hans"/>
        </w:rPr>
        <w:t>水站供电电源使用380伏特交流电、三相四线制、频率50赫兹，电源容量要按照站房全部用电设备实际用量的1.5倍计算。</w:t>
      </w:r>
    </w:p>
    <w:p w14:paraId="38BAF308">
      <w:pPr>
        <w:numPr>
          <w:ilvl w:val="0"/>
          <w:numId w:val="11"/>
        </w:numPr>
        <w:spacing w:line="360" w:lineRule="auto"/>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eastAsia="zh-Hans"/>
        </w:rPr>
        <w:t>电源线引入方式符合国家相关标准，穿墙时采用穿墙管。施工参考《建筑电气工程施工质量验收规范》（GB50303-2002）。</w:t>
      </w:r>
    </w:p>
    <w:p w14:paraId="059C0796">
      <w:pPr>
        <w:numPr>
          <w:ilvl w:val="0"/>
          <w:numId w:val="11"/>
        </w:numPr>
        <w:spacing w:line="360" w:lineRule="auto"/>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eastAsia="zh-Hans"/>
        </w:rPr>
        <w:t>在监测仪器室内为水质自动监测系统配置专用动力配电箱。在总配电箱处进行重复接地，确保零、地线分开，其间相位差为零，并在此安装电源防雷设备。</w:t>
      </w:r>
    </w:p>
    <w:p w14:paraId="2BE0E7B8">
      <w:pPr>
        <w:numPr>
          <w:ilvl w:val="0"/>
          <w:numId w:val="11"/>
        </w:numPr>
        <w:spacing w:line="360" w:lineRule="auto"/>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eastAsia="zh-Hans"/>
        </w:rPr>
        <w:t>根据仪器、设备的用电情况，在380伏特供电条件下总配电采取分相供电：一相用于照明、空调及其他生活用电（220伏特），一相供专用稳压电源为仪器系统用电（220伏特），另外一相为水泵供电（220伏特）。同时在站房配电箱内保留一到两个三相（380伏特）和单相（220伏特）电源接线端备用。</w:t>
      </w:r>
    </w:p>
    <w:p w14:paraId="5ACC2A91">
      <w:pPr>
        <w:numPr>
          <w:ilvl w:val="0"/>
          <w:numId w:val="11"/>
        </w:numPr>
        <w:spacing w:line="360" w:lineRule="auto"/>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eastAsia="zh-Hans"/>
        </w:rPr>
        <w:t>系统应配备UPS和三相稳压电源，功率应保证突然断电后各自动分析仪能继续完成本次测量周期。</w:t>
      </w:r>
    </w:p>
    <w:p w14:paraId="7D75AE95">
      <w:pPr>
        <w:numPr>
          <w:ilvl w:val="0"/>
          <w:numId w:val="11"/>
        </w:numPr>
        <w:spacing w:line="360" w:lineRule="auto"/>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eastAsia="zh-Hans"/>
        </w:rPr>
        <w:t>电源动力线和通讯线、信号线相互屏蔽，以免产生电磁干扰。</w:t>
      </w:r>
    </w:p>
    <w:p w14:paraId="4EB0B81E">
      <w:pPr>
        <w:pStyle w:val="5"/>
        <w:numPr>
          <w:ilvl w:val="0"/>
          <w:numId w:val="0"/>
        </w:numPr>
        <w:tabs>
          <w:tab w:val="left" w:pos="1800"/>
          <w:tab w:val="clear" w:pos="360"/>
        </w:tabs>
        <w:spacing w:before="120" w:after="120"/>
        <w:ind w:firstLine="482" w:firstLineChars="200"/>
        <w:rPr>
          <w:rFonts w:hint="eastAsia" w:ascii="宋体" w:hAnsi="宋体" w:eastAsia="宋体" w:cs="宋体"/>
          <w:b/>
          <w:color w:val="auto"/>
          <w:sz w:val="24"/>
          <w:szCs w:val="24"/>
          <w:lang w:eastAsia="zh-Hans"/>
        </w:rPr>
      </w:pPr>
      <w:r>
        <w:rPr>
          <w:rFonts w:hint="eastAsia" w:ascii="宋体" w:hAnsi="宋体" w:eastAsia="宋体" w:cs="宋体"/>
          <w:b/>
          <w:color w:val="auto"/>
          <w:sz w:val="24"/>
          <w:szCs w:val="24"/>
          <w:lang w:eastAsia="zh-Hans"/>
        </w:rPr>
        <w:t>（2）通水要求</w:t>
      </w:r>
    </w:p>
    <w:p w14:paraId="601328D0">
      <w:pPr>
        <w:spacing w:line="360" w:lineRule="auto"/>
        <w:ind w:firstLine="480"/>
        <w:rPr>
          <w:rFonts w:hint="eastAsia" w:ascii="宋体" w:hAnsi="宋体" w:eastAsia="宋体" w:cs="宋体"/>
          <w:color w:val="auto"/>
          <w:sz w:val="24"/>
          <w:szCs w:val="24"/>
          <w:lang w:val="zh-CN" w:eastAsia="zh-Hans"/>
        </w:rPr>
      </w:pPr>
      <w:r>
        <w:rPr>
          <w:rFonts w:hint="eastAsia" w:ascii="宋体" w:hAnsi="宋体" w:eastAsia="宋体" w:cs="宋体"/>
          <w:color w:val="auto"/>
          <w:sz w:val="24"/>
          <w:szCs w:val="24"/>
          <w:lang w:eastAsia="zh-Hans"/>
        </w:rPr>
        <w:t>站房根据仪器、设备、生活等对水质、水压和水量的要求分别设置给水系统。站房内引入自来水（或井水），必要时加设高位水箱。自来水的水量瞬时最大流量3立方米/小时，压力不小于0.5千克/平方厘米，保证每次清洗用量不小于1立方米。</w:t>
      </w:r>
    </w:p>
    <w:p w14:paraId="35804C8E">
      <w:pPr>
        <w:pStyle w:val="5"/>
        <w:numPr>
          <w:ilvl w:val="0"/>
          <w:numId w:val="0"/>
        </w:numPr>
        <w:tabs>
          <w:tab w:val="left" w:pos="1800"/>
          <w:tab w:val="clear" w:pos="360"/>
        </w:tabs>
        <w:spacing w:before="120" w:after="120"/>
        <w:ind w:firstLine="482" w:firstLineChars="200"/>
        <w:rPr>
          <w:rFonts w:hint="eastAsia" w:ascii="宋体" w:hAnsi="宋体" w:eastAsia="宋体" w:cs="宋体"/>
          <w:b/>
          <w:color w:val="auto"/>
          <w:sz w:val="24"/>
          <w:szCs w:val="24"/>
          <w:lang w:eastAsia="zh-Hans"/>
        </w:rPr>
      </w:pPr>
      <w:bookmarkStart w:id="345" w:name="_Toc8236145"/>
      <w:r>
        <w:rPr>
          <w:rFonts w:hint="eastAsia" w:ascii="宋体" w:hAnsi="宋体" w:eastAsia="宋体" w:cs="宋体"/>
          <w:b/>
          <w:color w:val="auto"/>
          <w:sz w:val="24"/>
          <w:szCs w:val="24"/>
          <w:lang w:eastAsia="zh-Hans"/>
        </w:rPr>
        <w:t>（3）通网要求</w:t>
      </w:r>
      <w:bookmarkEnd w:id="345"/>
    </w:p>
    <w:p w14:paraId="1FC991A9">
      <w:pPr>
        <w:spacing w:line="360" w:lineRule="auto"/>
        <w:ind w:firstLine="480"/>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eastAsia="zh-Hans"/>
        </w:rPr>
        <w:t>站房网络通讯建设应以光纤有线网络传输为主，现场条件不具备的情况下，可选用无线网络进行传输，站点现场应通过手机等通讯设备进行通话测试，通讯方式应选择至少两家通讯运营商，无线传输网络（固定IP优先）应满足数据传输要求及视频远程查看要求，传输带宽不小于20兆。</w:t>
      </w:r>
    </w:p>
    <w:p w14:paraId="7461E5DC">
      <w:pPr>
        <w:pStyle w:val="5"/>
        <w:numPr>
          <w:ilvl w:val="0"/>
          <w:numId w:val="0"/>
        </w:numPr>
        <w:tabs>
          <w:tab w:val="left" w:pos="1800"/>
          <w:tab w:val="clear" w:pos="360"/>
        </w:tabs>
        <w:spacing w:before="120" w:after="120"/>
        <w:ind w:firstLine="482" w:firstLineChars="200"/>
        <w:rPr>
          <w:rFonts w:hint="eastAsia" w:ascii="宋体" w:hAnsi="宋体" w:eastAsia="宋体" w:cs="宋体"/>
          <w:b/>
          <w:color w:val="auto"/>
          <w:sz w:val="24"/>
          <w:szCs w:val="24"/>
          <w:lang w:eastAsia="zh-Hans"/>
        </w:rPr>
      </w:pPr>
      <w:r>
        <w:rPr>
          <w:rFonts w:hint="eastAsia" w:ascii="宋体" w:hAnsi="宋体" w:eastAsia="宋体" w:cs="宋体"/>
          <w:b/>
          <w:color w:val="auto"/>
          <w:sz w:val="24"/>
          <w:szCs w:val="24"/>
          <w:lang w:eastAsia="zh-Hans"/>
        </w:rPr>
        <w:t>（4）</w:t>
      </w:r>
      <w:r>
        <w:rPr>
          <w:rFonts w:hint="eastAsia" w:ascii="宋体" w:hAnsi="宋体" w:eastAsia="宋体" w:cs="宋体"/>
          <w:b/>
          <w:color w:val="auto"/>
          <w:sz w:val="24"/>
          <w:szCs w:val="24"/>
          <w:lang w:val="en-US" w:eastAsia="zh-CN"/>
        </w:rPr>
        <w:t>用地</w:t>
      </w:r>
      <w:r>
        <w:rPr>
          <w:rFonts w:hint="eastAsia" w:ascii="宋体" w:hAnsi="宋体" w:eastAsia="宋体" w:cs="宋体"/>
          <w:b/>
          <w:color w:val="auto"/>
          <w:sz w:val="24"/>
          <w:szCs w:val="24"/>
          <w:lang w:eastAsia="zh-Hans"/>
        </w:rPr>
        <w:t>要求</w:t>
      </w:r>
    </w:p>
    <w:p w14:paraId="04229E3C">
      <w:pPr>
        <w:spacing w:line="360" w:lineRule="auto"/>
        <w:ind w:firstLine="480"/>
        <w:rPr>
          <w:rFonts w:hint="eastAsia" w:ascii="宋体" w:hAnsi="宋体" w:eastAsia="宋体" w:cs="宋体"/>
          <w:color w:val="auto"/>
          <w:sz w:val="24"/>
          <w:szCs w:val="24"/>
          <w:lang w:val="zh-CN" w:eastAsia="zh-Hans"/>
        </w:rPr>
      </w:pPr>
      <w:r>
        <w:rPr>
          <w:rFonts w:hint="eastAsia" w:ascii="宋体" w:hAnsi="宋体" w:eastAsia="宋体" w:cs="宋体"/>
          <w:color w:val="auto"/>
          <w:sz w:val="24"/>
          <w:szCs w:val="24"/>
          <w:lang w:eastAsia="zh-Hans"/>
        </w:rPr>
        <w:t>项目需求单位积极协调项目建设用地。</w:t>
      </w:r>
    </w:p>
    <w:p w14:paraId="2B930144">
      <w:pPr>
        <w:ind w:firstLine="273" w:firstLineChars="100"/>
        <w:rPr>
          <w:rFonts w:ascii="宋体" w:hAnsi="宋体" w:eastAsia="宋体" w:cs="宋体"/>
          <w:b/>
          <w:bCs/>
          <w:spacing w:val="-4"/>
          <w:sz w:val="28"/>
          <w:szCs w:val="28"/>
        </w:rPr>
      </w:pPr>
      <w:r>
        <w:rPr>
          <w:rFonts w:hint="eastAsia" w:ascii="宋体" w:hAnsi="宋体" w:eastAsia="宋体" w:cs="宋体"/>
          <w:b/>
          <w:bCs/>
          <w:spacing w:val="-4"/>
          <w:sz w:val="28"/>
          <w:szCs w:val="28"/>
          <w:lang w:val="en-US" w:eastAsia="zh-CN"/>
        </w:rPr>
        <w:t>五、</w:t>
      </w:r>
      <w:r>
        <w:rPr>
          <w:rFonts w:ascii="宋体" w:hAnsi="宋体" w:eastAsia="宋体" w:cs="宋体"/>
          <w:b/>
          <w:bCs/>
          <w:spacing w:val="-4"/>
          <w:sz w:val="28"/>
          <w:szCs w:val="28"/>
        </w:rPr>
        <w:t>运行维护技术要求</w:t>
      </w:r>
    </w:p>
    <w:p w14:paraId="701A40D1">
      <w:pPr>
        <w:spacing w:before="304" w:line="312" w:lineRule="auto"/>
        <w:ind w:left="11" w:right="105" w:firstLine="492"/>
        <w:rPr>
          <w:rFonts w:ascii="宋体" w:hAnsi="宋体" w:eastAsia="宋体" w:cs="宋体"/>
          <w:sz w:val="24"/>
          <w:szCs w:val="24"/>
        </w:rPr>
      </w:pPr>
      <w:r>
        <w:rPr>
          <w:rFonts w:ascii="宋体" w:hAnsi="宋体" w:eastAsia="宋体" w:cs="宋体"/>
          <w:spacing w:val="-3"/>
          <w:sz w:val="24"/>
          <w:szCs w:val="24"/>
        </w:rPr>
        <w:t>（1）在运行管理及维修期间，中标人必须遵守国家的有关法律、法规及其他规定，本着</w:t>
      </w:r>
      <w:r>
        <w:rPr>
          <w:rFonts w:ascii="宋体" w:hAnsi="宋体" w:eastAsia="宋体" w:cs="宋体"/>
          <w:sz w:val="24"/>
          <w:szCs w:val="24"/>
        </w:rPr>
        <w:t>为采购人负责的精神，依照规范，科学管理，使各站水质监测系</w:t>
      </w:r>
      <w:r>
        <w:rPr>
          <w:rFonts w:ascii="宋体" w:hAnsi="宋体" w:eastAsia="宋体" w:cs="宋体"/>
          <w:spacing w:val="-1"/>
          <w:sz w:val="24"/>
          <w:szCs w:val="24"/>
        </w:rPr>
        <w:t>统及仪表运行达到国家</w:t>
      </w:r>
      <w:r>
        <w:rPr>
          <w:rFonts w:ascii="宋体" w:hAnsi="宋体" w:eastAsia="宋体" w:cs="宋体"/>
          <w:sz w:val="24"/>
          <w:szCs w:val="24"/>
        </w:rPr>
        <w:t>及行业颁布的技术标准和考核指标要求；使其真</w:t>
      </w:r>
      <w:r>
        <w:rPr>
          <w:rFonts w:ascii="宋体" w:hAnsi="宋体" w:eastAsia="宋体" w:cs="宋体"/>
          <w:spacing w:val="-1"/>
          <w:sz w:val="24"/>
          <w:szCs w:val="24"/>
        </w:rPr>
        <w:t>正发挥其效能和作用。</w:t>
      </w:r>
    </w:p>
    <w:p w14:paraId="7EEB0412">
      <w:pPr>
        <w:spacing w:before="304" w:line="289" w:lineRule="auto"/>
        <w:ind w:left="14" w:right="105" w:firstLine="489"/>
        <w:rPr>
          <w:rFonts w:ascii="宋体" w:hAnsi="宋体" w:eastAsia="宋体" w:cs="宋体"/>
          <w:sz w:val="24"/>
          <w:szCs w:val="24"/>
        </w:rPr>
      </w:pPr>
      <w:r>
        <w:rPr>
          <w:rFonts w:ascii="宋体" w:hAnsi="宋体" w:eastAsia="宋体" w:cs="宋体"/>
          <w:spacing w:val="-3"/>
          <w:sz w:val="24"/>
          <w:szCs w:val="24"/>
        </w:rPr>
        <w:t>（2）及时维修</w:t>
      </w:r>
      <w:r>
        <w:rPr>
          <w:rFonts w:hint="eastAsia" w:ascii="宋体" w:hAnsi="宋体" w:cs="宋体"/>
          <w:spacing w:val="-3"/>
          <w:sz w:val="24"/>
          <w:szCs w:val="24"/>
          <w:lang w:val="en-US" w:eastAsia="zh-CN"/>
        </w:rPr>
        <w:t>水</w:t>
      </w:r>
      <w:r>
        <w:rPr>
          <w:rFonts w:ascii="宋体" w:hAnsi="宋体" w:eastAsia="宋体" w:cs="宋体"/>
          <w:spacing w:val="-3"/>
          <w:sz w:val="24"/>
          <w:szCs w:val="24"/>
        </w:rPr>
        <w:t>站系统和仪表的故障，防范和减少故障，确保监测数据及时、科学和</w:t>
      </w:r>
      <w:r>
        <w:rPr>
          <w:rFonts w:ascii="宋体" w:hAnsi="宋体" w:eastAsia="宋体" w:cs="宋体"/>
          <w:spacing w:val="-4"/>
          <w:sz w:val="24"/>
          <w:szCs w:val="24"/>
        </w:rPr>
        <w:t>准确。</w:t>
      </w:r>
    </w:p>
    <w:p w14:paraId="7036FC79">
      <w:pPr>
        <w:spacing w:before="301" w:line="289" w:lineRule="auto"/>
        <w:ind w:left="12" w:right="194" w:firstLine="491"/>
        <w:rPr>
          <w:rFonts w:ascii="宋体" w:hAnsi="宋体" w:eastAsia="宋体" w:cs="宋体"/>
          <w:sz w:val="24"/>
          <w:szCs w:val="24"/>
        </w:rPr>
      </w:pPr>
      <w:r>
        <w:rPr>
          <w:rFonts w:ascii="宋体" w:hAnsi="宋体" w:eastAsia="宋体" w:cs="宋体"/>
          <w:spacing w:val="-1"/>
          <w:sz w:val="24"/>
          <w:szCs w:val="24"/>
        </w:rPr>
        <w:t>（3）中标人必须负责保证</w:t>
      </w:r>
      <w:r>
        <w:rPr>
          <w:rFonts w:hint="eastAsia" w:ascii="宋体" w:hAnsi="宋体" w:cs="宋体"/>
          <w:spacing w:val="-1"/>
          <w:sz w:val="24"/>
          <w:szCs w:val="24"/>
          <w:lang w:val="en-US" w:eastAsia="zh-CN"/>
        </w:rPr>
        <w:t>水</w:t>
      </w:r>
      <w:r>
        <w:rPr>
          <w:rFonts w:ascii="宋体" w:hAnsi="宋体" w:eastAsia="宋体" w:cs="宋体"/>
          <w:spacing w:val="-1"/>
          <w:sz w:val="24"/>
          <w:szCs w:val="24"/>
        </w:rPr>
        <w:t>站数据准确可靠</w:t>
      </w:r>
      <w:r>
        <w:rPr>
          <w:rFonts w:ascii="Times New Roman" w:hAnsi="Times New Roman" w:eastAsia="Times New Roman" w:cs="Times New Roman"/>
          <w:spacing w:val="-1"/>
          <w:sz w:val="24"/>
          <w:szCs w:val="24"/>
        </w:rPr>
        <w:t>,</w:t>
      </w:r>
      <w:r>
        <w:rPr>
          <w:rFonts w:ascii="宋体" w:hAnsi="宋体" w:eastAsia="宋体" w:cs="宋体"/>
          <w:spacing w:val="-1"/>
          <w:sz w:val="24"/>
          <w:szCs w:val="24"/>
        </w:rPr>
        <w:t>发现数据有超标值或异常值出现时，应</w:t>
      </w:r>
      <w:r>
        <w:rPr>
          <w:rFonts w:ascii="宋体" w:hAnsi="宋体" w:eastAsia="宋体" w:cs="宋体"/>
          <w:spacing w:val="-2"/>
          <w:sz w:val="24"/>
          <w:szCs w:val="24"/>
        </w:rPr>
        <w:t>立即查明原因。</w:t>
      </w:r>
    </w:p>
    <w:p w14:paraId="72E8D2C0">
      <w:pPr>
        <w:pStyle w:val="14"/>
        <w:rPr>
          <w:rFonts w:ascii="宋体" w:hAnsi="宋体" w:eastAsia="宋体" w:cs="宋体"/>
          <w:spacing w:val="-2"/>
          <w:sz w:val="24"/>
          <w:szCs w:val="24"/>
        </w:rPr>
      </w:pPr>
      <w:r>
        <w:rPr>
          <w:rFonts w:ascii="宋体" w:hAnsi="宋体" w:eastAsia="宋体" w:cs="宋体"/>
          <w:spacing w:val="-1"/>
          <w:sz w:val="24"/>
          <w:szCs w:val="24"/>
        </w:rPr>
        <w:t>（4）除采购人许可外，中标人不得使用监测成果</w:t>
      </w:r>
      <w:r>
        <w:rPr>
          <w:rFonts w:ascii="Times New Roman" w:hAnsi="Times New Roman" w:eastAsia="Times New Roman" w:cs="Times New Roman"/>
          <w:spacing w:val="-1"/>
          <w:sz w:val="24"/>
          <w:szCs w:val="24"/>
        </w:rPr>
        <w:t>,</w:t>
      </w:r>
      <w:r>
        <w:rPr>
          <w:rFonts w:ascii="宋体" w:hAnsi="宋体" w:eastAsia="宋体" w:cs="宋体"/>
          <w:spacing w:val="-1"/>
          <w:sz w:val="24"/>
          <w:szCs w:val="24"/>
        </w:rPr>
        <w:t>不得将监测及系统信息传输到本项目</w:t>
      </w:r>
      <w:r>
        <w:rPr>
          <w:rFonts w:ascii="宋体" w:hAnsi="宋体" w:eastAsia="宋体" w:cs="宋体"/>
          <w:spacing w:val="-2"/>
          <w:sz w:val="24"/>
          <w:szCs w:val="24"/>
        </w:rPr>
        <w:t>以外其他系统，因此造成泄密事件由中标人负责。</w:t>
      </w:r>
    </w:p>
    <w:p w14:paraId="388C32FD">
      <w:pPr>
        <w:spacing w:before="303" w:line="219" w:lineRule="auto"/>
        <w:ind w:left="503"/>
        <w:rPr>
          <w:rFonts w:ascii="宋体" w:hAnsi="宋体" w:eastAsia="宋体" w:cs="宋体"/>
          <w:sz w:val="28"/>
          <w:szCs w:val="28"/>
        </w:rPr>
      </w:pPr>
      <w:r>
        <w:rPr>
          <w:rFonts w:hint="eastAsia" w:ascii="宋体" w:hAnsi="宋体" w:cs="宋体"/>
          <w:b/>
          <w:bCs/>
          <w:spacing w:val="-5"/>
          <w:sz w:val="28"/>
          <w:szCs w:val="28"/>
          <w:lang w:val="en-US" w:eastAsia="zh-CN"/>
        </w:rPr>
        <w:t>六、</w:t>
      </w:r>
      <w:r>
        <w:rPr>
          <w:rFonts w:ascii="宋体" w:hAnsi="宋体" w:eastAsia="宋体" w:cs="宋体"/>
          <w:b/>
          <w:bCs/>
          <w:spacing w:val="-5"/>
          <w:sz w:val="28"/>
          <w:szCs w:val="28"/>
        </w:rPr>
        <w:t>质控考核要求</w:t>
      </w:r>
    </w:p>
    <w:p w14:paraId="3C38F11A">
      <w:pPr>
        <w:spacing w:before="299" w:line="355" w:lineRule="auto"/>
        <w:ind w:firstLine="491"/>
        <w:jc w:val="both"/>
        <w:rPr>
          <w:rFonts w:ascii="宋体" w:hAnsi="宋体" w:eastAsia="宋体" w:cs="宋体"/>
          <w:sz w:val="24"/>
          <w:szCs w:val="24"/>
        </w:rPr>
      </w:pPr>
      <w:r>
        <w:rPr>
          <w:rFonts w:hint="eastAsia" w:cs="Times New Roman"/>
          <w:spacing w:val="-1"/>
          <w:sz w:val="24"/>
          <w:szCs w:val="24"/>
          <w:lang w:val="en-US" w:eastAsia="zh-CN"/>
        </w:rPr>
        <w:t>6</w:t>
      </w:r>
      <w:r>
        <w:rPr>
          <w:rFonts w:ascii="Times New Roman" w:hAnsi="Times New Roman" w:eastAsia="Times New Roman" w:cs="Times New Roman"/>
          <w:spacing w:val="-1"/>
          <w:sz w:val="24"/>
          <w:szCs w:val="24"/>
        </w:rPr>
        <w:t xml:space="preserve">.1  </w:t>
      </w:r>
      <w:r>
        <w:rPr>
          <w:rFonts w:ascii="宋体" w:hAnsi="宋体" w:eastAsia="宋体" w:cs="宋体"/>
          <w:spacing w:val="-1"/>
          <w:sz w:val="24"/>
          <w:szCs w:val="24"/>
        </w:rPr>
        <w:t>水站运维工作的开展须严格按照《地表水水质自动监测站（常</w:t>
      </w:r>
      <w:r>
        <w:rPr>
          <w:rFonts w:ascii="宋体" w:hAnsi="宋体" w:eastAsia="宋体" w:cs="宋体"/>
          <w:spacing w:val="-2"/>
          <w:sz w:val="24"/>
          <w:szCs w:val="24"/>
        </w:rPr>
        <w:t xml:space="preserve">规五参数、 </w:t>
      </w:r>
      <w:r>
        <w:rPr>
          <w:rFonts w:ascii="Times New Roman" w:hAnsi="Times New Roman" w:eastAsia="Times New Roman" w:cs="Times New Roman"/>
          <w:spacing w:val="-2"/>
          <w:sz w:val="24"/>
          <w:szCs w:val="24"/>
        </w:rPr>
        <w:t>CODMn</w:t>
      </w:r>
      <w:r>
        <w:rPr>
          <w:rFonts w:ascii="宋体" w:hAnsi="宋体" w:eastAsia="宋体" w:cs="宋体"/>
          <w:spacing w:val="-2"/>
          <w:sz w:val="24"/>
          <w:szCs w:val="24"/>
        </w:rPr>
        <w:t>、</w:t>
      </w:r>
      <w:r>
        <w:rPr>
          <w:rFonts w:ascii="宋体" w:hAnsi="宋体" w:eastAsia="宋体" w:cs="宋体"/>
          <w:sz w:val="24"/>
          <w:szCs w:val="24"/>
        </w:rPr>
        <w:t xml:space="preserve"> </w:t>
      </w:r>
      <w:r>
        <w:rPr>
          <w:rFonts w:ascii="Times New Roman" w:hAnsi="Times New Roman" w:eastAsia="Times New Roman" w:cs="Times New Roman"/>
          <w:sz w:val="24"/>
          <w:szCs w:val="24"/>
        </w:rPr>
        <w:t>NH3</w:t>
      </w:r>
      <w:r>
        <w:rPr>
          <w:rFonts w:ascii="Microsoft Sans Serif" w:hAnsi="Microsoft Sans Serif" w:eastAsia="Microsoft Sans Serif" w:cs="Microsoft Sans Serif"/>
          <w:sz w:val="24"/>
          <w:szCs w:val="24"/>
        </w:rPr>
        <w:t xml:space="preserve">⁃  </w:t>
      </w:r>
      <w:r>
        <w:rPr>
          <w:rFonts w:ascii="Times New Roman" w:hAnsi="Times New Roman" w:eastAsia="Times New Roman" w:cs="Times New Roman"/>
          <w:sz w:val="24"/>
          <w:szCs w:val="24"/>
        </w:rPr>
        <w:t>N</w:t>
      </w:r>
      <w:r>
        <w:rPr>
          <w:rFonts w:ascii="Times New Roman" w:hAnsi="Times New Roman" w:eastAsia="Times New Roman" w:cs="Times New Roman"/>
          <w:spacing w:val="-34"/>
          <w:sz w:val="24"/>
          <w:szCs w:val="24"/>
        </w:rPr>
        <w:t xml:space="preserve"> </w:t>
      </w:r>
      <w:r>
        <w:rPr>
          <w:rFonts w:ascii="宋体" w:hAnsi="宋体" w:eastAsia="宋体" w:cs="宋体"/>
          <w:sz w:val="24"/>
          <w:szCs w:val="24"/>
        </w:rPr>
        <w:t>、</w:t>
      </w:r>
      <w:r>
        <w:rPr>
          <w:rFonts w:ascii="Times New Roman" w:hAnsi="Times New Roman" w:eastAsia="Times New Roman" w:cs="Times New Roman"/>
          <w:sz w:val="24"/>
          <w:szCs w:val="24"/>
        </w:rPr>
        <w:t>TP</w:t>
      </w:r>
      <w:r>
        <w:rPr>
          <w:rFonts w:ascii="Times New Roman" w:hAnsi="Times New Roman" w:eastAsia="Times New Roman" w:cs="Times New Roman"/>
          <w:spacing w:val="-33"/>
          <w:sz w:val="24"/>
          <w:szCs w:val="24"/>
        </w:rPr>
        <w:t xml:space="preserve"> </w:t>
      </w:r>
      <w:r>
        <w:rPr>
          <w:rFonts w:ascii="宋体" w:hAnsi="宋体" w:eastAsia="宋体" w:cs="宋体"/>
          <w:sz w:val="24"/>
          <w:szCs w:val="24"/>
        </w:rPr>
        <w:t>、</w:t>
      </w:r>
      <w:r>
        <w:rPr>
          <w:rFonts w:ascii="Times New Roman" w:hAnsi="Times New Roman" w:eastAsia="Times New Roman" w:cs="Times New Roman"/>
          <w:sz w:val="24"/>
          <w:szCs w:val="24"/>
        </w:rPr>
        <w:t>TN</w:t>
      </w:r>
      <w:r>
        <w:rPr>
          <w:rFonts w:ascii="宋体" w:hAnsi="宋体" w:eastAsia="宋体" w:cs="宋体"/>
          <w:sz w:val="24"/>
          <w:szCs w:val="24"/>
        </w:rPr>
        <w:t>）安装验收技术规范》（</w:t>
      </w:r>
      <w:r>
        <w:rPr>
          <w:rFonts w:ascii="Times New Roman" w:hAnsi="Times New Roman" w:eastAsia="Times New Roman" w:cs="Times New Roman"/>
          <w:sz w:val="24"/>
          <w:szCs w:val="24"/>
        </w:rPr>
        <w:t>HJ 915.2-</w:t>
      </w:r>
      <w:r>
        <w:rPr>
          <w:rFonts w:ascii="Times New Roman" w:hAnsi="Times New Roman" w:eastAsia="Times New Roman" w:cs="Times New Roman"/>
          <w:spacing w:val="-1"/>
          <w:sz w:val="24"/>
          <w:szCs w:val="24"/>
        </w:rPr>
        <w:t>2024</w:t>
      </w:r>
      <w:r>
        <w:rPr>
          <w:rFonts w:ascii="宋体" w:hAnsi="宋体" w:eastAsia="宋体" w:cs="宋体"/>
          <w:spacing w:val="-1"/>
          <w:sz w:val="24"/>
          <w:szCs w:val="24"/>
        </w:rPr>
        <w:t xml:space="preserve">）、《地表水水质自动监测站（常规五参数、 </w:t>
      </w:r>
      <w:r>
        <w:rPr>
          <w:rFonts w:ascii="Times New Roman" w:hAnsi="Times New Roman" w:eastAsia="Times New Roman" w:cs="Times New Roman"/>
          <w:spacing w:val="-1"/>
          <w:sz w:val="24"/>
          <w:szCs w:val="24"/>
        </w:rPr>
        <w:t>CODMn</w:t>
      </w:r>
      <w:r>
        <w:rPr>
          <w:rFonts w:ascii="Times New Roman" w:hAnsi="Times New Roman" w:eastAsia="Times New Roman" w:cs="Times New Roman"/>
          <w:spacing w:val="-25"/>
          <w:sz w:val="24"/>
          <w:szCs w:val="24"/>
        </w:rPr>
        <w:t xml:space="preserve"> </w:t>
      </w:r>
      <w:r>
        <w:rPr>
          <w:rFonts w:ascii="宋体" w:hAnsi="宋体" w:eastAsia="宋体" w:cs="宋体"/>
          <w:spacing w:val="-1"/>
          <w:sz w:val="24"/>
          <w:szCs w:val="24"/>
        </w:rPr>
        <w:t>、</w:t>
      </w:r>
      <w:r>
        <w:rPr>
          <w:rFonts w:ascii="Times New Roman" w:hAnsi="Times New Roman" w:eastAsia="Times New Roman" w:cs="Times New Roman"/>
          <w:spacing w:val="-1"/>
          <w:sz w:val="24"/>
          <w:szCs w:val="24"/>
        </w:rPr>
        <w:t>NH3</w:t>
      </w:r>
      <w:r>
        <w:rPr>
          <w:rFonts w:ascii="Microsoft Sans Serif" w:hAnsi="Microsoft Sans Serif" w:eastAsia="Microsoft Sans Serif" w:cs="Microsoft Sans Serif"/>
          <w:spacing w:val="-1"/>
          <w:sz w:val="24"/>
          <w:szCs w:val="24"/>
        </w:rPr>
        <w:t xml:space="preserve">⁃  </w:t>
      </w:r>
      <w:r>
        <w:rPr>
          <w:rFonts w:ascii="Times New Roman" w:hAnsi="Times New Roman" w:eastAsia="Times New Roman" w:cs="Times New Roman"/>
          <w:spacing w:val="-1"/>
          <w:sz w:val="24"/>
          <w:szCs w:val="24"/>
        </w:rPr>
        <w:t>N</w:t>
      </w:r>
      <w:r>
        <w:rPr>
          <w:rFonts w:ascii="Times New Roman" w:hAnsi="Times New Roman" w:eastAsia="Times New Roman" w:cs="Times New Roman"/>
          <w:spacing w:val="-34"/>
          <w:sz w:val="24"/>
          <w:szCs w:val="24"/>
        </w:rPr>
        <w:t xml:space="preserve"> </w:t>
      </w:r>
      <w:r>
        <w:rPr>
          <w:rFonts w:ascii="宋体" w:hAnsi="宋体" w:eastAsia="宋体" w:cs="宋体"/>
          <w:spacing w:val="-1"/>
          <w:sz w:val="24"/>
          <w:szCs w:val="24"/>
        </w:rPr>
        <w:t>、</w:t>
      </w:r>
      <w:r>
        <w:rPr>
          <w:rFonts w:ascii="Times New Roman" w:hAnsi="Times New Roman" w:eastAsia="Times New Roman" w:cs="Times New Roman"/>
          <w:spacing w:val="-1"/>
          <w:sz w:val="24"/>
          <w:szCs w:val="24"/>
        </w:rPr>
        <w:t>TP</w:t>
      </w:r>
      <w:r>
        <w:rPr>
          <w:rFonts w:ascii="Times New Roman" w:hAnsi="Times New Roman" w:eastAsia="Times New Roman" w:cs="Times New Roman"/>
          <w:spacing w:val="-33"/>
          <w:sz w:val="24"/>
          <w:szCs w:val="24"/>
        </w:rPr>
        <w:t xml:space="preserve"> </w:t>
      </w:r>
      <w:r>
        <w:rPr>
          <w:rFonts w:ascii="宋体" w:hAnsi="宋体" w:eastAsia="宋体" w:cs="宋体"/>
          <w:spacing w:val="-1"/>
          <w:sz w:val="24"/>
          <w:szCs w:val="24"/>
        </w:rPr>
        <w:t>、</w:t>
      </w:r>
      <w:r>
        <w:rPr>
          <w:rFonts w:ascii="Times New Roman" w:hAnsi="Times New Roman" w:eastAsia="Times New Roman" w:cs="Times New Roman"/>
          <w:spacing w:val="-1"/>
          <w:sz w:val="24"/>
          <w:szCs w:val="24"/>
        </w:rPr>
        <w:t>TN</w:t>
      </w:r>
      <w:r>
        <w:rPr>
          <w:rFonts w:ascii="宋体" w:hAnsi="宋体" w:eastAsia="宋体" w:cs="宋体"/>
          <w:spacing w:val="-1"/>
          <w:sz w:val="24"/>
          <w:szCs w:val="24"/>
        </w:rPr>
        <w:t>）运行维护技术规范》（</w:t>
      </w:r>
      <w:r>
        <w:rPr>
          <w:rFonts w:ascii="Times New Roman" w:hAnsi="Times New Roman" w:eastAsia="Times New Roman" w:cs="Times New Roman"/>
          <w:spacing w:val="-1"/>
          <w:sz w:val="24"/>
          <w:szCs w:val="24"/>
        </w:rPr>
        <w:t>HJ 915.3-2024</w:t>
      </w:r>
      <w:r>
        <w:rPr>
          <w:rFonts w:ascii="宋体" w:hAnsi="宋体" w:eastAsia="宋体" w:cs="宋体"/>
          <w:spacing w:val="-1"/>
          <w:sz w:val="24"/>
          <w:szCs w:val="24"/>
        </w:rPr>
        <w:t>）、《关于印发</w:t>
      </w:r>
      <w:r>
        <w:rPr>
          <w:rFonts w:ascii="Times New Roman" w:hAnsi="Times New Roman" w:eastAsia="Times New Roman" w:cs="Times New Roman"/>
          <w:spacing w:val="-1"/>
          <w:sz w:val="24"/>
          <w:szCs w:val="24"/>
        </w:rPr>
        <w:t>&lt;</w:t>
      </w:r>
      <w:r>
        <w:rPr>
          <w:rFonts w:ascii="Times New Roman" w:hAnsi="Times New Roman" w:eastAsia="Times New Roman" w:cs="Times New Roman"/>
          <w:spacing w:val="-20"/>
          <w:sz w:val="24"/>
          <w:szCs w:val="24"/>
        </w:rPr>
        <w:t xml:space="preserve"> </w:t>
      </w:r>
      <w:r>
        <w:rPr>
          <w:rFonts w:ascii="宋体" w:hAnsi="宋体" w:eastAsia="宋体" w:cs="宋体"/>
          <w:spacing w:val="-1"/>
          <w:sz w:val="24"/>
          <w:szCs w:val="24"/>
        </w:rPr>
        <w:t>国家地表水水质自动监测站运行维护管理实施细则（试行）</w:t>
      </w:r>
      <w:r>
        <w:rPr>
          <w:rFonts w:ascii="Times New Roman" w:hAnsi="Times New Roman" w:eastAsia="Times New Roman" w:cs="Times New Roman"/>
          <w:spacing w:val="-1"/>
          <w:sz w:val="24"/>
          <w:szCs w:val="24"/>
        </w:rPr>
        <w:t>&gt;</w:t>
      </w:r>
      <w:r>
        <w:rPr>
          <w:rFonts w:ascii="宋体" w:hAnsi="宋体" w:eastAsia="宋体" w:cs="宋体"/>
          <w:spacing w:val="-1"/>
          <w:sz w:val="24"/>
          <w:szCs w:val="24"/>
        </w:rPr>
        <w:t>等文件的通知》（总站水</w:t>
      </w:r>
      <w:r>
        <w:rPr>
          <w:rFonts w:ascii="宋体" w:hAnsi="宋体" w:eastAsia="宋体" w:cs="宋体"/>
          <w:spacing w:val="-2"/>
          <w:sz w:val="24"/>
          <w:szCs w:val="24"/>
        </w:rPr>
        <w:t>字〔</w:t>
      </w:r>
      <w:r>
        <w:rPr>
          <w:rFonts w:ascii="Times New Roman" w:hAnsi="Times New Roman" w:eastAsia="Times New Roman" w:cs="Times New Roman"/>
          <w:spacing w:val="-2"/>
          <w:sz w:val="24"/>
          <w:szCs w:val="24"/>
        </w:rPr>
        <w:t>2019</w:t>
      </w:r>
      <w:r>
        <w:rPr>
          <w:rFonts w:ascii="宋体" w:hAnsi="宋体" w:eastAsia="宋体" w:cs="宋体"/>
          <w:spacing w:val="-2"/>
          <w:sz w:val="24"/>
          <w:szCs w:val="24"/>
        </w:rPr>
        <w:t>〕</w:t>
      </w:r>
      <w:r>
        <w:rPr>
          <w:rFonts w:ascii="Times New Roman" w:hAnsi="Times New Roman" w:eastAsia="Times New Roman" w:cs="Times New Roman"/>
          <w:spacing w:val="-2"/>
          <w:sz w:val="24"/>
          <w:szCs w:val="24"/>
        </w:rPr>
        <w:t>649</w:t>
      </w:r>
      <w:r>
        <w:rPr>
          <w:rFonts w:ascii="宋体" w:hAnsi="宋体" w:eastAsia="宋体" w:cs="宋体"/>
          <w:spacing w:val="-2"/>
          <w:sz w:val="24"/>
          <w:szCs w:val="24"/>
        </w:rPr>
        <w:t>号）、《环境水质（地表水）自动监测站运行维护技术规范》</w:t>
      </w:r>
      <w:r>
        <w:rPr>
          <w:rFonts w:ascii="宋体" w:hAnsi="宋体" w:eastAsia="宋体" w:cs="宋体"/>
          <w:spacing w:val="-3"/>
          <w:sz w:val="24"/>
          <w:szCs w:val="24"/>
        </w:rPr>
        <w:t>（</w:t>
      </w:r>
      <w:r>
        <w:rPr>
          <w:rFonts w:ascii="Times New Roman" w:hAnsi="Times New Roman" w:eastAsia="Times New Roman" w:cs="Times New Roman"/>
          <w:spacing w:val="-3"/>
          <w:sz w:val="24"/>
          <w:szCs w:val="24"/>
        </w:rPr>
        <w:t>DB 32/T 4536-</w:t>
      </w:r>
      <w:r>
        <w:rPr>
          <w:rFonts w:ascii="Times New Roman" w:hAnsi="Times New Roman" w:eastAsia="Times New Roman" w:cs="Times New Roman"/>
          <w:sz w:val="24"/>
          <w:szCs w:val="24"/>
        </w:rPr>
        <w:t xml:space="preserve"> </w:t>
      </w:r>
      <w:r>
        <w:rPr>
          <w:rFonts w:ascii="Times New Roman" w:hAnsi="Times New Roman" w:eastAsia="Times New Roman" w:cs="Times New Roman"/>
          <w:spacing w:val="-4"/>
          <w:sz w:val="24"/>
          <w:szCs w:val="24"/>
        </w:rPr>
        <w:t>2023</w:t>
      </w:r>
      <w:r>
        <w:rPr>
          <w:rFonts w:ascii="宋体" w:hAnsi="宋体" w:eastAsia="宋体" w:cs="宋体"/>
          <w:spacing w:val="-4"/>
          <w:sz w:val="24"/>
          <w:szCs w:val="24"/>
        </w:rPr>
        <w:t>）、《省生态环境厅</w:t>
      </w:r>
      <w:r>
        <w:rPr>
          <w:rFonts w:ascii="Times New Roman" w:hAnsi="Times New Roman" w:eastAsia="Times New Roman" w:cs="Times New Roman"/>
          <w:spacing w:val="-4"/>
          <w:sz w:val="24"/>
          <w:szCs w:val="24"/>
        </w:rPr>
        <w:t>&lt;</w:t>
      </w:r>
      <w:r>
        <w:rPr>
          <w:rFonts w:ascii="宋体" w:hAnsi="宋体" w:eastAsia="宋体" w:cs="宋体"/>
          <w:spacing w:val="-4"/>
          <w:sz w:val="24"/>
          <w:szCs w:val="24"/>
        </w:rPr>
        <w:t>关于印发江苏省地表水自动监测站运行管理办法（试行）</w:t>
      </w:r>
      <w:r>
        <w:rPr>
          <w:rFonts w:ascii="Times New Roman" w:hAnsi="Times New Roman" w:eastAsia="Times New Roman" w:cs="Times New Roman"/>
          <w:spacing w:val="-4"/>
          <w:sz w:val="24"/>
          <w:szCs w:val="24"/>
        </w:rPr>
        <w:t>&gt;</w:t>
      </w:r>
      <w:r>
        <w:rPr>
          <w:rFonts w:ascii="Times New Roman" w:hAnsi="Times New Roman" w:eastAsia="Times New Roman" w:cs="Times New Roman"/>
          <w:spacing w:val="-19"/>
          <w:sz w:val="24"/>
          <w:szCs w:val="24"/>
        </w:rPr>
        <w:t xml:space="preserve"> </w:t>
      </w:r>
      <w:r>
        <w:rPr>
          <w:rFonts w:ascii="宋体" w:hAnsi="宋体" w:eastAsia="宋体" w:cs="宋体"/>
          <w:spacing w:val="-4"/>
          <w:sz w:val="24"/>
          <w:szCs w:val="24"/>
        </w:rPr>
        <w:t>的通知》</w:t>
      </w:r>
      <w:r>
        <w:rPr>
          <w:rFonts w:ascii="宋体" w:hAnsi="宋体" w:eastAsia="宋体" w:cs="宋体"/>
          <w:sz w:val="24"/>
          <w:szCs w:val="24"/>
        </w:rPr>
        <w:t>（苏环办〔</w:t>
      </w:r>
      <w:r>
        <w:rPr>
          <w:rFonts w:ascii="Times New Roman" w:hAnsi="Times New Roman" w:eastAsia="Times New Roman" w:cs="Times New Roman"/>
          <w:sz w:val="24"/>
          <w:szCs w:val="24"/>
        </w:rPr>
        <w:t>2020</w:t>
      </w:r>
      <w:r>
        <w:rPr>
          <w:rFonts w:ascii="宋体" w:hAnsi="宋体" w:eastAsia="宋体" w:cs="宋体"/>
          <w:sz w:val="24"/>
          <w:szCs w:val="24"/>
        </w:rPr>
        <w:t>〕</w:t>
      </w:r>
      <w:r>
        <w:rPr>
          <w:rFonts w:ascii="Times New Roman" w:hAnsi="Times New Roman" w:eastAsia="Times New Roman" w:cs="Times New Roman"/>
          <w:sz w:val="24"/>
          <w:szCs w:val="24"/>
        </w:rPr>
        <w:t>174</w:t>
      </w:r>
      <w:r>
        <w:rPr>
          <w:rFonts w:ascii="宋体" w:hAnsi="宋体" w:eastAsia="宋体" w:cs="宋体"/>
          <w:sz w:val="24"/>
          <w:szCs w:val="24"/>
        </w:rPr>
        <w:t>号）、《省生态环</w:t>
      </w:r>
      <w:r>
        <w:rPr>
          <w:rFonts w:ascii="宋体" w:hAnsi="宋体" w:eastAsia="宋体" w:cs="宋体"/>
          <w:spacing w:val="-1"/>
          <w:sz w:val="24"/>
          <w:szCs w:val="24"/>
        </w:rPr>
        <w:t>境厅</w:t>
      </w:r>
      <w:r>
        <w:rPr>
          <w:rFonts w:ascii="Times New Roman" w:hAnsi="Times New Roman" w:eastAsia="Times New Roman" w:cs="Times New Roman"/>
          <w:spacing w:val="-1"/>
          <w:sz w:val="24"/>
          <w:szCs w:val="24"/>
        </w:rPr>
        <w:t>&lt;</w:t>
      </w:r>
      <w:r>
        <w:rPr>
          <w:rFonts w:ascii="宋体" w:hAnsi="宋体" w:eastAsia="宋体" w:cs="宋体"/>
          <w:spacing w:val="-1"/>
          <w:sz w:val="24"/>
          <w:szCs w:val="24"/>
        </w:rPr>
        <w:t>关于印发江苏省地表水水质自动监测站建设技术要求</w:t>
      </w:r>
      <w:r>
        <w:rPr>
          <w:rFonts w:ascii="Times New Roman" w:hAnsi="Times New Roman" w:eastAsia="Times New Roman" w:cs="Times New Roman"/>
          <w:spacing w:val="-1"/>
          <w:sz w:val="24"/>
          <w:szCs w:val="24"/>
        </w:rPr>
        <w:t>——</w:t>
      </w:r>
      <w:r>
        <w:rPr>
          <w:rFonts w:ascii="宋体" w:hAnsi="宋体" w:eastAsia="宋体" w:cs="宋体"/>
          <w:spacing w:val="-1"/>
          <w:sz w:val="24"/>
          <w:szCs w:val="24"/>
        </w:rPr>
        <w:t>站房、采水及文化建设部分（试行）</w:t>
      </w:r>
      <w:r>
        <w:rPr>
          <w:rFonts w:ascii="Times New Roman" w:hAnsi="Times New Roman" w:eastAsia="Times New Roman" w:cs="Times New Roman"/>
          <w:spacing w:val="-1"/>
          <w:sz w:val="24"/>
          <w:szCs w:val="24"/>
        </w:rPr>
        <w:t>&gt;</w:t>
      </w:r>
      <w:r>
        <w:rPr>
          <w:rFonts w:ascii="Times New Roman" w:hAnsi="Times New Roman" w:eastAsia="Times New Roman" w:cs="Times New Roman"/>
          <w:spacing w:val="-26"/>
          <w:sz w:val="24"/>
          <w:szCs w:val="24"/>
        </w:rPr>
        <w:t xml:space="preserve"> </w:t>
      </w:r>
      <w:r>
        <w:rPr>
          <w:rFonts w:ascii="宋体" w:hAnsi="宋体" w:eastAsia="宋体" w:cs="宋体"/>
          <w:spacing w:val="-1"/>
          <w:sz w:val="24"/>
          <w:szCs w:val="24"/>
        </w:rPr>
        <w:t>的通知》（苏环办〔</w:t>
      </w:r>
      <w:r>
        <w:rPr>
          <w:rFonts w:ascii="Times New Roman" w:hAnsi="Times New Roman" w:eastAsia="Times New Roman" w:cs="Times New Roman"/>
          <w:spacing w:val="-1"/>
          <w:sz w:val="24"/>
          <w:szCs w:val="24"/>
        </w:rPr>
        <w:t>2019</w:t>
      </w:r>
      <w:r>
        <w:rPr>
          <w:rFonts w:ascii="宋体" w:hAnsi="宋体" w:eastAsia="宋体" w:cs="宋体"/>
          <w:spacing w:val="-1"/>
          <w:sz w:val="24"/>
          <w:szCs w:val="24"/>
        </w:rPr>
        <w:t>〕</w:t>
      </w:r>
      <w:r>
        <w:rPr>
          <w:rFonts w:ascii="Times New Roman" w:hAnsi="Times New Roman" w:eastAsia="Times New Roman" w:cs="Times New Roman"/>
          <w:spacing w:val="-1"/>
          <w:sz w:val="24"/>
          <w:szCs w:val="24"/>
        </w:rPr>
        <w:t>114</w:t>
      </w:r>
      <w:r>
        <w:rPr>
          <w:rFonts w:ascii="宋体" w:hAnsi="宋体" w:eastAsia="宋体" w:cs="宋体"/>
          <w:spacing w:val="-1"/>
          <w:sz w:val="24"/>
          <w:szCs w:val="24"/>
        </w:rPr>
        <w:t>号）以及省</w:t>
      </w:r>
      <w:r>
        <w:rPr>
          <w:rFonts w:ascii="宋体" w:hAnsi="宋体" w:eastAsia="宋体" w:cs="宋体"/>
          <w:sz w:val="24"/>
          <w:szCs w:val="24"/>
        </w:rPr>
        <w:t>生态环厅印发的其它相关文件的要求执行。如文件中有矛盾之处，以后</w:t>
      </w:r>
      <w:r>
        <w:rPr>
          <w:rFonts w:ascii="宋体" w:hAnsi="宋体" w:eastAsia="宋体" w:cs="宋体"/>
          <w:spacing w:val="-1"/>
          <w:sz w:val="24"/>
          <w:szCs w:val="24"/>
        </w:rPr>
        <w:t>发布的文件为准，采购人保留对文件的解释权。</w:t>
      </w:r>
    </w:p>
    <w:p w14:paraId="3FB91429">
      <w:pPr>
        <w:spacing w:before="113" w:line="219" w:lineRule="auto"/>
        <w:ind w:left="491"/>
        <w:rPr>
          <w:rFonts w:ascii="宋体" w:hAnsi="宋体" w:eastAsia="宋体" w:cs="宋体"/>
          <w:sz w:val="24"/>
          <w:szCs w:val="24"/>
        </w:rPr>
      </w:pPr>
      <w:r>
        <w:rPr>
          <w:rFonts w:hint="eastAsia" w:cs="Times New Roman"/>
          <w:spacing w:val="-1"/>
          <w:sz w:val="24"/>
          <w:szCs w:val="24"/>
          <w:lang w:val="en-US" w:eastAsia="zh-CN"/>
        </w:rPr>
        <w:t>6</w:t>
      </w:r>
      <w:r>
        <w:rPr>
          <w:rFonts w:ascii="Times New Roman" w:hAnsi="Times New Roman" w:eastAsia="Times New Roman" w:cs="Times New Roman"/>
          <w:spacing w:val="-1"/>
          <w:sz w:val="24"/>
          <w:szCs w:val="24"/>
        </w:rPr>
        <w:t xml:space="preserve">.2  </w:t>
      </w:r>
      <w:r>
        <w:rPr>
          <w:rFonts w:ascii="宋体" w:hAnsi="宋体" w:eastAsia="宋体" w:cs="宋体"/>
          <w:spacing w:val="-1"/>
          <w:sz w:val="24"/>
          <w:szCs w:val="24"/>
        </w:rPr>
        <w:t>每季度对仪器进行标准样品的考核</w:t>
      </w:r>
    </w:p>
    <w:p w14:paraId="07F8876C">
      <w:pPr>
        <w:spacing w:before="303" w:line="219" w:lineRule="auto"/>
        <w:ind w:left="491"/>
        <w:rPr>
          <w:rFonts w:ascii="宋体" w:hAnsi="宋体" w:eastAsia="宋体" w:cs="宋体"/>
          <w:sz w:val="24"/>
          <w:szCs w:val="24"/>
        </w:rPr>
      </w:pPr>
      <w:r>
        <w:rPr>
          <w:rFonts w:hint="eastAsia" w:cs="Times New Roman"/>
          <w:spacing w:val="-1"/>
          <w:sz w:val="24"/>
          <w:szCs w:val="24"/>
          <w:lang w:val="en-US" w:eastAsia="zh-CN"/>
        </w:rPr>
        <w:t>6</w:t>
      </w:r>
      <w:r>
        <w:rPr>
          <w:rFonts w:ascii="Times New Roman" w:hAnsi="Times New Roman" w:eastAsia="Times New Roman" w:cs="Times New Roman"/>
          <w:spacing w:val="-1"/>
          <w:sz w:val="24"/>
          <w:szCs w:val="24"/>
        </w:rPr>
        <w:t xml:space="preserve">.2.1  </w:t>
      </w:r>
      <w:r>
        <w:rPr>
          <w:rFonts w:ascii="宋体" w:hAnsi="宋体" w:eastAsia="宋体" w:cs="宋体"/>
          <w:spacing w:val="-1"/>
          <w:sz w:val="24"/>
          <w:szCs w:val="24"/>
        </w:rPr>
        <w:t>考核频次</w:t>
      </w:r>
    </w:p>
    <w:p w14:paraId="61AE560F">
      <w:pPr>
        <w:spacing w:before="302" w:line="360" w:lineRule="auto"/>
        <w:ind w:left="13" w:right="125" w:firstLine="479"/>
        <w:jc w:val="both"/>
        <w:rPr>
          <w:rFonts w:ascii="宋体" w:hAnsi="宋体" w:eastAsia="宋体" w:cs="宋体"/>
          <w:sz w:val="24"/>
          <w:szCs w:val="24"/>
        </w:rPr>
      </w:pPr>
      <w:r>
        <w:rPr>
          <w:rFonts w:ascii="宋体" w:hAnsi="宋体" w:eastAsia="宋体" w:cs="宋体"/>
          <w:sz w:val="24"/>
          <w:szCs w:val="24"/>
        </w:rPr>
        <w:t>每季度进行高锰酸盐指数、氨氮、总磷、化学需氧量</w:t>
      </w:r>
      <w:r>
        <w:rPr>
          <w:rFonts w:hint="eastAsia" w:ascii="宋体" w:hAnsi="宋体" w:cs="宋体"/>
          <w:sz w:val="24"/>
          <w:szCs w:val="24"/>
          <w:lang w:eastAsia="zh-CN"/>
        </w:rPr>
        <w:t>、</w:t>
      </w:r>
      <w:r>
        <w:rPr>
          <w:rFonts w:hint="eastAsia" w:ascii="宋体" w:hAnsi="宋体" w:cs="宋体"/>
          <w:sz w:val="24"/>
          <w:szCs w:val="24"/>
          <w:lang w:val="en-US" w:eastAsia="zh-CN"/>
        </w:rPr>
        <w:t>总氮有</w:t>
      </w:r>
      <w:r>
        <w:rPr>
          <w:rFonts w:ascii="宋体" w:hAnsi="宋体" w:eastAsia="宋体" w:cs="宋体"/>
          <w:sz w:val="24"/>
          <w:szCs w:val="24"/>
        </w:rPr>
        <w:t>证标准</w:t>
      </w:r>
      <w:r>
        <w:rPr>
          <w:rFonts w:ascii="宋体" w:hAnsi="宋体" w:eastAsia="宋体" w:cs="宋体"/>
          <w:spacing w:val="-1"/>
          <w:sz w:val="24"/>
          <w:szCs w:val="24"/>
        </w:rPr>
        <w:t>样品考核。如质控考核不</w:t>
      </w:r>
      <w:r>
        <w:rPr>
          <w:rFonts w:ascii="宋体" w:hAnsi="宋体" w:eastAsia="宋体" w:cs="宋体"/>
          <w:sz w:val="24"/>
          <w:szCs w:val="24"/>
        </w:rPr>
        <w:t>合格，应尽快查找原因，并在考核结束的</w:t>
      </w:r>
      <w:r>
        <w:rPr>
          <w:rFonts w:ascii="Times New Roman" w:hAnsi="Times New Roman" w:eastAsia="Times New Roman" w:cs="Times New Roman"/>
          <w:sz w:val="24"/>
          <w:szCs w:val="24"/>
        </w:rPr>
        <w:t>48</w:t>
      </w:r>
      <w:r>
        <w:rPr>
          <w:rFonts w:ascii="宋体" w:hAnsi="宋体" w:eastAsia="宋体" w:cs="宋体"/>
          <w:sz w:val="24"/>
          <w:szCs w:val="24"/>
        </w:rPr>
        <w:t>小时内完成整改，如</w:t>
      </w:r>
      <w:r>
        <w:rPr>
          <w:rFonts w:ascii="宋体" w:hAnsi="宋体" w:eastAsia="宋体" w:cs="宋体"/>
          <w:spacing w:val="-1"/>
          <w:sz w:val="24"/>
          <w:szCs w:val="24"/>
        </w:rPr>
        <w:t>补测仍不合格则仪器视为故</w:t>
      </w:r>
      <w:r>
        <w:rPr>
          <w:rFonts w:ascii="宋体" w:hAnsi="宋体" w:eastAsia="宋体" w:cs="宋体"/>
          <w:sz w:val="24"/>
          <w:szCs w:val="24"/>
        </w:rPr>
        <w:t>障，应更换仪器备机或者开展手工补测工作。质控考核不合格的</w:t>
      </w:r>
      <w:r>
        <w:rPr>
          <w:rFonts w:ascii="宋体" w:hAnsi="宋体" w:eastAsia="宋体" w:cs="宋体"/>
          <w:spacing w:val="-1"/>
          <w:sz w:val="24"/>
          <w:szCs w:val="24"/>
        </w:rPr>
        <w:t>数据直至下次测试合格前均</w:t>
      </w:r>
      <w:r>
        <w:rPr>
          <w:rFonts w:ascii="宋体" w:hAnsi="宋体" w:eastAsia="宋体" w:cs="宋体"/>
          <w:spacing w:val="-2"/>
          <w:sz w:val="24"/>
          <w:szCs w:val="24"/>
        </w:rPr>
        <w:t>按无效数据剔除。</w:t>
      </w:r>
    </w:p>
    <w:p w14:paraId="0EEF6992">
      <w:pPr>
        <w:spacing w:before="112" w:line="363" w:lineRule="auto"/>
        <w:ind w:left="14" w:right="125" w:firstLine="477"/>
        <w:rPr>
          <w:rFonts w:ascii="宋体" w:hAnsi="宋体" w:eastAsia="宋体" w:cs="宋体"/>
          <w:sz w:val="24"/>
          <w:szCs w:val="24"/>
        </w:rPr>
      </w:pPr>
      <w:r>
        <w:rPr>
          <w:rFonts w:hint="eastAsia" w:cs="Times New Roman"/>
          <w:sz w:val="24"/>
          <w:szCs w:val="24"/>
          <w:lang w:val="en-US" w:eastAsia="zh-CN"/>
        </w:rPr>
        <w:t>6</w:t>
      </w:r>
      <w:r>
        <w:rPr>
          <w:rFonts w:ascii="Times New Roman" w:hAnsi="Times New Roman" w:eastAsia="Times New Roman" w:cs="Times New Roman"/>
          <w:sz w:val="24"/>
          <w:szCs w:val="24"/>
        </w:rPr>
        <w:t xml:space="preserve">.2.2  </w:t>
      </w:r>
      <w:r>
        <w:rPr>
          <w:rFonts w:ascii="宋体" w:hAnsi="宋体" w:eastAsia="宋体" w:cs="宋体"/>
          <w:sz w:val="24"/>
          <w:szCs w:val="24"/>
        </w:rPr>
        <w:t>合格要求：高锰酸盐指数、氨氮、总磷、化学需氧量</w:t>
      </w:r>
      <w:r>
        <w:rPr>
          <w:rFonts w:hint="eastAsia" w:ascii="宋体" w:hAnsi="宋体" w:cs="宋体"/>
          <w:sz w:val="24"/>
          <w:szCs w:val="24"/>
          <w:lang w:eastAsia="zh-CN"/>
        </w:rPr>
        <w:t>、</w:t>
      </w:r>
      <w:r>
        <w:rPr>
          <w:rFonts w:hint="eastAsia" w:ascii="宋体" w:hAnsi="宋体" w:cs="宋体"/>
          <w:sz w:val="24"/>
          <w:szCs w:val="24"/>
          <w:lang w:val="en-US" w:eastAsia="zh-CN"/>
        </w:rPr>
        <w:t>总氮</w:t>
      </w:r>
      <w:r>
        <w:rPr>
          <w:rFonts w:ascii="宋体" w:hAnsi="宋体" w:eastAsia="宋体" w:cs="宋体"/>
          <w:sz w:val="24"/>
          <w:szCs w:val="24"/>
        </w:rPr>
        <w:t xml:space="preserve">等 </w:t>
      </w:r>
      <w:r>
        <w:rPr>
          <w:rFonts w:hint="eastAsia" w:cs="Times New Roman"/>
          <w:sz w:val="24"/>
          <w:szCs w:val="24"/>
          <w:lang w:val="en-US" w:eastAsia="zh-CN"/>
        </w:rPr>
        <w:t>5</w:t>
      </w:r>
      <w:r>
        <w:rPr>
          <w:rFonts w:ascii="Times New Roman" w:hAnsi="Times New Roman" w:eastAsia="Times New Roman" w:cs="Times New Roman"/>
          <w:sz w:val="24"/>
          <w:szCs w:val="24"/>
        </w:rPr>
        <w:t xml:space="preserve"> </w:t>
      </w:r>
      <w:r>
        <w:rPr>
          <w:rFonts w:ascii="宋体" w:hAnsi="宋体" w:eastAsia="宋体" w:cs="宋体"/>
          <w:spacing w:val="-1"/>
          <w:sz w:val="24"/>
          <w:szCs w:val="24"/>
        </w:rPr>
        <w:t>个项目符合有证样品标</w:t>
      </w:r>
      <w:r>
        <w:rPr>
          <w:rFonts w:ascii="宋体" w:hAnsi="宋体" w:eastAsia="宋体" w:cs="宋体"/>
          <w:spacing w:val="-3"/>
          <w:sz w:val="24"/>
          <w:szCs w:val="24"/>
        </w:rPr>
        <w:t>准的要求。</w:t>
      </w:r>
    </w:p>
    <w:p w14:paraId="25D0BE52">
      <w:pPr>
        <w:spacing w:before="113" w:line="219" w:lineRule="auto"/>
        <w:ind w:left="491"/>
        <w:rPr>
          <w:rFonts w:ascii="宋体" w:hAnsi="宋体" w:eastAsia="宋体" w:cs="宋体"/>
          <w:sz w:val="24"/>
          <w:szCs w:val="24"/>
        </w:rPr>
      </w:pPr>
      <w:r>
        <w:rPr>
          <w:rFonts w:hint="eastAsia" w:cs="Times New Roman"/>
          <w:spacing w:val="-1"/>
          <w:sz w:val="24"/>
          <w:szCs w:val="24"/>
          <w:lang w:val="en-US" w:eastAsia="zh-CN"/>
        </w:rPr>
        <w:t>6</w:t>
      </w:r>
      <w:r>
        <w:rPr>
          <w:rFonts w:ascii="Times New Roman" w:hAnsi="Times New Roman" w:eastAsia="Times New Roman" w:cs="Times New Roman"/>
          <w:spacing w:val="-1"/>
          <w:sz w:val="24"/>
          <w:szCs w:val="24"/>
        </w:rPr>
        <w:t xml:space="preserve">.3  </w:t>
      </w:r>
      <w:r>
        <w:rPr>
          <w:rFonts w:ascii="宋体" w:hAnsi="宋体" w:eastAsia="宋体" w:cs="宋体"/>
          <w:spacing w:val="-1"/>
          <w:sz w:val="24"/>
          <w:szCs w:val="24"/>
        </w:rPr>
        <w:t>每季度对仪器进行水样比对考核</w:t>
      </w:r>
    </w:p>
    <w:p w14:paraId="00FC0451">
      <w:pPr>
        <w:spacing w:before="302" w:line="312" w:lineRule="auto"/>
        <w:ind w:left="12" w:right="96" w:firstLine="479"/>
        <w:rPr>
          <w:rFonts w:ascii="宋体" w:hAnsi="宋体" w:eastAsia="宋体" w:cs="宋体"/>
          <w:sz w:val="24"/>
          <w:szCs w:val="24"/>
        </w:rPr>
      </w:pPr>
      <w:r>
        <w:rPr>
          <w:rFonts w:hint="eastAsia" w:cs="Times New Roman"/>
          <w:spacing w:val="-2"/>
          <w:sz w:val="24"/>
          <w:szCs w:val="24"/>
          <w:lang w:val="en-US" w:eastAsia="zh-CN"/>
        </w:rPr>
        <w:t>6</w:t>
      </w:r>
      <w:r>
        <w:rPr>
          <w:rFonts w:ascii="Times New Roman" w:hAnsi="Times New Roman" w:eastAsia="Times New Roman" w:cs="Times New Roman"/>
          <w:spacing w:val="-2"/>
          <w:sz w:val="24"/>
          <w:szCs w:val="24"/>
        </w:rPr>
        <w:t xml:space="preserve">.3.1  </w:t>
      </w:r>
      <w:r>
        <w:rPr>
          <w:rFonts w:ascii="宋体" w:hAnsi="宋体" w:eastAsia="宋体" w:cs="宋体"/>
          <w:spacing w:val="-2"/>
          <w:sz w:val="24"/>
          <w:szCs w:val="24"/>
        </w:rPr>
        <w:t>必须在自动站取水口处采集水样，采用实验室</w:t>
      </w:r>
      <w:r>
        <w:rPr>
          <w:rFonts w:ascii="宋体" w:hAnsi="宋体" w:eastAsia="宋体" w:cs="宋体"/>
          <w:spacing w:val="-3"/>
          <w:sz w:val="24"/>
          <w:szCs w:val="24"/>
        </w:rPr>
        <w:t>分析（国标分析方法）同步分析实际</w:t>
      </w:r>
      <w:r>
        <w:rPr>
          <w:rFonts w:ascii="宋体" w:hAnsi="宋体" w:eastAsia="宋体" w:cs="宋体"/>
          <w:sz w:val="24"/>
          <w:szCs w:val="24"/>
        </w:rPr>
        <w:t>水样，与自动监测的测试结果相比对。若仪器需要过滤水样，则对</w:t>
      </w:r>
      <w:r>
        <w:rPr>
          <w:rFonts w:ascii="宋体" w:hAnsi="宋体" w:eastAsia="宋体" w:cs="宋体"/>
          <w:spacing w:val="-1"/>
          <w:sz w:val="24"/>
          <w:szCs w:val="24"/>
        </w:rPr>
        <w:t>比水样可采用相同过滤材料过滤（但不得改变水体污染物的成分和浓度） 。</w:t>
      </w:r>
    </w:p>
    <w:p w14:paraId="3BD66AEE">
      <w:pPr>
        <w:spacing w:before="303" w:line="219" w:lineRule="auto"/>
        <w:ind w:left="491"/>
        <w:rPr>
          <w:rFonts w:ascii="宋体" w:hAnsi="宋体" w:eastAsia="宋体" w:cs="宋体"/>
          <w:sz w:val="24"/>
          <w:szCs w:val="24"/>
        </w:rPr>
      </w:pPr>
      <w:r>
        <w:rPr>
          <w:rFonts w:hint="eastAsia" w:cs="Times New Roman"/>
          <w:spacing w:val="-2"/>
          <w:sz w:val="24"/>
          <w:szCs w:val="24"/>
          <w:lang w:val="en-US" w:eastAsia="zh-CN"/>
        </w:rPr>
        <w:t>6</w:t>
      </w:r>
      <w:r>
        <w:rPr>
          <w:rFonts w:ascii="Times New Roman" w:hAnsi="Times New Roman" w:eastAsia="Times New Roman" w:cs="Times New Roman"/>
          <w:spacing w:val="-2"/>
          <w:sz w:val="24"/>
          <w:szCs w:val="24"/>
        </w:rPr>
        <w:t>.3.2</w:t>
      </w:r>
      <w:r>
        <w:rPr>
          <w:rFonts w:ascii="Times New Roman" w:hAnsi="Times New Roman" w:eastAsia="Times New Roman" w:cs="Times New Roman"/>
          <w:spacing w:val="23"/>
          <w:sz w:val="24"/>
          <w:szCs w:val="24"/>
        </w:rPr>
        <w:t xml:space="preserve">  </w:t>
      </w:r>
      <w:r>
        <w:rPr>
          <w:rFonts w:ascii="宋体" w:hAnsi="宋体" w:eastAsia="宋体" w:cs="宋体"/>
          <w:spacing w:val="-2"/>
          <w:sz w:val="24"/>
          <w:szCs w:val="24"/>
        </w:rPr>
        <w:t>比对考核的水样由中标单位委托有资质实验室分析。</w:t>
      </w:r>
    </w:p>
    <w:p w14:paraId="0CF19CC1">
      <w:pPr>
        <w:spacing w:before="301" w:line="219" w:lineRule="auto"/>
        <w:ind w:left="491"/>
        <w:rPr>
          <w:rFonts w:ascii="宋体" w:hAnsi="宋体" w:eastAsia="宋体" w:cs="宋体"/>
          <w:sz w:val="24"/>
          <w:szCs w:val="24"/>
        </w:rPr>
      </w:pPr>
      <w:r>
        <w:rPr>
          <w:rFonts w:hint="eastAsia" w:cs="Times New Roman"/>
          <w:spacing w:val="-1"/>
          <w:sz w:val="24"/>
          <w:szCs w:val="24"/>
          <w:lang w:val="en-US" w:eastAsia="zh-CN"/>
        </w:rPr>
        <w:t>6</w:t>
      </w:r>
      <w:r>
        <w:rPr>
          <w:rFonts w:ascii="Times New Roman" w:hAnsi="Times New Roman" w:eastAsia="Times New Roman" w:cs="Times New Roman"/>
          <w:spacing w:val="-1"/>
          <w:sz w:val="24"/>
          <w:szCs w:val="24"/>
        </w:rPr>
        <w:t xml:space="preserve">.4  </w:t>
      </w:r>
      <w:r>
        <w:rPr>
          <w:rFonts w:ascii="宋体" w:hAnsi="宋体" w:eastAsia="宋体" w:cs="宋体"/>
          <w:spacing w:val="-1"/>
          <w:sz w:val="24"/>
          <w:szCs w:val="24"/>
        </w:rPr>
        <w:t>每季度对仪器进行加标回收实验考核</w:t>
      </w:r>
    </w:p>
    <w:p w14:paraId="328086E3">
      <w:pPr>
        <w:spacing w:before="304" w:line="360" w:lineRule="auto"/>
        <w:ind w:left="30" w:right="166" w:firstLine="462"/>
        <w:rPr>
          <w:rFonts w:ascii="宋体" w:hAnsi="宋体" w:eastAsia="宋体" w:cs="宋体"/>
          <w:sz w:val="24"/>
          <w:szCs w:val="24"/>
        </w:rPr>
      </w:pPr>
      <w:r>
        <w:rPr>
          <w:rFonts w:ascii="宋体" w:hAnsi="宋体" w:eastAsia="宋体" w:cs="宋体"/>
          <w:sz w:val="24"/>
          <w:szCs w:val="24"/>
        </w:rPr>
        <w:t>使用国家认可的标准样品对水质自动监测仪器进行加标回收</w:t>
      </w:r>
      <w:r>
        <w:rPr>
          <w:rFonts w:ascii="宋体" w:hAnsi="宋体" w:eastAsia="宋体" w:cs="宋体"/>
          <w:spacing w:val="-1"/>
          <w:sz w:val="24"/>
          <w:szCs w:val="24"/>
        </w:rPr>
        <w:t>考核，加标回收率在</w:t>
      </w:r>
      <w:r>
        <w:rPr>
          <w:rFonts w:ascii="Times New Roman" w:hAnsi="Times New Roman" w:eastAsia="Times New Roman" w:cs="Times New Roman"/>
          <w:spacing w:val="-1"/>
          <w:sz w:val="24"/>
          <w:szCs w:val="24"/>
        </w:rPr>
        <w:t>80%</w:t>
      </w:r>
      <w:r>
        <w:rPr>
          <w:rFonts w:ascii="宋体" w:hAnsi="宋体" w:eastAsia="宋体" w:cs="宋体"/>
          <w:spacing w:val="-1"/>
          <w:sz w:val="24"/>
          <w:szCs w:val="24"/>
        </w:rPr>
        <w:t>到</w:t>
      </w:r>
      <w:r>
        <w:rPr>
          <w:rFonts w:ascii="Times New Roman" w:hAnsi="Times New Roman" w:eastAsia="Times New Roman" w:cs="Times New Roman"/>
          <w:spacing w:val="-3"/>
          <w:sz w:val="24"/>
          <w:szCs w:val="24"/>
        </w:rPr>
        <w:t>120%</w:t>
      </w:r>
      <w:r>
        <w:rPr>
          <w:rFonts w:ascii="宋体" w:hAnsi="宋体" w:eastAsia="宋体" w:cs="宋体"/>
          <w:spacing w:val="-3"/>
          <w:sz w:val="24"/>
          <w:szCs w:val="24"/>
        </w:rPr>
        <w:t>之间为合格。</w:t>
      </w:r>
    </w:p>
    <w:p w14:paraId="79FF918A">
      <w:pPr>
        <w:spacing w:before="117" w:line="219" w:lineRule="auto"/>
        <w:ind w:left="503"/>
        <w:rPr>
          <w:rFonts w:ascii="宋体" w:hAnsi="宋体" w:eastAsia="宋体" w:cs="宋体"/>
          <w:sz w:val="28"/>
          <w:szCs w:val="28"/>
        </w:rPr>
      </w:pPr>
      <w:r>
        <w:rPr>
          <w:rFonts w:hint="eastAsia" w:ascii="宋体" w:hAnsi="宋体" w:cs="宋体"/>
          <w:b/>
          <w:bCs/>
          <w:spacing w:val="-5"/>
          <w:sz w:val="28"/>
          <w:szCs w:val="28"/>
          <w:lang w:val="en-US" w:eastAsia="zh-CN"/>
        </w:rPr>
        <w:t>七、</w:t>
      </w:r>
      <w:r>
        <w:rPr>
          <w:rFonts w:ascii="宋体" w:hAnsi="宋体" w:eastAsia="宋体" w:cs="宋体"/>
          <w:b/>
          <w:bCs/>
          <w:spacing w:val="-5"/>
          <w:sz w:val="28"/>
          <w:szCs w:val="28"/>
        </w:rPr>
        <w:t>验收标准</w:t>
      </w:r>
    </w:p>
    <w:p w14:paraId="47CCFCD2">
      <w:pPr>
        <w:spacing w:before="300" w:line="219" w:lineRule="auto"/>
        <w:ind w:left="493"/>
        <w:rPr>
          <w:rFonts w:ascii="Times New Roman" w:hAnsi="Times New Roman" w:eastAsia="Times New Roman" w:cs="Times New Roman"/>
          <w:sz w:val="24"/>
          <w:szCs w:val="24"/>
        </w:rPr>
      </w:pPr>
      <w:r>
        <w:rPr>
          <w:rFonts w:hint="eastAsia" w:ascii="宋体" w:hAnsi="宋体" w:cs="宋体"/>
          <w:sz w:val="24"/>
          <w:szCs w:val="24"/>
          <w:lang w:val="en-US" w:eastAsia="zh-CN"/>
        </w:rPr>
        <w:t>7</w:t>
      </w:r>
      <w:r>
        <w:rPr>
          <w:rFonts w:ascii="宋体" w:hAnsi="宋体" w:eastAsia="宋体" w:cs="宋体"/>
          <w:sz w:val="24"/>
          <w:szCs w:val="24"/>
        </w:rPr>
        <w:t>.1 采购人根据仪器数据的实际有效运行率按月核算服务</w:t>
      </w:r>
      <w:r>
        <w:rPr>
          <w:rFonts w:ascii="宋体" w:hAnsi="宋体" w:eastAsia="宋体" w:cs="宋体"/>
          <w:spacing w:val="-1"/>
          <w:sz w:val="24"/>
          <w:szCs w:val="24"/>
        </w:rPr>
        <w:t>款项，具体验收标准如下</w:t>
      </w:r>
      <w:r>
        <w:rPr>
          <w:rFonts w:ascii="Times New Roman" w:hAnsi="Times New Roman" w:eastAsia="Times New Roman" w:cs="Times New Roman"/>
          <w:spacing w:val="-1"/>
          <w:sz w:val="24"/>
          <w:szCs w:val="24"/>
        </w:rPr>
        <w:t>:</w:t>
      </w:r>
    </w:p>
    <w:p w14:paraId="47AA8FC9">
      <w:pPr>
        <w:spacing w:before="47" w:line="290" w:lineRule="auto"/>
        <w:ind w:left="8" w:firstLine="489"/>
        <w:rPr>
          <w:rFonts w:ascii="宋体" w:hAnsi="宋体" w:eastAsia="宋体" w:cs="宋体"/>
          <w:sz w:val="24"/>
          <w:szCs w:val="24"/>
        </w:rPr>
      </w:pPr>
      <w:r>
        <w:rPr>
          <w:rFonts w:ascii="宋体" w:hAnsi="宋体" w:eastAsia="宋体" w:cs="宋体"/>
          <w:spacing w:val="-1"/>
          <w:sz w:val="24"/>
          <w:szCs w:val="24"/>
        </w:rPr>
        <w:t>（1）按照《地表水水质自动监测站（常规五</w:t>
      </w:r>
      <w:r>
        <w:rPr>
          <w:rFonts w:ascii="宋体" w:hAnsi="宋体" w:eastAsia="宋体" w:cs="宋体"/>
          <w:spacing w:val="-2"/>
          <w:sz w:val="24"/>
          <w:szCs w:val="24"/>
        </w:rPr>
        <w:t xml:space="preserve">参数、 </w:t>
      </w:r>
      <w:r>
        <w:rPr>
          <w:rFonts w:ascii="Times New Roman" w:hAnsi="Times New Roman" w:eastAsia="Times New Roman" w:cs="Times New Roman"/>
          <w:spacing w:val="-2"/>
          <w:sz w:val="24"/>
          <w:szCs w:val="24"/>
        </w:rPr>
        <w:t>CODMn</w:t>
      </w:r>
      <w:r>
        <w:rPr>
          <w:rFonts w:ascii="Times New Roman" w:hAnsi="Times New Roman" w:eastAsia="Times New Roman" w:cs="Times New Roman"/>
          <w:spacing w:val="-34"/>
          <w:sz w:val="24"/>
          <w:szCs w:val="24"/>
        </w:rPr>
        <w:t xml:space="preserve"> </w:t>
      </w:r>
      <w:r>
        <w:rPr>
          <w:rFonts w:ascii="宋体" w:hAnsi="宋体" w:eastAsia="宋体" w:cs="宋体"/>
          <w:spacing w:val="-2"/>
          <w:sz w:val="24"/>
          <w:szCs w:val="24"/>
        </w:rPr>
        <w:t>、</w:t>
      </w:r>
      <w:r>
        <w:rPr>
          <w:rFonts w:ascii="Times New Roman" w:hAnsi="Times New Roman" w:eastAsia="Times New Roman" w:cs="Times New Roman"/>
          <w:spacing w:val="-2"/>
          <w:sz w:val="24"/>
          <w:szCs w:val="24"/>
        </w:rPr>
        <w:t>NH3</w:t>
      </w:r>
      <w:r>
        <w:rPr>
          <w:rFonts w:ascii="Microsoft Sans Serif" w:hAnsi="Microsoft Sans Serif" w:eastAsia="Microsoft Sans Serif" w:cs="Microsoft Sans Serif"/>
          <w:spacing w:val="-2"/>
          <w:sz w:val="24"/>
          <w:szCs w:val="24"/>
        </w:rPr>
        <w:t xml:space="preserve">⁃ </w:t>
      </w:r>
      <w:r>
        <w:rPr>
          <w:rFonts w:ascii="Times New Roman" w:hAnsi="Times New Roman" w:eastAsia="Times New Roman" w:cs="Times New Roman"/>
          <w:spacing w:val="-2"/>
          <w:sz w:val="24"/>
          <w:szCs w:val="24"/>
        </w:rPr>
        <w:t>N</w:t>
      </w:r>
      <w:r>
        <w:rPr>
          <w:rFonts w:ascii="Times New Roman" w:hAnsi="Times New Roman" w:eastAsia="Times New Roman" w:cs="Times New Roman"/>
          <w:spacing w:val="-35"/>
          <w:sz w:val="24"/>
          <w:szCs w:val="24"/>
        </w:rPr>
        <w:t xml:space="preserve"> </w:t>
      </w:r>
      <w:r>
        <w:rPr>
          <w:rFonts w:ascii="宋体" w:hAnsi="宋体" w:eastAsia="宋体" w:cs="宋体"/>
          <w:spacing w:val="-2"/>
          <w:sz w:val="24"/>
          <w:szCs w:val="24"/>
        </w:rPr>
        <w:t>、</w:t>
      </w:r>
      <w:r>
        <w:rPr>
          <w:rFonts w:ascii="Times New Roman" w:hAnsi="Times New Roman" w:eastAsia="Times New Roman" w:cs="Times New Roman"/>
          <w:spacing w:val="-2"/>
          <w:sz w:val="24"/>
          <w:szCs w:val="24"/>
        </w:rPr>
        <w:t>TP</w:t>
      </w:r>
      <w:r>
        <w:rPr>
          <w:rFonts w:ascii="Times New Roman" w:hAnsi="Times New Roman" w:eastAsia="Times New Roman" w:cs="Times New Roman"/>
          <w:spacing w:val="-32"/>
          <w:sz w:val="24"/>
          <w:szCs w:val="24"/>
        </w:rPr>
        <w:t xml:space="preserve"> </w:t>
      </w:r>
      <w:r>
        <w:rPr>
          <w:rFonts w:ascii="宋体" w:hAnsi="宋体" w:eastAsia="宋体" w:cs="宋体"/>
          <w:spacing w:val="-2"/>
          <w:sz w:val="24"/>
          <w:szCs w:val="24"/>
        </w:rPr>
        <w:t>、</w:t>
      </w:r>
      <w:r>
        <w:rPr>
          <w:rFonts w:ascii="Times New Roman" w:hAnsi="Times New Roman" w:eastAsia="Times New Roman" w:cs="Times New Roman"/>
          <w:spacing w:val="-2"/>
          <w:sz w:val="24"/>
          <w:szCs w:val="24"/>
        </w:rPr>
        <w:t>TN</w:t>
      </w:r>
      <w:r>
        <w:rPr>
          <w:rFonts w:ascii="宋体" w:hAnsi="宋体" w:eastAsia="宋体" w:cs="宋体"/>
          <w:spacing w:val="-2"/>
          <w:sz w:val="24"/>
          <w:szCs w:val="24"/>
        </w:rPr>
        <w:t>）安</w:t>
      </w:r>
      <w:r>
        <w:rPr>
          <w:rFonts w:ascii="宋体" w:hAnsi="宋体" w:eastAsia="宋体" w:cs="宋体"/>
          <w:sz w:val="24"/>
          <w:szCs w:val="24"/>
        </w:rPr>
        <w:t>装验收技术规范》（</w:t>
      </w:r>
      <w:r>
        <w:rPr>
          <w:rFonts w:ascii="Times New Roman" w:hAnsi="Times New Roman" w:eastAsia="Times New Roman" w:cs="Times New Roman"/>
          <w:sz w:val="24"/>
          <w:szCs w:val="24"/>
        </w:rPr>
        <w:t>HJ 915.2-2024</w:t>
      </w:r>
      <w:r>
        <w:rPr>
          <w:rFonts w:ascii="宋体" w:hAnsi="宋体" w:eastAsia="宋体" w:cs="宋体"/>
          <w:sz w:val="24"/>
          <w:szCs w:val="24"/>
        </w:rPr>
        <w:t xml:space="preserve">）、《地表水水质自动监测站（常规五参数、 </w:t>
      </w:r>
      <w:r>
        <w:rPr>
          <w:rFonts w:ascii="Times New Roman" w:hAnsi="Times New Roman" w:eastAsia="Times New Roman" w:cs="Times New Roman"/>
          <w:sz w:val="24"/>
          <w:szCs w:val="24"/>
        </w:rPr>
        <w:t>CODMn</w:t>
      </w:r>
      <w:r>
        <w:rPr>
          <w:rFonts w:ascii="Times New Roman" w:hAnsi="Times New Roman" w:eastAsia="Times New Roman" w:cs="Times New Roman"/>
          <w:spacing w:val="-34"/>
          <w:sz w:val="24"/>
          <w:szCs w:val="24"/>
        </w:rPr>
        <w:t xml:space="preserve"> </w:t>
      </w:r>
      <w:r>
        <w:rPr>
          <w:rFonts w:ascii="宋体" w:hAnsi="宋体" w:eastAsia="宋体" w:cs="宋体"/>
          <w:sz w:val="24"/>
          <w:szCs w:val="24"/>
        </w:rPr>
        <w:t xml:space="preserve">、 </w:t>
      </w:r>
      <w:r>
        <w:rPr>
          <w:rFonts w:ascii="Times New Roman" w:hAnsi="Times New Roman" w:eastAsia="Times New Roman" w:cs="Times New Roman"/>
          <w:spacing w:val="-1"/>
          <w:sz w:val="24"/>
          <w:szCs w:val="24"/>
        </w:rPr>
        <w:t>NH3</w:t>
      </w:r>
      <w:r>
        <w:rPr>
          <w:rFonts w:ascii="Microsoft Sans Serif" w:hAnsi="Microsoft Sans Serif" w:eastAsia="Microsoft Sans Serif" w:cs="Microsoft Sans Serif"/>
          <w:spacing w:val="-1"/>
          <w:sz w:val="24"/>
          <w:szCs w:val="24"/>
        </w:rPr>
        <w:t xml:space="preserve">⁃  </w:t>
      </w:r>
      <w:r>
        <w:rPr>
          <w:rFonts w:ascii="Times New Roman" w:hAnsi="Times New Roman" w:eastAsia="Times New Roman" w:cs="Times New Roman"/>
          <w:spacing w:val="-1"/>
          <w:sz w:val="24"/>
          <w:szCs w:val="24"/>
        </w:rPr>
        <w:t>N</w:t>
      </w:r>
      <w:r>
        <w:rPr>
          <w:rFonts w:ascii="Times New Roman" w:hAnsi="Times New Roman" w:eastAsia="Times New Roman" w:cs="Times New Roman"/>
          <w:spacing w:val="-21"/>
          <w:sz w:val="24"/>
          <w:szCs w:val="24"/>
        </w:rPr>
        <w:t xml:space="preserve"> </w:t>
      </w:r>
      <w:r>
        <w:rPr>
          <w:rFonts w:ascii="宋体" w:hAnsi="宋体" w:eastAsia="宋体" w:cs="宋体"/>
          <w:spacing w:val="-1"/>
          <w:sz w:val="24"/>
          <w:szCs w:val="24"/>
        </w:rPr>
        <w:t>、</w:t>
      </w:r>
      <w:r>
        <w:rPr>
          <w:rFonts w:ascii="Times New Roman" w:hAnsi="Times New Roman" w:eastAsia="Times New Roman" w:cs="Times New Roman"/>
          <w:spacing w:val="-1"/>
          <w:sz w:val="24"/>
          <w:szCs w:val="24"/>
        </w:rPr>
        <w:t>TP</w:t>
      </w:r>
      <w:r>
        <w:rPr>
          <w:rFonts w:ascii="Times New Roman" w:hAnsi="Times New Roman" w:eastAsia="Times New Roman" w:cs="Times New Roman"/>
          <w:spacing w:val="-33"/>
          <w:sz w:val="24"/>
          <w:szCs w:val="24"/>
        </w:rPr>
        <w:t xml:space="preserve"> </w:t>
      </w:r>
      <w:r>
        <w:rPr>
          <w:rFonts w:ascii="宋体" w:hAnsi="宋体" w:eastAsia="宋体" w:cs="宋体"/>
          <w:spacing w:val="-1"/>
          <w:sz w:val="24"/>
          <w:szCs w:val="24"/>
        </w:rPr>
        <w:t>、</w:t>
      </w:r>
      <w:r>
        <w:rPr>
          <w:rFonts w:ascii="Times New Roman" w:hAnsi="Times New Roman" w:eastAsia="Times New Roman" w:cs="Times New Roman"/>
          <w:spacing w:val="-1"/>
          <w:sz w:val="24"/>
          <w:szCs w:val="24"/>
        </w:rPr>
        <w:t>TN</w:t>
      </w:r>
      <w:r>
        <w:rPr>
          <w:rFonts w:ascii="宋体" w:hAnsi="宋体" w:eastAsia="宋体" w:cs="宋体"/>
          <w:spacing w:val="-1"/>
          <w:sz w:val="24"/>
          <w:szCs w:val="24"/>
        </w:rPr>
        <w:t>）运行维护技术规范》（</w:t>
      </w:r>
      <w:r>
        <w:rPr>
          <w:rFonts w:ascii="Times New Roman" w:hAnsi="Times New Roman" w:eastAsia="Times New Roman" w:cs="Times New Roman"/>
          <w:spacing w:val="-1"/>
          <w:sz w:val="24"/>
          <w:szCs w:val="24"/>
        </w:rPr>
        <w:t>HJ 915.3-2024</w:t>
      </w:r>
      <w:r>
        <w:rPr>
          <w:rFonts w:ascii="宋体" w:hAnsi="宋体" w:eastAsia="宋体" w:cs="宋体"/>
          <w:spacing w:val="-1"/>
          <w:sz w:val="24"/>
          <w:szCs w:val="24"/>
        </w:rPr>
        <w:t>） 、《江苏省环境水质（地表水）</w:t>
      </w:r>
      <w:r>
        <w:rPr>
          <w:rFonts w:ascii="宋体" w:hAnsi="宋体" w:eastAsia="宋体" w:cs="宋体"/>
          <w:sz w:val="24"/>
          <w:szCs w:val="24"/>
        </w:rPr>
        <w:t>自动监测预警系统运行管理办法（试行）》相关技术要求。</w:t>
      </w:r>
    </w:p>
    <w:p w14:paraId="424C708D">
      <w:pPr>
        <w:spacing w:before="47" w:line="290" w:lineRule="auto"/>
        <w:ind w:left="8" w:firstLine="489"/>
        <w:rPr>
          <w:rFonts w:ascii="宋体" w:hAnsi="宋体" w:eastAsia="宋体" w:cs="宋体"/>
          <w:sz w:val="24"/>
          <w:szCs w:val="24"/>
        </w:rPr>
      </w:pPr>
      <w:r>
        <w:rPr>
          <w:rFonts w:ascii="宋体" w:hAnsi="宋体" w:eastAsia="宋体" w:cs="宋体"/>
          <w:spacing w:val="-3"/>
          <w:sz w:val="24"/>
          <w:szCs w:val="24"/>
        </w:rPr>
        <w:t>（2）微型水质自动监测站站点（按微型水质自动监测站配置全部仪器统计）月</w:t>
      </w:r>
      <w:r>
        <w:rPr>
          <w:rFonts w:hint="eastAsia" w:ascii="宋体" w:hAnsi="宋体" w:eastAsia="宋体" w:cs="宋体"/>
          <w:spacing w:val="-3"/>
          <w:sz w:val="24"/>
          <w:szCs w:val="24"/>
          <w:lang w:val="en-US" w:eastAsia="zh-CN"/>
        </w:rPr>
        <w:t>平均</w:t>
      </w:r>
      <w:r>
        <w:rPr>
          <w:rFonts w:ascii="宋体" w:hAnsi="宋体" w:eastAsia="宋体" w:cs="宋体"/>
          <w:spacing w:val="-3"/>
          <w:sz w:val="24"/>
          <w:szCs w:val="24"/>
        </w:rPr>
        <w:t>数据有效</w:t>
      </w:r>
      <w:r>
        <w:rPr>
          <w:rFonts w:ascii="宋体" w:hAnsi="宋体" w:eastAsia="宋体" w:cs="宋体"/>
          <w:spacing w:val="-2"/>
          <w:sz w:val="24"/>
          <w:szCs w:val="24"/>
        </w:rPr>
        <w:t>率不低于</w:t>
      </w:r>
      <w:r>
        <w:rPr>
          <w:rFonts w:ascii="Times New Roman" w:hAnsi="Times New Roman" w:eastAsia="Times New Roman" w:cs="Times New Roman"/>
          <w:spacing w:val="-2"/>
          <w:sz w:val="24"/>
          <w:szCs w:val="24"/>
        </w:rPr>
        <w:t>90</w:t>
      </w:r>
      <w:r>
        <w:rPr>
          <w:rFonts w:ascii="宋体" w:hAnsi="宋体" w:eastAsia="宋体" w:cs="宋体"/>
          <w:spacing w:val="12"/>
          <w:sz w:val="24"/>
          <w:szCs w:val="24"/>
        </w:rPr>
        <w:t>％，</w:t>
      </w:r>
      <w:r>
        <w:rPr>
          <w:rFonts w:ascii="宋体" w:hAnsi="宋体" w:eastAsia="宋体" w:cs="宋体"/>
          <w:spacing w:val="-2"/>
          <w:sz w:val="24"/>
          <w:szCs w:val="24"/>
        </w:rPr>
        <w:t>拨付当月该参数全部服务款。</w:t>
      </w:r>
    </w:p>
    <w:p w14:paraId="2A73292D">
      <w:pPr>
        <w:spacing w:before="301" w:line="322" w:lineRule="auto"/>
        <w:ind w:left="5" w:firstLine="492"/>
        <w:rPr>
          <w:rFonts w:ascii="宋体" w:hAnsi="宋体" w:eastAsia="宋体" w:cs="宋体"/>
          <w:sz w:val="24"/>
          <w:szCs w:val="24"/>
        </w:rPr>
      </w:pPr>
      <w:r>
        <w:rPr>
          <w:rFonts w:ascii="宋体" w:hAnsi="宋体" w:eastAsia="宋体" w:cs="宋体"/>
          <w:spacing w:val="-3"/>
          <w:sz w:val="24"/>
          <w:szCs w:val="24"/>
        </w:rPr>
        <w:t>（3）微型水质自动监测站站点（按微型水质自动监测站配置全部仪器统计）月</w:t>
      </w:r>
      <w:r>
        <w:rPr>
          <w:rFonts w:hint="eastAsia" w:ascii="宋体" w:hAnsi="宋体" w:eastAsia="宋体" w:cs="宋体"/>
          <w:spacing w:val="-3"/>
          <w:sz w:val="24"/>
          <w:szCs w:val="24"/>
          <w:lang w:val="en-US" w:eastAsia="zh-CN"/>
        </w:rPr>
        <w:t>平均</w:t>
      </w:r>
      <w:r>
        <w:rPr>
          <w:rFonts w:ascii="宋体" w:hAnsi="宋体" w:eastAsia="宋体" w:cs="宋体"/>
          <w:spacing w:val="-3"/>
          <w:sz w:val="24"/>
          <w:szCs w:val="24"/>
        </w:rPr>
        <w:t>数据有效</w:t>
      </w:r>
      <w:r>
        <w:rPr>
          <w:rFonts w:ascii="宋体" w:hAnsi="宋体" w:eastAsia="宋体" w:cs="宋体"/>
          <w:spacing w:val="-1"/>
          <w:sz w:val="24"/>
          <w:szCs w:val="24"/>
        </w:rPr>
        <w:t>率低于</w:t>
      </w:r>
      <w:r>
        <w:rPr>
          <w:rFonts w:ascii="Times New Roman" w:hAnsi="Times New Roman" w:eastAsia="Times New Roman" w:cs="Times New Roman"/>
          <w:spacing w:val="-1"/>
          <w:sz w:val="24"/>
          <w:szCs w:val="24"/>
        </w:rPr>
        <w:t>90</w:t>
      </w:r>
      <w:r>
        <w:rPr>
          <w:rFonts w:ascii="宋体" w:hAnsi="宋体" w:eastAsia="宋体" w:cs="宋体"/>
          <w:spacing w:val="14"/>
          <w:sz w:val="24"/>
          <w:szCs w:val="24"/>
        </w:rPr>
        <w:t>％，</w:t>
      </w:r>
      <w:r>
        <w:rPr>
          <w:rFonts w:ascii="宋体" w:hAnsi="宋体" w:eastAsia="宋体" w:cs="宋体"/>
          <w:spacing w:val="-1"/>
          <w:sz w:val="24"/>
          <w:szCs w:val="24"/>
        </w:rPr>
        <w:t>该参数当月实付服务款</w:t>
      </w:r>
      <w:r>
        <w:rPr>
          <w:rFonts w:ascii="Times New Roman" w:hAnsi="Times New Roman" w:eastAsia="Times New Roman" w:cs="Times New Roman"/>
          <w:spacing w:val="-1"/>
          <w:sz w:val="24"/>
          <w:szCs w:val="24"/>
        </w:rPr>
        <w:t>=</w:t>
      </w:r>
      <w:r>
        <w:rPr>
          <w:rFonts w:ascii="宋体" w:hAnsi="宋体" w:eastAsia="宋体" w:cs="宋体"/>
          <w:spacing w:val="-1"/>
          <w:sz w:val="24"/>
          <w:szCs w:val="24"/>
        </w:rPr>
        <w:t>有效运行率</w:t>
      </w:r>
      <w:r>
        <w:rPr>
          <w:rFonts w:ascii="Times New Roman" w:hAnsi="Times New Roman" w:eastAsia="Times New Roman" w:cs="Times New Roman"/>
          <w:spacing w:val="-1"/>
          <w:sz w:val="24"/>
          <w:szCs w:val="24"/>
        </w:rPr>
        <w:t>x</w:t>
      </w:r>
      <w:r>
        <w:rPr>
          <w:rFonts w:ascii="宋体" w:hAnsi="宋体" w:eastAsia="宋体" w:cs="宋体"/>
          <w:spacing w:val="-1"/>
          <w:sz w:val="24"/>
          <w:szCs w:val="24"/>
        </w:rPr>
        <w:t>该参数服务款（该参数服务款按投标总价</w:t>
      </w:r>
      <w:r>
        <w:rPr>
          <w:rFonts w:ascii="宋体" w:hAnsi="宋体" w:eastAsia="宋体" w:cs="宋体"/>
          <w:sz w:val="24"/>
          <w:szCs w:val="24"/>
        </w:rPr>
        <w:t>平均至单台分析仪器价格来定，即中标价</w:t>
      </w:r>
      <w:r>
        <w:rPr>
          <w:rFonts w:ascii="Times New Roman" w:hAnsi="Times New Roman" w:eastAsia="Times New Roman" w:cs="Times New Roman"/>
          <w:sz w:val="24"/>
          <w:szCs w:val="24"/>
        </w:rPr>
        <w:t>÷</w:t>
      </w:r>
      <w:r>
        <w:rPr>
          <w:rFonts w:ascii="宋体" w:hAnsi="宋体" w:eastAsia="宋体" w:cs="宋体"/>
          <w:spacing w:val="-1"/>
          <w:sz w:val="24"/>
          <w:szCs w:val="24"/>
        </w:rPr>
        <w:t>参数项</w:t>
      </w:r>
      <w:r>
        <w:rPr>
          <w:rFonts w:ascii="Times New Roman" w:hAnsi="Times New Roman" w:eastAsia="Times New Roman" w:cs="Times New Roman"/>
          <w:spacing w:val="-1"/>
          <w:sz w:val="24"/>
          <w:szCs w:val="24"/>
        </w:rPr>
        <w:t>÷6=XXX</w:t>
      </w:r>
      <w:r>
        <w:rPr>
          <w:rFonts w:ascii="宋体" w:hAnsi="宋体" w:eastAsia="宋体" w:cs="宋体"/>
          <w:spacing w:val="-1"/>
          <w:sz w:val="24"/>
          <w:szCs w:val="24"/>
        </w:rPr>
        <w:t>元）。</w:t>
      </w:r>
    </w:p>
    <w:p w14:paraId="0D9B4EF8">
      <w:pPr>
        <w:spacing w:before="266" w:line="324" w:lineRule="auto"/>
        <w:ind w:left="6" w:firstLine="491"/>
        <w:rPr>
          <w:rFonts w:ascii="宋体" w:hAnsi="宋体" w:eastAsia="宋体" w:cs="宋体"/>
          <w:sz w:val="24"/>
          <w:szCs w:val="24"/>
        </w:rPr>
      </w:pPr>
      <w:r>
        <w:rPr>
          <w:rFonts w:ascii="宋体" w:hAnsi="宋体" w:eastAsia="宋体" w:cs="宋体"/>
          <w:spacing w:val="-3"/>
          <w:sz w:val="24"/>
          <w:szCs w:val="24"/>
        </w:rPr>
        <w:t>（4）当站点因河道整治、恶劣天气等客观原因无法采水停运时，应尽量采用清水维持仪</w:t>
      </w:r>
      <w:r>
        <w:rPr>
          <w:rFonts w:ascii="宋体" w:hAnsi="宋体" w:eastAsia="宋体" w:cs="宋体"/>
          <w:sz w:val="24"/>
          <w:szCs w:val="24"/>
        </w:rPr>
        <w:t>器的运行，并及时向业主告知，不可抗力等客观原因影响时数据有</w:t>
      </w:r>
      <w:r>
        <w:rPr>
          <w:rFonts w:ascii="宋体" w:hAnsi="宋体" w:eastAsia="宋体" w:cs="宋体"/>
          <w:spacing w:val="-1"/>
          <w:sz w:val="24"/>
          <w:szCs w:val="24"/>
        </w:rPr>
        <w:t>效率予以相应剔除计算有</w:t>
      </w:r>
      <w:r>
        <w:rPr>
          <w:rFonts w:ascii="宋体" w:hAnsi="宋体" w:eastAsia="宋体" w:cs="宋体"/>
          <w:sz w:val="24"/>
          <w:szCs w:val="24"/>
        </w:rPr>
        <w:t>效率。不可抗力无法运行期间相关质控考核工作仍按原有规定执行</w:t>
      </w:r>
      <w:r>
        <w:rPr>
          <w:rFonts w:ascii="宋体" w:hAnsi="宋体" w:eastAsia="宋体" w:cs="宋体"/>
          <w:spacing w:val="-1"/>
          <w:sz w:val="24"/>
          <w:szCs w:val="24"/>
        </w:rPr>
        <w:t>，服务款根据仪器有效运</w:t>
      </w:r>
      <w:r>
        <w:rPr>
          <w:rFonts w:ascii="宋体" w:hAnsi="宋体" w:eastAsia="宋体" w:cs="宋体"/>
          <w:spacing w:val="-2"/>
          <w:sz w:val="24"/>
          <w:szCs w:val="24"/>
        </w:rPr>
        <w:t>行率考核结果核发。</w:t>
      </w:r>
    </w:p>
    <w:p w14:paraId="330A30AB">
      <w:pPr>
        <w:spacing w:before="300" w:line="350" w:lineRule="auto"/>
        <w:ind w:left="11" w:right="110" w:firstLine="476"/>
        <w:rPr>
          <w:rFonts w:ascii="Times New Roman" w:hAnsi="Times New Roman" w:eastAsia="Times New Roman" w:cs="Times New Roman"/>
          <w:sz w:val="24"/>
          <w:szCs w:val="24"/>
        </w:rPr>
      </w:pPr>
      <w:r>
        <w:rPr>
          <w:rFonts w:hint="eastAsia" w:ascii="宋体" w:hAnsi="宋体" w:cs="宋体"/>
          <w:sz w:val="24"/>
          <w:szCs w:val="24"/>
          <w:lang w:val="en-US" w:eastAsia="zh-CN"/>
        </w:rPr>
        <w:t>7</w:t>
      </w:r>
      <w:r>
        <w:rPr>
          <w:rFonts w:ascii="宋体" w:hAnsi="宋体" w:eastAsia="宋体" w:cs="宋体"/>
          <w:sz w:val="24"/>
          <w:szCs w:val="24"/>
        </w:rPr>
        <w:t>.2 有效运行率的计算方法参照《江苏省环境水质</w:t>
      </w:r>
      <w:r>
        <w:rPr>
          <w:rFonts w:ascii="Times New Roman" w:hAnsi="Times New Roman" w:eastAsia="Times New Roman" w:cs="Times New Roman"/>
          <w:sz w:val="24"/>
          <w:szCs w:val="24"/>
        </w:rPr>
        <w:t>(</w:t>
      </w:r>
      <w:r>
        <w:rPr>
          <w:rFonts w:ascii="宋体" w:hAnsi="宋体" w:eastAsia="宋体" w:cs="宋体"/>
          <w:sz w:val="24"/>
          <w:szCs w:val="24"/>
        </w:rPr>
        <w:t>地表水</w:t>
      </w:r>
      <w:r>
        <w:rPr>
          <w:rFonts w:ascii="Times New Roman" w:hAnsi="Times New Roman" w:eastAsia="Times New Roman" w:cs="Times New Roman"/>
          <w:spacing w:val="-1"/>
          <w:sz w:val="24"/>
          <w:szCs w:val="24"/>
        </w:rPr>
        <w:t>)</w:t>
      </w:r>
      <w:r>
        <w:rPr>
          <w:rFonts w:ascii="宋体" w:hAnsi="宋体" w:eastAsia="宋体" w:cs="宋体"/>
          <w:spacing w:val="-1"/>
          <w:sz w:val="24"/>
          <w:szCs w:val="24"/>
        </w:rPr>
        <w:t>自动监测预警系统运行管理办法</w:t>
      </w:r>
      <w:r>
        <w:rPr>
          <w:rFonts w:ascii="Times New Roman" w:hAnsi="Times New Roman" w:eastAsia="Times New Roman" w:cs="Times New Roman"/>
          <w:spacing w:val="-1"/>
          <w:sz w:val="24"/>
          <w:szCs w:val="24"/>
        </w:rPr>
        <w:t>(</w:t>
      </w:r>
      <w:r>
        <w:rPr>
          <w:rFonts w:ascii="宋体" w:hAnsi="宋体" w:eastAsia="宋体" w:cs="宋体"/>
          <w:spacing w:val="-1"/>
          <w:sz w:val="24"/>
          <w:szCs w:val="24"/>
        </w:rPr>
        <w:t>试行</w:t>
      </w:r>
      <w:r>
        <w:rPr>
          <w:rFonts w:ascii="Times New Roman" w:hAnsi="Times New Roman" w:eastAsia="Times New Roman" w:cs="Times New Roman"/>
          <w:spacing w:val="-1"/>
          <w:sz w:val="24"/>
          <w:szCs w:val="24"/>
        </w:rPr>
        <w:t>)</w:t>
      </w:r>
      <w:r>
        <w:rPr>
          <w:rFonts w:ascii="宋体" w:hAnsi="宋体" w:eastAsia="宋体" w:cs="宋体"/>
          <w:spacing w:val="-1"/>
          <w:sz w:val="24"/>
          <w:szCs w:val="24"/>
        </w:rPr>
        <w:t>》中有关规定执行，其中</w:t>
      </w:r>
      <w:r>
        <w:rPr>
          <w:rFonts w:ascii="Times New Roman" w:hAnsi="Times New Roman" w:eastAsia="Times New Roman" w:cs="Times New Roman"/>
          <w:spacing w:val="-1"/>
          <w:sz w:val="24"/>
          <w:szCs w:val="24"/>
        </w:rPr>
        <w:t>:</w:t>
      </w:r>
    </w:p>
    <w:p w14:paraId="5CB947AC">
      <w:pPr>
        <w:spacing w:before="100" w:line="322" w:lineRule="exact"/>
        <w:ind w:left="487"/>
        <w:rPr>
          <w:rFonts w:ascii="宋体" w:hAnsi="宋体" w:eastAsia="宋体" w:cs="宋体"/>
          <w:sz w:val="24"/>
          <w:szCs w:val="24"/>
        </w:rPr>
      </w:pPr>
      <w:r>
        <w:rPr>
          <w:rFonts w:ascii="宋体" w:hAnsi="宋体" w:eastAsia="宋体" w:cs="宋体"/>
          <w:position w:val="1"/>
          <w:sz w:val="24"/>
          <w:szCs w:val="24"/>
        </w:rPr>
        <w:t>仪器有效运行率</w:t>
      </w:r>
      <w:r>
        <w:rPr>
          <w:rFonts w:ascii="Times New Roman" w:hAnsi="Times New Roman" w:eastAsia="Times New Roman" w:cs="Times New Roman"/>
          <w:position w:val="1"/>
          <w:sz w:val="24"/>
          <w:szCs w:val="24"/>
        </w:rPr>
        <w:t>=</w:t>
      </w:r>
      <w:r>
        <w:rPr>
          <w:rFonts w:ascii="宋体" w:hAnsi="宋体" w:eastAsia="宋体" w:cs="宋体"/>
          <w:position w:val="1"/>
          <w:sz w:val="24"/>
          <w:szCs w:val="24"/>
        </w:rPr>
        <w:t>该仪器实际采用数据量</w:t>
      </w:r>
      <w:r>
        <w:rPr>
          <w:rFonts w:ascii="Times New Roman" w:hAnsi="Times New Roman" w:eastAsia="Times New Roman" w:cs="Times New Roman"/>
          <w:position w:val="1"/>
          <w:sz w:val="24"/>
          <w:szCs w:val="24"/>
        </w:rPr>
        <w:t>/</w:t>
      </w:r>
      <w:r>
        <w:rPr>
          <w:rFonts w:ascii="宋体" w:hAnsi="宋体" w:eastAsia="宋体" w:cs="宋体"/>
          <w:position w:val="1"/>
          <w:sz w:val="24"/>
          <w:szCs w:val="24"/>
        </w:rPr>
        <w:t>该仪器正</w:t>
      </w:r>
      <w:r>
        <w:rPr>
          <w:rFonts w:ascii="宋体" w:hAnsi="宋体" w:eastAsia="宋体" w:cs="宋体"/>
          <w:spacing w:val="-1"/>
          <w:position w:val="1"/>
          <w:sz w:val="24"/>
          <w:szCs w:val="24"/>
        </w:rPr>
        <w:t>常产生数据量</w:t>
      </w:r>
      <w:r>
        <w:rPr>
          <w:rFonts w:ascii="Times New Roman" w:hAnsi="Times New Roman" w:eastAsia="Times New Roman" w:cs="Times New Roman"/>
          <w:spacing w:val="-1"/>
          <w:position w:val="1"/>
          <w:sz w:val="24"/>
          <w:szCs w:val="24"/>
        </w:rPr>
        <w:t>x100%</w:t>
      </w:r>
      <w:r>
        <w:rPr>
          <w:rFonts w:ascii="宋体" w:hAnsi="宋体" w:eastAsia="宋体" w:cs="宋体"/>
          <w:spacing w:val="-1"/>
          <w:position w:val="1"/>
          <w:sz w:val="24"/>
          <w:szCs w:val="24"/>
        </w:rPr>
        <w:t>；</w:t>
      </w:r>
    </w:p>
    <w:p w14:paraId="61E95709">
      <w:pPr>
        <w:spacing w:before="263" w:line="355" w:lineRule="auto"/>
        <w:ind w:right="547" w:firstLine="487"/>
        <w:rPr>
          <w:rFonts w:ascii="宋体" w:hAnsi="宋体" w:eastAsia="宋体" w:cs="宋体"/>
          <w:sz w:val="24"/>
          <w:szCs w:val="24"/>
        </w:rPr>
      </w:pPr>
      <w:r>
        <w:rPr>
          <w:rFonts w:ascii="宋体" w:hAnsi="宋体" w:eastAsia="宋体" w:cs="宋体"/>
          <w:sz w:val="24"/>
          <w:szCs w:val="24"/>
        </w:rPr>
        <w:t>站点有效运行率</w:t>
      </w:r>
      <w:r>
        <w:rPr>
          <w:rFonts w:ascii="Times New Roman" w:hAnsi="Times New Roman" w:eastAsia="Times New Roman" w:cs="Times New Roman"/>
          <w:sz w:val="24"/>
          <w:szCs w:val="24"/>
        </w:rPr>
        <w:t>=</w:t>
      </w:r>
      <w:r>
        <w:rPr>
          <w:rFonts w:ascii="宋体" w:hAnsi="宋体" w:eastAsia="宋体" w:cs="宋体"/>
          <w:sz w:val="24"/>
          <w:szCs w:val="24"/>
        </w:rPr>
        <w:t>该站点所有仪器实际采用数据量</w:t>
      </w:r>
      <w:r>
        <w:rPr>
          <w:rFonts w:ascii="Times New Roman" w:hAnsi="Times New Roman" w:eastAsia="Times New Roman" w:cs="Times New Roman"/>
          <w:sz w:val="24"/>
          <w:szCs w:val="24"/>
        </w:rPr>
        <w:t>/</w:t>
      </w:r>
      <w:r>
        <w:rPr>
          <w:rFonts w:ascii="宋体" w:hAnsi="宋体" w:eastAsia="宋体" w:cs="宋体"/>
          <w:sz w:val="24"/>
          <w:szCs w:val="24"/>
        </w:rPr>
        <w:t>该站</w:t>
      </w:r>
      <w:r>
        <w:rPr>
          <w:rFonts w:ascii="宋体" w:hAnsi="宋体" w:eastAsia="宋体" w:cs="宋体"/>
          <w:spacing w:val="-1"/>
          <w:sz w:val="24"/>
          <w:szCs w:val="24"/>
        </w:rPr>
        <w:t>点所有仪器正常产生数据量</w:t>
      </w:r>
      <w:r>
        <w:rPr>
          <w:rFonts w:ascii="Times New Roman" w:hAnsi="Times New Roman" w:eastAsia="Times New Roman" w:cs="Times New Roman"/>
          <w:spacing w:val="-1"/>
          <w:sz w:val="24"/>
          <w:szCs w:val="24"/>
        </w:rPr>
        <w:t>x100%</w:t>
      </w:r>
      <w:r>
        <w:rPr>
          <w:rFonts w:ascii="宋体" w:hAnsi="宋体" w:eastAsia="宋体" w:cs="宋体"/>
          <w:spacing w:val="-1"/>
          <w:sz w:val="24"/>
          <w:szCs w:val="24"/>
        </w:rPr>
        <w:t>；</w:t>
      </w:r>
    </w:p>
    <w:p w14:paraId="17BE00CA">
      <w:pPr>
        <w:spacing w:before="176" w:line="358" w:lineRule="auto"/>
        <w:ind w:left="7" w:right="28" w:firstLine="484"/>
        <w:rPr>
          <w:rFonts w:hint="eastAsia" w:ascii="宋体" w:hAnsi="宋体" w:eastAsia="宋体" w:cs="宋体"/>
          <w:spacing w:val="-2"/>
          <w:sz w:val="24"/>
          <w:szCs w:val="24"/>
          <w:lang w:val="en-US" w:eastAsia="zh-CN"/>
        </w:rPr>
      </w:pPr>
      <w:r>
        <w:rPr>
          <w:rFonts w:ascii="宋体" w:hAnsi="宋体" w:eastAsia="宋体" w:cs="宋体"/>
          <w:sz w:val="24"/>
          <w:szCs w:val="24"/>
        </w:rPr>
        <w:t>实际采用数据量应扣除因质量考核不合格删除的</w:t>
      </w:r>
      <w:r>
        <w:rPr>
          <w:rFonts w:ascii="宋体" w:hAnsi="宋体" w:eastAsia="宋体" w:cs="宋体"/>
          <w:spacing w:val="-1"/>
          <w:sz w:val="24"/>
          <w:szCs w:val="24"/>
        </w:rPr>
        <w:t>数据，及因性能测试、质量考核等原因</w:t>
      </w:r>
      <w:r>
        <w:rPr>
          <w:rFonts w:ascii="宋体" w:hAnsi="宋体" w:eastAsia="宋体" w:cs="宋体"/>
          <w:sz w:val="24"/>
          <w:szCs w:val="24"/>
        </w:rPr>
        <w:t>标记的数据</w:t>
      </w:r>
      <w:r>
        <w:rPr>
          <w:rFonts w:ascii="Times New Roman" w:hAnsi="Times New Roman" w:eastAsia="Times New Roman" w:cs="Times New Roman"/>
          <w:sz w:val="24"/>
          <w:szCs w:val="24"/>
        </w:rPr>
        <w:t>;</w:t>
      </w:r>
      <w:r>
        <w:rPr>
          <w:rFonts w:ascii="宋体" w:hAnsi="宋体" w:eastAsia="宋体" w:cs="宋体"/>
          <w:sz w:val="24"/>
          <w:szCs w:val="24"/>
        </w:rPr>
        <w:t>正常产生数据量应扣除因性能测试</w:t>
      </w:r>
      <w:r>
        <w:rPr>
          <w:rFonts w:ascii="宋体" w:hAnsi="宋体" w:eastAsia="宋体" w:cs="宋体"/>
          <w:spacing w:val="-1"/>
          <w:sz w:val="24"/>
          <w:szCs w:val="24"/>
        </w:rPr>
        <w:t>、质量考核等原因标记的数据。</w:t>
      </w:r>
    </w:p>
    <w:p w14:paraId="6A1954FB">
      <w:pPr>
        <w:pStyle w:val="13"/>
        <w:spacing w:beforeAutospacing="0" w:afterAutospacing="0" w:line="0" w:lineRule="atLeast"/>
        <w:jc w:val="both"/>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lang w:val="en-US" w:eastAsia="zh-CN"/>
        </w:rPr>
        <w:t>八</w:t>
      </w:r>
      <w:r>
        <w:rPr>
          <w:rFonts w:hint="eastAsia" w:ascii="宋体" w:hAnsi="宋体" w:eastAsia="宋体" w:cs="宋体"/>
          <w:b/>
          <w:bCs/>
          <w:color w:val="auto"/>
          <w:sz w:val="28"/>
          <w:szCs w:val="28"/>
          <w:highlight w:val="none"/>
          <w:shd w:val="clear" w:color="auto" w:fill="auto"/>
        </w:rPr>
        <w:t>、采购标的对应的中小企业划分标准所属行业一览表</w:t>
      </w:r>
    </w:p>
    <w:tbl>
      <w:tblPr>
        <w:tblStyle w:val="15"/>
        <w:tblW w:w="8779" w:type="dxa"/>
        <w:jc w:val="center"/>
        <w:tblCellSpacing w:w="0" w:type="dxa"/>
        <w:tblLayout w:type="fixed"/>
        <w:tblCellMar>
          <w:top w:w="0" w:type="dxa"/>
          <w:left w:w="108" w:type="dxa"/>
          <w:bottom w:w="0" w:type="dxa"/>
          <w:right w:w="108" w:type="dxa"/>
        </w:tblCellMar>
      </w:tblPr>
      <w:tblGrid>
        <w:gridCol w:w="715"/>
        <w:gridCol w:w="4320"/>
        <w:gridCol w:w="3744"/>
      </w:tblGrid>
      <w:tr w14:paraId="19C79330">
        <w:tblPrEx>
          <w:tblCellMar>
            <w:top w:w="0" w:type="dxa"/>
            <w:left w:w="108" w:type="dxa"/>
            <w:bottom w:w="0" w:type="dxa"/>
            <w:right w:w="108" w:type="dxa"/>
          </w:tblCellMar>
        </w:tblPrEx>
        <w:trPr>
          <w:trHeight w:val="1251" w:hRule="atLeast"/>
          <w:tblCellSpacing w:w="0" w:type="dxa"/>
          <w:jc w:val="center"/>
        </w:trPr>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8BEDB">
            <w:pPr>
              <w:pStyle w:val="13"/>
              <w:spacing w:beforeAutospacing="0" w:afterAutospacing="0" w:line="0" w:lineRule="atLeas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序号</w:t>
            </w:r>
          </w:p>
        </w:tc>
        <w:tc>
          <w:tcPr>
            <w:tcW w:w="4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E5229">
            <w:pPr>
              <w:pStyle w:val="13"/>
              <w:spacing w:beforeAutospacing="0" w:afterAutospacing="0" w:line="0" w:lineRule="atLeas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采购标的</w:t>
            </w:r>
          </w:p>
        </w:tc>
        <w:tc>
          <w:tcPr>
            <w:tcW w:w="3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3E854">
            <w:pPr>
              <w:pStyle w:val="13"/>
              <w:spacing w:beforeAutospacing="0" w:afterAutospacing="0" w:line="0" w:lineRule="atLeas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对应中小企业划分标准所属行业</w:t>
            </w:r>
          </w:p>
        </w:tc>
      </w:tr>
      <w:tr w14:paraId="091881F3">
        <w:tblPrEx>
          <w:tblCellMar>
            <w:top w:w="0" w:type="dxa"/>
            <w:left w:w="108" w:type="dxa"/>
            <w:bottom w:w="0" w:type="dxa"/>
            <w:right w:w="108" w:type="dxa"/>
          </w:tblCellMar>
        </w:tblPrEx>
        <w:trPr>
          <w:trHeight w:val="655" w:hRule="atLeast"/>
          <w:tblCellSpacing w:w="0" w:type="dxa"/>
          <w:jc w:val="center"/>
        </w:trPr>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14FD5">
            <w:pPr>
              <w:pStyle w:val="13"/>
              <w:spacing w:beforeAutospacing="0" w:afterAutospacing="0" w:line="0" w:lineRule="atLeas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p>
        </w:tc>
        <w:tc>
          <w:tcPr>
            <w:tcW w:w="4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FAF36">
            <w:pPr>
              <w:pStyle w:val="13"/>
              <w:spacing w:beforeAutospacing="0" w:afterAutospacing="0" w:line="0" w:lineRule="atLeas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三灶镇三份港、射阳河海事处水质自动监测站建设及</w:t>
            </w:r>
            <w:r>
              <w:rPr>
                <w:rFonts w:hint="eastAsia" w:ascii="宋体" w:hAnsi="宋体" w:eastAsia="宋体" w:cs="宋体"/>
                <w:color w:val="auto"/>
                <w:sz w:val="24"/>
                <w:szCs w:val="24"/>
                <w:highlight w:val="none"/>
                <w:shd w:val="clear" w:color="auto" w:fill="auto"/>
                <w:lang w:eastAsia="zh-CN"/>
              </w:rPr>
              <w:t>三年</w:t>
            </w:r>
            <w:r>
              <w:rPr>
                <w:rFonts w:hint="eastAsia" w:ascii="宋体" w:hAnsi="宋体" w:eastAsia="宋体" w:cs="宋体"/>
                <w:color w:val="auto"/>
                <w:sz w:val="24"/>
                <w:szCs w:val="24"/>
                <w:highlight w:val="none"/>
                <w:shd w:val="clear" w:color="auto" w:fill="auto"/>
              </w:rPr>
              <w:t>运维服务项目 </w:t>
            </w:r>
          </w:p>
        </w:tc>
        <w:tc>
          <w:tcPr>
            <w:tcW w:w="3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537A9">
            <w:pPr>
              <w:pStyle w:val="13"/>
              <w:spacing w:beforeAutospacing="0" w:afterAutospacing="0" w:line="0" w:lineRule="atLeast"/>
              <w:jc w:val="center"/>
              <w:rPr>
                <w:rFonts w:hint="eastAsia" w:ascii="宋体" w:hAnsi="宋体" w:eastAsia="宋体" w:cs="宋体"/>
                <w:color w:val="auto"/>
                <w:sz w:val="24"/>
                <w:szCs w:val="24"/>
                <w:highlight w:val="yellow"/>
                <w:shd w:val="clear" w:color="auto" w:fill="auto"/>
              </w:rPr>
            </w:pPr>
            <w:r>
              <w:rPr>
                <w:rFonts w:hint="eastAsia" w:asciiTheme="majorEastAsia" w:hAnsiTheme="majorEastAsia" w:eastAsiaTheme="majorEastAsia" w:cstheme="majorEastAsia"/>
                <w:b w:val="0"/>
                <w:bCs w:val="0"/>
                <w:spacing w:val="-1"/>
                <w:sz w:val="24"/>
                <w:szCs w:val="24"/>
                <w:lang w:val="en-US" w:eastAsia="zh-CN" w:bidi="zh-CN"/>
              </w:rPr>
              <w:t>工业</w:t>
            </w:r>
          </w:p>
        </w:tc>
      </w:tr>
    </w:tbl>
    <w:p w14:paraId="13184D32">
      <w:pPr>
        <w:pStyle w:val="13"/>
        <w:spacing w:beforeAutospacing="0" w:afterAutospacing="0"/>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6E91764F">
      <w:pPr>
        <w:pStyle w:val="13"/>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6EF8CBEC">
      <w:pPr>
        <w:pStyle w:val="13"/>
        <w:spacing w:beforeAutospacing="0" w:afterAutospacing="0"/>
        <w:ind w:firstLine="602"/>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46ADDA6C">
      <w:pPr>
        <w:pStyle w:val="13"/>
        <w:spacing w:beforeAutospacing="0" w:afterAutospacing="0"/>
        <w:ind w:firstLine="602"/>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bookmarkStart w:id="346" w:name="_Toc120614281"/>
    </w:p>
    <w:p w14:paraId="5860DF19">
      <w:pPr>
        <w:pStyle w:val="13"/>
        <w:spacing w:beforeAutospacing="0" w:afterAutospacing="0"/>
        <w:ind w:firstLine="602"/>
        <w:jc w:val="both"/>
        <w:rPr>
          <w:rFonts w:hint="eastAsia" w:ascii="宋体" w:hAnsi="宋体" w:eastAsia="宋体" w:cs="宋体"/>
          <w:sz w:val="24"/>
          <w:szCs w:val="24"/>
          <w:highlight w:val="none"/>
        </w:rPr>
      </w:pPr>
    </w:p>
    <w:p w14:paraId="293BEC76">
      <w:pPr>
        <w:pStyle w:val="13"/>
        <w:spacing w:beforeAutospacing="0" w:afterAutospacing="0"/>
        <w:ind w:firstLine="602"/>
        <w:jc w:val="both"/>
        <w:rPr>
          <w:rFonts w:hint="eastAsia" w:ascii="宋体" w:hAnsi="宋体" w:eastAsia="宋体" w:cs="宋体"/>
          <w:sz w:val="24"/>
          <w:szCs w:val="24"/>
          <w:highlight w:val="none"/>
        </w:rPr>
      </w:pPr>
    </w:p>
    <w:p w14:paraId="6AC872FE">
      <w:pPr>
        <w:pStyle w:val="13"/>
        <w:keepNext/>
        <w:spacing w:beforeAutospacing="0" w:afterAutospacing="0"/>
        <w:jc w:val="both"/>
        <w:rPr>
          <w:rFonts w:ascii="黑体" w:hAnsi="宋体" w:eastAsia="黑体" w:cs="黑体"/>
          <w:color w:val="000000"/>
          <w:sz w:val="44"/>
          <w:szCs w:val="44"/>
          <w:highlight w:val="none"/>
        </w:rPr>
      </w:pPr>
      <w:r>
        <w:rPr>
          <w:rFonts w:ascii="黑体" w:hAnsi="宋体" w:eastAsia="黑体" w:cs="黑体"/>
          <w:color w:val="000000"/>
          <w:sz w:val="44"/>
          <w:szCs w:val="44"/>
          <w:highlight w:val="none"/>
        </w:rPr>
        <w:tab/>
      </w:r>
    </w:p>
    <w:p w14:paraId="4F52B17C">
      <w:pPr>
        <w:rPr>
          <w:highlight w:val="none"/>
        </w:rPr>
      </w:pPr>
      <w:r>
        <w:rPr>
          <w:rFonts w:hint="eastAsia" w:ascii="黑体" w:hAnsi="宋体" w:eastAsia="黑体" w:cs="黑体"/>
          <w:color w:val="000000"/>
          <w:sz w:val="44"/>
          <w:szCs w:val="44"/>
          <w:highlight w:val="none"/>
          <w:lang w:val="en-US" w:eastAsia="zh-CN"/>
        </w:rPr>
        <w:t xml:space="preserve">    </w:t>
      </w: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评标方法与评标标准</w:t>
      </w:r>
    </w:p>
    <w:p w14:paraId="119DF58E">
      <w:pPr>
        <w:pStyle w:val="13"/>
        <w:spacing w:beforeAutospacing="0" w:afterAutospacing="0"/>
        <w:jc w:val="both"/>
        <w:rPr>
          <w:highlight w:val="none"/>
        </w:rPr>
      </w:pPr>
      <w:r>
        <w:rPr>
          <w:highlight w:val="none"/>
        </w:rPr>
        <w:t> </w:t>
      </w:r>
    </w:p>
    <w:p w14:paraId="668FEA9F">
      <w:pPr>
        <w:snapToGrid w:val="0"/>
        <w:spacing w:line="360" w:lineRule="auto"/>
        <w:ind w:firstLine="482" w:firstLineChars="2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一、定标原则</w:t>
      </w:r>
    </w:p>
    <w:p w14:paraId="2C328EAE">
      <w:pPr>
        <w:snapToGrid w:val="0"/>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bCs/>
          <w:color w:val="000000"/>
          <w:sz w:val="24"/>
          <w:szCs w:val="24"/>
          <w:highlight w:val="none"/>
        </w:rPr>
        <w:t>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法。</w:t>
      </w:r>
      <w:r>
        <w:rPr>
          <w:rFonts w:hint="eastAsia" w:ascii="宋体" w:hAnsi="宋体" w:eastAsia="宋体" w:cs="宋体"/>
          <w:color w:val="000000"/>
          <w:kern w:val="0"/>
          <w:sz w:val="24"/>
          <w:szCs w:val="24"/>
          <w:highlight w:val="none"/>
        </w:rPr>
        <w:t>评标结果按评审后得分由高到低顺序排列。得分相同的，按投标报价由低到高顺序排列。得分且投标报价相同的</w:t>
      </w:r>
      <w:r>
        <w:rPr>
          <w:rFonts w:hint="eastAsia" w:ascii="宋体" w:hAnsi="宋体" w:eastAsia="宋体" w:cs="宋体"/>
          <w:color w:val="000000"/>
          <w:kern w:val="0"/>
          <w:sz w:val="24"/>
          <w:szCs w:val="24"/>
          <w:highlight w:val="none"/>
          <w:lang w:val="en-US" w:eastAsia="zh-CN"/>
        </w:rPr>
        <w:t>并列</w:t>
      </w:r>
      <w:r>
        <w:rPr>
          <w:rFonts w:hint="eastAsia" w:ascii="宋体" w:hAnsi="宋体" w:eastAsia="宋体" w:cs="宋体"/>
          <w:color w:val="000000"/>
          <w:kern w:val="0"/>
          <w:sz w:val="24"/>
          <w:szCs w:val="24"/>
          <w:highlight w:val="none"/>
        </w:rPr>
        <w:t>。投标文件满足招标文件全部实质性要求，且按照评审因素的量化指标评审得分最高的投标人为排名第一的中标候选人，本项目选取1名中标候选人。</w:t>
      </w:r>
    </w:p>
    <w:p w14:paraId="15FC9789">
      <w:pPr>
        <w:keepNext w:val="0"/>
        <w:keepLines w:val="0"/>
        <w:pageBreakBefore w:val="0"/>
        <w:numPr>
          <w:ilvl w:val="0"/>
          <w:numId w:val="12"/>
        </w:numPr>
        <w:spacing w:line="460" w:lineRule="exact"/>
        <w:ind w:firstLine="480"/>
        <w:rPr>
          <w:rFonts w:hint="eastAsia" w:ascii="宋体" w:hAnsi="宋体"/>
          <w:b/>
          <w:bCs/>
          <w:color w:val="auto"/>
          <w:sz w:val="24"/>
          <w:szCs w:val="24"/>
          <w:highlight w:val="none"/>
        </w:rPr>
      </w:pPr>
      <w:r>
        <w:rPr>
          <w:rFonts w:hint="eastAsia" w:ascii="宋体" w:hAnsi="宋体"/>
          <w:b/>
          <w:bCs/>
          <w:color w:val="auto"/>
          <w:sz w:val="24"/>
          <w:szCs w:val="24"/>
          <w:highlight w:val="none"/>
        </w:rPr>
        <w:t>政府采购政策功能落实</w:t>
      </w:r>
    </w:p>
    <w:p w14:paraId="32A86857">
      <w:pPr>
        <w:keepNext w:val="0"/>
        <w:keepLines w:val="0"/>
        <w:pageBreakBefore w:val="0"/>
        <w:spacing w:line="460" w:lineRule="exact"/>
        <w:ind w:firstLine="480"/>
        <w:rPr>
          <w:rFonts w:hint="eastAsia" w:ascii="宋体" w:hAnsi="宋体"/>
          <w:b/>
          <w:bCs/>
          <w:color w:val="auto"/>
          <w:sz w:val="24"/>
          <w:highlight w:val="none"/>
        </w:rPr>
      </w:pPr>
      <w:r>
        <w:rPr>
          <w:rFonts w:hint="eastAsia" w:ascii="宋体" w:hAnsi="宋体"/>
          <w:b/>
          <w:bCs/>
          <w:color w:val="auto"/>
          <w:sz w:val="24"/>
          <w:szCs w:val="24"/>
          <w:highlight w:val="none"/>
        </w:rPr>
        <w:t>1.因本项目属专门</w:t>
      </w:r>
      <w:r>
        <w:rPr>
          <w:rFonts w:hint="eastAsia" w:ascii="宋体" w:hAnsi="宋体"/>
          <w:b/>
          <w:bCs/>
          <w:color w:val="auto"/>
          <w:sz w:val="24"/>
          <w:highlight w:val="none"/>
        </w:rPr>
        <w:t>面向中小企业采购项目，只接受中小企业投标，故本项目在评审时，不再对小型和微型企业投标价格给予扣除，请各</w:t>
      </w:r>
      <w:r>
        <w:rPr>
          <w:rFonts w:hint="eastAsia" w:ascii="宋体" w:hAnsi="宋体"/>
          <w:b/>
          <w:bCs/>
          <w:color w:val="auto"/>
          <w:sz w:val="24"/>
          <w:highlight w:val="none"/>
          <w:lang w:eastAsia="zh-CN"/>
        </w:rPr>
        <w:t>投标人</w:t>
      </w:r>
      <w:r>
        <w:rPr>
          <w:rFonts w:hint="eastAsia" w:ascii="宋体" w:hAnsi="宋体"/>
          <w:b/>
          <w:bCs/>
          <w:color w:val="auto"/>
          <w:sz w:val="24"/>
          <w:highlight w:val="none"/>
        </w:rPr>
        <w:t>予以关注。</w:t>
      </w:r>
    </w:p>
    <w:p w14:paraId="2191CBB2">
      <w:pPr>
        <w:keepNext w:val="0"/>
        <w:keepLines w:val="0"/>
        <w:pageBreakBefore w:val="0"/>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2.中小企业</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参加本项目政府采购活动的，应当按照采购文件的要求提供相应的《中小企业声明函》。除此之外，</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无需提供《中小企业声明函》之外的中小企业身份证明文件。</w:t>
      </w:r>
    </w:p>
    <w:p w14:paraId="7F33A5D6">
      <w:pPr>
        <w:keepNext w:val="0"/>
        <w:keepLines w:val="0"/>
        <w:pageBreakBefore w:val="0"/>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3.企业标准请参照《关于印发中小企业划型标准规定的通知》（工信部联企业[2011]300号）文件规定自行填写。</w:t>
      </w:r>
    </w:p>
    <w:p w14:paraId="2E6D1F5D">
      <w:pPr>
        <w:keepNext w:val="0"/>
        <w:keepLines w:val="0"/>
        <w:pageBreakBefore w:val="0"/>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4.残疾人就业政策：本项目对残疾人福利性单位视同小型、微型企业，符合条件的残疾人福利性单位在参加政府采购活动时，应当提供《残疾人福利性单位声明函》，残疾人福利单位标准详见《关于促进残疾人就业政府采购政策的通知》财库〔2017〕141号。</w:t>
      </w:r>
    </w:p>
    <w:p w14:paraId="5129E32D">
      <w:pPr>
        <w:keepNext w:val="0"/>
        <w:keepLines w:val="0"/>
        <w:pageBreakBefore w:val="0"/>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5.监狱和戒毒企业发展政策：政府采购支持监狱和戒毒企业发展政策，本项目对监狱和戒毒企业（简称监狱企业）视同小型、微型企业，监狱企业参加政府采购活动时，应当提供由省级以上监狱管理局、戒毒管理局（含新疆生产建设兵团）出具的属于监狱企业的证明文件，监狱企业标准详见《关于政府采购支持监狱企业发展有关问题的通知》财库〔2014〕68号。</w:t>
      </w:r>
    </w:p>
    <w:p w14:paraId="011C9E37">
      <w:pPr>
        <w:keepNext w:val="0"/>
        <w:keepLines w:val="0"/>
        <w:pageBreakBefore w:val="0"/>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、采购本国产品的支持政策</w:t>
      </w:r>
    </w:p>
    <w:p w14:paraId="6B605499">
      <w:pPr>
        <w:keepNext w:val="0"/>
        <w:keepLines w:val="0"/>
        <w:pageBreakBefore w:val="0"/>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.1 本项目政府采购活动中既有本国产品又有非本国产品参与竞争的，依法对本国产品给予价格评审优惠，对本国产品的报价给予 20%的价格扣除，用扣除后的价格参与评审。</w:t>
      </w:r>
    </w:p>
    <w:p w14:paraId="44C48725">
      <w:pPr>
        <w:keepNext w:val="0"/>
        <w:keepLines w:val="0"/>
        <w:pageBreakBefore w:val="0"/>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6CA42378">
      <w:pPr>
        <w:keepNext w:val="0"/>
        <w:keepLines w:val="0"/>
        <w:pageBreakBefore w:val="0"/>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.3 供应商需按照招标文件的要求提供《关于符合本国产品标准的声明函》（以下简称《声明函》），如不提供将不享受本国产品价格评审优惠。</w:t>
      </w:r>
    </w:p>
    <w:p w14:paraId="1A76E5B5">
      <w:pPr>
        <w:keepNext w:val="0"/>
        <w:keepLines w:val="0"/>
        <w:pageBreakBefore w:val="0"/>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.4 供应商需在《声明函》中逐一、准确填写产品名称、厂名、生产厂址三项信息（《声明函》中用</w:t>
      </w:r>
      <w:r>
        <w:rPr>
          <w:rFonts w:hint="eastAsia" w:ascii="宋体" w:hAnsi="宋体" w:cs="宋体"/>
          <w:color w:val="auto"/>
          <w:sz w:val="24"/>
          <w:highlight w:val="none"/>
          <w:lang w:val="en-US" w:eastAsia="zh-CN"/>
        </w:rPr>
        <w:t>横</w:t>
      </w:r>
      <w:r>
        <w:rPr>
          <w:rFonts w:hint="eastAsia" w:ascii="宋体" w:hAnsi="宋体" w:cs="宋体"/>
          <w:color w:val="auto"/>
          <w:sz w:val="24"/>
          <w:highlight w:val="none"/>
        </w:rPr>
        <w:t>线划除的地方无需填写），三项信息中任意一项未填写的视为该项产品不符合本国产品标准，不享受本国产品价格评审优惠。</w:t>
      </w:r>
    </w:p>
    <w:p w14:paraId="7C9718CD">
      <w:pPr>
        <w:keepNext w:val="0"/>
        <w:keepLines w:val="0"/>
        <w:pageBreakBefore w:val="0"/>
        <w:spacing w:line="460" w:lineRule="exact"/>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.5 评标过程中，如发现供应商在《声明函》内容含义不明确、同类事项与投标（响应）文件表述不一致或者有明显文字错误等情况的，评标委员会应当</w:t>
      </w:r>
      <w:r>
        <w:rPr>
          <w:rFonts w:hint="eastAsia" w:ascii="宋体" w:hAnsi="宋体" w:cs="宋体"/>
          <w:color w:val="auto"/>
          <w:sz w:val="24"/>
          <w:highlight w:val="none"/>
          <w:lang w:val="en-US" w:eastAsia="zh-CN"/>
        </w:rPr>
        <w:t>在苏采云系统</w:t>
      </w:r>
      <w:r>
        <w:rPr>
          <w:rFonts w:hint="eastAsia" w:ascii="宋体" w:hAnsi="宋体" w:cs="宋体"/>
          <w:color w:val="auto"/>
          <w:sz w:val="24"/>
          <w:highlight w:val="none"/>
        </w:rPr>
        <w:t>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02D1F3D">
      <w:pPr>
        <w:keepNext w:val="0"/>
        <w:keepLines w:val="0"/>
        <w:pageBreakBefore w:val="0"/>
        <w:spacing w:line="460" w:lineRule="exact"/>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color w:val="auto"/>
          <w:sz w:val="24"/>
          <w:highlight w:val="none"/>
        </w:rPr>
        <w:t>如属政府强制采购产品未提供认证证书的或认证证书提供不全的将视为未实质性响应采购要求。其他条件相同情况下，应当优先采购节能产品、环境标志产品。</w:t>
      </w:r>
    </w:p>
    <w:p w14:paraId="650D3BE7">
      <w:pPr>
        <w:keepNext w:val="0"/>
        <w:keepLines w:val="0"/>
        <w:pageBreakBefore w:val="0"/>
        <w:spacing w:line="460" w:lineRule="exact"/>
        <w:ind w:firstLine="480"/>
        <w:rPr>
          <w:rFonts w:hint="eastAsia" w:ascii="宋体" w:hAnsi="宋体" w:cs="宋体"/>
          <w:color w:val="auto"/>
          <w:sz w:val="24"/>
          <w:highlight w:val="none"/>
        </w:rPr>
      </w:pPr>
    </w:p>
    <w:p w14:paraId="23608BFD">
      <w:pPr>
        <w:keepNext w:val="0"/>
        <w:keepLines w:val="0"/>
        <w:pageBreakBefore w:val="0"/>
        <w:spacing w:before="120" w:after="120" w:line="460" w:lineRule="exact"/>
        <w:ind w:firstLine="482" w:firstLineChars="200"/>
        <w:jc w:val="left"/>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三</w:t>
      </w:r>
      <w:r>
        <w:rPr>
          <w:rFonts w:hint="eastAsia" w:ascii="宋体" w:hAnsi="宋体" w:eastAsia="宋体" w:cs="宋体"/>
          <w:b/>
          <w:color w:val="auto"/>
          <w:lang w:val="en-US" w:eastAsia="zh-CN"/>
        </w:rPr>
        <w:t>、</w:t>
      </w:r>
      <w:r>
        <w:rPr>
          <w:rFonts w:hint="eastAsia" w:ascii="宋体" w:hAnsi="宋体"/>
          <w:b/>
          <w:color w:val="auto"/>
          <w:sz w:val="24"/>
          <w:szCs w:val="24"/>
          <w:highlight w:val="none"/>
        </w:rPr>
        <w:t>评标方法与评标标准</w:t>
      </w:r>
      <w:bookmarkStart w:id="370" w:name="_GoBack"/>
      <w:bookmarkEnd w:id="370"/>
    </w:p>
    <w:p w14:paraId="210DD7DF">
      <w:pPr>
        <w:snapToGrid w:val="0"/>
        <w:spacing w:line="360" w:lineRule="auto"/>
        <w:ind w:firstLine="480" w:firstLineChars="200"/>
        <w:rPr>
          <w:rFonts w:hint="eastAsia" w:ascii="宋体" w:hAnsi="宋体" w:eastAsia="宋体" w:cs="宋体"/>
          <w:color w:val="000000"/>
          <w:kern w:val="0"/>
          <w:sz w:val="24"/>
          <w:szCs w:val="24"/>
          <w:highlight w:val="none"/>
        </w:rPr>
      </w:pPr>
    </w:p>
    <w:tbl>
      <w:tblPr>
        <w:tblStyle w:val="16"/>
        <w:tblW w:w="8212"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81"/>
        <w:gridCol w:w="2196"/>
        <w:gridCol w:w="4735"/>
      </w:tblGrid>
      <w:tr w14:paraId="4DD3D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trPr>
        <w:tc>
          <w:tcPr>
            <w:tcW w:w="0" w:type="auto"/>
            <w:gridSpan w:val="2"/>
            <w:noWrap/>
            <w:tcMar>
              <w:top w:w="0" w:type="dxa"/>
              <w:left w:w="108" w:type="dxa"/>
              <w:bottom w:w="0" w:type="dxa"/>
              <w:right w:w="108" w:type="dxa"/>
            </w:tcMar>
            <w:vAlign w:val="center"/>
          </w:tcPr>
          <w:p w14:paraId="5CD6073E">
            <w:pPr>
              <w:widowControl w:val="0"/>
              <w:snapToGrid w:val="0"/>
              <w:spacing w:line="240" w:lineRule="auto"/>
              <w:ind w:left="0" w:leftChars="0" w:right="0" w:rightChars="0" w:firstLine="0" w:firstLineChars="0"/>
              <w:jc w:val="center"/>
              <w:rPr>
                <w:rFonts w:hint="eastAsia" w:ascii="宋体" w:hAnsi="宋体" w:eastAsia="宋体" w:cs="宋体"/>
                <w:b/>
                <w:color w:val="auto"/>
                <w:sz w:val="22"/>
                <w:szCs w:val="22"/>
                <w:highlight w:val="none"/>
                <w:lang w:val="en-US" w:eastAsia="zh-CN"/>
              </w:rPr>
            </w:pPr>
            <w:r>
              <w:rPr>
                <w:rFonts w:hint="eastAsia" w:ascii="宋体" w:hAnsi="宋体" w:eastAsia="宋体" w:cs="宋体"/>
                <w:b/>
                <w:color w:val="auto"/>
                <w:sz w:val="22"/>
                <w:szCs w:val="22"/>
                <w:highlight w:val="none"/>
                <w:lang w:val="en-US" w:eastAsia="zh-CN"/>
              </w:rPr>
              <w:t>评审因素</w:t>
            </w:r>
          </w:p>
        </w:tc>
        <w:tc>
          <w:tcPr>
            <w:tcW w:w="4735" w:type="dxa"/>
            <w:noWrap/>
            <w:tcMar>
              <w:top w:w="0" w:type="dxa"/>
              <w:left w:w="108" w:type="dxa"/>
              <w:bottom w:w="0" w:type="dxa"/>
              <w:right w:w="108" w:type="dxa"/>
            </w:tcMar>
            <w:vAlign w:val="center"/>
          </w:tcPr>
          <w:p w14:paraId="660AC081">
            <w:pPr>
              <w:widowControl w:val="0"/>
              <w:snapToGrid w:val="0"/>
              <w:spacing w:line="240" w:lineRule="auto"/>
              <w:ind w:left="0" w:leftChars="0" w:right="0" w:rightChars="0" w:firstLine="0" w:firstLineChars="0"/>
              <w:jc w:val="center"/>
              <w:rPr>
                <w:rFonts w:hint="eastAsia" w:ascii="宋体" w:hAnsi="宋体" w:eastAsia="宋体" w:cs="宋体"/>
                <w:b/>
                <w:color w:val="auto"/>
                <w:sz w:val="22"/>
                <w:szCs w:val="22"/>
                <w:highlight w:val="none"/>
                <w:lang w:val="en-US" w:eastAsia="zh-CN"/>
              </w:rPr>
            </w:pPr>
            <w:r>
              <w:rPr>
                <w:rFonts w:hint="eastAsia" w:ascii="宋体" w:hAnsi="宋体" w:eastAsia="宋体" w:cs="宋体"/>
                <w:b/>
                <w:color w:val="auto"/>
                <w:sz w:val="22"/>
                <w:szCs w:val="22"/>
                <w:highlight w:val="none"/>
                <w:lang w:val="en-US" w:eastAsia="zh-CN" w:bidi="ar-SA"/>
              </w:rPr>
              <w:t>评审因素细化和量化</w:t>
            </w:r>
          </w:p>
        </w:tc>
      </w:tr>
      <w:tr w14:paraId="0EE50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0" w:type="auto"/>
            <w:noWrap/>
            <w:tcMar>
              <w:top w:w="0" w:type="dxa"/>
              <w:left w:w="108" w:type="dxa"/>
              <w:bottom w:w="0" w:type="dxa"/>
              <w:right w:w="108" w:type="dxa"/>
            </w:tcMar>
            <w:vAlign w:val="center"/>
          </w:tcPr>
          <w:p w14:paraId="793D3404">
            <w:pPr>
              <w:widowControl w:val="0"/>
              <w:snapToGrid w:val="0"/>
              <w:spacing w:line="240" w:lineRule="auto"/>
              <w:ind w:left="0" w:leftChars="0" w:right="0" w:rightChars="0" w:firstLine="0" w:firstLineChars="0"/>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价格</w:t>
            </w:r>
          </w:p>
          <w:p w14:paraId="5AF2E7D6">
            <w:pPr>
              <w:widowControl w:val="0"/>
              <w:snapToGrid w:val="0"/>
              <w:spacing w:line="240" w:lineRule="auto"/>
              <w:ind w:left="0" w:leftChars="0" w:right="0" w:rightChars="0" w:firstLine="0" w:firstLineChars="0"/>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部分</w:t>
            </w:r>
          </w:p>
          <w:p w14:paraId="39E09B5B">
            <w:pPr>
              <w:widowControl w:val="0"/>
              <w:snapToGrid w:val="0"/>
              <w:spacing w:line="240" w:lineRule="auto"/>
              <w:ind w:left="0" w:leftChars="0" w:right="0" w:rightChars="0" w:firstLine="0" w:firstLineChars="0"/>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（30分）</w:t>
            </w:r>
          </w:p>
        </w:tc>
        <w:tc>
          <w:tcPr>
            <w:tcW w:w="0" w:type="auto"/>
            <w:noWrap/>
            <w:tcMar>
              <w:top w:w="0" w:type="dxa"/>
              <w:left w:w="108" w:type="dxa"/>
              <w:bottom w:w="0" w:type="dxa"/>
              <w:right w:w="108" w:type="dxa"/>
            </w:tcMar>
            <w:vAlign w:val="center"/>
          </w:tcPr>
          <w:p w14:paraId="3F12150F">
            <w:pPr>
              <w:widowControl w:val="0"/>
              <w:snapToGrid w:val="0"/>
              <w:spacing w:line="240" w:lineRule="auto"/>
              <w:ind w:left="0" w:leftChars="0" w:right="0" w:rightChars="0" w:firstLine="0" w:firstLineChars="0"/>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价格</w:t>
            </w:r>
          </w:p>
          <w:p w14:paraId="30FE136E">
            <w:pPr>
              <w:widowControl w:val="0"/>
              <w:snapToGrid w:val="0"/>
              <w:spacing w:line="240" w:lineRule="auto"/>
              <w:ind w:left="0" w:leftChars="0" w:right="0" w:rightChars="0" w:firstLine="0" w:firstLineChars="0"/>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（30分）</w:t>
            </w:r>
          </w:p>
        </w:tc>
        <w:tc>
          <w:tcPr>
            <w:tcW w:w="4735" w:type="dxa"/>
            <w:noWrap/>
            <w:tcMar>
              <w:top w:w="0" w:type="dxa"/>
              <w:left w:w="108" w:type="dxa"/>
              <w:bottom w:w="0" w:type="dxa"/>
              <w:right w:w="108" w:type="dxa"/>
            </w:tcMar>
            <w:vAlign w:val="center"/>
          </w:tcPr>
          <w:p w14:paraId="225E3527">
            <w:pPr>
              <w:pStyle w:val="11"/>
              <w:snapToGrid w:val="0"/>
              <w:spacing w:line="240" w:lineRule="auto"/>
              <w:ind w:left="0" w:leftChars="0" w:right="0" w:rightChars="0" w:firstLine="0" w:firstLineChars="0"/>
              <w:jc w:val="left"/>
              <w:rPr>
                <w:rFonts w:hint="eastAsia" w:ascii="宋体" w:hAnsi="Times New Roman" w:eastAsia="宋体" w:cs="Times New Roman"/>
                <w:sz w:val="22"/>
                <w:szCs w:val="24"/>
                <w:lang w:val="en-US" w:eastAsia="zh-CN"/>
              </w:rPr>
            </w:pPr>
            <w:r>
              <w:rPr>
                <w:rFonts w:hint="eastAsia" w:ascii="宋体" w:hAnsi="Times New Roman" w:eastAsia="宋体" w:cs="Times New Roman"/>
                <w:sz w:val="22"/>
                <w:szCs w:val="24"/>
                <w:lang w:val="en-US" w:eastAsia="zh-CN"/>
              </w:rPr>
              <w:t>采用最低价优先法计算，即满足招标文件要求且响应价格最低的响应报价为评标基准价，其价格分为满分</w:t>
            </w:r>
            <w:r>
              <w:rPr>
                <w:rFonts w:hint="eastAsia" w:ascii="宋体" w:eastAsia="宋体" w:cs="Times New Roman"/>
                <w:sz w:val="22"/>
                <w:szCs w:val="24"/>
                <w:lang w:val="en-US" w:eastAsia="zh-CN"/>
              </w:rPr>
              <w:t>3</w:t>
            </w:r>
            <w:r>
              <w:rPr>
                <w:rFonts w:hint="eastAsia" w:ascii="宋体" w:hAnsi="Times New Roman" w:eastAsia="宋体" w:cs="Times New Roman"/>
                <w:sz w:val="22"/>
                <w:szCs w:val="24"/>
                <w:lang w:val="en-US" w:eastAsia="zh-CN"/>
              </w:rPr>
              <w:t>0分。</w:t>
            </w:r>
          </w:p>
          <w:p w14:paraId="2FADAD8B">
            <w:pPr>
              <w:widowControl w:val="0"/>
              <w:snapToGrid w:val="0"/>
              <w:spacing w:line="240" w:lineRule="auto"/>
              <w:ind w:left="0" w:leftChars="0" w:right="0" w:rightChars="0" w:firstLine="0" w:firstLineChars="0"/>
              <w:jc w:val="left"/>
              <w:rPr>
                <w:rFonts w:hint="eastAsia" w:ascii="宋体" w:hAnsi="宋体" w:eastAsia="宋体" w:cs="宋体"/>
                <w:color w:val="auto"/>
                <w:sz w:val="22"/>
                <w:szCs w:val="22"/>
                <w:highlight w:val="none"/>
                <w:lang w:val="en-US" w:eastAsia="zh-CN"/>
              </w:rPr>
            </w:pPr>
            <w:r>
              <w:rPr>
                <w:rFonts w:hint="eastAsia" w:ascii="宋体" w:hAnsi="Times New Roman" w:eastAsia="宋体" w:cs="Times New Roman"/>
                <w:sz w:val="22"/>
                <w:szCs w:val="24"/>
                <w:lang w:val="en-US" w:eastAsia="zh-CN"/>
              </w:rPr>
              <w:t>其他供应商的价格分统一按照下列公式计算：响应报价得分=(评标基准价/响应报价)×</w:t>
            </w:r>
            <w:r>
              <w:rPr>
                <w:rFonts w:hint="eastAsia" w:ascii="宋体" w:eastAsia="宋体" w:cs="Times New Roman"/>
                <w:sz w:val="22"/>
                <w:szCs w:val="24"/>
                <w:lang w:val="en-US" w:eastAsia="zh-CN"/>
              </w:rPr>
              <w:t>3</w:t>
            </w:r>
            <w:r>
              <w:rPr>
                <w:rFonts w:hint="eastAsia" w:ascii="宋体" w:hAnsi="Times New Roman" w:eastAsia="宋体" w:cs="Times New Roman"/>
                <w:sz w:val="22"/>
                <w:szCs w:val="24"/>
                <w:lang w:val="en-US" w:eastAsia="zh-CN"/>
              </w:rPr>
              <w:t>0，（保留小数点后两位第三位四舍五入）。</w:t>
            </w:r>
          </w:p>
        </w:tc>
      </w:tr>
      <w:tr w14:paraId="1172C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0" w:type="auto"/>
            <w:vMerge w:val="restart"/>
            <w:noWrap/>
            <w:tcMar>
              <w:top w:w="0" w:type="dxa"/>
              <w:left w:w="108" w:type="dxa"/>
              <w:bottom w:w="0" w:type="dxa"/>
              <w:right w:w="108" w:type="dxa"/>
            </w:tcMar>
            <w:vAlign w:val="center"/>
          </w:tcPr>
          <w:p w14:paraId="71D2399F">
            <w:pPr>
              <w:widowControl w:val="0"/>
              <w:snapToGrid w:val="0"/>
              <w:spacing w:line="240" w:lineRule="auto"/>
              <w:ind w:left="0" w:leftChars="0" w:right="0" w:rightChars="0" w:firstLine="0" w:firstLineChars="0"/>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技术</w:t>
            </w:r>
          </w:p>
          <w:p w14:paraId="2F2ECD0F">
            <w:pPr>
              <w:widowControl w:val="0"/>
              <w:snapToGrid w:val="0"/>
              <w:spacing w:line="240" w:lineRule="auto"/>
              <w:ind w:left="0" w:leftChars="0" w:right="0" w:rightChars="0" w:firstLine="0" w:firstLineChars="0"/>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部分</w:t>
            </w:r>
          </w:p>
          <w:p w14:paraId="43E357CD">
            <w:pPr>
              <w:widowControl w:val="0"/>
              <w:snapToGrid w:val="0"/>
              <w:spacing w:line="240" w:lineRule="auto"/>
              <w:ind w:left="0" w:leftChars="0" w:right="0" w:rightChars="0" w:firstLine="0" w:firstLineChars="0"/>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（61分）</w:t>
            </w:r>
          </w:p>
          <w:p w14:paraId="29C0E01D">
            <w:pPr>
              <w:widowControl w:val="0"/>
              <w:snapToGrid w:val="0"/>
              <w:spacing w:line="240" w:lineRule="auto"/>
              <w:ind w:left="0" w:leftChars="0" w:right="0" w:rightChars="0" w:firstLine="0" w:firstLineChars="0"/>
              <w:jc w:val="center"/>
              <w:rPr>
                <w:rFonts w:hint="eastAsia" w:ascii="宋体" w:hAnsi="宋体" w:eastAsia="宋体" w:cs="宋体"/>
                <w:color w:val="auto"/>
                <w:sz w:val="22"/>
                <w:szCs w:val="22"/>
                <w:highlight w:val="none"/>
                <w:lang w:val="en-US" w:eastAsia="zh-CN"/>
              </w:rPr>
            </w:pPr>
          </w:p>
        </w:tc>
        <w:tc>
          <w:tcPr>
            <w:tcW w:w="0" w:type="auto"/>
            <w:noWrap/>
            <w:tcMar>
              <w:top w:w="0" w:type="dxa"/>
              <w:left w:w="108" w:type="dxa"/>
              <w:bottom w:w="0" w:type="dxa"/>
              <w:right w:w="108" w:type="dxa"/>
            </w:tcMar>
            <w:vAlign w:val="center"/>
          </w:tcPr>
          <w:p w14:paraId="4C145D2E">
            <w:pPr>
              <w:widowControl w:val="0"/>
              <w:snapToGrid w:val="0"/>
              <w:spacing w:line="240" w:lineRule="auto"/>
              <w:ind w:left="0" w:leftChars="0" w:right="0" w:rightChars="0" w:firstLine="0" w:firstLineChars="0"/>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产品技术规格</w:t>
            </w:r>
          </w:p>
          <w:p w14:paraId="1D6194D3">
            <w:pPr>
              <w:widowControl w:val="0"/>
              <w:snapToGrid w:val="0"/>
              <w:spacing w:line="240" w:lineRule="auto"/>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（28分）</w:t>
            </w:r>
          </w:p>
        </w:tc>
        <w:tc>
          <w:tcPr>
            <w:tcW w:w="4735" w:type="dxa"/>
            <w:noWrap/>
            <w:tcMar>
              <w:top w:w="0" w:type="dxa"/>
              <w:left w:w="108" w:type="dxa"/>
              <w:bottom w:w="0" w:type="dxa"/>
              <w:right w:w="108" w:type="dxa"/>
            </w:tcMar>
            <w:vAlign w:val="center"/>
          </w:tcPr>
          <w:p w14:paraId="4EC73463">
            <w:pPr>
              <w:pBdr>
                <w:top w:val="none" w:color="000000" w:sz="0" w:space="0"/>
                <w:left w:val="none" w:color="000000" w:sz="0" w:space="0"/>
                <w:bottom w:val="none" w:color="000000" w:sz="0" w:space="0"/>
                <w:right w:val="none" w:color="000000" w:sz="0" w:space="0"/>
              </w:pBdr>
              <w:snapToGrid w:val="0"/>
              <w:spacing w:before="210" w:after="120"/>
              <w:ind w:left="0" w:leftChars="0" w:right="0" w:rightChars="0" w:firstLine="0" w:firstLineChars="0"/>
              <w:jc w:val="left"/>
              <w:rPr>
                <w:rFonts w:ascii="宋体" w:eastAsia="宋体"/>
                <w:sz w:val="22"/>
              </w:rPr>
            </w:pPr>
            <w:r>
              <w:rPr>
                <w:rFonts w:ascii="宋体" w:hAnsi="宋体" w:eastAsia="宋体" w:cs="宋体"/>
                <w:color w:val="000000"/>
                <w:sz w:val="22"/>
              </w:rPr>
              <w:t>所有技术参数全部满足或优于招标文件中采购需求中“三、技术规格、参数及要求中带“▲”号的得28分；每有带一项“▲”号负偏离的扣2分，扣完为止。每有一项不带“▲”号不满足的扣0.5分，扣完为止。(注:带“▲”号项要求提供省级及以上计量检测报告，本项全部满足得28分;不带“▲”号的以提供的偏离表中的负偏离项为扣分标准，未按要求提供或未提供的，视为不满足。)</w:t>
            </w:r>
          </w:p>
        </w:tc>
      </w:tr>
      <w:tr w14:paraId="3348E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0" w:type="auto"/>
            <w:vMerge w:val="continue"/>
            <w:noWrap/>
            <w:vAlign w:val="center"/>
          </w:tcPr>
          <w:p w14:paraId="2FC38EA6">
            <w:pPr>
              <w:widowControl w:val="0"/>
              <w:snapToGrid w:val="0"/>
              <w:spacing w:line="240" w:lineRule="auto"/>
              <w:ind w:left="0" w:leftChars="0" w:right="0" w:rightChars="0" w:firstLine="0" w:firstLineChars="0"/>
              <w:jc w:val="center"/>
              <w:rPr>
                <w:rFonts w:hint="eastAsia" w:ascii="宋体" w:hAnsi="宋体" w:eastAsia="宋体" w:cs="宋体"/>
                <w:color w:val="auto"/>
                <w:sz w:val="22"/>
                <w:szCs w:val="22"/>
                <w:highlight w:val="none"/>
                <w:lang w:val="en-US" w:eastAsia="zh-CN"/>
              </w:rPr>
            </w:pPr>
          </w:p>
        </w:tc>
        <w:tc>
          <w:tcPr>
            <w:tcW w:w="0" w:type="auto"/>
            <w:noWrap/>
            <w:tcMar>
              <w:top w:w="0" w:type="dxa"/>
              <w:left w:w="108" w:type="dxa"/>
              <w:bottom w:w="0" w:type="dxa"/>
              <w:right w:w="108" w:type="dxa"/>
            </w:tcMar>
            <w:vAlign w:val="center"/>
          </w:tcPr>
          <w:p w14:paraId="471956DA">
            <w:pPr>
              <w:widowControl w:val="0"/>
              <w:snapToGrid w:val="0"/>
              <w:spacing w:line="240" w:lineRule="auto"/>
              <w:ind w:left="0" w:leftChars="0" w:right="0" w:rightChars="0" w:firstLine="0" w:firstLineChars="0"/>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技术服务方案（10）</w:t>
            </w:r>
          </w:p>
        </w:tc>
        <w:tc>
          <w:tcPr>
            <w:tcW w:w="4735" w:type="dxa"/>
            <w:noWrap/>
            <w:tcMar>
              <w:top w:w="0" w:type="dxa"/>
              <w:left w:w="108" w:type="dxa"/>
              <w:bottom w:w="0" w:type="dxa"/>
              <w:right w:w="108" w:type="dxa"/>
            </w:tcMar>
            <w:vAlign w:val="center"/>
          </w:tcPr>
          <w:p w14:paraId="07EF1883">
            <w:pPr>
              <w:pBdr>
                <w:top w:val="none" w:color="000000" w:sz="0" w:space="0"/>
                <w:left w:val="none" w:color="000000" w:sz="0" w:space="0"/>
                <w:bottom w:val="none" w:color="000000" w:sz="0" w:space="0"/>
                <w:right w:val="none" w:color="000000" w:sz="0" w:space="0"/>
              </w:pBdr>
              <w:spacing w:before="0" w:after="0" w:line="360" w:lineRule="atLeast"/>
              <w:ind w:left="0" w:right="0" w:firstLine="0"/>
              <w:rPr>
                <w:rFonts w:hint="eastAsia" w:asciiTheme="majorEastAsia" w:hAnsiTheme="majorEastAsia" w:eastAsiaTheme="majorEastAsia" w:cstheme="majorEastAsia"/>
                <w:sz w:val="22"/>
                <w:szCs w:val="22"/>
                <w:highlight w:val="none"/>
              </w:rPr>
            </w:pPr>
            <w:r>
              <w:rPr>
                <w:rFonts w:hint="eastAsia" w:asciiTheme="majorEastAsia" w:hAnsiTheme="majorEastAsia" w:eastAsiaTheme="majorEastAsia" w:cstheme="majorEastAsia"/>
                <w:color w:val="000000"/>
                <w:sz w:val="22"/>
                <w:szCs w:val="22"/>
                <w:highlight w:val="none"/>
              </w:rPr>
              <w:t xml:space="preserve">根据投标人针对本项目提供的技术服务方案，包括运行维护、数据审核、质控方案、应急方案，等内容进行综合评分： </w:t>
            </w:r>
          </w:p>
          <w:p w14:paraId="435E609D">
            <w:pPr>
              <w:pBdr>
                <w:top w:val="none" w:color="000000" w:sz="0" w:space="0"/>
                <w:left w:val="none" w:color="000000" w:sz="0" w:space="0"/>
                <w:bottom w:val="none" w:color="000000" w:sz="0" w:space="0"/>
                <w:right w:val="none" w:color="000000" w:sz="0" w:space="0"/>
              </w:pBdr>
              <w:spacing w:before="0" w:after="0" w:line="360" w:lineRule="atLeast"/>
              <w:ind w:left="0" w:right="0" w:firstLine="0"/>
              <w:rPr>
                <w:rFonts w:hint="eastAsia" w:asciiTheme="majorEastAsia" w:hAnsiTheme="majorEastAsia" w:eastAsiaTheme="majorEastAsia" w:cstheme="majorEastAsia"/>
                <w:sz w:val="22"/>
                <w:szCs w:val="22"/>
                <w:highlight w:val="none"/>
              </w:rPr>
            </w:pPr>
            <w:r>
              <w:rPr>
                <w:rFonts w:hint="eastAsia" w:asciiTheme="majorEastAsia" w:hAnsiTheme="majorEastAsia" w:eastAsiaTheme="majorEastAsia" w:cstheme="majorEastAsia"/>
                <w:color w:val="000000"/>
                <w:sz w:val="22"/>
                <w:szCs w:val="22"/>
                <w:highlight w:val="none"/>
              </w:rPr>
              <w:t>技术服务方案科学合理，服务响应能力最强，运行维护、数据审核、质量保障等内容安排合理的，得</w:t>
            </w:r>
            <w:r>
              <w:rPr>
                <w:rFonts w:hint="eastAsia" w:asciiTheme="majorEastAsia" w:hAnsiTheme="majorEastAsia" w:eastAsiaTheme="majorEastAsia" w:cstheme="majorEastAsia"/>
                <w:color w:val="000000"/>
                <w:sz w:val="22"/>
                <w:szCs w:val="22"/>
                <w:highlight w:val="none"/>
                <w:lang w:val="en-US" w:eastAsia="zh-CN"/>
              </w:rPr>
              <w:t>10</w:t>
            </w:r>
            <w:r>
              <w:rPr>
                <w:rFonts w:hint="eastAsia" w:asciiTheme="majorEastAsia" w:hAnsiTheme="majorEastAsia" w:eastAsiaTheme="majorEastAsia" w:cstheme="majorEastAsia"/>
                <w:color w:val="000000"/>
                <w:sz w:val="22"/>
                <w:szCs w:val="22"/>
                <w:highlight w:val="none"/>
              </w:rPr>
              <w:t>分；</w:t>
            </w:r>
          </w:p>
          <w:p w14:paraId="48A466E1">
            <w:pPr>
              <w:pBdr>
                <w:top w:val="none" w:color="000000" w:sz="0" w:space="0"/>
                <w:left w:val="none" w:color="000000" w:sz="0" w:space="0"/>
                <w:bottom w:val="none" w:color="000000" w:sz="0" w:space="0"/>
                <w:right w:val="none" w:color="000000" w:sz="0" w:space="0"/>
              </w:pBdr>
              <w:spacing w:before="0" w:after="0" w:line="360" w:lineRule="atLeast"/>
              <w:ind w:left="0" w:right="0" w:firstLine="0"/>
              <w:rPr>
                <w:rFonts w:hint="eastAsia" w:asciiTheme="majorEastAsia" w:hAnsiTheme="majorEastAsia" w:eastAsiaTheme="majorEastAsia" w:cstheme="majorEastAsia"/>
                <w:sz w:val="22"/>
                <w:szCs w:val="22"/>
                <w:highlight w:val="none"/>
              </w:rPr>
            </w:pPr>
            <w:r>
              <w:rPr>
                <w:rFonts w:hint="eastAsia" w:asciiTheme="majorEastAsia" w:hAnsiTheme="majorEastAsia" w:eastAsiaTheme="majorEastAsia" w:cstheme="majorEastAsia"/>
                <w:color w:val="000000"/>
                <w:sz w:val="22"/>
                <w:szCs w:val="22"/>
                <w:highlight w:val="none"/>
              </w:rPr>
              <w:t>技术服务方案部分合理，服务响应能力较强，运行维护、数据审核、质量保障等内容安排基本合理的，得6分；</w:t>
            </w:r>
          </w:p>
          <w:p w14:paraId="69CC9C25">
            <w:pPr>
              <w:pBdr>
                <w:top w:val="none" w:color="000000" w:sz="0" w:space="0"/>
                <w:left w:val="none" w:color="000000" w:sz="0" w:space="0"/>
                <w:bottom w:val="none" w:color="000000" w:sz="0" w:space="0"/>
                <w:right w:val="none" w:color="000000" w:sz="0" w:space="0"/>
              </w:pBdr>
              <w:spacing w:before="0" w:after="0" w:line="360" w:lineRule="atLeast"/>
              <w:ind w:left="0" w:right="0" w:firstLine="0"/>
              <w:rPr>
                <w:rFonts w:hint="eastAsia" w:asciiTheme="majorEastAsia" w:hAnsiTheme="majorEastAsia" w:eastAsiaTheme="majorEastAsia" w:cstheme="majorEastAsia"/>
                <w:sz w:val="22"/>
                <w:szCs w:val="22"/>
                <w:highlight w:val="none"/>
              </w:rPr>
            </w:pPr>
            <w:r>
              <w:rPr>
                <w:rFonts w:hint="eastAsia" w:asciiTheme="majorEastAsia" w:hAnsiTheme="majorEastAsia" w:eastAsiaTheme="majorEastAsia" w:cstheme="majorEastAsia"/>
                <w:color w:val="000000"/>
                <w:sz w:val="22"/>
                <w:szCs w:val="22"/>
                <w:highlight w:val="none"/>
              </w:rPr>
              <w:t>技术服务方案部分一般，服务响应能力一般，运行维护、数据审核、质量保障等内容安排略有瑕疵的，得3分；</w:t>
            </w:r>
          </w:p>
          <w:p w14:paraId="6D718E3B">
            <w:pPr>
              <w:pBdr>
                <w:top w:val="none" w:color="000000" w:sz="0" w:space="0"/>
                <w:left w:val="none" w:color="000000" w:sz="0" w:space="0"/>
                <w:bottom w:val="none" w:color="000000" w:sz="0" w:space="0"/>
                <w:right w:val="none" w:color="000000" w:sz="0" w:space="0"/>
              </w:pBdr>
              <w:spacing w:before="0" w:after="0" w:line="360" w:lineRule="atLeast"/>
              <w:ind w:left="0" w:right="0" w:firstLine="0"/>
              <w:rPr>
                <w:rFonts w:hint="eastAsia" w:asciiTheme="majorEastAsia" w:hAnsiTheme="majorEastAsia" w:eastAsiaTheme="majorEastAsia" w:cstheme="majorEastAsia"/>
                <w:sz w:val="22"/>
                <w:szCs w:val="22"/>
                <w:highlight w:val="none"/>
              </w:rPr>
            </w:pPr>
            <w:r>
              <w:rPr>
                <w:rFonts w:hint="eastAsia" w:asciiTheme="majorEastAsia" w:hAnsiTheme="majorEastAsia" w:eastAsiaTheme="majorEastAsia" w:cstheme="majorEastAsia"/>
                <w:color w:val="000000"/>
                <w:sz w:val="22"/>
                <w:szCs w:val="22"/>
                <w:highlight w:val="none"/>
              </w:rPr>
              <w:t>技术服务方案内容单一，服务响应能力滞后，运行维护、数据审核、质量保障等内容安排有待完善，得1分；</w:t>
            </w:r>
          </w:p>
          <w:p w14:paraId="73E77AFB">
            <w:pPr>
              <w:widowControl w:val="0"/>
              <w:snapToGrid w:val="0"/>
              <w:spacing w:line="240" w:lineRule="auto"/>
              <w:ind w:left="0" w:leftChars="0" w:right="0" w:rightChars="0" w:firstLine="0" w:firstLineChars="0"/>
              <w:jc w:val="left"/>
              <w:rPr>
                <w:rFonts w:hint="eastAsia" w:ascii="宋体" w:hAnsi="宋体" w:eastAsia="宋体" w:cs="宋体"/>
                <w:color w:val="auto"/>
                <w:sz w:val="22"/>
                <w:szCs w:val="22"/>
                <w:highlight w:val="none"/>
                <w:lang w:val="en-US" w:eastAsia="zh-CN"/>
              </w:rPr>
            </w:pPr>
            <w:r>
              <w:rPr>
                <w:rFonts w:hint="eastAsia" w:asciiTheme="majorEastAsia" w:hAnsiTheme="majorEastAsia" w:eastAsiaTheme="majorEastAsia" w:cstheme="majorEastAsia"/>
                <w:color w:val="000000"/>
                <w:sz w:val="22"/>
                <w:szCs w:val="22"/>
                <w:highlight w:val="none"/>
              </w:rPr>
              <w:t>其他不得分。</w:t>
            </w:r>
          </w:p>
        </w:tc>
      </w:tr>
      <w:tr w14:paraId="0E609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0" w:type="auto"/>
            <w:vMerge w:val="continue"/>
            <w:noWrap/>
            <w:vAlign w:val="center"/>
          </w:tcPr>
          <w:p w14:paraId="7D610A5E">
            <w:pPr>
              <w:widowControl w:val="0"/>
              <w:snapToGrid w:val="0"/>
              <w:spacing w:line="240" w:lineRule="auto"/>
              <w:ind w:left="0" w:leftChars="0" w:right="0" w:rightChars="0" w:firstLine="0" w:firstLineChars="0"/>
              <w:jc w:val="center"/>
              <w:rPr>
                <w:rFonts w:hint="eastAsia" w:ascii="宋体" w:hAnsi="宋体" w:eastAsia="宋体" w:cs="宋体"/>
                <w:color w:val="auto"/>
                <w:sz w:val="22"/>
                <w:szCs w:val="22"/>
                <w:highlight w:val="none"/>
                <w:lang w:val="en-US" w:eastAsia="zh-CN"/>
              </w:rPr>
            </w:pPr>
          </w:p>
        </w:tc>
        <w:tc>
          <w:tcPr>
            <w:tcW w:w="0" w:type="auto"/>
            <w:noWrap/>
            <w:tcMar>
              <w:top w:w="0" w:type="dxa"/>
              <w:left w:w="108" w:type="dxa"/>
              <w:bottom w:w="0" w:type="dxa"/>
              <w:right w:w="108" w:type="dxa"/>
            </w:tcMar>
            <w:vAlign w:val="center"/>
          </w:tcPr>
          <w:p w14:paraId="0B23BA78">
            <w:pPr>
              <w:widowControl w:val="0"/>
              <w:snapToGrid w:val="0"/>
              <w:spacing w:line="240" w:lineRule="auto"/>
              <w:ind w:left="0" w:leftChars="0" w:right="0" w:rightChars="0" w:firstLine="0" w:firstLineChars="0"/>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售后服务方案</w:t>
            </w:r>
          </w:p>
          <w:p w14:paraId="6E70967A">
            <w:pPr>
              <w:widowControl w:val="0"/>
              <w:snapToGrid w:val="0"/>
              <w:spacing w:line="240" w:lineRule="auto"/>
              <w:ind w:left="0" w:leftChars="0" w:right="0" w:rightChars="0" w:firstLine="0" w:firstLineChars="0"/>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（8分）</w:t>
            </w:r>
          </w:p>
        </w:tc>
        <w:tc>
          <w:tcPr>
            <w:tcW w:w="4735" w:type="dxa"/>
            <w:noWrap/>
            <w:tcMar>
              <w:top w:w="0" w:type="dxa"/>
              <w:left w:w="108" w:type="dxa"/>
              <w:bottom w:w="0" w:type="dxa"/>
              <w:right w:w="108" w:type="dxa"/>
            </w:tcMar>
            <w:vAlign w:val="center"/>
          </w:tcPr>
          <w:p w14:paraId="2FD97932">
            <w:pPr>
              <w:widowControl w:val="0"/>
              <w:snapToGrid w:val="0"/>
              <w:spacing w:line="240" w:lineRule="auto"/>
              <w:ind w:left="0" w:leftChars="0" w:right="0" w:rightChars="0" w:firstLine="0" w:firstLineChars="0"/>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投标人针对本项目实际需求提供售后技术服务方案，内容包括但不限于售后服务方案、服务响应时间、软件升级及系统扩展方案等，主要依据现有售后网点的分布、人员的配置、服务承诺等方面，评审小组综合得分：</w:t>
            </w:r>
          </w:p>
          <w:p w14:paraId="32E4F63B">
            <w:pPr>
              <w:widowControl w:val="0"/>
              <w:numPr>
                <w:ilvl w:val="0"/>
                <w:numId w:val="13"/>
              </w:numPr>
              <w:snapToGrid w:val="0"/>
              <w:spacing w:line="240" w:lineRule="auto"/>
              <w:ind w:left="0" w:leftChars="0" w:right="0" w:rightChars="0" w:firstLine="0" w:firstLineChars="0"/>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售后服务方案科学合理，服务响应能力最强，设备系统安装、调试、验收方案完善，进度安排合理的得8分；</w:t>
            </w:r>
          </w:p>
          <w:p w14:paraId="5C7C605D">
            <w:pPr>
              <w:widowControl w:val="0"/>
              <w:numPr>
                <w:ilvl w:val="0"/>
                <w:numId w:val="13"/>
              </w:numPr>
              <w:snapToGrid w:val="0"/>
              <w:spacing w:line="240" w:lineRule="auto"/>
              <w:ind w:left="0" w:leftChars="0" w:right="0" w:rightChars="0" w:firstLine="0" w:firstLineChars="0"/>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售后服务方案部分合理，服务响应能力一般，设备系统安装、调试、验收方案基本完善，进度安排基本合理的得6分；</w:t>
            </w:r>
          </w:p>
          <w:p w14:paraId="4A3BDEA4">
            <w:pPr>
              <w:widowControl w:val="0"/>
              <w:numPr>
                <w:ilvl w:val="0"/>
                <w:numId w:val="13"/>
              </w:numPr>
              <w:snapToGrid w:val="0"/>
              <w:spacing w:line="240" w:lineRule="auto"/>
              <w:ind w:left="0" w:leftChars="0" w:right="0" w:rightChars="0" w:firstLine="0" w:firstLineChars="0"/>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售后服务方案一般，服务响应能力较差，设备系统安装、调试、验收方案不完善，组织进度安排较差得4分；</w:t>
            </w:r>
          </w:p>
          <w:p w14:paraId="1267FE93">
            <w:pPr>
              <w:widowControl w:val="0"/>
              <w:numPr>
                <w:ilvl w:val="0"/>
                <w:numId w:val="13"/>
              </w:numPr>
              <w:snapToGrid w:val="0"/>
              <w:spacing w:line="240" w:lineRule="auto"/>
              <w:ind w:left="0" w:leftChars="0" w:right="0" w:rightChars="0" w:firstLine="0" w:firstLineChars="0"/>
              <w:jc w:val="left"/>
              <w:rPr>
                <w:rFonts w:hint="eastAsia" w:ascii="宋体" w:hAnsi="宋体" w:eastAsia="宋体" w:cs="宋体"/>
                <w:color w:val="auto"/>
                <w:sz w:val="22"/>
                <w:szCs w:val="22"/>
                <w:highlight w:val="none"/>
                <w:lang w:val="en-US" w:eastAsia="zh-CN"/>
              </w:rPr>
            </w:pPr>
            <w:r>
              <w:rPr>
                <w:rFonts w:ascii="宋体" w:hAnsi="宋体" w:eastAsia="宋体"/>
                <w:color w:val="auto"/>
                <w:kern w:val="0"/>
                <w:sz w:val="22"/>
                <w14:ligatures w14:val="none"/>
              </w:rPr>
              <w:t>未提供相关内容或提供的内容与本项目无关</w:t>
            </w:r>
            <w:r>
              <w:rPr>
                <w:rFonts w:hint="eastAsia" w:ascii="宋体" w:hAnsi="宋体" w:eastAsia="宋体"/>
                <w:color w:val="auto"/>
                <w:kern w:val="0"/>
                <w:sz w:val="22"/>
                <w:lang w:val="en-US" w:eastAsia="zh-CN"/>
                <w14:ligatures w14:val="none"/>
              </w:rPr>
              <w:t>的</w:t>
            </w:r>
            <w:r>
              <w:rPr>
                <w:rFonts w:ascii="宋体" w:hAnsi="宋体" w:eastAsia="宋体"/>
                <w:color w:val="auto"/>
                <w:kern w:val="0"/>
                <w:sz w:val="22"/>
                <w14:ligatures w14:val="none"/>
              </w:rPr>
              <w:t>不得分</w:t>
            </w:r>
            <w:r>
              <w:rPr>
                <w:rFonts w:hint="eastAsia" w:ascii="宋体" w:hAnsi="宋体" w:eastAsia="宋体" w:cs="宋体"/>
                <w:color w:val="auto"/>
                <w:sz w:val="22"/>
                <w:szCs w:val="22"/>
                <w:highlight w:val="none"/>
                <w:lang w:val="en-US" w:eastAsia="zh-CN"/>
              </w:rPr>
              <w:t>。</w:t>
            </w:r>
          </w:p>
        </w:tc>
      </w:tr>
      <w:tr w14:paraId="57439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0" w:type="auto"/>
            <w:vMerge w:val="continue"/>
            <w:noWrap/>
            <w:vAlign w:val="center"/>
          </w:tcPr>
          <w:p w14:paraId="5674B53A">
            <w:pPr>
              <w:widowControl w:val="0"/>
              <w:snapToGrid w:val="0"/>
              <w:spacing w:line="240" w:lineRule="auto"/>
              <w:ind w:left="0" w:leftChars="0" w:right="0" w:rightChars="0" w:firstLine="0" w:firstLineChars="0"/>
              <w:jc w:val="center"/>
              <w:rPr>
                <w:rFonts w:hint="eastAsia" w:ascii="宋体" w:hAnsi="宋体" w:eastAsia="宋体" w:cs="宋体"/>
                <w:color w:val="auto"/>
                <w:sz w:val="22"/>
                <w:szCs w:val="22"/>
                <w:highlight w:val="none"/>
                <w:lang w:val="en-US" w:eastAsia="zh-CN"/>
              </w:rPr>
            </w:pPr>
          </w:p>
        </w:tc>
        <w:tc>
          <w:tcPr>
            <w:tcW w:w="0" w:type="auto"/>
            <w:noWrap/>
            <w:tcMar>
              <w:top w:w="0" w:type="dxa"/>
              <w:left w:w="108" w:type="dxa"/>
              <w:bottom w:w="0" w:type="dxa"/>
              <w:right w:w="108" w:type="dxa"/>
            </w:tcMar>
            <w:vAlign w:val="center"/>
          </w:tcPr>
          <w:p w14:paraId="2DA63864">
            <w:pPr>
              <w:widowControl w:val="0"/>
              <w:snapToGrid w:val="0"/>
              <w:spacing w:line="240" w:lineRule="auto"/>
              <w:ind w:left="0" w:leftChars="0" w:right="0" w:rightChars="0" w:firstLine="0" w:firstLineChars="0"/>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系统集成方案</w:t>
            </w:r>
          </w:p>
          <w:p w14:paraId="1AA1DB53">
            <w:pPr>
              <w:widowControl w:val="0"/>
              <w:snapToGrid w:val="0"/>
              <w:spacing w:line="240" w:lineRule="auto"/>
              <w:ind w:left="0" w:leftChars="0" w:right="0" w:rightChars="0" w:firstLine="0" w:firstLineChars="0"/>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（7分）</w:t>
            </w:r>
          </w:p>
        </w:tc>
        <w:tc>
          <w:tcPr>
            <w:tcW w:w="4735" w:type="dxa"/>
            <w:noWrap/>
            <w:tcMar>
              <w:top w:w="0" w:type="dxa"/>
              <w:left w:w="108" w:type="dxa"/>
              <w:bottom w:w="0" w:type="dxa"/>
              <w:right w:w="108" w:type="dxa"/>
            </w:tcMar>
            <w:vAlign w:val="center"/>
          </w:tcPr>
          <w:p w14:paraId="2125BB4D">
            <w:pPr>
              <w:widowControl w:val="0"/>
              <w:snapToGrid w:val="0"/>
              <w:spacing w:line="240" w:lineRule="auto"/>
              <w:ind w:left="0" w:leftChars="0" w:right="0" w:rightChars="0" w:firstLine="0" w:firstLineChars="0"/>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投标人针对技术要求并结合仪器设备和水质等情况提供完整的系统集成方案（包括采水单元、配水及预处理单元、分析单元、控制单元、数据采集与传输和辅助单元等各单元完整、全面的集成方案）、仪器设备安装调试和联网方案。系统集成方案按照技术要求响应，科学合理并遵循先进、实用、专业、安全、经济等原则；仪器设备安装调试方案明确、细致、合理、技术路线清晰，时间进度安排明确；联网方案能实现数据顺利传输至采购人统一的数据管理平台，评委根据方案细致合理、完整、科学综合评审：</w:t>
            </w:r>
          </w:p>
          <w:p w14:paraId="79797E63">
            <w:pPr>
              <w:widowControl w:val="0"/>
              <w:snapToGrid w:val="0"/>
              <w:spacing w:line="240" w:lineRule="auto"/>
              <w:ind w:left="0" w:leftChars="0" w:right="0" w:rightChars="0" w:firstLine="0" w:firstLineChars="0"/>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1、系统集成、安装调试及联网方案合理清晰，得7分；</w:t>
            </w:r>
          </w:p>
          <w:p w14:paraId="28634212">
            <w:pPr>
              <w:widowControl w:val="0"/>
              <w:snapToGrid w:val="0"/>
              <w:spacing w:line="240" w:lineRule="auto"/>
              <w:ind w:left="0" w:leftChars="0" w:right="0" w:rightChars="0" w:firstLine="0" w:firstLineChars="0"/>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2、系统集成、安装调试及联网方案合理清晰程度一般，得5分；</w:t>
            </w:r>
          </w:p>
          <w:p w14:paraId="5E5B4DFB">
            <w:pPr>
              <w:widowControl w:val="0"/>
              <w:snapToGrid w:val="0"/>
              <w:spacing w:line="240" w:lineRule="auto"/>
              <w:ind w:left="0" w:leftChars="0" w:right="0" w:rightChars="0" w:firstLine="0" w:firstLineChars="0"/>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3、系统集成、安装调试及联网方案合理清晰程度较差，得3分；</w:t>
            </w:r>
          </w:p>
          <w:p w14:paraId="223977A3">
            <w:pPr>
              <w:widowControl w:val="0"/>
              <w:snapToGrid w:val="0"/>
              <w:spacing w:line="240" w:lineRule="auto"/>
              <w:ind w:left="0" w:leftChars="0" w:right="0" w:rightChars="0" w:firstLine="0" w:firstLineChars="0"/>
              <w:jc w:val="left"/>
              <w:rPr>
                <w:rFonts w:hint="eastAsia" w:ascii="宋体" w:hAnsi="宋体" w:eastAsia="宋体" w:cs="宋体"/>
                <w:color w:val="auto"/>
                <w:sz w:val="22"/>
                <w:szCs w:val="22"/>
                <w:highlight w:val="none"/>
                <w:lang w:val="en-US" w:eastAsia="zh-CN"/>
              </w:rPr>
            </w:pPr>
            <w:r>
              <w:rPr>
                <w:rFonts w:hint="eastAsia" w:ascii="宋体" w:hAnsi="宋体" w:eastAsia="宋体"/>
                <w:color w:val="auto"/>
                <w:kern w:val="0"/>
                <w:sz w:val="22"/>
                <w:lang w:val="en-US" w:eastAsia="zh-CN"/>
                <w14:ligatures w14:val="none"/>
              </w:rPr>
              <w:t>4、</w:t>
            </w:r>
            <w:r>
              <w:rPr>
                <w:rFonts w:ascii="宋体" w:hAnsi="宋体" w:eastAsia="宋体"/>
                <w:color w:val="auto"/>
                <w:kern w:val="0"/>
                <w:sz w:val="22"/>
                <w14:ligatures w14:val="none"/>
              </w:rPr>
              <w:t>未提供相关内容或提供的内容与本项目无关</w:t>
            </w:r>
            <w:r>
              <w:rPr>
                <w:rFonts w:hint="eastAsia" w:ascii="宋体" w:hAnsi="宋体" w:eastAsia="宋体"/>
                <w:color w:val="auto"/>
                <w:kern w:val="0"/>
                <w:sz w:val="22"/>
                <w:lang w:val="en-US" w:eastAsia="zh-CN"/>
                <w14:ligatures w14:val="none"/>
              </w:rPr>
              <w:t>的</w:t>
            </w:r>
            <w:r>
              <w:rPr>
                <w:rFonts w:ascii="宋体" w:hAnsi="宋体" w:eastAsia="宋体"/>
                <w:color w:val="auto"/>
                <w:kern w:val="0"/>
                <w:sz w:val="22"/>
                <w14:ligatures w14:val="none"/>
              </w:rPr>
              <w:t>不得分</w:t>
            </w:r>
            <w:r>
              <w:rPr>
                <w:rFonts w:hint="eastAsia" w:ascii="宋体" w:hAnsi="宋体" w:eastAsia="宋体" w:cs="宋体"/>
                <w:color w:val="auto"/>
                <w:sz w:val="22"/>
                <w:szCs w:val="22"/>
                <w:highlight w:val="none"/>
                <w:lang w:val="en-US" w:eastAsia="zh-CN"/>
              </w:rPr>
              <w:t>。</w:t>
            </w:r>
          </w:p>
        </w:tc>
      </w:tr>
      <w:tr w14:paraId="30527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0" w:type="auto"/>
            <w:vMerge w:val="continue"/>
            <w:noWrap/>
            <w:vAlign w:val="center"/>
          </w:tcPr>
          <w:p w14:paraId="5EED18F1">
            <w:pPr>
              <w:widowControl w:val="0"/>
              <w:snapToGrid w:val="0"/>
              <w:spacing w:line="240" w:lineRule="auto"/>
              <w:ind w:left="0" w:leftChars="0" w:right="0" w:rightChars="0" w:firstLine="0" w:firstLineChars="0"/>
              <w:jc w:val="center"/>
              <w:rPr>
                <w:rFonts w:hint="eastAsia" w:ascii="宋体" w:hAnsi="宋体" w:eastAsia="宋体" w:cs="宋体"/>
                <w:color w:val="auto"/>
                <w:sz w:val="22"/>
                <w:szCs w:val="22"/>
                <w:highlight w:val="none"/>
                <w:lang w:val="en-US" w:eastAsia="zh-CN"/>
              </w:rPr>
            </w:pPr>
          </w:p>
        </w:tc>
        <w:tc>
          <w:tcPr>
            <w:tcW w:w="0" w:type="auto"/>
            <w:noWrap/>
            <w:tcMar>
              <w:top w:w="0" w:type="dxa"/>
              <w:left w:w="108" w:type="dxa"/>
              <w:bottom w:w="0" w:type="dxa"/>
              <w:right w:w="108" w:type="dxa"/>
            </w:tcMar>
            <w:vAlign w:val="center"/>
          </w:tcPr>
          <w:p w14:paraId="10F4F2F8">
            <w:pPr>
              <w:widowControl w:val="0"/>
              <w:snapToGrid w:val="0"/>
              <w:spacing w:line="240" w:lineRule="auto"/>
              <w:ind w:left="0" w:leftChars="0" w:right="0" w:rightChars="0" w:firstLine="0" w:firstLineChars="0"/>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培训方案（6分）</w:t>
            </w:r>
          </w:p>
        </w:tc>
        <w:tc>
          <w:tcPr>
            <w:tcW w:w="4735" w:type="dxa"/>
            <w:noWrap/>
            <w:tcMar>
              <w:top w:w="0" w:type="dxa"/>
              <w:left w:w="108" w:type="dxa"/>
              <w:bottom w:w="0" w:type="dxa"/>
              <w:right w:w="108" w:type="dxa"/>
            </w:tcMar>
            <w:vAlign w:val="center"/>
          </w:tcPr>
          <w:p w14:paraId="2BB7E75F">
            <w:pPr>
              <w:widowControl w:val="0"/>
              <w:snapToGrid w:val="0"/>
              <w:spacing w:line="240" w:lineRule="auto"/>
              <w:ind w:left="0" w:leftChars="0" w:right="0" w:rightChars="0" w:firstLine="0" w:firstLineChars="0"/>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投标人针对本项目实际需求提供培训方案，包括不限于产品操作及使用技术培训方案等方面，评审小组综合得分：</w:t>
            </w:r>
          </w:p>
          <w:p w14:paraId="795B74EC">
            <w:pPr>
              <w:widowControl w:val="0"/>
              <w:snapToGrid w:val="0"/>
              <w:spacing w:line="240" w:lineRule="auto"/>
              <w:ind w:left="0" w:leftChars="0" w:right="0" w:rightChars="0" w:firstLine="0" w:firstLineChars="0"/>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1、培训方案科学、合理、内容全面、易于掌握得6分；</w:t>
            </w:r>
          </w:p>
          <w:p w14:paraId="022516BB">
            <w:pPr>
              <w:widowControl w:val="0"/>
              <w:snapToGrid w:val="0"/>
              <w:spacing w:line="240" w:lineRule="auto"/>
              <w:ind w:left="0" w:leftChars="0" w:right="0" w:rightChars="0" w:firstLine="0" w:firstLineChars="0"/>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2、培训方案较完整合理，比较全面、科学的得4分；</w:t>
            </w:r>
          </w:p>
          <w:p w14:paraId="17AC244E">
            <w:pPr>
              <w:widowControl w:val="0"/>
              <w:snapToGrid w:val="0"/>
              <w:spacing w:line="240" w:lineRule="auto"/>
              <w:ind w:left="0" w:leftChars="0" w:right="0" w:rightChars="0" w:firstLine="0" w:firstLineChars="0"/>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3、培训方案完整程度一般，缺乏科学性，内容欠缺较多的得2分；</w:t>
            </w:r>
          </w:p>
          <w:p w14:paraId="462CAE4E">
            <w:pPr>
              <w:widowControl w:val="0"/>
              <w:snapToGrid w:val="0"/>
              <w:spacing w:line="240" w:lineRule="auto"/>
              <w:ind w:left="0" w:leftChars="0" w:right="0" w:rightChars="0" w:firstLine="0" w:firstLineChars="0"/>
              <w:jc w:val="left"/>
              <w:rPr>
                <w:rFonts w:hint="eastAsia" w:ascii="宋体" w:hAnsi="宋体" w:eastAsia="宋体" w:cs="宋体"/>
                <w:color w:val="auto"/>
                <w:sz w:val="22"/>
                <w:szCs w:val="22"/>
                <w:highlight w:val="none"/>
                <w:lang w:val="en-US" w:eastAsia="zh-CN"/>
              </w:rPr>
            </w:pPr>
            <w:r>
              <w:rPr>
                <w:rFonts w:hint="eastAsia" w:ascii="宋体" w:hAnsi="宋体" w:eastAsia="宋体"/>
                <w:color w:val="auto"/>
                <w:kern w:val="0"/>
                <w:sz w:val="22"/>
                <w:lang w:val="en-US" w:eastAsia="zh-CN"/>
                <w14:ligatures w14:val="none"/>
              </w:rPr>
              <w:t>4、</w:t>
            </w:r>
            <w:r>
              <w:rPr>
                <w:rFonts w:ascii="宋体" w:hAnsi="宋体" w:eastAsia="宋体"/>
                <w:color w:val="auto"/>
                <w:kern w:val="0"/>
                <w:sz w:val="22"/>
                <w14:ligatures w14:val="none"/>
              </w:rPr>
              <w:t>未提供相关内容或提供的内容与本项目无关</w:t>
            </w:r>
            <w:r>
              <w:rPr>
                <w:rFonts w:hint="eastAsia" w:ascii="宋体" w:hAnsi="宋体" w:eastAsia="宋体"/>
                <w:color w:val="auto"/>
                <w:kern w:val="0"/>
                <w:sz w:val="22"/>
                <w:lang w:val="en-US" w:eastAsia="zh-CN"/>
                <w14:ligatures w14:val="none"/>
              </w:rPr>
              <w:t>的</w:t>
            </w:r>
            <w:r>
              <w:rPr>
                <w:rFonts w:ascii="宋体" w:hAnsi="宋体" w:eastAsia="宋体"/>
                <w:color w:val="auto"/>
                <w:kern w:val="0"/>
                <w:sz w:val="22"/>
                <w14:ligatures w14:val="none"/>
              </w:rPr>
              <w:t>不得分</w:t>
            </w:r>
            <w:r>
              <w:rPr>
                <w:rFonts w:hint="eastAsia" w:ascii="宋体" w:hAnsi="宋体" w:eastAsia="宋体" w:cs="宋体"/>
                <w:color w:val="auto"/>
                <w:sz w:val="22"/>
                <w:szCs w:val="22"/>
                <w:highlight w:val="none"/>
                <w:lang w:val="en-US" w:eastAsia="zh-CN"/>
              </w:rPr>
              <w:t>。</w:t>
            </w:r>
          </w:p>
        </w:tc>
      </w:tr>
      <w:tr w14:paraId="36FD9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0" w:type="auto"/>
            <w:vMerge w:val="continue"/>
            <w:noWrap/>
            <w:vAlign w:val="center"/>
          </w:tcPr>
          <w:p w14:paraId="659E9446">
            <w:pPr>
              <w:widowControl w:val="0"/>
              <w:snapToGrid w:val="0"/>
              <w:spacing w:line="240" w:lineRule="auto"/>
              <w:ind w:left="0" w:leftChars="0" w:right="0" w:rightChars="0" w:firstLine="0" w:firstLineChars="0"/>
              <w:jc w:val="center"/>
              <w:rPr>
                <w:rFonts w:hint="eastAsia" w:ascii="宋体" w:hAnsi="宋体" w:eastAsia="宋体" w:cs="宋体"/>
                <w:color w:val="auto"/>
                <w:sz w:val="22"/>
                <w:szCs w:val="22"/>
                <w:highlight w:val="none"/>
                <w:lang w:val="en-US" w:eastAsia="zh-CN" w:bidi="ar-SA"/>
              </w:rPr>
            </w:pPr>
          </w:p>
        </w:tc>
        <w:tc>
          <w:tcPr>
            <w:tcW w:w="0" w:type="auto"/>
            <w:noWrap/>
            <w:tcMar>
              <w:top w:w="0" w:type="dxa"/>
              <w:left w:w="108" w:type="dxa"/>
              <w:bottom w:w="0" w:type="dxa"/>
              <w:right w:w="108" w:type="dxa"/>
            </w:tcMar>
            <w:vAlign w:val="center"/>
          </w:tcPr>
          <w:p w14:paraId="10023979">
            <w:pPr>
              <w:widowControl w:val="0"/>
              <w:snapToGrid w:val="0"/>
              <w:spacing w:line="240" w:lineRule="auto"/>
              <w:ind w:left="0" w:leftChars="0" w:right="0" w:rightChars="0" w:firstLine="0" w:firstLineChars="0"/>
              <w:jc w:val="left"/>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现场勘查（2分）</w:t>
            </w:r>
          </w:p>
        </w:tc>
        <w:tc>
          <w:tcPr>
            <w:tcW w:w="4735" w:type="dxa"/>
            <w:noWrap/>
            <w:tcMar>
              <w:top w:w="0" w:type="dxa"/>
              <w:left w:w="108" w:type="dxa"/>
              <w:bottom w:w="0" w:type="dxa"/>
              <w:right w:w="108" w:type="dxa"/>
            </w:tcMar>
            <w:vAlign w:val="center"/>
          </w:tcPr>
          <w:p w14:paraId="5826FCFD">
            <w:pPr>
              <w:widowControl w:val="0"/>
              <w:snapToGrid w:val="0"/>
              <w:spacing w:line="240" w:lineRule="auto"/>
              <w:ind w:left="0" w:leftChars="0" w:right="0" w:rightChars="0" w:firstLine="0" w:firstLineChars="0"/>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投标人应充分了解新建站点现场环境状况，编制现场情况说明（包括区域概况、站点位置、站点周边现状等）。评审小组根据方案内容综合评审：</w:t>
            </w:r>
          </w:p>
          <w:p w14:paraId="3926D132">
            <w:pPr>
              <w:widowControl w:val="0"/>
              <w:snapToGrid w:val="0"/>
              <w:spacing w:line="240" w:lineRule="auto"/>
              <w:ind w:left="0" w:leftChars="0" w:right="0" w:rightChars="0" w:firstLine="0" w:firstLineChars="0"/>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1、方案科学、合理、内容全面得2分；</w:t>
            </w:r>
          </w:p>
          <w:p w14:paraId="7AAD56B7">
            <w:pPr>
              <w:widowControl w:val="0"/>
              <w:snapToGrid w:val="0"/>
              <w:spacing w:line="240" w:lineRule="auto"/>
              <w:ind w:left="0" w:leftChars="0" w:right="0" w:rightChars="0" w:firstLine="0" w:firstLineChars="0"/>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2、方案较完整合理，比较全面得1分；</w:t>
            </w:r>
          </w:p>
          <w:p w14:paraId="574C3E31">
            <w:pPr>
              <w:widowControl w:val="0"/>
              <w:snapToGrid w:val="0"/>
              <w:spacing w:line="240" w:lineRule="auto"/>
              <w:ind w:left="0" w:leftChars="0" w:right="0" w:rightChars="0" w:firstLine="0" w:firstLineChars="0"/>
              <w:jc w:val="left"/>
              <w:rPr>
                <w:rFonts w:hint="default" w:ascii="宋体" w:hAnsi="宋体" w:eastAsia="宋体" w:cs="宋体"/>
                <w:color w:val="auto"/>
                <w:sz w:val="22"/>
                <w:szCs w:val="22"/>
                <w:highlight w:val="none"/>
                <w:lang w:val="en-US" w:eastAsia="zh-CN"/>
              </w:rPr>
            </w:pPr>
            <w:r>
              <w:rPr>
                <w:rFonts w:hint="eastAsia" w:ascii="宋体" w:hAnsi="宋体" w:eastAsia="宋体"/>
                <w:color w:val="auto"/>
                <w:kern w:val="0"/>
                <w:sz w:val="22"/>
                <w:lang w:val="en-US" w:eastAsia="zh-CN"/>
                <w14:ligatures w14:val="none"/>
              </w:rPr>
              <w:t>3、</w:t>
            </w:r>
            <w:r>
              <w:rPr>
                <w:rFonts w:ascii="宋体" w:hAnsi="宋体" w:eastAsia="宋体"/>
                <w:color w:val="auto"/>
                <w:kern w:val="0"/>
                <w:sz w:val="22"/>
                <w14:ligatures w14:val="none"/>
              </w:rPr>
              <w:t>未提供相关内容或提供的内容与本项目无关</w:t>
            </w:r>
            <w:r>
              <w:rPr>
                <w:rFonts w:hint="eastAsia" w:ascii="宋体" w:hAnsi="宋体" w:eastAsia="宋体"/>
                <w:color w:val="auto"/>
                <w:kern w:val="0"/>
                <w:sz w:val="22"/>
                <w:lang w:val="en-US" w:eastAsia="zh-CN"/>
                <w14:ligatures w14:val="none"/>
              </w:rPr>
              <w:t>的</w:t>
            </w:r>
            <w:r>
              <w:rPr>
                <w:rFonts w:ascii="宋体" w:hAnsi="宋体" w:eastAsia="宋体"/>
                <w:color w:val="auto"/>
                <w:kern w:val="0"/>
                <w:sz w:val="22"/>
                <w14:ligatures w14:val="none"/>
              </w:rPr>
              <w:t>不得分</w:t>
            </w:r>
            <w:r>
              <w:rPr>
                <w:rFonts w:hint="eastAsia" w:ascii="宋体" w:hAnsi="宋体" w:eastAsia="宋体" w:cs="宋体"/>
                <w:color w:val="auto"/>
                <w:sz w:val="22"/>
                <w:szCs w:val="22"/>
                <w:highlight w:val="none"/>
                <w:lang w:val="en-US" w:eastAsia="zh-CN"/>
              </w:rPr>
              <w:t>。</w:t>
            </w:r>
          </w:p>
        </w:tc>
      </w:tr>
      <w:tr w14:paraId="2105A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0" w:type="auto"/>
            <w:vMerge w:val="restart"/>
            <w:noWrap/>
            <w:tcMar>
              <w:top w:w="0" w:type="dxa"/>
              <w:left w:w="108" w:type="dxa"/>
              <w:bottom w:w="0" w:type="dxa"/>
              <w:right w:w="108" w:type="dxa"/>
            </w:tcMar>
            <w:vAlign w:val="center"/>
          </w:tcPr>
          <w:p w14:paraId="3E5ED121">
            <w:pPr>
              <w:widowControl w:val="0"/>
              <w:snapToGrid w:val="0"/>
              <w:spacing w:line="240" w:lineRule="auto"/>
              <w:ind w:left="0" w:leftChars="0" w:right="0" w:rightChars="0" w:firstLine="0" w:firstLineChars="0"/>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商务</w:t>
            </w:r>
          </w:p>
          <w:p w14:paraId="669C366D">
            <w:pPr>
              <w:widowControl w:val="0"/>
              <w:snapToGrid w:val="0"/>
              <w:spacing w:line="240" w:lineRule="auto"/>
              <w:ind w:left="0" w:leftChars="0" w:right="0" w:rightChars="0" w:firstLine="0" w:firstLineChars="0"/>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部分</w:t>
            </w:r>
          </w:p>
          <w:p w14:paraId="3C1FDBA4">
            <w:pPr>
              <w:widowControl w:val="0"/>
              <w:snapToGrid w:val="0"/>
              <w:spacing w:line="240" w:lineRule="auto"/>
              <w:ind w:left="0" w:leftChars="0" w:right="0" w:rightChars="0" w:firstLine="0" w:firstLineChars="0"/>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（9分）</w:t>
            </w:r>
          </w:p>
        </w:tc>
        <w:tc>
          <w:tcPr>
            <w:tcW w:w="0" w:type="auto"/>
            <w:noWrap/>
            <w:tcMar>
              <w:top w:w="0" w:type="dxa"/>
              <w:left w:w="108" w:type="dxa"/>
              <w:bottom w:w="0" w:type="dxa"/>
              <w:right w:w="108" w:type="dxa"/>
            </w:tcMar>
            <w:vAlign w:val="center"/>
          </w:tcPr>
          <w:p w14:paraId="12D47D9B">
            <w:pPr>
              <w:widowControl w:val="0"/>
              <w:snapToGrid w:val="0"/>
              <w:spacing w:line="240" w:lineRule="auto"/>
              <w:ind w:left="0" w:leftChars="0" w:right="0" w:rightChars="0" w:firstLine="0" w:firstLineChars="0"/>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人员配备</w:t>
            </w:r>
          </w:p>
          <w:p w14:paraId="5B18A30A">
            <w:pPr>
              <w:widowControl w:val="0"/>
              <w:snapToGrid w:val="0"/>
              <w:spacing w:line="240" w:lineRule="auto"/>
              <w:ind w:left="0" w:leftChars="0" w:right="0" w:rightChars="0" w:firstLine="0" w:firstLineChars="0"/>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（2分）</w:t>
            </w:r>
          </w:p>
        </w:tc>
        <w:tc>
          <w:tcPr>
            <w:tcW w:w="4735" w:type="dxa"/>
            <w:noWrap/>
            <w:tcMar>
              <w:top w:w="0" w:type="dxa"/>
              <w:left w:w="108" w:type="dxa"/>
              <w:bottom w:w="0" w:type="dxa"/>
              <w:right w:w="108" w:type="dxa"/>
            </w:tcMar>
            <w:vAlign w:val="center"/>
          </w:tcPr>
          <w:p w14:paraId="604F87DC">
            <w:pPr>
              <w:widowControl w:val="0"/>
              <w:snapToGrid w:val="0"/>
              <w:spacing w:line="240" w:lineRule="auto"/>
              <w:ind w:left="0" w:leftChars="0" w:right="0" w:rightChars="0" w:firstLine="0" w:firstLineChars="0"/>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拟派项目组成员具有环保类高级职称的，每有一个得2分，本项最高2分。</w:t>
            </w:r>
          </w:p>
          <w:p w14:paraId="1D9B7807">
            <w:pPr>
              <w:widowControl w:val="0"/>
              <w:snapToGrid w:val="0"/>
              <w:spacing w:line="240" w:lineRule="auto"/>
              <w:ind w:left="0" w:leftChars="0" w:right="0" w:rightChars="0" w:firstLine="0" w:firstLineChars="0"/>
              <w:jc w:val="left"/>
              <w:rPr>
                <w:rFonts w:hint="default" w:ascii="宋体" w:hAnsi="宋体" w:eastAsia="宋体" w:cs="宋体"/>
                <w:sz w:val="22"/>
                <w:szCs w:val="22"/>
                <w:highlight w:val="none"/>
                <w:lang w:val="en-US" w:eastAsia="zh-CN"/>
              </w:rPr>
            </w:pPr>
            <w:r>
              <w:rPr>
                <w:rFonts w:hint="eastAsia" w:ascii="宋体" w:hAnsi="宋体" w:eastAsia="宋体" w:cs="宋体"/>
                <w:b/>
                <w:bCs/>
                <w:sz w:val="22"/>
                <w:szCs w:val="22"/>
                <w:highlight w:val="none"/>
                <w:lang w:val="en-US" w:eastAsia="zh-CN"/>
              </w:rPr>
              <w:t>需提供相关证书的原件扫描件加盖电子签章上传至本得分项内，否则不得分。</w:t>
            </w:r>
          </w:p>
        </w:tc>
      </w:tr>
      <w:tr w14:paraId="78AF4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0" w:type="auto"/>
            <w:vMerge w:val="continue"/>
            <w:noWrap/>
            <w:vAlign w:val="center"/>
          </w:tcPr>
          <w:p w14:paraId="233D29EB">
            <w:pPr>
              <w:widowControl w:val="0"/>
              <w:snapToGrid w:val="0"/>
              <w:spacing w:line="240" w:lineRule="auto"/>
              <w:ind w:left="0" w:leftChars="0" w:right="0" w:rightChars="0" w:firstLine="0" w:firstLineChars="0"/>
              <w:jc w:val="center"/>
              <w:rPr>
                <w:rFonts w:hint="eastAsia" w:ascii="宋体" w:hAnsi="宋体" w:eastAsia="宋体" w:cs="宋体"/>
                <w:color w:val="auto"/>
                <w:sz w:val="22"/>
                <w:szCs w:val="22"/>
                <w:highlight w:val="none"/>
                <w:lang w:val="en-US" w:eastAsia="zh-CN"/>
              </w:rPr>
            </w:pPr>
          </w:p>
        </w:tc>
        <w:tc>
          <w:tcPr>
            <w:tcW w:w="0" w:type="auto"/>
            <w:noWrap/>
            <w:tcMar>
              <w:top w:w="0" w:type="dxa"/>
              <w:left w:w="108" w:type="dxa"/>
              <w:bottom w:w="0" w:type="dxa"/>
              <w:right w:w="108" w:type="dxa"/>
            </w:tcMar>
            <w:vAlign w:val="center"/>
          </w:tcPr>
          <w:p w14:paraId="448B5DF4">
            <w:pPr>
              <w:widowControl w:val="0"/>
              <w:snapToGrid w:val="0"/>
              <w:spacing w:line="240" w:lineRule="auto"/>
              <w:ind w:left="0" w:leftChars="0" w:right="0" w:rightChars="0" w:firstLine="0" w:firstLineChars="0"/>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CMA资质实验室情况</w:t>
            </w:r>
          </w:p>
          <w:p w14:paraId="6619811E">
            <w:pPr>
              <w:widowControl w:val="0"/>
              <w:snapToGrid w:val="0"/>
              <w:spacing w:line="240" w:lineRule="auto"/>
              <w:ind w:left="0" w:leftChars="0" w:right="0" w:rightChars="0" w:firstLine="0" w:firstLineChars="0"/>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（3分）</w:t>
            </w:r>
          </w:p>
        </w:tc>
        <w:tc>
          <w:tcPr>
            <w:tcW w:w="4735" w:type="dxa"/>
            <w:noWrap/>
            <w:tcMar>
              <w:top w:w="0" w:type="dxa"/>
              <w:left w:w="108" w:type="dxa"/>
              <w:bottom w:w="0" w:type="dxa"/>
              <w:right w:w="108" w:type="dxa"/>
            </w:tcMar>
            <w:vAlign w:val="center"/>
          </w:tcPr>
          <w:p w14:paraId="2241E2BD">
            <w:pPr>
              <w:widowControl w:val="0"/>
              <w:snapToGrid w:val="0"/>
              <w:spacing w:line="240" w:lineRule="auto"/>
              <w:ind w:left="0" w:leftChars="0" w:right="0" w:rightChars="0" w:firstLine="0" w:firstLineChars="0"/>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投标人自有用于质量控制的CMA实验室且在所属地区类似“社会环境检测机构平台”登记、公开检测能力的得3分。实验室认证范围存在缺少本项目监测参数情况（五参数、</w:t>
            </w:r>
            <w:r>
              <w:rPr>
                <w:rFonts w:hint="eastAsia" w:ascii="宋体" w:hAnsi="宋体" w:eastAsia="宋体"/>
                <w:color w:val="auto"/>
                <w:spacing w:val="0"/>
                <w:sz w:val="24"/>
                <w:szCs w:val="24"/>
                <w:highlight w:val="none"/>
              </w:rPr>
              <w:t>高锰酸盐指数、化学需氧量、总磷、总氮、氨氮</w:t>
            </w:r>
            <w:r>
              <w:rPr>
                <w:rFonts w:hint="eastAsia" w:ascii="宋体" w:hAnsi="宋体" w:eastAsia="宋体" w:cs="宋体"/>
                <w:color w:val="auto"/>
                <w:sz w:val="22"/>
                <w:szCs w:val="22"/>
                <w:highlight w:val="none"/>
                <w:lang w:val="en-US" w:eastAsia="zh-CN"/>
              </w:rPr>
              <w:t>）的酌情扣分，缺1项扣1分，扣完为止。（须提供行政管理部门出具的证明材料或国家企业信用信息公示系统官网截图）。实验室必须取得省技术监督部门及以上国家机构颁发的CMA证书。</w:t>
            </w:r>
          </w:p>
          <w:p w14:paraId="799DD82E">
            <w:pPr>
              <w:widowControl w:val="0"/>
              <w:snapToGrid w:val="0"/>
              <w:spacing w:line="240" w:lineRule="auto"/>
              <w:ind w:left="0" w:leftChars="0" w:right="0" w:rightChars="0" w:firstLine="0" w:firstLineChars="0"/>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投标人无自有实验室，有委托满足上述要求的实验室（委托协议须覆盖本次招标服务周期，须提供合同等相关证明材料）得1分。</w:t>
            </w:r>
          </w:p>
          <w:p w14:paraId="58C7D7D2">
            <w:pPr>
              <w:widowControl w:val="0"/>
              <w:snapToGrid w:val="0"/>
              <w:spacing w:line="240" w:lineRule="auto"/>
              <w:ind w:left="0" w:leftChars="0" w:right="0" w:rightChars="0" w:firstLine="0" w:firstLineChars="0"/>
              <w:jc w:val="left"/>
              <w:rPr>
                <w:rFonts w:hint="eastAsia" w:ascii="宋体" w:hAnsi="宋体" w:eastAsia="宋体" w:cs="宋体"/>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加盖电子签章的相关证明材料和附表原件扫描件上传至本得分项内，否则不得分。</w:t>
            </w:r>
          </w:p>
        </w:tc>
      </w:tr>
      <w:tr w14:paraId="32C57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0" w:type="auto"/>
            <w:vMerge w:val="continue"/>
            <w:noWrap/>
            <w:vAlign w:val="center"/>
          </w:tcPr>
          <w:p w14:paraId="3911F194">
            <w:pPr>
              <w:widowControl w:val="0"/>
              <w:snapToGrid w:val="0"/>
              <w:spacing w:line="240" w:lineRule="auto"/>
              <w:ind w:left="0" w:leftChars="0" w:right="0" w:rightChars="0" w:firstLine="0" w:firstLineChars="0"/>
              <w:jc w:val="center"/>
              <w:rPr>
                <w:rFonts w:hint="eastAsia" w:ascii="宋体" w:hAnsi="宋体" w:eastAsia="宋体" w:cs="宋体"/>
                <w:color w:val="auto"/>
                <w:sz w:val="22"/>
                <w:szCs w:val="22"/>
                <w:highlight w:val="none"/>
                <w:lang w:val="en-US" w:eastAsia="zh-CN"/>
              </w:rPr>
            </w:pPr>
          </w:p>
        </w:tc>
        <w:tc>
          <w:tcPr>
            <w:tcW w:w="0" w:type="auto"/>
            <w:noWrap/>
            <w:tcMar>
              <w:top w:w="0" w:type="dxa"/>
              <w:left w:w="108" w:type="dxa"/>
              <w:bottom w:w="0" w:type="dxa"/>
              <w:right w:w="108" w:type="dxa"/>
            </w:tcMar>
            <w:vAlign w:val="center"/>
          </w:tcPr>
          <w:p w14:paraId="0CA79AA0">
            <w:pPr>
              <w:widowControl w:val="0"/>
              <w:snapToGrid w:val="0"/>
              <w:spacing w:line="240" w:lineRule="auto"/>
              <w:ind w:left="0" w:leftChars="0" w:right="0" w:rightChars="0" w:firstLine="0" w:firstLineChars="0"/>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业绩（2分）</w:t>
            </w:r>
          </w:p>
        </w:tc>
        <w:tc>
          <w:tcPr>
            <w:tcW w:w="4735" w:type="dxa"/>
            <w:noWrap/>
            <w:tcMar>
              <w:top w:w="0" w:type="dxa"/>
              <w:left w:w="108" w:type="dxa"/>
              <w:bottom w:w="0" w:type="dxa"/>
              <w:right w:w="108" w:type="dxa"/>
            </w:tcMar>
            <w:vAlign w:val="center"/>
          </w:tcPr>
          <w:p w14:paraId="69F23501">
            <w:pPr>
              <w:widowControl w:val="0"/>
              <w:snapToGrid w:val="0"/>
              <w:spacing w:line="240" w:lineRule="auto"/>
              <w:ind w:left="0" w:leftChars="0" w:right="0" w:rightChars="0" w:firstLine="0" w:firstLineChars="0"/>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提供投标人签订的合同，每提供一个业绩得1分，最高得2分。</w:t>
            </w:r>
          </w:p>
          <w:p w14:paraId="294EEDB8">
            <w:pPr>
              <w:widowControl w:val="0"/>
              <w:snapToGrid w:val="0"/>
              <w:spacing w:line="240" w:lineRule="auto"/>
              <w:ind w:left="0" w:leftChars="0" w:right="0" w:rightChars="0" w:firstLine="0" w:firstLineChars="0"/>
              <w:jc w:val="left"/>
              <w:rPr>
                <w:rFonts w:hint="eastAsia" w:ascii="宋体" w:hAnsi="宋体" w:eastAsia="宋体" w:cs="宋体"/>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需提供合同、中标通知书原件扫描件、发票，三项缺一不可，否则不得分。</w:t>
            </w:r>
          </w:p>
        </w:tc>
      </w:tr>
      <w:tr w14:paraId="7EDE7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598" w:type="dxa"/>
            <w:vMerge w:val="continue"/>
            <w:noWrap/>
            <w:vAlign w:val="center"/>
          </w:tcPr>
          <w:p w14:paraId="666E0AF4">
            <w:pPr>
              <w:widowControl w:val="0"/>
              <w:snapToGrid w:val="0"/>
              <w:spacing w:line="240" w:lineRule="auto"/>
              <w:ind w:left="0" w:leftChars="0" w:right="0" w:rightChars="0" w:firstLine="0" w:firstLineChars="0"/>
              <w:jc w:val="center"/>
              <w:rPr>
                <w:rFonts w:hint="eastAsia" w:ascii="宋体" w:hAnsi="宋体" w:eastAsia="宋体" w:cs="宋体"/>
                <w:color w:val="auto"/>
                <w:sz w:val="22"/>
                <w:szCs w:val="22"/>
                <w:highlight w:val="none"/>
                <w:lang w:val="en-US" w:eastAsia="zh-CN"/>
              </w:rPr>
            </w:pPr>
          </w:p>
        </w:tc>
        <w:tc>
          <w:tcPr>
            <w:tcW w:w="2098" w:type="dxa"/>
            <w:noWrap/>
            <w:tcMar>
              <w:top w:w="0" w:type="dxa"/>
              <w:left w:w="108" w:type="dxa"/>
              <w:bottom w:w="0" w:type="dxa"/>
              <w:right w:w="108" w:type="dxa"/>
            </w:tcMar>
            <w:vAlign w:val="center"/>
          </w:tcPr>
          <w:p w14:paraId="2C5AA6EF">
            <w:pPr>
              <w:widowControl w:val="0"/>
              <w:snapToGrid w:val="0"/>
              <w:spacing w:line="240" w:lineRule="auto"/>
              <w:ind w:left="0" w:leftChars="0" w:right="0" w:rightChars="0" w:firstLine="0" w:firstLineChars="0"/>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仪器设备品牌的统一性（2分）</w:t>
            </w:r>
          </w:p>
        </w:tc>
        <w:tc>
          <w:tcPr>
            <w:tcW w:w="4735" w:type="dxa"/>
            <w:noWrap/>
            <w:tcMar>
              <w:top w:w="0" w:type="dxa"/>
              <w:left w:w="108" w:type="dxa"/>
              <w:bottom w:w="0" w:type="dxa"/>
              <w:right w:w="108" w:type="dxa"/>
            </w:tcMar>
            <w:vAlign w:val="center"/>
          </w:tcPr>
          <w:p w14:paraId="09F8F550">
            <w:pPr>
              <w:widowControl w:val="0"/>
              <w:snapToGrid w:val="0"/>
              <w:spacing w:line="240" w:lineRule="auto"/>
              <w:ind w:left="0" w:leftChars="0" w:right="0" w:rightChars="0" w:firstLine="0" w:firstLineChars="0"/>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投标人拟提供给采购人的地表水水质五参数、</w:t>
            </w:r>
            <w:r>
              <w:rPr>
                <w:rFonts w:hint="eastAsia" w:ascii="宋体" w:hAnsi="宋体" w:eastAsia="宋体"/>
                <w:color w:val="auto"/>
                <w:spacing w:val="0"/>
                <w:sz w:val="24"/>
                <w:szCs w:val="24"/>
                <w:highlight w:val="none"/>
              </w:rPr>
              <w:t>高锰酸盐指数、化学需氧量、总磷、总氮、氨氮</w:t>
            </w:r>
            <w:r>
              <w:rPr>
                <w:rFonts w:hint="eastAsia" w:ascii="宋体" w:hAnsi="宋体" w:eastAsia="宋体"/>
                <w:color w:val="auto"/>
                <w:spacing w:val="0"/>
                <w:sz w:val="24"/>
                <w:szCs w:val="24"/>
                <w:highlight w:val="none"/>
                <w:lang w:eastAsia="zh-CN"/>
              </w:rPr>
              <w:t>、</w:t>
            </w:r>
            <w:r>
              <w:rPr>
                <w:rFonts w:hint="eastAsia" w:ascii="宋体" w:hAnsi="宋体" w:eastAsia="宋体"/>
                <w:color w:val="auto"/>
                <w:spacing w:val="0"/>
                <w:sz w:val="24"/>
                <w:szCs w:val="24"/>
                <w:highlight w:val="none"/>
                <w:lang w:val="en-US" w:eastAsia="zh-CN"/>
              </w:rPr>
              <w:t>流向流速仪</w:t>
            </w:r>
            <w:r>
              <w:rPr>
                <w:rFonts w:hint="eastAsia" w:ascii="宋体" w:hAnsi="宋体" w:eastAsia="宋体" w:cs="宋体"/>
                <w:color w:val="auto"/>
                <w:sz w:val="22"/>
                <w:szCs w:val="22"/>
                <w:highlight w:val="none"/>
                <w:lang w:val="en-US" w:eastAsia="zh-CN"/>
              </w:rPr>
              <w:t>，提供的上述11项参数监测仪器，若为同一品牌的得2分。</w:t>
            </w:r>
          </w:p>
        </w:tc>
      </w:tr>
    </w:tbl>
    <w:p w14:paraId="0B1464DF">
      <w:pPr>
        <w:pStyle w:val="13"/>
        <w:keepNext/>
        <w:spacing w:beforeAutospacing="0" w:afterAutospacing="0"/>
        <w:jc w:val="both"/>
        <w:rPr>
          <w:rFonts w:hint="eastAsia" w:ascii="黑体" w:hAnsi="宋体" w:eastAsia="黑体" w:cs="黑体"/>
          <w:color w:val="000000"/>
          <w:sz w:val="44"/>
          <w:szCs w:val="44"/>
          <w:highlight w:val="none"/>
        </w:rPr>
      </w:pPr>
      <w:r>
        <w:rPr>
          <w:rFonts w:hint="eastAsia" w:ascii="宋体" w:hAnsi="宋体" w:eastAsia="宋体" w:cs="宋体"/>
          <w:sz w:val="24"/>
          <w:szCs w:val="24"/>
          <w:highlight w:val="none"/>
        </w:rPr>
        <w:t> </w:t>
      </w:r>
      <w:r>
        <w:rPr>
          <w:rFonts w:hint="eastAsia" w:ascii="黑体" w:hAnsi="宋体" w:eastAsia="黑体" w:cs="黑体"/>
          <w:color w:val="000000"/>
          <w:sz w:val="44"/>
          <w:szCs w:val="44"/>
          <w:highlight w:val="none"/>
        </w:rPr>
        <w:br w:type="page"/>
      </w:r>
    </w:p>
    <w:p w14:paraId="0367625D">
      <w:pPr>
        <w:pStyle w:val="13"/>
        <w:keepNext/>
        <w:spacing w:beforeAutospacing="0" w:afterAutospacing="0"/>
        <w:jc w:val="center"/>
        <w:rPr>
          <w:highlight w:val="none"/>
        </w:rPr>
      </w:pPr>
      <w:r>
        <w:rPr>
          <w:rFonts w:hint="eastAsia" w:ascii="黑体" w:hAnsi="宋体" w:eastAsia="黑体" w:cs="黑体"/>
          <w:color w:val="000000"/>
          <w:sz w:val="44"/>
          <w:szCs w:val="44"/>
          <w:highlight w:val="none"/>
        </w:rPr>
        <w:t xml:space="preserve">第六章  投标文件格式 </w:t>
      </w:r>
    </w:p>
    <w:p w14:paraId="0B1A27A8">
      <w:pPr>
        <w:pStyle w:val="13"/>
        <w:spacing w:beforeAutospacing="0" w:afterAutospacing="0"/>
        <w:jc w:val="center"/>
        <w:rPr>
          <w:highlight w:val="none"/>
        </w:rPr>
      </w:pPr>
      <w:bookmarkStart w:id="347" w:name="_Toc120614282"/>
      <w:bookmarkEnd w:id="347"/>
      <w:bookmarkStart w:id="348" w:name="_Toc49090576"/>
      <w:bookmarkEnd w:id="348"/>
      <w:bookmarkStart w:id="349" w:name="_Hlt26955039"/>
      <w:bookmarkStart w:id="350" w:name="_Hlt26671244"/>
      <w:bookmarkStart w:id="351" w:name="_Toc26554094"/>
      <w:r>
        <w:rPr>
          <w:rFonts w:hint="eastAsia" w:ascii="宋体" w:hAnsi="宋体" w:eastAsia="宋体" w:cs="宋体"/>
          <w:b/>
          <w:color w:val="000000"/>
          <w:sz w:val="72"/>
          <w:szCs w:val="72"/>
          <w:highlight w:val="none"/>
        </w:rPr>
        <w:t>投  标  文  件</w:t>
      </w:r>
    </w:p>
    <w:p w14:paraId="6F7385F4">
      <w:pPr>
        <w:pStyle w:val="13"/>
        <w:spacing w:beforeAutospacing="0" w:afterAutospacing="0"/>
        <w:jc w:val="center"/>
        <w:rPr>
          <w:highlight w:val="none"/>
        </w:rPr>
      </w:pPr>
      <w:r>
        <w:rPr>
          <w:highlight w:val="none"/>
        </w:rPr>
        <w:t> </w:t>
      </w:r>
    </w:p>
    <w:p w14:paraId="116EE8BE">
      <w:pPr>
        <w:pStyle w:val="13"/>
        <w:spacing w:beforeAutospacing="0" w:afterAutospacing="0"/>
        <w:jc w:val="center"/>
        <w:rPr>
          <w:highlight w:val="none"/>
        </w:rPr>
      </w:pPr>
      <w:r>
        <w:rPr>
          <w:highlight w:val="none"/>
        </w:rPr>
        <w:t> </w:t>
      </w:r>
    </w:p>
    <w:p w14:paraId="1689E381">
      <w:pPr>
        <w:pStyle w:val="13"/>
        <w:spacing w:beforeAutospacing="0" w:afterAutospacing="0"/>
        <w:jc w:val="center"/>
        <w:rPr>
          <w:highlight w:val="none"/>
        </w:rPr>
      </w:pPr>
      <w:r>
        <w:rPr>
          <w:highlight w:val="none"/>
        </w:rPr>
        <w:t> </w:t>
      </w:r>
    </w:p>
    <w:p w14:paraId="1172103B">
      <w:pPr>
        <w:pStyle w:val="13"/>
        <w:spacing w:beforeAutospacing="0" w:afterAutospacing="0"/>
        <w:jc w:val="center"/>
        <w:rPr>
          <w:highlight w:val="none"/>
        </w:rPr>
      </w:pPr>
      <w:r>
        <w:rPr>
          <w:highlight w:val="none"/>
        </w:rPr>
        <w:t> </w:t>
      </w:r>
    </w:p>
    <w:p w14:paraId="773BE420">
      <w:pPr>
        <w:pStyle w:val="13"/>
        <w:spacing w:beforeAutospacing="0" w:afterAutospacing="0"/>
        <w:jc w:val="center"/>
        <w:rPr>
          <w:highlight w:val="none"/>
        </w:rPr>
      </w:pPr>
      <w:r>
        <w:rPr>
          <w:highlight w:val="none"/>
        </w:rPr>
        <w:t> </w:t>
      </w:r>
    </w:p>
    <w:p w14:paraId="0D9C9B44">
      <w:pPr>
        <w:pStyle w:val="13"/>
        <w:spacing w:beforeAutospacing="0" w:afterAutospacing="0"/>
        <w:ind w:firstLine="1084"/>
        <w:jc w:val="both"/>
        <w:rPr>
          <w:highlight w:val="none"/>
        </w:rPr>
      </w:pPr>
      <w:r>
        <w:rPr>
          <w:rFonts w:hint="eastAsia" w:ascii="宋体" w:hAnsi="宋体" w:eastAsia="宋体" w:cs="宋体"/>
          <w:b/>
          <w:color w:val="000000"/>
          <w:sz w:val="36"/>
          <w:szCs w:val="36"/>
          <w:highlight w:val="none"/>
        </w:rPr>
        <w:t>项 目 名 称：</w:t>
      </w:r>
      <w:r>
        <w:rPr>
          <w:rFonts w:hint="eastAsia" w:ascii="宋体" w:hAnsi="宋体" w:eastAsia="宋体" w:cs="宋体"/>
          <w:b/>
          <w:color w:val="000000"/>
          <w:sz w:val="36"/>
          <w:szCs w:val="36"/>
          <w:highlight w:val="none"/>
          <w:u w:val="single"/>
        </w:rPr>
        <w:t>             </w:t>
      </w:r>
    </w:p>
    <w:p w14:paraId="4C9C4B28">
      <w:pPr>
        <w:pStyle w:val="13"/>
        <w:spacing w:beforeAutospacing="0" w:afterAutospacing="0"/>
        <w:ind w:firstLine="1084"/>
        <w:jc w:val="both"/>
        <w:rPr>
          <w:highlight w:val="none"/>
        </w:rPr>
      </w:pPr>
      <w:r>
        <w:rPr>
          <w:rFonts w:hint="eastAsia" w:ascii="宋体" w:hAnsi="宋体" w:eastAsia="宋体" w:cs="宋体"/>
          <w:b/>
          <w:color w:val="000000"/>
          <w:sz w:val="36"/>
          <w:szCs w:val="36"/>
          <w:highlight w:val="none"/>
        </w:rPr>
        <w:t>项 目 编 号：</w:t>
      </w:r>
      <w:r>
        <w:rPr>
          <w:rFonts w:hint="eastAsia" w:ascii="宋体" w:hAnsi="宋体" w:eastAsia="宋体" w:cs="宋体"/>
          <w:b/>
          <w:color w:val="000000"/>
          <w:sz w:val="36"/>
          <w:szCs w:val="36"/>
          <w:highlight w:val="none"/>
          <w:u w:val="single"/>
        </w:rPr>
        <w:t>             </w:t>
      </w:r>
    </w:p>
    <w:p w14:paraId="2B329B95">
      <w:pPr>
        <w:pStyle w:val="13"/>
        <w:spacing w:beforeAutospacing="0" w:afterAutospacing="0"/>
        <w:jc w:val="both"/>
        <w:rPr>
          <w:highlight w:val="none"/>
        </w:rPr>
      </w:pPr>
      <w:r>
        <w:rPr>
          <w:rFonts w:hint="eastAsia" w:ascii="宋体" w:hAnsi="宋体" w:eastAsia="宋体" w:cs="宋体"/>
          <w:b/>
          <w:color w:val="000000"/>
          <w:sz w:val="36"/>
          <w:szCs w:val="36"/>
          <w:highlight w:val="none"/>
        </w:rPr>
        <w:t>   投标人名称 ：</w:t>
      </w:r>
      <w:r>
        <w:rPr>
          <w:rFonts w:hint="eastAsia" w:ascii="宋体" w:hAnsi="宋体" w:eastAsia="宋体" w:cs="宋体"/>
          <w:b/>
          <w:color w:val="000000"/>
          <w:sz w:val="36"/>
          <w:szCs w:val="36"/>
          <w:highlight w:val="none"/>
          <w:u w:val="single"/>
        </w:rPr>
        <w:t>（加盖CA电子公章）</w:t>
      </w:r>
    </w:p>
    <w:p w14:paraId="1E760D54">
      <w:pPr>
        <w:pStyle w:val="13"/>
        <w:spacing w:beforeAutospacing="0" w:afterAutospacing="0"/>
        <w:jc w:val="both"/>
        <w:rPr>
          <w:highlight w:val="none"/>
        </w:rPr>
      </w:pPr>
      <w:r>
        <w:rPr>
          <w:rFonts w:hint="eastAsia" w:ascii="宋体" w:hAnsi="宋体" w:eastAsia="宋体" w:cs="宋体"/>
          <w:b/>
          <w:color w:val="000000"/>
          <w:sz w:val="36"/>
          <w:szCs w:val="36"/>
          <w:highlight w:val="none"/>
        </w:rPr>
        <w:t>   日   期 ：</w:t>
      </w:r>
      <w:r>
        <w:rPr>
          <w:rFonts w:hint="eastAsia" w:ascii="宋体" w:hAnsi="宋体" w:eastAsia="宋体" w:cs="宋体"/>
          <w:b/>
          <w:color w:val="000000"/>
          <w:sz w:val="36"/>
          <w:szCs w:val="36"/>
          <w:highlight w:val="none"/>
          <w:u w:val="single"/>
        </w:rPr>
        <w:t>             </w:t>
      </w:r>
    </w:p>
    <w:p w14:paraId="307A6EE9">
      <w:pPr>
        <w:pStyle w:val="13"/>
        <w:spacing w:beforeAutospacing="0" w:afterAutospacing="0" w:line="0" w:lineRule="atLeast"/>
        <w:jc w:val="center"/>
        <w:rPr>
          <w:highlight w:val="none"/>
        </w:rPr>
      </w:pPr>
    </w:p>
    <w:p w14:paraId="522BF4B7">
      <w:pPr>
        <w:pStyle w:val="13"/>
        <w:spacing w:beforeAutospacing="0" w:afterAutospacing="0" w:line="0" w:lineRule="atLeast"/>
        <w:jc w:val="center"/>
        <w:rPr>
          <w:highlight w:val="none"/>
        </w:rPr>
      </w:pPr>
    </w:p>
    <w:p w14:paraId="1D6C4EA9">
      <w:pPr>
        <w:pStyle w:val="13"/>
        <w:spacing w:beforeAutospacing="0" w:afterAutospacing="0" w:line="0" w:lineRule="atLeast"/>
        <w:jc w:val="center"/>
        <w:rPr>
          <w:highlight w:val="none"/>
        </w:rPr>
      </w:pPr>
    </w:p>
    <w:p w14:paraId="3FCD9059">
      <w:pPr>
        <w:pStyle w:val="13"/>
        <w:spacing w:beforeAutospacing="0" w:afterAutospacing="0" w:line="0" w:lineRule="atLeast"/>
        <w:jc w:val="center"/>
        <w:rPr>
          <w:highlight w:val="none"/>
        </w:rPr>
      </w:pPr>
    </w:p>
    <w:p w14:paraId="65EE8389">
      <w:pPr>
        <w:pStyle w:val="13"/>
        <w:spacing w:beforeAutospacing="0" w:afterAutospacing="0" w:line="0" w:lineRule="atLeast"/>
        <w:jc w:val="center"/>
        <w:rPr>
          <w:highlight w:val="none"/>
        </w:rPr>
      </w:pPr>
    </w:p>
    <w:p w14:paraId="1F00DE46">
      <w:pPr>
        <w:pStyle w:val="13"/>
        <w:spacing w:beforeAutospacing="0" w:afterAutospacing="0" w:line="0" w:lineRule="atLeast"/>
        <w:jc w:val="center"/>
        <w:rPr>
          <w:highlight w:val="none"/>
        </w:rPr>
      </w:pPr>
    </w:p>
    <w:p w14:paraId="1FFCB483">
      <w:pPr>
        <w:pStyle w:val="13"/>
        <w:spacing w:beforeAutospacing="0" w:afterAutospacing="0" w:line="0" w:lineRule="atLeast"/>
        <w:jc w:val="center"/>
        <w:rPr>
          <w:highlight w:val="none"/>
        </w:rPr>
      </w:pPr>
    </w:p>
    <w:p w14:paraId="69C2000F">
      <w:pPr>
        <w:pStyle w:val="13"/>
        <w:spacing w:beforeAutospacing="0" w:afterAutospacing="0" w:line="0" w:lineRule="atLeast"/>
        <w:jc w:val="center"/>
        <w:rPr>
          <w:highlight w:val="none"/>
        </w:rPr>
      </w:pPr>
    </w:p>
    <w:p w14:paraId="7E4BDA90">
      <w:pPr>
        <w:pStyle w:val="13"/>
        <w:spacing w:beforeAutospacing="0" w:afterAutospacing="0" w:line="0" w:lineRule="atLeast"/>
        <w:jc w:val="center"/>
        <w:rPr>
          <w:highlight w:val="none"/>
        </w:rPr>
      </w:pPr>
    </w:p>
    <w:p w14:paraId="50411275">
      <w:pPr>
        <w:pStyle w:val="13"/>
        <w:spacing w:beforeAutospacing="0" w:afterAutospacing="0" w:line="0" w:lineRule="atLeast"/>
        <w:jc w:val="center"/>
        <w:rPr>
          <w:highlight w:val="none"/>
        </w:rPr>
      </w:pPr>
    </w:p>
    <w:p w14:paraId="35984E94">
      <w:pPr>
        <w:pStyle w:val="13"/>
        <w:spacing w:beforeAutospacing="0" w:afterAutospacing="0" w:line="0" w:lineRule="atLeast"/>
        <w:jc w:val="center"/>
        <w:rPr>
          <w:highlight w:val="none"/>
        </w:rPr>
      </w:pPr>
    </w:p>
    <w:p w14:paraId="0EA21101">
      <w:pPr>
        <w:pStyle w:val="13"/>
        <w:spacing w:beforeAutospacing="0" w:afterAutospacing="0" w:line="0" w:lineRule="atLeast"/>
        <w:jc w:val="center"/>
        <w:rPr>
          <w:highlight w:val="none"/>
        </w:rPr>
      </w:pPr>
    </w:p>
    <w:p w14:paraId="598F55FA">
      <w:pPr>
        <w:pStyle w:val="13"/>
        <w:spacing w:beforeAutospacing="0" w:afterAutospacing="0" w:line="0" w:lineRule="atLeast"/>
        <w:jc w:val="center"/>
        <w:rPr>
          <w:highlight w:val="none"/>
        </w:rPr>
      </w:pPr>
    </w:p>
    <w:p w14:paraId="5694C6B0">
      <w:pPr>
        <w:pStyle w:val="13"/>
        <w:spacing w:beforeAutospacing="0" w:afterAutospacing="0" w:line="0" w:lineRule="atLeast"/>
        <w:jc w:val="center"/>
        <w:rPr>
          <w:highlight w:val="none"/>
        </w:rPr>
      </w:pPr>
    </w:p>
    <w:p w14:paraId="014757FE">
      <w:pPr>
        <w:pStyle w:val="13"/>
        <w:spacing w:beforeAutospacing="0" w:afterAutospacing="0" w:line="0" w:lineRule="atLeast"/>
        <w:jc w:val="center"/>
        <w:rPr>
          <w:highlight w:val="none"/>
        </w:rPr>
      </w:pPr>
    </w:p>
    <w:p w14:paraId="557FDC97">
      <w:pPr>
        <w:pStyle w:val="13"/>
        <w:spacing w:beforeAutospacing="0" w:afterAutospacing="0" w:line="0" w:lineRule="atLeast"/>
        <w:jc w:val="center"/>
        <w:rPr>
          <w:highlight w:val="none"/>
        </w:rPr>
      </w:pPr>
    </w:p>
    <w:p w14:paraId="77D2DCD6">
      <w:pPr>
        <w:pStyle w:val="13"/>
        <w:spacing w:beforeAutospacing="0" w:afterAutospacing="0" w:line="0" w:lineRule="atLeast"/>
        <w:jc w:val="center"/>
        <w:rPr>
          <w:highlight w:val="none"/>
        </w:rPr>
      </w:pPr>
    </w:p>
    <w:p w14:paraId="6C7F995A">
      <w:pPr>
        <w:pStyle w:val="13"/>
        <w:spacing w:beforeAutospacing="0" w:afterAutospacing="0" w:line="0" w:lineRule="atLeast"/>
        <w:jc w:val="center"/>
        <w:rPr>
          <w:highlight w:val="none"/>
        </w:rPr>
      </w:pPr>
    </w:p>
    <w:p w14:paraId="1B5D24F9">
      <w:pPr>
        <w:pStyle w:val="13"/>
        <w:spacing w:beforeAutospacing="0" w:afterAutospacing="0" w:line="0" w:lineRule="atLeast"/>
        <w:jc w:val="center"/>
        <w:rPr>
          <w:highlight w:val="none"/>
        </w:rPr>
      </w:pPr>
    </w:p>
    <w:p w14:paraId="5E66756A">
      <w:pPr>
        <w:pStyle w:val="13"/>
        <w:spacing w:beforeAutospacing="0" w:afterAutospacing="0" w:line="0" w:lineRule="atLeast"/>
        <w:jc w:val="center"/>
        <w:rPr>
          <w:highlight w:val="none"/>
        </w:rPr>
      </w:pPr>
    </w:p>
    <w:p w14:paraId="28E7D65B">
      <w:pPr>
        <w:pStyle w:val="13"/>
        <w:spacing w:beforeAutospacing="0" w:afterAutospacing="0" w:line="0" w:lineRule="atLeast"/>
        <w:jc w:val="center"/>
        <w:rPr>
          <w:highlight w:val="none"/>
        </w:rPr>
      </w:pPr>
    </w:p>
    <w:p w14:paraId="4257AF04">
      <w:pPr>
        <w:pStyle w:val="13"/>
        <w:spacing w:beforeAutospacing="0" w:afterAutospacing="0" w:line="0" w:lineRule="atLeast"/>
        <w:jc w:val="center"/>
        <w:rPr>
          <w:highlight w:val="none"/>
        </w:rPr>
      </w:pPr>
    </w:p>
    <w:p w14:paraId="00C82BB9">
      <w:pPr>
        <w:pStyle w:val="13"/>
        <w:spacing w:beforeAutospacing="0" w:afterAutospacing="0" w:line="0" w:lineRule="atLeast"/>
        <w:jc w:val="center"/>
        <w:rPr>
          <w:highlight w:val="none"/>
        </w:rPr>
      </w:pPr>
    </w:p>
    <w:p w14:paraId="11655BD1">
      <w:pPr>
        <w:pStyle w:val="13"/>
        <w:spacing w:beforeAutospacing="0" w:afterAutospacing="0" w:line="0" w:lineRule="atLeast"/>
        <w:jc w:val="center"/>
        <w:rPr>
          <w:highlight w:val="none"/>
        </w:rPr>
      </w:pPr>
    </w:p>
    <w:p w14:paraId="5F9B54D1">
      <w:pPr>
        <w:pStyle w:val="13"/>
        <w:spacing w:beforeAutospacing="0" w:afterAutospacing="0" w:line="0" w:lineRule="atLeast"/>
        <w:jc w:val="center"/>
        <w:rPr>
          <w:highlight w:val="none"/>
        </w:rPr>
      </w:pPr>
    </w:p>
    <w:p w14:paraId="33439636">
      <w:pPr>
        <w:pStyle w:val="13"/>
        <w:spacing w:beforeAutospacing="0" w:afterAutospacing="0" w:line="0" w:lineRule="atLeast"/>
        <w:jc w:val="center"/>
        <w:rPr>
          <w:highlight w:val="none"/>
        </w:rPr>
      </w:pPr>
    </w:p>
    <w:p w14:paraId="0DC7683E">
      <w:pPr>
        <w:pStyle w:val="13"/>
        <w:spacing w:beforeAutospacing="0" w:afterAutospacing="0" w:line="0" w:lineRule="atLeast"/>
        <w:jc w:val="center"/>
        <w:rPr>
          <w:highlight w:val="none"/>
        </w:rPr>
      </w:pPr>
    </w:p>
    <w:p w14:paraId="2AF7236C">
      <w:pPr>
        <w:pStyle w:val="13"/>
        <w:spacing w:beforeAutospacing="0" w:afterAutospacing="0" w:line="0" w:lineRule="atLeast"/>
        <w:jc w:val="both"/>
        <w:rPr>
          <w:highlight w:val="none"/>
        </w:rPr>
      </w:pPr>
      <w:r>
        <w:rPr>
          <w:highlight w:val="none"/>
        </w:rPr>
        <w:t> </w:t>
      </w:r>
    </w:p>
    <w:p w14:paraId="659BF965">
      <w:pPr>
        <w:pStyle w:val="13"/>
        <w:spacing w:beforeAutospacing="0" w:afterAutospacing="0" w:line="0" w:lineRule="atLeast"/>
        <w:jc w:val="center"/>
        <w:rPr>
          <w:highlight w:val="none"/>
        </w:rPr>
      </w:pPr>
      <w:r>
        <w:rPr>
          <w:rFonts w:hint="eastAsia" w:ascii="宋体" w:hAnsi="宋体" w:eastAsia="宋体" w:cs="宋体"/>
          <w:b/>
          <w:color w:val="000000"/>
          <w:sz w:val="32"/>
          <w:szCs w:val="32"/>
          <w:highlight w:val="none"/>
        </w:rPr>
        <w:t>投标文件目录</w:t>
      </w:r>
    </w:p>
    <w:p w14:paraId="0D494503">
      <w:pPr>
        <w:pStyle w:val="13"/>
        <w:spacing w:beforeAutospacing="0" w:afterAutospacing="0" w:line="0" w:lineRule="atLeast"/>
        <w:jc w:val="center"/>
        <w:rPr>
          <w:highlight w:val="none"/>
        </w:rPr>
      </w:pPr>
      <w:r>
        <w:rPr>
          <w:highlight w:val="none"/>
        </w:rPr>
        <w:t> </w:t>
      </w:r>
    </w:p>
    <w:p w14:paraId="2DD541B5">
      <w:pPr>
        <w:pStyle w:val="13"/>
        <w:spacing w:beforeAutospacing="0" w:afterAutospacing="0"/>
        <w:ind w:left="480"/>
        <w:jc w:val="both"/>
        <w:rPr>
          <w:i w:val="0"/>
          <w:iCs/>
          <w:highlight w:val="none"/>
          <w:u w:val="none"/>
        </w:rPr>
      </w:pPr>
      <w:r>
        <w:rPr>
          <w:rFonts w:hint="eastAsia" w:ascii="宋体" w:hAnsi="宋体" w:eastAsia="宋体" w:cs="宋体"/>
          <w:i w:val="0"/>
          <w:iCs/>
          <w:color w:val="000000"/>
          <w:highlight w:val="none"/>
          <w:u w:val="none"/>
        </w:rPr>
        <w:t>一、法人或者其他组织的营业执照等证明文件，自然人的身份证明</w:t>
      </w:r>
    </w:p>
    <w:p w14:paraId="3C361A66">
      <w:pPr>
        <w:pStyle w:val="13"/>
        <w:spacing w:beforeAutospacing="0" w:afterAutospacing="0"/>
        <w:ind w:left="480"/>
        <w:jc w:val="both"/>
        <w:rPr>
          <w:i w:val="0"/>
          <w:iCs/>
          <w:highlight w:val="none"/>
          <w:u w:val="none"/>
        </w:rPr>
      </w:pPr>
      <w:r>
        <w:rPr>
          <w:rFonts w:hint="eastAsia" w:ascii="宋体" w:hAnsi="宋体" w:eastAsia="宋体" w:cs="宋体"/>
          <w:i w:val="0"/>
          <w:iCs/>
          <w:color w:val="000000"/>
          <w:kern w:val="0"/>
          <w:sz w:val="24"/>
          <w:szCs w:val="24"/>
          <w:highlight w:val="none"/>
          <w:u w:val="none"/>
          <w:lang w:val="en-US" w:eastAsia="zh-CN" w:bidi="ar-SA"/>
        </w:rPr>
        <w:t>二、上一年度（2025年度）的财务状况报告（财务报告至少应包括资产负债表、利润表，距投标截止之日止，成立不满一年的投标人无需提供）</w:t>
      </w:r>
    </w:p>
    <w:p w14:paraId="3629C146">
      <w:pPr>
        <w:pStyle w:val="13"/>
        <w:spacing w:beforeAutospacing="0" w:afterAutospacing="0"/>
        <w:ind w:left="480"/>
        <w:jc w:val="both"/>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三</w:t>
      </w:r>
      <w:r>
        <w:rPr>
          <w:rFonts w:hint="eastAsia" w:ascii="宋体" w:hAnsi="宋体" w:eastAsia="宋体" w:cs="宋体"/>
          <w:i w:val="0"/>
          <w:iCs/>
          <w:color w:val="000000"/>
          <w:highlight w:val="none"/>
          <w:u w:val="none"/>
        </w:rPr>
        <w:t>、具备履行合同所必需的设备和专业技术能力的书面声明</w:t>
      </w:r>
    </w:p>
    <w:p w14:paraId="45838A78">
      <w:pPr>
        <w:pStyle w:val="13"/>
        <w:spacing w:beforeAutospacing="0" w:afterAutospacing="0"/>
        <w:ind w:left="480"/>
        <w:jc w:val="both"/>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四</w:t>
      </w:r>
      <w:r>
        <w:rPr>
          <w:rFonts w:hint="eastAsia" w:ascii="宋体" w:hAnsi="宋体" w:eastAsia="宋体" w:cs="宋体"/>
          <w:i w:val="0"/>
          <w:iCs/>
          <w:color w:val="000000"/>
          <w:highlight w:val="none"/>
          <w:u w:val="non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69A7EA17">
      <w:pPr>
        <w:pStyle w:val="13"/>
        <w:spacing w:beforeAutospacing="0" w:afterAutospacing="0" w:line="0" w:lineRule="atLeast"/>
        <w:ind w:firstLine="480"/>
        <w:jc w:val="both"/>
        <w:rPr>
          <w:i w:val="0"/>
          <w:iCs/>
          <w:highlight w:val="none"/>
          <w:u w:val="none"/>
        </w:rPr>
      </w:pPr>
      <w:r>
        <w:rPr>
          <w:rFonts w:hint="eastAsia" w:ascii="宋体" w:hAnsi="宋体" w:eastAsia="宋体" w:cs="宋体"/>
          <w:i w:val="0"/>
          <w:iCs/>
          <w:color w:val="000000"/>
          <w:highlight w:val="none"/>
          <w:u w:val="none"/>
        </w:rPr>
        <w:t>五、参加政府采购活动前 3 年内在经营活动中没有重大违法记录的书面声明</w:t>
      </w:r>
    </w:p>
    <w:p w14:paraId="01D8E114">
      <w:pPr>
        <w:pStyle w:val="13"/>
        <w:spacing w:beforeAutospacing="0" w:afterAutospacing="0" w:line="0" w:lineRule="atLeast"/>
        <w:ind w:firstLine="480"/>
        <w:jc w:val="both"/>
        <w:rPr>
          <w:i w:val="0"/>
          <w:iCs/>
          <w:highlight w:val="none"/>
          <w:u w:val="none"/>
        </w:rPr>
      </w:pPr>
      <w:r>
        <w:rPr>
          <w:rFonts w:hint="eastAsia" w:ascii="宋体" w:hAnsi="宋体" w:eastAsia="宋体" w:cs="宋体"/>
          <w:i w:val="0"/>
          <w:iCs/>
          <w:color w:val="000000"/>
          <w:highlight w:val="none"/>
          <w:u w:val="none"/>
        </w:rPr>
        <w:t>六、特定资格要求的证明文件（如果本项目设置特定资格要求，则需要提供）</w:t>
      </w:r>
    </w:p>
    <w:p w14:paraId="57BC2220">
      <w:pPr>
        <w:pStyle w:val="13"/>
        <w:spacing w:beforeAutospacing="0" w:afterAutospacing="0" w:line="0" w:lineRule="atLeast"/>
        <w:ind w:firstLine="480"/>
        <w:jc w:val="both"/>
        <w:rPr>
          <w:i w:val="0"/>
          <w:iCs/>
          <w:highlight w:val="none"/>
          <w:u w:val="none"/>
        </w:rPr>
      </w:pPr>
      <w:r>
        <w:rPr>
          <w:rFonts w:hint="eastAsia" w:ascii="宋体" w:hAnsi="宋体" w:eastAsia="宋体" w:cs="宋体"/>
          <w:i w:val="0"/>
          <w:iCs/>
          <w:color w:val="000000"/>
          <w:highlight w:val="none"/>
          <w:u w:val="none"/>
        </w:rPr>
        <w:t>七、法人授权书</w:t>
      </w:r>
    </w:p>
    <w:p w14:paraId="0FD35EF1">
      <w:pPr>
        <w:pStyle w:val="13"/>
        <w:spacing w:beforeAutospacing="0" w:afterAutospacing="0" w:line="0" w:lineRule="atLeast"/>
        <w:ind w:firstLine="480"/>
        <w:jc w:val="both"/>
        <w:rPr>
          <w:i w:val="0"/>
          <w:iCs/>
          <w:highlight w:val="none"/>
          <w:u w:val="none"/>
        </w:rPr>
      </w:pPr>
      <w:r>
        <w:rPr>
          <w:rFonts w:hint="eastAsia" w:ascii="宋体" w:hAnsi="宋体" w:eastAsia="宋体" w:cs="宋体"/>
          <w:i w:val="0"/>
          <w:iCs/>
          <w:color w:val="000000"/>
          <w:highlight w:val="none"/>
          <w:u w:val="none"/>
        </w:rPr>
        <w:t>八、投标函</w:t>
      </w:r>
    </w:p>
    <w:p w14:paraId="62AB6C8F">
      <w:pPr>
        <w:pStyle w:val="13"/>
        <w:spacing w:beforeAutospacing="0" w:afterAutospacing="0" w:line="0" w:lineRule="atLeast"/>
        <w:ind w:firstLine="480"/>
        <w:jc w:val="both"/>
        <w:rPr>
          <w:i w:val="0"/>
          <w:iCs/>
          <w:highlight w:val="none"/>
          <w:u w:val="none"/>
        </w:rPr>
      </w:pPr>
      <w:r>
        <w:rPr>
          <w:rFonts w:hint="eastAsia" w:ascii="宋体" w:hAnsi="宋体" w:eastAsia="宋体" w:cs="宋体"/>
          <w:i w:val="0"/>
          <w:iCs/>
          <w:color w:val="000000"/>
          <w:highlight w:val="none"/>
          <w:u w:val="none"/>
        </w:rPr>
        <w:t>九、</w:t>
      </w:r>
      <w:r>
        <w:rPr>
          <w:rFonts w:hint="eastAsia" w:ascii="宋体" w:hAnsi="宋体" w:eastAsia="宋体" w:cs="宋体"/>
          <w:i w:val="0"/>
          <w:iCs/>
          <w:color w:val="auto"/>
          <w:highlight w:val="none"/>
          <w:u w:val="none"/>
          <w:lang w:val="en-US" w:eastAsia="zh-CN"/>
        </w:rPr>
        <w:t>中小</w:t>
      </w:r>
      <w:r>
        <w:rPr>
          <w:rFonts w:hint="eastAsia" w:ascii="宋体" w:hAnsi="宋体" w:eastAsia="宋体" w:cs="宋体"/>
          <w:i w:val="0"/>
          <w:iCs/>
          <w:color w:val="auto"/>
          <w:highlight w:val="none"/>
          <w:u w:val="none"/>
        </w:rPr>
        <w:t>企业声明函</w:t>
      </w:r>
    </w:p>
    <w:p w14:paraId="60ADE039">
      <w:pPr>
        <w:pStyle w:val="13"/>
        <w:spacing w:beforeAutospacing="0" w:afterAutospacing="0" w:line="0" w:lineRule="atLeast"/>
        <w:ind w:firstLine="480"/>
        <w:jc w:val="both"/>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十、残疾人福利性单位声明函</w:t>
      </w:r>
    </w:p>
    <w:p w14:paraId="17BA7854">
      <w:pPr>
        <w:pStyle w:val="13"/>
        <w:spacing w:beforeAutospacing="0" w:afterAutospacing="0" w:line="0" w:lineRule="atLeast"/>
        <w:ind w:firstLine="480"/>
        <w:jc w:val="both"/>
        <w:rPr>
          <w:rFonts w:hint="eastAsia" w:ascii="宋体" w:hAnsi="宋体" w:eastAsia="宋体" w:cs="宋体"/>
          <w:i w:val="0"/>
          <w:iCs/>
          <w:color w:val="FF0000"/>
          <w:highlight w:val="none"/>
          <w:u w:val="none"/>
        </w:rPr>
      </w:pPr>
      <w:r>
        <w:rPr>
          <w:rFonts w:hint="eastAsia" w:ascii="宋体" w:hAnsi="宋体" w:eastAsia="宋体" w:cs="宋体"/>
          <w:i w:val="0"/>
          <w:iCs/>
          <w:color w:val="FF0000"/>
          <w:highlight w:val="none"/>
          <w:u w:val="none"/>
          <w:lang w:val="en-US" w:eastAsia="zh-CN"/>
        </w:rPr>
        <w:t>十一、</w:t>
      </w:r>
      <w:r>
        <w:rPr>
          <w:rFonts w:hint="eastAsia" w:ascii="宋体" w:hAnsi="宋体" w:eastAsia="宋体" w:cs="宋体"/>
          <w:i w:val="0"/>
          <w:iCs/>
          <w:color w:val="FF0000"/>
          <w:highlight w:val="none"/>
          <w:u w:val="none"/>
        </w:rPr>
        <w:t xml:space="preserve"> 关于符合本国产品标准的声明函</w:t>
      </w:r>
    </w:p>
    <w:p w14:paraId="5987F8F5">
      <w:pPr>
        <w:pStyle w:val="13"/>
        <w:spacing w:beforeAutospacing="0" w:afterAutospacing="0" w:line="0" w:lineRule="atLeast"/>
        <w:ind w:firstLine="480"/>
        <w:jc w:val="both"/>
        <w:rPr>
          <w:rFonts w:hint="default"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十二、投标分项报价表</w:t>
      </w:r>
    </w:p>
    <w:p w14:paraId="76B6F922">
      <w:pPr>
        <w:pStyle w:val="13"/>
        <w:spacing w:beforeAutospacing="0" w:afterAutospacing="0" w:line="0" w:lineRule="atLeast"/>
        <w:ind w:firstLine="480"/>
        <w:jc w:val="both"/>
        <w:rPr>
          <w:i w:val="0"/>
          <w:iCs/>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三</w:t>
      </w:r>
      <w:r>
        <w:rPr>
          <w:rFonts w:hint="eastAsia" w:ascii="宋体" w:hAnsi="宋体" w:eastAsia="宋体" w:cs="宋体"/>
          <w:i w:val="0"/>
          <w:iCs/>
          <w:color w:val="000000"/>
          <w:highlight w:val="none"/>
          <w:u w:val="none"/>
        </w:rPr>
        <w:t>、技术要求响应及偏离表</w:t>
      </w:r>
    </w:p>
    <w:p w14:paraId="7FA5AC6A">
      <w:pPr>
        <w:pStyle w:val="13"/>
        <w:spacing w:beforeAutospacing="0" w:afterAutospacing="0" w:line="0" w:lineRule="atLeast"/>
        <w:ind w:firstLine="480"/>
        <w:jc w:val="both"/>
        <w:rPr>
          <w:i w:val="0"/>
          <w:iCs/>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四</w:t>
      </w:r>
      <w:r>
        <w:rPr>
          <w:rFonts w:hint="eastAsia" w:ascii="宋体" w:hAnsi="宋体" w:eastAsia="宋体" w:cs="宋体"/>
          <w:i w:val="0"/>
          <w:iCs/>
          <w:color w:val="000000"/>
          <w:highlight w:val="none"/>
          <w:u w:val="none"/>
        </w:rPr>
        <w:t>、商务要求响应及偏离表</w:t>
      </w:r>
    </w:p>
    <w:p w14:paraId="099B3743">
      <w:pPr>
        <w:pStyle w:val="13"/>
        <w:spacing w:beforeAutospacing="0" w:afterAutospacing="0" w:line="0" w:lineRule="atLeast"/>
        <w:ind w:firstLine="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五</w:t>
      </w:r>
      <w:r>
        <w:rPr>
          <w:rFonts w:hint="eastAsia" w:ascii="宋体" w:hAnsi="宋体" w:eastAsia="宋体" w:cs="宋体"/>
          <w:i w:val="0"/>
          <w:iCs/>
          <w:color w:val="000000"/>
          <w:highlight w:val="none"/>
          <w:u w:val="none"/>
        </w:rPr>
        <w:t>、开标一览表</w:t>
      </w:r>
    </w:p>
    <w:p w14:paraId="1988DFAF">
      <w:pPr>
        <w:widowControl/>
        <w:spacing w:before="50" w:after="50"/>
        <w:ind w:firstLine="480" w:firstLineChars="200"/>
        <w:rPr>
          <w:rFonts w:ascii="宋体" w:hAnsi="宋体" w:eastAsia="宋体" w:cs="宋体"/>
          <w:i w:val="0"/>
          <w:iCs/>
          <w:color w:val="000000"/>
          <w:kern w:val="0"/>
          <w:sz w:val="24"/>
          <w:highlight w:val="none"/>
          <w:u w:val="none"/>
        </w:rPr>
      </w:pPr>
      <w:r>
        <w:rPr>
          <w:rFonts w:hint="eastAsia" w:ascii="宋体" w:hAnsi="宋体" w:eastAsia="宋体" w:cs="宋体"/>
          <w:i w:val="0"/>
          <w:iCs/>
          <w:color w:val="000000"/>
          <w:kern w:val="0"/>
          <w:sz w:val="24"/>
          <w:highlight w:val="none"/>
          <w:u w:val="none"/>
        </w:rPr>
        <w:t>十</w:t>
      </w:r>
      <w:r>
        <w:rPr>
          <w:rFonts w:hint="eastAsia" w:ascii="宋体" w:hAnsi="宋体" w:eastAsia="宋体" w:cs="宋体"/>
          <w:i w:val="0"/>
          <w:iCs/>
          <w:color w:val="000000"/>
          <w:kern w:val="0"/>
          <w:sz w:val="24"/>
          <w:highlight w:val="none"/>
          <w:u w:val="none"/>
          <w:lang w:val="en-US" w:eastAsia="zh-CN"/>
        </w:rPr>
        <w:t>六</w:t>
      </w:r>
      <w:r>
        <w:rPr>
          <w:rFonts w:hint="eastAsia" w:ascii="宋体" w:hAnsi="宋体" w:eastAsia="宋体" w:cs="宋体"/>
          <w:i w:val="0"/>
          <w:iCs/>
          <w:color w:val="000000"/>
          <w:kern w:val="0"/>
          <w:sz w:val="24"/>
          <w:highlight w:val="none"/>
          <w:u w:val="none"/>
        </w:rPr>
        <w:t>、技术方案、服务承诺、培训承诺等</w:t>
      </w:r>
    </w:p>
    <w:p w14:paraId="3F7B4795">
      <w:pPr>
        <w:pStyle w:val="13"/>
        <w:spacing w:beforeAutospacing="0" w:afterAutospacing="0" w:line="360" w:lineRule="auto"/>
        <w:ind w:firstLine="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七</w:t>
      </w:r>
      <w:r>
        <w:rPr>
          <w:rFonts w:hint="eastAsia" w:ascii="宋体" w:hAnsi="宋体" w:eastAsia="宋体" w:cs="宋体"/>
          <w:i w:val="0"/>
          <w:iCs/>
          <w:color w:val="000000"/>
          <w:highlight w:val="none"/>
          <w:u w:val="none"/>
        </w:rPr>
        <w:t>、盐城市政府采购事前信用承诺书</w:t>
      </w:r>
    </w:p>
    <w:p w14:paraId="626E3581">
      <w:pPr>
        <w:pStyle w:val="13"/>
        <w:spacing w:beforeAutospacing="0" w:afterAutospacing="0" w:line="0" w:lineRule="atLeast"/>
        <w:ind w:firstLine="480"/>
        <w:jc w:val="both"/>
        <w:rPr>
          <w:highlight w:val="none"/>
        </w:rPr>
      </w:pPr>
      <w:r>
        <w:rPr>
          <w:highlight w:val="none"/>
        </w:rPr>
        <w:t> </w:t>
      </w:r>
    </w:p>
    <w:p w14:paraId="664E19FE">
      <w:pPr>
        <w:pStyle w:val="13"/>
        <w:spacing w:beforeAutospacing="0" w:afterAutospacing="0" w:line="0" w:lineRule="atLeast"/>
        <w:ind w:firstLine="480"/>
        <w:jc w:val="both"/>
        <w:rPr>
          <w:highlight w:val="none"/>
        </w:rPr>
      </w:pPr>
      <w:r>
        <w:rPr>
          <w:highlight w:val="none"/>
        </w:rPr>
        <w:t> </w:t>
      </w:r>
    </w:p>
    <w:p w14:paraId="347B9BE8">
      <w:pPr>
        <w:pStyle w:val="13"/>
        <w:spacing w:beforeAutospacing="0" w:afterAutospacing="0" w:line="0" w:lineRule="atLeast"/>
        <w:ind w:firstLine="480"/>
        <w:jc w:val="both"/>
        <w:rPr>
          <w:highlight w:val="none"/>
        </w:rPr>
      </w:pPr>
      <w:r>
        <w:rPr>
          <w:highlight w:val="none"/>
        </w:rPr>
        <w:t> </w:t>
      </w:r>
    </w:p>
    <w:p w14:paraId="0DAE4FA9">
      <w:pPr>
        <w:pStyle w:val="13"/>
        <w:spacing w:beforeAutospacing="0" w:afterAutospacing="0" w:line="0" w:lineRule="atLeast"/>
        <w:ind w:firstLine="480"/>
        <w:jc w:val="both"/>
        <w:rPr>
          <w:highlight w:val="none"/>
        </w:rPr>
      </w:pPr>
      <w:r>
        <w:rPr>
          <w:highlight w:val="none"/>
        </w:rPr>
        <w:t> </w:t>
      </w:r>
    </w:p>
    <w:p w14:paraId="6683C043">
      <w:pPr>
        <w:pStyle w:val="13"/>
        <w:spacing w:beforeAutospacing="0" w:afterAutospacing="0" w:line="0" w:lineRule="atLeast"/>
        <w:ind w:firstLine="480"/>
        <w:jc w:val="both"/>
        <w:rPr>
          <w:highlight w:val="none"/>
        </w:rPr>
      </w:pPr>
      <w:r>
        <w:rPr>
          <w:highlight w:val="none"/>
        </w:rPr>
        <w:t> </w:t>
      </w:r>
    </w:p>
    <w:p w14:paraId="3D740BC1">
      <w:pPr>
        <w:pStyle w:val="13"/>
        <w:spacing w:beforeAutospacing="0" w:afterAutospacing="0" w:line="0" w:lineRule="atLeast"/>
        <w:ind w:firstLine="480"/>
        <w:jc w:val="both"/>
        <w:rPr>
          <w:highlight w:val="none"/>
        </w:rPr>
      </w:pPr>
      <w:r>
        <w:rPr>
          <w:highlight w:val="none"/>
        </w:rPr>
        <w:t> </w:t>
      </w:r>
    </w:p>
    <w:p w14:paraId="783B6C87">
      <w:pPr>
        <w:pStyle w:val="13"/>
        <w:spacing w:beforeAutospacing="0" w:afterAutospacing="0" w:line="0" w:lineRule="atLeast"/>
        <w:ind w:firstLine="480"/>
        <w:jc w:val="both"/>
        <w:rPr>
          <w:highlight w:val="none"/>
        </w:rPr>
      </w:pPr>
      <w:r>
        <w:rPr>
          <w:highlight w:val="none"/>
        </w:rPr>
        <w:t> </w:t>
      </w:r>
    </w:p>
    <w:p w14:paraId="2D5F1C1C">
      <w:pPr>
        <w:pStyle w:val="13"/>
        <w:spacing w:beforeAutospacing="0" w:afterAutospacing="0" w:line="0" w:lineRule="atLeast"/>
        <w:ind w:firstLine="480"/>
        <w:jc w:val="both"/>
        <w:rPr>
          <w:highlight w:val="none"/>
        </w:rPr>
      </w:pPr>
      <w:r>
        <w:rPr>
          <w:highlight w:val="none"/>
        </w:rPr>
        <w:t> </w:t>
      </w:r>
    </w:p>
    <w:p w14:paraId="2301786D">
      <w:pPr>
        <w:pStyle w:val="13"/>
        <w:spacing w:beforeAutospacing="0" w:afterAutospacing="0" w:line="0" w:lineRule="atLeast"/>
        <w:ind w:firstLine="480"/>
        <w:jc w:val="both"/>
        <w:rPr>
          <w:highlight w:val="none"/>
        </w:rPr>
      </w:pPr>
    </w:p>
    <w:p w14:paraId="6C2389A3">
      <w:pPr>
        <w:pStyle w:val="13"/>
        <w:spacing w:beforeAutospacing="0" w:afterAutospacing="0" w:line="0" w:lineRule="atLeast"/>
        <w:ind w:firstLine="480"/>
        <w:jc w:val="both"/>
        <w:rPr>
          <w:highlight w:val="none"/>
        </w:rPr>
      </w:pPr>
    </w:p>
    <w:p w14:paraId="51F7F7AF">
      <w:pPr>
        <w:pStyle w:val="13"/>
        <w:spacing w:beforeAutospacing="0" w:afterAutospacing="0" w:line="0" w:lineRule="atLeast"/>
        <w:ind w:firstLine="480"/>
        <w:jc w:val="both"/>
        <w:rPr>
          <w:highlight w:val="none"/>
        </w:rPr>
      </w:pPr>
    </w:p>
    <w:p w14:paraId="03935D06">
      <w:pPr>
        <w:pStyle w:val="13"/>
        <w:spacing w:beforeAutospacing="0" w:afterAutospacing="0" w:line="0" w:lineRule="atLeast"/>
        <w:ind w:firstLine="480"/>
        <w:jc w:val="both"/>
        <w:rPr>
          <w:highlight w:val="none"/>
        </w:rPr>
      </w:pPr>
    </w:p>
    <w:p w14:paraId="6F5377E5">
      <w:pPr>
        <w:pStyle w:val="13"/>
        <w:spacing w:beforeAutospacing="0" w:afterAutospacing="0" w:line="0" w:lineRule="atLeast"/>
        <w:ind w:firstLine="480"/>
        <w:jc w:val="both"/>
        <w:rPr>
          <w:highlight w:val="none"/>
        </w:rPr>
      </w:pPr>
    </w:p>
    <w:p w14:paraId="012B16A8">
      <w:pPr>
        <w:pStyle w:val="13"/>
        <w:spacing w:beforeAutospacing="0" w:afterAutospacing="0" w:line="0" w:lineRule="atLeast"/>
        <w:ind w:firstLine="480"/>
        <w:jc w:val="both"/>
        <w:rPr>
          <w:highlight w:val="none"/>
        </w:rPr>
      </w:pPr>
    </w:p>
    <w:p w14:paraId="7EE57A3A">
      <w:pPr>
        <w:pStyle w:val="13"/>
        <w:spacing w:beforeAutospacing="0" w:afterAutospacing="0" w:line="0" w:lineRule="atLeast"/>
        <w:ind w:firstLine="480"/>
        <w:jc w:val="both"/>
        <w:rPr>
          <w:highlight w:val="none"/>
        </w:rPr>
      </w:pPr>
    </w:p>
    <w:p w14:paraId="650D4A98">
      <w:pPr>
        <w:pStyle w:val="13"/>
        <w:spacing w:beforeAutospacing="0" w:afterAutospacing="0" w:line="0" w:lineRule="atLeast"/>
        <w:ind w:firstLine="480"/>
        <w:jc w:val="both"/>
        <w:rPr>
          <w:highlight w:val="none"/>
        </w:rPr>
      </w:pPr>
    </w:p>
    <w:p w14:paraId="236066DE">
      <w:pPr>
        <w:pStyle w:val="13"/>
        <w:spacing w:beforeAutospacing="0" w:afterAutospacing="0" w:line="0" w:lineRule="atLeast"/>
        <w:ind w:firstLine="480"/>
        <w:jc w:val="both"/>
        <w:rPr>
          <w:highlight w:val="none"/>
        </w:rPr>
      </w:pPr>
    </w:p>
    <w:p w14:paraId="0656202B">
      <w:pPr>
        <w:pStyle w:val="13"/>
        <w:spacing w:beforeAutospacing="0" w:afterAutospacing="0" w:line="0" w:lineRule="atLeast"/>
        <w:ind w:firstLine="480"/>
        <w:jc w:val="both"/>
        <w:rPr>
          <w:highlight w:val="none"/>
        </w:rPr>
      </w:pPr>
    </w:p>
    <w:p w14:paraId="6EFAD569">
      <w:pPr>
        <w:pStyle w:val="13"/>
        <w:spacing w:beforeAutospacing="0" w:afterAutospacing="0" w:line="0" w:lineRule="atLeast"/>
        <w:ind w:firstLine="480"/>
        <w:jc w:val="both"/>
        <w:rPr>
          <w:highlight w:val="none"/>
        </w:rPr>
      </w:pPr>
    </w:p>
    <w:p w14:paraId="51E7A4BC">
      <w:pPr>
        <w:pStyle w:val="13"/>
        <w:spacing w:beforeAutospacing="0" w:afterAutospacing="0" w:line="0" w:lineRule="atLeast"/>
        <w:ind w:firstLine="480"/>
        <w:jc w:val="both"/>
        <w:rPr>
          <w:highlight w:val="none"/>
        </w:rPr>
      </w:pPr>
    </w:p>
    <w:p w14:paraId="4F21745B">
      <w:pPr>
        <w:pStyle w:val="13"/>
        <w:spacing w:beforeAutospacing="0" w:afterAutospacing="0" w:line="0" w:lineRule="atLeast"/>
        <w:ind w:firstLine="480"/>
        <w:jc w:val="both"/>
        <w:rPr>
          <w:highlight w:val="none"/>
        </w:rPr>
      </w:pPr>
    </w:p>
    <w:p w14:paraId="044306C3">
      <w:pPr>
        <w:pStyle w:val="13"/>
        <w:spacing w:beforeAutospacing="0" w:afterAutospacing="0" w:line="0" w:lineRule="atLeast"/>
        <w:ind w:firstLine="480"/>
        <w:jc w:val="both"/>
        <w:rPr>
          <w:highlight w:val="none"/>
        </w:rPr>
      </w:pPr>
      <w:r>
        <w:rPr>
          <w:highlight w:val="none"/>
        </w:rPr>
        <w:t> </w:t>
      </w:r>
    </w:p>
    <w:p w14:paraId="374F5D55">
      <w:pPr>
        <w:pStyle w:val="13"/>
        <w:spacing w:beforeAutospacing="0" w:afterAutospacing="0"/>
        <w:jc w:val="both"/>
        <w:rPr>
          <w:highlight w:val="none"/>
        </w:rPr>
      </w:pPr>
      <w:r>
        <w:rPr>
          <w:rFonts w:hint="eastAsia" w:ascii="黑体" w:hAnsi="宋体" w:eastAsia="黑体" w:cs="黑体"/>
          <w:i/>
          <w:color w:val="000000"/>
          <w:sz w:val="32"/>
          <w:szCs w:val="32"/>
          <w:highlight w:val="none"/>
          <w:u w:val="single"/>
        </w:rPr>
        <w:t>一、法人或者其他组织的营业执照等证明文件，自然人的身份证明</w:t>
      </w:r>
    </w:p>
    <w:p w14:paraId="71FFF976">
      <w:pPr>
        <w:pStyle w:val="13"/>
        <w:spacing w:beforeAutospacing="0" w:afterAutospacing="0" w:line="0" w:lineRule="atLeast"/>
        <w:ind w:firstLine="480"/>
        <w:jc w:val="both"/>
        <w:rPr>
          <w:highlight w:val="none"/>
        </w:rPr>
      </w:pPr>
      <w:r>
        <w:rPr>
          <w:highlight w:val="none"/>
        </w:rPr>
        <w:t> </w:t>
      </w:r>
    </w:p>
    <w:p w14:paraId="3DA0EDCF">
      <w:pPr>
        <w:pStyle w:val="13"/>
        <w:spacing w:beforeAutospacing="0" w:afterAutospacing="0"/>
        <w:jc w:val="both"/>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t>二、</w:t>
      </w:r>
      <w:r>
        <w:rPr>
          <w:rFonts w:hint="eastAsia" w:ascii="黑体" w:hAnsi="宋体" w:eastAsia="黑体" w:cs="黑体"/>
          <w:i/>
          <w:color w:val="000000"/>
          <w:sz w:val="32"/>
          <w:szCs w:val="32"/>
          <w:highlight w:val="none"/>
          <w:u w:val="single"/>
          <w:lang w:eastAsia="zh-CN"/>
        </w:rPr>
        <w:t>上一年度（2025年度）</w:t>
      </w:r>
      <w:r>
        <w:rPr>
          <w:rFonts w:hint="eastAsia" w:ascii="黑体" w:hAnsi="宋体" w:eastAsia="黑体" w:cs="黑体"/>
          <w:i/>
          <w:color w:val="000000"/>
          <w:sz w:val="32"/>
          <w:szCs w:val="32"/>
          <w:highlight w:val="none"/>
          <w:u w:val="single"/>
        </w:rPr>
        <w:t>的财务状况报告</w:t>
      </w:r>
    </w:p>
    <w:p w14:paraId="13CE4AFE">
      <w:pPr>
        <w:pStyle w:val="13"/>
        <w:spacing w:beforeAutospacing="0" w:afterAutospacing="0"/>
        <w:ind w:firstLine="480" w:firstLineChars="200"/>
        <w:jc w:val="both"/>
        <w:rPr>
          <w:highlight w:val="none"/>
        </w:rPr>
      </w:pPr>
      <w:r>
        <w:rPr>
          <w:rFonts w:hint="eastAsia"/>
          <w:highlight w:val="none"/>
        </w:rPr>
        <w:t>财务报告至少应包括资产负债表、利润表，距投标截止之日止，成立不满一年的投标人无需提供；</w:t>
      </w:r>
      <w:r>
        <w:rPr>
          <w:highlight w:val="none"/>
        </w:rPr>
        <w:t> </w:t>
      </w:r>
    </w:p>
    <w:p w14:paraId="3B215A68">
      <w:pPr>
        <w:pStyle w:val="13"/>
        <w:spacing w:beforeAutospacing="0" w:afterAutospacing="0"/>
        <w:jc w:val="both"/>
        <w:rPr>
          <w:highlight w:val="none"/>
        </w:rPr>
      </w:pPr>
      <w:r>
        <w:rPr>
          <w:rFonts w:hint="eastAsia" w:ascii="黑体" w:hAnsi="宋体" w:eastAsia="黑体" w:cs="黑体"/>
          <w:i/>
          <w:color w:val="000000"/>
          <w:sz w:val="32"/>
          <w:szCs w:val="32"/>
          <w:highlight w:val="none"/>
          <w:u w:val="single"/>
          <w:lang w:val="en-US" w:eastAsia="zh-CN"/>
        </w:rPr>
        <w:t>三</w:t>
      </w:r>
      <w:r>
        <w:rPr>
          <w:rFonts w:hint="eastAsia" w:ascii="黑体" w:hAnsi="宋体" w:eastAsia="黑体" w:cs="黑体"/>
          <w:i/>
          <w:color w:val="000000"/>
          <w:sz w:val="32"/>
          <w:szCs w:val="32"/>
          <w:highlight w:val="none"/>
          <w:u w:val="single"/>
        </w:rPr>
        <w:t>、具备履行合同所必需的设备和专业技术能力的书面声明</w:t>
      </w:r>
    </w:p>
    <w:p w14:paraId="4A3F2575">
      <w:pPr>
        <w:pStyle w:val="13"/>
        <w:spacing w:beforeAutospacing="0" w:afterAutospacing="0" w:line="0" w:lineRule="atLeast"/>
        <w:ind w:firstLine="492"/>
        <w:jc w:val="both"/>
        <w:rPr>
          <w:highlight w:val="none"/>
        </w:rPr>
      </w:pPr>
      <w:r>
        <w:rPr>
          <w:rFonts w:hint="eastAsia" w:ascii="宋体" w:hAnsi="宋体" w:eastAsia="宋体" w:cs="宋体"/>
          <w:color w:val="000000"/>
          <w:highlight w:val="none"/>
        </w:rPr>
        <w:t>我单位郑重声明：我单位具备履行本项采购合同所必需的设备和专业技术能力，为履行本项采购合同我公司具备如下主要设备和主要专业技术能力：</w:t>
      </w:r>
    </w:p>
    <w:p w14:paraId="7158CE18">
      <w:pPr>
        <w:pStyle w:val="13"/>
        <w:spacing w:beforeAutospacing="0" w:afterAutospacing="0" w:line="0" w:lineRule="atLeast"/>
        <w:ind w:firstLine="492"/>
        <w:jc w:val="both"/>
        <w:rPr>
          <w:highlight w:val="none"/>
        </w:rPr>
      </w:pPr>
      <w:r>
        <w:rPr>
          <w:rFonts w:hint="eastAsia" w:ascii="宋体" w:hAnsi="宋体" w:eastAsia="宋体" w:cs="宋体"/>
          <w:color w:val="000000"/>
          <w:highlight w:val="none"/>
        </w:rPr>
        <w:t>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0C40D482">
      <w:pPr>
        <w:pStyle w:val="13"/>
        <w:spacing w:beforeAutospacing="0" w:afterAutospacing="0"/>
        <w:jc w:val="both"/>
        <w:rPr>
          <w:rFonts w:hint="eastAsia" w:ascii="宋体" w:hAnsi="宋体" w:eastAsia="宋体" w:cs="宋体"/>
          <w:color w:val="000000"/>
          <w:highlight w:val="none"/>
        </w:rPr>
      </w:pPr>
      <w:r>
        <w:rPr>
          <w:rFonts w:hint="eastAsia" w:ascii="宋体" w:hAnsi="宋体" w:eastAsia="宋体" w:cs="宋体"/>
          <w:color w:val="000000"/>
          <w:highlight w:val="none"/>
        </w:rPr>
        <w:t>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40225B15">
      <w:pPr>
        <w:pStyle w:val="13"/>
        <w:spacing w:beforeAutospacing="0" w:afterAutospacing="0"/>
        <w:jc w:val="both"/>
        <w:rPr>
          <w:highlight w:val="none"/>
        </w:rPr>
      </w:pPr>
      <w:r>
        <w:rPr>
          <w:rFonts w:hint="eastAsia" w:ascii="黑体" w:hAnsi="宋体" w:eastAsia="黑体" w:cs="黑体"/>
          <w:i/>
          <w:color w:val="000000"/>
          <w:sz w:val="32"/>
          <w:szCs w:val="32"/>
          <w:highlight w:val="none"/>
          <w:u w:val="single"/>
          <w:lang w:val="en-US" w:eastAsia="zh-CN"/>
        </w:rPr>
        <w:t>四</w:t>
      </w:r>
      <w:r>
        <w:rPr>
          <w:rFonts w:hint="eastAsia" w:ascii="黑体" w:hAnsi="宋体" w:eastAsia="黑体" w:cs="黑体"/>
          <w:i/>
          <w:color w:val="000000"/>
          <w:sz w:val="32"/>
          <w:szCs w:val="32"/>
          <w:highlight w:val="none"/>
          <w:u w:val="single"/>
        </w:rPr>
        <w:t>、依法缴纳税收和社会保障资金的相关材料</w:t>
      </w:r>
    </w:p>
    <w:p w14:paraId="6636CD36">
      <w:pPr>
        <w:pStyle w:val="13"/>
        <w:spacing w:beforeAutospacing="0" w:afterAutospacing="0"/>
        <w:ind w:firstLine="480"/>
        <w:jc w:val="both"/>
        <w:rPr>
          <w:highlight w:val="none"/>
        </w:rPr>
      </w:pPr>
      <w:r>
        <w:rPr>
          <w:rFonts w:hint="eastAsia" w:ascii="宋体" w:hAnsi="宋体" w:eastAsia="宋体" w:cs="宋体"/>
          <w:color w:val="000000"/>
          <w:highlight w:val="none"/>
        </w:rPr>
        <w:t>提供提交投标文件截止时间前一年内至少一个月依法缴纳税收及缴纳社会保障资金的证明材料。投标人依法享受缓缴、免缴税收、社会保障资金的提供证明材料。</w:t>
      </w:r>
    </w:p>
    <w:p w14:paraId="3CC8D874">
      <w:pPr>
        <w:pStyle w:val="13"/>
        <w:spacing w:beforeAutospacing="0" w:afterAutospacing="0"/>
        <w:jc w:val="both"/>
        <w:rPr>
          <w:highlight w:val="none"/>
        </w:rPr>
      </w:pPr>
      <w:r>
        <w:rPr>
          <w:highlight w:val="none"/>
        </w:rPr>
        <w:t> </w:t>
      </w:r>
    </w:p>
    <w:p w14:paraId="7F3368D2">
      <w:pPr>
        <w:pStyle w:val="13"/>
        <w:spacing w:beforeAutospacing="0" w:afterAutospacing="0"/>
        <w:jc w:val="both"/>
        <w:rPr>
          <w:highlight w:val="none"/>
        </w:rPr>
      </w:pPr>
      <w:r>
        <w:rPr>
          <w:rFonts w:hint="eastAsia" w:ascii="黑体" w:hAnsi="宋体" w:eastAsia="黑体" w:cs="黑体"/>
          <w:i/>
          <w:color w:val="000000"/>
          <w:sz w:val="32"/>
          <w:szCs w:val="32"/>
          <w:highlight w:val="none"/>
          <w:u w:val="single"/>
        </w:rPr>
        <w:t>五、参加政府采购活动前 3 年内在经营活动中没有重大违法记录的书面声明</w:t>
      </w:r>
    </w:p>
    <w:p w14:paraId="7448B83F">
      <w:pPr>
        <w:pStyle w:val="13"/>
        <w:spacing w:beforeAutospacing="0" w:afterAutospacing="0" w:line="0" w:lineRule="atLeast"/>
        <w:jc w:val="both"/>
        <w:rPr>
          <w:rFonts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w:t>
      </w:r>
    </w:p>
    <w:p w14:paraId="67A6C76F">
      <w:pPr>
        <w:pStyle w:val="13"/>
        <w:spacing w:beforeAutospacing="0" w:afterAutospacing="0" w:line="0" w:lineRule="atLeast"/>
        <w:ind w:firstLine="3092" w:firstLineChars="700"/>
        <w:jc w:val="both"/>
        <w:rPr>
          <w:highlight w:val="none"/>
        </w:rPr>
      </w:pPr>
      <w:r>
        <w:rPr>
          <w:rFonts w:hint="eastAsia" w:ascii="宋体" w:hAnsi="宋体" w:eastAsia="宋体" w:cs="宋体"/>
          <w:b/>
          <w:color w:val="000000"/>
          <w:sz w:val="44"/>
          <w:szCs w:val="44"/>
          <w:highlight w:val="none"/>
        </w:rPr>
        <w:t xml:space="preserve"> 声  明</w:t>
      </w:r>
    </w:p>
    <w:p w14:paraId="45A26DB1">
      <w:pPr>
        <w:pStyle w:val="13"/>
        <w:spacing w:beforeAutospacing="0" w:afterAutospacing="0" w:line="0" w:lineRule="atLeast"/>
        <w:jc w:val="both"/>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我单位郑重声明：参加本次政府采购活动前 3 年内，我单位在经营活动中没有因违法经营受到刑事处罚或者责令停产停业、吊销许可证或者执照、较大数额罚款等行政处罚。</w:t>
      </w:r>
    </w:p>
    <w:p w14:paraId="0174D61F">
      <w:pPr>
        <w:pStyle w:val="13"/>
        <w:spacing w:beforeAutospacing="0" w:afterAutospacing="0"/>
        <w:jc w:val="both"/>
        <w:rPr>
          <w:highlight w:val="none"/>
        </w:rPr>
      </w:pPr>
      <w:r>
        <w:rPr>
          <w:highlight w:val="none"/>
        </w:rPr>
        <w:t> </w:t>
      </w:r>
    </w:p>
    <w:p w14:paraId="02A985DB">
      <w:pPr>
        <w:pStyle w:val="13"/>
        <w:spacing w:beforeAutospacing="0" w:afterAutospacing="0"/>
        <w:jc w:val="both"/>
        <w:rPr>
          <w:highlight w:val="none"/>
        </w:rPr>
      </w:pPr>
      <w:r>
        <w:rPr>
          <w:rFonts w:hint="eastAsia" w:ascii="黑体" w:hAnsi="宋体" w:eastAsia="黑体" w:cs="黑体"/>
          <w:i/>
          <w:color w:val="000000"/>
          <w:sz w:val="32"/>
          <w:szCs w:val="32"/>
          <w:highlight w:val="none"/>
          <w:u w:val="single"/>
        </w:rPr>
        <w:t>六、特定资格要求的证明文件</w:t>
      </w:r>
    </w:p>
    <w:p w14:paraId="64A7199A">
      <w:pPr>
        <w:pStyle w:val="13"/>
        <w:spacing w:beforeAutospacing="0" w:afterAutospacing="0" w:line="0" w:lineRule="atLeast"/>
        <w:jc w:val="both"/>
        <w:rPr>
          <w:highlight w:val="none"/>
        </w:rPr>
      </w:pPr>
      <w:r>
        <w:rPr>
          <w:rFonts w:hint="eastAsia" w:ascii="宋体" w:hAnsi="宋体" w:eastAsia="宋体" w:cs="宋体"/>
          <w:color w:val="000000"/>
          <w:highlight w:val="none"/>
        </w:rPr>
        <w:t>   如果本项目申请人的特定资格要求中要求提供的，必须提供。</w:t>
      </w:r>
    </w:p>
    <w:p w14:paraId="151D0F8F">
      <w:pPr>
        <w:pStyle w:val="13"/>
        <w:spacing w:beforeAutospacing="0" w:afterAutospacing="0"/>
        <w:jc w:val="center"/>
        <w:rPr>
          <w:rFonts w:ascii="黑体" w:hAnsi="宋体" w:eastAsia="黑体" w:cs="黑体"/>
          <w:i/>
          <w:color w:val="000000"/>
          <w:sz w:val="32"/>
          <w:szCs w:val="32"/>
          <w:highlight w:val="none"/>
          <w:u w:val="single"/>
        </w:rPr>
      </w:pPr>
      <w:bookmarkStart w:id="352" w:name="_Toc120614284"/>
    </w:p>
    <w:p w14:paraId="485E3873">
      <w:pPr>
        <w:pStyle w:val="13"/>
        <w:spacing w:beforeAutospacing="0" w:afterAutospacing="0"/>
        <w:jc w:val="center"/>
        <w:rPr>
          <w:rFonts w:ascii="黑体" w:hAnsi="宋体" w:eastAsia="黑体" w:cs="黑体"/>
          <w:i/>
          <w:color w:val="000000"/>
          <w:sz w:val="32"/>
          <w:szCs w:val="32"/>
          <w:highlight w:val="none"/>
          <w:u w:val="single"/>
        </w:rPr>
      </w:pPr>
    </w:p>
    <w:p w14:paraId="2955E12A">
      <w:pPr>
        <w:pStyle w:val="13"/>
        <w:spacing w:beforeAutospacing="0" w:afterAutospacing="0"/>
        <w:jc w:val="center"/>
        <w:rPr>
          <w:rFonts w:ascii="黑体" w:hAnsi="宋体" w:eastAsia="黑体" w:cs="黑体"/>
          <w:i/>
          <w:color w:val="000000"/>
          <w:sz w:val="32"/>
          <w:szCs w:val="32"/>
          <w:highlight w:val="none"/>
          <w:u w:val="single"/>
        </w:rPr>
      </w:pPr>
    </w:p>
    <w:p w14:paraId="64EBB4D3">
      <w:pPr>
        <w:pStyle w:val="13"/>
        <w:spacing w:beforeAutospacing="0" w:afterAutospacing="0"/>
        <w:jc w:val="center"/>
        <w:rPr>
          <w:rFonts w:ascii="黑体" w:hAnsi="宋体" w:eastAsia="黑体" w:cs="黑体"/>
          <w:i/>
          <w:color w:val="000000"/>
          <w:sz w:val="32"/>
          <w:szCs w:val="32"/>
          <w:highlight w:val="none"/>
          <w:u w:val="single"/>
        </w:rPr>
      </w:pPr>
    </w:p>
    <w:p w14:paraId="1CEC30E9">
      <w:pPr>
        <w:pStyle w:val="13"/>
        <w:spacing w:beforeAutospacing="0" w:afterAutospacing="0"/>
        <w:jc w:val="center"/>
        <w:rPr>
          <w:highlight w:val="none"/>
        </w:rPr>
      </w:pPr>
      <w:r>
        <w:rPr>
          <w:rFonts w:hint="eastAsia" w:ascii="黑体" w:hAnsi="宋体" w:eastAsia="黑体" w:cs="黑体"/>
          <w:i/>
          <w:color w:val="000000"/>
          <w:sz w:val="32"/>
          <w:szCs w:val="32"/>
          <w:highlight w:val="none"/>
          <w:u w:val="single"/>
        </w:rPr>
        <w:t>七、法人授权书</w:t>
      </w:r>
    </w:p>
    <w:p w14:paraId="54D35F1F">
      <w:pPr>
        <w:pStyle w:val="13"/>
        <w:tabs>
          <w:tab w:val="left" w:pos="360"/>
        </w:tabs>
        <w:spacing w:beforeAutospacing="0" w:afterAutospacing="0"/>
        <w:ind w:firstLine="480"/>
        <w:jc w:val="both"/>
        <w:rPr>
          <w:highlight w:val="none"/>
        </w:rPr>
      </w:pPr>
      <w:r>
        <w:rPr>
          <w:rFonts w:ascii="Times New Roman" w:hAnsi="Times New Roman"/>
          <w:color w:val="000000"/>
          <w:highlight w:val="none"/>
        </w:rPr>
        <w:t>本授权书声明：____________（投标人名称）授权________________（被授权人的姓名）为我方就</w:t>
      </w:r>
      <w:r>
        <w:rPr>
          <w:rFonts w:hint="eastAsia" w:ascii="Times New Roman" w:hAnsi="Times New Roman"/>
          <w:color w:val="000000"/>
          <w:highlight w:val="none"/>
          <w:u w:val="single"/>
        </w:rPr>
        <w:t>JSZC-320923-YCYH-G2026-0003</w:t>
      </w:r>
      <w:r>
        <w:rPr>
          <w:rFonts w:ascii="Times New Roman" w:hAnsi="Times New Roman"/>
          <w:color w:val="000000"/>
          <w:highlight w:val="none"/>
        </w:rPr>
        <w:t>号项目采购活动的合法代理人，以本单位名义全权处理一切与该项目采购有关的事务。</w:t>
      </w:r>
    </w:p>
    <w:p w14:paraId="09221004">
      <w:pPr>
        <w:pStyle w:val="13"/>
        <w:tabs>
          <w:tab w:val="left" w:pos="360"/>
        </w:tabs>
        <w:spacing w:beforeAutospacing="0" w:afterAutospacing="0"/>
        <w:ind w:firstLine="480"/>
        <w:jc w:val="both"/>
        <w:rPr>
          <w:highlight w:val="none"/>
        </w:rPr>
      </w:pPr>
      <w:r>
        <w:rPr>
          <w:rFonts w:ascii="Times New Roman" w:hAnsi="Times New Roman"/>
          <w:color w:val="000000"/>
          <w:highlight w:val="none"/>
        </w:rPr>
        <w:t>本授权书于______年____月____日起生效，特此声明。</w:t>
      </w:r>
    </w:p>
    <w:p w14:paraId="684AF516">
      <w:pPr>
        <w:pStyle w:val="13"/>
        <w:tabs>
          <w:tab w:val="left" w:pos="360"/>
        </w:tabs>
        <w:spacing w:beforeAutospacing="0" w:afterAutospacing="0"/>
        <w:jc w:val="both"/>
        <w:rPr>
          <w:highlight w:val="none"/>
        </w:rPr>
      </w:pPr>
      <w:r>
        <w:rPr>
          <w:rFonts w:ascii="Times New Roman" w:hAnsi="Times New Roman"/>
          <w:color w:val="000000"/>
          <w:highlight w:val="none"/>
        </w:rPr>
        <w:t>          被授权人身份证号码：</w:t>
      </w:r>
      <w:r>
        <w:rPr>
          <w:rFonts w:ascii="Times New Roman" w:hAnsi="Times New Roman"/>
          <w:color w:val="000000"/>
          <w:highlight w:val="none"/>
          <w:u w:val="single"/>
        </w:rPr>
        <w:t xml:space="preserve">                              </w:t>
      </w:r>
    </w:p>
    <w:p w14:paraId="15C3BC56">
      <w:pPr>
        <w:pStyle w:val="13"/>
        <w:tabs>
          <w:tab w:val="left" w:pos="360"/>
        </w:tabs>
        <w:spacing w:beforeAutospacing="0" w:afterAutospacing="0"/>
        <w:jc w:val="both"/>
        <w:rPr>
          <w:highlight w:val="none"/>
        </w:rPr>
      </w:pPr>
      <w:r>
        <w:rPr>
          <w:rFonts w:ascii="Times New Roman" w:hAnsi="Times New Roman"/>
          <w:color w:val="000000"/>
          <w:highlight w:val="none"/>
        </w:rPr>
        <w:t>          被授权人联系电话：（手机）</w:t>
      </w:r>
      <w:r>
        <w:rPr>
          <w:rFonts w:ascii="Times New Roman" w:hAnsi="Times New Roman"/>
          <w:color w:val="000000"/>
          <w:highlight w:val="none"/>
          <w:u w:val="single"/>
        </w:rPr>
        <w:t xml:space="preserve">                          </w:t>
      </w:r>
    </w:p>
    <w:p w14:paraId="5EAA9380">
      <w:pPr>
        <w:pStyle w:val="13"/>
        <w:tabs>
          <w:tab w:val="left" w:pos="360"/>
        </w:tabs>
        <w:spacing w:beforeAutospacing="0" w:afterAutospacing="0"/>
        <w:ind w:firstLine="1200"/>
        <w:jc w:val="both"/>
        <w:rPr>
          <w:highlight w:val="none"/>
        </w:rPr>
      </w:pPr>
      <w:r>
        <w:rPr>
          <w:rFonts w:ascii="Times New Roman" w:hAnsi="Times New Roman"/>
          <w:color w:val="000000"/>
          <w:highlight w:val="none"/>
        </w:rPr>
        <w:t>授权单位名称：</w:t>
      </w:r>
      <w:r>
        <w:rPr>
          <w:rFonts w:ascii="Times New Roman" w:hAnsi="Times New Roman"/>
          <w:color w:val="000000"/>
          <w:highlight w:val="none"/>
          <w:u w:val="single"/>
        </w:rPr>
        <w:t>（加盖CA电子公章）</w:t>
      </w:r>
    </w:p>
    <w:p w14:paraId="208F15E9">
      <w:pPr>
        <w:pStyle w:val="13"/>
        <w:tabs>
          <w:tab w:val="left" w:pos="360"/>
        </w:tabs>
        <w:spacing w:beforeAutospacing="0" w:afterAutospacing="0"/>
        <w:ind w:firstLine="480"/>
        <w:jc w:val="both"/>
        <w:rPr>
          <w:highlight w:val="none"/>
        </w:rPr>
      </w:pPr>
      <w:r>
        <w:rPr>
          <w:rFonts w:ascii="Times New Roman" w:hAnsi="Times New Roman"/>
          <w:color w:val="000000"/>
          <w:highlight w:val="none"/>
        </w:rPr>
        <w:t>      单位地址：</w:t>
      </w:r>
      <w:r>
        <w:rPr>
          <w:rFonts w:ascii="Times New Roman" w:hAnsi="Times New Roman"/>
          <w:color w:val="000000"/>
          <w:highlight w:val="none"/>
          <w:u w:val="single"/>
        </w:rPr>
        <w:t xml:space="preserve">                                         </w:t>
      </w:r>
    </w:p>
    <w:p w14:paraId="1ABE4D75">
      <w:pPr>
        <w:pStyle w:val="13"/>
        <w:tabs>
          <w:tab w:val="left" w:pos="360"/>
        </w:tabs>
        <w:spacing w:beforeAutospacing="0" w:afterAutospacing="0"/>
        <w:ind w:firstLine="480"/>
        <w:jc w:val="both"/>
        <w:rPr>
          <w:highlight w:val="none"/>
        </w:rPr>
      </w:pPr>
      <w:r>
        <w:rPr>
          <w:rFonts w:ascii="Times New Roman" w:hAnsi="Times New Roman"/>
          <w:color w:val="000000"/>
          <w:highlight w:val="none"/>
        </w:rPr>
        <w:t>      日期：</w:t>
      </w:r>
      <w:bookmarkStart w:id="353" w:name="_Hlt26955070"/>
      <w:bookmarkStart w:id="354" w:name="_Hlt26671380"/>
      <w:bookmarkStart w:id="355" w:name="_格式3__银行出具的资信证明"/>
      <w:r>
        <w:rPr>
          <w:rFonts w:ascii="Times New Roman" w:hAnsi="Times New Roman"/>
          <w:color w:val="000000"/>
          <w:highlight w:val="none"/>
          <w:u w:val="single"/>
        </w:rPr>
        <w:t xml:space="preserve">                                         </w:t>
      </w:r>
    </w:p>
    <w:p w14:paraId="22BC2E0E">
      <w:pPr>
        <w:pStyle w:val="13"/>
        <w:spacing w:beforeAutospacing="0" w:afterAutospacing="0"/>
        <w:ind w:firstLine="420"/>
        <w:jc w:val="both"/>
        <w:rPr>
          <w:highlight w:val="none"/>
        </w:rPr>
      </w:pPr>
      <w:r>
        <w:rPr>
          <w:highlight w:val="none"/>
        </w:rPr>
        <w:t> </w:t>
      </w:r>
    </w:p>
    <w:p w14:paraId="12042EB6">
      <w:pPr>
        <w:pStyle w:val="13"/>
        <w:spacing w:beforeAutospacing="0" w:afterAutospacing="0"/>
        <w:jc w:val="both"/>
        <w:rPr>
          <w:highlight w:val="none"/>
        </w:rPr>
      </w:pPr>
      <w:r>
        <w:rPr>
          <w:highlight w:val="none"/>
        </w:rPr>
        <w:t> </w:t>
      </w:r>
    </w:p>
    <w:p w14:paraId="697124E0">
      <w:pPr>
        <w:pStyle w:val="13"/>
        <w:spacing w:beforeAutospacing="0" w:afterAutospacing="0" w:line="0" w:lineRule="atLeast"/>
        <w:jc w:val="both"/>
        <w:rPr>
          <w:highlight w:val="none"/>
          <w:shd w:val="clear" w:color="auto" w:fill="auto"/>
        </w:rPr>
      </w:pPr>
      <w:r>
        <w:rPr>
          <w:highlight w:val="none"/>
          <w:shd w:val="clear" w:color="auto" w:fill="auto"/>
        </w:rPr>
        <w:t> </w:t>
      </w:r>
    </w:p>
    <w:p w14:paraId="42465921">
      <w:pPr>
        <w:pStyle w:val="13"/>
        <w:keepNext/>
        <w:keepLines/>
        <w:spacing w:before="260" w:beforeAutospacing="0" w:after="260" w:afterAutospacing="0" w:line="415" w:lineRule="auto"/>
        <w:ind w:firstLine="3390"/>
        <w:jc w:val="both"/>
        <w:rPr>
          <w:highlight w:val="none"/>
        </w:rPr>
      </w:pPr>
      <w:r>
        <w:rPr>
          <w:rFonts w:hint="eastAsia" w:ascii="宋体" w:hAnsi="宋体" w:eastAsia="宋体" w:cs="宋体"/>
          <w:b/>
          <w:color w:val="000000"/>
          <w:highlight w:val="none"/>
        </w:rPr>
        <w:br w:type="page"/>
      </w:r>
      <w:r>
        <w:rPr>
          <w:rFonts w:hint="eastAsia" w:ascii="宋体" w:hAnsi="宋体" w:eastAsia="宋体" w:cs="宋体"/>
          <w:b/>
          <w:color w:val="000000"/>
          <w:highlight w:val="none"/>
        </w:rPr>
        <w:t> </w:t>
      </w:r>
      <w:r>
        <w:rPr>
          <w:rFonts w:hint="eastAsia" w:ascii="黑体" w:hAnsi="宋体" w:eastAsia="黑体" w:cs="黑体"/>
          <w:b/>
          <w:i/>
          <w:color w:val="000000"/>
          <w:sz w:val="32"/>
          <w:szCs w:val="32"/>
          <w:highlight w:val="none"/>
          <w:u w:val="single"/>
        </w:rPr>
        <w:t>八、投标函</w:t>
      </w:r>
    </w:p>
    <w:p w14:paraId="2CFFB5FF">
      <w:pPr>
        <w:pStyle w:val="13"/>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致：盐城市阜宁生态环境局</w:t>
      </w:r>
    </w:p>
    <w:p w14:paraId="4AE4A4D9">
      <w:pPr>
        <w:pStyle w:val="13"/>
        <w:spacing w:beforeAutospacing="0" w:afterAutospacing="0" w:line="0" w:lineRule="atLeast"/>
        <w:ind w:firstLine="480"/>
        <w:rPr>
          <w:highlight w:val="none"/>
        </w:rPr>
      </w:pPr>
      <w:r>
        <w:rPr>
          <w:rFonts w:hint="eastAsia" w:ascii="宋体" w:hAnsi="宋体" w:eastAsia="宋体" w:cs="宋体"/>
          <w:color w:val="000000"/>
          <w:highlight w:val="none"/>
        </w:rPr>
        <w:t>根据贵方的</w:t>
      </w:r>
      <w:r>
        <w:rPr>
          <w:rFonts w:hint="eastAsia" w:ascii="宋体" w:hAnsi="宋体" w:eastAsia="宋体" w:cs="宋体"/>
          <w:color w:val="000000"/>
          <w:highlight w:val="none"/>
          <w:u w:val="single"/>
        </w:rPr>
        <w:t>JSZC-320923-YCYH-G2026-0003</w:t>
      </w:r>
      <w:r>
        <w:rPr>
          <w:rFonts w:hint="eastAsia" w:ascii="宋体" w:hAnsi="宋体" w:eastAsia="宋体" w:cs="宋体"/>
          <w:color w:val="000000"/>
          <w:highlight w:val="none"/>
        </w:rPr>
        <w:t>号招标文件，正式授权下述签字人_________________(姓名)代表我方______________（投标人的名称），全权处理本次项目投标的有关事宜。</w:t>
      </w:r>
    </w:p>
    <w:p w14:paraId="56CCF600">
      <w:pPr>
        <w:pStyle w:val="13"/>
        <w:spacing w:beforeAutospacing="0" w:afterAutospacing="0" w:line="0" w:lineRule="atLeast"/>
        <w:ind w:firstLine="480"/>
        <w:rPr>
          <w:rFonts w:hint="eastAsia" w:ascii="宋体" w:hAnsi="宋体" w:eastAsia="宋体" w:cs="宋体"/>
          <w:color w:val="000000"/>
          <w:highlight w:val="none"/>
        </w:rPr>
      </w:pPr>
      <w:r>
        <w:rPr>
          <w:rFonts w:hint="eastAsia" w:ascii="宋体" w:hAnsi="宋体" w:eastAsia="宋体" w:cs="宋体"/>
          <w:color w:val="000000"/>
          <w:highlight w:val="none"/>
        </w:rPr>
        <w:t>据此函，签字人兹宣布同意如下：</w:t>
      </w:r>
    </w:p>
    <w:p w14:paraId="208D0767">
      <w:pPr>
        <w:pStyle w:val="13"/>
        <w:spacing w:beforeAutospacing="0" w:afterAutospacing="0" w:line="0" w:lineRule="atLeast"/>
        <w:ind w:firstLine="480"/>
        <w:rPr>
          <w:highlight w:val="none"/>
        </w:rPr>
      </w:pPr>
      <w:r>
        <w:rPr>
          <w:rFonts w:hint="eastAsia" w:ascii="宋体" w:hAnsi="宋体" w:eastAsia="宋体" w:cs="宋体"/>
          <w:color w:val="000000"/>
          <w:highlight w:val="none"/>
        </w:rPr>
        <w:t>1.按招标文件规定的各项要求，向买方提供所需货物（包含与货物相关的服务）。</w:t>
      </w:r>
    </w:p>
    <w:p w14:paraId="6AE3C05B">
      <w:pPr>
        <w:pStyle w:val="13"/>
        <w:spacing w:beforeAutospacing="0" w:afterAutospacing="0" w:line="0" w:lineRule="atLeast"/>
        <w:ind w:firstLine="480"/>
        <w:rPr>
          <w:highlight w:val="none"/>
        </w:rPr>
      </w:pPr>
      <w:r>
        <w:rPr>
          <w:rFonts w:hint="eastAsia" w:ascii="宋体" w:hAnsi="宋体" w:eastAsia="宋体" w:cs="宋体"/>
          <w:color w:val="000000"/>
          <w:highlight w:val="none"/>
        </w:rPr>
        <w:t>2.我们完全理解贵方不一定将合同授予最低报价的投标人。</w:t>
      </w:r>
    </w:p>
    <w:p w14:paraId="674E47C7">
      <w:pPr>
        <w:pStyle w:val="13"/>
        <w:spacing w:beforeAutospacing="0" w:afterAutospacing="0" w:line="0" w:lineRule="atLeast"/>
        <w:ind w:firstLine="480"/>
        <w:rPr>
          <w:highlight w:val="none"/>
        </w:rPr>
      </w:pPr>
      <w:r>
        <w:rPr>
          <w:rFonts w:hint="eastAsia" w:ascii="宋体" w:hAnsi="宋体" w:eastAsia="宋体" w:cs="宋体"/>
          <w:color w:val="000000"/>
          <w:highlight w:val="none"/>
        </w:rPr>
        <w:t>3.我们已详细审核全部招标文件及其有效补充文件，我们知道必须放弃提出含糊不清或误解问题的权利。</w:t>
      </w:r>
    </w:p>
    <w:p w14:paraId="283A4DCD">
      <w:pPr>
        <w:pStyle w:val="13"/>
        <w:spacing w:beforeAutospacing="0" w:afterAutospacing="0" w:line="0" w:lineRule="atLeast"/>
        <w:ind w:firstLine="480"/>
        <w:rPr>
          <w:highlight w:val="none"/>
        </w:rPr>
      </w:pPr>
      <w:r>
        <w:rPr>
          <w:rFonts w:hint="eastAsia" w:ascii="宋体" w:hAnsi="宋体" w:eastAsia="宋体" w:cs="宋体"/>
          <w:color w:val="000000"/>
          <w:highlight w:val="none"/>
        </w:rPr>
        <w:t>4.我们同意从规定的开标日期起遵循本投标文件，并在规定的投标有效期期满之前均具有约束力。</w:t>
      </w:r>
    </w:p>
    <w:p w14:paraId="6D012F91">
      <w:pPr>
        <w:pStyle w:val="13"/>
        <w:spacing w:beforeAutospacing="0" w:afterAutospacing="0" w:line="0" w:lineRule="atLeast"/>
        <w:ind w:firstLine="480"/>
        <w:rPr>
          <w:highlight w:val="none"/>
        </w:rPr>
      </w:pPr>
      <w:r>
        <w:rPr>
          <w:rFonts w:hint="eastAsia" w:ascii="宋体" w:hAnsi="宋体" w:eastAsia="宋体" w:cs="宋体"/>
          <w:color w:val="000000"/>
          <w:highlight w:val="none"/>
        </w:rPr>
        <w:t>5.同意向贵方提供贵方可能另外要求的与投标有关的任何证据或资料，并保证我方已提供和将要提供的文件是真实的、准确的。</w:t>
      </w:r>
    </w:p>
    <w:p w14:paraId="6E55D021">
      <w:pPr>
        <w:pStyle w:val="13"/>
        <w:spacing w:beforeAutospacing="0" w:afterAutospacing="0" w:line="0" w:lineRule="atLeast"/>
        <w:ind w:firstLine="480"/>
        <w:rPr>
          <w:highlight w:val="none"/>
        </w:rPr>
      </w:pPr>
      <w:r>
        <w:rPr>
          <w:rFonts w:hint="eastAsia" w:ascii="宋体" w:hAnsi="宋体" w:eastAsia="宋体" w:cs="宋体"/>
          <w:color w:val="000000"/>
          <w:highlight w:val="none"/>
        </w:rPr>
        <w:t>6.一旦我方中标,我方将根据招标文件的规定，严格履行合同的责任和义务,并保证在招标文件规定的时间完成项目，交付买方验收、使用。</w:t>
      </w:r>
    </w:p>
    <w:p w14:paraId="70E91395">
      <w:pPr>
        <w:pStyle w:val="13"/>
        <w:spacing w:beforeAutospacing="0" w:afterAutospacing="0" w:line="0" w:lineRule="atLeast"/>
        <w:ind w:left="425"/>
        <w:rPr>
          <w:highlight w:val="none"/>
        </w:rPr>
      </w:pPr>
      <w:r>
        <w:rPr>
          <w:rFonts w:hint="eastAsia" w:ascii="宋体" w:hAnsi="宋体" w:eastAsia="宋体" w:cs="宋体"/>
          <w:color w:val="000000"/>
          <w:highlight w:val="none"/>
        </w:rPr>
        <w:t>7.与本投标有关的正式通讯地址为：</w:t>
      </w:r>
    </w:p>
    <w:p w14:paraId="3EF35FFD">
      <w:pPr>
        <w:pStyle w:val="13"/>
        <w:spacing w:beforeAutospacing="0" w:afterAutospacing="0" w:line="0" w:lineRule="atLeast"/>
        <w:ind w:left="420" w:firstLine="480"/>
        <w:rPr>
          <w:highlight w:val="none"/>
        </w:rPr>
      </w:pPr>
      <w:r>
        <w:rPr>
          <w:rFonts w:hint="eastAsia" w:ascii="宋体" w:hAnsi="宋体" w:eastAsia="宋体" w:cs="宋体"/>
          <w:color w:val="000000"/>
          <w:highlight w:val="none"/>
        </w:rPr>
        <w:t>地          址：</w:t>
      </w:r>
    </w:p>
    <w:p w14:paraId="0ABCF285">
      <w:pPr>
        <w:pStyle w:val="13"/>
        <w:spacing w:beforeAutospacing="0" w:afterAutospacing="0" w:line="0" w:lineRule="atLeast"/>
        <w:ind w:left="420" w:firstLine="480"/>
        <w:rPr>
          <w:highlight w:val="none"/>
        </w:rPr>
      </w:pPr>
      <w:r>
        <w:rPr>
          <w:rFonts w:hint="eastAsia" w:ascii="宋体" w:hAnsi="宋体" w:eastAsia="宋体" w:cs="宋体"/>
          <w:color w:val="000000"/>
          <w:highlight w:val="none"/>
        </w:rPr>
        <w:t>邮          编：</w:t>
      </w:r>
    </w:p>
    <w:p w14:paraId="321F11A4">
      <w:pPr>
        <w:pStyle w:val="13"/>
        <w:spacing w:beforeAutospacing="0" w:afterAutospacing="0" w:line="0" w:lineRule="atLeast"/>
        <w:ind w:left="420" w:firstLine="480"/>
        <w:rPr>
          <w:highlight w:val="none"/>
        </w:rPr>
      </w:pPr>
      <w:r>
        <w:rPr>
          <w:rFonts w:hint="eastAsia" w:ascii="宋体" w:hAnsi="宋体" w:eastAsia="宋体" w:cs="宋体"/>
          <w:color w:val="000000"/>
          <w:highlight w:val="none"/>
        </w:rPr>
        <w:t>电          话：</w:t>
      </w:r>
    </w:p>
    <w:p w14:paraId="11BBD12B">
      <w:pPr>
        <w:pStyle w:val="13"/>
        <w:spacing w:beforeAutospacing="0" w:afterAutospacing="0" w:line="0" w:lineRule="atLeast"/>
        <w:ind w:left="420" w:firstLine="480"/>
        <w:rPr>
          <w:highlight w:val="none"/>
        </w:rPr>
      </w:pPr>
      <w:r>
        <w:rPr>
          <w:rFonts w:hint="eastAsia" w:ascii="宋体" w:hAnsi="宋体" w:eastAsia="宋体" w:cs="宋体"/>
          <w:color w:val="000000"/>
          <w:highlight w:val="none"/>
        </w:rPr>
        <w:t>传          真：</w:t>
      </w:r>
    </w:p>
    <w:p w14:paraId="7530FB6D">
      <w:pPr>
        <w:pStyle w:val="13"/>
        <w:spacing w:beforeAutospacing="0" w:afterAutospacing="0" w:line="0" w:lineRule="atLeast"/>
        <w:ind w:left="420" w:firstLine="480"/>
        <w:rPr>
          <w:highlight w:val="none"/>
        </w:rPr>
      </w:pPr>
      <w:r>
        <w:rPr>
          <w:rFonts w:hint="eastAsia" w:ascii="宋体" w:hAnsi="宋体" w:eastAsia="宋体" w:cs="宋体"/>
          <w:color w:val="000000"/>
          <w:highlight w:val="none"/>
        </w:rPr>
        <w:t>投标人开户行：</w:t>
      </w:r>
    </w:p>
    <w:p w14:paraId="45C5F35C">
      <w:pPr>
        <w:pStyle w:val="13"/>
        <w:spacing w:beforeAutospacing="0" w:afterAutospacing="0" w:line="0" w:lineRule="atLeast"/>
        <w:ind w:left="420" w:firstLine="480"/>
        <w:rPr>
          <w:highlight w:val="none"/>
        </w:rPr>
      </w:pPr>
      <w:r>
        <w:rPr>
          <w:rFonts w:hint="eastAsia" w:ascii="宋体" w:hAnsi="宋体" w:eastAsia="宋体" w:cs="宋体"/>
          <w:color w:val="000000"/>
          <w:highlight w:val="none"/>
        </w:rPr>
        <w:t xml:space="preserve">账          号： </w:t>
      </w:r>
    </w:p>
    <w:p w14:paraId="359939A7">
      <w:pPr>
        <w:pStyle w:val="13"/>
        <w:spacing w:beforeAutospacing="0" w:afterAutospacing="0" w:line="0" w:lineRule="atLeast"/>
        <w:ind w:left="420" w:firstLine="480"/>
        <w:rPr>
          <w:highlight w:val="none"/>
        </w:rPr>
      </w:pPr>
      <w:r>
        <w:rPr>
          <w:rFonts w:hint="eastAsia" w:ascii="宋体" w:hAnsi="宋体" w:eastAsia="宋体" w:cs="宋体"/>
          <w:color w:val="000000"/>
          <w:highlight w:val="none"/>
        </w:rPr>
        <w:t>日           期：________年____月____日</w:t>
      </w:r>
    </w:p>
    <w:p w14:paraId="242118EF">
      <w:pPr>
        <w:pStyle w:val="13"/>
        <w:spacing w:beforeAutospacing="0" w:afterAutospacing="0" w:line="0" w:lineRule="atLeast"/>
        <w:ind w:firstLine="240"/>
        <w:jc w:val="center"/>
        <w:rPr>
          <w:highlight w:val="none"/>
        </w:rPr>
      </w:pPr>
      <w:r>
        <w:rPr>
          <w:highlight w:val="none"/>
        </w:rPr>
        <w:t> </w:t>
      </w:r>
    </w:p>
    <w:p w14:paraId="5FF63AF8">
      <w:pPr>
        <w:pStyle w:val="13"/>
        <w:spacing w:beforeAutospacing="0" w:afterAutospacing="0" w:line="0" w:lineRule="atLeast"/>
        <w:ind w:firstLine="240"/>
        <w:jc w:val="center"/>
        <w:rPr>
          <w:highlight w:val="none"/>
        </w:rPr>
      </w:pPr>
      <w:r>
        <w:rPr>
          <w:highlight w:val="none"/>
        </w:rPr>
        <w:t> </w:t>
      </w:r>
    </w:p>
    <w:p w14:paraId="09AF5CA3">
      <w:pPr>
        <w:pStyle w:val="13"/>
        <w:spacing w:beforeAutospacing="0" w:afterAutospacing="0" w:line="0" w:lineRule="atLeast"/>
        <w:ind w:firstLine="240"/>
        <w:jc w:val="center"/>
        <w:rPr>
          <w:highlight w:val="none"/>
        </w:rPr>
      </w:pPr>
      <w:r>
        <w:rPr>
          <w:highlight w:val="none"/>
        </w:rPr>
        <w:t> </w:t>
      </w:r>
    </w:p>
    <w:p w14:paraId="212BE2DE">
      <w:pPr>
        <w:pStyle w:val="13"/>
        <w:spacing w:beforeAutospacing="0" w:afterAutospacing="0" w:line="0" w:lineRule="atLeast"/>
        <w:ind w:firstLine="240"/>
        <w:jc w:val="center"/>
        <w:rPr>
          <w:highlight w:val="none"/>
        </w:rPr>
      </w:pPr>
      <w:r>
        <w:rPr>
          <w:highlight w:val="none"/>
        </w:rPr>
        <w:t> </w:t>
      </w:r>
    </w:p>
    <w:p w14:paraId="5F43314E">
      <w:pPr>
        <w:pStyle w:val="13"/>
        <w:spacing w:beforeAutospacing="0" w:afterAutospacing="0" w:line="0" w:lineRule="atLeast"/>
        <w:ind w:firstLine="240"/>
        <w:jc w:val="center"/>
        <w:rPr>
          <w:highlight w:val="none"/>
        </w:rPr>
      </w:pPr>
    </w:p>
    <w:p w14:paraId="62026C5B">
      <w:pPr>
        <w:pStyle w:val="13"/>
        <w:spacing w:beforeAutospacing="0" w:afterAutospacing="0" w:line="0" w:lineRule="atLeast"/>
        <w:ind w:firstLine="240"/>
        <w:jc w:val="center"/>
        <w:rPr>
          <w:highlight w:val="none"/>
        </w:rPr>
      </w:pPr>
    </w:p>
    <w:p w14:paraId="3AAF460A">
      <w:pPr>
        <w:pStyle w:val="13"/>
        <w:spacing w:beforeAutospacing="0" w:afterAutospacing="0" w:line="0" w:lineRule="atLeast"/>
        <w:ind w:firstLine="240"/>
        <w:jc w:val="center"/>
        <w:rPr>
          <w:highlight w:val="none"/>
        </w:rPr>
      </w:pPr>
    </w:p>
    <w:p w14:paraId="3CB4837C">
      <w:pPr>
        <w:pStyle w:val="13"/>
        <w:spacing w:beforeAutospacing="0" w:afterAutospacing="0" w:line="0" w:lineRule="atLeast"/>
        <w:ind w:firstLine="240"/>
        <w:jc w:val="center"/>
        <w:rPr>
          <w:highlight w:val="none"/>
        </w:rPr>
      </w:pPr>
    </w:p>
    <w:p w14:paraId="015F5116">
      <w:pPr>
        <w:pStyle w:val="13"/>
        <w:spacing w:beforeAutospacing="0" w:afterAutospacing="0" w:line="0" w:lineRule="atLeast"/>
        <w:ind w:firstLine="240"/>
        <w:jc w:val="center"/>
        <w:rPr>
          <w:highlight w:val="none"/>
        </w:rPr>
      </w:pPr>
    </w:p>
    <w:p w14:paraId="62F8D512">
      <w:pPr>
        <w:pStyle w:val="13"/>
        <w:spacing w:beforeAutospacing="0" w:afterAutospacing="0" w:line="0" w:lineRule="atLeast"/>
        <w:ind w:firstLine="240"/>
        <w:jc w:val="center"/>
        <w:rPr>
          <w:highlight w:val="none"/>
        </w:rPr>
      </w:pPr>
    </w:p>
    <w:p w14:paraId="17003511">
      <w:pPr>
        <w:pStyle w:val="13"/>
        <w:spacing w:beforeAutospacing="0" w:afterAutospacing="0" w:line="0" w:lineRule="atLeast"/>
        <w:ind w:firstLine="240"/>
        <w:jc w:val="center"/>
        <w:rPr>
          <w:highlight w:val="none"/>
        </w:rPr>
      </w:pPr>
    </w:p>
    <w:p w14:paraId="5412F31A">
      <w:pPr>
        <w:pStyle w:val="13"/>
        <w:spacing w:beforeAutospacing="0" w:afterAutospacing="0" w:line="0" w:lineRule="atLeast"/>
        <w:ind w:firstLine="240"/>
        <w:jc w:val="center"/>
        <w:rPr>
          <w:highlight w:val="none"/>
        </w:rPr>
      </w:pPr>
    </w:p>
    <w:p w14:paraId="1F7E3D04">
      <w:pPr>
        <w:pStyle w:val="13"/>
        <w:spacing w:beforeAutospacing="0" w:afterAutospacing="0" w:line="0" w:lineRule="atLeast"/>
        <w:ind w:firstLine="240"/>
        <w:jc w:val="center"/>
        <w:rPr>
          <w:highlight w:val="none"/>
        </w:rPr>
      </w:pPr>
    </w:p>
    <w:p w14:paraId="340FED64">
      <w:pPr>
        <w:pStyle w:val="13"/>
        <w:spacing w:beforeAutospacing="0" w:afterAutospacing="0" w:line="0" w:lineRule="atLeast"/>
        <w:ind w:firstLine="240"/>
        <w:jc w:val="center"/>
        <w:rPr>
          <w:highlight w:val="none"/>
        </w:rPr>
      </w:pPr>
    </w:p>
    <w:p w14:paraId="4EB3A777">
      <w:pPr>
        <w:pStyle w:val="13"/>
        <w:spacing w:beforeAutospacing="0" w:afterAutospacing="0" w:line="0" w:lineRule="atLeast"/>
        <w:ind w:firstLine="240"/>
        <w:jc w:val="center"/>
        <w:rPr>
          <w:highlight w:val="none"/>
        </w:rPr>
      </w:pPr>
    </w:p>
    <w:p w14:paraId="509B8982">
      <w:pPr>
        <w:pStyle w:val="13"/>
        <w:spacing w:beforeAutospacing="0" w:afterAutospacing="0" w:line="0" w:lineRule="atLeast"/>
        <w:ind w:firstLine="240"/>
        <w:jc w:val="center"/>
        <w:rPr>
          <w:highlight w:val="none"/>
        </w:rPr>
      </w:pPr>
    </w:p>
    <w:p w14:paraId="69D6B82F">
      <w:pPr>
        <w:pStyle w:val="13"/>
        <w:spacing w:beforeAutospacing="0" w:afterAutospacing="0" w:line="0" w:lineRule="atLeast"/>
        <w:ind w:firstLine="240"/>
        <w:jc w:val="center"/>
        <w:rPr>
          <w:highlight w:val="none"/>
        </w:rPr>
      </w:pPr>
      <w:r>
        <w:rPr>
          <w:highlight w:val="none"/>
        </w:rPr>
        <w:t> </w:t>
      </w:r>
    </w:p>
    <w:p w14:paraId="76E9D5C9">
      <w:pPr>
        <w:pStyle w:val="13"/>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t>九、</w:t>
      </w:r>
      <w:r>
        <w:rPr>
          <w:rFonts w:hint="eastAsia" w:ascii="黑体" w:hAnsi="宋体" w:eastAsia="黑体" w:cs="黑体"/>
          <w:b/>
          <w:color w:val="auto"/>
          <w:sz w:val="32"/>
          <w:szCs w:val="32"/>
          <w:highlight w:val="none"/>
          <w:lang w:val="en-US" w:eastAsia="zh-CN"/>
        </w:rPr>
        <w:t>中小</w:t>
      </w:r>
      <w:r>
        <w:rPr>
          <w:rFonts w:hint="eastAsia" w:ascii="黑体" w:hAnsi="宋体" w:eastAsia="黑体" w:cs="黑体"/>
          <w:b/>
          <w:color w:val="auto"/>
          <w:sz w:val="32"/>
          <w:szCs w:val="32"/>
          <w:highlight w:val="none"/>
        </w:rPr>
        <w:t>企业声明函（</w:t>
      </w:r>
      <w:r>
        <w:rPr>
          <w:rFonts w:hint="eastAsia" w:ascii="黑体" w:hAnsi="宋体" w:eastAsia="黑体" w:cs="黑体"/>
          <w:b/>
          <w:color w:val="auto"/>
          <w:sz w:val="32"/>
          <w:szCs w:val="32"/>
          <w:highlight w:val="none"/>
          <w:lang w:val="en-US" w:eastAsia="zh-CN"/>
        </w:rPr>
        <w:t>货物</w:t>
      </w:r>
      <w:r>
        <w:rPr>
          <w:rFonts w:hint="eastAsia" w:ascii="黑体" w:hAnsi="宋体" w:eastAsia="黑体" w:cs="黑体"/>
          <w:b/>
          <w:color w:val="auto"/>
          <w:sz w:val="32"/>
          <w:szCs w:val="32"/>
          <w:highlight w:val="none"/>
        </w:rPr>
        <w:t>）</w:t>
      </w:r>
    </w:p>
    <w:p w14:paraId="3751E010">
      <w:pPr>
        <w:spacing w:line="500" w:lineRule="exact"/>
        <w:ind w:firstLine="480"/>
        <w:jc w:val="both"/>
        <w:rPr>
          <w:rFonts w:hint="eastAsia"/>
          <w:color w:val="auto"/>
          <w:sz w:val="24"/>
          <w:highlight w:val="none"/>
        </w:rPr>
      </w:pPr>
    </w:p>
    <w:p w14:paraId="1DCF832C">
      <w:pPr>
        <w:spacing w:line="500" w:lineRule="exact"/>
        <w:ind w:firstLine="480"/>
        <w:jc w:val="both"/>
        <w:rPr>
          <w:rFonts w:hint="eastAsia"/>
          <w:color w:val="auto"/>
          <w:sz w:val="24"/>
          <w:highlight w:val="none"/>
        </w:rPr>
      </w:pPr>
      <w:r>
        <w:rPr>
          <w:rFonts w:hint="eastAsia"/>
          <w:color w:val="auto"/>
          <w:sz w:val="24"/>
          <w:highlight w:val="none"/>
        </w:rPr>
        <w:t>本公司（联合体）郑重声明，根据《政府采购促进中小企业发展管理办法》(财库</w:t>
      </w:r>
      <w:r>
        <w:rPr>
          <w:rFonts w:hint="eastAsia"/>
          <w:color w:val="auto"/>
          <w:sz w:val="24"/>
          <w:highlight w:val="none"/>
          <w:lang w:eastAsia="zh-CN"/>
        </w:rPr>
        <w:t>〔2020〕46号</w:t>
      </w:r>
      <w:r>
        <w:rPr>
          <w:rFonts w:hint="eastAsia"/>
          <w:color w:val="auto"/>
          <w:sz w:val="24"/>
          <w:highlight w:val="none"/>
        </w:rPr>
        <w:t>)的规定，本公司（联合体）参加</w:t>
      </w:r>
      <w:r>
        <w:rPr>
          <w:rFonts w:hint="eastAsia"/>
          <w:color w:val="auto"/>
          <w:sz w:val="24"/>
          <w:highlight w:val="none"/>
          <w:u w:val="single"/>
        </w:rPr>
        <w:t>盐城市阜宁生态环境局</w:t>
      </w:r>
      <w:r>
        <w:rPr>
          <w:rFonts w:hint="eastAsia"/>
          <w:color w:val="auto"/>
          <w:sz w:val="24"/>
          <w:highlight w:val="none"/>
        </w:rPr>
        <w:t>，采购编号为</w:t>
      </w:r>
      <w:r>
        <w:rPr>
          <w:rFonts w:hint="eastAsia"/>
          <w:color w:val="auto"/>
          <w:sz w:val="24"/>
          <w:highlight w:val="none"/>
          <w:u w:val="single"/>
        </w:rPr>
        <w:t xml:space="preserve">  JSZC-320923-YCYH-G2026-0003</w:t>
      </w:r>
      <w:r>
        <w:rPr>
          <w:rFonts w:hint="eastAsia"/>
          <w:color w:val="auto"/>
          <w:sz w:val="24"/>
          <w:highlight w:val="none"/>
          <w:u w:val="single"/>
          <w:lang w:val="en-US" w:eastAsia="zh-CN"/>
        </w:rPr>
        <w:t xml:space="preserve">  </w:t>
      </w:r>
      <w:r>
        <w:rPr>
          <w:rFonts w:hint="eastAsia"/>
          <w:color w:val="auto"/>
          <w:sz w:val="24"/>
          <w:highlight w:val="none"/>
        </w:rPr>
        <w:t>的</w:t>
      </w:r>
      <w:r>
        <w:rPr>
          <w:rFonts w:hint="eastAsia"/>
          <w:color w:val="auto"/>
          <w:sz w:val="24"/>
          <w:highlight w:val="none"/>
          <w:u w:val="single"/>
          <w:lang w:val="en-US" w:eastAsia="zh-CN"/>
        </w:rPr>
        <w:t xml:space="preserve"> 三灶镇三份港、射阳河海事处水质自动监测站建设及二年运维服务项目 </w:t>
      </w:r>
      <w:r>
        <w:rPr>
          <w:rFonts w:hint="eastAsia"/>
          <w:color w:val="auto"/>
          <w:sz w:val="24"/>
          <w:highlight w:val="none"/>
        </w:rPr>
        <w:t>的采购活动，提供的货物全部由符合政策要求的</w:t>
      </w:r>
      <w:r>
        <w:rPr>
          <w:rFonts w:hint="eastAsia"/>
          <w:color w:val="auto"/>
          <w:sz w:val="24"/>
          <w:highlight w:val="none"/>
          <w:lang w:val="en-US" w:eastAsia="zh-CN"/>
        </w:rPr>
        <w:t>中小</w:t>
      </w:r>
      <w:r>
        <w:rPr>
          <w:rFonts w:hint="eastAsia"/>
          <w:color w:val="auto"/>
          <w:sz w:val="24"/>
          <w:highlight w:val="none"/>
        </w:rPr>
        <w:t>企业制造。相关企业（含联合体中</w:t>
      </w:r>
      <w:r>
        <w:rPr>
          <w:rFonts w:hint="eastAsia"/>
          <w:color w:val="auto"/>
          <w:sz w:val="24"/>
          <w:highlight w:val="none"/>
          <w:lang w:val="en-US" w:eastAsia="zh-CN"/>
        </w:rPr>
        <w:t>的中小</w:t>
      </w:r>
      <w:r>
        <w:rPr>
          <w:rFonts w:hint="eastAsia"/>
          <w:color w:val="auto"/>
          <w:sz w:val="24"/>
          <w:highlight w:val="none"/>
        </w:rPr>
        <w:t>企业、签订分包意向协议的</w:t>
      </w:r>
      <w:r>
        <w:rPr>
          <w:rFonts w:hint="eastAsia"/>
          <w:color w:val="auto"/>
          <w:sz w:val="24"/>
          <w:highlight w:val="none"/>
          <w:lang w:val="en-US" w:eastAsia="zh-CN"/>
        </w:rPr>
        <w:t>中</w:t>
      </w:r>
      <w:r>
        <w:rPr>
          <w:rFonts w:hint="eastAsia"/>
          <w:color w:val="auto"/>
          <w:sz w:val="24"/>
          <w:highlight w:val="none"/>
        </w:rPr>
        <w:t>小企业）的具体情况如下：</w:t>
      </w:r>
    </w:p>
    <w:p w14:paraId="4486B871">
      <w:pPr>
        <w:pStyle w:val="13"/>
        <w:widowControl w:val="0"/>
        <w:spacing w:before="0" w:beforeAutospacing="0" w:after="0" w:afterAutospacing="0" w:line="360" w:lineRule="auto"/>
        <w:ind w:firstLine="360"/>
        <w:jc w:val="both"/>
        <w:rPr>
          <w:color w:val="auto"/>
          <w:highlight w:val="none"/>
        </w:rPr>
      </w:pPr>
      <w:r>
        <w:rPr>
          <w:rFonts w:hint="eastAsia"/>
          <w:color w:val="auto"/>
          <w:highlight w:val="none"/>
        </w:rPr>
        <w:t>1.</w:t>
      </w:r>
      <w:r>
        <w:rPr>
          <w:rFonts w:hint="eastAsia"/>
          <w:color w:val="auto"/>
          <w:highlight w:val="none"/>
          <w:u w:val="single"/>
        </w:rPr>
        <w:t>（标的名称）</w:t>
      </w:r>
      <w:r>
        <w:rPr>
          <w:rFonts w:hint="eastAsia"/>
          <w:i/>
          <w:color w:val="auto"/>
          <w:highlight w:val="none"/>
        </w:rPr>
        <w:t>，</w:t>
      </w:r>
      <w:r>
        <w:rPr>
          <w:rFonts w:hint="eastAsia"/>
          <w:color w:val="auto"/>
          <w:highlight w:val="none"/>
        </w:rPr>
        <w:t>属于</w:t>
      </w:r>
      <w:r>
        <w:rPr>
          <w:rFonts w:hint="eastAsia"/>
          <w:color w:val="auto"/>
          <w:highlight w:val="none"/>
          <w:u w:val="single"/>
          <w:lang w:val="en-US" w:eastAsia="zh-CN"/>
        </w:rPr>
        <w:t>(采购文件中明确的所属行业)</w:t>
      </w:r>
      <w:r>
        <w:rPr>
          <w:rFonts w:hint="eastAsia"/>
          <w:color w:val="auto"/>
          <w:highlight w:val="none"/>
        </w:rPr>
        <w:t>行业；制造商为</w:t>
      </w:r>
      <w:r>
        <w:rPr>
          <w:rFonts w:hint="eastAsia"/>
          <w:color w:val="auto"/>
          <w:highlight w:val="none"/>
          <w:u w:val="single"/>
        </w:rPr>
        <w:t>（企业名称）</w:t>
      </w:r>
      <w:r>
        <w:rPr>
          <w:rFonts w:hint="eastAsia"/>
          <w:color w:val="auto"/>
          <w:highlight w:val="none"/>
        </w:rPr>
        <w:t>，从业人员</w:t>
      </w:r>
      <w:r>
        <w:rPr>
          <w:rFonts w:hint="eastAsia"/>
          <w:color w:val="auto"/>
          <w:highlight w:val="none"/>
          <w:u w:val="single"/>
        </w:rPr>
        <w:t xml:space="preserve">      </w:t>
      </w:r>
      <w:r>
        <w:rPr>
          <w:rFonts w:hint="eastAsia"/>
          <w:color w:val="auto"/>
          <w:highlight w:val="none"/>
        </w:rPr>
        <w:t>人，营业收入为</w:t>
      </w:r>
      <w:r>
        <w:rPr>
          <w:rFonts w:hint="eastAsia"/>
          <w:color w:val="auto"/>
          <w:highlight w:val="none"/>
          <w:u w:val="single"/>
        </w:rPr>
        <w:t xml:space="preserve">     </w:t>
      </w:r>
      <w:r>
        <w:rPr>
          <w:rFonts w:hint="eastAsia"/>
          <w:color w:val="auto"/>
          <w:highlight w:val="none"/>
        </w:rPr>
        <w:t>万元，资产总额为</w:t>
      </w:r>
      <w:r>
        <w:rPr>
          <w:rFonts w:hint="eastAsia"/>
          <w:color w:val="auto"/>
          <w:highlight w:val="none"/>
          <w:u w:val="single"/>
        </w:rPr>
        <w:t xml:space="preserve">      </w:t>
      </w:r>
      <w:r>
        <w:rPr>
          <w:rFonts w:hint="eastAsia"/>
          <w:color w:val="auto"/>
          <w:highlight w:val="none"/>
        </w:rPr>
        <w:t>万元，属于</w:t>
      </w:r>
      <w:r>
        <w:rPr>
          <w:rFonts w:hint="eastAsia"/>
          <w:color w:val="auto"/>
          <w:highlight w:val="none"/>
          <w:u w:val="single"/>
        </w:rPr>
        <w:t>（中型企业、小型企业、微型企业）；</w:t>
      </w:r>
    </w:p>
    <w:p w14:paraId="11F7B171">
      <w:pPr>
        <w:pStyle w:val="13"/>
        <w:widowControl w:val="0"/>
        <w:spacing w:before="0" w:beforeAutospacing="0" w:after="0" w:afterAutospacing="0" w:line="360" w:lineRule="auto"/>
        <w:ind w:firstLine="360"/>
        <w:jc w:val="both"/>
        <w:rPr>
          <w:color w:val="auto"/>
          <w:highlight w:val="none"/>
        </w:rPr>
      </w:pPr>
      <w:r>
        <w:rPr>
          <w:rFonts w:hint="eastAsia"/>
          <w:color w:val="auto"/>
          <w:highlight w:val="none"/>
        </w:rPr>
        <w:t>2.</w:t>
      </w:r>
      <w:r>
        <w:rPr>
          <w:rFonts w:hint="eastAsia"/>
          <w:color w:val="auto"/>
          <w:highlight w:val="none"/>
          <w:u w:val="single"/>
        </w:rPr>
        <w:t>（标的名称）</w:t>
      </w:r>
      <w:r>
        <w:rPr>
          <w:rFonts w:hint="eastAsia"/>
          <w:i/>
          <w:color w:val="auto"/>
          <w:highlight w:val="none"/>
        </w:rPr>
        <w:t>，</w:t>
      </w:r>
      <w:r>
        <w:rPr>
          <w:rFonts w:hint="eastAsia"/>
          <w:color w:val="auto"/>
          <w:highlight w:val="none"/>
        </w:rPr>
        <w:t>属于</w:t>
      </w:r>
      <w:r>
        <w:rPr>
          <w:rFonts w:hint="eastAsia"/>
          <w:color w:val="auto"/>
          <w:highlight w:val="none"/>
          <w:u w:val="single"/>
          <w:lang w:val="en-US" w:eastAsia="zh-CN"/>
        </w:rPr>
        <w:t>(采购文件中明确的所属行业)</w:t>
      </w:r>
      <w:r>
        <w:rPr>
          <w:rFonts w:hint="eastAsia"/>
          <w:color w:val="auto"/>
          <w:highlight w:val="none"/>
        </w:rPr>
        <w:t>行业；制造商为</w:t>
      </w:r>
      <w:r>
        <w:rPr>
          <w:rFonts w:hint="eastAsia"/>
          <w:color w:val="auto"/>
          <w:highlight w:val="none"/>
          <w:u w:val="single"/>
        </w:rPr>
        <w:t>（企业名称）</w:t>
      </w:r>
      <w:r>
        <w:rPr>
          <w:rFonts w:hint="eastAsia"/>
          <w:color w:val="auto"/>
          <w:highlight w:val="none"/>
        </w:rPr>
        <w:t>，从业人员</w:t>
      </w:r>
      <w:r>
        <w:rPr>
          <w:rFonts w:hint="eastAsia"/>
          <w:color w:val="auto"/>
          <w:highlight w:val="none"/>
          <w:u w:val="single"/>
        </w:rPr>
        <w:t xml:space="preserve">      </w:t>
      </w:r>
      <w:r>
        <w:rPr>
          <w:rFonts w:hint="eastAsia"/>
          <w:color w:val="auto"/>
          <w:highlight w:val="none"/>
        </w:rPr>
        <w:t>人，营业收入为</w:t>
      </w:r>
      <w:r>
        <w:rPr>
          <w:rFonts w:hint="eastAsia"/>
          <w:color w:val="auto"/>
          <w:highlight w:val="none"/>
          <w:u w:val="single"/>
        </w:rPr>
        <w:t xml:space="preserve">     </w:t>
      </w:r>
      <w:r>
        <w:rPr>
          <w:rFonts w:hint="eastAsia"/>
          <w:color w:val="auto"/>
          <w:highlight w:val="none"/>
        </w:rPr>
        <w:t>万元，资产总额为</w:t>
      </w:r>
      <w:r>
        <w:rPr>
          <w:rFonts w:hint="eastAsia"/>
          <w:color w:val="auto"/>
          <w:highlight w:val="none"/>
          <w:u w:val="single"/>
        </w:rPr>
        <w:t xml:space="preserve">      </w:t>
      </w:r>
      <w:r>
        <w:rPr>
          <w:rFonts w:hint="eastAsia"/>
          <w:color w:val="auto"/>
          <w:highlight w:val="none"/>
        </w:rPr>
        <w:t>万元，属于</w:t>
      </w:r>
      <w:r>
        <w:rPr>
          <w:rFonts w:hint="eastAsia"/>
          <w:color w:val="auto"/>
          <w:highlight w:val="none"/>
          <w:u w:val="single"/>
        </w:rPr>
        <w:t>（中型企业、小型企业、微型企业）；</w:t>
      </w:r>
    </w:p>
    <w:p w14:paraId="4362F739">
      <w:pPr>
        <w:pStyle w:val="13"/>
        <w:widowControl w:val="0"/>
        <w:spacing w:before="0" w:beforeAutospacing="0" w:after="0" w:afterAutospacing="0" w:line="360" w:lineRule="auto"/>
        <w:ind w:firstLine="360"/>
        <w:jc w:val="both"/>
        <w:rPr>
          <w:color w:val="auto"/>
          <w:highlight w:val="none"/>
        </w:rPr>
      </w:pPr>
      <w:r>
        <w:rPr>
          <w:rFonts w:hint="eastAsia"/>
          <w:color w:val="auto"/>
          <w:highlight w:val="none"/>
        </w:rPr>
        <w:t>……</w:t>
      </w:r>
    </w:p>
    <w:p w14:paraId="62779450">
      <w:pPr>
        <w:pStyle w:val="13"/>
        <w:widowControl w:val="0"/>
        <w:spacing w:before="0" w:beforeAutospacing="0" w:after="0" w:afterAutospacing="0" w:line="360" w:lineRule="auto"/>
        <w:ind w:firstLine="360"/>
        <w:jc w:val="both"/>
        <w:rPr>
          <w:color w:val="auto"/>
          <w:highlight w:val="none"/>
        </w:rPr>
      </w:pPr>
      <w:r>
        <w:rPr>
          <w:rFonts w:hint="eastAsia"/>
          <w:color w:val="auto"/>
          <w:highlight w:val="none"/>
        </w:rPr>
        <w:t>以上企业，不属于大企业的分支机构，不存在控股股东为大企业的情形，也不存在与大企业的负责人为同一人的情形。</w:t>
      </w:r>
    </w:p>
    <w:p w14:paraId="05E35515">
      <w:pPr>
        <w:pStyle w:val="13"/>
        <w:widowControl w:val="0"/>
        <w:spacing w:before="0" w:beforeAutospacing="0" w:after="0" w:afterAutospacing="0" w:line="360" w:lineRule="auto"/>
        <w:ind w:firstLine="360"/>
        <w:jc w:val="both"/>
        <w:rPr>
          <w:color w:val="auto"/>
          <w:highlight w:val="none"/>
        </w:rPr>
      </w:pPr>
      <w:r>
        <w:rPr>
          <w:rFonts w:hint="eastAsia"/>
          <w:color w:val="auto"/>
          <w:highlight w:val="none"/>
        </w:rPr>
        <w:t>本企业对上述声明内容的真实性负责。如有虚假，将依法承担相应责任</w:t>
      </w:r>
    </w:p>
    <w:p w14:paraId="26E99FD6">
      <w:pPr>
        <w:pStyle w:val="13"/>
        <w:widowControl w:val="0"/>
        <w:spacing w:before="0" w:beforeAutospacing="0" w:after="0" w:afterAutospacing="0" w:line="360" w:lineRule="auto"/>
        <w:ind w:right="720"/>
        <w:jc w:val="both"/>
        <w:rPr>
          <w:color w:val="auto"/>
          <w:highlight w:val="none"/>
        </w:rPr>
      </w:pPr>
      <w:r>
        <w:rPr>
          <w:color w:val="auto"/>
          <w:highlight w:val="none"/>
        </w:rPr>
        <w:t> </w:t>
      </w:r>
    </w:p>
    <w:p w14:paraId="4026C033">
      <w:pPr>
        <w:pStyle w:val="13"/>
        <w:widowControl w:val="0"/>
        <w:spacing w:before="0" w:beforeAutospacing="0" w:after="0" w:afterAutospacing="0" w:line="360" w:lineRule="auto"/>
        <w:ind w:right="180" w:firstLine="360"/>
        <w:jc w:val="right"/>
        <w:rPr>
          <w:color w:val="auto"/>
          <w:highlight w:val="none"/>
        </w:rPr>
      </w:pPr>
      <w:r>
        <w:rPr>
          <w:rFonts w:hint="eastAsia"/>
          <w:color w:val="auto"/>
          <w:highlight w:val="none"/>
        </w:rPr>
        <w:t>企业名称（加盖CA电子公章）：</w:t>
      </w:r>
    </w:p>
    <w:p w14:paraId="218AE162">
      <w:pPr>
        <w:pStyle w:val="13"/>
        <w:widowControl w:val="0"/>
        <w:spacing w:before="0" w:beforeAutospacing="0" w:after="0" w:afterAutospacing="0" w:line="360" w:lineRule="auto"/>
        <w:ind w:right="480" w:firstLine="5400"/>
        <w:jc w:val="both"/>
        <w:rPr>
          <w:color w:val="auto"/>
          <w:highlight w:val="none"/>
        </w:rPr>
      </w:pPr>
      <w:r>
        <w:rPr>
          <w:rFonts w:hint="eastAsia"/>
          <w:color w:val="auto"/>
          <w:highlight w:val="none"/>
        </w:rPr>
        <w:t>日  期：</w:t>
      </w:r>
    </w:p>
    <w:p w14:paraId="79A1D2DC">
      <w:pPr>
        <w:pStyle w:val="13"/>
        <w:widowControl w:val="0"/>
        <w:spacing w:before="0" w:beforeAutospacing="0" w:after="0" w:afterAutospacing="0" w:line="360" w:lineRule="auto"/>
        <w:ind w:firstLine="360"/>
        <w:jc w:val="both"/>
        <w:rPr>
          <w:color w:val="FF0000"/>
          <w:highlight w:val="none"/>
        </w:rPr>
      </w:pPr>
      <w:r>
        <w:rPr>
          <w:color w:val="FF0000"/>
          <w:highlight w:val="none"/>
        </w:rPr>
        <w:t> </w:t>
      </w:r>
    </w:p>
    <w:p w14:paraId="144BB463">
      <w:pPr>
        <w:pStyle w:val="13"/>
        <w:widowControl w:val="0"/>
        <w:spacing w:before="0" w:beforeAutospacing="0" w:after="0" w:afterAutospacing="0" w:line="360" w:lineRule="auto"/>
        <w:ind w:firstLine="480"/>
        <w:jc w:val="both"/>
        <w:rPr>
          <w:highlight w:val="none"/>
        </w:rPr>
      </w:pPr>
      <w:r>
        <w:rPr>
          <w:rFonts w:hint="eastAsia"/>
          <w:color w:val="000000"/>
          <w:highlight w:val="none"/>
        </w:rPr>
        <w:t>备注1：从业人员、营业收入、资产总额填报上一年度数据，无上一年度数据的新成立企业可不填报。</w:t>
      </w:r>
    </w:p>
    <w:p w14:paraId="36B57587">
      <w:pPr>
        <w:pStyle w:val="13"/>
        <w:widowControl w:val="0"/>
        <w:spacing w:before="0" w:beforeAutospacing="0" w:after="0" w:afterAutospacing="0" w:line="360" w:lineRule="auto"/>
        <w:ind w:firstLine="480"/>
        <w:jc w:val="both"/>
        <w:rPr>
          <w:highlight w:val="none"/>
        </w:rPr>
      </w:pPr>
      <w:r>
        <w:rPr>
          <w:rFonts w:hint="eastAsia"/>
          <w:color w:val="000000"/>
          <w:highlight w:val="none"/>
        </w:rPr>
        <w:t>备注2：供应商如不提供此声明函，价格将不做相应扣除（如项目全面面向中小企业，则资格审查不通过）。</w:t>
      </w:r>
    </w:p>
    <w:p w14:paraId="059B8A0F">
      <w:pPr>
        <w:pStyle w:val="13"/>
        <w:spacing w:beforeAutospacing="0" w:afterAutospacing="0" w:line="0" w:lineRule="atLeast"/>
        <w:jc w:val="center"/>
        <w:rPr>
          <w:rFonts w:hint="eastAsia" w:ascii="黑体" w:hAnsi="宋体" w:eastAsia="黑体" w:cs="黑体"/>
          <w:b/>
          <w:color w:val="000000"/>
          <w:sz w:val="32"/>
          <w:szCs w:val="32"/>
          <w:highlight w:val="none"/>
        </w:rPr>
      </w:pPr>
    </w:p>
    <w:p w14:paraId="731E1104">
      <w:pPr>
        <w:pStyle w:val="13"/>
        <w:spacing w:beforeAutospacing="0" w:afterAutospacing="0" w:line="0" w:lineRule="atLeast"/>
        <w:jc w:val="center"/>
        <w:rPr>
          <w:rFonts w:hint="eastAsia" w:ascii="黑体" w:hAnsi="宋体" w:eastAsia="黑体" w:cs="黑体"/>
          <w:b/>
          <w:color w:val="000000"/>
          <w:sz w:val="32"/>
          <w:szCs w:val="32"/>
          <w:highlight w:val="none"/>
        </w:rPr>
      </w:pPr>
    </w:p>
    <w:p w14:paraId="141E949A">
      <w:pPr>
        <w:pStyle w:val="13"/>
        <w:spacing w:beforeAutospacing="0" w:afterAutospacing="0" w:line="0" w:lineRule="atLeast"/>
        <w:jc w:val="both"/>
        <w:rPr>
          <w:rFonts w:hint="eastAsia" w:ascii="黑体" w:hAnsi="宋体" w:eastAsia="黑体" w:cs="黑体"/>
          <w:b/>
          <w:color w:val="000000"/>
          <w:sz w:val="32"/>
          <w:szCs w:val="32"/>
          <w:highlight w:val="none"/>
        </w:rPr>
      </w:pPr>
    </w:p>
    <w:p w14:paraId="46289143">
      <w:pPr>
        <w:pStyle w:val="13"/>
        <w:spacing w:beforeAutospacing="0" w:afterAutospacing="0" w:line="0" w:lineRule="atLeast"/>
        <w:jc w:val="center"/>
        <w:rPr>
          <w:highlight w:val="none"/>
        </w:rPr>
      </w:pPr>
      <w:r>
        <w:rPr>
          <w:rFonts w:hint="eastAsia" w:ascii="黑体" w:hAnsi="宋体" w:eastAsia="黑体" w:cs="黑体"/>
          <w:b/>
          <w:color w:val="000000"/>
          <w:sz w:val="32"/>
          <w:szCs w:val="32"/>
          <w:highlight w:val="none"/>
        </w:rPr>
        <w:t>十、残疾人福利性单位声明函</w:t>
      </w:r>
    </w:p>
    <w:p w14:paraId="7B41EFB3">
      <w:pPr>
        <w:pStyle w:val="13"/>
        <w:spacing w:beforeAutospacing="0" w:afterAutospacing="0" w:line="0" w:lineRule="atLeast"/>
        <w:ind w:firstLine="480"/>
        <w:jc w:val="both"/>
        <w:rPr>
          <w:highlight w:val="none"/>
        </w:rPr>
      </w:pPr>
      <w:r>
        <w:rPr>
          <w:rFonts w:hint="eastAsia" w:ascii="宋体" w:hAnsi="宋体" w:eastAsia="宋体" w:cs="宋体"/>
          <w:color w:val="000000"/>
          <w:highlight w:val="none"/>
        </w:rPr>
        <w:t>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〔2017〕141号</w:t>
      </w:r>
      <w:r>
        <w:rPr>
          <w:rFonts w:hint="eastAsia" w:ascii="宋体" w:hAnsi="宋体" w:eastAsia="宋体" w:cs="宋体"/>
          <w:color w:val="000000"/>
          <w:highlight w:val="none"/>
        </w:rPr>
        <w:t>）的规定，本单位为符合条件的残疾人福利性单位，且本单位参加______单位的采购文件编号为______的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项目（分包号：**）采购活动提供本单位制造的货物，或者提供其他残疾人福利性单位制造的货物（不包括使用非残疾人福利性单位注册商标的货物）。</w:t>
      </w:r>
    </w:p>
    <w:p w14:paraId="513C51D7">
      <w:pPr>
        <w:pStyle w:val="13"/>
        <w:spacing w:beforeAutospacing="0" w:afterAutospacing="0" w:line="0" w:lineRule="atLeast"/>
        <w:ind w:firstLine="480"/>
        <w:jc w:val="both"/>
        <w:rPr>
          <w:highlight w:val="none"/>
        </w:rPr>
      </w:pPr>
      <w:r>
        <w:rPr>
          <w:rFonts w:hint="eastAsia" w:ascii="宋体" w:hAnsi="宋体" w:eastAsia="宋体" w:cs="宋体"/>
          <w:color w:val="000000"/>
          <w:highlight w:val="none"/>
        </w:rPr>
        <w:t>本单位对上述声明的真实性负责。如有虚假，将依法承担相应责任。</w:t>
      </w:r>
    </w:p>
    <w:p w14:paraId="3C91D281">
      <w:pPr>
        <w:pStyle w:val="13"/>
        <w:spacing w:beforeAutospacing="0" w:afterAutospacing="0" w:line="0" w:lineRule="atLeast"/>
        <w:ind w:firstLine="480"/>
        <w:jc w:val="both"/>
        <w:rPr>
          <w:highlight w:val="none"/>
        </w:rPr>
      </w:pPr>
      <w:r>
        <w:rPr>
          <w:highlight w:val="none"/>
        </w:rPr>
        <w:t> </w:t>
      </w:r>
    </w:p>
    <w:p w14:paraId="3C2317A8">
      <w:pPr>
        <w:pStyle w:val="13"/>
        <w:spacing w:beforeAutospacing="0" w:afterAutospacing="0" w:line="0" w:lineRule="atLeast"/>
        <w:ind w:firstLine="480"/>
        <w:jc w:val="both"/>
        <w:rPr>
          <w:highlight w:val="none"/>
        </w:rPr>
      </w:pPr>
      <w:r>
        <w:rPr>
          <w:rFonts w:hint="eastAsia" w:ascii="宋体" w:hAnsi="宋体" w:eastAsia="宋体" w:cs="宋体"/>
          <w:color w:val="000000"/>
          <w:highlight w:val="none"/>
        </w:rPr>
        <w:t>备注：1、供应商如不提供此声明函，价格将不做相应扣除</w:t>
      </w:r>
      <w:r>
        <w:rPr>
          <w:rFonts w:hint="eastAsia" w:ascii="宋体" w:hAnsi="宋体" w:eastAsia="宋体" w:cs="宋体"/>
          <w:color w:val="000000"/>
          <w:highlight w:val="none"/>
          <w:lang w:eastAsia="zh-CN"/>
        </w:rPr>
        <w:t>（如项目全面面向中小企业，则资格审查不通过）</w:t>
      </w:r>
      <w:r>
        <w:rPr>
          <w:rFonts w:hint="eastAsia" w:ascii="宋体" w:hAnsi="宋体" w:eastAsia="宋体" w:cs="宋体"/>
          <w:color w:val="000000"/>
          <w:highlight w:val="none"/>
        </w:rPr>
        <w:t>。2、中标供应商为残疾人福利单位的，此声明函将随中标结果同时公告，接受社会监督</w:t>
      </w:r>
    </w:p>
    <w:p w14:paraId="6AEABBF0">
      <w:pPr>
        <w:pStyle w:val="13"/>
        <w:spacing w:beforeAutospacing="0" w:afterAutospacing="0" w:line="0" w:lineRule="atLeast"/>
        <w:ind w:firstLine="624"/>
        <w:jc w:val="both"/>
        <w:rPr>
          <w:highlight w:val="none"/>
        </w:rPr>
      </w:pPr>
      <w:r>
        <w:rPr>
          <w:highlight w:val="none"/>
        </w:rPr>
        <w:t> </w:t>
      </w:r>
    </w:p>
    <w:p w14:paraId="626039F8">
      <w:pPr>
        <w:pStyle w:val="13"/>
        <w:tabs>
          <w:tab w:val="left" w:pos="4864"/>
        </w:tabs>
        <w:spacing w:beforeAutospacing="0" w:afterAutospacing="0" w:line="0" w:lineRule="atLeast"/>
        <w:ind w:right="1560" w:firstLine="624"/>
        <w:jc w:val="center"/>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供应商全称（加盖CA电子公章）：</w:t>
      </w:r>
    </w:p>
    <w:p w14:paraId="4F09B48A">
      <w:pPr>
        <w:pStyle w:val="13"/>
        <w:tabs>
          <w:tab w:val="left" w:pos="4864"/>
        </w:tabs>
        <w:spacing w:beforeAutospacing="0" w:afterAutospacing="0" w:line="0" w:lineRule="atLeast"/>
        <w:ind w:right="1560" w:firstLine="480"/>
        <w:jc w:val="center"/>
        <w:rPr>
          <w:highlight w:val="none"/>
        </w:rPr>
      </w:pPr>
      <w:r>
        <w:rPr>
          <w:rFonts w:hint="eastAsia" w:ascii="宋体" w:hAnsi="宋体" w:eastAsia="宋体" w:cs="宋体"/>
          <w:color w:val="000000"/>
          <w:highlight w:val="none"/>
        </w:rPr>
        <w:t>        日  期：</w:t>
      </w:r>
    </w:p>
    <w:p w14:paraId="6095EC64">
      <w:pPr>
        <w:pStyle w:val="13"/>
        <w:spacing w:beforeAutospacing="0" w:afterAutospacing="0" w:line="0" w:lineRule="atLeast"/>
        <w:jc w:val="center"/>
        <w:rPr>
          <w:highlight w:val="none"/>
        </w:rPr>
      </w:pPr>
      <w:r>
        <w:rPr>
          <w:highlight w:val="none"/>
        </w:rPr>
        <w:t> </w:t>
      </w:r>
    </w:p>
    <w:p w14:paraId="67480088">
      <w:pPr>
        <w:pStyle w:val="13"/>
        <w:spacing w:beforeAutospacing="0" w:afterAutospacing="0" w:line="0" w:lineRule="atLeast"/>
        <w:jc w:val="center"/>
        <w:rPr>
          <w:highlight w:val="none"/>
        </w:rPr>
      </w:pPr>
      <w:r>
        <w:rPr>
          <w:highlight w:val="none"/>
        </w:rPr>
        <w:t> </w:t>
      </w:r>
    </w:p>
    <w:p w14:paraId="16D7708B">
      <w:pPr>
        <w:pStyle w:val="13"/>
        <w:spacing w:beforeAutospacing="0" w:afterAutospacing="0" w:line="0" w:lineRule="atLeast"/>
        <w:jc w:val="center"/>
        <w:rPr>
          <w:highlight w:val="none"/>
        </w:rPr>
      </w:pPr>
      <w:r>
        <w:rPr>
          <w:highlight w:val="none"/>
        </w:rPr>
        <w:t> </w:t>
      </w:r>
    </w:p>
    <w:p w14:paraId="37A39D5D">
      <w:pPr>
        <w:pStyle w:val="13"/>
        <w:spacing w:beforeAutospacing="0" w:afterAutospacing="0" w:line="0" w:lineRule="atLeast"/>
        <w:jc w:val="center"/>
        <w:rPr>
          <w:highlight w:val="none"/>
        </w:rPr>
      </w:pPr>
      <w:r>
        <w:rPr>
          <w:highlight w:val="none"/>
        </w:rPr>
        <w:t> </w:t>
      </w:r>
    </w:p>
    <w:p w14:paraId="4BC37A6F">
      <w:pPr>
        <w:pStyle w:val="13"/>
        <w:spacing w:beforeAutospacing="0" w:afterAutospacing="0" w:line="0" w:lineRule="atLeast"/>
        <w:jc w:val="center"/>
        <w:rPr>
          <w:highlight w:val="none"/>
        </w:rPr>
      </w:pPr>
      <w:r>
        <w:rPr>
          <w:highlight w:val="none"/>
        </w:rPr>
        <w:t> </w:t>
      </w:r>
    </w:p>
    <w:p w14:paraId="5CC4CBFF">
      <w:pPr>
        <w:pStyle w:val="13"/>
        <w:spacing w:beforeAutospacing="0" w:afterAutospacing="0" w:line="0" w:lineRule="atLeast"/>
        <w:jc w:val="center"/>
        <w:rPr>
          <w:highlight w:val="none"/>
        </w:rPr>
      </w:pPr>
      <w:r>
        <w:rPr>
          <w:highlight w:val="none"/>
        </w:rPr>
        <w:t> </w:t>
      </w:r>
    </w:p>
    <w:p w14:paraId="7599688C">
      <w:pPr>
        <w:pStyle w:val="13"/>
        <w:spacing w:beforeAutospacing="0" w:afterAutospacing="0" w:line="0" w:lineRule="atLeast"/>
        <w:jc w:val="center"/>
        <w:rPr>
          <w:highlight w:val="none"/>
        </w:rPr>
      </w:pPr>
      <w:r>
        <w:rPr>
          <w:highlight w:val="none"/>
        </w:rPr>
        <w:t> </w:t>
      </w:r>
    </w:p>
    <w:p w14:paraId="4C81E594">
      <w:pPr>
        <w:pStyle w:val="13"/>
        <w:spacing w:beforeAutospacing="0" w:afterAutospacing="0" w:line="0" w:lineRule="atLeast"/>
        <w:jc w:val="center"/>
        <w:rPr>
          <w:highlight w:val="none"/>
        </w:rPr>
      </w:pPr>
      <w:r>
        <w:rPr>
          <w:highlight w:val="none"/>
        </w:rPr>
        <w:t> </w:t>
      </w:r>
    </w:p>
    <w:p w14:paraId="75457978">
      <w:pPr>
        <w:rPr>
          <w:spacing w:val="27"/>
          <w:sz w:val="39"/>
          <w:szCs w:val="39"/>
        </w:rPr>
      </w:pPr>
      <w:r>
        <w:rPr>
          <w:spacing w:val="27"/>
          <w:sz w:val="39"/>
          <w:szCs w:val="39"/>
        </w:rPr>
        <w:br w:type="page"/>
      </w:r>
    </w:p>
    <w:p w14:paraId="2F13A0B0">
      <w:pPr>
        <w:pStyle w:val="8"/>
        <w:spacing w:before="168" w:line="207" w:lineRule="auto"/>
        <w:ind w:left="1537"/>
        <w:rPr>
          <w:spacing w:val="27"/>
          <w:sz w:val="39"/>
          <w:szCs w:val="39"/>
        </w:rPr>
      </w:pPr>
    </w:p>
    <w:p w14:paraId="776905E6">
      <w:pPr>
        <w:pStyle w:val="1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pPr>
      <w:r>
        <w:rPr>
          <w:rFonts w:ascii="黑体" w:hAnsi="宋体" w:eastAsia="黑体" w:cs="黑体"/>
          <w:b/>
          <w:bCs/>
          <w:color w:val="FF0000"/>
          <w:sz w:val="32"/>
          <w:szCs w:val="32"/>
        </w:rPr>
        <w:t>十一、 关于符合本国产品标准的声明函</w:t>
      </w:r>
    </w:p>
    <w:p w14:paraId="3D48EB6C">
      <w:pPr>
        <w:pStyle w:val="1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pPr>
      <w:r>
        <w:rPr>
          <w:rFonts w:ascii="Arial" w:hAnsi="Arial" w:cs="Arial"/>
          <w:color w:val="FF0000"/>
          <w:sz w:val="24"/>
          <w:szCs w:val="24"/>
        </w:rPr>
        <w:t> </w:t>
      </w:r>
    </w:p>
    <w:p w14:paraId="311B4E85">
      <w:pPr>
        <w:pStyle w:val="1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pPr>
      <w:r>
        <w:rPr>
          <w:rFonts w:ascii="宋体" w:hAnsi="宋体" w:eastAsia="宋体" w:cs="宋体"/>
          <w:color w:val="FF0000"/>
          <w:sz w:val="24"/>
          <w:szCs w:val="24"/>
        </w:rPr>
        <w:t>本公司（单位）郑重声明，根据《国务院办公厅关于在政府采购中实施本国产品标准及相关政策的通知》（国办发〔2025〕34号）的规定，本公司（单位）提供的以下产品属于本国产品。具体情况如下：</w:t>
      </w:r>
    </w:p>
    <w:p w14:paraId="5A8AFE73">
      <w:pPr>
        <w:pStyle w:val="1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pPr>
      <w:r>
        <w:rPr>
          <w:rFonts w:ascii="宋体" w:hAnsi="宋体" w:eastAsia="宋体" w:cs="宋体"/>
          <w:color w:val="FF0000"/>
          <w:sz w:val="24"/>
          <w:szCs w:val="24"/>
          <w:shd w:val="clear" w:fill="FFFFFF"/>
        </w:rPr>
        <w:t>1.</w:t>
      </w:r>
      <w:r>
        <w:rPr>
          <w:rFonts w:ascii="宋体" w:hAnsi="宋体" w:eastAsia="宋体" w:cs="宋体"/>
          <w:color w:val="FF0000"/>
          <w:sz w:val="24"/>
          <w:szCs w:val="24"/>
          <w:u w:val="single"/>
          <w:shd w:val="clear" w:fill="FFFFFF"/>
        </w:rPr>
        <w:t>（产品名称1）</w:t>
      </w:r>
      <w:r>
        <w:rPr>
          <w:rFonts w:ascii="宋体" w:hAnsi="宋体" w:eastAsia="宋体" w:cs="宋体"/>
          <w:color w:val="FF0000"/>
          <w:sz w:val="24"/>
          <w:szCs w:val="24"/>
          <w:shd w:val="clear" w:fill="FFFFFF"/>
          <w:vertAlign w:val="superscript"/>
        </w:rPr>
        <w:t>1</w:t>
      </w:r>
      <w:r>
        <w:rPr>
          <w:rFonts w:ascii="宋体" w:hAnsi="宋体" w:eastAsia="宋体" w:cs="宋体"/>
          <w:color w:val="FF0000"/>
          <w:sz w:val="24"/>
          <w:szCs w:val="24"/>
          <w:shd w:val="clear" w:fill="FFFFFF"/>
        </w:rPr>
        <w:t>，生产厂为</w:t>
      </w:r>
      <w:r>
        <w:rPr>
          <w:rFonts w:ascii="宋体" w:hAnsi="宋体" w:eastAsia="宋体" w:cs="宋体"/>
          <w:color w:val="FF0000"/>
          <w:sz w:val="24"/>
          <w:szCs w:val="24"/>
          <w:u w:val="single"/>
          <w:shd w:val="clear" w:fill="FFFFFF"/>
        </w:rPr>
        <w:t>（厂名）</w:t>
      </w:r>
      <w:r>
        <w:rPr>
          <w:rFonts w:ascii="宋体" w:hAnsi="宋体" w:eastAsia="宋体" w:cs="宋体"/>
          <w:color w:val="FF0000"/>
          <w:sz w:val="24"/>
          <w:szCs w:val="24"/>
          <w:shd w:val="clear" w:fill="FFFFFF"/>
          <w:vertAlign w:val="superscript"/>
        </w:rPr>
        <w:t>2</w:t>
      </w:r>
      <w:r>
        <w:rPr>
          <w:rFonts w:ascii="宋体" w:hAnsi="宋体" w:eastAsia="宋体" w:cs="宋体"/>
          <w:color w:val="FF0000"/>
          <w:sz w:val="24"/>
          <w:szCs w:val="24"/>
          <w:shd w:val="clear" w:fill="FFFFFF"/>
        </w:rPr>
        <w:t>，厂址为</w:t>
      </w:r>
      <w:r>
        <w:rPr>
          <w:rFonts w:ascii="宋体" w:hAnsi="宋体" w:eastAsia="宋体" w:cs="宋体"/>
          <w:color w:val="FF0000"/>
          <w:sz w:val="24"/>
          <w:szCs w:val="24"/>
          <w:u w:val="single"/>
          <w:shd w:val="clear" w:fill="FFFFFF"/>
        </w:rPr>
        <w:t>（生产厂址）</w:t>
      </w:r>
      <w:r>
        <w:rPr>
          <w:rFonts w:ascii="宋体" w:hAnsi="宋体" w:eastAsia="宋体" w:cs="宋体"/>
          <w:color w:val="FF0000"/>
          <w:sz w:val="24"/>
          <w:szCs w:val="24"/>
          <w:shd w:val="clear" w:fill="FFFFFF"/>
        </w:rPr>
        <w:t>。</w:t>
      </w:r>
      <w:r>
        <w:rPr>
          <w:rFonts w:ascii="宋体" w:hAnsi="宋体" w:eastAsia="宋体" w:cs="宋体"/>
          <w:strike/>
          <w:dstrike w:val="0"/>
          <w:color w:val="FF0000"/>
          <w:sz w:val="24"/>
          <w:szCs w:val="24"/>
          <w:u w:val="single"/>
          <w:shd w:val="clear" w:fill="FFFFFF"/>
        </w:rPr>
        <w:t> （产品名称1）</w:t>
      </w:r>
      <w:r>
        <w:rPr>
          <w:rFonts w:ascii="宋体" w:hAnsi="宋体" w:eastAsia="宋体" w:cs="宋体"/>
          <w:color w:val="FF0000"/>
          <w:sz w:val="24"/>
          <w:szCs w:val="24"/>
          <w:u w:val="single"/>
          <w:shd w:val="clear" w:fill="FFFFFF"/>
        </w:rPr>
        <w:t> </w:t>
      </w:r>
      <w:r>
        <w:rPr>
          <w:rFonts w:ascii="宋体" w:hAnsi="宋体" w:eastAsia="宋体" w:cs="宋体"/>
          <w:color w:val="FF0000"/>
          <w:sz w:val="24"/>
          <w:szCs w:val="24"/>
          <w:shd w:val="clear" w:fill="FFFFFF"/>
        </w:rPr>
        <w:t>的中国境内生产的组件成本占比≥</w:t>
      </w:r>
      <w:r>
        <w:rPr>
          <w:rFonts w:ascii="宋体" w:hAnsi="宋体" w:eastAsia="宋体" w:cs="宋体"/>
          <w:strike/>
          <w:dstrike w:val="0"/>
          <w:color w:val="FF0000"/>
          <w:sz w:val="24"/>
          <w:szCs w:val="24"/>
          <w:u w:val="single"/>
          <w:shd w:val="clear" w:fill="FFFFFF"/>
        </w:rPr>
        <w:t>（规定比例）</w:t>
      </w:r>
      <w:r>
        <w:rPr>
          <w:rFonts w:ascii="宋体" w:hAnsi="宋体" w:eastAsia="宋体" w:cs="宋体"/>
          <w:strike/>
          <w:dstrike w:val="0"/>
          <w:color w:val="FF0000"/>
          <w:sz w:val="24"/>
          <w:szCs w:val="24"/>
          <w:shd w:val="clear" w:fill="FFFFFF"/>
          <w:vertAlign w:val="superscript"/>
        </w:rPr>
        <w:t>3</w:t>
      </w:r>
      <w:r>
        <w:rPr>
          <w:rFonts w:ascii="宋体" w:hAnsi="宋体" w:eastAsia="宋体" w:cs="宋体"/>
          <w:color w:val="FF0000"/>
          <w:sz w:val="24"/>
          <w:szCs w:val="24"/>
          <w:shd w:val="clear" w:fill="FFFFFF"/>
        </w:rPr>
        <w:t>。</w:t>
      </w:r>
      <w:r>
        <w:rPr>
          <w:rFonts w:ascii="宋体" w:hAnsi="宋体" w:eastAsia="宋体" w:cs="宋体"/>
          <w:strike/>
          <w:dstrike w:val="0"/>
          <w:color w:val="FF0000"/>
          <w:sz w:val="24"/>
          <w:szCs w:val="24"/>
          <w:u w:val="single"/>
          <w:shd w:val="clear" w:fill="FFFFFF"/>
        </w:rPr>
        <w:t>（产品名称1）</w:t>
      </w:r>
      <w:r>
        <w:rPr>
          <w:rFonts w:ascii="宋体" w:hAnsi="宋体" w:eastAsia="宋体" w:cs="宋体"/>
          <w:color w:val="FF0000"/>
          <w:sz w:val="24"/>
          <w:szCs w:val="24"/>
          <w:shd w:val="clear" w:fill="FFFFFF"/>
        </w:rPr>
        <w:t>的</w:t>
      </w:r>
      <w:r>
        <w:rPr>
          <w:rFonts w:ascii="宋体" w:hAnsi="宋体" w:eastAsia="宋体" w:cs="宋体"/>
          <w:strike/>
          <w:dstrike w:val="0"/>
          <w:color w:val="FF0000"/>
          <w:sz w:val="24"/>
          <w:szCs w:val="24"/>
          <w:u w:val="single"/>
          <w:shd w:val="clear" w:fill="FFFFFF"/>
        </w:rPr>
        <w:t>（关键组件）</w:t>
      </w:r>
      <w:r>
        <w:rPr>
          <w:rFonts w:ascii="宋体" w:hAnsi="宋体" w:eastAsia="宋体" w:cs="宋体"/>
          <w:strike/>
          <w:dstrike w:val="0"/>
          <w:color w:val="FF0000"/>
          <w:sz w:val="24"/>
          <w:szCs w:val="24"/>
          <w:shd w:val="clear" w:fill="FFFFFF"/>
          <w:vertAlign w:val="superscript"/>
        </w:rPr>
        <w:t>4</w:t>
      </w:r>
      <w:r>
        <w:rPr>
          <w:rFonts w:ascii="宋体" w:hAnsi="宋体" w:eastAsia="宋体" w:cs="宋体"/>
          <w:color w:val="FF0000"/>
          <w:sz w:val="24"/>
          <w:szCs w:val="24"/>
          <w:shd w:val="clear" w:fill="FFFFFF"/>
        </w:rPr>
        <w:t>在中国境内生产。</w:t>
      </w:r>
      <w:r>
        <w:rPr>
          <w:rFonts w:ascii="宋体" w:hAnsi="宋体" w:eastAsia="宋体" w:cs="宋体"/>
          <w:strike/>
          <w:dstrike w:val="0"/>
          <w:color w:val="FF0000"/>
          <w:sz w:val="24"/>
          <w:szCs w:val="24"/>
          <w:u w:val="single"/>
          <w:shd w:val="clear" w:fill="FFFFFF"/>
        </w:rPr>
        <w:t>（产品名称1）</w:t>
      </w:r>
      <w:r>
        <w:rPr>
          <w:rFonts w:ascii="宋体" w:hAnsi="宋体" w:eastAsia="宋体" w:cs="宋体"/>
          <w:color w:val="FF0000"/>
          <w:sz w:val="24"/>
          <w:szCs w:val="24"/>
          <w:shd w:val="clear" w:fill="FFFFFF"/>
        </w:rPr>
        <w:t>的</w:t>
      </w:r>
      <w:r>
        <w:rPr>
          <w:rFonts w:ascii="宋体" w:hAnsi="宋体" w:eastAsia="宋体" w:cs="宋体"/>
          <w:strike/>
          <w:dstrike w:val="0"/>
          <w:color w:val="FF0000"/>
          <w:sz w:val="24"/>
          <w:szCs w:val="24"/>
          <w:u w:val="single"/>
          <w:shd w:val="clear" w:fill="FFFFFF"/>
        </w:rPr>
        <w:t>（关键工序）</w:t>
      </w:r>
      <w:r>
        <w:rPr>
          <w:rFonts w:ascii="宋体" w:hAnsi="宋体" w:eastAsia="宋体" w:cs="宋体"/>
          <w:strike/>
          <w:dstrike w:val="0"/>
          <w:color w:val="FF0000"/>
          <w:sz w:val="24"/>
          <w:szCs w:val="24"/>
          <w:shd w:val="clear" w:fill="FFFFFF"/>
          <w:vertAlign w:val="superscript"/>
        </w:rPr>
        <w:t>5</w:t>
      </w:r>
      <w:r>
        <w:rPr>
          <w:rFonts w:ascii="宋体" w:hAnsi="宋体" w:eastAsia="宋体" w:cs="宋体"/>
          <w:color w:val="FF0000"/>
          <w:sz w:val="24"/>
          <w:szCs w:val="24"/>
          <w:shd w:val="clear" w:fill="FFFFFF"/>
        </w:rPr>
        <w:t>在中国境内完成。</w:t>
      </w:r>
    </w:p>
    <w:p w14:paraId="20758D95">
      <w:pPr>
        <w:pStyle w:val="1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pPr>
      <w:r>
        <w:rPr>
          <w:rFonts w:ascii="宋体" w:hAnsi="宋体" w:eastAsia="宋体" w:cs="宋体"/>
          <w:color w:val="FF0000"/>
          <w:sz w:val="24"/>
          <w:szCs w:val="24"/>
          <w:shd w:val="clear" w:fill="FFFFFF"/>
        </w:rPr>
        <w:t>2.</w:t>
      </w:r>
      <w:r>
        <w:rPr>
          <w:rFonts w:ascii="宋体" w:hAnsi="宋体" w:eastAsia="宋体" w:cs="宋体"/>
          <w:color w:val="FF0000"/>
          <w:sz w:val="24"/>
          <w:szCs w:val="24"/>
          <w:u w:val="single"/>
          <w:shd w:val="clear" w:fill="FFFFFF"/>
        </w:rPr>
        <w:t>（产品名称2）</w:t>
      </w:r>
      <w:r>
        <w:rPr>
          <w:rFonts w:ascii="宋体" w:hAnsi="宋体" w:eastAsia="宋体" w:cs="宋体"/>
          <w:color w:val="FF0000"/>
          <w:sz w:val="24"/>
          <w:szCs w:val="24"/>
          <w:shd w:val="clear" w:fill="FFFFFF"/>
        </w:rPr>
        <w:t>，生产厂为</w:t>
      </w:r>
      <w:r>
        <w:rPr>
          <w:rFonts w:ascii="宋体" w:hAnsi="宋体" w:eastAsia="宋体" w:cs="宋体"/>
          <w:color w:val="FF0000"/>
          <w:sz w:val="24"/>
          <w:szCs w:val="24"/>
          <w:u w:val="single"/>
          <w:shd w:val="clear" w:fill="FFFFFF"/>
        </w:rPr>
        <w:t>（厂名）</w:t>
      </w:r>
      <w:r>
        <w:rPr>
          <w:rFonts w:ascii="宋体" w:hAnsi="宋体" w:eastAsia="宋体" w:cs="宋体"/>
          <w:color w:val="FF0000"/>
          <w:sz w:val="24"/>
          <w:szCs w:val="24"/>
          <w:shd w:val="clear" w:fill="FFFFFF"/>
        </w:rPr>
        <w:t>，厂址为</w:t>
      </w:r>
      <w:r>
        <w:rPr>
          <w:rFonts w:ascii="宋体" w:hAnsi="宋体" w:eastAsia="宋体" w:cs="宋体"/>
          <w:color w:val="FF0000"/>
          <w:sz w:val="24"/>
          <w:szCs w:val="24"/>
          <w:u w:val="single"/>
          <w:shd w:val="clear" w:fill="FFFFFF"/>
        </w:rPr>
        <w:t>（生产厂址）</w:t>
      </w:r>
      <w:r>
        <w:rPr>
          <w:rFonts w:ascii="宋体" w:hAnsi="宋体" w:eastAsia="宋体" w:cs="宋体"/>
          <w:color w:val="FF0000"/>
          <w:sz w:val="24"/>
          <w:szCs w:val="24"/>
          <w:shd w:val="clear" w:fill="FFFFFF"/>
        </w:rPr>
        <w:t>。</w:t>
      </w:r>
      <w:r>
        <w:rPr>
          <w:rFonts w:ascii="宋体" w:hAnsi="宋体" w:eastAsia="宋体" w:cs="宋体"/>
          <w:strike/>
          <w:dstrike w:val="0"/>
          <w:color w:val="FF0000"/>
          <w:sz w:val="24"/>
          <w:szCs w:val="24"/>
          <w:u w:val="single"/>
          <w:shd w:val="clear" w:fill="FFFFFF"/>
        </w:rPr>
        <w:t>（产品名称2）</w:t>
      </w:r>
      <w:r>
        <w:rPr>
          <w:rFonts w:ascii="宋体" w:hAnsi="宋体" w:eastAsia="宋体" w:cs="宋体"/>
          <w:color w:val="FF0000"/>
          <w:sz w:val="24"/>
          <w:szCs w:val="24"/>
          <w:shd w:val="clear" w:fill="FFFFFF"/>
        </w:rPr>
        <w:t>的中国境内生产的组件成本占比≥</w:t>
      </w:r>
      <w:r>
        <w:rPr>
          <w:rFonts w:ascii="宋体" w:hAnsi="宋体" w:eastAsia="宋体" w:cs="宋体"/>
          <w:strike/>
          <w:dstrike w:val="0"/>
          <w:color w:val="FF0000"/>
          <w:sz w:val="24"/>
          <w:szCs w:val="24"/>
          <w:u w:val="single"/>
          <w:shd w:val="clear" w:fill="FFFFFF"/>
        </w:rPr>
        <w:t>（规定比例）</w:t>
      </w:r>
      <w:r>
        <w:rPr>
          <w:rFonts w:ascii="宋体" w:hAnsi="宋体" w:eastAsia="宋体" w:cs="宋体"/>
          <w:color w:val="FF0000"/>
          <w:sz w:val="24"/>
          <w:szCs w:val="24"/>
          <w:shd w:val="clear" w:fill="FFFFFF"/>
        </w:rPr>
        <w:t>。</w:t>
      </w:r>
      <w:r>
        <w:rPr>
          <w:rFonts w:ascii="宋体" w:hAnsi="宋体" w:eastAsia="宋体" w:cs="宋体"/>
          <w:strike/>
          <w:dstrike w:val="0"/>
          <w:color w:val="FF0000"/>
          <w:sz w:val="24"/>
          <w:szCs w:val="24"/>
          <w:u w:val="single"/>
          <w:shd w:val="clear" w:fill="FFFFFF"/>
        </w:rPr>
        <w:t>（产品名称2）</w:t>
      </w:r>
      <w:r>
        <w:rPr>
          <w:rFonts w:ascii="宋体" w:hAnsi="宋体" w:eastAsia="宋体" w:cs="宋体"/>
          <w:color w:val="FF0000"/>
          <w:sz w:val="24"/>
          <w:szCs w:val="24"/>
          <w:shd w:val="clear" w:fill="FFFFFF"/>
        </w:rPr>
        <w:t>的</w:t>
      </w:r>
      <w:r>
        <w:rPr>
          <w:rFonts w:ascii="宋体" w:hAnsi="宋体" w:eastAsia="宋体" w:cs="宋体"/>
          <w:strike/>
          <w:dstrike w:val="0"/>
          <w:color w:val="FF0000"/>
          <w:sz w:val="24"/>
          <w:szCs w:val="24"/>
          <w:u w:val="single"/>
          <w:shd w:val="clear" w:fill="FFFFFF"/>
        </w:rPr>
        <w:t>（关键组件）</w:t>
      </w:r>
      <w:r>
        <w:rPr>
          <w:rFonts w:ascii="宋体" w:hAnsi="宋体" w:eastAsia="宋体" w:cs="宋体"/>
          <w:color w:val="FF0000"/>
          <w:sz w:val="24"/>
          <w:szCs w:val="24"/>
          <w:shd w:val="clear" w:fill="FFFFFF"/>
        </w:rPr>
        <w:t>在中国境内生产。</w:t>
      </w:r>
      <w:r>
        <w:rPr>
          <w:rFonts w:ascii="宋体" w:hAnsi="宋体" w:eastAsia="宋体" w:cs="宋体"/>
          <w:strike/>
          <w:dstrike w:val="0"/>
          <w:color w:val="FF0000"/>
          <w:sz w:val="24"/>
          <w:szCs w:val="24"/>
          <w:u w:val="single"/>
          <w:shd w:val="clear" w:fill="FFFFFF"/>
        </w:rPr>
        <w:t>（产品名称1）</w:t>
      </w:r>
      <w:r>
        <w:rPr>
          <w:rFonts w:ascii="宋体" w:hAnsi="宋体" w:eastAsia="宋体" w:cs="宋体"/>
          <w:color w:val="FF0000"/>
          <w:sz w:val="24"/>
          <w:szCs w:val="24"/>
          <w:shd w:val="clear" w:fill="FFFFFF"/>
        </w:rPr>
        <w:t>的</w:t>
      </w:r>
      <w:r>
        <w:rPr>
          <w:rFonts w:ascii="宋体" w:hAnsi="宋体" w:eastAsia="宋体" w:cs="宋体"/>
          <w:strike/>
          <w:dstrike w:val="0"/>
          <w:color w:val="FF0000"/>
          <w:sz w:val="24"/>
          <w:szCs w:val="24"/>
          <w:u w:val="single"/>
          <w:shd w:val="clear" w:fill="FFFFFF"/>
        </w:rPr>
        <w:t>（关键工序）</w:t>
      </w:r>
      <w:r>
        <w:rPr>
          <w:rFonts w:ascii="宋体" w:hAnsi="宋体" w:eastAsia="宋体" w:cs="宋体"/>
          <w:color w:val="FF0000"/>
          <w:sz w:val="24"/>
          <w:szCs w:val="24"/>
          <w:shd w:val="clear" w:fill="FFFFFF"/>
        </w:rPr>
        <w:t>在中国境内完成。</w:t>
      </w:r>
    </w:p>
    <w:p w14:paraId="519DADE7">
      <w:pPr>
        <w:pStyle w:val="1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pPr>
      <w:r>
        <w:rPr>
          <w:rFonts w:ascii="宋体" w:hAnsi="宋体" w:eastAsia="宋体" w:cs="宋体"/>
          <w:color w:val="FF0000"/>
          <w:sz w:val="24"/>
          <w:szCs w:val="24"/>
          <w:shd w:val="clear" w:fill="FFFFFF"/>
        </w:rPr>
        <w:t>……</w:t>
      </w:r>
    </w:p>
    <w:p w14:paraId="2898E24F">
      <w:pPr>
        <w:pStyle w:val="1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pPr>
      <w:r>
        <w:rPr>
          <w:rFonts w:ascii="宋体" w:hAnsi="宋体" w:eastAsia="宋体" w:cs="宋体"/>
          <w:color w:val="FF0000"/>
          <w:sz w:val="24"/>
          <w:szCs w:val="24"/>
          <w:shd w:val="clear" w:fill="FFFFFF"/>
        </w:rPr>
        <w:t>本公司（单位）对上述声明内容的真实性负责。如有虚假，愿承担相应法律责任。</w:t>
      </w:r>
    </w:p>
    <w:p w14:paraId="1CAC866F">
      <w:pPr>
        <w:pStyle w:val="1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pPr>
      <w:r>
        <w:rPr>
          <w:rFonts w:ascii="宋体" w:hAnsi="宋体" w:eastAsia="宋体" w:cs="宋体"/>
          <w:color w:val="FF0000"/>
          <w:sz w:val="24"/>
          <w:szCs w:val="24"/>
        </w:rPr>
        <w:t> </w:t>
      </w:r>
    </w:p>
    <w:p w14:paraId="4B7D6087">
      <w:pPr>
        <w:pStyle w:val="1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right="480" w:firstLine="3720"/>
        <w:jc w:val="both"/>
      </w:pPr>
      <w:r>
        <w:rPr>
          <w:rFonts w:ascii="宋体" w:hAnsi="宋体" w:eastAsia="宋体" w:cs="宋体"/>
          <w:color w:val="FF0000"/>
          <w:sz w:val="24"/>
          <w:szCs w:val="24"/>
          <w:shd w:val="clear" w:fill="FFFFFF"/>
        </w:rPr>
        <w:t>公司（单位）名称（盖章）：　</w:t>
      </w:r>
    </w:p>
    <w:p w14:paraId="4B86CD8E">
      <w:pPr>
        <w:pStyle w:val="1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center"/>
      </w:pPr>
      <w:r>
        <w:rPr>
          <w:rFonts w:ascii="宋体" w:hAnsi="宋体" w:eastAsia="宋体" w:cs="宋体"/>
          <w:color w:val="FF0000"/>
          <w:sz w:val="24"/>
          <w:szCs w:val="24"/>
          <w:shd w:val="clear" w:fill="FFFFFF"/>
        </w:rPr>
        <w:t>                                日期：　   年　  月　  日         </w:t>
      </w:r>
    </w:p>
    <w:p w14:paraId="563751CB">
      <w:pPr>
        <w:pStyle w:val="1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pPr>
      <w:r>
        <w:rPr>
          <w:rFonts w:ascii="宋体" w:hAnsi="宋体" w:eastAsia="宋体" w:cs="宋体"/>
          <w:color w:val="FF0000"/>
          <w:sz w:val="24"/>
          <w:szCs w:val="24"/>
          <w:shd w:val="clear" w:fill="FFFFFF"/>
        </w:rPr>
        <w:t>__________________</w:t>
      </w:r>
    </w:p>
    <w:p w14:paraId="0D130BF1">
      <w:pPr>
        <w:pStyle w:val="1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pPr>
      <w:r>
        <w:rPr>
          <w:rFonts w:ascii="宋体" w:hAnsi="宋体" w:eastAsia="宋体" w:cs="宋体"/>
          <w:color w:val="FF0000"/>
          <w:sz w:val="24"/>
          <w:szCs w:val="24"/>
          <w:shd w:val="clear" w:fill="FFFFFF"/>
        </w:rPr>
        <w:t>1.产品如有型号，请在“产品名称”栏一并填写。</w:t>
      </w:r>
    </w:p>
    <w:p w14:paraId="3BE63DDD">
      <w:pPr>
        <w:pStyle w:val="1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pPr>
      <w:r>
        <w:rPr>
          <w:rFonts w:ascii="宋体" w:hAnsi="宋体" w:eastAsia="宋体" w:cs="宋体"/>
          <w:color w:val="FF0000"/>
          <w:sz w:val="24"/>
          <w:szCs w:val="24"/>
          <w:shd w:val="clear" w:fill="FFFFFF"/>
        </w:rPr>
        <w:t>2.生产厂名与厂址应与生产厂营业执照载明的相关信息保持一致。</w:t>
      </w:r>
    </w:p>
    <w:p w14:paraId="187E10C6">
      <w:pPr>
        <w:pStyle w:val="1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pPr>
      <w:r>
        <w:rPr>
          <w:rFonts w:ascii="宋体" w:hAnsi="宋体" w:eastAsia="宋体" w:cs="宋体"/>
          <w:color w:val="FF0000"/>
          <w:sz w:val="24"/>
          <w:szCs w:val="24"/>
          <w:shd w:val="clear" w:fill="FFFFFF"/>
        </w:rPr>
        <w:t>3.该产品的中国境内生产的组件成本占比相关要求实施前，“规定比例”栏可不填，下同。</w:t>
      </w:r>
    </w:p>
    <w:p w14:paraId="3267BE6A">
      <w:pPr>
        <w:pStyle w:val="1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pPr>
      <w:r>
        <w:rPr>
          <w:rFonts w:ascii="宋体" w:hAnsi="宋体" w:eastAsia="宋体" w:cs="宋体"/>
          <w:color w:val="FF0000"/>
          <w:sz w:val="24"/>
          <w:szCs w:val="24"/>
          <w:shd w:val="clear" w:fill="FFFFFF"/>
        </w:rPr>
        <w:t>4.该产品的关键组件要求实施前，“关键组件”栏可不填，下同。</w:t>
      </w:r>
    </w:p>
    <w:p w14:paraId="4E6C0834">
      <w:pPr>
        <w:pStyle w:val="1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pPr>
      <w:r>
        <w:rPr>
          <w:rFonts w:ascii="宋体" w:hAnsi="宋体" w:eastAsia="宋体" w:cs="宋体"/>
          <w:color w:val="FF0000"/>
          <w:sz w:val="24"/>
          <w:szCs w:val="24"/>
          <w:shd w:val="clear" w:fill="FFFFFF"/>
        </w:rPr>
        <w:t>5.该产品的关键工序要求实施前，“关键工序”栏可不填，下同。</w:t>
      </w:r>
    </w:p>
    <w:p w14:paraId="2039D937">
      <w:pPr>
        <w:pStyle w:val="1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pPr>
      <w:r>
        <w:rPr>
          <w:rFonts w:ascii="宋体" w:hAnsi="宋体" w:eastAsia="宋体" w:cs="宋体"/>
          <w:color w:val="FF0000"/>
          <w:sz w:val="24"/>
          <w:szCs w:val="24"/>
          <w:shd w:val="clear" w:fill="FFFFFF"/>
        </w:rPr>
        <w:t>6.用</w:t>
      </w:r>
      <w:r>
        <w:rPr>
          <w:rFonts w:hint="eastAsia" w:ascii="宋体" w:hAnsi="宋体" w:eastAsia="宋体" w:cs="宋体"/>
          <w:color w:val="FF0000"/>
          <w:sz w:val="24"/>
          <w:szCs w:val="24"/>
          <w:shd w:val="clear" w:fill="FFFFFF"/>
          <w:lang w:val="en-US" w:eastAsia="zh-CN"/>
        </w:rPr>
        <w:t>横</w:t>
      </w:r>
      <w:r>
        <w:rPr>
          <w:rFonts w:ascii="宋体" w:hAnsi="宋体" w:eastAsia="宋体" w:cs="宋体"/>
          <w:color w:val="FF0000"/>
          <w:sz w:val="24"/>
          <w:szCs w:val="24"/>
          <w:shd w:val="clear" w:fill="FFFFFF"/>
        </w:rPr>
        <w:t>线划除的地方无需填写。</w:t>
      </w:r>
    </w:p>
    <w:p w14:paraId="2CCFA17F">
      <w:pPr>
        <w:jc w:val="center"/>
        <w:rPr>
          <w:rFonts w:hint="eastAsia" w:asciiTheme="minorEastAsia" w:hAnsiTheme="minorEastAsia" w:eastAsiaTheme="minorEastAsia" w:cstheme="minorEastAsia"/>
          <w:b/>
          <w:color w:val="000000"/>
          <w:sz w:val="24"/>
          <w:szCs w:val="24"/>
        </w:rPr>
      </w:pPr>
    </w:p>
    <w:p w14:paraId="2EC3EB16">
      <w:pPr>
        <w:spacing w:line="241" w:lineRule="auto"/>
        <w:rPr>
          <w:rFonts w:ascii="Arial"/>
          <w:sz w:val="21"/>
        </w:rPr>
      </w:pPr>
    </w:p>
    <w:p w14:paraId="1CD4472C">
      <w:pPr>
        <w:spacing w:line="241" w:lineRule="auto"/>
        <w:rPr>
          <w:rFonts w:ascii="Arial"/>
          <w:sz w:val="21"/>
        </w:rPr>
      </w:pPr>
    </w:p>
    <w:p w14:paraId="0EA77FD4">
      <w:pPr>
        <w:pStyle w:val="13"/>
        <w:spacing w:beforeAutospacing="0" w:afterAutospacing="0" w:line="0" w:lineRule="atLeast"/>
        <w:jc w:val="center"/>
        <w:rPr>
          <w:highlight w:val="none"/>
        </w:rPr>
      </w:pPr>
      <w:r>
        <w:rPr>
          <w:highlight w:val="none"/>
        </w:rPr>
        <w:t> </w:t>
      </w:r>
    </w:p>
    <w:p w14:paraId="7189612C">
      <w:pPr>
        <w:pStyle w:val="13"/>
        <w:spacing w:beforeAutospacing="0" w:afterAutospacing="0" w:line="0" w:lineRule="atLeast"/>
        <w:jc w:val="center"/>
        <w:rPr>
          <w:highlight w:val="none"/>
        </w:rPr>
      </w:pPr>
    </w:p>
    <w:p w14:paraId="29FF53EE">
      <w:pPr>
        <w:pStyle w:val="13"/>
        <w:spacing w:beforeAutospacing="0" w:afterAutospacing="0" w:line="0" w:lineRule="atLeast"/>
        <w:jc w:val="center"/>
        <w:rPr>
          <w:highlight w:val="none"/>
        </w:rPr>
      </w:pPr>
    </w:p>
    <w:p w14:paraId="117E3AE9">
      <w:pPr>
        <w:jc w:val="center"/>
        <w:rPr>
          <w:rFonts w:hint="eastAsia" w:asciiTheme="minorEastAsia" w:hAnsiTheme="minorEastAsia" w:eastAsiaTheme="minorEastAsia" w:cstheme="minorEastAsia"/>
          <w:b/>
          <w:color w:val="000000"/>
          <w:sz w:val="24"/>
          <w:szCs w:val="24"/>
        </w:rPr>
      </w:pPr>
    </w:p>
    <w:p w14:paraId="3764C62B">
      <w:pPr>
        <w:spacing w:line="241" w:lineRule="auto"/>
        <w:rPr>
          <w:rFonts w:ascii="Arial"/>
          <w:sz w:val="21"/>
        </w:rPr>
      </w:pPr>
    </w:p>
    <w:p w14:paraId="5C74B25B">
      <w:pPr>
        <w:spacing w:line="241" w:lineRule="auto"/>
        <w:rPr>
          <w:rFonts w:ascii="Arial"/>
          <w:sz w:val="21"/>
        </w:rPr>
      </w:pPr>
    </w:p>
    <w:p w14:paraId="59FA9411">
      <w:pPr>
        <w:pStyle w:val="13"/>
        <w:spacing w:beforeAutospacing="0" w:afterAutospacing="0" w:line="0" w:lineRule="atLeast"/>
        <w:jc w:val="center"/>
        <w:rPr>
          <w:highlight w:val="none"/>
        </w:rPr>
      </w:pPr>
      <w:r>
        <w:rPr>
          <w:highlight w:val="none"/>
        </w:rPr>
        <w:t> </w:t>
      </w:r>
    </w:p>
    <w:p w14:paraId="24879B48">
      <w:pPr>
        <w:pStyle w:val="13"/>
        <w:spacing w:beforeAutospacing="0" w:afterAutospacing="0" w:line="0" w:lineRule="atLeast"/>
        <w:jc w:val="center"/>
        <w:rPr>
          <w:highlight w:val="none"/>
        </w:rPr>
      </w:pPr>
    </w:p>
    <w:p w14:paraId="18A83768">
      <w:pPr>
        <w:pStyle w:val="13"/>
        <w:spacing w:beforeAutospacing="0" w:afterAutospacing="0" w:line="0" w:lineRule="atLeast"/>
        <w:jc w:val="center"/>
        <w:rPr>
          <w:highlight w:val="none"/>
        </w:rPr>
      </w:pPr>
    </w:p>
    <w:p w14:paraId="3FB74B8A">
      <w:pPr>
        <w:pStyle w:val="13"/>
        <w:spacing w:beforeAutospacing="0" w:afterAutospacing="0" w:line="0" w:lineRule="atLeast"/>
        <w:jc w:val="center"/>
        <w:rPr>
          <w:highlight w:val="none"/>
        </w:rPr>
      </w:pPr>
    </w:p>
    <w:p w14:paraId="3D16B2B5">
      <w:pPr>
        <w:pStyle w:val="13"/>
        <w:spacing w:beforeAutospacing="0" w:afterAutospacing="0" w:line="0" w:lineRule="atLeast"/>
        <w:jc w:val="center"/>
        <w:rPr>
          <w:highlight w:val="none"/>
        </w:rPr>
      </w:pPr>
    </w:p>
    <w:p w14:paraId="03BD6FEE">
      <w:pPr>
        <w:pStyle w:val="13"/>
        <w:spacing w:beforeAutospacing="0" w:afterAutospacing="0"/>
        <w:jc w:val="both"/>
        <w:rPr>
          <w:highlight w:val="none"/>
        </w:rPr>
      </w:pPr>
      <w:r>
        <w:rPr>
          <w:highlight w:val="none"/>
        </w:rPr>
        <w:t> </w:t>
      </w:r>
    </w:p>
    <w:p w14:paraId="11BC64E8">
      <w:pPr>
        <w:pStyle w:val="13"/>
        <w:spacing w:beforeAutospacing="0" w:afterAutospacing="0"/>
        <w:jc w:val="center"/>
        <w:rPr>
          <w:highlight w:val="none"/>
        </w:rPr>
      </w:pPr>
      <w:r>
        <w:rPr>
          <w:rFonts w:hint="eastAsia" w:ascii="黑体" w:hAnsi="宋体" w:eastAsia="黑体" w:cs="黑体"/>
          <w:b/>
          <w:color w:val="000000"/>
          <w:sz w:val="32"/>
          <w:szCs w:val="32"/>
          <w:highlight w:val="none"/>
        </w:rPr>
        <w:t>十</w:t>
      </w:r>
      <w:r>
        <w:rPr>
          <w:rFonts w:hint="eastAsia" w:ascii="黑体" w:hAnsi="宋体" w:eastAsia="黑体" w:cs="黑体"/>
          <w:b/>
          <w:color w:val="000000"/>
          <w:sz w:val="32"/>
          <w:szCs w:val="32"/>
          <w:highlight w:val="none"/>
          <w:lang w:val="en-US" w:eastAsia="zh-CN"/>
        </w:rPr>
        <w:t>二</w:t>
      </w:r>
      <w:r>
        <w:rPr>
          <w:rFonts w:hint="eastAsia" w:ascii="黑体" w:hAnsi="宋体" w:eastAsia="黑体" w:cs="黑体"/>
          <w:b/>
          <w:color w:val="000000"/>
          <w:sz w:val="32"/>
          <w:szCs w:val="32"/>
          <w:highlight w:val="none"/>
        </w:rPr>
        <w:t>、投标分项报价表</w:t>
      </w:r>
    </w:p>
    <w:tbl>
      <w:tblPr>
        <w:tblStyle w:val="15"/>
        <w:tblW w:w="8517" w:type="dxa"/>
        <w:tblCellSpacing w:w="0" w:type="dxa"/>
        <w:tblInd w:w="10" w:type="dxa"/>
        <w:tblLayout w:type="fixed"/>
        <w:tblCellMar>
          <w:top w:w="0" w:type="dxa"/>
          <w:left w:w="108" w:type="dxa"/>
          <w:bottom w:w="0" w:type="dxa"/>
          <w:right w:w="108" w:type="dxa"/>
        </w:tblCellMar>
      </w:tblPr>
      <w:tblGrid>
        <w:gridCol w:w="546"/>
        <w:gridCol w:w="996"/>
        <w:gridCol w:w="905"/>
        <w:gridCol w:w="1298"/>
        <w:gridCol w:w="746"/>
        <w:gridCol w:w="918"/>
        <w:gridCol w:w="696"/>
        <w:gridCol w:w="1261"/>
        <w:gridCol w:w="1151"/>
      </w:tblGrid>
      <w:tr w14:paraId="6335F1FD">
        <w:tblPrEx>
          <w:tblCellMar>
            <w:top w:w="0" w:type="dxa"/>
            <w:left w:w="108" w:type="dxa"/>
            <w:bottom w:w="0" w:type="dxa"/>
            <w:right w:w="108" w:type="dxa"/>
          </w:tblCellMar>
        </w:tblPrEx>
        <w:trPr>
          <w:trHeight w:val="544"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BDB9F">
            <w:pPr>
              <w:pStyle w:val="13"/>
              <w:spacing w:beforeAutospacing="0" w:afterAutospacing="0" w:line="0" w:lineRule="atLeast"/>
              <w:jc w:val="center"/>
              <w:rPr>
                <w:highlight w:val="none"/>
              </w:rPr>
            </w:pPr>
            <w:r>
              <w:rPr>
                <w:rFonts w:hint="eastAsia" w:ascii="宋体" w:hAnsi="宋体" w:eastAsia="宋体" w:cs="宋体"/>
                <w:color w:val="000000"/>
                <w:highlight w:val="none"/>
              </w:rPr>
              <w:t>序号</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9A323">
            <w:pPr>
              <w:pStyle w:val="13"/>
              <w:spacing w:beforeAutospacing="0" w:afterAutospacing="0" w:line="0" w:lineRule="atLeast"/>
              <w:jc w:val="center"/>
              <w:rPr>
                <w:highlight w:val="none"/>
              </w:rPr>
            </w:pPr>
            <w:r>
              <w:rPr>
                <w:rFonts w:hint="eastAsia" w:ascii="宋体" w:hAnsi="宋体" w:eastAsia="宋体" w:cs="宋体"/>
                <w:color w:val="000000"/>
                <w:highlight w:val="none"/>
              </w:rPr>
              <w:t>1</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AF510">
            <w:pPr>
              <w:pStyle w:val="13"/>
              <w:spacing w:beforeAutospacing="0" w:afterAutospacing="0" w:line="0" w:lineRule="atLeast"/>
              <w:jc w:val="center"/>
              <w:rPr>
                <w:highlight w:val="none"/>
              </w:rPr>
            </w:pPr>
            <w:r>
              <w:rPr>
                <w:rFonts w:hint="eastAsia" w:ascii="宋体" w:hAnsi="宋体" w:eastAsia="宋体" w:cs="宋体"/>
                <w:color w:val="000000"/>
                <w:highlight w:val="none"/>
              </w:rPr>
              <w:t>2</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3E9BD">
            <w:pPr>
              <w:pStyle w:val="13"/>
              <w:spacing w:beforeAutospacing="0" w:afterAutospacing="0" w:line="0" w:lineRule="atLeast"/>
              <w:jc w:val="center"/>
              <w:rPr>
                <w:highlight w:val="none"/>
              </w:rPr>
            </w:pPr>
            <w:r>
              <w:rPr>
                <w:rFonts w:hint="eastAsia" w:ascii="宋体" w:hAnsi="宋体" w:eastAsia="宋体" w:cs="宋体"/>
                <w:color w:val="000000"/>
                <w:highlight w:val="none"/>
              </w:rPr>
              <w:t>3</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70327">
            <w:pPr>
              <w:pStyle w:val="13"/>
              <w:spacing w:beforeAutospacing="0" w:afterAutospacing="0" w:line="0" w:lineRule="atLeast"/>
              <w:jc w:val="center"/>
              <w:rPr>
                <w:highlight w:val="none"/>
              </w:rPr>
            </w:pPr>
            <w:r>
              <w:rPr>
                <w:rFonts w:hint="eastAsia" w:ascii="宋体" w:hAnsi="宋体" w:eastAsia="宋体" w:cs="宋体"/>
                <w:color w:val="000000"/>
                <w:highlight w:val="none"/>
              </w:rPr>
              <w:t>4</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9F75F">
            <w:pPr>
              <w:pStyle w:val="13"/>
              <w:spacing w:beforeAutospacing="0" w:afterAutospacing="0" w:line="0" w:lineRule="atLeast"/>
              <w:jc w:val="center"/>
              <w:rPr>
                <w:highlight w:val="none"/>
              </w:rPr>
            </w:pPr>
            <w:r>
              <w:rPr>
                <w:rFonts w:hint="eastAsia" w:ascii="宋体" w:hAnsi="宋体" w:eastAsia="宋体" w:cs="宋体"/>
                <w:color w:val="000000"/>
                <w:highlight w:val="none"/>
              </w:rPr>
              <w:t>5</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17E50">
            <w:pPr>
              <w:pStyle w:val="13"/>
              <w:spacing w:beforeAutospacing="0" w:afterAutospacing="0" w:line="0" w:lineRule="atLeast"/>
              <w:jc w:val="center"/>
              <w:rPr>
                <w:highlight w:val="none"/>
              </w:rPr>
            </w:pPr>
            <w:r>
              <w:rPr>
                <w:rFonts w:hint="eastAsia" w:ascii="宋体" w:hAnsi="宋体" w:eastAsia="宋体" w:cs="宋体"/>
                <w:color w:val="000000"/>
                <w:highlight w:val="none"/>
              </w:rPr>
              <w:t>6</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7249E">
            <w:pPr>
              <w:pStyle w:val="13"/>
              <w:spacing w:beforeAutospacing="0" w:afterAutospacing="0" w:line="0" w:lineRule="atLeast"/>
              <w:jc w:val="center"/>
              <w:rPr>
                <w:highlight w:val="none"/>
              </w:rPr>
            </w:pPr>
            <w:r>
              <w:rPr>
                <w:rFonts w:hint="eastAsia" w:ascii="宋体" w:hAnsi="宋体" w:eastAsia="宋体" w:cs="宋体"/>
                <w:color w:val="000000"/>
                <w:highlight w:val="none"/>
              </w:rPr>
              <w:t>7</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48B49">
            <w:pPr>
              <w:pStyle w:val="13"/>
              <w:spacing w:beforeAutospacing="0" w:afterAutospacing="0" w:line="0" w:lineRule="atLeast"/>
              <w:jc w:val="center"/>
              <w:rPr>
                <w:highlight w:val="none"/>
              </w:rPr>
            </w:pPr>
            <w:r>
              <w:rPr>
                <w:rFonts w:hint="eastAsia" w:ascii="宋体" w:hAnsi="宋体" w:eastAsia="宋体" w:cs="宋体"/>
                <w:color w:val="000000"/>
                <w:highlight w:val="none"/>
              </w:rPr>
              <w:t>8</w:t>
            </w:r>
          </w:p>
        </w:tc>
      </w:tr>
      <w:tr w14:paraId="3F81C484">
        <w:tblPrEx>
          <w:tblCellMar>
            <w:top w:w="0" w:type="dxa"/>
            <w:left w:w="108" w:type="dxa"/>
            <w:bottom w:w="0" w:type="dxa"/>
            <w:right w:w="108" w:type="dxa"/>
          </w:tblCellMar>
        </w:tblPrEx>
        <w:trPr>
          <w:trHeight w:val="294"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D8554">
            <w:pPr>
              <w:pStyle w:val="13"/>
              <w:spacing w:beforeAutospacing="0" w:afterAutospacing="0" w:line="0" w:lineRule="atLeast"/>
              <w:jc w:val="center"/>
              <w:rPr>
                <w:highlight w:val="none"/>
              </w:rPr>
            </w:pPr>
            <w:r>
              <w:rPr>
                <w:rFonts w:hint="eastAsia" w:ascii="宋体" w:hAnsi="宋体" w:eastAsia="宋体" w:cs="宋体"/>
                <w:color w:val="000000"/>
                <w:highlight w:val="none"/>
              </w:rPr>
              <w:t>1</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04D63">
            <w:pPr>
              <w:pStyle w:val="13"/>
              <w:spacing w:beforeAutospacing="0" w:afterAutospacing="0" w:line="0" w:lineRule="atLeast"/>
              <w:jc w:val="center"/>
              <w:rPr>
                <w:highlight w:val="none"/>
              </w:rPr>
            </w:pPr>
            <w:r>
              <w:rPr>
                <w:rFonts w:hint="eastAsia" w:ascii="宋体" w:hAnsi="宋体" w:eastAsia="宋体" w:cs="宋体"/>
                <w:color w:val="000000"/>
                <w:highlight w:val="none"/>
              </w:rPr>
              <w:t>产品</w:t>
            </w:r>
          </w:p>
          <w:p w14:paraId="67D4302B">
            <w:pPr>
              <w:pStyle w:val="13"/>
              <w:spacing w:beforeAutospacing="0" w:afterAutospacing="0" w:line="0" w:lineRule="atLeast"/>
              <w:jc w:val="center"/>
              <w:rPr>
                <w:highlight w:val="none"/>
              </w:rPr>
            </w:pPr>
            <w:r>
              <w:rPr>
                <w:rFonts w:hint="eastAsia" w:ascii="宋体" w:hAnsi="宋体" w:eastAsia="宋体" w:cs="宋体"/>
                <w:color w:val="000000"/>
                <w:highlight w:val="none"/>
              </w:rPr>
              <w:t>名称</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AA78B">
            <w:pPr>
              <w:pStyle w:val="13"/>
              <w:spacing w:beforeAutospacing="0" w:afterAutospacing="0" w:line="0" w:lineRule="atLeast"/>
              <w:jc w:val="center"/>
              <w:rPr>
                <w:highlight w:val="none"/>
              </w:rPr>
            </w:pPr>
            <w:r>
              <w:rPr>
                <w:rFonts w:hint="eastAsia" w:ascii="宋体" w:hAnsi="宋体" w:eastAsia="宋体" w:cs="宋体"/>
                <w:color w:val="000000"/>
                <w:highlight w:val="none"/>
              </w:rPr>
              <w:t>品牌</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685F0">
            <w:pPr>
              <w:pStyle w:val="13"/>
              <w:spacing w:beforeAutospacing="0" w:afterAutospacing="0" w:line="0" w:lineRule="atLeast"/>
              <w:jc w:val="center"/>
              <w:rPr>
                <w:highlight w:val="none"/>
              </w:rPr>
            </w:pPr>
            <w:r>
              <w:rPr>
                <w:rFonts w:hint="eastAsia" w:ascii="宋体" w:hAnsi="宋体" w:eastAsia="宋体" w:cs="宋体"/>
                <w:color w:val="000000"/>
                <w:highlight w:val="none"/>
              </w:rPr>
              <w:t>规格</w:t>
            </w:r>
          </w:p>
          <w:p w14:paraId="585F4A44">
            <w:pPr>
              <w:pStyle w:val="13"/>
              <w:spacing w:beforeAutospacing="0" w:afterAutospacing="0" w:line="0" w:lineRule="atLeast"/>
              <w:jc w:val="center"/>
              <w:rPr>
                <w:highlight w:val="none"/>
              </w:rPr>
            </w:pPr>
            <w:r>
              <w:rPr>
                <w:rFonts w:hint="eastAsia" w:ascii="宋体" w:hAnsi="宋体" w:eastAsia="宋体" w:cs="宋体"/>
                <w:color w:val="000000"/>
                <w:highlight w:val="none"/>
              </w:rPr>
              <w:t>型号</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CA215">
            <w:pPr>
              <w:pStyle w:val="13"/>
              <w:spacing w:beforeAutospacing="0" w:afterAutospacing="0" w:line="0" w:lineRule="atLeast"/>
              <w:jc w:val="center"/>
              <w:rPr>
                <w:highlight w:val="none"/>
              </w:rPr>
            </w:pPr>
            <w:r>
              <w:rPr>
                <w:rFonts w:hint="eastAsia" w:ascii="宋体" w:hAnsi="宋体" w:eastAsia="宋体" w:cs="宋体"/>
                <w:color w:val="000000"/>
                <w:highlight w:val="none"/>
              </w:rPr>
              <w:t>产地</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6582D">
            <w:pPr>
              <w:pStyle w:val="13"/>
              <w:spacing w:beforeAutospacing="0" w:afterAutospacing="0" w:line="0" w:lineRule="atLeast"/>
              <w:jc w:val="center"/>
              <w:rPr>
                <w:highlight w:val="none"/>
              </w:rPr>
            </w:pPr>
            <w:r>
              <w:rPr>
                <w:rFonts w:hint="eastAsia" w:ascii="宋体" w:hAnsi="宋体" w:eastAsia="宋体" w:cs="宋体"/>
                <w:color w:val="000000"/>
                <w:highlight w:val="none"/>
              </w:rPr>
              <w:t>交付期</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28529">
            <w:pPr>
              <w:pStyle w:val="13"/>
              <w:spacing w:beforeAutospacing="0" w:afterAutospacing="0" w:line="0" w:lineRule="atLeast"/>
              <w:jc w:val="center"/>
              <w:rPr>
                <w:highlight w:val="none"/>
              </w:rPr>
            </w:pPr>
            <w:r>
              <w:rPr>
                <w:rFonts w:hint="eastAsia" w:ascii="宋体" w:hAnsi="宋体" w:eastAsia="宋体" w:cs="宋体"/>
                <w:color w:val="000000"/>
                <w:highlight w:val="none"/>
              </w:rPr>
              <w:t>数量</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E4481">
            <w:pPr>
              <w:pStyle w:val="13"/>
              <w:spacing w:beforeAutospacing="0" w:afterAutospacing="0" w:line="0" w:lineRule="atLeast"/>
              <w:jc w:val="center"/>
              <w:rPr>
                <w:highlight w:val="none"/>
              </w:rPr>
            </w:pPr>
            <w:r>
              <w:rPr>
                <w:rFonts w:hint="eastAsia" w:ascii="宋体" w:hAnsi="宋体" w:eastAsia="宋体" w:cs="宋体"/>
                <w:color w:val="000000"/>
                <w:highlight w:val="none"/>
              </w:rPr>
              <w:t>分项单价</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234AC">
            <w:pPr>
              <w:pStyle w:val="13"/>
              <w:spacing w:beforeAutospacing="0" w:afterAutospacing="0" w:line="0" w:lineRule="atLeast"/>
              <w:jc w:val="center"/>
              <w:rPr>
                <w:highlight w:val="none"/>
              </w:rPr>
            </w:pPr>
            <w:r>
              <w:rPr>
                <w:rFonts w:hint="eastAsia" w:ascii="宋体" w:hAnsi="宋体" w:eastAsia="宋体" w:cs="宋体"/>
                <w:color w:val="000000"/>
                <w:highlight w:val="none"/>
              </w:rPr>
              <w:t>分项总价</w:t>
            </w:r>
          </w:p>
        </w:tc>
      </w:tr>
      <w:tr w14:paraId="1F69D92A">
        <w:tblPrEx>
          <w:tblCellMar>
            <w:top w:w="0" w:type="dxa"/>
            <w:left w:w="108" w:type="dxa"/>
            <w:bottom w:w="0" w:type="dxa"/>
            <w:right w:w="108" w:type="dxa"/>
          </w:tblCellMar>
        </w:tblPrEx>
        <w:trPr>
          <w:trHeight w:val="696"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3CC3C">
            <w:pPr>
              <w:pStyle w:val="13"/>
              <w:spacing w:beforeAutospacing="0" w:afterAutospacing="0" w:line="0" w:lineRule="atLeast"/>
              <w:jc w:val="center"/>
              <w:rPr>
                <w:highlight w:val="none"/>
              </w:rPr>
            </w:pPr>
            <w:r>
              <w:rPr>
                <w:rFonts w:hint="eastAsia" w:ascii="宋体" w:hAnsi="宋体" w:eastAsia="宋体" w:cs="宋体"/>
                <w:color w:val="000000"/>
                <w:highlight w:val="none"/>
              </w:rPr>
              <w:t>2</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A0421">
            <w:pPr>
              <w:pStyle w:val="13"/>
              <w:spacing w:beforeAutospacing="0" w:afterAutospacing="0" w:line="0" w:lineRule="atLeast"/>
              <w:jc w:val="both"/>
              <w:rPr>
                <w:highlight w:val="none"/>
              </w:rPr>
            </w:pPr>
            <w:r>
              <w:rPr>
                <w:highlight w:val="none"/>
              </w:rP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20EFB">
            <w:pPr>
              <w:pStyle w:val="13"/>
              <w:spacing w:beforeAutospacing="0" w:afterAutospacing="0" w:line="0" w:lineRule="atLeast"/>
              <w:jc w:val="both"/>
              <w:rPr>
                <w:highlight w:val="none"/>
              </w:rPr>
            </w:pPr>
            <w:r>
              <w:rPr>
                <w:highlight w:val="none"/>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5E506">
            <w:pPr>
              <w:pStyle w:val="13"/>
              <w:spacing w:beforeAutospacing="0" w:afterAutospacing="0" w:line="0" w:lineRule="atLeast"/>
              <w:jc w:val="both"/>
              <w:rPr>
                <w:highlight w:val="none"/>
              </w:rPr>
            </w:pPr>
            <w:r>
              <w:rPr>
                <w:highlight w:val="none"/>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97083">
            <w:pPr>
              <w:pStyle w:val="13"/>
              <w:spacing w:beforeAutospacing="0" w:afterAutospacing="0" w:line="0" w:lineRule="atLeast"/>
              <w:jc w:val="both"/>
              <w:rPr>
                <w:highlight w:val="none"/>
              </w:rPr>
            </w:pPr>
            <w:r>
              <w:rPr>
                <w:highlight w:val="none"/>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FDCA6">
            <w:pPr>
              <w:pStyle w:val="13"/>
              <w:spacing w:beforeAutospacing="0" w:afterAutospacing="0" w:line="0" w:lineRule="atLeast"/>
              <w:jc w:val="both"/>
              <w:rPr>
                <w:highlight w:val="none"/>
              </w:rPr>
            </w:pPr>
            <w:r>
              <w:rPr>
                <w:highlight w:val="none"/>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4B83B">
            <w:pPr>
              <w:pStyle w:val="13"/>
              <w:spacing w:beforeAutospacing="0" w:afterAutospacing="0" w:line="0" w:lineRule="atLeast"/>
              <w:jc w:val="both"/>
              <w:rPr>
                <w:highlight w:val="none"/>
              </w:rPr>
            </w:pPr>
            <w:r>
              <w:rPr>
                <w:highlight w:val="none"/>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C5E86">
            <w:pPr>
              <w:pStyle w:val="13"/>
              <w:spacing w:beforeAutospacing="0" w:afterAutospacing="0" w:line="0" w:lineRule="atLeast"/>
              <w:jc w:val="both"/>
              <w:rPr>
                <w:highlight w:val="none"/>
              </w:rPr>
            </w:pPr>
            <w:r>
              <w:rPr>
                <w:highlight w:val="none"/>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2DC48">
            <w:pPr>
              <w:pStyle w:val="13"/>
              <w:spacing w:beforeAutospacing="0" w:afterAutospacing="0" w:line="0" w:lineRule="atLeast"/>
              <w:jc w:val="both"/>
              <w:rPr>
                <w:highlight w:val="none"/>
              </w:rPr>
            </w:pPr>
            <w:r>
              <w:rPr>
                <w:highlight w:val="none"/>
              </w:rPr>
              <w:t> </w:t>
            </w:r>
          </w:p>
        </w:tc>
      </w:tr>
      <w:tr w14:paraId="0992823C">
        <w:tblPrEx>
          <w:tblCellMar>
            <w:top w:w="0" w:type="dxa"/>
            <w:left w:w="108" w:type="dxa"/>
            <w:bottom w:w="0" w:type="dxa"/>
            <w:right w:w="108" w:type="dxa"/>
          </w:tblCellMar>
        </w:tblPrEx>
        <w:trPr>
          <w:trHeight w:val="724"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CA85D">
            <w:pPr>
              <w:pStyle w:val="13"/>
              <w:spacing w:beforeAutospacing="0" w:afterAutospacing="0" w:line="0" w:lineRule="atLeast"/>
              <w:jc w:val="center"/>
              <w:rPr>
                <w:highlight w:val="none"/>
              </w:rP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rPr>
              <w:t>3</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AA351">
            <w:pPr>
              <w:pStyle w:val="13"/>
              <w:spacing w:beforeAutospacing="0" w:afterAutospacing="0" w:line="0" w:lineRule="atLeast"/>
              <w:jc w:val="both"/>
              <w:rPr>
                <w:highlight w:val="none"/>
              </w:rPr>
            </w:pPr>
            <w:r>
              <w:rPr>
                <w:highlight w:val="none"/>
              </w:rP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4A1FC">
            <w:pPr>
              <w:pStyle w:val="13"/>
              <w:spacing w:beforeAutospacing="0" w:afterAutospacing="0" w:line="0" w:lineRule="atLeast"/>
              <w:jc w:val="both"/>
              <w:rPr>
                <w:highlight w:val="none"/>
              </w:rPr>
            </w:pPr>
            <w:r>
              <w:rPr>
                <w:highlight w:val="none"/>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2E750">
            <w:pPr>
              <w:pStyle w:val="13"/>
              <w:spacing w:beforeAutospacing="0" w:afterAutospacing="0" w:line="0" w:lineRule="atLeast"/>
              <w:jc w:val="both"/>
              <w:rPr>
                <w:highlight w:val="none"/>
              </w:rPr>
            </w:pPr>
            <w:r>
              <w:rPr>
                <w:highlight w:val="none"/>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F14C9">
            <w:pPr>
              <w:pStyle w:val="13"/>
              <w:spacing w:beforeAutospacing="0" w:afterAutospacing="0" w:line="0" w:lineRule="atLeast"/>
              <w:jc w:val="both"/>
              <w:rPr>
                <w:highlight w:val="none"/>
              </w:rPr>
            </w:pPr>
            <w:r>
              <w:rPr>
                <w:highlight w:val="none"/>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E2A9E">
            <w:pPr>
              <w:pStyle w:val="13"/>
              <w:spacing w:beforeAutospacing="0" w:afterAutospacing="0" w:line="0" w:lineRule="atLeast"/>
              <w:jc w:val="both"/>
              <w:rPr>
                <w:highlight w:val="none"/>
              </w:rPr>
            </w:pPr>
            <w:r>
              <w:rPr>
                <w:highlight w:val="none"/>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AA0B5">
            <w:pPr>
              <w:pStyle w:val="13"/>
              <w:spacing w:beforeAutospacing="0" w:afterAutospacing="0" w:line="0" w:lineRule="atLeast"/>
              <w:jc w:val="both"/>
              <w:rPr>
                <w:highlight w:val="none"/>
              </w:rPr>
            </w:pPr>
            <w:r>
              <w:rPr>
                <w:highlight w:val="none"/>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1712A">
            <w:pPr>
              <w:pStyle w:val="13"/>
              <w:spacing w:beforeAutospacing="0" w:afterAutospacing="0" w:line="0" w:lineRule="atLeast"/>
              <w:jc w:val="both"/>
              <w:rPr>
                <w:highlight w:val="none"/>
              </w:rPr>
            </w:pPr>
            <w:r>
              <w:rPr>
                <w:highlight w:val="none"/>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AB3A0">
            <w:pPr>
              <w:pStyle w:val="13"/>
              <w:spacing w:beforeAutospacing="0" w:afterAutospacing="0" w:line="0" w:lineRule="atLeast"/>
              <w:jc w:val="both"/>
              <w:rPr>
                <w:highlight w:val="none"/>
              </w:rPr>
            </w:pPr>
            <w:r>
              <w:rPr>
                <w:highlight w:val="none"/>
              </w:rPr>
              <w:t> </w:t>
            </w:r>
          </w:p>
        </w:tc>
      </w:tr>
      <w:tr w14:paraId="1F49CC3D">
        <w:tblPrEx>
          <w:tblCellMar>
            <w:top w:w="0" w:type="dxa"/>
            <w:left w:w="108" w:type="dxa"/>
            <w:bottom w:w="0" w:type="dxa"/>
            <w:right w:w="108" w:type="dxa"/>
          </w:tblCellMar>
        </w:tblPrEx>
        <w:trPr>
          <w:trHeight w:val="640"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60693">
            <w:pPr>
              <w:pStyle w:val="13"/>
              <w:spacing w:beforeAutospacing="0" w:afterAutospacing="0" w:line="0" w:lineRule="atLeast"/>
              <w:jc w:val="center"/>
              <w:rPr>
                <w:highlight w:val="none"/>
              </w:rPr>
            </w:pPr>
            <w:r>
              <w:rPr>
                <w:rFonts w:hint="eastAsia" w:ascii="宋体" w:hAnsi="宋体" w:eastAsia="宋体" w:cs="宋体"/>
                <w:color w:val="000000"/>
                <w:highlight w:val="none"/>
              </w:rPr>
              <w:t>4</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0C025">
            <w:pPr>
              <w:pStyle w:val="13"/>
              <w:spacing w:beforeAutospacing="0" w:afterAutospacing="0" w:line="0" w:lineRule="atLeast"/>
              <w:jc w:val="both"/>
              <w:rPr>
                <w:highlight w:val="none"/>
              </w:rPr>
            </w:pPr>
            <w:r>
              <w:rPr>
                <w:highlight w:val="none"/>
              </w:rP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A79EC">
            <w:pPr>
              <w:pStyle w:val="13"/>
              <w:spacing w:beforeAutospacing="0" w:afterAutospacing="0" w:line="0" w:lineRule="atLeast"/>
              <w:jc w:val="both"/>
              <w:rPr>
                <w:highlight w:val="none"/>
              </w:rPr>
            </w:pPr>
            <w:r>
              <w:rPr>
                <w:highlight w:val="none"/>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CA121">
            <w:pPr>
              <w:pStyle w:val="13"/>
              <w:spacing w:beforeAutospacing="0" w:afterAutospacing="0" w:line="0" w:lineRule="atLeast"/>
              <w:jc w:val="both"/>
              <w:rPr>
                <w:highlight w:val="none"/>
              </w:rPr>
            </w:pPr>
            <w:r>
              <w:rPr>
                <w:highlight w:val="none"/>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E7743">
            <w:pPr>
              <w:pStyle w:val="13"/>
              <w:spacing w:beforeAutospacing="0" w:afterAutospacing="0" w:line="0" w:lineRule="atLeast"/>
              <w:jc w:val="both"/>
              <w:rPr>
                <w:highlight w:val="none"/>
              </w:rPr>
            </w:pPr>
            <w:r>
              <w:rPr>
                <w:highlight w:val="none"/>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64B11">
            <w:pPr>
              <w:pStyle w:val="13"/>
              <w:spacing w:beforeAutospacing="0" w:afterAutospacing="0" w:line="0" w:lineRule="atLeast"/>
              <w:jc w:val="both"/>
              <w:rPr>
                <w:highlight w:val="none"/>
              </w:rPr>
            </w:pPr>
            <w:r>
              <w:rPr>
                <w:highlight w:val="none"/>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BA73A">
            <w:pPr>
              <w:pStyle w:val="13"/>
              <w:spacing w:beforeAutospacing="0" w:afterAutospacing="0" w:line="0" w:lineRule="atLeast"/>
              <w:jc w:val="both"/>
              <w:rPr>
                <w:highlight w:val="none"/>
              </w:rPr>
            </w:pPr>
            <w:r>
              <w:rPr>
                <w:highlight w:val="none"/>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DECA9">
            <w:pPr>
              <w:pStyle w:val="13"/>
              <w:spacing w:beforeAutospacing="0" w:afterAutospacing="0" w:line="0" w:lineRule="atLeast"/>
              <w:jc w:val="both"/>
              <w:rPr>
                <w:highlight w:val="none"/>
              </w:rPr>
            </w:pPr>
            <w:r>
              <w:rPr>
                <w:highlight w:val="none"/>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3DD0E">
            <w:pPr>
              <w:pStyle w:val="13"/>
              <w:spacing w:beforeAutospacing="0" w:afterAutospacing="0" w:line="0" w:lineRule="atLeast"/>
              <w:jc w:val="both"/>
              <w:rPr>
                <w:highlight w:val="none"/>
              </w:rPr>
            </w:pPr>
            <w:r>
              <w:rPr>
                <w:highlight w:val="none"/>
              </w:rPr>
              <w:t> </w:t>
            </w:r>
          </w:p>
        </w:tc>
      </w:tr>
      <w:tr w14:paraId="6F9AC2BD">
        <w:tblPrEx>
          <w:tblCellMar>
            <w:top w:w="0" w:type="dxa"/>
            <w:left w:w="108" w:type="dxa"/>
            <w:bottom w:w="0" w:type="dxa"/>
            <w:right w:w="108" w:type="dxa"/>
          </w:tblCellMar>
        </w:tblPrEx>
        <w:trPr>
          <w:trHeight w:val="580"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FF6AB">
            <w:pPr>
              <w:pStyle w:val="13"/>
              <w:spacing w:beforeAutospacing="0" w:afterAutospacing="0" w:line="0" w:lineRule="atLeast"/>
              <w:jc w:val="center"/>
              <w:rPr>
                <w:highlight w:val="none"/>
              </w:rPr>
            </w:pPr>
            <w:r>
              <w:rPr>
                <w:rFonts w:hint="eastAsia" w:ascii="宋体" w:hAnsi="宋体" w:eastAsia="宋体" w:cs="宋体"/>
                <w:color w:val="000000"/>
                <w:highlight w:val="none"/>
              </w:rPr>
              <w:t>…</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306FA">
            <w:pPr>
              <w:pStyle w:val="13"/>
              <w:spacing w:beforeAutospacing="0" w:afterAutospacing="0" w:line="0" w:lineRule="atLeast"/>
              <w:jc w:val="both"/>
              <w:rPr>
                <w:highlight w:val="none"/>
              </w:rPr>
            </w:pPr>
            <w:r>
              <w:rPr>
                <w:rFonts w:hint="eastAsia" w:ascii="宋体" w:hAnsi="宋体" w:eastAsia="宋体" w:cs="宋体"/>
                <w:color w:val="000000"/>
                <w:highlight w:val="none"/>
              </w:rPr>
              <w:t>……</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704C0">
            <w:pPr>
              <w:pStyle w:val="13"/>
              <w:spacing w:beforeAutospacing="0" w:afterAutospacing="0" w:line="0" w:lineRule="atLeast"/>
              <w:jc w:val="both"/>
              <w:rPr>
                <w:highlight w:val="none"/>
              </w:rPr>
            </w:pPr>
            <w:r>
              <w:rPr>
                <w:highlight w:val="none"/>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2F997">
            <w:pPr>
              <w:pStyle w:val="13"/>
              <w:spacing w:beforeAutospacing="0" w:afterAutospacing="0" w:line="0" w:lineRule="atLeast"/>
              <w:jc w:val="both"/>
              <w:rPr>
                <w:highlight w:val="none"/>
              </w:rPr>
            </w:pPr>
            <w:r>
              <w:rPr>
                <w:highlight w:val="none"/>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863AF">
            <w:pPr>
              <w:pStyle w:val="13"/>
              <w:spacing w:beforeAutospacing="0" w:afterAutospacing="0" w:line="0" w:lineRule="atLeast"/>
              <w:jc w:val="both"/>
              <w:rPr>
                <w:highlight w:val="none"/>
              </w:rPr>
            </w:pPr>
            <w:r>
              <w:rPr>
                <w:highlight w:val="none"/>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00621">
            <w:pPr>
              <w:pStyle w:val="13"/>
              <w:spacing w:beforeAutospacing="0" w:afterAutospacing="0" w:line="0" w:lineRule="atLeast"/>
              <w:jc w:val="both"/>
              <w:rPr>
                <w:highlight w:val="none"/>
              </w:rPr>
            </w:pPr>
            <w:r>
              <w:rPr>
                <w:highlight w:val="none"/>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822F7">
            <w:pPr>
              <w:pStyle w:val="13"/>
              <w:spacing w:beforeAutospacing="0" w:afterAutospacing="0" w:line="0" w:lineRule="atLeast"/>
              <w:jc w:val="both"/>
              <w:rPr>
                <w:highlight w:val="none"/>
              </w:rPr>
            </w:pPr>
            <w:r>
              <w:rPr>
                <w:highlight w:val="none"/>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63638">
            <w:pPr>
              <w:pStyle w:val="13"/>
              <w:spacing w:beforeAutospacing="0" w:afterAutospacing="0" w:line="0" w:lineRule="atLeast"/>
              <w:jc w:val="both"/>
              <w:rPr>
                <w:highlight w:val="none"/>
              </w:rPr>
            </w:pPr>
            <w:r>
              <w:rPr>
                <w:highlight w:val="none"/>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AB0B2">
            <w:pPr>
              <w:pStyle w:val="13"/>
              <w:spacing w:beforeAutospacing="0" w:afterAutospacing="0" w:line="0" w:lineRule="atLeast"/>
              <w:jc w:val="both"/>
              <w:rPr>
                <w:highlight w:val="none"/>
              </w:rPr>
            </w:pPr>
            <w:r>
              <w:rPr>
                <w:highlight w:val="none"/>
              </w:rPr>
              <w:t> </w:t>
            </w:r>
          </w:p>
        </w:tc>
      </w:tr>
      <w:tr w14:paraId="6C9A7673">
        <w:tblPrEx>
          <w:tblCellMar>
            <w:top w:w="0" w:type="dxa"/>
            <w:left w:w="108" w:type="dxa"/>
            <w:bottom w:w="0" w:type="dxa"/>
            <w:right w:w="108" w:type="dxa"/>
          </w:tblCellMar>
        </w:tblPrEx>
        <w:trPr>
          <w:trHeight w:val="1030" w:hRule="atLeast"/>
          <w:tblCellSpacing w:w="0" w:type="dxa"/>
        </w:trPr>
        <w:tc>
          <w:tcPr>
            <w:tcW w:w="7366"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4FDD9207">
            <w:pPr>
              <w:pStyle w:val="13"/>
              <w:spacing w:beforeAutospacing="0" w:afterAutospacing="0"/>
              <w:jc w:val="center"/>
              <w:rPr>
                <w:highlight w:val="none"/>
              </w:rPr>
            </w:pPr>
            <w:r>
              <w:rPr>
                <w:rFonts w:hint="eastAsia" w:ascii="宋体" w:hAnsi="宋体" w:eastAsia="宋体" w:cs="宋体"/>
                <w:color w:val="000000"/>
                <w:highlight w:val="none"/>
              </w:rPr>
              <w:t>投标总报价（人民币：元）</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E2FC5">
            <w:pPr>
              <w:pStyle w:val="13"/>
              <w:spacing w:beforeAutospacing="0" w:afterAutospacing="0"/>
              <w:jc w:val="both"/>
              <w:rPr>
                <w:highlight w:val="none"/>
              </w:rPr>
            </w:pPr>
            <w:r>
              <w:rPr>
                <w:highlight w:val="none"/>
              </w:rPr>
              <w:t> </w:t>
            </w:r>
          </w:p>
        </w:tc>
      </w:tr>
      <w:tr w14:paraId="2B944591">
        <w:tblPrEx>
          <w:tblCellMar>
            <w:top w:w="0" w:type="dxa"/>
            <w:left w:w="108" w:type="dxa"/>
            <w:bottom w:w="0" w:type="dxa"/>
            <w:right w:w="108" w:type="dxa"/>
          </w:tblCellMar>
        </w:tblPrEx>
        <w:trPr>
          <w:trHeight w:val="1030" w:hRule="atLeast"/>
          <w:tblCellSpacing w:w="0" w:type="dxa"/>
        </w:trPr>
        <w:tc>
          <w:tcPr>
            <w:tcW w:w="851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01000A22">
            <w:pPr>
              <w:pStyle w:val="13"/>
              <w:spacing w:beforeAutospacing="0" w:afterAutospacing="0"/>
              <w:jc w:val="both"/>
              <w:rPr>
                <w:highlight w:val="none"/>
              </w:rPr>
            </w:pPr>
            <w:r>
              <w:rPr>
                <w:rFonts w:hint="eastAsia" w:asciiTheme="minorEastAsia" w:hAnsiTheme="minorEastAsia" w:eastAsiaTheme="minorEastAsia" w:cstheme="minorEastAsia"/>
                <w:color w:val="FF0000"/>
                <w:sz w:val="24"/>
                <w:szCs w:val="24"/>
              </w:rPr>
              <w:t>本采购包中提供的符合本国产品标准的产品成本之和占该采购包提供的全部产品成本之和的比例为</w:t>
            </w:r>
            <w:r>
              <w:rPr>
                <w:rFonts w:hint="eastAsia" w:asciiTheme="minorEastAsia" w:hAnsiTheme="minorEastAsia" w:eastAsiaTheme="minorEastAsia" w:cstheme="minorEastAsia"/>
                <w:color w:val="FF0000"/>
                <w:sz w:val="24"/>
                <w:szCs w:val="24"/>
                <w:u w:val="single"/>
              </w:rPr>
              <w:t>***</w:t>
            </w:r>
            <w:r>
              <w:rPr>
                <w:rFonts w:hint="eastAsia" w:asciiTheme="minorEastAsia" w:hAnsiTheme="minorEastAsia" w:eastAsiaTheme="minorEastAsia" w:cstheme="minorEastAsia"/>
                <w:color w:val="FF0000"/>
                <w:sz w:val="24"/>
                <w:szCs w:val="24"/>
              </w:rPr>
              <w:t>%。</w:t>
            </w:r>
          </w:p>
        </w:tc>
      </w:tr>
    </w:tbl>
    <w:p w14:paraId="442238A9">
      <w:pPr>
        <w:pStyle w:val="13"/>
        <w:spacing w:beforeAutospacing="0" w:afterAutospacing="0"/>
        <w:jc w:val="both"/>
        <w:rPr>
          <w:rFonts w:hint="eastAsia" w:ascii="宋体" w:hAnsi="宋体" w:eastAsia="宋体" w:cs="宋体"/>
          <w:color w:val="000000"/>
          <w:highlight w:val="none"/>
        </w:rPr>
      </w:pPr>
      <w:r>
        <w:rPr>
          <w:rFonts w:hint="eastAsia" w:ascii="宋体" w:hAnsi="宋体" w:eastAsia="宋体" w:cs="宋体"/>
          <w:color w:val="000000"/>
          <w:highlight w:val="none"/>
        </w:rPr>
        <w:t>备注：</w:t>
      </w:r>
    </w:p>
    <w:p w14:paraId="2CD060BB">
      <w:pPr>
        <w:pStyle w:val="13"/>
        <w:numPr>
          <w:ilvl w:val="0"/>
          <w:numId w:val="14"/>
        </w:numPr>
        <w:spacing w:beforeAutospacing="0" w:afterAutospacing="0"/>
        <w:jc w:val="both"/>
        <w:rPr>
          <w:rFonts w:hint="eastAsia" w:ascii="宋体" w:hAnsi="宋体" w:eastAsia="宋体" w:cs="宋体"/>
          <w:color w:val="000000"/>
          <w:highlight w:val="none"/>
        </w:rPr>
      </w:pPr>
      <w:r>
        <w:rPr>
          <w:rFonts w:hint="eastAsia" w:ascii="宋体" w:hAnsi="宋体" w:eastAsia="宋体" w:cs="宋体"/>
          <w:color w:val="000000"/>
          <w:highlight w:val="none"/>
        </w:rPr>
        <w:t>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5CBF482E">
      <w:pPr>
        <w:pStyle w:val="13"/>
        <w:numPr>
          <w:ilvl w:val="0"/>
          <w:numId w:val="0"/>
        </w:numPr>
        <w:spacing w:beforeAutospacing="0" w:afterAutospacing="0"/>
        <w:jc w:val="both"/>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rPr>
        <w:t>2.</w:t>
      </w:r>
      <w:r>
        <w:rPr>
          <w:rFonts w:ascii="Times New Roman" w:hAnsi="Times New Roman"/>
          <w:color w:val="000000"/>
          <w:sz w:val="21"/>
          <w:szCs w:val="21"/>
          <w:highlight w:val="none"/>
        </w:rPr>
        <w:t xml:space="preserve"> “</w:t>
      </w:r>
      <w:r>
        <w:rPr>
          <w:rFonts w:hint="eastAsia" w:ascii="宋体" w:hAnsi="宋体" w:eastAsia="宋体" w:cs="宋体"/>
          <w:color w:val="000000"/>
          <w:highlight w:val="none"/>
        </w:rPr>
        <w:t>投标分项报价表</w:t>
      </w:r>
      <w:r>
        <w:rPr>
          <w:rFonts w:ascii="Times New Roman" w:hAnsi="Times New Roman"/>
          <w:color w:val="000000"/>
          <w:sz w:val="21"/>
          <w:szCs w:val="21"/>
          <w:highlight w:val="none"/>
        </w:rPr>
        <w:t>”</w:t>
      </w:r>
      <w:r>
        <w:rPr>
          <w:rFonts w:hint="eastAsia" w:ascii="宋体" w:hAnsi="宋体" w:eastAsia="宋体" w:cs="宋体"/>
          <w:color w:val="000000"/>
          <w:highlight w:val="none"/>
          <w:shd w:val="clear" w:color="auto" w:fill="auto"/>
        </w:rPr>
        <w:t>中“投标总报价”数额应当与“开标一览表”中“投标总报价”数额一致。</w:t>
      </w:r>
    </w:p>
    <w:p w14:paraId="50EB4DBB">
      <w:pPr>
        <w:spacing w:line="400" w:lineRule="exact"/>
        <w:rPr>
          <w:rFonts w:hint="eastAsia" w:ascii="宋体" w:hAnsi="宋体" w:eastAsia="宋体" w:cs="宋体"/>
          <w:color w:val="000000"/>
          <w:highlight w:val="none"/>
          <w:shd w:val="clear" w:color="auto" w:fill="auto"/>
        </w:rPr>
      </w:pPr>
      <w:r>
        <w:rPr>
          <w:rFonts w:hint="eastAsia" w:asciiTheme="minorEastAsia" w:hAnsiTheme="minorEastAsia" w:eastAsiaTheme="minorEastAsia" w:cstheme="minorEastAsia"/>
          <w:color w:val="FF0000"/>
          <w:sz w:val="24"/>
          <w:szCs w:val="24"/>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557CDBCA">
      <w:pPr>
        <w:pStyle w:val="13"/>
        <w:spacing w:beforeAutospacing="0" w:afterAutospacing="0"/>
        <w:jc w:val="both"/>
        <w:rPr>
          <w:highlight w:val="none"/>
          <w:shd w:val="clear" w:color="auto" w:fill="auto"/>
        </w:rPr>
      </w:pPr>
      <w:r>
        <w:rPr>
          <w:highlight w:val="none"/>
          <w:shd w:val="clear" w:color="auto" w:fill="auto"/>
        </w:rPr>
        <w:t> </w:t>
      </w:r>
    </w:p>
    <w:p w14:paraId="5C3CDF56">
      <w:pPr>
        <w:pStyle w:val="13"/>
        <w:spacing w:beforeAutospacing="0" w:afterAutospacing="0"/>
        <w:jc w:val="both"/>
        <w:rPr>
          <w:highlight w:val="none"/>
        </w:rPr>
      </w:pPr>
      <w:r>
        <w:rPr>
          <w:highlight w:val="none"/>
        </w:rPr>
        <w:t> </w:t>
      </w:r>
    </w:p>
    <w:p w14:paraId="391D295D">
      <w:pPr>
        <w:pStyle w:val="13"/>
        <w:spacing w:beforeAutospacing="0" w:afterAutospacing="0"/>
        <w:jc w:val="both"/>
        <w:rPr>
          <w:highlight w:val="none"/>
        </w:rPr>
      </w:pPr>
      <w:r>
        <w:rPr>
          <w:highlight w:val="none"/>
        </w:rPr>
        <w:t> </w:t>
      </w:r>
    </w:p>
    <w:p w14:paraId="2968EB93">
      <w:pPr>
        <w:pStyle w:val="13"/>
        <w:spacing w:beforeAutospacing="0" w:afterAutospacing="0"/>
        <w:jc w:val="both"/>
        <w:rPr>
          <w:highlight w:val="none"/>
        </w:rPr>
      </w:pPr>
      <w:r>
        <w:rPr>
          <w:highlight w:val="none"/>
        </w:rPr>
        <w:t> </w:t>
      </w:r>
    </w:p>
    <w:p w14:paraId="67AA6D10">
      <w:pPr>
        <w:pStyle w:val="13"/>
        <w:spacing w:beforeAutospacing="0" w:afterAutospacing="0"/>
        <w:jc w:val="both"/>
        <w:rPr>
          <w:highlight w:val="none"/>
        </w:rPr>
      </w:pPr>
      <w:r>
        <w:rPr>
          <w:highlight w:val="none"/>
        </w:rPr>
        <w:t> </w:t>
      </w:r>
    </w:p>
    <w:p w14:paraId="7966862D">
      <w:pPr>
        <w:pStyle w:val="13"/>
        <w:spacing w:beforeAutospacing="0" w:afterAutospacing="0"/>
        <w:jc w:val="both"/>
        <w:rPr>
          <w:highlight w:val="none"/>
        </w:rPr>
      </w:pPr>
      <w:r>
        <w:rPr>
          <w:highlight w:val="none"/>
        </w:rPr>
        <w:t> </w:t>
      </w:r>
    </w:p>
    <w:p w14:paraId="1D8AABCB">
      <w:pPr>
        <w:pStyle w:val="13"/>
        <w:spacing w:beforeAutospacing="0" w:afterAutospacing="0"/>
        <w:jc w:val="both"/>
        <w:rPr>
          <w:highlight w:val="none"/>
        </w:rPr>
      </w:pPr>
    </w:p>
    <w:p w14:paraId="3158510A">
      <w:pPr>
        <w:pStyle w:val="13"/>
        <w:spacing w:beforeAutospacing="0" w:afterAutospacing="0"/>
        <w:jc w:val="both"/>
        <w:rPr>
          <w:highlight w:val="none"/>
        </w:rPr>
      </w:pPr>
    </w:p>
    <w:p w14:paraId="03BCA0D6">
      <w:pPr>
        <w:pStyle w:val="13"/>
        <w:spacing w:beforeAutospacing="0" w:afterAutospacing="0"/>
        <w:jc w:val="both"/>
        <w:rPr>
          <w:highlight w:val="none"/>
        </w:rPr>
      </w:pPr>
    </w:p>
    <w:p w14:paraId="275D590C">
      <w:pPr>
        <w:pStyle w:val="13"/>
        <w:spacing w:beforeAutospacing="0" w:afterAutospacing="0"/>
        <w:jc w:val="both"/>
        <w:rPr>
          <w:highlight w:val="none"/>
        </w:rPr>
      </w:pPr>
    </w:p>
    <w:p w14:paraId="263EC39B">
      <w:pPr>
        <w:pStyle w:val="13"/>
        <w:spacing w:beforeAutospacing="0" w:afterAutospacing="0"/>
        <w:jc w:val="center"/>
        <w:rPr>
          <w:highlight w:val="none"/>
        </w:rPr>
      </w:pPr>
      <w:r>
        <w:rPr>
          <w:highlight w:val="none"/>
        </w:rPr>
        <w:t> </w:t>
      </w:r>
      <w:r>
        <w:rPr>
          <w:rFonts w:hint="eastAsia" w:ascii="黑体" w:hAnsi="宋体" w:eastAsia="黑体" w:cs="黑体"/>
          <w:b/>
          <w:color w:val="000000"/>
          <w:sz w:val="32"/>
          <w:szCs w:val="32"/>
          <w:highlight w:val="none"/>
        </w:rPr>
        <w:t>十</w:t>
      </w:r>
      <w:r>
        <w:rPr>
          <w:rFonts w:hint="eastAsia" w:ascii="黑体" w:hAnsi="宋体" w:eastAsia="黑体" w:cs="黑体"/>
          <w:b/>
          <w:color w:val="000000"/>
          <w:sz w:val="32"/>
          <w:szCs w:val="32"/>
          <w:highlight w:val="none"/>
          <w:lang w:val="en-US" w:eastAsia="zh-CN"/>
        </w:rPr>
        <w:t>三</w:t>
      </w:r>
      <w:r>
        <w:rPr>
          <w:rFonts w:hint="eastAsia" w:ascii="黑体" w:hAnsi="宋体" w:eastAsia="黑体" w:cs="黑体"/>
          <w:b/>
          <w:color w:val="000000"/>
          <w:sz w:val="32"/>
          <w:szCs w:val="32"/>
          <w:highlight w:val="none"/>
        </w:rPr>
        <w:t>、技术要求响应及偏离表</w:t>
      </w:r>
    </w:p>
    <w:tbl>
      <w:tblPr>
        <w:tblStyle w:val="15"/>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1947ED7E">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C9BAE">
            <w:pPr>
              <w:pStyle w:val="13"/>
              <w:spacing w:beforeAutospacing="0" w:afterAutospacing="0"/>
              <w:jc w:val="center"/>
              <w:rPr>
                <w:highlight w:val="none"/>
              </w:rPr>
            </w:pPr>
            <w:r>
              <w:rPr>
                <w:rFonts w:hint="eastAsia" w:ascii="宋体" w:hAnsi="宋体" w:eastAsia="宋体" w:cs="宋体"/>
                <w:color w:val="000000"/>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342FC">
            <w:pPr>
              <w:pStyle w:val="13"/>
              <w:spacing w:beforeAutospacing="0" w:afterAutospacing="0"/>
              <w:jc w:val="center"/>
              <w:rPr>
                <w:highlight w:val="none"/>
              </w:rPr>
            </w:pPr>
            <w:r>
              <w:rPr>
                <w:rFonts w:hint="eastAsia" w:ascii="宋体" w:hAnsi="宋体" w:eastAsia="宋体" w:cs="宋体"/>
                <w:color w:val="000000"/>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29C51">
            <w:pPr>
              <w:pStyle w:val="13"/>
              <w:spacing w:beforeAutospacing="0" w:afterAutospacing="0"/>
              <w:jc w:val="center"/>
              <w:rPr>
                <w:highlight w:val="none"/>
              </w:rPr>
            </w:pPr>
            <w:r>
              <w:rPr>
                <w:rFonts w:hint="eastAsia" w:ascii="宋体" w:hAnsi="宋体" w:eastAsia="宋体" w:cs="宋体"/>
                <w:color w:val="000000"/>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1B14B">
            <w:pPr>
              <w:pStyle w:val="13"/>
              <w:spacing w:beforeAutospacing="0" w:afterAutospacing="0"/>
              <w:jc w:val="center"/>
              <w:rPr>
                <w:highlight w:val="none"/>
              </w:rPr>
            </w:pPr>
            <w:r>
              <w:rPr>
                <w:rFonts w:hint="eastAsia" w:ascii="宋体" w:hAnsi="宋体" w:eastAsia="宋体" w:cs="宋体"/>
                <w:color w:val="000000"/>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EB8CD">
            <w:pPr>
              <w:pStyle w:val="13"/>
              <w:spacing w:beforeAutospacing="0" w:afterAutospacing="0"/>
              <w:jc w:val="center"/>
              <w:rPr>
                <w:highlight w:val="none"/>
              </w:rPr>
            </w:pPr>
            <w:r>
              <w:rPr>
                <w:rFonts w:hint="eastAsia" w:ascii="宋体" w:hAnsi="宋体" w:eastAsia="宋体" w:cs="宋体"/>
                <w:color w:val="000000"/>
                <w:highlight w:val="none"/>
              </w:rPr>
              <w:t>证明</w:t>
            </w:r>
          </w:p>
          <w:p w14:paraId="67058F1B">
            <w:pPr>
              <w:pStyle w:val="13"/>
              <w:spacing w:beforeAutospacing="0" w:afterAutospacing="0"/>
              <w:jc w:val="center"/>
              <w:rPr>
                <w:highlight w:val="none"/>
              </w:rPr>
            </w:pPr>
            <w:r>
              <w:rPr>
                <w:rFonts w:hint="eastAsia" w:ascii="宋体" w:hAnsi="宋体" w:eastAsia="宋体" w:cs="宋体"/>
                <w:color w:val="000000"/>
                <w:highlight w:val="none"/>
              </w:rPr>
              <w:t>材料</w:t>
            </w:r>
          </w:p>
        </w:tc>
      </w:tr>
      <w:tr w14:paraId="49116A8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AF2F8">
            <w:pPr>
              <w:pStyle w:val="13"/>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A780E">
            <w:pPr>
              <w:pStyle w:val="13"/>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03180">
            <w:pPr>
              <w:pStyle w:val="13"/>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91514">
            <w:pPr>
              <w:pStyle w:val="13"/>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C927E">
            <w:pPr>
              <w:pStyle w:val="13"/>
              <w:spacing w:beforeAutospacing="0" w:afterAutospacing="0"/>
              <w:jc w:val="center"/>
              <w:rPr>
                <w:highlight w:val="none"/>
              </w:rPr>
            </w:pPr>
            <w:r>
              <w:rPr>
                <w:highlight w:val="none"/>
              </w:rPr>
              <w:t> </w:t>
            </w:r>
          </w:p>
        </w:tc>
      </w:tr>
      <w:tr w14:paraId="71461CA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93C1C">
            <w:pPr>
              <w:pStyle w:val="13"/>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7C477">
            <w:pPr>
              <w:pStyle w:val="13"/>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0E729">
            <w:pPr>
              <w:pStyle w:val="13"/>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467F7">
            <w:pPr>
              <w:pStyle w:val="13"/>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841BE">
            <w:pPr>
              <w:pStyle w:val="13"/>
              <w:spacing w:beforeAutospacing="0" w:afterAutospacing="0"/>
              <w:jc w:val="center"/>
              <w:rPr>
                <w:highlight w:val="none"/>
              </w:rPr>
            </w:pPr>
            <w:r>
              <w:rPr>
                <w:highlight w:val="none"/>
              </w:rPr>
              <w:t> </w:t>
            </w:r>
          </w:p>
        </w:tc>
      </w:tr>
      <w:tr w14:paraId="30E1A92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89AFE">
            <w:pPr>
              <w:pStyle w:val="13"/>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61E88">
            <w:pPr>
              <w:pStyle w:val="13"/>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EC901">
            <w:pPr>
              <w:pStyle w:val="13"/>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377B0">
            <w:pPr>
              <w:pStyle w:val="13"/>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8888E">
            <w:pPr>
              <w:pStyle w:val="13"/>
              <w:spacing w:beforeAutospacing="0" w:afterAutospacing="0"/>
              <w:jc w:val="center"/>
              <w:rPr>
                <w:highlight w:val="none"/>
              </w:rPr>
            </w:pPr>
            <w:r>
              <w:rPr>
                <w:highlight w:val="none"/>
              </w:rPr>
              <w:t> </w:t>
            </w:r>
          </w:p>
        </w:tc>
      </w:tr>
      <w:tr w14:paraId="5B3EE96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8FB44">
            <w:pPr>
              <w:pStyle w:val="13"/>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4765F">
            <w:pPr>
              <w:pStyle w:val="13"/>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80F52">
            <w:pPr>
              <w:pStyle w:val="13"/>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EE09E">
            <w:pPr>
              <w:pStyle w:val="13"/>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504CF">
            <w:pPr>
              <w:pStyle w:val="13"/>
              <w:spacing w:beforeAutospacing="0" w:afterAutospacing="0"/>
              <w:jc w:val="center"/>
              <w:rPr>
                <w:highlight w:val="none"/>
              </w:rPr>
            </w:pPr>
            <w:r>
              <w:rPr>
                <w:highlight w:val="none"/>
              </w:rPr>
              <w:t> </w:t>
            </w:r>
          </w:p>
        </w:tc>
      </w:tr>
      <w:tr w14:paraId="436A218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8F68C">
            <w:pPr>
              <w:pStyle w:val="13"/>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59289">
            <w:pPr>
              <w:pStyle w:val="13"/>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9164E">
            <w:pPr>
              <w:pStyle w:val="13"/>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DE01C">
            <w:pPr>
              <w:pStyle w:val="13"/>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05063">
            <w:pPr>
              <w:pStyle w:val="13"/>
              <w:spacing w:beforeAutospacing="0" w:afterAutospacing="0"/>
              <w:jc w:val="center"/>
              <w:rPr>
                <w:highlight w:val="none"/>
              </w:rPr>
            </w:pPr>
            <w:r>
              <w:rPr>
                <w:highlight w:val="none"/>
              </w:rPr>
              <w:t> </w:t>
            </w:r>
          </w:p>
        </w:tc>
      </w:tr>
      <w:tr w14:paraId="24E3E33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5AF43">
            <w:pPr>
              <w:pStyle w:val="13"/>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AD1BC">
            <w:pPr>
              <w:pStyle w:val="13"/>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1C8B6">
            <w:pPr>
              <w:pStyle w:val="13"/>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8E6D4">
            <w:pPr>
              <w:pStyle w:val="13"/>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16C54">
            <w:pPr>
              <w:pStyle w:val="13"/>
              <w:spacing w:beforeAutospacing="0" w:afterAutospacing="0"/>
              <w:jc w:val="center"/>
              <w:rPr>
                <w:highlight w:val="none"/>
              </w:rPr>
            </w:pPr>
            <w:r>
              <w:rPr>
                <w:highlight w:val="none"/>
              </w:rPr>
              <w:t> </w:t>
            </w:r>
          </w:p>
        </w:tc>
      </w:tr>
      <w:tr w14:paraId="3238C6D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B3828">
            <w:pPr>
              <w:pStyle w:val="13"/>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64D71">
            <w:pPr>
              <w:pStyle w:val="13"/>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53AD4">
            <w:pPr>
              <w:pStyle w:val="13"/>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4787B">
            <w:pPr>
              <w:pStyle w:val="13"/>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69FD5">
            <w:pPr>
              <w:pStyle w:val="13"/>
              <w:spacing w:beforeAutospacing="0" w:afterAutospacing="0"/>
              <w:jc w:val="center"/>
              <w:rPr>
                <w:highlight w:val="none"/>
              </w:rPr>
            </w:pPr>
            <w:r>
              <w:rPr>
                <w:highlight w:val="none"/>
              </w:rPr>
              <w:t> </w:t>
            </w:r>
          </w:p>
        </w:tc>
      </w:tr>
      <w:tr w14:paraId="0E964A8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724A0">
            <w:pPr>
              <w:pStyle w:val="13"/>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8AB63">
            <w:pPr>
              <w:pStyle w:val="13"/>
              <w:spacing w:beforeAutospacing="0" w:afterAutospacing="0"/>
              <w:jc w:val="center"/>
              <w:rPr>
                <w:highlight w:val="none"/>
              </w:rPr>
            </w:pPr>
            <w:r>
              <w:rPr>
                <w:rFonts w:hint="eastAsia" w:ascii="宋体" w:hAnsi="宋体" w:eastAsia="宋体" w:cs="宋体"/>
                <w:color w:val="000000"/>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73CAC">
            <w:pPr>
              <w:pStyle w:val="13"/>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B7AE0">
            <w:pPr>
              <w:pStyle w:val="13"/>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FF699">
            <w:pPr>
              <w:pStyle w:val="13"/>
              <w:spacing w:beforeAutospacing="0" w:afterAutospacing="0"/>
              <w:jc w:val="center"/>
              <w:rPr>
                <w:highlight w:val="none"/>
              </w:rPr>
            </w:pPr>
            <w:r>
              <w:rPr>
                <w:highlight w:val="none"/>
              </w:rPr>
              <w:t> </w:t>
            </w:r>
          </w:p>
        </w:tc>
      </w:tr>
    </w:tbl>
    <w:p w14:paraId="36AF6280">
      <w:pPr>
        <w:pStyle w:val="13"/>
        <w:spacing w:beforeAutospacing="0" w:afterAutospacing="0"/>
        <w:jc w:val="both"/>
        <w:rPr>
          <w:highlight w:val="none"/>
        </w:rPr>
      </w:pPr>
      <w:r>
        <w:rPr>
          <w:rFonts w:hint="eastAsia" w:ascii="宋体" w:hAnsi="宋体" w:eastAsia="宋体" w:cs="宋体"/>
          <w:color w:val="000000"/>
          <w:highlight w:val="none"/>
        </w:rPr>
        <w:t>注： 行数不够，可自行添加。</w:t>
      </w:r>
    </w:p>
    <w:p w14:paraId="4F1C81C5">
      <w:pPr>
        <w:pStyle w:val="13"/>
        <w:spacing w:beforeAutospacing="0" w:afterAutospacing="0"/>
        <w:jc w:val="center"/>
        <w:rPr>
          <w:highlight w:val="none"/>
        </w:rPr>
      </w:pPr>
      <w:r>
        <w:rPr>
          <w:highlight w:val="none"/>
        </w:rPr>
        <w:t> </w:t>
      </w:r>
    </w:p>
    <w:p w14:paraId="5D3ECF4B">
      <w:pPr>
        <w:pStyle w:val="13"/>
        <w:spacing w:beforeAutospacing="0" w:afterAutospacing="0"/>
        <w:jc w:val="center"/>
        <w:rPr>
          <w:highlight w:val="none"/>
        </w:rPr>
      </w:pPr>
      <w:r>
        <w:rPr>
          <w:highlight w:val="none"/>
        </w:rPr>
        <w:t> </w:t>
      </w:r>
    </w:p>
    <w:p w14:paraId="6C205399">
      <w:pPr>
        <w:pStyle w:val="13"/>
        <w:spacing w:beforeAutospacing="0" w:afterAutospacing="0"/>
        <w:jc w:val="center"/>
        <w:rPr>
          <w:highlight w:val="none"/>
        </w:rPr>
      </w:pPr>
      <w:r>
        <w:rPr>
          <w:highlight w:val="none"/>
        </w:rPr>
        <w:t> </w:t>
      </w:r>
    </w:p>
    <w:p w14:paraId="4AA038E0">
      <w:pPr>
        <w:pStyle w:val="13"/>
        <w:spacing w:beforeAutospacing="0" w:afterAutospacing="0"/>
        <w:jc w:val="center"/>
        <w:rPr>
          <w:highlight w:val="none"/>
        </w:rPr>
      </w:pPr>
      <w:r>
        <w:rPr>
          <w:highlight w:val="none"/>
        </w:rPr>
        <w:t> </w:t>
      </w:r>
    </w:p>
    <w:p w14:paraId="2959F3C4">
      <w:pPr>
        <w:pStyle w:val="13"/>
        <w:spacing w:beforeAutospacing="0" w:afterAutospacing="0"/>
        <w:jc w:val="both"/>
        <w:rPr>
          <w:highlight w:val="none"/>
        </w:rPr>
      </w:pPr>
      <w:r>
        <w:rPr>
          <w:highlight w:val="none"/>
        </w:rPr>
        <w:t> </w:t>
      </w:r>
    </w:p>
    <w:p w14:paraId="1B060B71">
      <w:pPr>
        <w:pStyle w:val="13"/>
        <w:spacing w:beforeAutospacing="0" w:afterAutospacing="0"/>
        <w:jc w:val="both"/>
        <w:rPr>
          <w:highlight w:val="none"/>
        </w:rPr>
      </w:pPr>
      <w:r>
        <w:rPr>
          <w:highlight w:val="none"/>
        </w:rPr>
        <w:t> </w:t>
      </w:r>
    </w:p>
    <w:p w14:paraId="3F046A88">
      <w:pPr>
        <w:pStyle w:val="13"/>
        <w:spacing w:beforeAutospacing="0" w:afterAutospacing="0"/>
        <w:jc w:val="both"/>
        <w:rPr>
          <w:highlight w:val="none"/>
        </w:rPr>
      </w:pPr>
      <w:r>
        <w:rPr>
          <w:highlight w:val="none"/>
        </w:rPr>
        <w:t> </w:t>
      </w:r>
    </w:p>
    <w:p w14:paraId="54721F13">
      <w:pPr>
        <w:pStyle w:val="13"/>
        <w:spacing w:beforeAutospacing="0" w:afterAutospacing="0"/>
        <w:jc w:val="both"/>
        <w:rPr>
          <w:highlight w:val="none"/>
        </w:rPr>
      </w:pPr>
      <w:r>
        <w:rPr>
          <w:highlight w:val="none"/>
        </w:rPr>
        <w:t> </w:t>
      </w:r>
    </w:p>
    <w:p w14:paraId="7F2D6E94">
      <w:pPr>
        <w:pStyle w:val="13"/>
        <w:spacing w:beforeAutospacing="0" w:afterAutospacing="0"/>
        <w:jc w:val="both"/>
        <w:rPr>
          <w:highlight w:val="none"/>
        </w:rPr>
      </w:pPr>
      <w:r>
        <w:rPr>
          <w:highlight w:val="none"/>
        </w:rPr>
        <w:t> </w:t>
      </w:r>
    </w:p>
    <w:p w14:paraId="79DFEAD6">
      <w:pPr>
        <w:pStyle w:val="13"/>
        <w:spacing w:beforeAutospacing="0" w:afterAutospacing="0"/>
        <w:jc w:val="both"/>
        <w:rPr>
          <w:highlight w:val="none"/>
        </w:rPr>
      </w:pPr>
    </w:p>
    <w:p w14:paraId="41802066">
      <w:pPr>
        <w:pStyle w:val="13"/>
        <w:spacing w:beforeAutospacing="0" w:afterAutospacing="0"/>
        <w:jc w:val="both"/>
        <w:rPr>
          <w:highlight w:val="none"/>
        </w:rPr>
      </w:pPr>
    </w:p>
    <w:p w14:paraId="15162D24">
      <w:pPr>
        <w:pStyle w:val="13"/>
        <w:spacing w:beforeAutospacing="0" w:afterAutospacing="0"/>
        <w:jc w:val="both"/>
        <w:rPr>
          <w:highlight w:val="none"/>
        </w:rPr>
      </w:pPr>
    </w:p>
    <w:p w14:paraId="573890F5">
      <w:pPr>
        <w:pStyle w:val="13"/>
        <w:spacing w:beforeAutospacing="0" w:afterAutospacing="0"/>
        <w:jc w:val="both"/>
        <w:rPr>
          <w:highlight w:val="none"/>
        </w:rPr>
      </w:pPr>
    </w:p>
    <w:p w14:paraId="17B0392B">
      <w:pPr>
        <w:pStyle w:val="13"/>
        <w:spacing w:beforeAutospacing="0" w:afterAutospacing="0"/>
        <w:jc w:val="both"/>
        <w:rPr>
          <w:highlight w:val="none"/>
        </w:rPr>
      </w:pPr>
    </w:p>
    <w:p w14:paraId="6D7A0174">
      <w:pPr>
        <w:pStyle w:val="13"/>
        <w:spacing w:beforeAutospacing="0" w:afterAutospacing="0"/>
        <w:jc w:val="both"/>
        <w:rPr>
          <w:highlight w:val="none"/>
        </w:rPr>
      </w:pPr>
    </w:p>
    <w:p w14:paraId="5622EEA8">
      <w:pPr>
        <w:pStyle w:val="13"/>
        <w:spacing w:beforeAutospacing="0" w:afterAutospacing="0"/>
        <w:jc w:val="both"/>
        <w:rPr>
          <w:highlight w:val="none"/>
        </w:rPr>
      </w:pPr>
    </w:p>
    <w:p w14:paraId="632E11EB">
      <w:pPr>
        <w:pStyle w:val="13"/>
        <w:spacing w:beforeAutospacing="0" w:afterAutospacing="0"/>
        <w:jc w:val="both"/>
        <w:rPr>
          <w:highlight w:val="none"/>
        </w:rPr>
      </w:pPr>
    </w:p>
    <w:p w14:paraId="7E0C087F">
      <w:pPr>
        <w:pStyle w:val="13"/>
        <w:spacing w:beforeAutospacing="0" w:afterAutospacing="0"/>
        <w:jc w:val="both"/>
        <w:rPr>
          <w:highlight w:val="none"/>
        </w:rPr>
      </w:pPr>
    </w:p>
    <w:p w14:paraId="3A8794A2">
      <w:pPr>
        <w:pStyle w:val="13"/>
        <w:spacing w:beforeAutospacing="0" w:afterAutospacing="0"/>
        <w:jc w:val="both"/>
        <w:rPr>
          <w:highlight w:val="none"/>
        </w:rPr>
      </w:pPr>
    </w:p>
    <w:p w14:paraId="5C48238E">
      <w:pPr>
        <w:pStyle w:val="13"/>
        <w:spacing w:beforeAutospacing="0" w:afterAutospacing="0"/>
        <w:jc w:val="both"/>
        <w:rPr>
          <w:highlight w:val="none"/>
        </w:rPr>
      </w:pPr>
      <w:r>
        <w:rPr>
          <w:highlight w:val="none"/>
        </w:rPr>
        <w:t> </w:t>
      </w:r>
    </w:p>
    <w:p w14:paraId="108AE904">
      <w:pPr>
        <w:pStyle w:val="13"/>
        <w:spacing w:beforeAutospacing="0" w:afterAutospacing="0"/>
        <w:jc w:val="both"/>
        <w:rPr>
          <w:highlight w:val="none"/>
        </w:rPr>
      </w:pPr>
      <w:r>
        <w:rPr>
          <w:highlight w:val="none"/>
        </w:rPr>
        <w:t> </w:t>
      </w:r>
    </w:p>
    <w:p w14:paraId="336D829F">
      <w:pPr>
        <w:pStyle w:val="13"/>
        <w:spacing w:beforeAutospacing="0" w:afterAutospacing="0"/>
        <w:jc w:val="both"/>
        <w:rPr>
          <w:highlight w:val="none"/>
        </w:rPr>
      </w:pPr>
      <w:r>
        <w:rPr>
          <w:highlight w:val="none"/>
        </w:rPr>
        <w:t> </w:t>
      </w:r>
    </w:p>
    <w:p w14:paraId="2B05566F">
      <w:pPr>
        <w:pStyle w:val="13"/>
        <w:spacing w:beforeAutospacing="0" w:afterAutospacing="0"/>
        <w:jc w:val="center"/>
        <w:rPr>
          <w:highlight w:val="none"/>
        </w:rPr>
      </w:pPr>
      <w:bookmarkStart w:id="356" w:name="_Hlt26955054"/>
      <w:r>
        <w:rPr>
          <w:rFonts w:hint="eastAsia" w:ascii="黑体" w:hAnsi="宋体" w:eastAsia="黑体" w:cs="黑体"/>
          <w:b/>
          <w:color w:val="000000"/>
          <w:sz w:val="32"/>
          <w:szCs w:val="32"/>
          <w:highlight w:val="none"/>
        </w:rPr>
        <w:t>十</w:t>
      </w:r>
      <w:r>
        <w:rPr>
          <w:rFonts w:hint="eastAsia" w:ascii="黑体" w:hAnsi="宋体" w:eastAsia="黑体" w:cs="黑体"/>
          <w:b/>
          <w:color w:val="000000"/>
          <w:sz w:val="32"/>
          <w:szCs w:val="32"/>
          <w:highlight w:val="none"/>
          <w:lang w:val="en-US" w:eastAsia="zh-CN"/>
        </w:rPr>
        <w:t>四</w:t>
      </w:r>
      <w:r>
        <w:rPr>
          <w:rFonts w:hint="eastAsia" w:ascii="黑体" w:hAnsi="宋体" w:eastAsia="黑体" w:cs="黑体"/>
          <w:b/>
          <w:color w:val="000000"/>
          <w:sz w:val="32"/>
          <w:szCs w:val="32"/>
          <w:highlight w:val="none"/>
        </w:rPr>
        <w:t>、商务要求响应及偏离表</w:t>
      </w:r>
    </w:p>
    <w:tbl>
      <w:tblPr>
        <w:tblStyle w:val="15"/>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0C8C067D">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EE7FE">
            <w:pPr>
              <w:pStyle w:val="13"/>
              <w:spacing w:beforeAutospacing="0" w:afterAutospacing="0"/>
              <w:jc w:val="center"/>
              <w:rPr>
                <w:highlight w:val="none"/>
              </w:rPr>
            </w:pPr>
            <w:bookmarkStart w:id="357" w:name="_Hlt26955064"/>
            <w:bookmarkStart w:id="358" w:name="_Hlt26955056"/>
            <w:bookmarkStart w:id="359" w:name="_Hlt26782999"/>
            <w:bookmarkStart w:id="360" w:name="_Hlt26671372"/>
            <w:bookmarkStart w:id="361" w:name="_Hlt26609391"/>
            <w:bookmarkStart w:id="362" w:name="_Hlt26580838"/>
            <w:bookmarkStart w:id="363" w:name="_Hlt26671343"/>
            <w:bookmarkStart w:id="364" w:name="_Hlt24879081"/>
            <w:r>
              <w:rPr>
                <w:rFonts w:hint="eastAsia" w:ascii="宋体" w:hAnsi="宋体" w:eastAsia="宋体" w:cs="宋体"/>
                <w:color w:val="000000"/>
                <w:highlight w:val="none"/>
              </w:rPr>
              <w:t>序号</w:t>
            </w:r>
          </w:p>
          <w:bookmarkEnd w:id="357"/>
          <w:bookmarkEnd w:id="358"/>
          <w:bookmarkEnd w:id="359"/>
          <w:bookmarkEnd w:id="360"/>
          <w:bookmarkEnd w:id="361"/>
          <w:bookmarkEnd w:id="362"/>
          <w:bookmarkEnd w:id="363"/>
          <w:bookmarkEnd w:id="364"/>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33AD9">
            <w:pPr>
              <w:pStyle w:val="13"/>
              <w:spacing w:beforeAutospacing="0" w:afterAutospacing="0"/>
              <w:jc w:val="center"/>
              <w:rPr>
                <w:highlight w:val="none"/>
              </w:rPr>
            </w:pPr>
            <w:r>
              <w:rPr>
                <w:rFonts w:hint="eastAsia" w:ascii="宋体" w:hAnsi="宋体" w:eastAsia="宋体" w:cs="宋体"/>
                <w:color w:val="000000"/>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0FD01">
            <w:pPr>
              <w:pStyle w:val="13"/>
              <w:spacing w:beforeAutospacing="0" w:afterAutospacing="0"/>
              <w:jc w:val="center"/>
              <w:rPr>
                <w:highlight w:val="none"/>
              </w:rPr>
            </w:pPr>
            <w:r>
              <w:rPr>
                <w:rFonts w:hint="eastAsia" w:ascii="宋体" w:hAnsi="宋体" w:eastAsia="宋体" w:cs="宋体"/>
                <w:color w:val="000000"/>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85966">
            <w:pPr>
              <w:pStyle w:val="13"/>
              <w:spacing w:beforeAutospacing="0" w:afterAutospacing="0"/>
              <w:jc w:val="center"/>
              <w:rPr>
                <w:highlight w:val="none"/>
              </w:rPr>
            </w:pPr>
            <w:r>
              <w:rPr>
                <w:rFonts w:hint="eastAsia" w:ascii="宋体" w:hAnsi="宋体" w:eastAsia="宋体" w:cs="宋体"/>
                <w:color w:val="000000"/>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33FEE">
            <w:pPr>
              <w:pStyle w:val="13"/>
              <w:spacing w:beforeAutospacing="0" w:afterAutospacing="0"/>
              <w:jc w:val="center"/>
              <w:rPr>
                <w:highlight w:val="none"/>
              </w:rPr>
            </w:pPr>
            <w:r>
              <w:rPr>
                <w:rFonts w:hint="eastAsia" w:ascii="宋体" w:hAnsi="宋体" w:eastAsia="宋体" w:cs="宋体"/>
                <w:color w:val="000000"/>
                <w:highlight w:val="none"/>
              </w:rPr>
              <w:t>证明</w:t>
            </w:r>
          </w:p>
          <w:p w14:paraId="2F6E5C46">
            <w:pPr>
              <w:pStyle w:val="13"/>
              <w:spacing w:beforeAutospacing="0" w:afterAutospacing="0"/>
              <w:jc w:val="center"/>
              <w:rPr>
                <w:highlight w:val="none"/>
              </w:rPr>
            </w:pPr>
            <w:r>
              <w:rPr>
                <w:rFonts w:hint="eastAsia" w:ascii="宋体" w:hAnsi="宋体" w:eastAsia="宋体" w:cs="宋体"/>
                <w:color w:val="000000"/>
                <w:highlight w:val="none"/>
              </w:rPr>
              <w:t>材料</w:t>
            </w:r>
          </w:p>
        </w:tc>
      </w:tr>
      <w:tr w14:paraId="0CC2F30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DA8C5">
            <w:pPr>
              <w:pStyle w:val="13"/>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C77C8">
            <w:pPr>
              <w:pStyle w:val="13"/>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74B48">
            <w:pPr>
              <w:pStyle w:val="13"/>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18274">
            <w:pPr>
              <w:pStyle w:val="13"/>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5EF9D">
            <w:pPr>
              <w:pStyle w:val="13"/>
              <w:spacing w:beforeAutospacing="0" w:afterAutospacing="0"/>
              <w:jc w:val="center"/>
              <w:rPr>
                <w:highlight w:val="none"/>
              </w:rPr>
            </w:pPr>
            <w:r>
              <w:rPr>
                <w:highlight w:val="none"/>
              </w:rPr>
              <w:t> </w:t>
            </w:r>
          </w:p>
        </w:tc>
      </w:tr>
      <w:tr w14:paraId="7E139F0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48F0C">
            <w:pPr>
              <w:pStyle w:val="13"/>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6311B">
            <w:pPr>
              <w:pStyle w:val="13"/>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9975D">
            <w:pPr>
              <w:pStyle w:val="13"/>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EC89A">
            <w:pPr>
              <w:pStyle w:val="13"/>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2F22D">
            <w:pPr>
              <w:pStyle w:val="13"/>
              <w:spacing w:beforeAutospacing="0" w:afterAutospacing="0"/>
              <w:jc w:val="center"/>
              <w:rPr>
                <w:highlight w:val="none"/>
              </w:rPr>
            </w:pPr>
            <w:r>
              <w:rPr>
                <w:highlight w:val="none"/>
              </w:rPr>
              <w:t> </w:t>
            </w:r>
          </w:p>
        </w:tc>
      </w:tr>
      <w:tr w14:paraId="28727F2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3B9A3">
            <w:pPr>
              <w:pStyle w:val="13"/>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6E932">
            <w:pPr>
              <w:pStyle w:val="13"/>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CF104">
            <w:pPr>
              <w:pStyle w:val="13"/>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0AF86">
            <w:pPr>
              <w:pStyle w:val="13"/>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50C0C">
            <w:pPr>
              <w:pStyle w:val="13"/>
              <w:spacing w:beforeAutospacing="0" w:afterAutospacing="0"/>
              <w:jc w:val="center"/>
              <w:rPr>
                <w:highlight w:val="none"/>
              </w:rPr>
            </w:pPr>
            <w:r>
              <w:rPr>
                <w:highlight w:val="none"/>
              </w:rPr>
              <w:t> </w:t>
            </w:r>
          </w:p>
        </w:tc>
      </w:tr>
      <w:tr w14:paraId="3140012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08432">
            <w:pPr>
              <w:pStyle w:val="13"/>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80D35">
            <w:pPr>
              <w:pStyle w:val="13"/>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D3486">
            <w:pPr>
              <w:pStyle w:val="13"/>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3A41F">
            <w:pPr>
              <w:pStyle w:val="13"/>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07FB8">
            <w:pPr>
              <w:pStyle w:val="13"/>
              <w:spacing w:beforeAutospacing="0" w:afterAutospacing="0"/>
              <w:jc w:val="center"/>
              <w:rPr>
                <w:highlight w:val="none"/>
              </w:rPr>
            </w:pPr>
            <w:r>
              <w:rPr>
                <w:highlight w:val="none"/>
              </w:rPr>
              <w:t> </w:t>
            </w:r>
          </w:p>
        </w:tc>
      </w:tr>
      <w:tr w14:paraId="3665F2E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705EF">
            <w:pPr>
              <w:pStyle w:val="13"/>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1678D">
            <w:pPr>
              <w:pStyle w:val="13"/>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79538">
            <w:pPr>
              <w:pStyle w:val="13"/>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2848C">
            <w:pPr>
              <w:pStyle w:val="13"/>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9041D">
            <w:pPr>
              <w:pStyle w:val="13"/>
              <w:spacing w:beforeAutospacing="0" w:afterAutospacing="0"/>
              <w:jc w:val="center"/>
              <w:rPr>
                <w:highlight w:val="none"/>
              </w:rPr>
            </w:pPr>
            <w:r>
              <w:rPr>
                <w:highlight w:val="none"/>
              </w:rPr>
              <w:t> </w:t>
            </w:r>
          </w:p>
        </w:tc>
      </w:tr>
      <w:tr w14:paraId="41BE708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F68AF">
            <w:pPr>
              <w:pStyle w:val="13"/>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CDCD2">
            <w:pPr>
              <w:pStyle w:val="13"/>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52004">
            <w:pPr>
              <w:pStyle w:val="13"/>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423EA">
            <w:pPr>
              <w:pStyle w:val="13"/>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64153">
            <w:pPr>
              <w:pStyle w:val="13"/>
              <w:spacing w:beforeAutospacing="0" w:afterAutospacing="0"/>
              <w:jc w:val="center"/>
              <w:rPr>
                <w:highlight w:val="none"/>
              </w:rPr>
            </w:pPr>
            <w:r>
              <w:rPr>
                <w:highlight w:val="none"/>
              </w:rPr>
              <w:t> </w:t>
            </w:r>
          </w:p>
        </w:tc>
      </w:tr>
      <w:tr w14:paraId="0C985F0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FFC98">
            <w:pPr>
              <w:pStyle w:val="13"/>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55C64">
            <w:pPr>
              <w:pStyle w:val="13"/>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1AE6E">
            <w:pPr>
              <w:pStyle w:val="13"/>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A156C">
            <w:pPr>
              <w:pStyle w:val="13"/>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FB8FA">
            <w:pPr>
              <w:pStyle w:val="13"/>
              <w:spacing w:beforeAutospacing="0" w:afterAutospacing="0"/>
              <w:jc w:val="center"/>
              <w:rPr>
                <w:highlight w:val="none"/>
              </w:rPr>
            </w:pPr>
            <w:r>
              <w:rPr>
                <w:highlight w:val="none"/>
              </w:rPr>
              <w:t> </w:t>
            </w:r>
          </w:p>
        </w:tc>
      </w:tr>
      <w:tr w14:paraId="7EDA088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8E60A">
            <w:pPr>
              <w:pStyle w:val="13"/>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63D52">
            <w:pPr>
              <w:pStyle w:val="13"/>
              <w:spacing w:beforeAutospacing="0" w:afterAutospacing="0"/>
              <w:jc w:val="center"/>
              <w:rPr>
                <w:highlight w:val="none"/>
              </w:rPr>
            </w:pPr>
            <w:r>
              <w:rPr>
                <w:rFonts w:hint="eastAsia" w:ascii="宋体" w:hAnsi="宋体" w:eastAsia="宋体" w:cs="宋体"/>
                <w:color w:val="000000"/>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6A8CB">
            <w:pPr>
              <w:pStyle w:val="13"/>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C9CEB">
            <w:pPr>
              <w:pStyle w:val="13"/>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0C727">
            <w:pPr>
              <w:pStyle w:val="13"/>
              <w:spacing w:beforeAutospacing="0" w:afterAutospacing="0"/>
              <w:jc w:val="center"/>
              <w:rPr>
                <w:highlight w:val="none"/>
              </w:rPr>
            </w:pPr>
            <w:r>
              <w:rPr>
                <w:highlight w:val="none"/>
              </w:rPr>
              <w:t> </w:t>
            </w:r>
          </w:p>
        </w:tc>
      </w:tr>
    </w:tbl>
    <w:p w14:paraId="72F5297B">
      <w:pPr>
        <w:pStyle w:val="13"/>
        <w:spacing w:beforeAutospacing="0" w:afterAutospacing="0"/>
        <w:jc w:val="both"/>
        <w:rPr>
          <w:highlight w:val="none"/>
        </w:rPr>
      </w:pPr>
      <w:r>
        <w:rPr>
          <w:rFonts w:hint="eastAsia" w:ascii="宋体" w:hAnsi="宋体" w:eastAsia="宋体" w:cs="宋体"/>
          <w:color w:val="000000"/>
          <w:highlight w:val="none"/>
        </w:rPr>
        <w:t>注： 行数不够，可自行添加。</w:t>
      </w:r>
    </w:p>
    <w:p w14:paraId="7D76B506">
      <w:pPr>
        <w:pStyle w:val="13"/>
        <w:spacing w:beforeAutospacing="0" w:afterAutospacing="0" w:line="480" w:lineRule="auto"/>
        <w:jc w:val="both"/>
        <w:rPr>
          <w:highlight w:val="none"/>
        </w:rPr>
      </w:pPr>
      <w:r>
        <w:rPr>
          <w:highlight w:val="none"/>
        </w:rPr>
        <w:t> </w:t>
      </w:r>
    </w:p>
    <w:p w14:paraId="55CA87F7">
      <w:pPr>
        <w:pStyle w:val="13"/>
        <w:spacing w:beforeAutospacing="0" w:afterAutospacing="0" w:line="480" w:lineRule="auto"/>
        <w:jc w:val="both"/>
        <w:rPr>
          <w:highlight w:val="none"/>
        </w:rPr>
      </w:pPr>
      <w:r>
        <w:rPr>
          <w:highlight w:val="none"/>
        </w:rPr>
        <w:t> </w:t>
      </w:r>
    </w:p>
    <w:p w14:paraId="09BB21B8">
      <w:pPr>
        <w:pStyle w:val="13"/>
        <w:spacing w:beforeAutospacing="0" w:afterAutospacing="0"/>
        <w:jc w:val="center"/>
        <w:rPr>
          <w:highlight w:val="none"/>
        </w:rPr>
      </w:pPr>
      <w:bookmarkStart w:id="365" w:name="_Hlt26955066"/>
      <w:bookmarkStart w:id="366" w:name="_Hlt26671374"/>
      <w:bookmarkStart w:id="367" w:name="_格式2__法定代表人授权书"/>
      <w:bookmarkStart w:id="368" w:name="_Toc462564146"/>
      <w:bookmarkStart w:id="369" w:name="_Hlt26609389"/>
      <w:r>
        <w:rPr>
          <w:highlight w:val="none"/>
        </w:rPr>
        <w:t> </w:t>
      </w:r>
    </w:p>
    <w:p w14:paraId="44E1DEF6">
      <w:pPr>
        <w:pStyle w:val="13"/>
        <w:spacing w:beforeAutospacing="0" w:afterAutospacing="0"/>
        <w:jc w:val="center"/>
        <w:rPr>
          <w:highlight w:val="none"/>
        </w:rPr>
      </w:pPr>
      <w:r>
        <w:rPr>
          <w:highlight w:val="none"/>
        </w:rPr>
        <w:t> </w:t>
      </w:r>
    </w:p>
    <w:p w14:paraId="1169076F">
      <w:pPr>
        <w:pStyle w:val="13"/>
        <w:spacing w:beforeAutospacing="0" w:afterAutospacing="0"/>
        <w:jc w:val="center"/>
        <w:rPr>
          <w:highlight w:val="none"/>
        </w:rPr>
      </w:pPr>
      <w:r>
        <w:rPr>
          <w:highlight w:val="none"/>
        </w:rPr>
        <w:t> </w:t>
      </w:r>
    </w:p>
    <w:p w14:paraId="05F6A496">
      <w:pPr>
        <w:pStyle w:val="13"/>
        <w:spacing w:beforeAutospacing="0" w:afterAutospacing="0"/>
        <w:jc w:val="center"/>
        <w:rPr>
          <w:highlight w:val="none"/>
        </w:rPr>
      </w:pPr>
      <w:r>
        <w:rPr>
          <w:highlight w:val="none"/>
        </w:rPr>
        <w:t> </w:t>
      </w:r>
    </w:p>
    <w:p w14:paraId="0CA17605">
      <w:pPr>
        <w:pStyle w:val="13"/>
        <w:spacing w:beforeAutospacing="0" w:afterAutospacing="0"/>
        <w:jc w:val="center"/>
        <w:rPr>
          <w:highlight w:val="none"/>
        </w:rPr>
      </w:pPr>
      <w:r>
        <w:rPr>
          <w:highlight w:val="none"/>
        </w:rPr>
        <w:t> </w:t>
      </w:r>
    </w:p>
    <w:p w14:paraId="0F9F9845">
      <w:pPr>
        <w:pStyle w:val="13"/>
        <w:spacing w:beforeAutospacing="0" w:afterAutospacing="0"/>
        <w:jc w:val="center"/>
        <w:rPr>
          <w:highlight w:val="none"/>
        </w:rPr>
      </w:pPr>
      <w:r>
        <w:rPr>
          <w:highlight w:val="none"/>
        </w:rPr>
        <w:t> </w:t>
      </w:r>
    </w:p>
    <w:p w14:paraId="6AB78516">
      <w:pPr>
        <w:pStyle w:val="13"/>
        <w:spacing w:beforeAutospacing="0" w:afterAutospacing="0"/>
        <w:jc w:val="center"/>
        <w:rPr>
          <w:highlight w:val="none"/>
        </w:rPr>
      </w:pPr>
    </w:p>
    <w:p w14:paraId="1B596214">
      <w:pPr>
        <w:pStyle w:val="13"/>
        <w:spacing w:beforeAutospacing="0" w:afterAutospacing="0"/>
        <w:jc w:val="center"/>
        <w:rPr>
          <w:highlight w:val="none"/>
        </w:rPr>
      </w:pPr>
    </w:p>
    <w:p w14:paraId="27ED14E9">
      <w:pPr>
        <w:pStyle w:val="13"/>
        <w:spacing w:beforeAutospacing="0" w:afterAutospacing="0"/>
        <w:jc w:val="center"/>
        <w:rPr>
          <w:highlight w:val="none"/>
        </w:rPr>
      </w:pPr>
    </w:p>
    <w:p w14:paraId="71ECEF7A">
      <w:pPr>
        <w:pStyle w:val="13"/>
        <w:spacing w:beforeAutospacing="0" w:afterAutospacing="0"/>
        <w:jc w:val="center"/>
        <w:rPr>
          <w:highlight w:val="none"/>
        </w:rPr>
      </w:pPr>
    </w:p>
    <w:p w14:paraId="29458EB7">
      <w:pPr>
        <w:pStyle w:val="13"/>
        <w:spacing w:beforeAutospacing="0" w:afterAutospacing="0"/>
        <w:jc w:val="center"/>
        <w:rPr>
          <w:highlight w:val="none"/>
        </w:rPr>
      </w:pPr>
    </w:p>
    <w:p w14:paraId="30AAA3A2">
      <w:pPr>
        <w:pStyle w:val="13"/>
        <w:spacing w:beforeAutospacing="0" w:afterAutospacing="0"/>
        <w:jc w:val="center"/>
        <w:rPr>
          <w:highlight w:val="none"/>
        </w:rPr>
      </w:pPr>
    </w:p>
    <w:p w14:paraId="679B67E8">
      <w:pPr>
        <w:pStyle w:val="13"/>
        <w:spacing w:beforeAutospacing="0" w:afterAutospacing="0"/>
        <w:jc w:val="center"/>
        <w:rPr>
          <w:highlight w:val="none"/>
        </w:rPr>
      </w:pPr>
    </w:p>
    <w:p w14:paraId="2635429C">
      <w:pPr>
        <w:pStyle w:val="13"/>
        <w:spacing w:beforeAutospacing="0" w:afterAutospacing="0"/>
        <w:jc w:val="center"/>
        <w:rPr>
          <w:highlight w:val="none"/>
        </w:rPr>
      </w:pPr>
    </w:p>
    <w:p w14:paraId="5E2E9E0A">
      <w:pPr>
        <w:pStyle w:val="13"/>
        <w:spacing w:beforeAutospacing="0" w:afterAutospacing="0"/>
        <w:jc w:val="center"/>
        <w:rPr>
          <w:highlight w:val="none"/>
        </w:rPr>
      </w:pPr>
    </w:p>
    <w:p w14:paraId="4926D1B4">
      <w:pPr>
        <w:pStyle w:val="13"/>
        <w:spacing w:beforeAutospacing="0" w:afterAutospacing="0"/>
        <w:jc w:val="center"/>
        <w:rPr>
          <w:highlight w:val="none"/>
        </w:rPr>
      </w:pPr>
      <w:r>
        <w:rPr>
          <w:highlight w:val="none"/>
        </w:rPr>
        <w:t> </w:t>
      </w:r>
    </w:p>
    <w:p w14:paraId="4F0FC846">
      <w:pPr>
        <w:pStyle w:val="13"/>
        <w:spacing w:beforeAutospacing="0" w:afterAutospacing="0"/>
        <w:jc w:val="center"/>
        <w:rPr>
          <w:highlight w:val="none"/>
        </w:rPr>
      </w:pPr>
      <w:r>
        <w:rPr>
          <w:highlight w:val="none"/>
        </w:rPr>
        <w:t> </w:t>
      </w:r>
    </w:p>
    <w:p w14:paraId="1130F238">
      <w:pPr>
        <w:pStyle w:val="13"/>
        <w:spacing w:beforeAutospacing="0" w:afterAutospacing="0"/>
        <w:jc w:val="center"/>
        <w:rPr>
          <w:highlight w:val="none"/>
        </w:rPr>
      </w:pPr>
      <w:r>
        <w:rPr>
          <w:highlight w:val="none"/>
        </w:rPr>
        <w:t> </w:t>
      </w:r>
    </w:p>
    <w:p w14:paraId="58D06506">
      <w:pPr>
        <w:pStyle w:val="13"/>
        <w:spacing w:beforeAutospacing="0" w:afterAutospacing="0"/>
        <w:jc w:val="center"/>
        <w:rPr>
          <w:highlight w:val="none"/>
          <w:shd w:val="clear" w:color="auto" w:fill="auto"/>
        </w:rPr>
      </w:pPr>
      <w:r>
        <w:rPr>
          <w:rFonts w:hint="eastAsia" w:ascii="黑体" w:hAnsi="宋体" w:eastAsia="黑体" w:cs="黑体"/>
          <w:b/>
          <w:i/>
          <w:color w:val="000000"/>
          <w:sz w:val="32"/>
          <w:szCs w:val="32"/>
          <w:highlight w:val="none"/>
          <w:u w:val="single"/>
        </w:rPr>
        <w:t>十</w:t>
      </w:r>
      <w:r>
        <w:rPr>
          <w:rFonts w:hint="eastAsia" w:ascii="黑体" w:hAnsi="宋体" w:eastAsia="黑体" w:cs="黑体"/>
          <w:b/>
          <w:i/>
          <w:color w:val="000000"/>
          <w:sz w:val="32"/>
          <w:szCs w:val="32"/>
          <w:highlight w:val="none"/>
          <w:u w:val="single"/>
          <w:lang w:val="en-US" w:eastAsia="zh-CN"/>
        </w:rPr>
        <w:t>五</w:t>
      </w:r>
      <w:r>
        <w:rPr>
          <w:rFonts w:hint="eastAsia" w:ascii="黑体" w:hAnsi="宋体" w:eastAsia="黑体" w:cs="黑体"/>
          <w:b/>
          <w:i/>
          <w:color w:val="000000"/>
          <w:sz w:val="32"/>
          <w:szCs w:val="32"/>
          <w:highlight w:val="none"/>
          <w:u w:val="single"/>
        </w:rPr>
        <w:t>、开标一览表</w:t>
      </w:r>
    </w:p>
    <w:p w14:paraId="1A0651CC">
      <w:pPr>
        <w:pStyle w:val="13"/>
        <w:spacing w:beforeAutospacing="0" w:afterAutospacing="0"/>
        <w:ind w:firstLine="480"/>
        <w:jc w:val="both"/>
        <w:rPr>
          <w:highlight w:val="none"/>
          <w:shd w:val="clear" w:color="auto" w:fill="auto"/>
        </w:rPr>
      </w:pPr>
      <w:r>
        <w:rPr>
          <w:rFonts w:hint="eastAsia" w:ascii="宋体" w:hAnsi="宋体" w:eastAsia="宋体" w:cs="宋体"/>
          <w:color w:val="000000"/>
          <w:highlight w:val="none"/>
          <w:shd w:val="clear" w:color="auto" w:fill="auto"/>
        </w:rPr>
        <w:t>投标人全称（加盖CA电子签章）：</w:t>
      </w:r>
    </w:p>
    <w:p w14:paraId="5EDC8C37">
      <w:pPr>
        <w:pStyle w:val="13"/>
        <w:spacing w:beforeAutospacing="0" w:afterAutospacing="0"/>
        <w:ind w:firstLine="480"/>
        <w:jc w:val="both"/>
        <w:rPr>
          <w:highlight w:val="none"/>
        </w:rPr>
      </w:pPr>
      <w:r>
        <w:rPr>
          <w:rFonts w:hint="eastAsia" w:ascii="宋体" w:hAnsi="宋体" w:eastAsia="宋体" w:cs="宋体"/>
          <w:color w:val="000000"/>
          <w:highlight w:val="none"/>
        </w:rPr>
        <w:t>项目名称：三灶镇三份港、射阳河海事处水质自动监测站建设及</w:t>
      </w:r>
      <w:r>
        <w:rPr>
          <w:rFonts w:hint="eastAsia" w:ascii="宋体" w:hAnsi="宋体" w:eastAsia="宋体" w:cs="宋体"/>
          <w:color w:val="000000"/>
          <w:highlight w:val="none"/>
          <w:lang w:eastAsia="zh-CN"/>
        </w:rPr>
        <w:t>二年</w:t>
      </w:r>
      <w:r>
        <w:rPr>
          <w:rFonts w:hint="eastAsia" w:ascii="宋体" w:hAnsi="宋体" w:eastAsia="宋体" w:cs="宋体"/>
          <w:color w:val="000000"/>
          <w:highlight w:val="none"/>
        </w:rPr>
        <w:t>运维服务项目</w:t>
      </w:r>
    </w:p>
    <w:p w14:paraId="359AFAFF">
      <w:pPr>
        <w:pStyle w:val="13"/>
        <w:spacing w:beforeAutospacing="0" w:afterAutospacing="0"/>
        <w:ind w:firstLine="480"/>
        <w:jc w:val="both"/>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项目</w:t>
      </w:r>
      <w:r>
        <w:rPr>
          <w:rFonts w:hint="eastAsia" w:ascii="宋体" w:hAnsi="宋体" w:eastAsia="宋体" w:cs="宋体"/>
          <w:color w:val="000000"/>
          <w:highlight w:val="none"/>
        </w:rPr>
        <w:t>编号：JSZC-320923-YCYH-G2026-0003</w:t>
      </w:r>
    </w:p>
    <w:p w14:paraId="4A5D15AD">
      <w:pPr>
        <w:pStyle w:val="13"/>
        <w:spacing w:beforeAutospacing="0" w:afterAutospacing="0"/>
        <w:ind w:firstLine="480"/>
        <w:jc w:val="both"/>
        <w:rPr>
          <w:highlight w:val="none"/>
        </w:rPr>
      </w:pPr>
      <w:r>
        <w:rPr>
          <w:rFonts w:hint="eastAsia" w:ascii="宋体" w:hAnsi="宋体" w:eastAsia="宋体" w:cs="宋体"/>
          <w:color w:val="000000"/>
          <w:highlight w:val="none"/>
        </w:rPr>
        <w:t>分包号：</w:t>
      </w:r>
    </w:p>
    <w:tbl>
      <w:tblPr>
        <w:tblStyle w:val="15"/>
        <w:tblW w:w="8413" w:type="dxa"/>
        <w:tblCellSpacing w:w="0" w:type="dxa"/>
        <w:tblInd w:w="118" w:type="dxa"/>
        <w:tblLayout w:type="fixed"/>
        <w:tblCellMar>
          <w:top w:w="0" w:type="dxa"/>
          <w:left w:w="108" w:type="dxa"/>
          <w:bottom w:w="0" w:type="dxa"/>
          <w:right w:w="108" w:type="dxa"/>
        </w:tblCellMar>
      </w:tblPr>
      <w:tblGrid>
        <w:gridCol w:w="2349"/>
        <w:gridCol w:w="6064"/>
      </w:tblGrid>
      <w:tr w14:paraId="47E36B59">
        <w:tblPrEx>
          <w:tblCellMar>
            <w:top w:w="0" w:type="dxa"/>
            <w:left w:w="108" w:type="dxa"/>
            <w:bottom w:w="0" w:type="dxa"/>
            <w:right w:w="108" w:type="dxa"/>
          </w:tblCellMar>
        </w:tblPrEx>
        <w:trPr>
          <w:trHeight w:val="725"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ABD400">
            <w:pPr>
              <w:pStyle w:val="13"/>
              <w:spacing w:beforeAutospacing="0" w:afterAutospacing="0"/>
              <w:jc w:val="center"/>
              <w:rPr>
                <w:highlight w:val="none"/>
              </w:rPr>
            </w:pPr>
            <w:r>
              <w:rPr>
                <w:rFonts w:hint="eastAsia" w:ascii="宋体" w:hAnsi="宋体" w:eastAsia="宋体" w:cs="宋体"/>
                <w:color w:val="000000"/>
                <w:highlight w:val="none"/>
              </w:rPr>
              <w:t>投标总报价</w:t>
            </w:r>
          </w:p>
        </w:tc>
      </w:tr>
      <w:tr w14:paraId="3958C0D9">
        <w:tblPrEx>
          <w:tblCellMar>
            <w:top w:w="0" w:type="dxa"/>
            <w:left w:w="108" w:type="dxa"/>
            <w:bottom w:w="0" w:type="dxa"/>
            <w:right w:w="108" w:type="dxa"/>
          </w:tblCellMar>
        </w:tblPrEx>
        <w:trPr>
          <w:trHeight w:val="612"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A936FA">
            <w:pPr>
              <w:pStyle w:val="13"/>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auto"/>
                <w:highlight w:val="none"/>
                <w:lang w:val="en-US" w:eastAsia="zh-CN"/>
              </w:rPr>
              <w:t>大写：</w:t>
            </w:r>
          </w:p>
        </w:tc>
      </w:tr>
      <w:tr w14:paraId="6F658AC5">
        <w:tblPrEx>
          <w:tblCellMar>
            <w:top w:w="0" w:type="dxa"/>
            <w:left w:w="108" w:type="dxa"/>
            <w:bottom w:w="0" w:type="dxa"/>
            <w:right w:w="108" w:type="dxa"/>
          </w:tblCellMar>
        </w:tblPrEx>
        <w:trPr>
          <w:trHeight w:val="612"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4C57C0">
            <w:pPr>
              <w:pStyle w:val="13"/>
              <w:spacing w:beforeAutospacing="0" w:afterAutospacing="0" w:line="0" w:lineRule="atLeast"/>
              <w:rPr>
                <w:highlight w:val="none"/>
              </w:rPr>
            </w:pPr>
            <w:r>
              <w:rPr>
                <w:rFonts w:hint="eastAsia" w:ascii="宋体" w:hAnsi="宋体" w:eastAsia="宋体" w:cs="宋体"/>
                <w:color w:val="000000"/>
                <w:highlight w:val="none"/>
              </w:rPr>
              <w:t>小写：                             （人民币：元）</w:t>
            </w:r>
          </w:p>
        </w:tc>
      </w:tr>
      <w:tr w14:paraId="26AB77B9">
        <w:tblPrEx>
          <w:tblCellMar>
            <w:top w:w="0" w:type="dxa"/>
            <w:left w:w="108" w:type="dxa"/>
            <w:bottom w:w="0" w:type="dxa"/>
            <w:right w:w="108" w:type="dxa"/>
          </w:tblCellMar>
        </w:tblPrEx>
        <w:trPr>
          <w:trHeight w:val="612" w:hRule="atLeast"/>
          <w:tblCellSpacing w:w="0" w:type="dxa"/>
        </w:trPr>
        <w:tc>
          <w:tcPr>
            <w:tcW w:w="23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119CC">
            <w:pPr>
              <w:pStyle w:val="13"/>
              <w:spacing w:beforeAutospacing="0" w:afterAutospacing="0" w:line="300" w:lineRule="auto"/>
              <w:jc w:val="center"/>
              <w:rPr>
                <w:highlight w:val="none"/>
              </w:rPr>
            </w:pPr>
            <w:r>
              <w:rPr>
                <w:rFonts w:hint="eastAsia" w:ascii="宋体" w:hAnsi="宋体" w:eastAsia="宋体" w:cs="宋体"/>
                <w:color w:val="000000"/>
                <w:highlight w:val="none"/>
              </w:rPr>
              <w:t>核心产品品牌</w:t>
            </w:r>
          </w:p>
        </w:tc>
        <w:tc>
          <w:tcPr>
            <w:tcW w:w="6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CB3C3">
            <w:pPr>
              <w:pStyle w:val="13"/>
              <w:spacing w:beforeAutospacing="0" w:afterAutospacing="0" w:line="0" w:lineRule="atLeast"/>
              <w:rPr>
                <w:highlight w:val="none"/>
              </w:rPr>
            </w:pPr>
            <w:r>
              <w:rPr>
                <w:highlight w:val="none"/>
              </w:rPr>
              <w:t> </w:t>
            </w:r>
          </w:p>
        </w:tc>
      </w:tr>
    </w:tbl>
    <w:p w14:paraId="4A10EA11">
      <w:pPr>
        <w:pStyle w:val="13"/>
        <w:spacing w:beforeAutospacing="0" w:afterAutospacing="0"/>
        <w:jc w:val="both"/>
        <w:rPr>
          <w:highlight w:val="none"/>
        </w:rPr>
      </w:pPr>
      <w:r>
        <w:rPr>
          <w:highlight w:val="none"/>
        </w:rPr>
        <w:t> </w:t>
      </w:r>
    </w:p>
    <w:p w14:paraId="0D1EE0A5">
      <w:pPr>
        <w:pStyle w:val="13"/>
        <w:spacing w:beforeAutospacing="0" w:afterAutospacing="0"/>
        <w:ind w:firstLine="480"/>
        <w:jc w:val="both"/>
        <w:rPr>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日</w:t>
      </w:r>
    </w:p>
    <w:p w14:paraId="39051F3D">
      <w:pPr>
        <w:pStyle w:val="13"/>
        <w:spacing w:beforeAutospacing="0" w:afterAutospacing="0"/>
        <w:jc w:val="both"/>
        <w:rPr>
          <w:highlight w:val="none"/>
        </w:rPr>
      </w:pPr>
      <w:r>
        <w:rPr>
          <w:highlight w:val="none"/>
        </w:rPr>
        <w:t> </w:t>
      </w:r>
    </w:p>
    <w:p w14:paraId="5B4437D5">
      <w:pPr>
        <w:pStyle w:val="13"/>
        <w:spacing w:beforeAutospacing="0" w:afterAutospacing="0"/>
        <w:ind w:firstLine="480"/>
        <w:jc w:val="both"/>
        <w:rPr>
          <w:highlight w:val="none"/>
        </w:rPr>
      </w:pPr>
      <w:r>
        <w:rPr>
          <w:highlight w:val="none"/>
        </w:rPr>
        <w:t> </w:t>
      </w:r>
    </w:p>
    <w:p w14:paraId="1AF856D5">
      <w:pPr>
        <w:pStyle w:val="13"/>
        <w:spacing w:beforeAutospacing="0" w:afterAutospacing="0"/>
        <w:ind w:firstLine="480"/>
        <w:jc w:val="both"/>
        <w:rPr>
          <w:highlight w:val="none"/>
        </w:rPr>
      </w:pPr>
      <w:r>
        <w:rPr>
          <w:highlight w:val="none"/>
        </w:rPr>
        <w:t> </w:t>
      </w:r>
    </w:p>
    <w:p w14:paraId="3755126D">
      <w:pPr>
        <w:pStyle w:val="13"/>
        <w:spacing w:beforeAutospacing="0" w:afterAutospacing="0"/>
        <w:ind w:firstLine="480"/>
        <w:jc w:val="both"/>
        <w:rPr>
          <w:highlight w:val="none"/>
        </w:rPr>
      </w:pPr>
    </w:p>
    <w:p w14:paraId="7083F798">
      <w:pPr>
        <w:pStyle w:val="13"/>
        <w:spacing w:beforeAutospacing="0" w:afterAutospacing="0"/>
        <w:ind w:firstLine="480"/>
        <w:jc w:val="both"/>
        <w:rPr>
          <w:highlight w:val="none"/>
        </w:rPr>
      </w:pPr>
    </w:p>
    <w:p w14:paraId="7A1F5786">
      <w:pPr>
        <w:pStyle w:val="13"/>
        <w:spacing w:beforeAutospacing="0" w:afterAutospacing="0"/>
        <w:ind w:firstLine="480"/>
        <w:jc w:val="both"/>
        <w:rPr>
          <w:highlight w:val="none"/>
        </w:rPr>
      </w:pPr>
    </w:p>
    <w:p w14:paraId="6CADA859">
      <w:pPr>
        <w:pStyle w:val="13"/>
        <w:spacing w:beforeAutospacing="0" w:afterAutospacing="0"/>
        <w:ind w:firstLine="480"/>
        <w:jc w:val="both"/>
        <w:rPr>
          <w:highlight w:val="none"/>
        </w:rPr>
      </w:pPr>
    </w:p>
    <w:p w14:paraId="4089F756">
      <w:pPr>
        <w:pStyle w:val="13"/>
        <w:spacing w:beforeAutospacing="0" w:afterAutospacing="0"/>
        <w:ind w:firstLine="480"/>
        <w:jc w:val="both"/>
        <w:rPr>
          <w:highlight w:val="none"/>
        </w:rPr>
      </w:pPr>
    </w:p>
    <w:p w14:paraId="7BF0B384">
      <w:pPr>
        <w:pStyle w:val="13"/>
        <w:spacing w:beforeAutospacing="0" w:afterAutospacing="0"/>
        <w:ind w:firstLine="480"/>
        <w:jc w:val="both"/>
        <w:rPr>
          <w:highlight w:val="none"/>
        </w:rPr>
      </w:pPr>
    </w:p>
    <w:p w14:paraId="6C4ED106">
      <w:pPr>
        <w:pStyle w:val="13"/>
        <w:spacing w:beforeAutospacing="0" w:afterAutospacing="0"/>
        <w:ind w:firstLine="480"/>
        <w:jc w:val="both"/>
        <w:rPr>
          <w:highlight w:val="none"/>
        </w:rPr>
      </w:pPr>
    </w:p>
    <w:p w14:paraId="62CBBB54">
      <w:pPr>
        <w:pStyle w:val="13"/>
        <w:spacing w:beforeAutospacing="0" w:afterAutospacing="0"/>
        <w:ind w:firstLine="480"/>
        <w:jc w:val="both"/>
        <w:rPr>
          <w:highlight w:val="none"/>
        </w:rPr>
      </w:pPr>
    </w:p>
    <w:p w14:paraId="24BBAC39">
      <w:pPr>
        <w:pStyle w:val="13"/>
        <w:spacing w:beforeAutospacing="0" w:afterAutospacing="0"/>
        <w:ind w:firstLine="480"/>
        <w:jc w:val="both"/>
        <w:rPr>
          <w:highlight w:val="none"/>
        </w:rPr>
      </w:pPr>
      <w:r>
        <w:rPr>
          <w:highlight w:val="none"/>
        </w:rPr>
        <w:t> </w:t>
      </w:r>
    </w:p>
    <w:p w14:paraId="4EF849B7">
      <w:pPr>
        <w:pStyle w:val="13"/>
        <w:spacing w:beforeAutospacing="0" w:afterAutospacing="0"/>
        <w:ind w:firstLine="480"/>
        <w:jc w:val="both"/>
        <w:rPr>
          <w:highlight w:val="none"/>
        </w:rPr>
      </w:pPr>
    </w:p>
    <w:p w14:paraId="2EA77D1F">
      <w:pPr>
        <w:pStyle w:val="13"/>
        <w:spacing w:beforeAutospacing="0" w:afterAutospacing="0"/>
        <w:ind w:firstLine="480"/>
        <w:jc w:val="both"/>
        <w:rPr>
          <w:highlight w:val="none"/>
        </w:rPr>
      </w:pPr>
    </w:p>
    <w:p w14:paraId="7FD53C04">
      <w:pPr>
        <w:pStyle w:val="13"/>
        <w:spacing w:beforeAutospacing="0" w:afterAutospacing="0"/>
        <w:ind w:firstLine="480"/>
        <w:jc w:val="both"/>
        <w:rPr>
          <w:highlight w:val="none"/>
        </w:rPr>
      </w:pPr>
    </w:p>
    <w:p w14:paraId="326547DD">
      <w:pPr>
        <w:pStyle w:val="13"/>
        <w:spacing w:beforeAutospacing="0" w:afterAutospacing="0"/>
        <w:ind w:firstLine="480"/>
        <w:jc w:val="both"/>
        <w:rPr>
          <w:highlight w:val="none"/>
        </w:rPr>
      </w:pPr>
    </w:p>
    <w:p w14:paraId="3B89A45F">
      <w:pPr>
        <w:pStyle w:val="13"/>
        <w:spacing w:beforeAutospacing="0" w:afterAutospacing="0"/>
        <w:ind w:firstLine="480"/>
        <w:jc w:val="both"/>
        <w:rPr>
          <w:highlight w:val="none"/>
        </w:rPr>
      </w:pPr>
    </w:p>
    <w:p w14:paraId="6ABF0CE1">
      <w:pPr>
        <w:pStyle w:val="13"/>
        <w:spacing w:beforeAutospacing="0" w:afterAutospacing="0"/>
        <w:ind w:firstLine="480"/>
        <w:jc w:val="both"/>
        <w:rPr>
          <w:highlight w:val="none"/>
        </w:rPr>
      </w:pPr>
    </w:p>
    <w:p w14:paraId="60148230">
      <w:pPr>
        <w:pStyle w:val="13"/>
        <w:spacing w:beforeAutospacing="0" w:afterAutospacing="0"/>
        <w:ind w:firstLine="480"/>
        <w:jc w:val="both"/>
        <w:rPr>
          <w:highlight w:val="none"/>
        </w:rPr>
      </w:pPr>
    </w:p>
    <w:p w14:paraId="79846E6D">
      <w:pPr>
        <w:pStyle w:val="13"/>
        <w:spacing w:beforeAutospacing="0" w:afterAutospacing="0"/>
        <w:ind w:firstLine="480"/>
        <w:jc w:val="both"/>
        <w:rPr>
          <w:highlight w:val="none"/>
        </w:rPr>
      </w:pPr>
    </w:p>
    <w:p w14:paraId="1E4CC9B5">
      <w:pPr>
        <w:pStyle w:val="13"/>
        <w:spacing w:beforeAutospacing="0" w:afterAutospacing="0"/>
        <w:ind w:firstLine="480"/>
        <w:jc w:val="both"/>
        <w:rPr>
          <w:highlight w:val="none"/>
        </w:rPr>
      </w:pPr>
      <w:r>
        <w:rPr>
          <w:highlight w:val="none"/>
        </w:rPr>
        <w:t> </w:t>
      </w:r>
    </w:p>
    <w:p w14:paraId="6FE4C630">
      <w:pPr>
        <w:pStyle w:val="13"/>
        <w:spacing w:beforeAutospacing="0" w:afterAutospacing="0"/>
        <w:rPr>
          <w:rFonts w:ascii="宋体" w:hAnsi="宋体" w:eastAsia="宋体" w:cs="宋体"/>
          <w:b/>
          <w:color w:val="000000"/>
          <w:sz w:val="32"/>
          <w:szCs w:val="32"/>
          <w:highlight w:val="none"/>
        </w:rPr>
      </w:pPr>
    </w:p>
    <w:p w14:paraId="356E49F5">
      <w:pPr>
        <w:pStyle w:val="13"/>
        <w:spacing w:beforeAutospacing="0" w:afterAutospacing="0"/>
        <w:rPr>
          <w:rFonts w:ascii="宋体" w:hAnsi="宋体" w:eastAsia="宋体" w:cs="宋体"/>
          <w:b/>
          <w:color w:val="000000"/>
          <w:sz w:val="32"/>
          <w:szCs w:val="32"/>
          <w:highlight w:val="none"/>
        </w:rPr>
      </w:pPr>
    </w:p>
    <w:p w14:paraId="2695CAC7">
      <w:pPr>
        <w:widowControl/>
        <w:spacing w:before="50" w:after="50"/>
        <w:jc w:val="center"/>
        <w:rPr>
          <w:rFonts w:ascii="宋体" w:hAnsi="宋体" w:eastAsia="宋体" w:cs="宋体"/>
          <w:sz w:val="24"/>
          <w:highlight w:val="none"/>
        </w:rPr>
      </w:pPr>
      <w:r>
        <w:rPr>
          <w:highlight w:val="none"/>
        </w:rPr>
        <w:tab/>
      </w:r>
      <w:r>
        <w:rPr>
          <w:rFonts w:hint="eastAsia" w:ascii="宋体" w:hAnsi="宋体" w:eastAsia="宋体" w:cs="宋体"/>
          <w:color w:val="000000"/>
          <w:sz w:val="32"/>
          <w:szCs w:val="32"/>
          <w:highlight w:val="none"/>
        </w:rPr>
        <w:t>十</w:t>
      </w:r>
      <w:r>
        <w:rPr>
          <w:rFonts w:hint="eastAsia" w:ascii="宋体" w:hAnsi="宋体" w:eastAsia="宋体" w:cs="宋体"/>
          <w:color w:val="000000"/>
          <w:sz w:val="32"/>
          <w:szCs w:val="32"/>
          <w:highlight w:val="none"/>
          <w:lang w:val="en-US" w:eastAsia="zh-CN"/>
        </w:rPr>
        <w:t>六</w:t>
      </w:r>
      <w:r>
        <w:rPr>
          <w:rFonts w:hint="eastAsia" w:ascii="宋体" w:hAnsi="宋体" w:eastAsia="宋体" w:cs="宋体"/>
          <w:color w:val="000000"/>
          <w:sz w:val="32"/>
          <w:szCs w:val="32"/>
          <w:highlight w:val="none"/>
        </w:rPr>
        <w:t>、技术方案、服务承诺、培训承诺等</w:t>
      </w:r>
    </w:p>
    <w:p w14:paraId="4895B667">
      <w:pPr>
        <w:pStyle w:val="13"/>
        <w:spacing w:beforeAutospacing="0" w:afterAutospacing="0"/>
        <w:jc w:val="center"/>
        <w:rPr>
          <w:rFonts w:ascii="宋体" w:hAnsi="宋体" w:eastAsia="宋体" w:cs="宋体"/>
          <w:b/>
          <w:color w:val="000000"/>
          <w:sz w:val="32"/>
          <w:szCs w:val="32"/>
          <w:highlight w:val="none"/>
        </w:rPr>
      </w:pPr>
    </w:p>
    <w:p w14:paraId="618C9717">
      <w:pPr>
        <w:pStyle w:val="13"/>
        <w:spacing w:beforeAutospacing="0" w:afterAutospacing="0"/>
        <w:jc w:val="center"/>
        <w:rPr>
          <w:rFonts w:ascii="宋体" w:hAnsi="宋体" w:eastAsia="宋体" w:cs="宋体"/>
          <w:b/>
          <w:color w:val="000000"/>
          <w:sz w:val="32"/>
          <w:szCs w:val="32"/>
          <w:highlight w:val="none"/>
        </w:rPr>
      </w:pPr>
    </w:p>
    <w:p w14:paraId="119768F2">
      <w:pPr>
        <w:pStyle w:val="13"/>
        <w:spacing w:beforeAutospacing="0" w:afterAutospacing="0"/>
        <w:jc w:val="center"/>
        <w:rPr>
          <w:rFonts w:ascii="宋体" w:hAnsi="宋体" w:eastAsia="宋体" w:cs="宋体"/>
          <w:b/>
          <w:color w:val="000000"/>
          <w:sz w:val="32"/>
          <w:szCs w:val="32"/>
          <w:highlight w:val="none"/>
        </w:rPr>
      </w:pPr>
    </w:p>
    <w:p w14:paraId="7F5550FA">
      <w:pPr>
        <w:pStyle w:val="13"/>
        <w:spacing w:beforeAutospacing="0" w:afterAutospacing="0"/>
        <w:jc w:val="center"/>
        <w:rPr>
          <w:rFonts w:ascii="宋体" w:hAnsi="宋体" w:eastAsia="宋体" w:cs="宋体"/>
          <w:b/>
          <w:color w:val="000000"/>
          <w:sz w:val="32"/>
          <w:szCs w:val="32"/>
          <w:highlight w:val="none"/>
        </w:rPr>
      </w:pPr>
    </w:p>
    <w:p w14:paraId="10B330FB">
      <w:pPr>
        <w:pStyle w:val="13"/>
        <w:spacing w:beforeAutospacing="0" w:afterAutospacing="0"/>
        <w:jc w:val="center"/>
        <w:rPr>
          <w:rFonts w:ascii="宋体" w:hAnsi="宋体" w:eastAsia="宋体" w:cs="宋体"/>
          <w:b/>
          <w:color w:val="000000"/>
          <w:sz w:val="32"/>
          <w:szCs w:val="32"/>
          <w:highlight w:val="none"/>
        </w:rPr>
      </w:pPr>
    </w:p>
    <w:p w14:paraId="47957878">
      <w:pPr>
        <w:pStyle w:val="13"/>
        <w:spacing w:beforeAutospacing="0" w:afterAutospacing="0"/>
        <w:jc w:val="center"/>
        <w:rPr>
          <w:rFonts w:ascii="宋体" w:hAnsi="宋体" w:eastAsia="宋体" w:cs="宋体"/>
          <w:b/>
          <w:color w:val="000000"/>
          <w:sz w:val="32"/>
          <w:szCs w:val="32"/>
          <w:highlight w:val="none"/>
        </w:rPr>
      </w:pPr>
    </w:p>
    <w:p w14:paraId="322F0757">
      <w:pPr>
        <w:pStyle w:val="13"/>
        <w:spacing w:beforeAutospacing="0" w:afterAutospacing="0"/>
        <w:jc w:val="center"/>
        <w:rPr>
          <w:rFonts w:ascii="宋体" w:hAnsi="宋体" w:eastAsia="宋体" w:cs="宋体"/>
          <w:b/>
          <w:color w:val="000000"/>
          <w:sz w:val="32"/>
          <w:szCs w:val="32"/>
          <w:highlight w:val="none"/>
        </w:rPr>
      </w:pPr>
    </w:p>
    <w:p w14:paraId="70A9B6F5">
      <w:pPr>
        <w:pStyle w:val="13"/>
        <w:spacing w:beforeAutospacing="0" w:afterAutospacing="0"/>
        <w:jc w:val="center"/>
        <w:rPr>
          <w:rFonts w:ascii="宋体" w:hAnsi="宋体" w:eastAsia="宋体" w:cs="宋体"/>
          <w:b/>
          <w:color w:val="000000"/>
          <w:sz w:val="32"/>
          <w:szCs w:val="32"/>
          <w:highlight w:val="none"/>
        </w:rPr>
      </w:pPr>
    </w:p>
    <w:p w14:paraId="7EA25186">
      <w:pPr>
        <w:pStyle w:val="13"/>
        <w:spacing w:beforeAutospacing="0" w:afterAutospacing="0"/>
        <w:jc w:val="center"/>
        <w:rPr>
          <w:rFonts w:ascii="宋体" w:hAnsi="宋体" w:eastAsia="宋体" w:cs="宋体"/>
          <w:b/>
          <w:color w:val="000000"/>
          <w:sz w:val="32"/>
          <w:szCs w:val="32"/>
          <w:highlight w:val="none"/>
        </w:rPr>
      </w:pPr>
    </w:p>
    <w:p w14:paraId="13854400">
      <w:pPr>
        <w:pStyle w:val="13"/>
        <w:spacing w:beforeAutospacing="0" w:afterAutospacing="0"/>
        <w:jc w:val="center"/>
        <w:rPr>
          <w:rFonts w:ascii="宋体" w:hAnsi="宋体" w:eastAsia="宋体" w:cs="宋体"/>
          <w:b/>
          <w:color w:val="000000"/>
          <w:sz w:val="32"/>
          <w:szCs w:val="32"/>
          <w:highlight w:val="none"/>
        </w:rPr>
      </w:pPr>
    </w:p>
    <w:p w14:paraId="729FFC93">
      <w:pPr>
        <w:pStyle w:val="13"/>
        <w:spacing w:beforeAutospacing="0" w:afterAutospacing="0"/>
        <w:jc w:val="center"/>
        <w:rPr>
          <w:rFonts w:ascii="宋体" w:hAnsi="宋体" w:eastAsia="宋体" w:cs="宋体"/>
          <w:b/>
          <w:color w:val="000000"/>
          <w:sz w:val="32"/>
          <w:szCs w:val="32"/>
          <w:highlight w:val="none"/>
        </w:rPr>
      </w:pPr>
    </w:p>
    <w:p w14:paraId="5CC54300">
      <w:pPr>
        <w:pStyle w:val="13"/>
        <w:spacing w:beforeAutospacing="0" w:afterAutospacing="0"/>
        <w:jc w:val="center"/>
        <w:rPr>
          <w:rFonts w:ascii="宋体" w:hAnsi="宋体" w:eastAsia="宋体" w:cs="宋体"/>
          <w:b/>
          <w:color w:val="000000"/>
          <w:sz w:val="32"/>
          <w:szCs w:val="32"/>
          <w:highlight w:val="none"/>
        </w:rPr>
      </w:pPr>
    </w:p>
    <w:p w14:paraId="68A88541">
      <w:pPr>
        <w:pStyle w:val="13"/>
        <w:spacing w:beforeAutospacing="0" w:afterAutospacing="0"/>
        <w:jc w:val="center"/>
        <w:rPr>
          <w:rFonts w:ascii="宋体" w:hAnsi="宋体" w:eastAsia="宋体" w:cs="宋体"/>
          <w:b/>
          <w:color w:val="000000"/>
          <w:sz w:val="32"/>
          <w:szCs w:val="32"/>
          <w:highlight w:val="none"/>
        </w:rPr>
      </w:pPr>
    </w:p>
    <w:p w14:paraId="717D867E">
      <w:pPr>
        <w:pStyle w:val="13"/>
        <w:spacing w:beforeAutospacing="0" w:afterAutospacing="0"/>
        <w:jc w:val="center"/>
        <w:rPr>
          <w:rFonts w:ascii="宋体" w:hAnsi="宋体" w:eastAsia="宋体" w:cs="宋体"/>
          <w:b/>
          <w:color w:val="000000"/>
          <w:sz w:val="32"/>
          <w:szCs w:val="32"/>
          <w:highlight w:val="none"/>
        </w:rPr>
      </w:pPr>
    </w:p>
    <w:p w14:paraId="4CE3A8BF">
      <w:pPr>
        <w:pStyle w:val="13"/>
        <w:spacing w:beforeAutospacing="0" w:afterAutospacing="0"/>
        <w:jc w:val="center"/>
        <w:rPr>
          <w:rFonts w:ascii="宋体" w:hAnsi="宋体" w:eastAsia="宋体" w:cs="宋体"/>
          <w:b/>
          <w:color w:val="000000"/>
          <w:sz w:val="32"/>
          <w:szCs w:val="32"/>
          <w:highlight w:val="none"/>
        </w:rPr>
      </w:pPr>
    </w:p>
    <w:p w14:paraId="1849052A">
      <w:pPr>
        <w:pStyle w:val="13"/>
        <w:spacing w:beforeAutospacing="0" w:afterAutospacing="0"/>
        <w:jc w:val="center"/>
        <w:rPr>
          <w:rFonts w:ascii="宋体" w:hAnsi="宋体" w:eastAsia="宋体" w:cs="宋体"/>
          <w:b/>
          <w:color w:val="000000"/>
          <w:sz w:val="32"/>
          <w:szCs w:val="32"/>
          <w:highlight w:val="none"/>
        </w:rPr>
      </w:pPr>
    </w:p>
    <w:p w14:paraId="29D9EBB8">
      <w:pPr>
        <w:pStyle w:val="13"/>
        <w:spacing w:beforeAutospacing="0" w:afterAutospacing="0"/>
        <w:jc w:val="center"/>
        <w:rPr>
          <w:rFonts w:ascii="宋体" w:hAnsi="宋体" w:eastAsia="宋体" w:cs="宋体"/>
          <w:b/>
          <w:color w:val="000000"/>
          <w:sz w:val="32"/>
          <w:szCs w:val="32"/>
          <w:highlight w:val="none"/>
        </w:rPr>
      </w:pPr>
    </w:p>
    <w:p w14:paraId="1EC02022">
      <w:pPr>
        <w:pStyle w:val="13"/>
        <w:spacing w:beforeAutospacing="0" w:afterAutospacing="0"/>
        <w:jc w:val="center"/>
        <w:rPr>
          <w:rFonts w:ascii="宋体" w:hAnsi="宋体" w:eastAsia="宋体" w:cs="宋体"/>
          <w:b/>
          <w:color w:val="000000"/>
          <w:sz w:val="32"/>
          <w:szCs w:val="32"/>
          <w:highlight w:val="none"/>
        </w:rPr>
      </w:pPr>
    </w:p>
    <w:p w14:paraId="2A30F80C">
      <w:pPr>
        <w:pStyle w:val="13"/>
        <w:spacing w:beforeAutospacing="0" w:afterAutospacing="0"/>
        <w:jc w:val="center"/>
        <w:rPr>
          <w:rFonts w:ascii="宋体" w:hAnsi="宋体" w:eastAsia="宋体" w:cs="宋体"/>
          <w:b/>
          <w:color w:val="000000"/>
          <w:sz w:val="32"/>
          <w:szCs w:val="32"/>
          <w:highlight w:val="none"/>
        </w:rPr>
      </w:pPr>
    </w:p>
    <w:p w14:paraId="577F58DB">
      <w:pPr>
        <w:pStyle w:val="13"/>
        <w:spacing w:beforeAutospacing="0" w:afterAutospacing="0"/>
        <w:jc w:val="center"/>
        <w:rPr>
          <w:rFonts w:ascii="宋体" w:hAnsi="宋体" w:eastAsia="宋体" w:cs="宋体"/>
          <w:b/>
          <w:color w:val="000000"/>
          <w:sz w:val="32"/>
          <w:szCs w:val="32"/>
          <w:highlight w:val="none"/>
        </w:rPr>
      </w:pPr>
    </w:p>
    <w:p w14:paraId="212218BF">
      <w:pPr>
        <w:pStyle w:val="13"/>
        <w:spacing w:beforeAutospacing="0" w:afterAutospacing="0"/>
        <w:jc w:val="center"/>
        <w:rPr>
          <w:rFonts w:ascii="宋体" w:hAnsi="宋体" w:eastAsia="宋体" w:cs="宋体"/>
          <w:b/>
          <w:color w:val="000000"/>
          <w:sz w:val="32"/>
          <w:szCs w:val="32"/>
          <w:highlight w:val="none"/>
        </w:rPr>
      </w:pPr>
    </w:p>
    <w:p w14:paraId="3D900FAD">
      <w:pPr>
        <w:widowControl/>
        <w:spacing w:line="499" w:lineRule="atLeast"/>
        <w:ind w:firstLine="1600"/>
        <w:rPr>
          <w:rFonts w:ascii="宋体" w:hAnsi="宋体" w:eastAsia="宋体" w:cs="宋体"/>
          <w:sz w:val="24"/>
          <w:highlight w:val="none"/>
        </w:rPr>
      </w:pPr>
      <w:r>
        <w:rPr>
          <w:rFonts w:hint="eastAsia" w:ascii="宋体" w:hAnsi="宋体" w:eastAsia="宋体" w:cs="宋体"/>
          <w:color w:val="000000"/>
          <w:sz w:val="32"/>
          <w:szCs w:val="32"/>
          <w:highlight w:val="none"/>
        </w:rPr>
        <w:t>十</w:t>
      </w:r>
      <w:r>
        <w:rPr>
          <w:rFonts w:hint="eastAsia" w:ascii="宋体" w:hAnsi="宋体" w:eastAsia="宋体" w:cs="宋体"/>
          <w:color w:val="000000"/>
          <w:sz w:val="32"/>
          <w:szCs w:val="32"/>
          <w:highlight w:val="none"/>
          <w:lang w:val="en-US" w:eastAsia="zh-CN"/>
        </w:rPr>
        <w:t>七</w:t>
      </w:r>
      <w:r>
        <w:rPr>
          <w:rFonts w:hint="eastAsia" w:ascii="宋体" w:hAnsi="宋体" w:eastAsia="宋体" w:cs="宋体"/>
          <w:color w:val="000000"/>
          <w:sz w:val="32"/>
          <w:szCs w:val="32"/>
          <w:highlight w:val="none"/>
        </w:rPr>
        <w:t>、盐城市政府采购事前信用承诺书</w:t>
      </w:r>
    </w:p>
    <w:p w14:paraId="2856B726">
      <w:pPr>
        <w:widowControl/>
        <w:spacing w:line="499" w:lineRule="atLeast"/>
        <w:ind w:firstLine="640"/>
        <w:jc w:val="left"/>
        <w:rPr>
          <w:rFonts w:ascii="宋体" w:hAnsi="宋体" w:eastAsia="宋体" w:cs="宋体"/>
          <w:sz w:val="24"/>
          <w:highlight w:val="none"/>
        </w:rPr>
      </w:pPr>
      <w:r>
        <w:rPr>
          <w:rFonts w:hint="eastAsia" w:ascii="宋体" w:hAnsi="宋体" w:eastAsia="宋体" w:cs="宋体"/>
          <w:color w:val="000000"/>
          <w:sz w:val="32"/>
          <w:szCs w:val="32"/>
          <w:highlight w:val="none"/>
        </w:rPr>
        <w:t> </w:t>
      </w:r>
    </w:p>
    <w:p w14:paraId="7919085D">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为营造我市公开、公平、公正、诚实守信的政府采购交易环境，树立诚信守法的投标人形象，本人代表本单位作出以下承诺：</w:t>
      </w:r>
    </w:p>
    <w:p w14:paraId="3EDFDB99">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虚假成分</w:t>
      </w:r>
      <w:r>
        <w:rPr>
          <w:rFonts w:hint="eastAsia" w:ascii="宋体" w:hAnsi="宋体" w:eastAsia="宋体" w:cs="宋体"/>
          <w:color w:val="000000"/>
          <w:sz w:val="24"/>
          <w:highlight w:val="none"/>
        </w:rPr>
        <w:t>，并对所提供资料的真实性负责；</w:t>
      </w:r>
    </w:p>
    <w:p w14:paraId="3CD0212B">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2E40F0F8">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p>
    <w:p w14:paraId="1ADEB3AD">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（四）严格遵守即时信息公示规定，及时</w:t>
      </w:r>
      <w:r>
        <w:rPr>
          <w:rFonts w:hint="eastAsia" w:ascii="宋体" w:hAnsi="宋体" w:eastAsia="宋体" w:cs="宋体"/>
          <w:color w:val="000000"/>
          <w:sz w:val="24"/>
          <w:highlight w:val="none"/>
          <w:lang w:eastAsia="zh-CN"/>
        </w:rPr>
        <w:t>维护和更新</w:t>
      </w:r>
      <w:r>
        <w:rPr>
          <w:rFonts w:hint="eastAsia" w:ascii="宋体" w:hAnsi="宋体" w:eastAsia="宋体" w:cs="宋体"/>
          <w:color w:val="000000"/>
          <w:sz w:val="24"/>
          <w:highlight w:val="none"/>
        </w:rPr>
        <w:t>盐城市政府采购网中与本单位相关的信息；</w:t>
      </w:r>
    </w:p>
    <w:p w14:paraId="23FBCF6B">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1A1ADC8E">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（六）自觉接受政府、行业组织、社会公众、新闻舆论的监督；</w:t>
      </w:r>
    </w:p>
    <w:p w14:paraId="3A11BDB8">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944C0DD">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（八）本人已认真阅读了上述承诺，并向本单位员工作了宣传教育。</w:t>
      </w:r>
    </w:p>
    <w:p w14:paraId="71B61F88">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法定代表人签名</w:t>
      </w:r>
      <w:r>
        <w:rPr>
          <w:rFonts w:hint="eastAsia" w:ascii="宋体" w:hAnsi="宋体" w:eastAsia="宋体" w:cs="宋体"/>
          <w:color w:val="000000"/>
          <w:sz w:val="24"/>
          <w:highlight w:val="none"/>
          <w:lang w:val="en-US" w:eastAsia="zh-CN"/>
        </w:rPr>
        <w:t>或盖章</w:t>
      </w:r>
      <w:r>
        <w:rPr>
          <w:rFonts w:hint="eastAsia" w:ascii="宋体" w:hAnsi="宋体" w:eastAsia="宋体" w:cs="宋体"/>
          <w:color w:val="000000"/>
          <w:sz w:val="24"/>
          <w:highlight w:val="none"/>
        </w:rPr>
        <w:t>：</w:t>
      </w:r>
    </w:p>
    <w:p w14:paraId="098A1A66">
      <w:pPr>
        <w:widowControl/>
        <w:spacing w:line="499" w:lineRule="atLeast"/>
        <w:jc w:val="center"/>
        <w:rPr>
          <w:rFonts w:ascii="宋体" w:hAnsi="宋体" w:eastAsia="宋体" w:cs="宋体"/>
          <w:sz w:val="24"/>
          <w:highlight w:val="none"/>
        </w:rPr>
      </w:pPr>
      <w:r>
        <w:rPr>
          <w:rFonts w:hint="eastAsia" w:ascii="宋体" w:hAnsi="宋体" w:eastAsia="宋体" w:cs="宋体"/>
          <w:color w:val="000000"/>
          <w:sz w:val="24"/>
          <w:highlight w:val="none"/>
        </w:rPr>
        <w:t>                   单位名称（盖章）：</w:t>
      </w:r>
    </w:p>
    <w:p w14:paraId="5394C7B5">
      <w:pPr>
        <w:widowControl/>
        <w:spacing w:line="499" w:lineRule="atLeast"/>
        <w:jc w:val="center"/>
        <w:rPr>
          <w:rFonts w:ascii="宋体" w:hAnsi="宋体" w:eastAsia="宋体" w:cs="宋体"/>
          <w:sz w:val="24"/>
          <w:highlight w:val="none"/>
        </w:rPr>
      </w:pPr>
      <w:r>
        <w:rPr>
          <w:rFonts w:hint="eastAsia" w:ascii="宋体" w:hAnsi="宋体" w:eastAsia="宋体" w:cs="宋体"/>
          <w:color w:val="000000"/>
          <w:sz w:val="24"/>
          <w:highlight w:val="none"/>
        </w:rPr>
        <w:t>                      年月日</w:t>
      </w:r>
    </w:p>
    <w:p w14:paraId="36D0A244">
      <w:pPr>
        <w:pStyle w:val="13"/>
        <w:spacing w:beforeAutospacing="0" w:afterAutospacing="0"/>
        <w:jc w:val="center"/>
        <w:rPr>
          <w:highlight w:val="none"/>
        </w:rPr>
      </w:pPr>
    </w:p>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346"/>
    <w:bookmarkEnd w:id="349"/>
    <w:bookmarkEnd w:id="350"/>
    <w:bookmarkEnd w:id="351"/>
    <w:bookmarkEnd w:id="352"/>
    <w:bookmarkEnd w:id="353"/>
    <w:bookmarkEnd w:id="354"/>
    <w:bookmarkEnd w:id="355"/>
    <w:bookmarkEnd w:id="356"/>
    <w:bookmarkEnd w:id="365"/>
    <w:bookmarkEnd w:id="366"/>
    <w:bookmarkEnd w:id="367"/>
    <w:bookmarkEnd w:id="368"/>
    <w:bookmarkEnd w:id="369"/>
    <w:p w14:paraId="1BD58B05">
      <w:pPr>
        <w:pStyle w:val="13"/>
        <w:spacing w:beforeAutospacing="0" w:afterAutospacing="0"/>
        <w:jc w:val="center"/>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质疑函范本</w:t>
      </w:r>
    </w:p>
    <w:p w14:paraId="4408F78F">
      <w:pPr>
        <w:pStyle w:val="13"/>
        <w:spacing w:before="290"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一、质疑供应商基本信息</w:t>
      </w:r>
    </w:p>
    <w:p w14:paraId="6C307A75">
      <w:pPr>
        <w:pStyle w:val="13"/>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质疑供应商：</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40CDA18D">
      <w:pPr>
        <w:pStyle w:val="13"/>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p>
    <w:p w14:paraId="6204001A">
      <w:pPr>
        <w:pStyle w:val="13"/>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2CB49ACA">
      <w:pPr>
        <w:pStyle w:val="13"/>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联系人：</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2DB03877">
      <w:pPr>
        <w:pStyle w:val="13"/>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xml:space="preserve">                                           </w:t>
      </w:r>
    </w:p>
    <w:p w14:paraId="499727A8">
      <w:pPr>
        <w:pStyle w:val="13"/>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授权代表：</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6B88EEAA">
      <w:pPr>
        <w:pStyle w:val="13"/>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26720E08">
      <w:pPr>
        <w:pStyle w:val="13"/>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地址： </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7C51F6AF">
      <w:pPr>
        <w:pStyle w:val="13"/>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xml:space="preserve">                                </w:t>
      </w:r>
    </w:p>
    <w:p w14:paraId="6578280A">
      <w:pPr>
        <w:pStyle w:val="13"/>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二、质疑项目基本情况</w:t>
      </w:r>
    </w:p>
    <w:p w14:paraId="5CA0EF62">
      <w:pPr>
        <w:pStyle w:val="13"/>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质疑项目的名称：</w:t>
      </w:r>
      <w:r>
        <w:rPr>
          <w:rFonts w:hint="eastAsia" w:ascii="宋体" w:hAnsi="宋体" w:eastAsia="宋体" w:cs="宋体"/>
          <w:color w:val="000000"/>
          <w:highlight w:val="none"/>
          <w:u w:val="single"/>
        </w:rPr>
        <w:t xml:space="preserve">                            </w:t>
      </w:r>
    </w:p>
    <w:p w14:paraId="5DF92306">
      <w:pPr>
        <w:pStyle w:val="13"/>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质疑项目的编号：</w:t>
      </w:r>
      <w:r>
        <w:rPr>
          <w:rFonts w:hint="eastAsia" w:ascii="宋体" w:hAnsi="宋体" w:eastAsia="宋体" w:cs="宋体"/>
          <w:color w:val="000000"/>
          <w:highlight w:val="none"/>
          <w:u w:val="single"/>
        </w:rPr>
        <w:t xml:space="preserve">                          </w:t>
      </w:r>
    </w:p>
    <w:p w14:paraId="208912AC">
      <w:pPr>
        <w:pStyle w:val="13"/>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6416D5F4">
      <w:pPr>
        <w:pStyle w:val="13"/>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采购人名称：</w:t>
      </w:r>
      <w:r>
        <w:rPr>
          <w:rFonts w:hint="eastAsia" w:ascii="宋体" w:hAnsi="宋体" w:eastAsia="宋体" w:cs="宋体"/>
          <w:color w:val="000000"/>
          <w:highlight w:val="none"/>
          <w:u w:val="single"/>
        </w:rPr>
        <w:t xml:space="preserve">                            </w:t>
      </w:r>
    </w:p>
    <w:p w14:paraId="60F609DC">
      <w:pPr>
        <w:pStyle w:val="13"/>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采购文件获取日期：</w:t>
      </w:r>
      <w:r>
        <w:rPr>
          <w:rFonts w:hint="eastAsia" w:ascii="宋体" w:hAnsi="宋体" w:eastAsia="宋体" w:cs="宋体"/>
          <w:color w:val="000000"/>
          <w:highlight w:val="none"/>
          <w:u w:val="single"/>
        </w:rPr>
        <w:t xml:space="preserve">                             </w:t>
      </w:r>
    </w:p>
    <w:p w14:paraId="61145962">
      <w:pPr>
        <w:pStyle w:val="13"/>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三、质疑事项具体内容</w:t>
      </w:r>
    </w:p>
    <w:p w14:paraId="50CD04C7">
      <w:pPr>
        <w:pStyle w:val="13"/>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质疑事项1：</w:t>
      </w:r>
      <w:r>
        <w:rPr>
          <w:rFonts w:hint="eastAsia" w:ascii="宋体" w:hAnsi="宋体" w:eastAsia="宋体" w:cs="宋体"/>
          <w:color w:val="000000"/>
          <w:highlight w:val="none"/>
          <w:u w:val="single"/>
        </w:rPr>
        <w:t xml:space="preserve">                             </w:t>
      </w:r>
    </w:p>
    <w:p w14:paraId="2D3C5A9C">
      <w:pPr>
        <w:pStyle w:val="13"/>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事实依据：</w:t>
      </w:r>
      <w:r>
        <w:rPr>
          <w:rFonts w:hint="eastAsia" w:ascii="宋体" w:hAnsi="宋体" w:eastAsia="宋体" w:cs="宋体"/>
          <w:color w:val="000000"/>
          <w:highlight w:val="none"/>
          <w:u w:val="single"/>
        </w:rPr>
        <w:t xml:space="preserve">                                                   </w:t>
      </w:r>
    </w:p>
    <w:p w14:paraId="7F07B8F1">
      <w:pPr>
        <w:pStyle w:val="13"/>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法律依据：</w:t>
      </w:r>
      <w:r>
        <w:rPr>
          <w:rFonts w:hint="eastAsia" w:ascii="宋体" w:hAnsi="宋体" w:eastAsia="宋体" w:cs="宋体"/>
          <w:color w:val="000000"/>
          <w:highlight w:val="none"/>
          <w:u w:val="single"/>
        </w:rPr>
        <w:t xml:space="preserve">                                                    </w:t>
      </w:r>
    </w:p>
    <w:p w14:paraId="0140CBED">
      <w:pPr>
        <w:pStyle w:val="13"/>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质疑事项2</w:t>
      </w:r>
    </w:p>
    <w:p w14:paraId="17B714BF">
      <w:pPr>
        <w:pStyle w:val="13"/>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w:t>
      </w:r>
    </w:p>
    <w:p w14:paraId="1A43196A">
      <w:pPr>
        <w:pStyle w:val="13"/>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四、与质疑事项相关的质疑请求</w:t>
      </w:r>
    </w:p>
    <w:p w14:paraId="166EEFF8">
      <w:pPr>
        <w:pStyle w:val="13"/>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请求：</w:t>
      </w:r>
      <w:r>
        <w:rPr>
          <w:rFonts w:hint="eastAsia" w:ascii="宋体" w:hAnsi="宋体" w:eastAsia="宋体" w:cs="宋体"/>
          <w:color w:val="000000"/>
          <w:highlight w:val="none"/>
          <w:u w:val="single"/>
        </w:rPr>
        <w:t xml:space="preserve">                                                          </w:t>
      </w:r>
    </w:p>
    <w:p w14:paraId="0191183A">
      <w:pPr>
        <w:pStyle w:val="13"/>
        <w:spacing w:beforeAutospacing="0" w:afterAutospacing="0"/>
        <w:jc w:val="both"/>
        <w:rPr>
          <w:rFonts w:ascii="宋体" w:hAnsi="宋体" w:eastAsia="宋体" w:cs="宋体"/>
          <w:highlight w:val="none"/>
        </w:rPr>
      </w:pPr>
      <w:r>
        <w:rPr>
          <w:rFonts w:hint="eastAsia" w:ascii="宋体" w:hAnsi="宋体" w:eastAsia="宋体" w:cs="宋体"/>
          <w:color w:val="000000"/>
          <w:highlight w:val="none"/>
        </w:rPr>
        <w:t xml:space="preserve">签字(签章)：                 公章：               日期：    </w:t>
      </w:r>
    </w:p>
    <w:p w14:paraId="486AA1DE">
      <w:pPr>
        <w:pStyle w:val="13"/>
        <w:spacing w:beforeAutospacing="0" w:afterAutospacing="0" w:line="0" w:lineRule="atLeast"/>
        <w:jc w:val="both"/>
        <w:rPr>
          <w:rFonts w:ascii="宋体" w:hAnsi="宋体" w:eastAsia="宋体" w:cs="宋体"/>
          <w:highlight w:val="none"/>
        </w:rPr>
      </w:pPr>
      <w:r>
        <w:rPr>
          <w:rFonts w:hint="eastAsia" w:ascii="宋体" w:hAnsi="宋体" w:eastAsia="宋体" w:cs="宋体"/>
          <w:b/>
          <w:color w:val="000000"/>
          <w:highlight w:val="none"/>
        </w:rPr>
        <w:t>质疑函制作说明：</w:t>
      </w:r>
    </w:p>
    <w:p w14:paraId="36ED08AD">
      <w:pPr>
        <w:pStyle w:val="13"/>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1.供应商提出质疑时，应提交质疑函和必要的证明材料。</w:t>
      </w:r>
    </w:p>
    <w:p w14:paraId="62091F4D">
      <w:pPr>
        <w:pStyle w:val="13"/>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88E4F51">
      <w:pPr>
        <w:pStyle w:val="13"/>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3.质疑供应商若对项目的某一分包进行质疑，质疑函中应列明具体分包号。</w:t>
      </w:r>
    </w:p>
    <w:p w14:paraId="0F2A8B16">
      <w:pPr>
        <w:pStyle w:val="13"/>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4.质疑函的质疑事项应具体、明确，并有必要的事实依据和法律依据。</w:t>
      </w:r>
    </w:p>
    <w:p w14:paraId="335F536F">
      <w:pPr>
        <w:pStyle w:val="13"/>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5.质疑函的质疑请求应与质疑事项相关。</w:t>
      </w:r>
    </w:p>
    <w:p w14:paraId="0F6A2591">
      <w:pPr>
        <w:pStyle w:val="13"/>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6.质疑供应商为自然人的，质疑函应由本人签字；质疑供应商为法人或者其他组织的，质疑函应由法定代表人、主要负责人，或者其授权代表签字或者盖章，并加盖公章。</w:t>
      </w:r>
    </w:p>
    <w:p w14:paraId="7B1A67A8">
      <w:pPr>
        <w:pStyle w:val="13"/>
        <w:spacing w:beforeAutospacing="0" w:afterAutospacing="0"/>
        <w:rPr>
          <w:highlight w:val="none"/>
        </w:rPr>
      </w:pPr>
    </w:p>
    <w:sectPr>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D7D3B4C1-DE7A-46B2-A488-9480E91FDB4E}"/>
  </w:font>
  <w:font w:name="Arial">
    <w:panose1 w:val="020B0604020202020204"/>
    <w:charset w:val="01"/>
    <w:family w:val="swiss"/>
    <w:pitch w:val="default"/>
    <w:sig w:usb0="E0002EFF" w:usb1="C000785B" w:usb2="00000009" w:usb3="00000000" w:csb0="400001FF" w:csb1="FFFF0000"/>
    <w:embedRegular r:id="rId2" w:fontKey="{2374A451-FC1F-4AAF-A44A-35A7E25CCF82}"/>
  </w:font>
  <w:font w:name="黑体">
    <w:panose1 w:val="02010609060101010101"/>
    <w:charset w:val="86"/>
    <w:family w:val="auto"/>
    <w:pitch w:val="default"/>
    <w:sig w:usb0="800002BF" w:usb1="38CF7CFA" w:usb2="00000016" w:usb3="00000000" w:csb0="00040001" w:csb1="00000000"/>
    <w:embedRegular r:id="rId3" w:fontKey="{D36C8AC1-81CD-4F70-A450-66D01612765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embedRegular r:id="rId4" w:fontKey="{83C25126-2DC1-47B6-938F-51C9F8ED7EC7}"/>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embedRegular r:id="rId5" w:fontKey="{CC2999EE-5678-4672-86B7-0E0597943138}"/>
  </w:font>
  <w:font w:name="华文中宋">
    <w:panose1 w:val="02010600040101010101"/>
    <w:charset w:val="86"/>
    <w:family w:val="auto"/>
    <w:pitch w:val="default"/>
    <w:sig w:usb0="00000287" w:usb1="080F0000" w:usb2="00000000" w:usb3="00000000" w:csb0="0004009F" w:csb1="DFD70000"/>
    <w:embedRegular r:id="rId6" w:fontKey="{68E71BA2-B1A5-4510-A313-F446AD81BE30}"/>
  </w:font>
  <w:font w:name="Segoe UI Symbol">
    <w:panose1 w:val="020B0502040204020203"/>
    <w:charset w:val="00"/>
    <w:family w:val="auto"/>
    <w:pitch w:val="default"/>
    <w:sig w:usb0="800001E3" w:usb1="1200FFEF" w:usb2="00040000" w:usb3="04000000" w:csb0="00000001" w:csb1="40000000"/>
    <w:embedRegular r:id="rId7" w:fontKey="{FB0F1B47-64E7-4919-BB0D-616E3C59C2A8}"/>
  </w:font>
  <w:font w:name="PingFang SC">
    <w:altName w:val="DejaVu Math TeX Gyre"/>
    <w:panose1 w:val="020B0503020202020204"/>
    <w:charset w:val="00"/>
    <w:family w:val="auto"/>
    <w:pitch w:val="default"/>
    <w:sig w:usb0="00000000" w:usb1="00000000" w:usb2="00000000" w:usb3="00000000" w:csb0="00000000" w:csb1="00000000"/>
    <w:embedRegular r:id="rId8" w:fontKey="{9CC94634-D64A-4B48-B0A7-E36A6023D7D9}"/>
  </w:font>
  <w:font w:name="DejaVu Math TeX Gyre">
    <w:panose1 w:val="02000503000000000000"/>
    <w:charset w:val="00"/>
    <w:family w:val="auto"/>
    <w:pitch w:val="default"/>
    <w:sig w:usb0="A10000EF" w:usb1="4201F9EE" w:usb2="02000000" w:usb3="00000000" w:csb0="60000193" w:csb1="0DD40000"/>
  </w:font>
  <w:font w:name="华文宋体">
    <w:panose1 w:val="02010600040101010101"/>
    <w:charset w:val="86"/>
    <w:family w:val="auto"/>
    <w:pitch w:val="default"/>
    <w:sig w:usb0="00000287" w:usb1="080F0000" w:usb2="00000000" w:usb3="00000000" w:csb0="0004009F" w:csb1="DFD70000"/>
    <w:embedRegular r:id="rId9" w:fontKey="{8BF439B3-BEFE-4959-95F9-1263CDFDE11D}"/>
  </w:font>
  <w:font w:name="Microsoft Sans Serif">
    <w:panose1 w:val="020B0604020202020204"/>
    <w:charset w:val="00"/>
    <w:family w:val="auto"/>
    <w:pitch w:val="default"/>
    <w:sig w:usb0="E5002EFF" w:usb1="C000605B" w:usb2="00000029" w:usb3="00000000" w:csb0="200101FF" w:csb1="20280000"/>
    <w:embedRegular r:id="rId10" w:fontKey="{FA629B1B-D476-4098-9CCB-0192DC7CE7FE}"/>
  </w:font>
  <w:font w:name="WPSEMBED1">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B96AB4">
    <w:pPr>
      <w:pStyle w:val="23"/>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24</w:t>
    </w:r>
    <w:r>
      <w:rPr>
        <w:b/>
        <w:sz w:val="24"/>
        <w:szCs w:val="24"/>
      </w:rPr>
      <w:fldChar w:fldCharType="end"/>
    </w:r>
  </w:p>
  <w:p w14:paraId="5CC4B798">
    <w:pPr>
      <w:pStyle w:val="2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1BEFB2">
    <w:pPr>
      <w:pStyle w:val="8"/>
      <w:spacing w:line="235" w:lineRule="exact"/>
      <w:ind w:left="4724"/>
      <w:rPr>
        <w:sz w:val="18"/>
        <w:szCs w:val="18"/>
      </w:rPr>
    </w:pPr>
    <w:r>
      <w:rPr>
        <w:spacing w:val="-4"/>
        <w:position w:val="1"/>
        <w:sz w:val="18"/>
        <w:szCs w:val="18"/>
      </w:rPr>
      <w:t>59</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6BC116"/>
    <w:multiLevelType w:val="singleLevel"/>
    <w:tmpl w:val="BF6BC116"/>
    <w:lvl w:ilvl="0" w:tentative="0">
      <w:start w:val="16"/>
      <w:numFmt w:val="decimal"/>
      <w:suff w:val="space"/>
      <w:lvlText w:val="%1."/>
      <w:lvlJc w:val="left"/>
      <w:pPr>
        <w:ind w:left="0" w:firstLine="0"/>
      </w:pPr>
    </w:lvl>
  </w:abstractNum>
  <w:abstractNum w:abstractNumId="2">
    <w:nsid w:val="CF092B84"/>
    <w:multiLevelType w:val="multilevel"/>
    <w:tmpl w:val="CF092B8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D5B14649"/>
    <w:multiLevelType w:val="singleLevel"/>
    <w:tmpl w:val="D5B14649"/>
    <w:lvl w:ilvl="0" w:tentative="0">
      <w:start w:val="4"/>
      <w:numFmt w:val="decimal"/>
      <w:suff w:val="nothing"/>
      <w:lvlText w:val="（%1）"/>
      <w:lvlJc w:val="left"/>
    </w:lvl>
  </w:abstractNum>
  <w:abstractNum w:abstractNumId="4">
    <w:nsid w:val="DDECD3BC"/>
    <w:multiLevelType w:val="singleLevel"/>
    <w:tmpl w:val="DDECD3BC"/>
    <w:lvl w:ilvl="0" w:tentative="0">
      <w:start w:val="6"/>
      <w:numFmt w:val="decimal"/>
      <w:suff w:val="space"/>
      <w:lvlText w:val="%1."/>
      <w:lvlJc w:val="left"/>
      <w:pPr>
        <w:ind w:left="0" w:firstLine="0"/>
      </w:pPr>
    </w:lvl>
  </w:abstractNum>
  <w:abstractNum w:abstractNumId="5">
    <w:nsid w:val="DE759F4B"/>
    <w:multiLevelType w:val="singleLevel"/>
    <w:tmpl w:val="DE759F4B"/>
    <w:lvl w:ilvl="0" w:tentative="0">
      <w:start w:val="2"/>
      <w:numFmt w:val="decimal"/>
      <w:suff w:val="space"/>
      <w:lvlText w:val="%1."/>
      <w:lvlJc w:val="left"/>
      <w:pPr>
        <w:ind w:left="0" w:firstLine="0"/>
      </w:pPr>
    </w:lvl>
  </w:abstractNum>
  <w:abstractNum w:abstractNumId="6">
    <w:nsid w:val="DEABE1DB"/>
    <w:multiLevelType w:val="singleLevel"/>
    <w:tmpl w:val="DEABE1DB"/>
    <w:lvl w:ilvl="0" w:tentative="0">
      <w:start w:val="23"/>
      <w:numFmt w:val="decimal"/>
      <w:suff w:val="space"/>
      <w:lvlText w:val="%1."/>
      <w:lvlJc w:val="left"/>
      <w:pPr>
        <w:ind w:left="0" w:firstLine="0"/>
      </w:pPr>
    </w:lvl>
  </w:abstractNum>
  <w:abstractNum w:abstractNumId="7">
    <w:nsid w:val="F1F039C1"/>
    <w:multiLevelType w:val="singleLevel"/>
    <w:tmpl w:val="F1F039C1"/>
    <w:lvl w:ilvl="0" w:tentative="0">
      <w:start w:val="1"/>
      <w:numFmt w:val="decimalEnclosedCircleChinese"/>
      <w:suff w:val="nothing"/>
      <w:lvlText w:val="%1　"/>
      <w:lvlJc w:val="left"/>
      <w:pPr>
        <w:ind w:left="420" w:firstLine="400"/>
      </w:pPr>
      <w:rPr>
        <w:rFonts w:hint="eastAsia"/>
      </w:rPr>
    </w:lvl>
  </w:abstractNum>
  <w:abstractNum w:abstractNumId="8">
    <w:nsid w:val="0053208E"/>
    <w:multiLevelType w:val="multilevel"/>
    <w:tmpl w:val="0053208E"/>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1D198546"/>
    <w:multiLevelType w:val="singleLevel"/>
    <w:tmpl w:val="1D198546"/>
    <w:lvl w:ilvl="0" w:tentative="0">
      <w:start w:val="1"/>
      <w:numFmt w:val="decimal"/>
      <w:suff w:val="nothing"/>
      <w:lvlText w:val="%1、"/>
      <w:lvlJc w:val="left"/>
    </w:lvl>
  </w:abstractNum>
  <w:abstractNum w:abstractNumId="10">
    <w:nsid w:val="3357AFD2"/>
    <w:multiLevelType w:val="singleLevel"/>
    <w:tmpl w:val="3357AFD2"/>
    <w:lvl w:ilvl="0" w:tentative="0">
      <w:start w:val="1"/>
      <w:numFmt w:val="decimal"/>
      <w:suff w:val="nothing"/>
      <w:lvlText w:val="%1、"/>
      <w:lvlJc w:val="left"/>
    </w:lvl>
  </w:abstractNum>
  <w:abstractNum w:abstractNumId="11">
    <w:nsid w:val="390D67C5"/>
    <w:multiLevelType w:val="singleLevel"/>
    <w:tmpl w:val="390D67C5"/>
    <w:lvl w:ilvl="0" w:tentative="0">
      <w:start w:val="1"/>
      <w:numFmt w:val="decimal"/>
      <w:lvlText w:val="%1."/>
      <w:lvlJc w:val="left"/>
      <w:pPr>
        <w:tabs>
          <w:tab w:val="left" w:pos="312"/>
        </w:tabs>
      </w:pPr>
    </w:lvl>
  </w:abstractNum>
  <w:abstractNum w:abstractNumId="12">
    <w:nsid w:val="59ADCABA"/>
    <w:multiLevelType w:val="multilevel"/>
    <w:tmpl w:val="59ADCABA"/>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71D54D18"/>
    <w:multiLevelType w:val="multilevel"/>
    <w:tmpl w:val="71D54D18"/>
    <w:lvl w:ilvl="0" w:tentative="0">
      <w:start w:val="1"/>
      <w:numFmt w:val="upperLetter"/>
      <w:pStyle w:val="5"/>
      <w:lvlText w:val="%1."/>
      <w:lvlJc w:val="left"/>
      <w:pPr>
        <w:tabs>
          <w:tab w:val="left" w:pos="360"/>
        </w:tabs>
        <w:ind w:left="360" w:hanging="360"/>
      </w:pPr>
      <w:rPr>
        <w:rFonts w:hint="default"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num w:numId="1">
    <w:abstractNumId w:val="13"/>
  </w:num>
  <w:num w:numId="2">
    <w:abstractNumId w:val="8"/>
  </w:num>
  <w:num w:numId="3">
    <w:abstractNumId w:val="2"/>
  </w:num>
  <w:num w:numId="4">
    <w:abstractNumId w:val="3"/>
  </w:num>
  <w:num w:numId="5">
    <w:abstractNumId w:val="12"/>
  </w:num>
  <w:num w:numId="6">
    <w:abstractNumId w:val="5"/>
    <w:lvlOverride w:ilvl="0">
      <w:startOverride w:val="2"/>
    </w:lvlOverride>
  </w:num>
  <w:num w:numId="7">
    <w:abstractNumId w:val="4"/>
    <w:lvlOverride w:ilvl="0">
      <w:startOverride w:val="6"/>
    </w:lvlOverride>
  </w:num>
  <w:num w:numId="8">
    <w:abstractNumId w:val="1"/>
    <w:lvlOverride w:ilvl="0">
      <w:startOverride w:val="16"/>
    </w:lvlOverride>
  </w:num>
  <w:num w:numId="9">
    <w:abstractNumId w:val="6"/>
    <w:lvlOverride w:ilvl="0">
      <w:startOverride w:val="23"/>
    </w:lvlOverride>
  </w:num>
  <w:num w:numId="10">
    <w:abstractNumId w:val="10"/>
  </w:num>
  <w:num w:numId="11">
    <w:abstractNumId w:val="7"/>
  </w:num>
  <w:num w:numId="12">
    <w:abstractNumId w:val="0"/>
  </w:num>
  <w:num w:numId="13">
    <w:abstractNumId w:val="9"/>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5NjQ4MDViNzI1OGY2YzE4MzhiZmY5ZTY1YTkxNGYifQ=="/>
  </w:docVars>
  <w:rsids>
    <w:rsidRoot w:val="00172A27"/>
    <w:rsid w:val="00027397"/>
    <w:rsid w:val="0008414E"/>
    <w:rsid w:val="000B6FA8"/>
    <w:rsid w:val="000D6064"/>
    <w:rsid w:val="00106EC4"/>
    <w:rsid w:val="00111440"/>
    <w:rsid w:val="00112B63"/>
    <w:rsid w:val="00152010"/>
    <w:rsid w:val="00172A27"/>
    <w:rsid w:val="002B0C85"/>
    <w:rsid w:val="003C54BE"/>
    <w:rsid w:val="004125B1"/>
    <w:rsid w:val="00427F98"/>
    <w:rsid w:val="004529E6"/>
    <w:rsid w:val="004E0F29"/>
    <w:rsid w:val="005257A0"/>
    <w:rsid w:val="00755D43"/>
    <w:rsid w:val="007E3A7B"/>
    <w:rsid w:val="00822248"/>
    <w:rsid w:val="00927A3A"/>
    <w:rsid w:val="009620FE"/>
    <w:rsid w:val="00973C6A"/>
    <w:rsid w:val="009D4169"/>
    <w:rsid w:val="009E04AF"/>
    <w:rsid w:val="00A75D0F"/>
    <w:rsid w:val="00BD1A9C"/>
    <w:rsid w:val="00BF706B"/>
    <w:rsid w:val="00C823C4"/>
    <w:rsid w:val="00C90FDD"/>
    <w:rsid w:val="00CE1146"/>
    <w:rsid w:val="00CF47B8"/>
    <w:rsid w:val="00D00F3E"/>
    <w:rsid w:val="00D20B29"/>
    <w:rsid w:val="00D3382A"/>
    <w:rsid w:val="00D550E3"/>
    <w:rsid w:val="00D724D7"/>
    <w:rsid w:val="00ED0DA8"/>
    <w:rsid w:val="00F04D35"/>
    <w:rsid w:val="00F05E1E"/>
    <w:rsid w:val="00F65A6E"/>
    <w:rsid w:val="00FA4B2E"/>
    <w:rsid w:val="00FE0994"/>
    <w:rsid w:val="00FF1D20"/>
    <w:rsid w:val="014036E0"/>
    <w:rsid w:val="015974C0"/>
    <w:rsid w:val="015C3D17"/>
    <w:rsid w:val="01AE0C97"/>
    <w:rsid w:val="021B6523"/>
    <w:rsid w:val="02851591"/>
    <w:rsid w:val="02867E41"/>
    <w:rsid w:val="028B748A"/>
    <w:rsid w:val="02BD5381"/>
    <w:rsid w:val="02D505AD"/>
    <w:rsid w:val="02F0175E"/>
    <w:rsid w:val="034115E7"/>
    <w:rsid w:val="034E4AD1"/>
    <w:rsid w:val="03577A2F"/>
    <w:rsid w:val="037E0789"/>
    <w:rsid w:val="03912F41"/>
    <w:rsid w:val="03D231CF"/>
    <w:rsid w:val="03E84FE9"/>
    <w:rsid w:val="0435689D"/>
    <w:rsid w:val="04697A1A"/>
    <w:rsid w:val="046C12B8"/>
    <w:rsid w:val="04CF1FA6"/>
    <w:rsid w:val="04E04478"/>
    <w:rsid w:val="051200B1"/>
    <w:rsid w:val="056E5657"/>
    <w:rsid w:val="058663AA"/>
    <w:rsid w:val="05C3315A"/>
    <w:rsid w:val="062C42CE"/>
    <w:rsid w:val="068A6E34"/>
    <w:rsid w:val="06AE5BB8"/>
    <w:rsid w:val="071E4803"/>
    <w:rsid w:val="07994E3B"/>
    <w:rsid w:val="07A02A3F"/>
    <w:rsid w:val="07A40F48"/>
    <w:rsid w:val="07DE071F"/>
    <w:rsid w:val="083420ED"/>
    <w:rsid w:val="0854758E"/>
    <w:rsid w:val="08992D34"/>
    <w:rsid w:val="09132265"/>
    <w:rsid w:val="095D46A1"/>
    <w:rsid w:val="09782D55"/>
    <w:rsid w:val="09CB6BDD"/>
    <w:rsid w:val="0A2F5262"/>
    <w:rsid w:val="0A7315F2"/>
    <w:rsid w:val="0A7B04A7"/>
    <w:rsid w:val="0ABC363A"/>
    <w:rsid w:val="0AD8294B"/>
    <w:rsid w:val="0B16543B"/>
    <w:rsid w:val="0B4B3B00"/>
    <w:rsid w:val="0B550CF8"/>
    <w:rsid w:val="0B7D1118"/>
    <w:rsid w:val="0B8A23C1"/>
    <w:rsid w:val="0BAE3813"/>
    <w:rsid w:val="0C6F7B97"/>
    <w:rsid w:val="0C71390F"/>
    <w:rsid w:val="0CA43CE5"/>
    <w:rsid w:val="0D4D2FC1"/>
    <w:rsid w:val="0DDF1EF8"/>
    <w:rsid w:val="0DF06AB6"/>
    <w:rsid w:val="0E0362D5"/>
    <w:rsid w:val="0E0D7668"/>
    <w:rsid w:val="0E7476E7"/>
    <w:rsid w:val="0E966A8C"/>
    <w:rsid w:val="0E9C09EC"/>
    <w:rsid w:val="0EE61CD2"/>
    <w:rsid w:val="0F6D24BC"/>
    <w:rsid w:val="0F7D537E"/>
    <w:rsid w:val="0FD961A1"/>
    <w:rsid w:val="0FE91A0F"/>
    <w:rsid w:val="10007707"/>
    <w:rsid w:val="106D2640"/>
    <w:rsid w:val="1077526D"/>
    <w:rsid w:val="10831E63"/>
    <w:rsid w:val="109A0F5B"/>
    <w:rsid w:val="10AA2392"/>
    <w:rsid w:val="112D6D48"/>
    <w:rsid w:val="115E47BE"/>
    <w:rsid w:val="11AB711C"/>
    <w:rsid w:val="11DD11B8"/>
    <w:rsid w:val="11E249A1"/>
    <w:rsid w:val="12431559"/>
    <w:rsid w:val="12EF1B96"/>
    <w:rsid w:val="12F015A0"/>
    <w:rsid w:val="132A2A6A"/>
    <w:rsid w:val="137D2B9A"/>
    <w:rsid w:val="13CC1D73"/>
    <w:rsid w:val="14477BA7"/>
    <w:rsid w:val="14942891"/>
    <w:rsid w:val="14B1118A"/>
    <w:rsid w:val="14EB154F"/>
    <w:rsid w:val="15BF3E2F"/>
    <w:rsid w:val="16781D3E"/>
    <w:rsid w:val="16906A81"/>
    <w:rsid w:val="169263C8"/>
    <w:rsid w:val="16A61788"/>
    <w:rsid w:val="16BA3E2C"/>
    <w:rsid w:val="16EB42BE"/>
    <w:rsid w:val="16F413C5"/>
    <w:rsid w:val="17666D47"/>
    <w:rsid w:val="1792502D"/>
    <w:rsid w:val="180E4708"/>
    <w:rsid w:val="18422604"/>
    <w:rsid w:val="18BC4109"/>
    <w:rsid w:val="192F5D4A"/>
    <w:rsid w:val="193260E4"/>
    <w:rsid w:val="19835197"/>
    <w:rsid w:val="19B17A41"/>
    <w:rsid w:val="1A390BD7"/>
    <w:rsid w:val="1A4F2C83"/>
    <w:rsid w:val="1A9133CF"/>
    <w:rsid w:val="1AC564D8"/>
    <w:rsid w:val="1AD03EF7"/>
    <w:rsid w:val="1AD2708F"/>
    <w:rsid w:val="1B244243"/>
    <w:rsid w:val="1B5F5046"/>
    <w:rsid w:val="1B8B7B95"/>
    <w:rsid w:val="1B9509DF"/>
    <w:rsid w:val="1BA002D8"/>
    <w:rsid w:val="1BCA3215"/>
    <w:rsid w:val="1BCC6609"/>
    <w:rsid w:val="1BCD48DA"/>
    <w:rsid w:val="1C0025BA"/>
    <w:rsid w:val="1C0A11A4"/>
    <w:rsid w:val="1C2633D9"/>
    <w:rsid w:val="1CA218C3"/>
    <w:rsid w:val="1CAC4347"/>
    <w:rsid w:val="1CF318C0"/>
    <w:rsid w:val="1D1C1092"/>
    <w:rsid w:val="1D605A5A"/>
    <w:rsid w:val="1D854966"/>
    <w:rsid w:val="1DA17204"/>
    <w:rsid w:val="1DFD1285"/>
    <w:rsid w:val="1E8C4B03"/>
    <w:rsid w:val="1EA043BC"/>
    <w:rsid w:val="1EC70509"/>
    <w:rsid w:val="1F4A0271"/>
    <w:rsid w:val="1F845C8A"/>
    <w:rsid w:val="1FC7762D"/>
    <w:rsid w:val="20052895"/>
    <w:rsid w:val="205730E8"/>
    <w:rsid w:val="20600680"/>
    <w:rsid w:val="20733730"/>
    <w:rsid w:val="207A2CBA"/>
    <w:rsid w:val="20A83FAF"/>
    <w:rsid w:val="212D5EEC"/>
    <w:rsid w:val="215025DE"/>
    <w:rsid w:val="21B7196D"/>
    <w:rsid w:val="21C347B6"/>
    <w:rsid w:val="21CC717D"/>
    <w:rsid w:val="21F4671D"/>
    <w:rsid w:val="2228286B"/>
    <w:rsid w:val="223E416B"/>
    <w:rsid w:val="22424AA4"/>
    <w:rsid w:val="22F62B8A"/>
    <w:rsid w:val="23092164"/>
    <w:rsid w:val="23254D08"/>
    <w:rsid w:val="23534E2B"/>
    <w:rsid w:val="237F470C"/>
    <w:rsid w:val="23ED3D6C"/>
    <w:rsid w:val="242C02D7"/>
    <w:rsid w:val="24533DC2"/>
    <w:rsid w:val="2532334D"/>
    <w:rsid w:val="26750FF7"/>
    <w:rsid w:val="267C3185"/>
    <w:rsid w:val="26962499"/>
    <w:rsid w:val="26D24231"/>
    <w:rsid w:val="26D6553E"/>
    <w:rsid w:val="26E42086"/>
    <w:rsid w:val="26E9418F"/>
    <w:rsid w:val="27194423"/>
    <w:rsid w:val="27290FC5"/>
    <w:rsid w:val="281A0EA7"/>
    <w:rsid w:val="281F026C"/>
    <w:rsid w:val="28A77F49"/>
    <w:rsid w:val="28FC627B"/>
    <w:rsid w:val="28FE41FC"/>
    <w:rsid w:val="29345C52"/>
    <w:rsid w:val="2951272C"/>
    <w:rsid w:val="297524E2"/>
    <w:rsid w:val="2996274E"/>
    <w:rsid w:val="29A16149"/>
    <w:rsid w:val="2A4648B7"/>
    <w:rsid w:val="2AFB5241"/>
    <w:rsid w:val="2B005440"/>
    <w:rsid w:val="2B4E3E18"/>
    <w:rsid w:val="2BF81500"/>
    <w:rsid w:val="2C03574A"/>
    <w:rsid w:val="2C117DB2"/>
    <w:rsid w:val="2C7B3B05"/>
    <w:rsid w:val="2CC277F5"/>
    <w:rsid w:val="2D450775"/>
    <w:rsid w:val="2D67525C"/>
    <w:rsid w:val="2D784F24"/>
    <w:rsid w:val="2DAC25A2"/>
    <w:rsid w:val="2DC07A48"/>
    <w:rsid w:val="2DE81100"/>
    <w:rsid w:val="2E3E0D09"/>
    <w:rsid w:val="2E5E7AF7"/>
    <w:rsid w:val="2E717C8A"/>
    <w:rsid w:val="2E8702E5"/>
    <w:rsid w:val="2E8E7EF9"/>
    <w:rsid w:val="2EB711FE"/>
    <w:rsid w:val="2ED51684"/>
    <w:rsid w:val="2EE73822"/>
    <w:rsid w:val="2F1877C3"/>
    <w:rsid w:val="2F3C5BA7"/>
    <w:rsid w:val="2F561C58"/>
    <w:rsid w:val="2F947791"/>
    <w:rsid w:val="2F994DA8"/>
    <w:rsid w:val="2FAD4FD9"/>
    <w:rsid w:val="2FB346FB"/>
    <w:rsid w:val="2FF3519E"/>
    <w:rsid w:val="2FFA5778"/>
    <w:rsid w:val="30495C84"/>
    <w:rsid w:val="30626EBE"/>
    <w:rsid w:val="30650005"/>
    <w:rsid w:val="306640F2"/>
    <w:rsid w:val="310333AD"/>
    <w:rsid w:val="31522189"/>
    <w:rsid w:val="318A49A8"/>
    <w:rsid w:val="318C4BC4"/>
    <w:rsid w:val="31947815"/>
    <w:rsid w:val="32990C1B"/>
    <w:rsid w:val="329E6CD8"/>
    <w:rsid w:val="33440753"/>
    <w:rsid w:val="33773E42"/>
    <w:rsid w:val="338F39E0"/>
    <w:rsid w:val="33900270"/>
    <w:rsid w:val="33A31D51"/>
    <w:rsid w:val="33F15DB4"/>
    <w:rsid w:val="34A9783B"/>
    <w:rsid w:val="34D66156"/>
    <w:rsid w:val="34E14EA2"/>
    <w:rsid w:val="34E346A0"/>
    <w:rsid w:val="34E73CF8"/>
    <w:rsid w:val="354A5F97"/>
    <w:rsid w:val="359B1151"/>
    <w:rsid w:val="35AD49A2"/>
    <w:rsid w:val="361231BE"/>
    <w:rsid w:val="361433DA"/>
    <w:rsid w:val="36172BC3"/>
    <w:rsid w:val="363E0457"/>
    <w:rsid w:val="36CC7C95"/>
    <w:rsid w:val="36CF07E3"/>
    <w:rsid w:val="36EB650A"/>
    <w:rsid w:val="378133A9"/>
    <w:rsid w:val="383A233E"/>
    <w:rsid w:val="3853706C"/>
    <w:rsid w:val="38FB5923"/>
    <w:rsid w:val="39026801"/>
    <w:rsid w:val="39101F1B"/>
    <w:rsid w:val="392C60FA"/>
    <w:rsid w:val="392D7EB3"/>
    <w:rsid w:val="39720FC7"/>
    <w:rsid w:val="39B60304"/>
    <w:rsid w:val="39CD52E9"/>
    <w:rsid w:val="3A64388F"/>
    <w:rsid w:val="3A9643BE"/>
    <w:rsid w:val="3AAC3BE1"/>
    <w:rsid w:val="3B0B043D"/>
    <w:rsid w:val="3BDF2457"/>
    <w:rsid w:val="3C0140C4"/>
    <w:rsid w:val="3C0B3935"/>
    <w:rsid w:val="3C4F6F1A"/>
    <w:rsid w:val="3C812E4B"/>
    <w:rsid w:val="3C8E39AA"/>
    <w:rsid w:val="3CA53635"/>
    <w:rsid w:val="3D23372C"/>
    <w:rsid w:val="3D9646D4"/>
    <w:rsid w:val="3DDC2A2F"/>
    <w:rsid w:val="3DF80C94"/>
    <w:rsid w:val="3E064F5A"/>
    <w:rsid w:val="3E161B6B"/>
    <w:rsid w:val="3E2B7513"/>
    <w:rsid w:val="3E7F5998"/>
    <w:rsid w:val="3EA3354D"/>
    <w:rsid w:val="3F0056DB"/>
    <w:rsid w:val="3F1A3023"/>
    <w:rsid w:val="3F243A9D"/>
    <w:rsid w:val="3F3423F7"/>
    <w:rsid w:val="3FDA7B0E"/>
    <w:rsid w:val="3FE931E1"/>
    <w:rsid w:val="3FFD4DD0"/>
    <w:rsid w:val="40095632"/>
    <w:rsid w:val="401D2E8B"/>
    <w:rsid w:val="40350295"/>
    <w:rsid w:val="406E1D8D"/>
    <w:rsid w:val="40C72D6F"/>
    <w:rsid w:val="41B17D2F"/>
    <w:rsid w:val="41C93833"/>
    <w:rsid w:val="41D81760"/>
    <w:rsid w:val="42053C57"/>
    <w:rsid w:val="42214BD9"/>
    <w:rsid w:val="42324DFA"/>
    <w:rsid w:val="425F30ED"/>
    <w:rsid w:val="42755200"/>
    <w:rsid w:val="42FA74B4"/>
    <w:rsid w:val="431353F3"/>
    <w:rsid w:val="43291B47"/>
    <w:rsid w:val="43455446"/>
    <w:rsid w:val="43476B9D"/>
    <w:rsid w:val="43692E36"/>
    <w:rsid w:val="43A37B4B"/>
    <w:rsid w:val="44674CA7"/>
    <w:rsid w:val="44DA072F"/>
    <w:rsid w:val="454D0F8E"/>
    <w:rsid w:val="458C5CEC"/>
    <w:rsid w:val="4599537D"/>
    <w:rsid w:val="45A932D5"/>
    <w:rsid w:val="45FC0A54"/>
    <w:rsid w:val="461D469A"/>
    <w:rsid w:val="466976E6"/>
    <w:rsid w:val="46EA0CE7"/>
    <w:rsid w:val="470D4256"/>
    <w:rsid w:val="472208AE"/>
    <w:rsid w:val="47502079"/>
    <w:rsid w:val="47704C41"/>
    <w:rsid w:val="47B925F3"/>
    <w:rsid w:val="47CA03F9"/>
    <w:rsid w:val="48910AEC"/>
    <w:rsid w:val="48B3170D"/>
    <w:rsid w:val="48B41562"/>
    <w:rsid w:val="48F867BD"/>
    <w:rsid w:val="493C7DE9"/>
    <w:rsid w:val="495D254A"/>
    <w:rsid w:val="496D09DF"/>
    <w:rsid w:val="4A1E13B4"/>
    <w:rsid w:val="4A1E2964"/>
    <w:rsid w:val="4A2C49B0"/>
    <w:rsid w:val="4A7D1B0F"/>
    <w:rsid w:val="4A802994"/>
    <w:rsid w:val="4AAC50D1"/>
    <w:rsid w:val="4AE82438"/>
    <w:rsid w:val="4B133808"/>
    <w:rsid w:val="4B667DDC"/>
    <w:rsid w:val="4B816722"/>
    <w:rsid w:val="4C4334E7"/>
    <w:rsid w:val="4C5A2B74"/>
    <w:rsid w:val="4C7B3413"/>
    <w:rsid w:val="4D0227B8"/>
    <w:rsid w:val="4D2D20D9"/>
    <w:rsid w:val="4D4B1038"/>
    <w:rsid w:val="4DA074F7"/>
    <w:rsid w:val="4DA33F07"/>
    <w:rsid w:val="4DDE52C0"/>
    <w:rsid w:val="4DFB00F6"/>
    <w:rsid w:val="4E8932F2"/>
    <w:rsid w:val="4E8E0812"/>
    <w:rsid w:val="4F3A3A3A"/>
    <w:rsid w:val="4F6262AC"/>
    <w:rsid w:val="4F7E3B03"/>
    <w:rsid w:val="508605D9"/>
    <w:rsid w:val="50A1397F"/>
    <w:rsid w:val="51C75DFE"/>
    <w:rsid w:val="51D433F8"/>
    <w:rsid w:val="52293911"/>
    <w:rsid w:val="52496610"/>
    <w:rsid w:val="52696576"/>
    <w:rsid w:val="52741FCB"/>
    <w:rsid w:val="52D06B10"/>
    <w:rsid w:val="53401A68"/>
    <w:rsid w:val="53536515"/>
    <w:rsid w:val="536B21BA"/>
    <w:rsid w:val="53A862CC"/>
    <w:rsid w:val="53EC416E"/>
    <w:rsid w:val="54091C4C"/>
    <w:rsid w:val="542A0FDA"/>
    <w:rsid w:val="544D7D8B"/>
    <w:rsid w:val="54604111"/>
    <w:rsid w:val="547A0454"/>
    <w:rsid w:val="54B44C16"/>
    <w:rsid w:val="54E877FB"/>
    <w:rsid w:val="54ED53D0"/>
    <w:rsid w:val="55091CCC"/>
    <w:rsid w:val="55256612"/>
    <w:rsid w:val="55911EF9"/>
    <w:rsid w:val="55E45BF4"/>
    <w:rsid w:val="55FB7373"/>
    <w:rsid w:val="56307253"/>
    <w:rsid w:val="56453199"/>
    <w:rsid w:val="564B4B24"/>
    <w:rsid w:val="56520564"/>
    <w:rsid w:val="56C232D8"/>
    <w:rsid w:val="56EF7016"/>
    <w:rsid w:val="5755514A"/>
    <w:rsid w:val="576D24F2"/>
    <w:rsid w:val="5797379E"/>
    <w:rsid w:val="582F6DAB"/>
    <w:rsid w:val="58490869"/>
    <w:rsid w:val="58AD45AF"/>
    <w:rsid w:val="58D4718C"/>
    <w:rsid w:val="590C78EE"/>
    <w:rsid w:val="59346858"/>
    <w:rsid w:val="59464082"/>
    <w:rsid w:val="59581771"/>
    <w:rsid w:val="59900A0D"/>
    <w:rsid w:val="59A82CA5"/>
    <w:rsid w:val="5A1804F3"/>
    <w:rsid w:val="5AB02E22"/>
    <w:rsid w:val="5AD536B4"/>
    <w:rsid w:val="5AEA4CCC"/>
    <w:rsid w:val="5B031B11"/>
    <w:rsid w:val="5B687A9B"/>
    <w:rsid w:val="5B96574B"/>
    <w:rsid w:val="5BAA5AC3"/>
    <w:rsid w:val="5C1E200D"/>
    <w:rsid w:val="5C566D9D"/>
    <w:rsid w:val="5C5A652B"/>
    <w:rsid w:val="5C653798"/>
    <w:rsid w:val="5D064006"/>
    <w:rsid w:val="5D320FC0"/>
    <w:rsid w:val="5D797461"/>
    <w:rsid w:val="5DA4554F"/>
    <w:rsid w:val="5DE138D8"/>
    <w:rsid w:val="5E1921ED"/>
    <w:rsid w:val="5EDB106D"/>
    <w:rsid w:val="5EE035AA"/>
    <w:rsid w:val="5F476F94"/>
    <w:rsid w:val="5F7D5E8E"/>
    <w:rsid w:val="5F7F522A"/>
    <w:rsid w:val="601337BB"/>
    <w:rsid w:val="606A165C"/>
    <w:rsid w:val="60A07495"/>
    <w:rsid w:val="60DB671F"/>
    <w:rsid w:val="611F03B9"/>
    <w:rsid w:val="61730705"/>
    <w:rsid w:val="619B393F"/>
    <w:rsid w:val="62281F6A"/>
    <w:rsid w:val="622C715E"/>
    <w:rsid w:val="625A4188"/>
    <w:rsid w:val="62A87E16"/>
    <w:rsid w:val="62CA561A"/>
    <w:rsid w:val="6313315F"/>
    <w:rsid w:val="632F68AE"/>
    <w:rsid w:val="63531AF3"/>
    <w:rsid w:val="63830F94"/>
    <w:rsid w:val="63BD210C"/>
    <w:rsid w:val="63CD6C1F"/>
    <w:rsid w:val="641206A9"/>
    <w:rsid w:val="643A2D32"/>
    <w:rsid w:val="644A52D4"/>
    <w:rsid w:val="64846EDD"/>
    <w:rsid w:val="64A56430"/>
    <w:rsid w:val="65055217"/>
    <w:rsid w:val="657B5DDA"/>
    <w:rsid w:val="65BB2793"/>
    <w:rsid w:val="65FF1B98"/>
    <w:rsid w:val="661B7AB4"/>
    <w:rsid w:val="662B5A52"/>
    <w:rsid w:val="664F5C5B"/>
    <w:rsid w:val="667027CF"/>
    <w:rsid w:val="6688694C"/>
    <w:rsid w:val="67112E9A"/>
    <w:rsid w:val="674548F2"/>
    <w:rsid w:val="67A410D5"/>
    <w:rsid w:val="67C9169A"/>
    <w:rsid w:val="68245589"/>
    <w:rsid w:val="685A72CC"/>
    <w:rsid w:val="68777DD2"/>
    <w:rsid w:val="69201173"/>
    <w:rsid w:val="693B7B9E"/>
    <w:rsid w:val="69456428"/>
    <w:rsid w:val="69983CE0"/>
    <w:rsid w:val="6A1C1694"/>
    <w:rsid w:val="6A211646"/>
    <w:rsid w:val="6A5103A2"/>
    <w:rsid w:val="6A5437CA"/>
    <w:rsid w:val="6A751DB0"/>
    <w:rsid w:val="6A793230"/>
    <w:rsid w:val="6AB95533"/>
    <w:rsid w:val="6AD95A7D"/>
    <w:rsid w:val="6AFC2F65"/>
    <w:rsid w:val="6B037E0E"/>
    <w:rsid w:val="6B3D425E"/>
    <w:rsid w:val="6BDE41BB"/>
    <w:rsid w:val="6C061F17"/>
    <w:rsid w:val="6C5462A8"/>
    <w:rsid w:val="6C917FD7"/>
    <w:rsid w:val="6D3769B4"/>
    <w:rsid w:val="6D865F2E"/>
    <w:rsid w:val="6D8B36BB"/>
    <w:rsid w:val="6E1F5E9D"/>
    <w:rsid w:val="6E3A2CD6"/>
    <w:rsid w:val="6FD20CED"/>
    <w:rsid w:val="706933FF"/>
    <w:rsid w:val="70741DD0"/>
    <w:rsid w:val="70FE1717"/>
    <w:rsid w:val="716B1D9A"/>
    <w:rsid w:val="717209D9"/>
    <w:rsid w:val="71BB7860"/>
    <w:rsid w:val="71D14DB4"/>
    <w:rsid w:val="71E573FD"/>
    <w:rsid w:val="71FD64F5"/>
    <w:rsid w:val="72440385"/>
    <w:rsid w:val="724D7835"/>
    <w:rsid w:val="72964253"/>
    <w:rsid w:val="732175E2"/>
    <w:rsid w:val="732D7AF6"/>
    <w:rsid w:val="73412411"/>
    <w:rsid w:val="73761484"/>
    <w:rsid w:val="73D239B1"/>
    <w:rsid w:val="743F3C99"/>
    <w:rsid w:val="74624D35"/>
    <w:rsid w:val="747131CA"/>
    <w:rsid w:val="74835482"/>
    <w:rsid w:val="74877DC7"/>
    <w:rsid w:val="74DE3EC5"/>
    <w:rsid w:val="755802CB"/>
    <w:rsid w:val="75890D8F"/>
    <w:rsid w:val="75B043EA"/>
    <w:rsid w:val="75FD499F"/>
    <w:rsid w:val="766F4755"/>
    <w:rsid w:val="76D90F68"/>
    <w:rsid w:val="7706409E"/>
    <w:rsid w:val="77C1540B"/>
    <w:rsid w:val="783E7320"/>
    <w:rsid w:val="78646D02"/>
    <w:rsid w:val="78CB19C0"/>
    <w:rsid w:val="78F35EFE"/>
    <w:rsid w:val="78FF5669"/>
    <w:rsid w:val="7918780F"/>
    <w:rsid w:val="793275BA"/>
    <w:rsid w:val="79366D92"/>
    <w:rsid w:val="7999345B"/>
    <w:rsid w:val="79A724F1"/>
    <w:rsid w:val="79B56B48"/>
    <w:rsid w:val="7A4B7878"/>
    <w:rsid w:val="7A6D100D"/>
    <w:rsid w:val="7A832911"/>
    <w:rsid w:val="7AD149C3"/>
    <w:rsid w:val="7BC736D0"/>
    <w:rsid w:val="7C5F16F8"/>
    <w:rsid w:val="7C9D3E10"/>
    <w:rsid w:val="7CAF2E48"/>
    <w:rsid w:val="7CB122FF"/>
    <w:rsid w:val="7CFC55FB"/>
    <w:rsid w:val="7CFD384D"/>
    <w:rsid w:val="7D796C4C"/>
    <w:rsid w:val="7D8B2F11"/>
    <w:rsid w:val="7DBA67DE"/>
    <w:rsid w:val="7DCA6A7D"/>
    <w:rsid w:val="7DEE3421"/>
    <w:rsid w:val="7DF53ACA"/>
    <w:rsid w:val="7E097FCF"/>
    <w:rsid w:val="7E53398F"/>
    <w:rsid w:val="7ED93E46"/>
    <w:rsid w:val="7F0E4C61"/>
    <w:rsid w:val="7F7F4C0B"/>
    <w:rsid w:val="7F89761A"/>
    <w:rsid w:val="7FD034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nhideWhenUsed="0" w:uiPriority="9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35"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4"/>
    <w:qFormat/>
    <w:uiPriority w:val="0"/>
    <w:pPr>
      <w:keepNext/>
      <w:keepLines/>
      <w:spacing w:before="260" w:after="260" w:line="416" w:lineRule="auto"/>
      <w:outlineLvl w:val="2"/>
    </w:pPr>
    <w:rPr>
      <w:b/>
      <w:bCs/>
      <w:sz w:val="32"/>
      <w:szCs w:val="32"/>
    </w:rPr>
  </w:style>
  <w:style w:type="paragraph" w:styleId="5">
    <w:name w:val="heading 5"/>
    <w:basedOn w:val="1"/>
    <w:next w:val="4"/>
    <w:qFormat/>
    <w:uiPriority w:val="99"/>
    <w:pPr>
      <w:keepNext/>
      <w:numPr>
        <w:ilvl w:val="0"/>
        <w:numId w:val="1"/>
      </w:numPr>
      <w:outlineLvl w:val="4"/>
    </w:pPr>
    <w:rPr>
      <w:rFonts w:ascii="楷体_GB2312" w:hAnsi="Times New Roman" w:eastAsia="楷体_GB2312"/>
      <w:bCs/>
      <w:kern w:val="0"/>
      <w:sz w:val="28"/>
      <w:szCs w:val="20"/>
    </w:rPr>
  </w:style>
  <w:style w:type="character" w:default="1" w:styleId="17">
    <w:name w:val="Default Paragraph Font"/>
    <w:autoRedefine/>
    <w:semiHidden/>
    <w:unhideWhenUsed/>
    <w:qFormat/>
    <w:uiPriority w:val="1"/>
  </w:style>
  <w:style w:type="table" w:default="1" w:styleId="15">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pPr>
  </w:style>
  <w:style w:type="paragraph" w:styleId="6">
    <w:name w:val="caption"/>
    <w:basedOn w:val="1"/>
    <w:semiHidden/>
    <w:unhideWhenUsed/>
    <w:qFormat/>
    <w:uiPriority w:val="35"/>
    <w:pPr>
      <w:spacing w:line="276" w:lineRule="auto"/>
    </w:pPr>
    <w:rPr>
      <w:b/>
      <w:bCs/>
      <w:color w:val="4F81BD"/>
      <w:sz w:val="18"/>
      <w:szCs w:val="18"/>
    </w:rPr>
  </w:style>
  <w:style w:type="paragraph" w:styleId="7">
    <w:name w:val="annotation text"/>
    <w:basedOn w:val="1"/>
    <w:autoRedefine/>
    <w:qFormat/>
    <w:uiPriority w:val="0"/>
    <w:pPr>
      <w:jc w:val="left"/>
    </w:pPr>
  </w:style>
  <w:style w:type="paragraph" w:styleId="8">
    <w:name w:val="Body Text"/>
    <w:basedOn w:val="1"/>
    <w:autoRedefine/>
    <w:unhideWhenUsed/>
    <w:qFormat/>
    <w:uiPriority w:val="0"/>
    <w:pPr>
      <w:spacing w:after="120"/>
    </w:pPr>
    <w:rPr>
      <w:rFonts w:ascii="Calibri" w:hAnsi="Calibri"/>
      <w:kern w:val="2"/>
      <w:szCs w:val="22"/>
    </w:rPr>
  </w:style>
  <w:style w:type="paragraph" w:styleId="9">
    <w:name w:val="index 4"/>
    <w:basedOn w:val="1"/>
    <w:next w:val="1"/>
    <w:qFormat/>
    <w:uiPriority w:val="99"/>
    <w:pPr>
      <w:ind w:left="600" w:leftChars="600"/>
    </w:pPr>
    <w:rPr>
      <w:szCs w:val="24"/>
    </w:rPr>
  </w:style>
  <w:style w:type="paragraph" w:styleId="10">
    <w:name w:val="Plain Text"/>
    <w:basedOn w:val="1"/>
    <w:autoRedefine/>
    <w:unhideWhenUsed/>
    <w:qFormat/>
    <w:uiPriority w:val="0"/>
    <w:rPr>
      <w:rFonts w:ascii="宋体" w:hAnsi="Courier New" w:cs="Courier New"/>
      <w:kern w:val="2"/>
      <w:szCs w:val="21"/>
    </w:rPr>
  </w:style>
  <w:style w:type="paragraph" w:styleId="11">
    <w:name w:val="footer"/>
    <w:basedOn w:val="1"/>
    <w:link w:val="21"/>
    <w:autoRedefine/>
    <w:qFormat/>
    <w:uiPriority w:val="0"/>
    <w:pPr>
      <w:tabs>
        <w:tab w:val="center" w:pos="4153"/>
        <w:tab w:val="right" w:pos="8306"/>
      </w:tabs>
      <w:snapToGrid w:val="0"/>
      <w:jc w:val="left"/>
    </w:pPr>
    <w:rPr>
      <w:sz w:val="18"/>
      <w:szCs w:val="18"/>
    </w:rPr>
  </w:style>
  <w:style w:type="paragraph" w:styleId="12">
    <w:name w:val="header"/>
    <w:basedOn w:val="1"/>
    <w:link w:val="20"/>
    <w:autoRedefine/>
    <w:qFormat/>
    <w:uiPriority w:val="0"/>
    <w:pPr>
      <w:pBdr>
        <w:bottom w:val="single" w:color="auto" w:sz="6" w:space="1"/>
      </w:pBdr>
      <w:tabs>
        <w:tab w:val="center" w:pos="4153"/>
        <w:tab w:val="right" w:pos="8306"/>
      </w:tabs>
      <w:snapToGrid w:val="0"/>
      <w:jc w:val="center"/>
    </w:pPr>
    <w:rPr>
      <w:sz w:val="18"/>
      <w:szCs w:val="18"/>
    </w:rPr>
  </w:style>
  <w:style w:type="paragraph" w:styleId="13">
    <w:name w:val="Normal (Web)"/>
    <w:basedOn w:val="1"/>
    <w:autoRedefine/>
    <w:qFormat/>
    <w:uiPriority w:val="0"/>
    <w:pPr>
      <w:spacing w:beforeAutospacing="1" w:afterAutospacing="1"/>
      <w:jc w:val="left"/>
    </w:pPr>
    <w:rPr>
      <w:rFonts w:cs="Times New Roman"/>
      <w:kern w:val="0"/>
      <w:sz w:val="24"/>
    </w:rPr>
  </w:style>
  <w:style w:type="paragraph" w:styleId="14">
    <w:name w:val="Body Text First Indent"/>
    <w:basedOn w:val="8"/>
    <w:qFormat/>
    <w:uiPriority w:val="0"/>
    <w:pPr>
      <w:ind w:firstLine="420" w:firstLineChars="100"/>
    </w:pPr>
  </w:style>
  <w:style w:type="table" w:styleId="16">
    <w:name w:val="Table Grid"/>
    <w:basedOn w:val="15"/>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8">
    <w:name w:val="Emphasis"/>
    <w:qFormat/>
    <w:uiPriority w:val="0"/>
    <w:rPr>
      <w:i/>
    </w:rPr>
  </w:style>
  <w:style w:type="paragraph" w:customStyle="1" w:styleId="19">
    <w:name w:val="Default"/>
    <w:basedOn w:val="1"/>
    <w:semiHidden/>
    <w:qFormat/>
    <w:uiPriority w:val="0"/>
    <w:pPr>
      <w:autoSpaceDE w:val="0"/>
      <w:autoSpaceDN w:val="0"/>
      <w:adjustRightInd w:val="0"/>
      <w:jc w:val="left"/>
    </w:pPr>
    <w:rPr>
      <w:rFonts w:ascii="宋体" w:hAnsi="Calibri" w:cs="宋体"/>
      <w:color w:val="000000"/>
      <w:kern w:val="0"/>
      <w:sz w:val="24"/>
    </w:rPr>
  </w:style>
  <w:style w:type="character" w:customStyle="1" w:styleId="20">
    <w:name w:val="页眉 Char"/>
    <w:basedOn w:val="17"/>
    <w:link w:val="12"/>
    <w:autoRedefine/>
    <w:qFormat/>
    <w:uiPriority w:val="0"/>
    <w:rPr>
      <w:rFonts w:asciiTheme="minorHAnsi" w:hAnsiTheme="minorHAnsi" w:eastAsiaTheme="minorEastAsia" w:cstheme="minorBidi"/>
      <w:kern w:val="2"/>
      <w:sz w:val="18"/>
      <w:szCs w:val="18"/>
    </w:rPr>
  </w:style>
  <w:style w:type="character" w:customStyle="1" w:styleId="21">
    <w:name w:val="页脚 Char"/>
    <w:basedOn w:val="17"/>
    <w:link w:val="11"/>
    <w:autoRedefine/>
    <w:qFormat/>
    <w:uiPriority w:val="0"/>
    <w:rPr>
      <w:rFonts w:asciiTheme="minorHAnsi" w:hAnsiTheme="minorHAnsi" w:eastAsiaTheme="minorEastAsia" w:cstheme="minorBidi"/>
      <w:kern w:val="2"/>
      <w:sz w:val="18"/>
      <w:szCs w:val="18"/>
    </w:rPr>
  </w:style>
  <w:style w:type="paragraph" w:customStyle="1" w:styleId="22">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23">
    <w:name w:val="页脚1"/>
    <w:basedOn w:val="1"/>
    <w:autoRedefine/>
    <w:unhideWhenUsed/>
    <w:qFormat/>
    <w:uiPriority w:val="99"/>
    <w:pPr>
      <w:tabs>
        <w:tab w:val="center" w:pos="4153"/>
        <w:tab w:val="right" w:pos="8306"/>
      </w:tabs>
      <w:jc w:val="left"/>
    </w:pPr>
    <w:rPr>
      <w:sz w:val="18"/>
      <w:szCs w:val="18"/>
    </w:rPr>
  </w:style>
  <w:style w:type="paragraph" w:customStyle="1" w:styleId="24">
    <w:name w:val="普通正文"/>
    <w:basedOn w:val="1"/>
    <w:autoRedefine/>
    <w:qFormat/>
    <w:uiPriority w:val="0"/>
    <w:pPr>
      <w:adjustRightInd w:val="0"/>
      <w:spacing w:before="120" w:after="120" w:line="360" w:lineRule="auto"/>
      <w:ind w:firstLine="480"/>
      <w:jc w:val="left"/>
    </w:pPr>
    <w:rPr>
      <w:rFonts w:ascii="Arial" w:hAnsi="Arial" w:eastAsia="等线" w:cs="Arial"/>
      <w:sz w:val="24"/>
      <w:szCs w:val="24"/>
    </w:rPr>
  </w:style>
  <w:style w:type="paragraph" w:customStyle="1" w:styleId="25">
    <w:name w:val="正文首行缩进 21"/>
    <w:basedOn w:val="26"/>
    <w:qFormat/>
    <w:uiPriority w:val="0"/>
    <w:pPr>
      <w:ind w:firstLine="420"/>
    </w:pPr>
  </w:style>
  <w:style w:type="paragraph" w:customStyle="1" w:styleId="26">
    <w:name w:val="正文文本缩进1"/>
    <w:basedOn w:val="1"/>
    <w:qFormat/>
    <w:uiPriority w:val="0"/>
    <w:pPr>
      <w:spacing w:after="120"/>
      <w:ind w:left="420"/>
    </w:pPr>
  </w:style>
  <w:style w:type="character" w:customStyle="1" w:styleId="27">
    <w:name w:val="NormalCharacter"/>
    <w:semiHidden/>
    <w:qFormat/>
    <w:uiPriority w:val="0"/>
  </w:style>
  <w:style w:type="paragraph" w:customStyle="1" w:styleId="28">
    <w:name w:val="Table Text"/>
    <w:basedOn w:val="1"/>
    <w:semiHidden/>
    <w:qFormat/>
    <w:uiPriority w:val="0"/>
    <w:rPr>
      <w:rFonts w:ascii="宋体" w:hAnsi="宋体" w:eastAsia="宋体" w:cs="宋体"/>
      <w:sz w:val="20"/>
      <w:szCs w:val="20"/>
      <w:lang w:val="en-US" w:eastAsia="en-US" w:bidi="ar-SA"/>
    </w:rPr>
  </w:style>
  <w:style w:type="table" w:customStyle="1" w:styleId="29">
    <w:name w:val="Table Normal"/>
    <w:semiHidden/>
    <w:unhideWhenUsed/>
    <w:qFormat/>
    <w:uiPriority w:val="0"/>
    <w:tblPr>
      <w:tblCellMar>
        <w:top w:w="0" w:type="dxa"/>
        <w:left w:w="0" w:type="dxa"/>
        <w:bottom w:w="0" w:type="dxa"/>
        <w:right w:w="0" w:type="dxa"/>
      </w:tblCellMar>
    </w:tblPr>
  </w:style>
  <w:style w:type="paragraph" w:styleId="30">
    <w:name w:val="No Spacing"/>
    <w:qFormat/>
    <w:uiPriority w:val="1"/>
    <w:pPr>
      <w:widowControl w:val="0"/>
      <w:jc w:val="center"/>
    </w:pPr>
    <w:rPr>
      <w:rFonts w:ascii="Times New Roman" w:hAnsi="Times New Roman" w:eastAsia="宋体" w:cs="Times New Roman"/>
      <w:kern w:val="2"/>
      <w:sz w:val="21"/>
      <w:lang w:val="en-US" w:eastAsia="zh-CN" w:bidi="ar-SA"/>
    </w:rPr>
  </w:style>
  <w:style w:type="paragraph" w:customStyle="1" w:styleId="31">
    <w:name w:val="Fließtext"/>
    <w:basedOn w:val="1"/>
    <w:qFormat/>
    <w:uiPriority w:val="0"/>
    <w:rPr>
      <w:szCs w:val="20"/>
    </w:rPr>
  </w:style>
  <w:style w:type="paragraph" w:styleId="32">
    <w:name w:val="List Paragraph"/>
    <w:basedOn w:val="1"/>
    <w:qFormat/>
    <w:uiPriority w:val="0"/>
    <w:pPr>
      <w:ind w:firstLine="420" w:firstLineChars="200"/>
    </w:pPr>
    <w:rPr>
      <w:rFonts w:ascii="Calibri" w:hAnsi="Calibri" w:eastAsia="宋体" w:cs="Times New Roman"/>
      <w:szCs w:val="22"/>
    </w:rPr>
  </w:style>
  <w:style w:type="paragraph" w:customStyle="1" w:styleId="33">
    <w:name w:val="目录 11"/>
    <w:basedOn w:val="34"/>
    <w:next w:val="36"/>
    <w:qFormat/>
    <w:uiPriority w:val="0"/>
    <w:pPr>
      <w:widowControl/>
      <w:spacing w:before="120" w:after="120"/>
    </w:pPr>
    <w:rPr>
      <w:rFonts w:ascii="Calibri" w:cs="Calibri"/>
      <w:b/>
      <w:bCs/>
      <w:caps/>
      <w:sz w:val="20"/>
    </w:rPr>
  </w:style>
  <w:style w:type="paragraph" w:customStyle="1" w:styleId="34">
    <w:name w:val="正文12"/>
    <w:next w:val="35"/>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5">
    <w:name w:val="文本块11"/>
    <w:basedOn w:val="1"/>
    <w:qFormat/>
    <w:uiPriority w:val="0"/>
    <w:pPr>
      <w:spacing w:after="120"/>
      <w:ind w:left="1440" w:right="1440"/>
    </w:pPr>
    <w:rPr>
      <w:rFonts w:ascii="Calibri" w:hAnsi="Calibri"/>
    </w:rPr>
  </w:style>
  <w:style w:type="paragraph" w:customStyle="1" w:styleId="36">
    <w:name w:val="正文11"/>
    <w:next w:val="33"/>
    <w:qFormat/>
    <w:uiPriority w:val="0"/>
    <w:pPr>
      <w:jc w:val="both"/>
    </w:pPr>
    <w:rPr>
      <w:rFonts w:hint="default" w:ascii="Times New Roman" w:hAnsi="Times New Roman" w:eastAsia="宋体" w:cs="Times New Roman"/>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Kingsoft</Company>
  <Pages>88</Pages>
  <Words>15936</Words>
  <Characters>16998</Characters>
  <Lines>183</Lines>
  <Paragraphs>51</Paragraphs>
  <TotalTime>96</TotalTime>
  <ScaleCrop>false</ScaleCrop>
  <LinksUpToDate>false</LinksUpToDate>
  <CharactersWithSpaces>17933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WPS_1691547166</cp:lastModifiedBy>
  <dcterms:modified xsi:type="dcterms:W3CDTF">2026-07-09T08:02:44Z</dcterms:modified>
  <cp:revision>119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EA54F748A14A4307B74B273633C984FC_13</vt:lpwstr>
  </property>
  <property fmtid="{D5CDD505-2E9C-101B-9397-08002B2CF9AE}" pid="4" name="KSOTemplateDocerSaveRecord">
    <vt:lpwstr>eyJoZGlkIjoiZThjMTNiYmMyNjYzZjg4YTJmYjhlOTViYjEzZDViODAiLCJ1c2VySWQiOiIxNTIwMjU0MTk4In0=</vt:lpwstr>
  </property>
</Properties>
</file>