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6"/>
          <w:szCs w:val="36"/>
          <w:highlight w:val="none"/>
        </w:rPr>
      </w:pPr>
      <w:r>
        <w:rPr>
          <w:b/>
          <w:color w:val="auto"/>
          <w:sz w:val="36"/>
          <w:szCs w:val="36"/>
          <w:highlight w:val="none"/>
        </w:rPr>
      </w:r>
      <w:r/>
    </w:p>
    <w:p>
      <w:pPr>
        <w:pStyle w:val="876"/>
        <w:ind w:firstLine="0"/>
        <w:jc w:val="center"/>
        <w:spacing w:line="240" w:lineRule="auto"/>
        <w:rPr>
          <w:rFonts w:ascii="方正小标宋简体" w:eastAsia="方正小标宋简体"/>
          <w:b/>
          <w:color w:val="auto"/>
          <w:sz w:val="52"/>
          <w:szCs w:val="52"/>
          <w:highlight w:val="none"/>
        </w:rPr>
      </w:pPr>
      <w:r>
        <w:rPr>
          <w:rFonts w:hint="eastAsia" w:ascii="方正小标宋简体" w:eastAsia="方正小标宋简体"/>
          <w:b/>
          <w:color w:val="auto"/>
          <w:sz w:val="52"/>
          <w:szCs w:val="52"/>
          <w:highlight w:val="none"/>
        </w:rPr>
        <w:t xml:space="preserve">如皋市政府采购公开招标文件</w:t>
      </w:r>
      <w:r/>
    </w:p>
    <w:p>
      <w:pPr>
        <w:pStyle w:val="876"/>
        <w:ind w:firstLine="0"/>
        <w:jc w:val="center"/>
        <w:spacing w:line="240" w:lineRule="auto"/>
        <w:rPr>
          <w:rFonts w:ascii="方正小标宋简体" w:eastAsia="方正小标宋简体"/>
          <w:b/>
          <w:color w:val="auto"/>
          <w:sz w:val="44"/>
          <w:szCs w:val="44"/>
          <w:highlight w:val="none"/>
        </w:rPr>
      </w:pPr>
      <w:r>
        <w:rPr>
          <w:rFonts w:ascii="方正小标宋简体" w:eastAsia="方正小标宋简体"/>
          <w:b/>
          <w:color w:val="auto"/>
          <w:sz w:val="44"/>
          <w:szCs w:val="44"/>
          <w:highlight w:val="none"/>
        </w:rPr>
      </w:r>
      <w:r/>
    </w:p>
    <w:p>
      <w:pPr>
        <w:pStyle w:val="876"/>
        <w:ind w:firstLine="0"/>
        <w:jc w:val="center"/>
        <w:spacing w:line="240" w:lineRule="auto"/>
        <w:rPr>
          <w:rFonts w:ascii="方正小标宋简体" w:eastAsia="方正小标宋简体"/>
          <w:b/>
          <w:color w:val="auto"/>
          <w:sz w:val="44"/>
          <w:szCs w:val="44"/>
          <w:highlight w:val="none"/>
        </w:rPr>
      </w:pPr>
      <w:r>
        <w:rPr>
          <w:rFonts w:ascii="方正小标宋简体" w:eastAsia="方正小标宋简体"/>
          <w:b/>
          <w:color w:val="auto"/>
          <w:sz w:val="44"/>
          <w:szCs w:val="44"/>
          <w:highlight w:val="none"/>
        </w:rPr>
      </w:r>
      <w:r/>
    </w:p>
    <w:p>
      <w:pPr>
        <w:pStyle w:val="876"/>
        <w:ind w:left="0" w:firstLine="0"/>
        <w:jc w:val="center"/>
        <w:spacing w:line="240" w:lineRule="auto"/>
        <w:rPr>
          <w:rFonts w:hint="eastAsia" w:eastAsia="宋体"/>
          <w:b/>
          <w:bCs w:val="0"/>
          <w:color w:val="auto"/>
          <w:sz w:val="32"/>
          <w:highlight w:val="none"/>
          <w:u w:val="none"/>
          <w:lang w:eastAsia="zh-CN"/>
        </w:rPr>
      </w:pPr>
      <w:r>
        <w:rPr>
          <w:b/>
          <w:bCs w:val="0"/>
          <w:color w:val="auto"/>
          <w:sz w:val="32"/>
          <w:highlight w:val="none"/>
          <w:u w:val="none"/>
        </w:rPr>
        <w:t xml:space="preserve">项目名称：</w:t>
      </w:r>
      <w:r>
        <w:rPr>
          <w:rFonts w:hint="eastAsia"/>
          <w:b/>
          <w:bCs w:val="0"/>
          <w:color w:val="auto"/>
          <w:sz w:val="32"/>
          <w:highlight w:val="none"/>
          <w:u w:val="none"/>
          <w:lang w:eastAsia="zh-CN"/>
        </w:rPr>
        <w:t xml:space="preserve">如皋市水源地水质自动监测监控预警能</w:t>
      </w:r>
      <w:bookmarkStart w:id="112" w:name="_GoBack"/>
      <w:r/>
      <w:bookmarkEnd w:id="112"/>
      <w:r>
        <w:rPr>
          <w:rFonts w:hint="eastAsia"/>
          <w:b/>
          <w:bCs w:val="0"/>
          <w:color w:val="auto"/>
          <w:sz w:val="32"/>
          <w:highlight w:val="none"/>
          <w:u w:val="none"/>
          <w:lang w:eastAsia="zh-CN"/>
        </w:rPr>
        <w:t xml:space="preserve">力提升建设项目（采购包2）</w:t>
      </w:r>
      <w:r/>
    </w:p>
    <w:p>
      <w:pPr>
        <w:pStyle w:val="876"/>
        <w:ind w:left="0" w:firstLine="0"/>
        <w:jc w:val="center"/>
        <w:spacing w:line="240" w:lineRule="auto"/>
        <w:rPr>
          <w:rFonts w:hint="eastAsia" w:eastAsia="宋体"/>
          <w:b/>
          <w:bCs w:val="0"/>
          <w:color w:val="auto"/>
          <w:sz w:val="32"/>
          <w:highlight w:val="none"/>
          <w:u w:val="none"/>
          <w:lang w:eastAsia="zh-CN"/>
        </w:rPr>
      </w:pPr>
      <w:r>
        <w:rPr>
          <w:rFonts w:hint="eastAsia"/>
          <w:b/>
          <w:bCs w:val="0"/>
          <w:color w:val="auto"/>
          <w:sz w:val="32"/>
          <w:highlight w:val="none"/>
          <w:u w:val="none"/>
        </w:rPr>
        <w:t xml:space="preserve">项目编号：</w:t>
      </w:r>
      <w:r>
        <w:rPr>
          <w:rFonts w:hint="eastAsia"/>
          <w:b/>
          <w:bCs w:val="0"/>
          <w:color w:val="auto"/>
          <w:sz w:val="32"/>
          <w:highlight w:val="none"/>
          <w:u w:val="none"/>
          <w:lang w:eastAsia="zh-CN"/>
        </w:rPr>
        <w:t xml:space="preserve">JSZC-320682-NTZJ-G2026-0020</w:t>
      </w:r>
      <w:r/>
    </w:p>
    <w:p>
      <w:pPr>
        <w:pStyle w:val="876"/>
        <w:ind w:firstLine="0"/>
        <w:jc w:val="center"/>
        <w:spacing w:line="240" w:lineRule="auto"/>
        <w:rPr>
          <w:b/>
          <w:color w:val="auto"/>
          <w:sz w:val="32"/>
          <w:highlight w:val="none"/>
        </w:rPr>
      </w:pPr>
      <w:r>
        <w:rPr>
          <w:b/>
          <w:color w:val="auto"/>
          <w:sz w:val="32"/>
          <w:highlight w:val="none"/>
        </w:rPr>
      </w:r>
      <w:r/>
    </w:p>
    <w:p>
      <w:pPr>
        <w:pStyle w:val="876"/>
        <w:ind w:firstLine="0"/>
        <w:jc w:val="center"/>
        <w:spacing w:line="240" w:lineRule="auto"/>
        <w:rPr>
          <w:b/>
          <w:color w:val="auto"/>
          <w:sz w:val="32"/>
          <w:highlight w:val="none"/>
        </w:rPr>
      </w:pPr>
      <w:r>
        <w:rPr>
          <w:b/>
          <w:color w:val="auto"/>
          <w:sz w:val="32"/>
          <w:highlight w:val="none"/>
        </w:rPr>
      </w:r>
      <w:r/>
    </w:p>
    <w:p>
      <w:pPr>
        <w:pStyle w:val="876"/>
        <w:ind w:firstLine="0"/>
        <w:jc w:val="center"/>
        <w:spacing w:line="240" w:lineRule="auto"/>
        <w:rPr>
          <w:b/>
          <w:color w:val="auto"/>
          <w:sz w:val="32"/>
          <w:highlight w:val="none"/>
        </w:rPr>
      </w:pPr>
      <w:r>
        <w:rPr>
          <w:b/>
          <w:color w:val="auto"/>
          <w:sz w:val="32"/>
          <w:highlight w:val="none"/>
        </w:rPr>
      </w:r>
      <w:r/>
    </w:p>
    <w:p>
      <w:pPr>
        <w:pStyle w:val="876"/>
        <w:ind w:firstLine="0"/>
        <w:jc w:val="center"/>
        <w:spacing w:line="240" w:lineRule="auto"/>
        <w:rPr>
          <w:b/>
          <w:color w:val="auto"/>
          <w:sz w:val="32"/>
          <w:highlight w:val="none"/>
        </w:rPr>
      </w:pPr>
      <w:r>
        <w:rPr>
          <w:b/>
          <w:color w:val="auto"/>
          <w:sz w:val="32"/>
          <w:highlight w:val="none"/>
        </w:rPr>
      </w:r>
      <w:r/>
    </w:p>
    <w:p>
      <w:pPr>
        <w:pStyle w:val="876"/>
        <w:ind w:firstLine="0"/>
        <w:jc w:val="center"/>
        <w:spacing w:line="240" w:lineRule="auto"/>
        <w:rPr>
          <w:b/>
          <w:color w:val="auto"/>
          <w:sz w:val="32"/>
          <w:highlight w:val="none"/>
        </w:rPr>
      </w:pPr>
      <w:r>
        <w:rPr>
          <w:b/>
          <w:color w:val="auto"/>
          <w:sz w:val="32"/>
          <w:highlight w:val="none"/>
        </w:rPr>
      </w:r>
      <w:r/>
    </w:p>
    <w:p>
      <w:pPr>
        <w:pStyle w:val="876"/>
        <w:ind w:firstLine="0"/>
        <w:jc w:val="center"/>
        <w:spacing w:line="240" w:lineRule="auto"/>
        <w:rPr>
          <w:b/>
          <w:color w:val="auto"/>
          <w:sz w:val="32"/>
          <w:highlight w:val="none"/>
        </w:rPr>
      </w:pPr>
      <w:r>
        <w:rPr>
          <w:b/>
          <w:color w:val="auto"/>
          <w:sz w:val="32"/>
          <w:highlight w:val="none"/>
        </w:rPr>
      </w:r>
      <w:r/>
    </w:p>
    <w:p>
      <w:pPr>
        <w:pStyle w:val="876"/>
        <w:ind w:firstLine="0"/>
        <w:jc w:val="center"/>
        <w:spacing w:line="240" w:lineRule="auto"/>
        <w:rPr>
          <w:b/>
          <w:color w:val="auto"/>
          <w:sz w:val="32"/>
          <w:highlight w:val="none"/>
        </w:rPr>
      </w:pPr>
      <w:r>
        <w:rPr>
          <w:b/>
          <w:color w:val="auto"/>
          <w:sz w:val="32"/>
          <w:highlight w:val="none"/>
        </w:rPr>
      </w:r>
      <w:r/>
    </w:p>
    <w:p>
      <w:pPr>
        <w:pStyle w:val="876"/>
        <w:ind w:firstLine="993"/>
        <w:spacing w:line="240" w:lineRule="auto"/>
        <w:rPr>
          <w:b/>
          <w:color w:val="auto"/>
          <w:sz w:val="32"/>
          <w:highlight w:val="none"/>
          <w:u w:val="single"/>
        </w:rPr>
      </w:pPr>
      <w:r>
        <w:rPr>
          <w:rFonts w:hint="eastAsia"/>
          <w:b/>
          <w:color w:val="auto"/>
          <w:sz w:val="32"/>
          <w:highlight w:val="none"/>
        </w:rPr>
        <w:t xml:space="preserve">采购人名称：南通市如皋生态环境局</w:t>
      </w:r>
      <w:r/>
    </w:p>
    <w:p>
      <w:pPr>
        <w:pStyle w:val="876"/>
        <w:ind w:firstLine="993"/>
        <w:spacing w:line="240" w:lineRule="auto"/>
        <w:rPr>
          <w:b/>
          <w:color w:val="auto"/>
          <w:sz w:val="32"/>
          <w:highlight w:val="none"/>
        </w:rPr>
      </w:pPr>
      <w:r>
        <w:rPr>
          <w:rFonts w:hint="eastAsia"/>
          <w:b/>
          <w:color w:val="auto"/>
          <w:sz w:val="32"/>
          <w:highlight w:val="none"/>
        </w:rPr>
        <w:t xml:space="preserve">采购代理机构名称：南通中江工程项目管理有限公司</w:t>
      </w:r>
      <w:r/>
    </w:p>
    <w:p>
      <w:pPr>
        <w:pStyle w:val="876"/>
        <w:ind w:firstLine="0"/>
        <w:jc w:val="center"/>
        <w:spacing w:line="240" w:lineRule="auto"/>
        <w:rPr>
          <w:b/>
          <w:color w:val="auto"/>
          <w:sz w:val="32"/>
          <w:highlight w:val="none"/>
        </w:rPr>
      </w:pPr>
      <w:r>
        <w:rPr>
          <w:rFonts w:hint="eastAsia"/>
          <w:b/>
          <w:color w:val="auto"/>
          <w:sz w:val="32"/>
          <w:highlight w:val="none"/>
        </w:rPr>
        <w:t xml:space="preserve">2026年</w:t>
      </w:r>
      <w:r>
        <w:rPr>
          <w:rFonts w:hint="eastAsia"/>
          <w:b/>
          <w:color w:val="auto"/>
          <w:sz w:val="32"/>
          <w:highlight w:val="none"/>
          <w:lang w:val="en-US" w:eastAsia="zh-CN"/>
        </w:rPr>
        <w:t xml:space="preserve">7</w:t>
      </w:r>
      <w:r>
        <w:rPr>
          <w:rFonts w:hint="eastAsia"/>
          <w:b/>
          <w:color w:val="auto"/>
          <w:sz w:val="32"/>
          <w:highlight w:val="none"/>
        </w:rPr>
        <w:t xml:space="preserve">月</w:t>
      </w:r>
      <w:r>
        <w:rPr>
          <w:rFonts w:hint="eastAsia"/>
          <w:b/>
          <w:color w:val="auto"/>
          <w:sz w:val="32"/>
          <w:highlight w:val="none"/>
          <w:lang w:val="en-US" w:eastAsia="zh-CN"/>
        </w:rPr>
        <w:t xml:space="preserve">30</w:t>
      </w:r>
      <w:r>
        <w:rPr>
          <w:rFonts w:hint="eastAsia"/>
          <w:b/>
          <w:color w:val="auto"/>
          <w:sz w:val="32"/>
          <w:highlight w:val="none"/>
        </w:rPr>
        <w:t xml:space="preserve">日</w:t>
      </w:r>
      <w:r/>
    </w:p>
    <w:p>
      <w:pPr>
        <w:rPr>
          <w:b/>
          <w:color w:val="auto"/>
          <w:sz w:val="32"/>
          <w:highlight w:val="none"/>
        </w:rPr>
      </w:pPr>
      <w:r>
        <w:rPr>
          <w:b/>
          <w:color w:val="auto"/>
          <w:sz w:val="32"/>
          <w:highlight w:val="none"/>
        </w:rPr>
        <w:br w:type="page" w:clear="all"/>
      </w:r>
      <w:r/>
    </w:p>
    <w:sdt>
      <w:sdtPr>
        <w15:appearance w15:val="boundingBox"/>
        <w:id w:val="147458904"/>
        <w:docPartObj>
          <w:docPartGallery w:val="Table of Contents"/>
          <w:docPartUnique w:val="true"/>
        </w:docPartObj>
        <w:rPr>
          <w:rFonts w:ascii="宋体" w:hAnsi="宋体"/>
          <w:b/>
          <w:color w:val="auto"/>
          <w:highlight w:val="none"/>
        </w:rPr>
      </w:sdtPr>
      <w:sdtContent>
        <w:p>
          <w:pPr>
            <w:jc w:val="center"/>
            <w:keepLines w:val="0"/>
            <w:keepNext w:val="0"/>
            <w:pageBreakBefore w:val="0"/>
            <w:spacing w:line="500" w:lineRule="exact"/>
            <w:widowControl w:val="off"/>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目录</w:t>
          </w:r>
          <w:r/>
        </w:p>
        <w:p>
          <w:pPr>
            <w:pStyle w:val="69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b/>
              <w:color w:val="auto"/>
              <w:sz w:val="24"/>
              <w:szCs w:val="24"/>
              <w:highlight w:val="none"/>
            </w:rPr>
            <w:fldChar w:fldCharType="begin"/>
          </w:r>
          <w:r>
            <w:rPr>
              <w:rFonts w:hint="eastAsia" w:ascii="黑体" w:hAnsi="黑体" w:eastAsia="黑体" w:cs="黑体"/>
              <w:b/>
              <w:color w:val="auto"/>
              <w:sz w:val="24"/>
              <w:szCs w:val="24"/>
              <w:highlight w:val="none"/>
            </w:rPr>
            <w:instrText xml:space="preserve">TOC \o "1-2" \h \u </w:instrText>
          </w:r>
          <w:r>
            <w:rPr>
              <w:rFonts w:hint="eastAsia" w:ascii="黑体" w:hAnsi="黑体" w:eastAsia="黑体" w:cs="黑体"/>
              <w:b/>
              <w:color w:val="auto"/>
              <w:sz w:val="24"/>
              <w:szCs w:val="24"/>
              <w:highlight w:val="none"/>
            </w:rPr>
            <w:fldChar w:fldCharType="separate"/>
          </w: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_Toc3604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第1章 公开招标公告</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_Toc3604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_Toc4649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_Toc4649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_Toc10465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二、投标人的资格要求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_Toc10465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_Toc4097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三、获取公开招标文件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_Toc4097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_Toc23603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四、提交投标文件截止时间、开标时间和地点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_Toc23603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_Toc10393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_Toc10393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_Toc20326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_Toc20326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_Toc6706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七、凡对本次采购提出询问，请按以下方式联系。</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_Toc6706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69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_Toc4774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第2章 投标须知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_Toc4774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_Toc7026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1. 投标费用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_Toc7026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_Toc29826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2. 招标文件的约束力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_Toc29826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_Toc28971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3.投标文件编制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_Toc28971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_Toc32024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4. 投标文件提交、撤回和修改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_Toc32024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_Toc18244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5. 开标和评标</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_Toc18244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7</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_Toc980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6. 中标和合同</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_Toc980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_Toc3613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7.政府采购政策功能落实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_Toc3613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_Toc15303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8.无效投标和招标活动终止</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_Toc15303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16</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_Toc26597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9. 询问、质疑和投诉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_Toc26597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17</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_Toc13353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10. 政府采购合同信用融资扶持政策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_Toc13353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21</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_Toc19890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11. 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_Toc19890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21</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_Toc30087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12.其他事项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_Toc30087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22</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69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_Toc4710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第3章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_Toc4710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24</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_Toc27040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一、项目简介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_Toc27040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24</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_Toc22943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二、采购内容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_Toc22943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24</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_Toc27402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三、技术要求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_Toc27402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24</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_Toc2885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四、质量保证</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_Toc2885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32</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_Toc781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五、交货期限和地点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_Toc781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_Toc20601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六、验收方案</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_Toc20601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_Toc20318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七、质量保证期限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_Toc20318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34</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_Toc19684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八、售后服务</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_Toc19684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34</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_Toc5788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九、付款方式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_Toc5788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34</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_Toc8137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十、其他要求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_Toc8137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69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_Toc2487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第4章 合同文本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_Toc2487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37</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69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_Toc21050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第5章 评标标准和方法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_Toc21050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40</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697"/>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_Toc25015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第6章 投标文件组成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_Toc25015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44</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_Toc17506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一、开标一览表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_Toc17506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45</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_Toc17519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二、资格证明文件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_Toc17519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46</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_Toc31177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三、商务技术文件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_Toc31177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53</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pStyle w:val="704"/>
            <w:keepLines w:val="0"/>
            <w:keepNext w:val="0"/>
            <w:pageBreakBefore w:val="0"/>
            <w:spacing w:line="500" w:lineRule="exact"/>
            <w:widowControl w:val="off"/>
            <w:tabs>
              <w:tab w:val="right" w:pos="9354" w:leader="dot"/>
            </w:tabs>
            <w:rPr>
              <w:rFonts w:hint="eastAsia" w:ascii="黑体" w:hAnsi="黑体" w:eastAsia="黑体" w:cs="黑体"/>
              <w:sz w:val="24"/>
              <w:szCs w:val="24"/>
            </w:rPr>
          </w:pPr>
          <w:r>
            <w:rPr>
              <w:rFonts w:hint="eastAsia" w:ascii="黑体" w:hAnsi="黑体" w:eastAsia="黑体" w:cs="黑体"/>
              <w:color w:val="auto"/>
              <w:sz w:val="24"/>
              <w:szCs w:val="24"/>
              <w:highlight w:val="none"/>
            </w:rPr>
            <w:fldChar w:fldCharType="begin"/>
          </w:r>
          <w:r>
            <w:rPr>
              <w:rFonts w:hint="eastAsia" w:ascii="黑体" w:hAnsi="黑体" w:eastAsia="黑体" w:cs="黑体"/>
              <w:sz w:val="24"/>
              <w:szCs w:val="24"/>
              <w:highlight w:val="none"/>
            </w:rPr>
            <w:instrText xml:space="preserve"> HYPERLINK \l _Toc28713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四、报价文件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_Toc28713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69</w:t>
          </w:r>
          <w:r>
            <w:rPr>
              <w:rFonts w:hint="eastAsia" w:ascii="黑体" w:hAnsi="黑体" w:eastAsia="黑体" w:cs="黑体"/>
              <w:sz w:val="24"/>
              <w:szCs w:val="24"/>
            </w:rPr>
            <w:fldChar w:fldCharType="end"/>
          </w:r>
          <w:r>
            <w:rPr>
              <w:rFonts w:hint="eastAsia" w:ascii="黑体" w:hAnsi="黑体" w:eastAsia="黑体" w:cs="黑体"/>
              <w:color w:val="auto"/>
              <w:sz w:val="24"/>
              <w:szCs w:val="24"/>
              <w:highlight w:val="none"/>
            </w:rPr>
            <w:fldChar w:fldCharType="end"/>
          </w:r>
          <w:r/>
        </w:p>
        <w:p>
          <w:pPr>
            <w:keepLines w:val="0"/>
            <w:keepNext w:val="0"/>
            <w:pageBreakBefore w:val="0"/>
            <w:spacing w:line="500" w:lineRule="exact"/>
            <w:widowControl w:val="off"/>
            <w:rPr>
              <w:rFonts w:hint="eastAsia" w:ascii="黑体" w:hAnsi="黑体" w:eastAsia="黑体" w:cs="黑体"/>
              <w:b/>
              <w:color w:val="auto"/>
              <w:sz w:val="24"/>
              <w:szCs w:val="24"/>
              <w:highlight w:val="none"/>
            </w:rPr>
          </w:pPr>
          <w:r>
            <w:rPr>
              <w:rFonts w:hint="eastAsia" w:ascii="黑体" w:hAnsi="黑体" w:eastAsia="黑体" w:cs="黑体"/>
              <w:color w:val="auto"/>
              <w:sz w:val="24"/>
              <w:szCs w:val="24"/>
              <w:highlight w:val="none"/>
            </w:rPr>
            <w:fldChar w:fldCharType="end"/>
          </w:r>
          <w:r/>
        </w:p>
      </w:sdtContent>
    </w:sdt>
    <w:p>
      <w:pPr>
        <w:spacing w:line="360" w:lineRule="auto"/>
        <w:rPr>
          <w:rFonts w:ascii="黑体" w:hAnsi="黑体" w:eastAsia="黑体" w:cs="黑体"/>
          <w:b/>
          <w:color w:val="auto"/>
          <w:sz w:val="24"/>
          <w:highlight w:val="none"/>
        </w:rPr>
      </w:pPr>
      <w:r>
        <w:rPr>
          <w:rFonts w:ascii="黑体" w:hAnsi="黑体" w:eastAsia="黑体" w:cs="黑体"/>
          <w:b/>
          <w:color w:val="auto"/>
          <w:sz w:val="24"/>
          <w:highlight w:val="none"/>
        </w:rPr>
      </w:r>
      <w:r/>
    </w:p>
    <w:p>
      <w:pPr>
        <w:pStyle w:val="876"/>
        <w:ind w:firstLine="0"/>
        <w:jc w:val="center"/>
        <w:spacing w:line="240" w:lineRule="auto"/>
        <w:rPr>
          <w:rFonts w:hint="eastAsia" w:ascii="方正小标宋简体" w:eastAsia="方正小标宋简体"/>
          <w:b/>
          <w:color w:val="auto"/>
          <w:sz w:val="32"/>
          <w:szCs w:val="32"/>
          <w:highlight w:val="none"/>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outlineLvl w:val="0"/>
      </w:pPr>
      <w:r>
        <w:rPr>
          <w:rFonts w:hint="eastAsia" w:ascii="方正小标宋简体" w:eastAsia="方正小标宋简体"/>
          <w:b/>
          <w:color w:val="auto"/>
          <w:sz w:val="32"/>
          <w:szCs w:val="32"/>
          <w:highlight w:val="none"/>
        </w:rPr>
      </w:r>
      <w:r/>
    </w:p>
    <w:p>
      <w:pPr>
        <w:pStyle w:val="876"/>
        <w:ind w:firstLine="0"/>
        <w:jc w:val="center"/>
        <w:spacing w:line="240" w:lineRule="auto"/>
        <w:rPr>
          <w:rFonts w:ascii="方正小标宋简体" w:eastAsia="方正小标宋简体"/>
          <w:b/>
          <w:color w:val="auto"/>
          <w:sz w:val="32"/>
          <w:szCs w:val="32"/>
          <w:highlight w:val="none"/>
        </w:rPr>
        <w:outlineLvl w:val="0"/>
      </w:pPr>
      <w:r/>
      <w:bookmarkStart w:id="0" w:name="_Toc3604"/>
      <w:r>
        <w:rPr>
          <w:rFonts w:hint="eastAsia" w:ascii="方正小标宋简体" w:eastAsia="方正小标宋简体"/>
          <w:b/>
          <w:color w:val="auto"/>
          <w:sz w:val="32"/>
          <w:szCs w:val="32"/>
          <w:highlight w:val="none"/>
        </w:rPr>
        <w:t xml:space="preserve">第1章 公开招标公告</w:t>
      </w:r>
      <w:bookmarkEnd w:id="0"/>
      <w:r/>
      <w:r/>
    </w:p>
    <w:p>
      <w:pPr>
        <w:pStyle w:val="689"/>
        <w:ind w:firstLine="562"/>
        <w:spacing w:after="0" w:line="500" w:lineRule="exact"/>
        <w:rPr>
          <w:rFonts w:ascii="黑体" w:hAnsi="黑体" w:eastAsia="黑体"/>
          <w:b/>
          <w:color w:val="auto"/>
          <w:sz w:val="28"/>
          <w:szCs w:val="28"/>
          <w:highlight w:val="none"/>
        </w:rPr>
        <w:outlineLvl w:val="1"/>
      </w:pPr>
      <w:r/>
      <w:bookmarkStart w:id="1" w:name="_Toc28359089"/>
      <w:r/>
      <w:bookmarkStart w:id="2" w:name="_Toc35393798"/>
      <w:r/>
      <w:bookmarkStart w:id="3" w:name="_Toc28359012"/>
      <w:r/>
      <w:bookmarkStart w:id="4" w:name="_Toc35393629"/>
      <w:r/>
      <w:bookmarkStart w:id="5" w:name="_Toc4649"/>
      <w:r/>
      <w:bookmarkStart w:id="6" w:name="OLE_LINK2"/>
      <w:r>
        <w:rPr>
          <w:rFonts w:hint="eastAsia" w:ascii="黑体" w:hAnsi="黑体" w:eastAsia="黑体"/>
          <w:b/>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 xml:space="preserve">1.项目名称：</w:t>
      </w:r>
      <w:r>
        <w:rPr>
          <w:rFonts w:hint="eastAsia" w:ascii="仿宋" w:hAnsi="仿宋" w:eastAsia="仿宋"/>
          <w:bCs/>
          <w:color w:val="auto"/>
          <w:sz w:val="28"/>
          <w:szCs w:val="28"/>
          <w:highlight w:val="none"/>
          <w:lang w:eastAsia="zh-CN"/>
        </w:rPr>
        <w:t xml:space="preserve">如皋市水源地水质自动监测监控预警能力提升建设项目（采购包2）</w:t>
      </w:r>
      <w:r/>
    </w:p>
    <w:p>
      <w:pPr>
        <w:ind w:firstLine="56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 xml:space="preserve">2.项目编号：</w:t>
      </w:r>
      <w:r>
        <w:rPr>
          <w:rFonts w:hint="eastAsia" w:ascii="仿宋" w:hAnsi="仿宋" w:eastAsia="仿宋"/>
          <w:bCs/>
          <w:color w:val="auto"/>
          <w:sz w:val="28"/>
          <w:szCs w:val="28"/>
          <w:highlight w:val="none"/>
          <w:lang w:eastAsia="zh-CN"/>
        </w:rPr>
        <w:t xml:space="preserve">JSZC-320682-NTZJ-G2026-0020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3.预算金额：人民币200</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万元</w:t>
      </w:r>
      <w:r/>
    </w:p>
    <w:p>
      <w:pPr>
        <w:ind w:firstLine="56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 xml:space="preserve">4.最高限价：人民币200</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万元，报价超过最高限价视为无效投标</w:t>
      </w:r>
      <w:r>
        <w:rPr>
          <w:rFonts w:hint="eastAsia" w:ascii="仿宋" w:hAnsi="仿宋" w:eastAsia="仿宋"/>
          <w:bCs/>
          <w:color w:val="auto"/>
          <w:sz w:val="28"/>
          <w:szCs w:val="28"/>
          <w:highlight w:val="none"/>
          <w:lang w:eastAsia="zh-CN"/>
        </w:rPr>
        <w:t xml:space="preserve">。</w:t>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5.采购需求：</w:t>
      </w:r>
      <w:r>
        <w:rPr>
          <w:rFonts w:hint="eastAsia" w:ascii="仿宋" w:hAnsi="仿宋" w:eastAsia="仿宋"/>
          <w:bCs/>
          <w:color w:val="auto"/>
          <w:sz w:val="28"/>
          <w:szCs w:val="28"/>
          <w:highlight w:val="none"/>
        </w:rPr>
      </w:r>
      <w:r>
        <w:rPr>
          <w:rFonts w:ascii="FangSong" w:hAnsi="FangSong" w:eastAsia="FangSong" w:cs="FangSong"/>
          <w:color w:val="000000"/>
          <w:sz w:val="28"/>
        </w:rPr>
        <w:t xml:space="preserve">本项目为如皋市水源地水质自动监测监控预警能力提升建设项目（采购包2），拟为如皋长青沙水库应急水源地水质自动监测站和如皋鹏鹞上游预警水质自动监测站提供质控、巡查、应急监测等设备，并伴随安装、调试及售后服务</w:t>
      </w:r>
      <w:r>
        <w:rPr>
          <w:rFonts w:hint="eastAsia" w:ascii="仿宋" w:hAnsi="仿宋" w:eastAsia="仿宋"/>
          <w:bCs/>
          <w:color w:val="auto"/>
          <w:sz w:val="28"/>
          <w:szCs w:val="28"/>
          <w:highlight w:val="none"/>
        </w:rPr>
      </w:r>
      <w:r>
        <w:rPr>
          <w:rFonts w:hint="eastAsia" w:ascii="仿宋" w:hAnsi="仿宋" w:eastAsia="仿宋"/>
          <w:bCs/>
          <w:color w:val="auto"/>
          <w:sz w:val="28"/>
          <w:szCs w:val="28"/>
          <w:highlight w:val="none"/>
        </w:rPr>
        <w:t xml:space="preserve">。详见第</w:t>
      </w:r>
      <w:r>
        <w:rPr>
          <w:rFonts w:hint="eastAsia" w:ascii="仿宋" w:hAnsi="仿宋" w:eastAsia="仿宋"/>
          <w:bCs/>
          <w:color w:val="auto"/>
          <w:sz w:val="28"/>
          <w:szCs w:val="28"/>
          <w:highlight w:val="none"/>
          <w:lang w:val="en-US" w:eastAsia="zh-CN"/>
        </w:rPr>
        <w:t xml:space="preserve">3</w:t>
      </w:r>
      <w:r>
        <w:rPr>
          <w:rFonts w:hint="eastAsia" w:ascii="仿宋" w:hAnsi="仿宋" w:eastAsia="仿宋"/>
          <w:bCs/>
          <w:color w:val="auto"/>
          <w:sz w:val="28"/>
          <w:szCs w:val="28"/>
          <w:highlight w:val="none"/>
        </w:rPr>
        <w:t xml:space="preserve">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6.合同履行期限：自合同签</w:t>
      </w:r>
      <w:r>
        <w:rPr>
          <w:rFonts w:hint="eastAsia" w:ascii="仿宋" w:hAnsi="仿宋" w:eastAsia="仿宋"/>
          <w:bCs/>
          <w:color w:val="auto"/>
          <w:sz w:val="28"/>
          <w:szCs w:val="28"/>
          <w:highlight w:val="none"/>
          <w:lang w:val="en-US" w:eastAsia="zh-CN"/>
        </w:rPr>
        <w:t xml:space="preserve">订</w:t>
      </w:r>
      <w:r>
        <w:rPr>
          <w:rFonts w:hint="eastAsia" w:ascii="仿宋" w:hAnsi="仿宋" w:eastAsia="仿宋"/>
          <w:bCs/>
          <w:color w:val="auto"/>
          <w:sz w:val="28"/>
          <w:szCs w:val="28"/>
          <w:highlight w:val="none"/>
        </w:rPr>
        <w:t xml:space="preserve">之日起30天内完成安装、调试。具体以采购人通知为准。</w:t>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7.本项目是否接受进口产品：否。</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8.本项目是否接受联合体：</w:t>
      </w:r>
      <w:r>
        <w:rPr>
          <w:rFonts w:ascii="仿宋" w:hAnsi="仿宋" w:eastAsia="仿宋"/>
          <w:bCs/>
          <w:color w:val="auto"/>
          <w:sz w:val="28"/>
          <w:szCs w:val="28"/>
          <w:highlight w:val="none"/>
        </w:rPr>
        <w:t xml:space="preserve">否</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9.本项目是否专门面向中小企业采购：</w:t>
      </w:r>
      <w:r>
        <w:rPr>
          <w:rFonts w:ascii="仿宋" w:hAnsi="仿宋" w:eastAsia="仿宋"/>
          <w:bCs/>
          <w:color w:val="auto"/>
          <w:sz w:val="28"/>
          <w:szCs w:val="28"/>
          <w:highlight w:val="none"/>
        </w:rPr>
        <w:t xml:space="preserve">否</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10.项目类型：货物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11.项目所属行业：</w:t>
      </w:r>
      <w:r>
        <w:rPr>
          <w:rFonts w:ascii="仿宋" w:hAnsi="仿宋" w:eastAsia="仿宋"/>
          <w:bCs/>
          <w:color w:val="auto"/>
          <w:sz w:val="28"/>
          <w:szCs w:val="28"/>
          <w:highlight w:val="none"/>
        </w:rPr>
        <w:t xml:space="preserve">工业</w:t>
      </w:r>
      <w:r/>
    </w:p>
    <w:p>
      <w:pPr>
        <w:pStyle w:val="689"/>
        <w:ind w:firstLine="562"/>
        <w:spacing w:after="0" w:line="500" w:lineRule="exact"/>
        <w:rPr>
          <w:rFonts w:ascii="黑体" w:hAnsi="黑体" w:eastAsia="黑体"/>
          <w:b/>
          <w:color w:val="auto"/>
          <w:sz w:val="28"/>
          <w:szCs w:val="28"/>
          <w:highlight w:val="none"/>
        </w:rPr>
        <w:outlineLvl w:val="1"/>
      </w:pPr>
      <w:r/>
      <w:bookmarkStart w:id="7" w:name="_Toc28359090"/>
      <w:r/>
      <w:bookmarkStart w:id="8" w:name="_Toc35393630"/>
      <w:r/>
      <w:bookmarkStart w:id="9" w:name="_Toc35393799"/>
      <w:r/>
      <w:bookmarkStart w:id="10" w:name="_Toc28359013"/>
      <w:r/>
      <w:bookmarkStart w:id="11" w:name="_Toc10465"/>
      <w:r>
        <w:rPr>
          <w:rFonts w:hint="eastAsia" w:ascii="黑体" w:hAnsi="黑体" w:eastAsia="黑体"/>
          <w:b/>
          <w:color w:val="auto"/>
          <w:sz w:val="28"/>
          <w:szCs w:val="28"/>
          <w:highlight w:val="none"/>
        </w:rPr>
        <w:t xml:space="preserve">二、投标人的资格要求</w:t>
      </w:r>
      <w:bookmarkEnd w:id="7"/>
      <w:r/>
      <w:bookmarkEnd w:id="8"/>
      <w:r/>
      <w:bookmarkEnd w:id="9"/>
      <w:r/>
      <w:bookmarkEnd w:id="10"/>
      <w:r/>
      <w:bookmarkEnd w:id="11"/>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1.《中华人民共和国政府采购法》第二十二条规定的条件：</w:t>
      </w:r>
      <w:r/>
    </w:p>
    <w:p>
      <w:pPr>
        <w:pStyle w:val="706"/>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bookmarkStart w:id="12" w:name="_Toc28359014"/>
      <w:r/>
      <w:bookmarkStart w:id="13" w:name="_Toc28359091"/>
      <w:r>
        <w:rPr>
          <w:rFonts w:hint="eastAsia" w:ascii="仿宋" w:hAnsi="仿宋" w:eastAsia="仿宋" w:cs="Times New Roman"/>
          <w:bCs/>
          <w:color w:val="auto"/>
          <w:sz w:val="28"/>
          <w:szCs w:val="28"/>
          <w:highlight w:val="none"/>
        </w:rPr>
        <w:t xml:space="preserve">（1）具有独立承担民事责任的能力;</w:t>
      </w:r>
      <w:r/>
    </w:p>
    <w:p>
      <w:pPr>
        <w:pStyle w:val="706"/>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（2）具有良好的商业信誉和健全的财务会计制度;</w:t>
      </w:r>
      <w:r/>
    </w:p>
    <w:p>
      <w:pPr>
        <w:pStyle w:val="706"/>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（3）具有履行合同所必需的设备和专业技术能力;</w:t>
      </w:r>
      <w:r/>
    </w:p>
    <w:p>
      <w:pPr>
        <w:pStyle w:val="706"/>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（4）有依法缴纳税收和社会保障资金的良好记录;</w:t>
      </w:r>
      <w:r/>
    </w:p>
    <w:p>
      <w:pPr>
        <w:pStyle w:val="706"/>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（5）参加政府采购活动前三年内，在经营活动中没有重大违法记录;</w:t>
      </w:r>
      <w:r/>
    </w:p>
    <w:p>
      <w:pPr>
        <w:pStyle w:val="706"/>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（6）法律、行政法规规定的其他条件。</w:t>
      </w:r>
      <w:r/>
    </w:p>
    <w:p>
      <w:pPr>
        <w:ind w:firstLine="560"/>
        <w:spacing w:line="500" w:lineRule="exact"/>
        <w:rPr>
          <w:rFonts w:ascii="仿宋" w:hAnsi="仿宋" w:eastAsia="仿宋"/>
          <w:bCs/>
          <w:color w:val="auto"/>
          <w:sz w:val="28"/>
          <w:szCs w:val="28"/>
          <w:highlight w:val="none"/>
          <w:u w:val="singl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.落实政府采购政策需满足的资格要求：</w:t>
      </w:r>
      <w:r/>
    </w:p>
    <w:p>
      <w:pPr>
        <w:pStyle w:val="706"/>
        <w:ind w:firstLine="482"/>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bCs/>
          <w:color w:val="auto"/>
          <w:sz w:val="28"/>
          <w:szCs w:val="28"/>
          <w:highlight w:val="none"/>
        </w:rPr>
        <w:t xml:space="preserve">供应商</w:t>
      </w:r>
      <w:r>
        <w:rPr>
          <w:rFonts w:hint="eastAsia" w:ascii="仿宋" w:hAnsi="仿宋" w:eastAsia="仿宋" w:cs="Times New Roman"/>
          <w:bCs/>
          <w:color w:val="auto"/>
          <w:sz w:val="28"/>
          <w:szCs w:val="28"/>
          <w:highlight w:val="none"/>
        </w:rPr>
        <w:t xml:space="preserve">属于</w:t>
      </w:r>
      <w:r>
        <w:rPr>
          <w:rFonts w:ascii="仿宋" w:hAnsi="仿宋" w:eastAsia="仿宋" w:cs="Times New Roman"/>
          <w:bCs/>
          <w:color w:val="auto"/>
          <w:sz w:val="28"/>
          <w:szCs w:val="28"/>
          <w:highlight w:val="none"/>
        </w:rPr>
        <w:t xml:space="preserve">小微企业</w:t>
      </w:r>
      <w:r>
        <w:rPr>
          <w:rFonts w:hint="eastAsia" w:ascii="仿宋" w:hAnsi="仿宋" w:eastAsia="仿宋" w:cs="Times New Roman"/>
          <w:bCs/>
          <w:color w:val="auto"/>
          <w:sz w:val="28"/>
          <w:szCs w:val="28"/>
          <w:highlight w:val="none"/>
        </w:rPr>
        <w:t xml:space="preserve">、</w:t>
      </w:r>
      <w:r>
        <w:rPr>
          <w:rFonts w:ascii="仿宋" w:hAnsi="仿宋" w:eastAsia="仿宋" w:cs="Times New Roman"/>
          <w:bCs/>
          <w:color w:val="auto"/>
          <w:sz w:val="28"/>
          <w:szCs w:val="28"/>
          <w:highlight w:val="none"/>
        </w:rPr>
        <w:t xml:space="preserve">监狱企业</w:t>
      </w:r>
      <w:r>
        <w:rPr>
          <w:rFonts w:hint="eastAsia" w:ascii="仿宋" w:hAnsi="仿宋" w:eastAsia="仿宋" w:cs="Times New Roman"/>
          <w:bCs/>
          <w:color w:val="auto"/>
          <w:sz w:val="28"/>
          <w:szCs w:val="28"/>
          <w:highlight w:val="none"/>
        </w:rPr>
        <w:t xml:space="preserve">或者</w:t>
      </w:r>
      <w:r>
        <w:rPr>
          <w:rFonts w:ascii="仿宋" w:hAnsi="仿宋" w:eastAsia="仿宋" w:cs="Times New Roman"/>
          <w:bCs/>
          <w:color w:val="auto"/>
          <w:sz w:val="28"/>
          <w:szCs w:val="28"/>
          <w:highlight w:val="none"/>
        </w:rPr>
        <w:t xml:space="preserve">残疾人福利性单位的</w:t>
      </w:r>
      <w:r>
        <w:rPr>
          <w:rFonts w:hint="eastAsia" w:ascii="仿宋" w:hAnsi="仿宋" w:eastAsia="仿宋" w:cs="Times New Roman"/>
          <w:bCs/>
          <w:color w:val="auto"/>
          <w:sz w:val="28"/>
          <w:szCs w:val="28"/>
          <w:highlight w:val="none"/>
        </w:rPr>
        <w:t xml:space="preserve">，享受价格扣除优惠。</w:t>
      </w:r>
      <w:r/>
    </w:p>
    <w:p>
      <w:pPr>
        <w:pStyle w:val="706"/>
        <w:ind w:firstLine="482"/>
        <w:spacing w:before="0" w:beforeAutospacing="0" w:after="0" w:afterAutospacing="0" w:line="500" w:lineRule="exact"/>
        <w:shd w:val="clear" w:color="auto" w:fill="ffffff"/>
        <w:rPr>
          <w:rFonts w:ascii="仿宋" w:hAnsi="仿宋" w:eastAsia="仿宋"/>
          <w:bCs/>
          <w:iCs/>
          <w:color w:val="auto"/>
          <w:sz w:val="28"/>
          <w:szCs w:val="28"/>
          <w:highlight w:val="none"/>
        </w:rPr>
      </w:pPr>
      <w:r>
        <w:rPr>
          <w:rFonts w:hint="eastAsia" w:ascii="仿宋" w:hAnsi="仿宋" w:eastAsia="仿宋" w:cs="Times New Roman"/>
          <w:bCs/>
          <w:color w:val="auto"/>
          <w:sz w:val="28"/>
          <w:szCs w:val="28"/>
          <w:highlight w:val="none"/>
        </w:rPr>
        <w:t xml:space="preserve">（2）</w:t>
      </w:r>
      <w:r>
        <w:rPr>
          <w:rFonts w:hint="eastAsia" w:ascii="仿宋" w:hAnsi="仿宋" w:eastAsia="仿宋"/>
          <w:bCs/>
          <w:iCs/>
          <w:color w:val="auto"/>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bCs/>
          <w:iCs/>
          <w:color w:val="auto"/>
          <w:sz w:val="28"/>
          <w:szCs w:val="28"/>
          <w:highlight w:val="none"/>
        </w:rPr>
        <w:t xml:space="preserve">。</w:t>
      </w:r>
      <w:r/>
    </w:p>
    <w:p>
      <w:pPr>
        <w:pStyle w:val="706"/>
        <w:ind w:firstLine="482"/>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bCs/>
          <w:iCs/>
          <w:color w:val="auto"/>
          <w:sz w:val="28"/>
          <w:szCs w:val="28"/>
          <w:highlight w:val="none"/>
        </w:rPr>
        <w:t xml:space="preserve">（3）</w:t>
      </w:r>
      <w:r>
        <w:rPr>
          <w:rFonts w:hint="eastAsia" w:ascii="仿宋" w:hAnsi="仿宋" w:eastAsia="仿宋" w:cs="Times New Roman"/>
          <w:bCs/>
          <w:iCs/>
          <w:color w:val="auto"/>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bCs/>
          <w:iCs/>
          <w:color w:val="auto"/>
          <w:sz w:val="28"/>
          <w:szCs w:val="28"/>
          <w:highlight w:val="none"/>
        </w:rPr>
        <w:t xml:space="preserve">,以及全国认证认可信息公共服务平台查询截图</w:t>
      </w:r>
      <w:r>
        <w:rPr>
          <w:rFonts w:hint="eastAsia" w:ascii="仿宋" w:hAnsi="仿宋" w:eastAsia="仿宋" w:cs="Times New Roman"/>
          <w:bCs/>
          <w:iCs/>
          <w:color w:val="auto"/>
          <w:sz w:val="28"/>
          <w:szCs w:val="28"/>
          <w:highlight w:val="none"/>
        </w:rPr>
        <w:t xml:space="preserve">。</w:t>
      </w:r>
      <w:r/>
    </w:p>
    <w:p>
      <w:pPr>
        <w:pStyle w:val="706"/>
        <w:ind w:firstLine="567"/>
        <w:spacing w:before="0" w:beforeAutospacing="0" w:after="0" w:afterAutospacing="0" w:line="500" w:lineRule="exact"/>
        <w:shd w:val="clear" w:color="auto" w:fill="ffffff"/>
        <w:rPr>
          <w:rFonts w:ascii="仿宋" w:hAnsi="仿宋" w:eastAsia="仿宋"/>
          <w:bCs/>
          <w:color w:val="auto"/>
          <w:sz w:val="28"/>
          <w:szCs w:val="28"/>
          <w:highlight w:val="none"/>
          <w:u w:val="single"/>
        </w:rPr>
      </w:pPr>
      <w:r>
        <w:rPr>
          <w:rFonts w:hint="eastAsia" w:ascii="仿宋" w:hAnsi="仿宋" w:eastAsia="仿宋" w:cs="Times New Roman"/>
          <w:bCs/>
          <w:color w:val="auto"/>
          <w:sz w:val="28"/>
          <w:szCs w:val="28"/>
          <w:highlight w:val="none"/>
        </w:rPr>
        <w:t xml:space="preserve">3.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4.本项目的特定资格要求：</w:t>
      </w:r>
      <w:r/>
    </w:p>
    <w:p>
      <w:pPr>
        <w:ind w:firstLine="562"/>
        <w:spacing w:line="500" w:lineRule="exact"/>
        <w:rPr>
          <w:rFonts w:ascii="仿宋" w:hAnsi="仿宋" w:eastAsia="仿宋"/>
          <w:bCs/>
          <w:color w:val="auto"/>
          <w:sz w:val="28"/>
          <w:szCs w:val="28"/>
          <w:highlight w:val="none"/>
        </w:rPr>
      </w:pPr>
      <w:r>
        <w:rPr>
          <w:rFonts w:hint="eastAsia" w:ascii="仿宋" w:hAnsi="仿宋" w:eastAsia="仿宋"/>
          <w:b/>
          <w:iCs/>
          <w:color w:val="auto"/>
          <w:sz w:val="28"/>
          <w:szCs w:val="28"/>
          <w:highlight w:val="none"/>
        </w:rPr>
        <w:t xml:space="preserve">投标人须提供《</w:t>
      </w:r>
      <w:r>
        <w:rPr>
          <w:rFonts w:ascii="仿宋" w:hAnsi="仿宋" w:eastAsia="仿宋"/>
          <w:b/>
          <w:iCs/>
          <w:color w:val="auto"/>
          <w:sz w:val="28"/>
          <w:szCs w:val="28"/>
          <w:highlight w:val="none"/>
        </w:rPr>
        <w:t xml:space="preserve">关于符合本国产品标准的声明函</w:t>
      </w:r>
      <w:r>
        <w:rPr>
          <w:rFonts w:hint="eastAsia" w:ascii="仿宋" w:hAnsi="仿宋" w:eastAsia="仿宋"/>
          <w:b/>
          <w:iCs/>
          <w:color w:val="auto"/>
          <w:sz w:val="28"/>
          <w:szCs w:val="28"/>
          <w:highlight w:val="none"/>
        </w:rPr>
        <w:t xml:space="preserve">》。</w:t>
      </w:r>
      <w:r/>
    </w:p>
    <w:p>
      <w:pPr>
        <w:pStyle w:val="706"/>
        <w:ind w:firstLine="567"/>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bCs/>
          <w:iCs/>
          <w:color w:val="auto"/>
          <w:sz w:val="28"/>
          <w:szCs w:val="28"/>
          <w:highlight w:val="none"/>
        </w:rPr>
        <w:t xml:space="preserve">5.</w:t>
      </w:r>
      <w:r>
        <w:rPr>
          <w:rFonts w:hint="eastAsia" w:ascii="仿宋" w:hAnsi="仿宋" w:eastAsia="仿宋"/>
          <w:bCs/>
          <w:color w:val="auto"/>
          <w:sz w:val="28"/>
          <w:szCs w:val="28"/>
          <w:highlight w:val="none"/>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bCs/>
          <w:iCs/>
          <w:color w:val="auto"/>
          <w:sz w:val="28"/>
          <w:szCs w:val="28"/>
          <w:highlight w:val="none"/>
        </w:rPr>
        <w:t xml:space="preserve">授权委托书。代理人须为投标供应商的正式员工，并提供开标日前最近3个月中任意一个月投标供应商为其缴纳社保的证明；新成立企业距开标日期不足30日的，可不提供缴纳社保的证明（以新办企业营业执照发放日期为准）。</w:t>
      </w:r>
      <w:r/>
    </w:p>
    <w:p>
      <w:pPr>
        <w:ind w:firstLine="565"/>
        <w:keepLines w:val="0"/>
        <w:keepNext w:val="0"/>
        <w:pageBreakBefore w:val="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89"/>
        <w:ind w:firstLine="562"/>
        <w:keepLines w:val="0"/>
        <w:keepNext w:val="0"/>
        <w:pageBreakBefore w:val="0"/>
        <w:spacing w:after="0" w:line="500" w:lineRule="exact"/>
        <w:rPr>
          <w:rFonts w:ascii="黑体" w:hAnsi="黑体" w:eastAsia="黑体"/>
          <w:b/>
          <w:color w:val="auto"/>
          <w:sz w:val="28"/>
          <w:szCs w:val="28"/>
          <w:highlight w:val="none"/>
        </w:rPr>
        <w:outlineLvl w:val="1"/>
      </w:pPr>
      <w:r/>
      <w:bookmarkStart w:id="14" w:name="_Toc35393631"/>
      <w:r/>
      <w:bookmarkStart w:id="15" w:name="_Toc35393800"/>
      <w:r/>
      <w:bookmarkStart w:id="16" w:name="_Toc4097"/>
      <w:r>
        <w:rPr>
          <w:rFonts w:hint="eastAsia" w:ascii="黑体" w:hAnsi="黑体" w:eastAsia="黑体"/>
          <w:b/>
          <w:color w:val="auto"/>
          <w:sz w:val="28"/>
          <w:szCs w:val="28"/>
          <w:highlight w:val="none"/>
        </w:rPr>
        <w:t xml:space="preserve">三、获取公开招标文件</w:t>
      </w:r>
      <w:bookmarkEnd w:id="12"/>
      <w:r/>
      <w:bookmarkEnd w:id="13"/>
      <w:r/>
      <w:bookmarkEnd w:id="14"/>
      <w:r/>
      <w:bookmarkEnd w:id="15"/>
      <w:r/>
      <w:bookmarkEnd w:id="16"/>
      <w:r/>
      <w:r/>
    </w:p>
    <w:p>
      <w:pPr>
        <w:ind w:firstLine="600"/>
        <w:keepLines w:val="0"/>
        <w:keepNext w:val="0"/>
        <w:pageBreakBefore w:val="0"/>
        <w:spacing w:line="500" w:lineRule="exact"/>
        <w:rPr>
          <w:rFonts w:ascii="仿宋" w:hAnsi="仿宋" w:eastAsia="仿宋" w:cs="仿宋"/>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30"/>
          <w:highlight w:val="none"/>
        </w:rPr>
        <w:t xml:space="preserve">1.时间：本公告发布之日起5个工作日。</w:t>
      </w:r>
      <w:r/>
    </w:p>
    <w:p>
      <w:pPr>
        <w:ind w:firstLine="600"/>
        <w:keepLines w:val="0"/>
        <w:keepNext w:val="0"/>
        <w:pageBreakBefore w:val="0"/>
        <w:spacing w:line="500" w:lineRule="exact"/>
        <w:rPr>
          <w:rFonts w:ascii="仿宋" w:hAnsi="仿宋" w:eastAsia="仿宋" w:cs="仿宋"/>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30"/>
          <w:highlight w:val="none"/>
        </w:rPr>
        <w:t xml:space="preserve">2.地点：江苏省政府采购网。</w:t>
      </w:r>
      <w:r/>
    </w:p>
    <w:p>
      <w:pPr>
        <w:ind w:firstLine="600"/>
        <w:keepLines w:val="0"/>
        <w:keepNext w:val="0"/>
        <w:pageBreakBefore w:val="0"/>
        <w:spacing w:line="500" w:lineRule="exac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30"/>
          <w:highlight w:val="none"/>
        </w:rPr>
        <w:t xml:space="preserve">3.方式：本项目采用“苏采云”系统网上注册登记方式，具体详见《江苏省政府采购管理交易系统（苏采云）投标人操作手册》。</w:t>
      </w:r>
      <w:r/>
    </w:p>
    <w:p>
      <w:pPr>
        <w:pStyle w:val="689"/>
        <w:ind w:firstLine="562"/>
        <w:keepLines w:val="0"/>
        <w:keepNext w:val="0"/>
        <w:pageBreakBefore w:val="0"/>
        <w:spacing w:after="0" w:line="500" w:lineRule="exact"/>
        <w:rPr>
          <w:rFonts w:ascii="黑体" w:hAnsi="黑体" w:eastAsia="黑体"/>
          <w:b/>
          <w:color w:val="auto"/>
          <w:sz w:val="28"/>
          <w:szCs w:val="28"/>
          <w:highlight w:val="none"/>
        </w:rPr>
        <w:outlineLvl w:val="1"/>
      </w:pPr>
      <w:r/>
      <w:bookmarkStart w:id="17" w:name="_Toc35393632"/>
      <w:r/>
      <w:bookmarkStart w:id="18" w:name="_Toc28359092"/>
      <w:r/>
      <w:bookmarkStart w:id="19" w:name="_Toc28359015"/>
      <w:r/>
      <w:bookmarkStart w:id="20" w:name="_Toc35393801"/>
      <w:r/>
      <w:bookmarkStart w:id="21" w:name="_Toc23603"/>
      <w:r>
        <w:rPr>
          <w:rFonts w:hint="eastAsia" w:ascii="黑体" w:hAnsi="黑体" w:eastAsia="黑体"/>
          <w:b/>
          <w:color w:val="auto"/>
          <w:sz w:val="28"/>
          <w:szCs w:val="28"/>
          <w:highlight w:val="none"/>
        </w:rPr>
        <w:t xml:space="preserve">四、提交投标文件</w:t>
      </w:r>
      <w:bookmarkEnd w:id="17"/>
      <w:r/>
      <w:bookmarkEnd w:id="18"/>
      <w:r/>
      <w:bookmarkEnd w:id="19"/>
      <w:r/>
      <w:bookmarkEnd w:id="20"/>
      <w:r>
        <w:rPr>
          <w:rFonts w:hint="eastAsia" w:ascii="黑体" w:hAnsi="黑体" w:eastAsia="黑体"/>
          <w:b/>
          <w:color w:val="auto"/>
          <w:sz w:val="28"/>
          <w:szCs w:val="28"/>
          <w:highlight w:val="none"/>
        </w:rPr>
        <w:t xml:space="preserve">截止时间、开标时间和地点</w:t>
      </w:r>
      <w:bookmarkEnd w:id="21"/>
      <w:r/>
      <w:r/>
    </w:p>
    <w:p>
      <w:pPr>
        <w:ind w:firstLine="560"/>
        <w:keepLines w:val="0"/>
        <w:keepNext w:val="0"/>
        <w:pageBreakBefore w:val="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截止时间：详见采购公告</w:t>
      </w:r>
      <w:r/>
    </w:p>
    <w:p>
      <w:pPr>
        <w:ind w:firstLine="560"/>
        <w:keepLines w:val="0"/>
        <w:keepNext w:val="0"/>
        <w:pageBreakBefore w:val="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开标时间：详见采购公告</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开标地点：</w:t>
      </w:r>
      <w:r>
        <w:rPr>
          <w:rFonts w:ascii="仿宋" w:hAnsi="仿宋" w:eastAsia="仿宋"/>
          <w:bCs/>
          <w:color w:val="auto"/>
          <w:sz w:val="28"/>
          <w:szCs w:val="28"/>
          <w:highlight w:val="none"/>
        </w:rPr>
        <w:t xml:space="preserve">“苏采云”系统（网址：http://jszfcg.jsczt.cn/）“开标大厅”。</w:t>
      </w:r>
      <w:r/>
    </w:p>
    <w:p>
      <w:pPr>
        <w:pStyle w:val="689"/>
        <w:ind w:firstLine="562"/>
        <w:spacing w:after="0" w:line="500" w:lineRule="exact"/>
        <w:rPr>
          <w:rFonts w:ascii="黑体" w:hAnsi="黑体" w:eastAsia="黑体"/>
          <w:b/>
          <w:color w:val="auto"/>
          <w:sz w:val="28"/>
          <w:szCs w:val="28"/>
          <w:highlight w:val="none"/>
        </w:rPr>
        <w:outlineLvl w:val="1"/>
      </w:pPr>
      <w:r/>
      <w:bookmarkStart w:id="22" w:name="_Toc35393803"/>
      <w:r/>
      <w:bookmarkStart w:id="23" w:name="_Toc28359017"/>
      <w:r/>
      <w:bookmarkStart w:id="24" w:name="_Toc35393634"/>
      <w:r/>
      <w:bookmarkStart w:id="25" w:name="_Toc28359094"/>
      <w:r/>
      <w:bookmarkStart w:id="26" w:name="_Toc10393"/>
      <w:r>
        <w:rPr>
          <w:rFonts w:hint="eastAsia" w:ascii="黑体" w:hAnsi="黑体" w:eastAsia="黑体"/>
          <w:b/>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b/>
          <w:color w:val="auto"/>
          <w:sz w:val="28"/>
          <w:szCs w:val="28"/>
          <w:highlight w:val="none"/>
        </w:rPr>
      </w:pPr>
      <w:r>
        <w:rPr>
          <w:rFonts w:hint="eastAsia" w:ascii="仿宋" w:hAnsi="仿宋" w:eastAsia="仿宋" w:cs="宋体"/>
          <w:bCs/>
          <w:color w:val="auto"/>
          <w:sz w:val="28"/>
          <w:szCs w:val="28"/>
          <w:highlight w:val="none"/>
        </w:rPr>
        <w:t xml:space="preserve">自本公告发布之日起5个工作日</w:t>
      </w:r>
      <w:r>
        <w:rPr>
          <w:rFonts w:hint="eastAsia" w:ascii="仿宋" w:hAnsi="仿宋" w:eastAsia="仿宋" w:cs="宋体"/>
          <w:b/>
          <w:color w:val="auto"/>
          <w:sz w:val="28"/>
          <w:szCs w:val="28"/>
          <w:highlight w:val="none"/>
        </w:rPr>
        <w:t xml:space="preserve">。</w:t>
      </w:r>
      <w:r/>
    </w:p>
    <w:p>
      <w:pPr>
        <w:pStyle w:val="689"/>
        <w:ind w:firstLine="562"/>
        <w:spacing w:after="0" w:line="500" w:lineRule="exact"/>
        <w:rPr>
          <w:rFonts w:ascii="黑体" w:hAnsi="黑体" w:eastAsia="黑体"/>
          <w:b/>
          <w:color w:val="auto"/>
          <w:sz w:val="28"/>
          <w:szCs w:val="28"/>
          <w:highlight w:val="none"/>
        </w:rPr>
        <w:outlineLvl w:val="1"/>
      </w:pPr>
      <w:r/>
      <w:bookmarkStart w:id="27" w:name="_Toc35393635"/>
      <w:r/>
      <w:bookmarkStart w:id="28" w:name="_Toc35393804"/>
      <w:r/>
      <w:bookmarkStart w:id="29" w:name="_Toc20326"/>
      <w:r>
        <w:rPr>
          <w:rFonts w:hint="eastAsia" w:ascii="黑体" w:hAnsi="黑体" w:eastAsia="黑体"/>
          <w:b/>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1.本项目采用电子化交易模式，</w:t>
      </w:r>
      <w:r>
        <w:rPr>
          <w:rFonts w:hint="eastAsia" w:ascii="仿宋" w:hAnsi="仿宋" w:eastAsia="仿宋"/>
          <w:bCs/>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宋体"/>
          <w:bCs/>
          <w:color w:val="auto"/>
          <w:sz w:val="28"/>
          <w:szCs w:val="28"/>
          <w:highlight w:val="none"/>
        </w:rPr>
        <w:t xml:space="preserve">（2）</w:t>
      </w:r>
      <w:r>
        <w:rPr>
          <w:rFonts w:hint="eastAsia" w:ascii="仿宋" w:hAnsi="仿宋" w:eastAsia="仿宋" w:cs="仿宋"/>
          <w:bCs/>
          <w:color w:val="auto"/>
          <w:sz w:val="28"/>
          <w:szCs w:val="28"/>
          <w:highlight w:val="none"/>
        </w:rPr>
        <w:t xml:space="preserve">投标人</w:t>
      </w:r>
      <w:r>
        <w:rPr>
          <w:rFonts w:hint="eastAsia" w:ascii="仿宋" w:hAnsi="仿宋" w:eastAsia="仿宋" w:cs="宋体"/>
          <w:bCs/>
          <w:color w:val="auto"/>
          <w:sz w:val="28"/>
          <w:szCs w:val="28"/>
          <w:highlight w:val="none"/>
        </w:rPr>
        <w:t xml:space="preserve">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712"/>
          <w:rFonts w:ascii="仿宋" w:hAnsi="仿宋" w:eastAsia="仿宋" w:cs="宋体"/>
          <w:bCs/>
          <w:color w:val="auto"/>
          <w:sz w:val="28"/>
          <w:szCs w:val="28"/>
          <w:highlight w:val="none"/>
        </w:rPr>
        <w:t xml:space="preserve">http://jsxcmm.com/help/gys.html</w:t>
      </w:r>
      <w:r>
        <w:rPr>
          <w:rStyle w:val="712"/>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（3）</w:t>
      </w:r>
      <w:r>
        <w:rPr>
          <w:rFonts w:ascii="仿宋" w:hAnsi="仿宋" w:eastAsia="仿宋"/>
          <w:bCs/>
          <w:color w:val="auto"/>
          <w:sz w:val="28"/>
          <w:szCs w:val="28"/>
          <w:highlight w:val="none"/>
        </w:rPr>
        <w:t xml:space="preserve">使用谷歌浏览器。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w:t>
      </w:r>
      <w:r>
        <w:rPr>
          <w:rFonts w:ascii="仿宋" w:hAnsi="仿宋" w:eastAsia="仿宋"/>
          <w:bCs/>
          <w:color w:val="auto"/>
          <w:sz w:val="28"/>
          <w:szCs w:val="28"/>
          <w:highlight w:val="none"/>
        </w:rPr>
        <w:t xml:space="preserve">提前准备好麦克风、音响，摄像头，</w:t>
      </w:r>
      <w:r>
        <w:rPr>
          <w:rFonts w:hint="eastAsia" w:ascii="仿宋" w:hAnsi="仿宋" w:eastAsia="仿宋"/>
          <w:bCs/>
          <w:color w:val="auto"/>
          <w:sz w:val="28"/>
          <w:szCs w:val="28"/>
          <w:highlight w:val="none"/>
        </w:rPr>
        <w:t xml:space="preserve">并</w:t>
      </w:r>
      <w:r>
        <w:rPr>
          <w:rFonts w:ascii="仿宋" w:hAnsi="仿宋" w:eastAsia="仿宋"/>
          <w:bCs/>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bCs/>
          <w:color w:val="auto"/>
          <w:sz w:val="28"/>
          <w:szCs w:val="28"/>
          <w:highlight w:val="none"/>
        </w:rPr>
        <w:t xml:space="preserve">（5）</w:t>
      </w:r>
      <w:r>
        <w:rPr>
          <w:rFonts w:ascii="仿宋" w:hAnsi="仿宋" w:eastAsia="仿宋"/>
          <w:bCs/>
          <w:color w:val="auto"/>
          <w:sz w:val="28"/>
          <w:szCs w:val="28"/>
          <w:highlight w:val="none"/>
        </w:rPr>
        <w:t xml:space="preserve">操作系统至少win7以上，建议使用win10操作系统。</w:t>
      </w:r>
      <w:r/>
    </w:p>
    <w:p>
      <w:pPr>
        <w:ind w:firstLine="480"/>
        <w:spacing w:line="500" w:lineRule="exact"/>
        <w:rPr>
          <w:rFonts w:ascii="仿宋" w:hAnsi="仿宋" w:eastAsia="仿宋"/>
          <w:bCs/>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 </w:t>
      </w:r>
      <w:r>
        <w:rPr>
          <w:rFonts w:ascii="仿宋" w:hAnsi="仿宋" w:eastAsia="仿宋" w:cs="宋体"/>
          <w:bCs/>
          <w:color w:val="auto"/>
          <w:sz w:val="28"/>
          <w:szCs w:val="28"/>
          <w:highlight w:val="none"/>
        </w:rPr>
        <w:t xml:space="preserve">投标保证金：免收</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3.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履约保证金。</w:t>
      </w:r>
      <w:r/>
    </w:p>
    <w:p>
      <w:pPr>
        <w:pStyle w:val="689"/>
        <w:ind w:firstLine="562"/>
        <w:spacing w:after="0" w:line="500" w:lineRule="exact"/>
        <w:rPr>
          <w:rFonts w:ascii="黑体" w:hAnsi="黑体" w:cs="宋体"/>
          <w:b/>
          <w:color w:val="auto"/>
          <w:sz w:val="28"/>
          <w:szCs w:val="28"/>
          <w:highlight w:val="none"/>
        </w:rPr>
        <w:outlineLvl w:val="1"/>
      </w:pPr>
      <w:r/>
      <w:bookmarkStart w:id="30" w:name="_Toc28359018"/>
      <w:r/>
      <w:bookmarkStart w:id="31" w:name="_Toc35393805"/>
      <w:r/>
      <w:bookmarkStart w:id="32" w:name="_Toc35393636"/>
      <w:r/>
      <w:bookmarkStart w:id="33" w:name="_Toc28359095"/>
      <w:r/>
      <w:bookmarkStart w:id="34" w:name="_Toc6706"/>
      <w:r>
        <w:rPr>
          <w:rFonts w:hint="eastAsia" w:ascii="黑体" w:hAnsi="黑体" w:eastAsia="黑体"/>
          <w:b/>
          <w:color w:val="auto"/>
          <w:sz w:val="28"/>
          <w:szCs w:val="28"/>
          <w:highlight w:val="none"/>
        </w:rPr>
        <w:t xml:space="preserve">七、凡对本次采购提出询问，请按</w:t>
      </w:r>
      <w:r>
        <w:rPr>
          <w:rFonts w:ascii="黑体" w:hAnsi="黑体" w:eastAsia="黑体"/>
          <w:b/>
          <w:color w:val="auto"/>
          <w:sz w:val="28"/>
          <w:szCs w:val="28"/>
          <w:highlight w:val="none"/>
        </w:rPr>
        <w:t xml:space="preserve">以下方式</w:t>
      </w:r>
      <w:r>
        <w:rPr>
          <w:rFonts w:hint="eastAsia" w:ascii="黑体" w:hAnsi="黑体" w:eastAsia="黑体"/>
          <w:b/>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bCs/>
          <w:color w:val="auto"/>
          <w:sz w:val="28"/>
          <w:szCs w:val="28"/>
          <w:highlight w:val="none"/>
        </w:rPr>
      </w:pPr>
      <w:r/>
      <w:bookmarkStart w:id="35" w:name="_Toc35393806"/>
      <w:r/>
      <w:bookmarkStart w:id="36" w:name="_Toc28359019"/>
      <w:r/>
      <w:bookmarkStart w:id="37" w:name="_Toc28359096"/>
      <w:r/>
      <w:bookmarkStart w:id="38" w:name="_Toc35393637"/>
      <w:r>
        <w:rPr>
          <w:rFonts w:hint="eastAsia" w:ascii="仿宋" w:hAnsi="仿宋" w:eastAsia="仿宋" w:cs="宋体"/>
          <w:bCs/>
          <w:color w:val="auto"/>
          <w:sz w:val="28"/>
          <w:szCs w:val="28"/>
          <w:highlight w:val="none"/>
        </w:rPr>
        <w:t xml:space="preserve">1. 采购人信息</w:t>
      </w:r>
      <w:bookmarkEnd w:id="35"/>
      <w:r/>
      <w:bookmarkEnd w:id="36"/>
      <w:r/>
      <w:bookmarkEnd w:id="37"/>
      <w:r/>
      <w:bookmarkEnd w:id="38"/>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名    称：南通市如皋生态环境局</w:t>
      </w:r>
      <w:r/>
    </w:p>
    <w:p>
      <w:pPr>
        <w:ind w:firstLine="840"/>
        <w:spacing w:line="500" w:lineRule="exact"/>
        <w:rPr>
          <w:rFonts w:hint="default"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rPr>
        <w:t xml:space="preserve">地    址：如皋市如城镇解放</w:t>
      </w:r>
      <w:r>
        <w:rPr>
          <w:rFonts w:hint="eastAsia" w:ascii="仿宋" w:hAnsi="仿宋" w:eastAsia="仿宋"/>
          <w:bCs/>
          <w:color w:val="auto"/>
          <w:sz w:val="28"/>
          <w:szCs w:val="28"/>
          <w:highlight w:val="none"/>
          <w:lang w:val="en-US" w:eastAsia="zh-CN"/>
        </w:rPr>
        <w:t xml:space="preserve">西</w:t>
      </w:r>
      <w:r>
        <w:rPr>
          <w:rFonts w:hint="eastAsia" w:ascii="仿宋" w:hAnsi="仿宋" w:eastAsia="仿宋"/>
          <w:bCs/>
          <w:color w:val="auto"/>
          <w:sz w:val="28"/>
          <w:szCs w:val="28"/>
          <w:highlight w:val="none"/>
        </w:rPr>
        <w:t xml:space="preserve">路</w:t>
      </w:r>
      <w:r>
        <w:rPr>
          <w:rFonts w:hint="eastAsia" w:ascii="仿宋" w:hAnsi="仿宋" w:eastAsia="仿宋"/>
          <w:bCs/>
          <w:color w:val="auto"/>
          <w:sz w:val="28"/>
          <w:szCs w:val="28"/>
          <w:highlight w:val="none"/>
          <w:lang w:val="en-US" w:eastAsia="zh-CN"/>
        </w:rPr>
        <w:t xml:space="preserve">12号</w:t>
      </w:r>
      <w:r/>
    </w:p>
    <w:p>
      <w:pPr>
        <w:ind w:firstLine="84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项目经办人姓名：李益群</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项目经办人联系方式：13921681386</w:t>
      </w:r>
      <w:r/>
    </w:p>
    <w:p>
      <w:pPr>
        <w:ind w:firstLine="540"/>
        <w:spacing w:line="500" w:lineRule="exact"/>
        <w:rPr>
          <w:rFonts w:ascii="仿宋" w:hAnsi="仿宋" w:eastAsia="仿宋" w:cs="宋体"/>
          <w:bCs/>
          <w:color w:val="auto"/>
          <w:sz w:val="28"/>
          <w:szCs w:val="28"/>
          <w:highlight w:val="none"/>
        </w:rPr>
      </w:pPr>
      <w:r/>
      <w:bookmarkStart w:id="39" w:name="_Toc35393638"/>
      <w:r/>
      <w:bookmarkStart w:id="40" w:name="_Toc35393807"/>
      <w:r/>
      <w:bookmarkStart w:id="41" w:name="_Toc28359097"/>
      <w:r/>
      <w:bookmarkStart w:id="42" w:name="_Toc28359020"/>
      <w:r>
        <w:rPr>
          <w:rFonts w:hint="eastAsia" w:ascii="仿宋" w:hAnsi="仿宋" w:eastAsia="仿宋" w:cs="宋体"/>
          <w:bCs/>
          <w:color w:val="auto"/>
          <w:sz w:val="28"/>
          <w:szCs w:val="28"/>
          <w:highlight w:val="none"/>
        </w:rPr>
        <w:t xml:space="preserve">2. 采购代理机构信息（如有）</w:t>
      </w:r>
      <w:bookmarkEnd w:id="39"/>
      <w:r/>
      <w:bookmarkEnd w:id="40"/>
      <w:r/>
      <w:bookmarkEnd w:id="41"/>
      <w:r/>
      <w:bookmarkEnd w:id="42"/>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名    称：南通中江工程项目管理有限公司</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地　　址：如皋市如城街道惠政路269号纪庄大楼9层</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项目经办人姓名：魏书丽</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项目经办人联系方式：15051237698</w:t>
      </w:r>
      <w:r/>
    </w:p>
    <w:p>
      <w:pPr>
        <w:ind w:firstLine="840"/>
        <w:spacing w:line="500" w:lineRule="exact"/>
        <w:rPr>
          <w:rFonts w:ascii="仿宋" w:hAnsi="仿宋" w:eastAsia="仿宋"/>
          <w:bCs/>
          <w:color w:val="auto"/>
          <w:sz w:val="28"/>
          <w:szCs w:val="28"/>
          <w:highlight w:val="none"/>
          <w:u w:val="single"/>
        </w:rPr>
      </w:pPr>
      <w:r>
        <w:rPr>
          <w:rFonts w:ascii="仿宋" w:hAnsi="仿宋" w:eastAsia="仿宋"/>
          <w:bCs/>
          <w:color w:val="auto"/>
          <w:sz w:val="28"/>
          <w:szCs w:val="28"/>
          <w:highlight w:val="none"/>
          <w:u w:val="single"/>
        </w:rPr>
      </w:r>
      <w:r/>
    </w:p>
    <w:p>
      <w:pPr>
        <w:spacing w:line="500" w:lineRule="exact"/>
        <w:rPr>
          <w:rFonts w:ascii="仿宋" w:hAnsi="仿宋" w:eastAsia="仿宋"/>
          <w:b/>
          <w:bCs w:val="0"/>
          <w:color w:val="auto"/>
          <w:sz w:val="28"/>
          <w:szCs w:val="28"/>
          <w:highlight w:val="none"/>
        </w:rPr>
      </w:pPr>
      <w:r>
        <w:rPr>
          <w:rFonts w:ascii="仿宋" w:hAnsi="仿宋" w:eastAsia="仿宋"/>
          <w:b/>
          <w:bCs w:val="0"/>
          <w:color w:val="auto"/>
          <w:sz w:val="28"/>
          <w:szCs w:val="28"/>
          <w:highlight w:val="none"/>
        </w:rPr>
        <w:t xml:space="preserve">附件:</w:t>
      </w:r>
      <w:r/>
    </w:p>
    <w:p>
      <w:pPr>
        <w:spacing w:line="500" w:lineRule="exact"/>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1.办理政采贷和履约保函（保险）告知函</w:t>
      </w:r>
      <w:r/>
    </w:p>
    <w:p>
      <w:pPr>
        <w:spacing w:line="500" w:lineRule="exact"/>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2.</w:t>
      </w:r>
      <w:r>
        <w:rPr>
          <w:rFonts w:ascii="仿宋" w:hAnsi="仿宋" w:eastAsia="仿宋"/>
          <w:b/>
          <w:bCs w:val="0"/>
          <w:color w:val="auto"/>
          <w:sz w:val="28"/>
          <w:szCs w:val="28"/>
          <w:highlight w:val="none"/>
        </w:rPr>
        <w:t xml:space="preserve">招标文件</w:t>
      </w:r>
      <w:r/>
    </w:p>
    <w:p>
      <w:pPr>
        <w:spacing w:line="500" w:lineRule="exact"/>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3.采购人</w:t>
      </w:r>
      <w:r>
        <w:rPr>
          <w:rFonts w:ascii="仿宋" w:hAnsi="仿宋" w:eastAsia="仿宋"/>
          <w:b/>
          <w:bCs w:val="0"/>
          <w:color w:val="auto"/>
          <w:sz w:val="28"/>
          <w:szCs w:val="28"/>
          <w:highlight w:val="none"/>
        </w:rPr>
        <w:t xml:space="preserve">信用承诺</w:t>
      </w:r>
      <w:r/>
    </w:p>
    <w:p>
      <w:pPr>
        <w:ind w:firstLine="843"/>
        <w:jc w:val="center"/>
        <w:rPr>
          <w:rFonts w:ascii="方正小标宋简体" w:eastAsia="方正小标宋简体"/>
          <w:b/>
          <w:color w:val="auto"/>
          <w:sz w:val="32"/>
          <w:szCs w:val="32"/>
          <w:highlight w:val="none"/>
        </w:rPr>
        <w:outlineLvl w:val="0"/>
      </w:pPr>
      <w:r>
        <w:rPr>
          <w:rFonts w:ascii="仿宋" w:hAnsi="仿宋" w:eastAsia="仿宋"/>
          <w:b/>
          <w:color w:val="auto"/>
          <w:sz w:val="28"/>
          <w:szCs w:val="28"/>
          <w:highlight w:val="none"/>
          <w:u w:val="single"/>
        </w:rPr>
        <w:br w:type="page" w:clear="all"/>
      </w:r>
      <w:bookmarkStart w:id="43" w:name="_Toc4774"/>
      <w:r>
        <w:rPr>
          <w:rFonts w:hint="eastAsia" w:ascii="方正小标宋简体" w:eastAsia="方正小标宋简体"/>
          <w:b/>
          <w:color w:val="auto"/>
          <w:sz w:val="32"/>
          <w:szCs w:val="32"/>
          <w:highlight w:val="none"/>
        </w:rPr>
        <w:t xml:space="preserve">第2章 投标须知</w:t>
      </w:r>
      <w:bookmarkEnd w:id="43"/>
      <w:r/>
      <w:r/>
    </w:p>
    <w:p>
      <w:pPr>
        <w:ind w:firstLine="548"/>
        <w:spacing w:line="500" w:lineRule="exact"/>
        <w:rPr>
          <w:rFonts w:ascii="黑体" w:hAnsi="黑体" w:eastAsia="黑体"/>
          <w:bCs/>
          <w:color w:val="auto"/>
          <w:sz w:val="28"/>
          <w:szCs w:val="28"/>
          <w:highlight w:val="none"/>
        </w:rPr>
        <w:outlineLvl w:val="1"/>
      </w:pPr>
      <w:r/>
      <w:bookmarkStart w:id="44" w:name="_Toc7026"/>
      <w:r>
        <w:rPr>
          <w:rFonts w:hint="eastAsia" w:ascii="黑体" w:hAnsi="黑体" w:eastAsia="黑体"/>
          <w:bCs/>
          <w:color w:val="auto"/>
          <w:sz w:val="28"/>
          <w:szCs w:val="28"/>
          <w:highlight w:val="none"/>
        </w:rPr>
        <w:t xml:space="preserve">1. 投标费用</w:t>
      </w:r>
      <w:bookmarkEnd w:id="44"/>
      <w:r/>
      <w:r/>
    </w:p>
    <w:p>
      <w:pPr>
        <w:ind w:firstLine="560"/>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bCs/>
          <w:color w:val="auto"/>
          <w:sz w:val="28"/>
          <w:szCs w:val="28"/>
          <w:highlight w:val="none"/>
        </w:rPr>
        <w:outlineLvl w:val="1"/>
      </w:pPr>
      <w:r/>
      <w:bookmarkStart w:id="45" w:name="_Toc29826"/>
      <w:r>
        <w:rPr>
          <w:rFonts w:hint="eastAsia" w:ascii="黑体" w:hAnsi="黑体" w:eastAsia="黑体"/>
          <w:bCs/>
          <w:color w:val="auto"/>
          <w:sz w:val="28"/>
          <w:szCs w:val="28"/>
          <w:highlight w:val="none"/>
        </w:rPr>
        <w:t xml:space="preserve">2. 招标文件的约束力</w:t>
      </w:r>
      <w:bookmarkEnd w:id="45"/>
      <w:r/>
      <w:r/>
    </w:p>
    <w:p>
      <w:pPr>
        <w:ind w:left="120" w:firstLine="55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bCs/>
          <w:color w:val="auto"/>
          <w:sz w:val="28"/>
          <w:szCs w:val="28"/>
          <w:highlight w:val="none"/>
        </w:rPr>
        <w:outlineLvl w:val="1"/>
      </w:pPr>
      <w:r/>
      <w:bookmarkStart w:id="46" w:name="_Hlt26954828"/>
      <w:r/>
      <w:bookmarkEnd w:id="46"/>
      <w:r/>
      <w:bookmarkStart w:id="47" w:name="_Hlt26670345"/>
      <w:r/>
      <w:bookmarkEnd w:id="47"/>
      <w:r/>
      <w:bookmarkStart w:id="48" w:name="_Hlt26954832"/>
      <w:r/>
      <w:bookmarkEnd w:id="48"/>
      <w:r/>
      <w:bookmarkStart w:id="49" w:name="_Hlt26954830"/>
      <w:r/>
      <w:bookmarkEnd w:id="49"/>
      <w:r/>
      <w:bookmarkStart w:id="50" w:name="_Hlt26670348"/>
      <w:r/>
      <w:bookmarkEnd w:id="50"/>
      <w:r/>
      <w:bookmarkStart w:id="51" w:name="_Hlt26670354"/>
      <w:r/>
      <w:bookmarkEnd w:id="51"/>
      <w:r/>
      <w:bookmarkStart w:id="52" w:name="_Hlt26668969"/>
      <w:r/>
      <w:bookmarkEnd w:id="52"/>
      <w:r/>
      <w:bookmarkStart w:id="53" w:name="_Toc28971"/>
      <w:r>
        <w:rPr>
          <w:rFonts w:hint="eastAsia" w:ascii="黑体" w:hAnsi="黑体" w:eastAsia="黑体"/>
          <w:bCs/>
          <w:color w:val="auto"/>
          <w:sz w:val="28"/>
          <w:szCs w:val="28"/>
          <w:highlight w:val="none"/>
        </w:rPr>
        <w:t xml:space="preserve">3.投标文件编制</w:t>
      </w:r>
      <w:bookmarkEnd w:id="53"/>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 除技术性能另有规定外，投标文件所使用的度量衡单位，均须采用国家法定计量单位</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 投标文件由开标一览表、资格审查文件、商务技术文件和报价文件等四部分组成，具体按照“第6章 投标文件组成”要求编写</w:t>
      </w:r>
      <w:r>
        <w:rPr>
          <w:rFonts w:ascii="仿宋" w:hAnsi="仿宋" w:eastAsia="仿宋"/>
          <w:bCs/>
          <w:color w:val="auto"/>
          <w:sz w:val="28"/>
          <w:szCs w:val="28"/>
          <w:highlight w:val="none"/>
        </w:rPr>
        <w:t xml:space="preserve">。</w:t>
      </w:r>
      <w:r/>
    </w:p>
    <w:p>
      <w:pPr>
        <w:ind w:firstLine="560"/>
        <w:spacing w:line="500" w:lineRule="exact"/>
        <w:rPr>
          <w:rFonts w:ascii="黑体" w:hAnsi="黑体" w:eastAsia="黑体"/>
          <w:bCs/>
          <w:color w:val="auto"/>
          <w:sz w:val="28"/>
          <w:szCs w:val="28"/>
          <w:highlight w:val="none"/>
        </w:rPr>
        <w:outlineLvl w:val="1"/>
      </w:pPr>
      <w:r/>
      <w:bookmarkStart w:id="54" w:name="_Toc32024"/>
      <w:r>
        <w:rPr>
          <w:rFonts w:hint="eastAsia" w:ascii="黑体" w:hAnsi="黑体" w:eastAsia="黑体"/>
          <w:bCs/>
          <w:color w:val="auto"/>
          <w:sz w:val="28"/>
          <w:szCs w:val="28"/>
          <w:highlight w:val="none"/>
        </w:rPr>
        <w:t xml:space="preserve">4. 投标文件提交、撤回和修改</w:t>
      </w:r>
      <w:bookmarkEnd w:id="54"/>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4.1 供应商对CA证书妥善保管，如被他人盗用投标，因此带来的结果均由供应商自行承担。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4.2 供应商应当按照采购文件和“苏采云”系统的要求编制并加密投标文件。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bCs/>
          <w:color w:val="auto"/>
          <w:sz w:val="28"/>
          <w:szCs w:val="28"/>
          <w:highlight w:val="none"/>
        </w:rPr>
        <w:outlineLvl w:val="1"/>
      </w:pPr>
      <w:r/>
      <w:bookmarkStart w:id="55" w:name="_Toc18244"/>
      <w:r>
        <w:rPr>
          <w:rFonts w:hint="eastAsia" w:ascii="黑体" w:hAnsi="黑体" w:eastAsia="黑体"/>
          <w:bCs/>
          <w:color w:val="auto"/>
          <w:sz w:val="28"/>
          <w:szCs w:val="28"/>
          <w:highlight w:val="none"/>
        </w:rPr>
        <w:t xml:space="preserve">5. 开标和评标</w:t>
      </w:r>
      <w:bookmarkEnd w:id="55"/>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5.5 供应商在评标全过程中应保持通讯畅通，并安排专人与采购人或采购代理机构及评标委员会联系</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5.6 开标结束后，</w:t>
      </w:r>
      <w:r>
        <w:rPr>
          <w:rFonts w:ascii="仿宋" w:hAnsi="仿宋" w:eastAsia="仿宋"/>
          <w:bCs/>
          <w:color w:val="auto"/>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5.7 </w:t>
      </w:r>
      <w:r>
        <w:rPr>
          <w:rFonts w:ascii="仿宋" w:hAnsi="仿宋" w:eastAsia="仿宋"/>
          <w:bCs/>
          <w:color w:val="auto"/>
          <w:sz w:val="28"/>
          <w:szCs w:val="28"/>
          <w:highlight w:val="none"/>
        </w:rPr>
        <w:t xml:space="preserve">评标委员会由采购人代表和评审专家组成，成员人数应当为5人以上单数，其中评审专家不得少于成员总数的三分之二。对于</w:t>
      </w:r>
      <w:r>
        <w:rPr>
          <w:color w:val="auto"/>
          <w:highlight w:val="none"/>
        </w:rPr>
        <w:fldChar w:fldCharType="begin"/>
      </w:r>
      <w:r>
        <w:rPr>
          <w:color w:val="auto"/>
          <w:highlight w:val="none"/>
        </w:rPr>
        <w:instrText xml:space="preserve"> HYPERLINK "https://baike.baidu.com/item/%E9%87%87%E8%B4%AD%E9%A2%84%E7%AE%97/6362950?fromModule=lemma_inlink" \t "_blank" </w:instrText>
      </w:r>
      <w:r>
        <w:rPr>
          <w:color w:val="auto"/>
          <w:highlight w:val="none"/>
        </w:rPr>
        <w:fldChar w:fldCharType="separate"/>
      </w:r>
      <w:r>
        <w:rPr>
          <w:rFonts w:ascii="仿宋" w:hAnsi="仿宋" w:eastAsia="仿宋"/>
          <w:bCs/>
          <w:color w:val="auto"/>
          <w:sz w:val="28"/>
          <w:szCs w:val="28"/>
          <w:highlight w:val="none"/>
        </w:rPr>
        <w:t xml:space="preserve">预算</w:t>
      </w:r>
      <w:r>
        <w:rPr>
          <w:rFonts w:ascii="仿宋" w:hAnsi="仿宋" w:eastAsia="仿宋"/>
          <w:bCs/>
          <w:color w:val="auto"/>
          <w:sz w:val="28"/>
          <w:szCs w:val="28"/>
          <w:highlight w:val="none"/>
        </w:rPr>
        <w:fldChar w:fldCharType="end"/>
      </w:r>
      <w:r>
        <w:rPr>
          <w:rFonts w:ascii="仿宋" w:hAnsi="仿宋" w:eastAsia="仿宋"/>
          <w:bCs/>
          <w:color w:val="auto"/>
          <w:sz w:val="28"/>
          <w:szCs w:val="28"/>
          <w:highlight w:val="none"/>
        </w:rPr>
        <w:t xml:space="preserve">金额在1000万元以上</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技术复杂</w:t>
      </w:r>
      <w:r>
        <w:rPr>
          <w:rFonts w:hint="eastAsia" w:ascii="仿宋" w:hAnsi="仿宋" w:eastAsia="仿宋"/>
          <w:bCs/>
          <w:color w:val="auto"/>
          <w:sz w:val="28"/>
          <w:szCs w:val="28"/>
          <w:highlight w:val="none"/>
        </w:rPr>
        <w:t xml:space="preserve">或者</w:t>
      </w:r>
      <w:r>
        <w:rPr>
          <w:rFonts w:ascii="仿宋" w:hAnsi="仿宋" w:eastAsia="仿宋"/>
          <w:bCs/>
          <w:color w:val="auto"/>
          <w:sz w:val="28"/>
          <w:szCs w:val="28"/>
          <w:highlight w:val="none"/>
        </w:rPr>
        <w:t xml:space="preserve">社会影响较大的采购项目，评标委员会成员人数应当为7人以上单数</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5.8 </w:t>
      </w:r>
      <w:r>
        <w:rPr>
          <w:rFonts w:ascii="仿宋" w:hAnsi="仿宋" w:eastAsia="仿宋"/>
          <w:bCs/>
          <w:color w:val="auto"/>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5.9 </w:t>
      </w:r>
      <w:r>
        <w:rPr>
          <w:rFonts w:ascii="仿宋" w:hAnsi="仿宋" w:eastAsia="仿宋"/>
          <w:bCs/>
          <w:color w:val="auto"/>
          <w:sz w:val="28"/>
          <w:szCs w:val="28"/>
          <w:highlight w:val="none"/>
        </w:rPr>
        <w:t xml:space="preserve">对技术复杂、专业性强的采购项目，通过随机方式难以确定合适评审专家的，经主管</w:t>
      </w:r>
      <w:r>
        <w:rPr>
          <w:color w:val="auto"/>
          <w:highlight w:val="none"/>
        </w:rPr>
        <w:fldChar w:fldCharType="begin"/>
      </w:r>
      <w:r>
        <w:rPr>
          <w:color w:val="auto"/>
          <w:highlight w:val="none"/>
        </w:rPr>
        <w:instrText xml:space="preserve"> HYPERLINK "https://baike.baidu.com/item/%E9%A2%84%E7%AE%97%E5%8D%95%E4%BD%8D/2793664?fromModule=lemma_inlink" \t "_blank" </w:instrText>
      </w:r>
      <w:r>
        <w:rPr>
          <w:color w:val="auto"/>
          <w:highlight w:val="none"/>
        </w:rPr>
        <w:fldChar w:fldCharType="separate"/>
      </w:r>
      <w:r>
        <w:rPr>
          <w:rFonts w:ascii="仿宋" w:hAnsi="仿宋" w:eastAsia="仿宋"/>
          <w:bCs/>
          <w:color w:val="auto"/>
          <w:sz w:val="28"/>
          <w:szCs w:val="28"/>
          <w:highlight w:val="none"/>
        </w:rPr>
        <w:t xml:space="preserve">预算单位</w:t>
      </w:r>
      <w:r>
        <w:rPr>
          <w:rFonts w:ascii="仿宋" w:hAnsi="仿宋" w:eastAsia="仿宋"/>
          <w:bCs/>
          <w:color w:val="auto"/>
          <w:sz w:val="28"/>
          <w:szCs w:val="28"/>
          <w:highlight w:val="none"/>
        </w:rPr>
        <w:fldChar w:fldCharType="end"/>
      </w:r>
      <w:r>
        <w:rPr>
          <w:rFonts w:ascii="仿宋" w:hAnsi="仿宋" w:eastAsia="仿宋"/>
          <w:bCs/>
          <w:color w:val="auto"/>
          <w:sz w:val="28"/>
          <w:szCs w:val="28"/>
          <w:highlight w:val="none"/>
        </w:rPr>
        <w:t xml:space="preserve">同意，采购人可以自行选定相应专业领域的评审专家。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5.10 除了第5.9条规定的情形之外，</w:t>
      </w:r>
      <w:r>
        <w:rPr>
          <w:rFonts w:ascii="仿宋" w:hAnsi="仿宋" w:eastAsia="仿宋"/>
          <w:bCs/>
          <w:color w:val="auto"/>
          <w:sz w:val="28"/>
          <w:szCs w:val="28"/>
          <w:highlight w:val="none"/>
        </w:rPr>
        <w:t xml:space="preserve">评审专家对本单位的采购项目只能作为采购人代表参与评标。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5.13 接到澄清要求的供应商，应在评标委员会规定的时间内做出澄清，澄清的内容作为投标文件的补充部分，但澄清、说明或者更正不得超出投标文件的范围或者改变投标文件的实质性内容。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 出现下列情形之一的，评标委员会应当启动异常低价响应审查程序： </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5.14.1.响应报价低于全部通过符合性审查供应商响应报价平均值50%的，即响应报价&lt;全部通过符合性审查供应商响应报价平均值×50%；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5.14.2响应报价低于通过符合性审查的次低报价供应商响应报价50%的，即响应报价&lt;通过符合性审查的次低报价供应商响应报价×50%；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5.14.3响应报价低于采购项目最高限价45%的，即响应报价&lt;采购项目最高限价×45%；</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5.14.4评标委员会基于专业判断，认为供应商报价过低，有可能影响产品质量或者不能诚信履约的其他情形。</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评标委员会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投标处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5.15.2大写金额和小写金额不一致的，以大写金额为准；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keepLines w:val="0"/>
        <w:keepNext w:val="0"/>
        <w:pageBreakBefore w:val="0"/>
        <w:spacing w:line="52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5.18</w:t>
      </w:r>
      <w:r>
        <w:rPr>
          <w:rFonts w:ascii="仿宋" w:hAnsi="仿宋" w:eastAsia="仿宋"/>
          <w:bCs/>
          <w:color w:val="auto"/>
          <w:sz w:val="28"/>
          <w:szCs w:val="28"/>
          <w:highlight w:val="none"/>
        </w:rPr>
        <w:t xml:space="preserve"> 评标结果汇总完成后，除</w:t>
      </w:r>
      <w:r>
        <w:rPr>
          <w:rFonts w:hint="eastAsia" w:ascii="仿宋" w:hAnsi="仿宋" w:eastAsia="仿宋"/>
          <w:bCs/>
          <w:color w:val="auto"/>
          <w:sz w:val="28"/>
          <w:szCs w:val="28"/>
          <w:highlight w:val="none"/>
        </w:rPr>
        <w:t xml:space="preserve">了</w:t>
      </w:r>
      <w:r>
        <w:rPr>
          <w:rFonts w:ascii="仿宋" w:hAnsi="仿宋" w:eastAsia="仿宋"/>
          <w:bCs/>
          <w:color w:val="auto"/>
          <w:sz w:val="28"/>
          <w:szCs w:val="28"/>
          <w:highlight w:val="none"/>
        </w:rPr>
        <w:t xml:space="preserve">分值汇总计算错误</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分项评分超出评分标准范围</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评标委员会成员对客观评审因素评分不一致</w:t>
      </w:r>
      <w:r>
        <w:rPr>
          <w:rFonts w:hint="eastAsia" w:ascii="仿宋" w:hAnsi="仿宋" w:eastAsia="仿宋"/>
          <w:bCs/>
          <w:color w:val="auto"/>
          <w:sz w:val="28"/>
          <w:szCs w:val="28"/>
          <w:highlight w:val="none"/>
        </w:rPr>
        <w:t xml:space="preserve">、或者</w:t>
      </w:r>
      <w:r>
        <w:rPr>
          <w:rFonts w:ascii="仿宋" w:hAnsi="仿宋" w:eastAsia="仿宋"/>
          <w:bCs/>
          <w:color w:val="auto"/>
          <w:sz w:val="28"/>
          <w:szCs w:val="28"/>
          <w:highlight w:val="none"/>
        </w:rPr>
        <w:t xml:space="preserve">经评标委员会认定评分畸高、畸低</w:t>
      </w:r>
      <w:r>
        <w:rPr>
          <w:rFonts w:hint="eastAsia" w:ascii="仿宋" w:hAnsi="仿宋" w:eastAsia="仿宋"/>
          <w:bCs/>
          <w:color w:val="auto"/>
          <w:sz w:val="28"/>
          <w:szCs w:val="28"/>
          <w:highlight w:val="none"/>
        </w:rPr>
        <w:t xml:space="preserve">等</w:t>
      </w:r>
      <w:r>
        <w:rPr>
          <w:rFonts w:ascii="仿宋" w:hAnsi="仿宋" w:eastAsia="仿宋"/>
          <w:bCs/>
          <w:color w:val="auto"/>
          <w:sz w:val="28"/>
          <w:szCs w:val="28"/>
          <w:highlight w:val="none"/>
        </w:rPr>
        <w:t xml:space="preserve">情形之外，任何人不得修改评标结果</w:t>
      </w:r>
      <w:r>
        <w:rPr>
          <w:rFonts w:hint="eastAsia" w:ascii="仿宋" w:hAnsi="仿宋" w:eastAsia="仿宋"/>
          <w:bCs/>
          <w:color w:val="auto"/>
          <w:sz w:val="28"/>
          <w:szCs w:val="28"/>
          <w:highlight w:val="none"/>
        </w:rPr>
        <w:t xml:space="preserve">。</w:t>
      </w:r>
      <w:r/>
    </w:p>
    <w:p>
      <w:pPr>
        <w:ind w:firstLine="560"/>
        <w:keepLines w:val="0"/>
        <w:keepNext w:val="0"/>
        <w:pageBreakBefore w:val="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 有下列情形之一的，视为投标人串通投标，其投标无效：</w:t>
      </w:r>
      <w:r/>
    </w:p>
    <w:p>
      <w:pPr>
        <w:ind w:firstLine="570"/>
        <w:keepLines w:val="0"/>
        <w:keepNext w:val="0"/>
        <w:pageBreakBefore w:val="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5.19.1不同投标人的投标文件由同一单位或者个人编制；</w:t>
      </w:r>
      <w:r/>
    </w:p>
    <w:p>
      <w:pPr>
        <w:ind w:firstLine="570"/>
        <w:keepLines w:val="0"/>
        <w:keepNext w:val="0"/>
        <w:pageBreakBefore w:val="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5.19.2不同投标人的电子投标文件由同一台电子设备编制、打包、加密或者上传；</w:t>
      </w:r>
      <w:r/>
    </w:p>
    <w:p>
      <w:pPr>
        <w:ind w:firstLine="570"/>
        <w:keepLines w:val="0"/>
        <w:keepNext w:val="0"/>
        <w:pageBreakBefore w:val="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5.19.3 不同投标人的投标文件由同一投标人的电子设备打印、复印；</w:t>
      </w:r>
      <w:r/>
    </w:p>
    <w:p>
      <w:pPr>
        <w:ind w:firstLine="570"/>
        <w:keepLines w:val="0"/>
        <w:keepNext w:val="0"/>
        <w:pageBreakBefore w:val="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5.19.4不同投标人的投标报价用同一个预算编制软件密码锁制作或者出自同一投标人的电子文档；</w:t>
      </w:r>
      <w:r/>
    </w:p>
    <w:p>
      <w:pPr>
        <w:ind w:firstLine="570"/>
        <w:keepLines w:val="0"/>
        <w:keepNext w:val="0"/>
        <w:pageBreakBefore w:val="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5.19.5不同投标人从同一个投标单位或者同一个自然人的互联网协议地址下载招标文件、上传投标文件；</w:t>
      </w:r>
      <w:r/>
    </w:p>
    <w:p>
      <w:pPr>
        <w:ind w:firstLine="570"/>
        <w:keepLines w:val="0"/>
        <w:keepNext w:val="0"/>
        <w:pageBreakBefore w:val="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5.19.6 不同投标人的投标文件异常一致或者投标报价呈规律性差异；</w:t>
      </w:r>
      <w:r/>
    </w:p>
    <w:p>
      <w:pPr>
        <w:ind w:firstLine="570"/>
        <w:keepLines w:val="0"/>
        <w:keepNext w:val="0"/>
        <w:pageBreakBefore w:val="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5.19.7 不同投标人委托同一单位或者个人办理投标事宜；</w:t>
      </w:r>
      <w:r/>
    </w:p>
    <w:p>
      <w:pPr>
        <w:ind w:firstLine="570"/>
        <w:keepLines w:val="0"/>
        <w:keepNext w:val="0"/>
        <w:pageBreakBefore w:val="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5.19.8不同投标人的投标文件载明的项目管理成员或者联系人员为同一人；</w:t>
      </w:r>
      <w:r/>
    </w:p>
    <w:p>
      <w:pPr>
        <w:ind w:firstLine="570"/>
        <w:keepLines w:val="0"/>
        <w:keepNext w:val="0"/>
        <w:pageBreakBefore w:val="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bCs/>
          <w:color w:val="auto"/>
          <w:sz w:val="28"/>
          <w:szCs w:val="28"/>
          <w:highlight w:val="none"/>
        </w:rPr>
        <w:outlineLvl w:val="1"/>
      </w:pPr>
      <w:r/>
      <w:bookmarkStart w:id="56" w:name="_Toc980"/>
      <w:r>
        <w:rPr>
          <w:rFonts w:hint="eastAsia" w:ascii="黑体" w:hAnsi="黑体" w:eastAsia="黑体"/>
          <w:bCs/>
          <w:color w:val="auto"/>
          <w:sz w:val="28"/>
          <w:szCs w:val="28"/>
          <w:highlight w:val="none"/>
        </w:rPr>
        <w:t xml:space="preserve">6. 中标和合同</w:t>
      </w:r>
      <w:bookmarkEnd w:id="56"/>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outlineLvl w:val="1"/>
      </w:pPr>
      <w:r/>
      <w:bookmarkStart w:id="57" w:name="_Toc3613"/>
      <w:r>
        <w:rPr>
          <w:rFonts w:hint="eastAsia" w:ascii="黑体" w:hAnsi="黑体" w:eastAsia="黑体"/>
          <w:bCs/>
          <w:color w:val="auto"/>
          <w:sz w:val="28"/>
          <w:szCs w:val="28"/>
          <w:highlight w:val="none"/>
        </w:rPr>
        <w:t xml:space="preserve">7.政府采购政策功能落实</w:t>
      </w:r>
      <w:bookmarkEnd w:id="57"/>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7.1.6 下列情形不享受价格扣除政策：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7.1.7《中小企业划型标准规定》（工信部联企业〔2011〕300号）</w:t>
      </w:r>
      <w:r/>
    </w:p>
    <w:tbl>
      <w:tblPr>
        <w:tblStyle w:val="677"/>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行业名称</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指标名称</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计量</w:t>
            </w:r>
            <w:r/>
          </w:p>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单位</w:t>
            </w:r>
            <w:r/>
          </w:p>
        </w:tc>
        <w:tc>
          <w:tcPr>
            <w:tcW w:w="205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中型</w:t>
            </w:r>
            <w:r/>
          </w:p>
        </w:tc>
        <w:tc>
          <w:tcPr>
            <w:tcW w:w="176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小型</w:t>
            </w:r>
            <w:r/>
          </w:p>
        </w:tc>
        <w:tc>
          <w:tcPr>
            <w:tcW w:w="1164"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微型</w:t>
            </w:r>
            <w:r/>
          </w:p>
        </w:tc>
      </w:tr>
      <w:tr>
        <w:trPr>
          <w:cantSplit/>
          <w:jc w:val="center"/>
        </w:trPr>
        <w:tc>
          <w:tcPr>
            <w:tcW w:w="2194"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农、林、牧、渔</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500≤Y&lt;20000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50≤Y&lt;500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工业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2000≤Y&lt;40000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建筑业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6000≤Y&lt;80000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300≤Y&lt;6000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Y&lt;300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资产</w:t>
            </w:r>
            <w:r>
              <w:rPr>
                <w:rFonts w:ascii="仿宋" w:hAnsi="仿宋" w:eastAsia="仿宋"/>
                <w:bCs/>
                <w:color w:val="auto"/>
                <w:highlight w:val="none"/>
              </w:rPr>
              <w:t xml:space="preserve">总额（</w:t>
            </w:r>
            <w:r>
              <w:rPr>
                <w:rFonts w:hint="eastAsia" w:ascii="仿宋" w:hAnsi="仿宋" w:eastAsia="仿宋"/>
                <w:bCs/>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5000≤Z &lt;80000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300≤Z &lt;5000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Z&lt;300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批发业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20≤X&lt;200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5≤X&lt;20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X&lt;5</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5000≤Y&lt;50000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1000≤Y&lt;5000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零售业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10≤X&lt;50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500≤Y&lt;20000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100≤Y&lt;500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交通</w:t>
            </w:r>
            <w:r>
              <w:rPr>
                <w:rFonts w:ascii="仿宋" w:hAnsi="仿宋" w:eastAsia="仿宋"/>
                <w:bCs/>
                <w:color w:val="auto"/>
                <w:highlight w:val="none"/>
              </w:rPr>
              <w:t xml:space="preserve">运输业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3000≤Y&lt;30000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200≤Y&lt;3000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Y&lt;200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仓储</w:t>
            </w:r>
            <w:r>
              <w:rPr>
                <w:rFonts w:ascii="仿宋" w:hAnsi="仿宋" w:eastAsia="仿宋"/>
                <w:bCs/>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100≤X&lt;200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1000≤Y&lt;30000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邮</w:t>
            </w:r>
            <w:r>
              <w:rPr>
                <w:rFonts w:ascii="仿宋" w:hAnsi="仿宋" w:eastAsia="仿宋"/>
                <w:bCs/>
                <w:color w:val="auto"/>
                <w:highlight w:val="none"/>
              </w:rPr>
              <w:t xml:space="preserve">政业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2000≤Y&lt;30000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住</w:t>
            </w:r>
            <w:r>
              <w:rPr>
                <w:rFonts w:ascii="仿宋" w:hAnsi="仿宋" w:eastAsia="仿宋"/>
                <w:bCs/>
                <w:color w:val="auto"/>
                <w:highlight w:val="none"/>
              </w:rPr>
              <w:t xml:space="preserve">宿业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餐饮</w:t>
            </w:r>
            <w:r>
              <w:rPr>
                <w:rFonts w:ascii="仿宋" w:hAnsi="仿宋" w:eastAsia="仿宋"/>
                <w:bCs/>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信息</w:t>
            </w:r>
            <w:r>
              <w:rPr>
                <w:rFonts w:ascii="仿宋" w:hAnsi="仿宋" w:eastAsia="仿宋"/>
                <w:bCs/>
                <w:color w:val="auto"/>
                <w:highlight w:val="none"/>
              </w:rPr>
              <w:t xml:space="preserve">传输业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100≤X&lt;2000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1000≤Y&lt;100000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软件</w:t>
            </w:r>
            <w:r>
              <w:rPr>
                <w:rFonts w:ascii="仿宋" w:hAnsi="仿宋" w:eastAsia="仿宋"/>
                <w:bCs/>
                <w:color w:val="auto"/>
                <w:highlight w:val="none"/>
              </w:rPr>
              <w:t xml:space="preserve">和信息技术服务业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房</w:t>
            </w:r>
            <w:r>
              <w:rPr>
                <w:rFonts w:ascii="仿宋" w:hAnsi="仿宋" w:eastAsia="仿宋"/>
                <w:bCs/>
                <w:color w:val="auto"/>
                <w:highlight w:val="none"/>
              </w:rPr>
              <w:t xml:space="preserve">地产开发经营</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1000≤Y&lt;200000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资产</w:t>
            </w:r>
            <w:r>
              <w:rPr>
                <w:rFonts w:ascii="仿宋" w:hAnsi="仿宋" w:eastAsia="仿宋"/>
                <w:bCs/>
                <w:color w:val="auto"/>
                <w:highlight w:val="none"/>
              </w:rPr>
              <w:t xml:space="preserve">总额（</w:t>
            </w:r>
            <w:r>
              <w:rPr>
                <w:rFonts w:hint="eastAsia" w:ascii="仿宋" w:hAnsi="仿宋" w:eastAsia="仿宋"/>
                <w:bCs/>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5000≤Z &lt;10000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2000≤Z &lt;5000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Z&lt;2000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物业管理</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1000≤Y&lt;5000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Y&lt;500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租赁</w:t>
            </w:r>
            <w:r>
              <w:rPr>
                <w:rFonts w:ascii="仿宋" w:hAnsi="仿宋" w:eastAsia="仿宋"/>
                <w:bCs/>
                <w:color w:val="auto"/>
                <w:highlight w:val="none"/>
              </w:rPr>
              <w:t xml:space="preserve">和商务服务业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资产</w:t>
            </w:r>
            <w:r>
              <w:rPr>
                <w:rFonts w:ascii="仿宋" w:hAnsi="仿宋" w:eastAsia="仿宋"/>
                <w:bCs/>
                <w:color w:val="auto"/>
                <w:highlight w:val="none"/>
              </w:rPr>
              <w:t xml:space="preserve">总额（</w:t>
            </w:r>
            <w:r>
              <w:rPr>
                <w:rFonts w:hint="eastAsia" w:ascii="仿宋" w:hAnsi="仿宋" w:eastAsia="仿宋"/>
                <w:bCs/>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8000≤Z &lt;120000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100≤Z &lt;8000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Z&lt;100</w:t>
            </w:r>
            <w:r/>
          </w:p>
        </w:tc>
      </w:tr>
      <w:tr>
        <w:trPr>
          <w:cantSplit/>
          <w:jc w:val="center"/>
        </w:trPr>
        <w:tc>
          <w:tcPr>
            <w:tcW w:w="2194"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其</w:t>
            </w:r>
            <w:r>
              <w:rPr>
                <w:rFonts w:ascii="仿宋" w:hAnsi="仿宋" w:eastAsia="仿宋"/>
                <w:bCs/>
                <w:color w:val="auto"/>
                <w:highlight w:val="none"/>
              </w:rPr>
              <w:t xml:space="preserve">他未列明行业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bl>
    <w:p>
      <w:pPr>
        <w:ind w:firstLine="420"/>
        <w:spacing w:line="500" w:lineRule="exact"/>
        <w:rPr>
          <w:rFonts w:ascii="仿宋" w:hAnsi="仿宋" w:eastAsia="仿宋"/>
          <w:bCs/>
          <w:color w:val="auto"/>
          <w:sz w:val="28"/>
          <w:szCs w:val="28"/>
          <w:highlight w:val="none"/>
        </w:rPr>
      </w:pPr>
      <w:r>
        <w:rPr>
          <w:rFonts w:hint="eastAsia" w:ascii="仿宋" w:hAnsi="仿宋" w:eastAsia="仿宋"/>
          <w:bCs/>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 残疾人福利单位价格扣除</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w:t>
      </w:r>
      <w:r>
        <w:rPr>
          <w:rFonts w:ascii="仿宋" w:hAnsi="仿宋" w:eastAsia="仿宋"/>
          <w:bCs/>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7.2.1.1 </w:t>
      </w:r>
      <w:r>
        <w:rPr>
          <w:rFonts w:ascii="仿宋" w:hAnsi="仿宋" w:eastAsia="仿宋"/>
          <w:bCs/>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7.2.1.2 </w:t>
      </w:r>
      <w:r>
        <w:rPr>
          <w:rFonts w:ascii="仿宋" w:hAnsi="仿宋" w:eastAsia="仿宋"/>
          <w:bCs/>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7.2.1.3 </w:t>
      </w:r>
      <w:r>
        <w:rPr>
          <w:rFonts w:ascii="仿宋" w:hAnsi="仿宋" w:eastAsia="仿宋"/>
          <w:bCs/>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7.2.1.4 </w:t>
      </w:r>
      <w:r>
        <w:rPr>
          <w:rFonts w:ascii="仿宋" w:hAnsi="仿宋" w:eastAsia="仿宋"/>
          <w:bCs/>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7.2.1.5 </w:t>
      </w:r>
      <w:r>
        <w:rPr>
          <w:rFonts w:ascii="仿宋" w:hAnsi="仿宋" w:eastAsia="仿宋"/>
          <w:bCs/>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7.2.2 </w:t>
      </w:r>
      <w:r>
        <w:rPr>
          <w:rFonts w:ascii="仿宋" w:hAnsi="仿宋" w:eastAsia="仿宋"/>
          <w:bCs/>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 监狱和戒毒企业价格扣除</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7.3.4 监狱企业属于小型、微型企业的，不重复享受政策。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7.4 根据《财政部、发展改革委关于印发节能产品政府采购品目清单的通知》（</w:t>
      </w:r>
      <w:r>
        <w:rPr>
          <w:rFonts w:hint="eastAsia" w:ascii="仿宋" w:hAnsi="仿宋" w:eastAsia="仿宋" w:cs="宋体"/>
          <w:bCs/>
          <w:color w:val="auto"/>
          <w:sz w:val="26"/>
          <w:szCs w:val="26"/>
          <w:highlight w:val="none"/>
        </w:rPr>
        <w:t xml:space="preserve">财库〔2019〕19号</w:t>
      </w:r>
      <w:r>
        <w:rPr>
          <w:rFonts w:hint="eastAsia" w:ascii="仿宋" w:hAnsi="仿宋" w:eastAsia="仿宋"/>
          <w:bCs/>
          <w:color w:val="auto"/>
          <w:sz w:val="28"/>
          <w:szCs w:val="28"/>
          <w:highlight w:val="none"/>
        </w:rPr>
        <w:t xml:space="preserve">）要求，下列产品实行强制采购或者优先采购：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bCs/>
          <w:color w:val="auto"/>
          <w:sz w:val="28"/>
          <w:szCs w:val="28"/>
          <w:highlight w:val="none"/>
        </w:rPr>
        <w:t xml:space="preserve">环境标志产品政府采购品目清单</w:t>
      </w:r>
      <w:r>
        <w:rPr>
          <w:rFonts w:hint="eastAsia" w:ascii="仿宋" w:hAnsi="仿宋" w:eastAsia="仿宋"/>
          <w:bCs/>
          <w:color w:val="auto"/>
          <w:sz w:val="28"/>
          <w:szCs w:val="28"/>
          <w:highlight w:val="none"/>
        </w:rPr>
        <w:fldChar w:fldCharType="end"/>
      </w:r>
      <w:r>
        <w:rPr>
          <w:rFonts w:ascii="仿宋" w:hAnsi="仿宋" w:eastAsia="仿宋"/>
          <w:bCs/>
          <w:color w:val="auto"/>
          <w:sz w:val="28"/>
          <w:szCs w:val="28"/>
          <w:highlight w:val="none"/>
        </w:rPr>
        <w:t xml:space="preserve">内的</w:t>
      </w:r>
      <w:r>
        <w:rPr>
          <w:rFonts w:hint="eastAsia" w:ascii="仿宋" w:hAnsi="仿宋" w:eastAsia="仿宋"/>
          <w:bCs/>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bCs/>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color w:val="auto"/>
          <w:sz w:val="28"/>
          <w:szCs w:val="28"/>
          <w:highlight w:val="none"/>
        </w:rPr>
        <w:outlineLvl w:val="1"/>
      </w:pPr>
      <w:r/>
      <w:bookmarkStart w:id="58" w:name="_Toc15303"/>
      <w:r>
        <w:rPr>
          <w:rFonts w:hint="eastAsia" w:ascii="黑体" w:hAnsi="黑体" w:eastAsia="黑体"/>
          <w:bCs/>
          <w:color w:val="auto"/>
          <w:sz w:val="28"/>
          <w:szCs w:val="28"/>
          <w:highlight w:val="none"/>
        </w:rPr>
        <w:t xml:space="preserve">8.无效投标和招标活动终止</w:t>
      </w:r>
      <w:bookmarkEnd w:id="58"/>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 出现下列情形之一的，作无效投标处理。</w:t>
      </w:r>
      <w:r>
        <w:rPr>
          <w:rFonts w:hint="eastAsia" w:ascii="仿宋" w:hAnsi="仿宋" w:eastAsia="仿宋"/>
          <w:bCs/>
          <w:color w:val="auto"/>
          <w:sz w:val="28"/>
          <w:szCs w:val="28"/>
          <w:highlight w:val="none"/>
        </w:rPr>
        <w:tab/>
      </w:r>
      <w:r>
        <w:rPr>
          <w:rFonts w:hint="eastAsia" w:ascii="仿宋" w:hAnsi="仿宋" w:eastAsia="仿宋"/>
          <w:bCs/>
          <w:color w:val="auto"/>
          <w:sz w:val="28"/>
          <w:szCs w:val="28"/>
          <w:highlight w:val="none"/>
        </w:rPr>
        <w:tab/>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 不具备招标文件中规定的资格要求的。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8.1.2 报价超过了采购预算或最高限价的。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8.1.3 未通过符合性审查的。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8.1.4 不符合法律、法规和招标文件中规定的其他实质性要求的。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8.1.6 投标文件含有采购人不能接受的附加条件的。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8.1.8 投标文件未按照招标文件要求加盖电子签章。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8.1.9 供应商在系统规定的时间内未成功解密电子投标文件的。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8.1.10 未完整上传投标文件电子文档的,或上传的文件打不开的。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8.1.11 不同的供应商投标文件制作机器码、文件创建标识码一致的。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8.1.12 不同投标人委托同一单位或者个人办理投标事宜。</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8.1.16其他法律、法规及本招标文件规定的属无效投标的情形。</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 出现下列情形之一的，本次招标活动将被终止：</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8.2.1 合格</w:t>
      </w:r>
      <w:r>
        <w:rPr>
          <w:rFonts w:ascii="仿宋" w:hAnsi="仿宋" w:eastAsia="仿宋"/>
          <w:bCs/>
          <w:color w:val="auto"/>
          <w:sz w:val="28"/>
          <w:szCs w:val="28"/>
          <w:highlight w:val="none"/>
        </w:rPr>
        <w:t xml:space="preserve">投标人不足</w:t>
      </w:r>
      <w:r>
        <w:rPr>
          <w:rFonts w:hint="eastAsia" w:ascii="仿宋" w:hAnsi="仿宋" w:eastAsia="仿宋"/>
          <w:bCs/>
          <w:color w:val="auto"/>
          <w:sz w:val="28"/>
          <w:szCs w:val="28"/>
          <w:highlight w:val="none"/>
        </w:rPr>
        <w:t xml:space="preserve">3家</w:t>
      </w:r>
      <w:r>
        <w:rPr>
          <w:rFonts w:ascii="仿宋" w:hAnsi="仿宋" w:eastAsia="仿宋"/>
          <w:bCs/>
          <w:color w:val="auto"/>
          <w:sz w:val="28"/>
          <w:szCs w:val="28"/>
          <w:highlight w:val="none"/>
        </w:rPr>
        <w:t xml:space="preserve">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8.2.2 </w:t>
      </w:r>
      <w:r>
        <w:rPr>
          <w:rFonts w:ascii="仿宋" w:hAnsi="仿宋" w:eastAsia="仿宋"/>
          <w:bCs/>
          <w:color w:val="auto"/>
          <w:sz w:val="28"/>
          <w:szCs w:val="28"/>
          <w:highlight w:val="none"/>
        </w:rPr>
        <w:t xml:space="preserve">出现影响采购公正的违法、违规行为的；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8.2.3  因重大变故，采购任务取消的。</w:t>
      </w:r>
      <w:r/>
    </w:p>
    <w:p>
      <w:pPr>
        <w:ind w:firstLine="560"/>
        <w:spacing w:line="500" w:lineRule="exact"/>
        <w:rPr>
          <w:rFonts w:ascii="黑体" w:hAnsi="黑体" w:eastAsia="黑体"/>
          <w:bCs/>
          <w:color w:val="auto"/>
          <w:sz w:val="28"/>
          <w:szCs w:val="28"/>
          <w:highlight w:val="none"/>
        </w:rPr>
        <w:outlineLvl w:val="1"/>
      </w:pPr>
      <w:r/>
      <w:bookmarkStart w:id="59" w:name="_Toc26597"/>
      <w:r>
        <w:rPr>
          <w:rFonts w:hint="eastAsia" w:ascii="黑体" w:hAnsi="黑体" w:eastAsia="黑体"/>
          <w:bCs/>
          <w:color w:val="auto"/>
          <w:sz w:val="28"/>
          <w:szCs w:val="28"/>
          <w:highlight w:val="none"/>
        </w:rPr>
        <w:t xml:space="preserve">9. 询问、质疑和投诉</w:t>
      </w:r>
      <w:bookmarkEnd w:id="59"/>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上述应知其权益受到损害之日，是指：</w:t>
      </w:r>
      <w:r>
        <w:rPr>
          <w:rFonts w:ascii="仿宋" w:hAnsi="仿宋" w:eastAsia="仿宋"/>
          <w:bCs/>
          <w:color w:val="auto"/>
          <w:sz w:val="28"/>
          <w:szCs w:val="28"/>
          <w:highlight w:val="none"/>
        </w:rPr>
        <w:t xml:space="preserve">对可以质疑的</w:t>
      </w:r>
      <w:r>
        <w:rPr>
          <w:rFonts w:hint="eastAsia" w:ascii="仿宋" w:hAnsi="仿宋" w:eastAsia="仿宋"/>
          <w:bCs/>
          <w:color w:val="auto"/>
          <w:sz w:val="28"/>
          <w:szCs w:val="28"/>
          <w:highlight w:val="none"/>
        </w:rPr>
        <w:t xml:space="preserve">招标</w:t>
      </w:r>
      <w:r>
        <w:rPr>
          <w:rFonts w:ascii="仿宋" w:hAnsi="仿宋" w:eastAsia="仿宋"/>
          <w:bCs/>
          <w:color w:val="auto"/>
          <w:sz w:val="28"/>
          <w:szCs w:val="28"/>
          <w:highlight w:val="none"/>
        </w:rPr>
        <w:t xml:space="preserve">文件提出质疑的，为收到</w:t>
      </w:r>
      <w:r>
        <w:rPr>
          <w:rFonts w:hint="eastAsia" w:ascii="仿宋" w:hAnsi="仿宋" w:eastAsia="仿宋"/>
          <w:bCs/>
          <w:color w:val="auto"/>
          <w:sz w:val="28"/>
          <w:szCs w:val="28"/>
          <w:highlight w:val="none"/>
        </w:rPr>
        <w:t xml:space="preserve">招标</w:t>
      </w:r>
      <w:r>
        <w:rPr>
          <w:rFonts w:ascii="仿宋" w:hAnsi="仿宋" w:eastAsia="仿宋"/>
          <w:bCs/>
          <w:color w:val="auto"/>
          <w:sz w:val="28"/>
          <w:szCs w:val="28"/>
          <w:highlight w:val="none"/>
        </w:rPr>
        <w:t xml:space="preserve">文件之日或者</w:t>
      </w:r>
      <w:r>
        <w:rPr>
          <w:rFonts w:hint="eastAsia" w:ascii="仿宋" w:hAnsi="仿宋" w:eastAsia="仿宋"/>
          <w:bCs/>
          <w:color w:val="auto"/>
          <w:sz w:val="28"/>
          <w:szCs w:val="28"/>
          <w:highlight w:val="none"/>
        </w:rPr>
        <w:t xml:space="preserve">招标</w:t>
      </w:r>
      <w:r>
        <w:rPr>
          <w:rFonts w:ascii="仿宋" w:hAnsi="仿宋" w:eastAsia="仿宋"/>
          <w:bCs/>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9.5 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9.6 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Cs/>
          <w:color w:val="auto"/>
          <w:sz w:val="28"/>
          <w:szCs w:val="28"/>
          <w:highlight w:val="none"/>
        </w:rPr>
        <w:t xml:space="preserve">，见招标文件第</w:t>
      </w:r>
      <w:r>
        <w:rPr>
          <w:rFonts w:hint="eastAsia" w:ascii="仿宋" w:hAnsi="仿宋" w:eastAsia="仿宋"/>
          <w:bCs/>
          <w:color w:val="auto"/>
          <w:sz w:val="28"/>
          <w:szCs w:val="28"/>
          <w:highlight w:val="none"/>
        </w:rPr>
        <w:t xml:space="preserve">1章</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 </w:t>
      </w:r>
      <w:r>
        <w:rPr>
          <w:rFonts w:ascii="仿宋" w:hAnsi="仿宋" w:eastAsia="仿宋"/>
          <w:bCs/>
          <w:color w:val="auto"/>
          <w:sz w:val="28"/>
          <w:szCs w:val="28"/>
          <w:highlight w:val="none"/>
        </w:rPr>
        <w:t xml:space="preserve">以下情形的质疑不予受理：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9.7.1 </w:t>
      </w:r>
      <w:r>
        <w:rPr>
          <w:rFonts w:ascii="仿宋" w:hAnsi="仿宋" w:eastAsia="仿宋"/>
          <w:bCs/>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9.7.2 </w:t>
      </w:r>
      <w:r>
        <w:rPr>
          <w:rFonts w:ascii="仿宋" w:hAnsi="仿宋" w:eastAsia="仿宋"/>
          <w:bCs/>
          <w:color w:val="auto"/>
          <w:sz w:val="28"/>
          <w:szCs w:val="28"/>
          <w:highlight w:val="none"/>
        </w:rPr>
        <w:t xml:space="preserve">超出政府采购法定期限的质疑。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9.7.3</w:t>
      </w:r>
      <w:r>
        <w:rPr>
          <w:rFonts w:ascii="仿宋" w:hAnsi="仿宋" w:eastAsia="仿宋"/>
          <w:bCs/>
          <w:color w:val="auto"/>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9.7.4 </w:t>
      </w:r>
      <w:r>
        <w:rPr>
          <w:rFonts w:ascii="仿宋" w:hAnsi="仿宋" w:eastAsia="仿宋"/>
          <w:bCs/>
          <w:color w:val="auto"/>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9.8 </w:t>
      </w:r>
      <w:r>
        <w:rPr>
          <w:rFonts w:ascii="仿宋" w:hAnsi="仿宋" w:eastAsia="仿宋"/>
          <w:bCs/>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bCs/>
          <w:color w:val="auto"/>
          <w:sz w:val="28"/>
          <w:szCs w:val="28"/>
          <w:highlight w:val="none"/>
        </w:rPr>
        <w:t xml:space="preserve">采购代理机构</w:t>
      </w:r>
      <w:r>
        <w:rPr>
          <w:rFonts w:ascii="仿宋" w:hAnsi="仿宋" w:eastAsia="仿宋"/>
          <w:bCs/>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9.9 质疑函范本</w:t>
      </w:r>
      <w:r/>
    </w:p>
    <w:p>
      <w:pPr>
        <w:jc w:val="center"/>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质疑供应商：</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联系人：联系电话：</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授权代表：联系电话：</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质疑项目的名称：</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质疑项目的编号：包号：</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采购人名称：</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质疑事项1：</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事实依据：</w:t>
      </w:r>
      <w:r/>
    </w:p>
    <w:p>
      <w:pPr>
        <w:spacing w:line="360" w:lineRule="auto"/>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法律依据：</w:t>
      </w:r>
      <w:r/>
    </w:p>
    <w:p>
      <w:pPr>
        <w:spacing w:line="360" w:lineRule="auto"/>
        <w:rPr>
          <w:rFonts w:ascii="仿宋" w:hAnsi="仿宋" w:eastAsia="仿宋" w:cs="仿宋"/>
          <w:bCs/>
          <w:color w:val="auto"/>
          <w:sz w:val="28"/>
          <w:szCs w:val="28"/>
          <w:highlight w:val="none"/>
          <w:u w:val="single"/>
        </w:rPr>
      </w:pPr>
      <w:r>
        <w:rPr>
          <w:rFonts w:ascii="仿宋" w:hAnsi="仿宋" w:eastAsia="仿宋" w:cs="仿宋"/>
          <w:bCs/>
          <w:color w:val="auto"/>
          <w:sz w:val="28"/>
          <w:szCs w:val="28"/>
          <w:highlight w:val="none"/>
          <w:u w:val="single"/>
        </w:rPr>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质疑事项2</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请求：</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签字(签章)：              公章：                      </w:t>
      </w:r>
      <w:r/>
    </w:p>
    <w:p>
      <w:pPr>
        <w:ind w:right="560" w:firstLine="560"/>
        <w:spacing w:line="500" w:lineRule="exact"/>
        <w:rPr>
          <w:rFonts w:ascii="仿宋" w:hAnsi="仿宋" w:eastAsia="仿宋"/>
          <w:bCs/>
          <w:color w:val="auto"/>
          <w:sz w:val="28"/>
          <w:szCs w:val="28"/>
          <w:highlight w:val="none"/>
        </w:rPr>
      </w:pPr>
      <w:r>
        <w:rPr>
          <w:rFonts w:hint="eastAsia" w:ascii="仿宋_GB2312" w:eastAsia="仿宋_GB2312"/>
          <w:bCs/>
          <w:color w:val="auto"/>
          <w:sz w:val="28"/>
          <w:szCs w:val="28"/>
          <w:highlight w:val="none"/>
        </w:rPr>
        <w:t xml:space="preserve">日期：</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9.12 </w:t>
      </w:r>
      <w:r>
        <w:rPr>
          <w:rFonts w:ascii="仿宋" w:hAnsi="仿宋" w:eastAsia="仿宋"/>
          <w:bCs/>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bCs/>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9.13 投诉人应当将投诉书送达如皋市财政局政府采购管理科（</w:t>
      </w:r>
      <w:r>
        <w:rPr>
          <w:rFonts w:ascii="仿宋" w:hAnsi="仿宋" w:eastAsia="仿宋"/>
          <w:bCs/>
          <w:color w:val="auto"/>
          <w:sz w:val="28"/>
          <w:szCs w:val="28"/>
          <w:highlight w:val="none"/>
        </w:rPr>
        <w:t xml:space="preserve">如皋市解放路199号，行政中心</w:t>
      </w:r>
      <w:r>
        <w:rPr>
          <w:rFonts w:hint="eastAsia" w:ascii="仿宋" w:hAnsi="仿宋" w:eastAsia="仿宋"/>
          <w:bCs/>
          <w:color w:val="auto"/>
          <w:sz w:val="28"/>
          <w:szCs w:val="28"/>
          <w:highlight w:val="none"/>
        </w:rPr>
        <w:t xml:space="preserve">A座710室，联系电话0513-87623860）。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9.14 投诉书范本</w:t>
      </w:r>
      <w:r/>
    </w:p>
    <w:p>
      <w:pPr>
        <w:jc w:val="center"/>
        <w:rPr>
          <w:rFonts w:ascii="宋体" w:hAnsi="宋体"/>
          <w:bCs/>
          <w:color w:val="auto"/>
          <w:sz w:val="32"/>
          <w:szCs w:val="32"/>
          <w:highlight w:val="none"/>
        </w:rPr>
      </w:pPr>
      <w:r>
        <w:rPr>
          <w:rFonts w:hint="eastAsia" w:ascii="宋体" w:hAnsi="宋体"/>
          <w:bCs/>
          <w:color w:val="auto"/>
          <w:sz w:val="32"/>
          <w:szCs w:val="32"/>
          <w:highlight w:val="none"/>
        </w:rPr>
        <w:t xml:space="preserve">投诉书</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一、投诉相关主体基本情况</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投诉人：</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jc w:val="left"/>
        <w:tabs>
          <w:tab w:val="left" w:pos="6510" w:leader="none"/>
        </w:tabs>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法定代表人/主要负责人：联系电话：</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授权代表：联系电话：</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被投诉人1：</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联系人：联系电话：</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被投诉人2</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相关供应商：</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联系人：联系电话：</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二、投诉项目基本情况</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采购项目名称：</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采购项目编号：包号：</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采购人名称：</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代理机构名称：</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采购文件公告:</w:t>
      </w:r>
      <w:r>
        <w:rPr>
          <w:rFonts w:hint="eastAsia" w:ascii="仿宋_GB2312" w:eastAsia="仿宋_GB2312"/>
          <w:bCs/>
          <w:color w:val="auto"/>
          <w:sz w:val="28"/>
          <w:szCs w:val="28"/>
          <w:highlight w:val="none"/>
          <w:u w:val="single"/>
        </w:rPr>
        <w:t xml:space="preserve">是/否 </w:t>
      </w:r>
      <w:r>
        <w:rPr>
          <w:rFonts w:hint="eastAsia" w:ascii="仿宋_GB2312" w:eastAsia="仿宋_GB2312"/>
          <w:bCs/>
          <w:color w:val="auto"/>
          <w:sz w:val="28"/>
          <w:szCs w:val="28"/>
          <w:highlight w:val="none"/>
        </w:rPr>
        <w:t xml:space="preserve">公告期限：</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采购结果公告:</w:t>
      </w:r>
      <w:r>
        <w:rPr>
          <w:rFonts w:hint="eastAsia" w:ascii="仿宋_GB2312" w:eastAsia="仿宋_GB2312"/>
          <w:bCs/>
          <w:color w:val="auto"/>
          <w:sz w:val="28"/>
          <w:szCs w:val="28"/>
          <w:highlight w:val="none"/>
          <w:u w:val="single"/>
        </w:rPr>
        <w:t xml:space="preserve">是/否 </w:t>
      </w:r>
      <w:r>
        <w:rPr>
          <w:rFonts w:hint="eastAsia" w:ascii="仿宋_GB2312" w:eastAsia="仿宋_GB2312"/>
          <w:bCs/>
          <w:color w:val="auto"/>
          <w:sz w:val="28"/>
          <w:szCs w:val="28"/>
          <w:highlight w:val="none"/>
        </w:rPr>
        <w:t xml:space="preserve">公告期限：</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三、质疑基本情况</w:t>
      </w:r>
      <w:r/>
    </w:p>
    <w:p>
      <w:pPr>
        <w:ind w:firstLine="560"/>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投诉人于年月日,向提出质疑，质疑事项为：</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ind w:firstLine="420"/>
        <w:rPr>
          <w:rFonts w:ascii="仿宋_GB2312" w:eastAsia="仿宋_GB2312"/>
          <w:bCs/>
          <w:color w:val="auto"/>
          <w:sz w:val="28"/>
          <w:szCs w:val="28"/>
          <w:highlight w:val="none"/>
        </w:rPr>
      </w:pPr>
      <w:r>
        <w:rPr>
          <w:rFonts w:hint="eastAsia" w:ascii="仿宋_GB2312" w:eastAsia="仿宋_GB2312"/>
          <w:bCs/>
          <w:color w:val="auto"/>
          <w:sz w:val="28"/>
          <w:szCs w:val="28"/>
          <w:highlight w:val="none"/>
          <w:u w:val="single"/>
        </w:rPr>
        <w:t xml:space="preserve">采购人/代理机构</w:t>
      </w:r>
      <w:r>
        <w:rPr>
          <w:rFonts w:hint="eastAsia" w:ascii="仿宋_GB2312" w:eastAsia="仿宋_GB2312"/>
          <w:bCs/>
          <w:color w:val="auto"/>
          <w:sz w:val="28"/>
          <w:szCs w:val="28"/>
          <w:highlight w:val="none"/>
        </w:rPr>
        <w:t xml:space="preserve">于年月日,就质疑事项作出了答复/没有在法定期限内作出答复。</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四、投诉事项具体内容</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投诉事项 1：</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事实依据：</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法律依据：</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投诉事项2</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五、与投诉事项相关的投诉请求</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请求：</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签字(签章)：                   公章：                      </w:t>
      </w:r>
      <w:r/>
    </w:p>
    <w:p>
      <w:pPr>
        <w:ind w:firstLine="560"/>
        <w:spacing w:line="500" w:lineRule="exact"/>
        <w:rPr>
          <w:rFonts w:ascii="仿宋" w:hAnsi="仿宋" w:eastAsia="仿宋"/>
          <w:bCs/>
          <w:color w:val="auto"/>
          <w:sz w:val="28"/>
          <w:szCs w:val="28"/>
          <w:highlight w:val="none"/>
        </w:rPr>
      </w:pPr>
      <w:r>
        <w:rPr>
          <w:rFonts w:hint="eastAsia" w:ascii="仿宋_GB2312" w:eastAsia="仿宋_GB2312"/>
          <w:bCs/>
          <w:color w:val="auto"/>
          <w:sz w:val="28"/>
          <w:szCs w:val="28"/>
          <w:highlight w:val="none"/>
        </w:rPr>
        <w:t xml:space="preserve">日期：    </w:t>
      </w:r>
      <w:r/>
    </w:p>
    <w:p>
      <w:pPr>
        <w:ind w:firstLine="560"/>
        <w:jc w:val="left"/>
        <w:spacing w:line="500" w:lineRule="exact"/>
        <w:rPr>
          <w:rFonts w:ascii="仿宋" w:hAnsi="仿宋" w:eastAsia="仿宋"/>
          <w:bCs/>
          <w:color w:val="auto"/>
          <w:sz w:val="28"/>
          <w:szCs w:val="28"/>
          <w:highlight w:val="none"/>
        </w:rPr>
        <w:outlineLvl w:val="1"/>
      </w:pPr>
      <w:r/>
      <w:bookmarkStart w:id="60" w:name="_Toc13353"/>
      <w:r>
        <w:rPr>
          <w:rFonts w:hint="eastAsia" w:ascii="黑体" w:hAnsi="黑体" w:eastAsia="黑体"/>
          <w:bCs/>
          <w:color w:val="auto"/>
          <w:sz w:val="28"/>
          <w:szCs w:val="28"/>
          <w:highlight w:val="none"/>
        </w:rPr>
        <w:t xml:space="preserve">10. 政府采购合同信用融资扶持政策</w:t>
      </w:r>
      <w:bookmarkEnd w:id="60"/>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bCs/>
          <w:color w:val="auto"/>
          <w:sz w:val="28"/>
          <w:szCs w:val="28"/>
          <w:highlight w:val="none"/>
        </w:rPr>
        <w:outlineLvl w:val="1"/>
      </w:pPr>
      <w:r/>
      <w:bookmarkStart w:id="61" w:name="_Toc19890"/>
      <w:r>
        <w:rPr>
          <w:rFonts w:hint="eastAsia" w:ascii="黑体" w:hAnsi="黑体" w:eastAsia="黑体"/>
          <w:bCs/>
          <w:color w:val="auto"/>
          <w:sz w:val="28"/>
          <w:szCs w:val="28"/>
          <w:highlight w:val="none"/>
        </w:rPr>
        <w:t xml:space="preserve">11. 采购代理服务费</w:t>
      </w:r>
      <w:bookmarkEnd w:id="61"/>
      <w:r/>
      <w:r/>
    </w:p>
    <w:p>
      <w:pPr>
        <w:ind w:firstLine="560"/>
        <w:jc w:val="left"/>
        <w:spacing w:line="500" w:lineRule="exact"/>
        <w:rPr>
          <w:rFonts w:ascii="仿宋" w:hAnsi="仿宋" w:eastAsia="仿宋" w:cs="仿宋"/>
          <w:b/>
          <w:bCs w:val="0"/>
          <w:color w:val="auto"/>
          <w:sz w:val="28"/>
          <w:szCs w:val="28"/>
          <w:highlight w:val="none"/>
        </w:rPr>
      </w:pPr>
      <w:r>
        <w:rPr>
          <w:rFonts w:hint="eastAsia" w:ascii="仿宋" w:hAnsi="仿宋" w:eastAsia="仿宋"/>
          <w:bCs/>
          <w:color w:val="auto"/>
          <w:sz w:val="28"/>
          <w:szCs w:val="28"/>
          <w:highlight w:val="none"/>
        </w:rPr>
        <w:t xml:space="preserve">11.1</w:t>
      </w:r>
      <w:r>
        <w:rPr>
          <w:rFonts w:hint="eastAsia" w:ascii="仿宋" w:hAnsi="仿宋" w:eastAsia="仿宋" w:cs="仿宋"/>
          <w:bCs/>
          <w:color w:val="auto"/>
          <w:sz w:val="28"/>
          <w:szCs w:val="28"/>
          <w:highlight w:val="none"/>
        </w:rPr>
        <w:t xml:space="preserve">采购代理服务费依据财政部《政府采购代理机构管理暂行办法》(财库〔2018〕2号)及《江苏省政府采购代理服务收费指导意见》（苏政采协〔</w:t>
      </w:r>
      <w:r>
        <w:rPr>
          <w:rFonts w:hint="eastAsia" w:ascii="仿宋" w:hAnsi="仿宋" w:eastAsia="仿宋" w:cs="仿宋"/>
          <w:bCs/>
          <w:color w:val="auto"/>
          <w:sz w:val="28"/>
          <w:szCs w:val="28"/>
          <w:highlight w:val="none"/>
        </w:rPr>
        <w:t xml:space="preserve">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w:t>
      </w:r>
      <w:r>
        <w:rPr>
          <w:rFonts w:hint="eastAsia" w:ascii="仿宋" w:hAnsi="仿宋" w:eastAsia="仿宋" w:cs="仿宋"/>
          <w:b/>
          <w:bCs w:val="0"/>
          <w:color w:val="auto"/>
          <w:sz w:val="28"/>
          <w:szCs w:val="28"/>
          <w:highlight w:val="none"/>
        </w:rPr>
        <w:t xml:space="preserve">。本项目代理费</w:t>
      </w:r>
      <w:r>
        <w:rPr>
          <w:rFonts w:hint="eastAsia" w:ascii="仿宋" w:hAnsi="仿宋" w:eastAsia="仿宋" w:cs="仿宋"/>
          <w:b/>
          <w:bCs w:val="0"/>
          <w:color w:val="auto"/>
          <w:sz w:val="28"/>
          <w:szCs w:val="28"/>
          <w:highlight w:val="none"/>
          <w:lang w:val="en-US" w:eastAsia="zh-CN"/>
        </w:rPr>
        <w:t xml:space="preserve">按</w:t>
      </w:r>
      <w:r>
        <w:rPr>
          <w:rFonts w:hint="eastAsia" w:ascii="仿宋" w:hAnsi="仿宋" w:eastAsia="仿宋" w:cs="仿宋"/>
          <w:b/>
          <w:bCs w:val="0"/>
          <w:color w:val="auto"/>
          <w:sz w:val="28"/>
          <w:szCs w:val="28"/>
          <w:highlight w:val="none"/>
        </w:rPr>
        <w:t xml:space="preserve">上述标准的8折收取，预算中包含此费用，响应供应商在报价中需考虑此费用的代付，采购人不再另行支付。</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11.3 采购代理机构账户信息：</w:t>
      </w:r>
      <w:r/>
    </w:p>
    <w:p>
      <w:pPr>
        <w:ind w:firstLine="560"/>
        <w:jc w:val="left"/>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收款单位名称为：南通中江工程项目管理有限公司江海分公司；</w:t>
      </w:r>
      <w:r/>
    </w:p>
    <w:p>
      <w:pPr>
        <w:ind w:firstLine="560"/>
        <w:jc w:val="left"/>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账户号码：32050164726000001501；</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开户行：中国建设银行股份有限公司如皋北门支行，行号：105306200032。</w:t>
      </w:r>
      <w:r/>
    </w:p>
    <w:p>
      <w:pPr>
        <w:ind w:left="630"/>
        <w:spacing w:line="500" w:lineRule="exact"/>
        <w:rPr>
          <w:rFonts w:ascii="黑体" w:hAnsi="黑体" w:eastAsia="黑体"/>
          <w:bCs/>
          <w:color w:val="auto"/>
          <w:sz w:val="28"/>
          <w:szCs w:val="28"/>
          <w:highlight w:val="none"/>
        </w:rPr>
        <w:outlineLvl w:val="1"/>
      </w:pPr>
      <w:r/>
      <w:bookmarkStart w:id="62" w:name="_Toc30087"/>
      <w:r>
        <w:rPr>
          <w:rFonts w:hint="eastAsia" w:ascii="黑体" w:hAnsi="黑体" w:eastAsia="黑体"/>
          <w:bCs/>
          <w:color w:val="auto"/>
          <w:sz w:val="28"/>
          <w:szCs w:val="28"/>
          <w:highlight w:val="none"/>
        </w:rPr>
        <w:t xml:space="preserve">12.其他事项</w:t>
      </w:r>
      <w:bookmarkEnd w:id="6"/>
      <w:r/>
      <w:bookmarkEnd w:id="62"/>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（一）推荐品牌（如有）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中有列明的品牌、型号为优先选用的品牌、型号，响应供应商也可选用其他品牌、型号替代，但替代的品牌、型号在实质性要求和条件上要相当于或优于参考品牌、型号。相当于或优于参考品牌、型号的证明材料由响应供应商提供，由评委确认。响应供应商未提供证明材料的，视为无效投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（二）产品要求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（三）产品品牌与型号</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w:t>
      </w:r>
      <w:r>
        <w:rPr>
          <w:rFonts w:hint="eastAsia" w:ascii="仿宋" w:hAnsi="仿宋" w:eastAsia="仿宋"/>
          <w:bCs/>
          <w:color w:val="auto"/>
          <w:sz w:val="28"/>
          <w:szCs w:val="28"/>
          <w:highlight w:val="none"/>
        </w:rPr>
        <w:t xml:space="preserve">无效投标</w:t>
      </w:r>
      <w:r>
        <w:rPr>
          <w:rFonts w:ascii="仿宋" w:hAnsi="仿宋" w:eastAsia="仿宋"/>
          <w:bCs/>
          <w:color w:val="auto"/>
          <w:sz w:val="28"/>
          <w:szCs w:val="28"/>
          <w:highlight w:val="none"/>
        </w:rPr>
        <w:t xml:space="preserve">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w:t>
      </w:r>
      <w:r>
        <w:rPr>
          <w:rFonts w:hint="eastAsia" w:ascii="仿宋" w:hAnsi="仿宋" w:eastAsia="仿宋" w:cs="仿宋"/>
          <w:bCs/>
          <w:color w:val="auto"/>
          <w:sz w:val="28"/>
          <w:szCs w:val="28"/>
          <w:highlight w:val="none"/>
        </w:rPr>
        <w:t xml:space="preserve">★</w:t>
      </w:r>
      <w:r>
        <w:rPr>
          <w:rFonts w:hint="eastAsia" w:ascii="仿宋" w:hAnsi="仿宋" w:eastAsia="仿宋"/>
          <w:bCs/>
          <w:color w:val="auto"/>
          <w:sz w:val="28"/>
          <w:szCs w:val="28"/>
          <w:highlight w:val="none"/>
        </w:rPr>
        <w:t xml:space="preserve">号条款</w:t>
      </w:r>
      <w:r/>
    </w:p>
    <w:p>
      <w:pPr>
        <w:ind w:firstLine="560"/>
        <w:spacing w:line="500" w:lineRule="exact"/>
        <w:rPr>
          <w:rFonts w:ascii="仿宋" w:hAnsi="仿宋" w:eastAsia="仿宋"/>
          <w:b/>
          <w:color w:val="auto"/>
          <w:sz w:val="28"/>
          <w:szCs w:val="28"/>
          <w:highlight w:val="none"/>
        </w:rPr>
      </w:pPr>
      <w:r>
        <w:rPr>
          <w:rFonts w:hint="eastAsia" w:ascii="仿宋" w:hAnsi="仿宋" w:eastAsia="仿宋"/>
          <w:bCs/>
          <w:color w:val="auto"/>
          <w:sz w:val="28"/>
          <w:szCs w:val="28"/>
          <w:highlight w:val="none"/>
        </w:rPr>
        <w:t xml:space="preserve">标注</w:t>
      </w:r>
      <w:r>
        <w:rPr>
          <w:rFonts w:hint="eastAsia" w:ascii="仿宋" w:hAnsi="仿宋" w:eastAsia="仿宋" w:cs="仿宋"/>
          <w:bCs/>
          <w:color w:val="auto"/>
          <w:sz w:val="28"/>
          <w:szCs w:val="28"/>
          <w:highlight w:val="none"/>
        </w:rPr>
        <w:t xml:space="preserve">★</w:t>
      </w:r>
      <w:r>
        <w:rPr>
          <w:rFonts w:hint="eastAsia" w:ascii="仿宋" w:hAnsi="仿宋" w:eastAsia="仿宋"/>
          <w:bCs/>
          <w:color w:val="auto"/>
          <w:sz w:val="28"/>
          <w:szCs w:val="28"/>
          <w:highlight w:val="none"/>
        </w:rPr>
        <w:t xml:space="preserve">号的内容（如有）为实质性要求和条件，不允许有负偏离。</w:t>
      </w:r>
      <w:r/>
    </w:p>
    <w:p>
      <w:pPr>
        <w:jc w:val="center"/>
        <w:spacing w:line="600" w:lineRule="exact"/>
        <w:rPr>
          <w:rFonts w:ascii="方正小标宋简体" w:eastAsia="方正小标宋简体"/>
          <w:b/>
          <w:color w:val="auto"/>
          <w:sz w:val="32"/>
          <w:szCs w:val="32"/>
          <w:highlight w:val="none"/>
        </w:rPr>
        <w:outlineLvl w:val="0"/>
      </w:pPr>
      <w:r>
        <w:rPr>
          <w:rFonts w:ascii="方正小标宋简体" w:eastAsia="方正小标宋简体"/>
          <w:b/>
          <w:color w:val="auto"/>
          <w:sz w:val="44"/>
          <w:szCs w:val="28"/>
          <w:highlight w:val="none"/>
        </w:rPr>
        <w:br w:type="page" w:clear="all"/>
      </w:r>
      <w:bookmarkStart w:id="63" w:name="_Toc4710"/>
      <w:r>
        <w:rPr>
          <w:rFonts w:hint="eastAsia" w:ascii="方正小标宋简体" w:eastAsia="方正小标宋简体"/>
          <w:b/>
          <w:color w:val="auto"/>
          <w:sz w:val="32"/>
          <w:szCs w:val="32"/>
          <w:highlight w:val="none"/>
        </w:rPr>
        <w:t xml:space="preserve">第3章 采购需求</w:t>
      </w:r>
      <w:bookmarkEnd w:id="63"/>
      <w:r/>
      <w:r/>
    </w:p>
    <w:p>
      <w:pPr>
        <w:ind w:firstLine="562"/>
        <w:jc w:val="left"/>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投标人在制作投标文件时仔细研究</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需求说明。</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color w:val="auto"/>
          <w:sz w:val="28"/>
          <w:szCs w:val="28"/>
          <w:highlight w:val="none"/>
        </w:rPr>
        <w:t xml:space="preserve">采购人</w:t>
      </w:r>
      <w:r>
        <w:rPr>
          <w:rFonts w:ascii="仿宋" w:hAnsi="仿宋" w:eastAsia="仿宋"/>
          <w:b/>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color w:val="auto"/>
          <w:sz w:val="28"/>
          <w:szCs w:val="28"/>
          <w:highlight w:val="none"/>
        </w:rPr>
        <w:t xml:space="preserve">。</w:t>
      </w:r>
      <w:r/>
    </w:p>
    <w:p>
      <w:pPr>
        <w:ind w:firstLine="562"/>
        <w:spacing w:line="500" w:lineRule="exact"/>
        <w:rPr>
          <w:rFonts w:ascii="黑体" w:hAnsi="黑体" w:eastAsia="黑体"/>
          <w:b/>
          <w:color w:val="auto"/>
          <w:sz w:val="28"/>
          <w:szCs w:val="28"/>
          <w:highlight w:val="none"/>
        </w:rPr>
        <w:outlineLvl w:val="1"/>
      </w:pPr>
      <w:r/>
      <w:bookmarkStart w:id="64" w:name="_Toc27040"/>
      <w:r>
        <w:rPr>
          <w:rFonts w:hint="eastAsia" w:ascii="黑体" w:hAnsi="黑体" w:eastAsia="黑体"/>
          <w:b/>
          <w:color w:val="auto"/>
          <w:sz w:val="28"/>
          <w:szCs w:val="28"/>
          <w:highlight w:val="none"/>
        </w:rPr>
        <w:t xml:space="preserve">一、项目简介</w:t>
      </w:r>
      <w:bookmarkEnd w:id="64"/>
      <w:r/>
      <w:r/>
    </w:p>
    <w:p>
      <w:pPr>
        <w:ind w:firstLine="560"/>
        <w:jc w:val="left"/>
        <w:keepLines w:val="0"/>
        <w:keepNext w:val="0"/>
        <w:pageBreakBefore w:val="0"/>
        <w:spacing w:line="520" w:lineRule="exact"/>
        <w:widowControl w:val="off"/>
        <w:rPr>
          <w:rFonts w:ascii="仿宋" w:hAnsi="仿宋" w:eastAsia="仿宋" w:cs="仿宋"/>
          <w:color w:val="auto"/>
          <w:szCs w:val="24"/>
          <w:highlight w:val="none"/>
        </w:rPr>
      </w:pPr>
      <w:r>
        <w:rPr>
          <w:rFonts w:hint="eastAsia" w:ascii="仿宋" w:hAnsi="仿宋" w:eastAsia="仿宋"/>
          <w:bCs/>
          <w:color w:val="auto"/>
          <w:sz w:val="28"/>
          <w:szCs w:val="28"/>
          <w:highlight w:val="none"/>
        </w:rPr>
        <w:t xml:space="preserve">本项目</w:t>
      </w:r>
      <w:r>
        <w:rPr>
          <w:rFonts w:hint="eastAsia" w:ascii="仿宋" w:hAnsi="仿宋" w:eastAsia="仿宋"/>
          <w:bCs/>
          <w:color w:val="auto"/>
          <w:sz w:val="28"/>
          <w:szCs w:val="28"/>
          <w:highlight w:val="none"/>
          <w:lang w:val="en-US" w:eastAsia="zh-CN"/>
        </w:rPr>
        <w:t xml:space="preserve">为如皋市水源地水质自动监测监控预警能力提升建设项目（采购包2），</w:t>
      </w:r>
      <w:r>
        <w:rPr>
          <w:rFonts w:hint="eastAsia" w:ascii="仿宋" w:hAnsi="仿宋" w:eastAsia="仿宋"/>
          <w:bCs/>
          <w:color w:val="auto"/>
          <w:sz w:val="28"/>
          <w:szCs w:val="28"/>
          <w:highlight w:val="none"/>
        </w:rPr>
        <w:t xml:space="preserve">拟</w:t>
      </w:r>
      <w:r>
        <w:rPr>
          <w:rFonts w:hint="eastAsia" w:ascii="仿宋" w:hAnsi="仿宋" w:eastAsia="仿宋"/>
          <w:bCs/>
          <w:color w:val="auto"/>
          <w:sz w:val="28"/>
          <w:szCs w:val="28"/>
          <w:highlight w:val="none"/>
          <w:lang w:val="en-US" w:eastAsia="zh-CN"/>
        </w:rPr>
        <w:t xml:space="preserve">为</w:t>
      </w:r>
      <w:r>
        <w:rPr>
          <w:rFonts w:hint="eastAsia" w:ascii="仿宋" w:hAnsi="仿宋" w:eastAsia="仿宋"/>
          <w:bCs/>
          <w:color w:val="auto"/>
          <w:sz w:val="28"/>
          <w:szCs w:val="28"/>
          <w:highlight w:val="none"/>
        </w:rPr>
        <w:t xml:space="preserve">如皋长青沙水库应急水源地水质自动监测站和如皋鹏鹞上游预警水质自动监测站</w:t>
      </w:r>
      <w:r>
        <w:rPr>
          <w:rFonts w:hint="eastAsia" w:ascii="仿宋" w:hAnsi="仿宋" w:eastAsia="仿宋"/>
          <w:bCs/>
          <w:color w:val="auto"/>
          <w:sz w:val="28"/>
          <w:szCs w:val="28"/>
          <w:highlight w:val="none"/>
          <w:lang w:val="en-US" w:eastAsia="zh-CN"/>
        </w:rPr>
        <w:t xml:space="preserve">提供质控、巡查、应急监测等设备</w:t>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并</w:t>
      </w:r>
      <w:r>
        <w:rPr>
          <w:rFonts w:hint="eastAsia" w:ascii="仿宋" w:hAnsi="仿宋" w:eastAsia="仿宋"/>
          <w:bCs/>
          <w:color w:val="auto"/>
          <w:sz w:val="28"/>
          <w:szCs w:val="28"/>
          <w:highlight w:val="none"/>
        </w:rPr>
        <w:t xml:space="preserve">伴随安装、调试及售后服务。</w:t>
      </w:r>
      <w:r/>
    </w:p>
    <w:p>
      <w:pPr>
        <w:ind w:firstLine="562"/>
        <w:spacing w:line="500" w:lineRule="exact"/>
        <w:rPr>
          <w:rFonts w:ascii="黑体" w:hAnsi="黑体" w:eastAsia="黑体"/>
          <w:b/>
          <w:color w:val="auto"/>
          <w:sz w:val="28"/>
          <w:szCs w:val="28"/>
          <w:highlight w:val="none"/>
        </w:rPr>
        <w:outlineLvl w:val="1"/>
      </w:pPr>
      <w:r/>
      <w:bookmarkStart w:id="65" w:name="_Toc22943"/>
      <w:r>
        <w:rPr>
          <w:rFonts w:hint="eastAsia" w:ascii="黑体" w:hAnsi="黑体" w:eastAsia="黑体"/>
          <w:b/>
          <w:color w:val="auto"/>
          <w:sz w:val="28"/>
          <w:szCs w:val="28"/>
          <w:highlight w:val="none"/>
        </w:rPr>
        <w:t xml:space="preserve">二、采购内容</w:t>
      </w:r>
      <w:bookmarkEnd w:id="65"/>
      <w:r/>
      <w:r/>
    </w:p>
    <w:p>
      <w:pPr>
        <w:ind w:firstLine="560"/>
        <w:jc w:val="center"/>
        <w:spacing w:line="500" w:lineRule="exact"/>
        <w:rPr>
          <w:rFonts w:ascii="仿宋" w:hAnsi="仿宋" w:eastAsia="仿宋" w:cs="仿宋"/>
          <w:b/>
          <w:bCs w:val="0"/>
          <w:color w:val="auto"/>
          <w:sz w:val="28"/>
          <w:szCs w:val="28"/>
          <w:highlight w:val="none"/>
        </w:rPr>
      </w:pPr>
      <w:r>
        <w:rPr>
          <w:rFonts w:hint="eastAsia" w:ascii="仿宋" w:hAnsi="仿宋" w:eastAsia="仿宋"/>
          <w:b/>
          <w:bCs w:val="0"/>
          <w:color w:val="auto"/>
          <w:sz w:val="28"/>
          <w:szCs w:val="28"/>
          <w:highlight w:val="none"/>
        </w:rPr>
        <w:t xml:space="preserve">设备采购清单</w:t>
      </w:r>
      <w:r/>
    </w:p>
    <w:tbl>
      <w:tblPr>
        <w:tblStyle w:val="677"/>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4684"/>
        <w:gridCol w:w="1391"/>
        <w:gridCol w:w="2114"/>
      </w:tblGrid>
      <w:tr>
        <w:trPr>
          <w:jc w:val="center"/>
          <w:trHeight w:val="630"/>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设备名称</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数量</w:t>
            </w:r>
            <w:r/>
          </w:p>
        </w:tc>
        <w:tc>
          <w:tcPr>
            <w:tcW w:w="211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规格及技术参数</w:t>
            </w:r>
            <w:r/>
          </w:p>
        </w:tc>
      </w:tr>
      <w:tr>
        <w:trPr>
          <w:jc w:val="center"/>
          <w:trHeight w:val="323"/>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总磷总氮全自动分析仪</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1台</w:t>
            </w:r>
            <w:r/>
          </w:p>
        </w:tc>
        <w:tc>
          <w:tcPr>
            <w:tcW w:w="2114"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见技术要求</w:t>
            </w:r>
            <w:r/>
          </w:p>
        </w:tc>
      </w:tr>
      <w:tr>
        <w:trPr>
          <w:jc w:val="center"/>
          <w:trHeight w:val="323"/>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采水无人机</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1台</w:t>
            </w:r>
            <w:r/>
          </w:p>
        </w:tc>
        <w:tc>
          <w:tcPr>
            <w:tcW w:w="2114"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23"/>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便携式气相色谱质谱联用仪</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1台</w:t>
            </w:r>
            <w:r/>
          </w:p>
        </w:tc>
        <w:tc>
          <w:tcPr>
            <w:tcW w:w="2114"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33"/>
        </w:trPr>
        <w:tc>
          <w:tcPr>
            <w:gridSpan w:val="2"/>
            <w:tcW w:w="57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合计</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3台</w:t>
            </w:r>
            <w:r/>
          </w:p>
        </w:tc>
        <w:tc>
          <w:tcPr>
            <w:tcW w:w="2114"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核心产品为：</w:t>
      </w:r>
      <w:r>
        <w:rPr>
          <w:rFonts w:hint="eastAsia" w:ascii="仿宋" w:hAnsi="仿宋" w:eastAsia="仿宋"/>
          <w:bCs/>
          <w:color w:val="auto"/>
          <w:sz w:val="28"/>
          <w:szCs w:val="28"/>
          <w:highlight w:val="none"/>
          <w:u w:val="single"/>
        </w:rPr>
        <w:t xml:space="preserve">便携式气相色谱质谱联用仪</w:t>
      </w:r>
      <w:r/>
    </w:p>
    <w:p>
      <w:pPr>
        <w:ind w:firstLine="562"/>
        <w:spacing w:line="500" w:lineRule="exact"/>
        <w:rPr>
          <w:rFonts w:ascii="黑体" w:hAnsi="黑体" w:eastAsia="黑体"/>
          <w:b/>
          <w:color w:val="auto"/>
          <w:sz w:val="28"/>
          <w:szCs w:val="28"/>
          <w:highlight w:val="none"/>
        </w:rPr>
        <w:outlineLvl w:val="1"/>
      </w:pPr>
      <w:r/>
      <w:bookmarkStart w:id="66" w:name="_Toc27402"/>
      <w:r>
        <w:rPr>
          <w:rFonts w:hint="eastAsia" w:ascii="黑体" w:hAnsi="黑体" w:eastAsia="黑体"/>
          <w:b/>
          <w:color w:val="auto"/>
          <w:sz w:val="28"/>
          <w:szCs w:val="28"/>
          <w:highlight w:val="none"/>
        </w:rPr>
        <w:t xml:space="preserve">三、技术要求</w:t>
      </w:r>
      <w:bookmarkEnd w:id="66"/>
      <w:r/>
      <w:r/>
    </w:p>
    <w:p>
      <w:pPr>
        <w:pStyle w:val="891"/>
        <w:ind w:firstLine="561"/>
        <w:keepLines w:val="0"/>
        <w:keepNext w:val="0"/>
        <w:pageBreakBefore w:val="0"/>
        <w:spacing w:line="520" w:lineRule="exact"/>
        <w:widowControl w:val="off"/>
        <w:rPr>
          <w:rFonts w:ascii="仿宋" w:hAnsi="仿宋" w:eastAsia="仿宋" w:cs="宋体"/>
          <w:bCs/>
          <w:color w:val="auto"/>
          <w:sz w:val="28"/>
          <w:szCs w:val="28"/>
          <w:highlight w:val="none"/>
        </w:rPr>
        <w:outlineLvl w:val="9"/>
      </w:pPr>
      <w:r>
        <w:rPr>
          <w:rFonts w:hint="eastAsia" w:ascii="仿宋" w:hAnsi="仿宋" w:eastAsia="仿宋" w:cs="宋体"/>
          <w:bCs/>
          <w:color w:val="auto"/>
          <w:sz w:val="28"/>
          <w:szCs w:val="28"/>
          <w:highlight w:val="none"/>
        </w:rPr>
        <w:t xml:space="preserve">（一）总磷总氮全自动分析仪</w:t>
      </w:r>
      <w:r/>
    </w:p>
    <w:p>
      <w:pPr>
        <w:pStyle w:val="891"/>
        <w:ind w:firstLine="561"/>
        <w:keepLines w:val="0"/>
        <w:keepNext w:val="0"/>
        <w:pageBreakBefore w:val="0"/>
        <w:spacing w:line="520" w:lineRule="exact"/>
        <w:widowControl w:val="off"/>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1.用途要求</w:t>
      </w:r>
      <w:r/>
    </w:p>
    <w:p>
      <w:pPr>
        <w:pStyle w:val="891"/>
        <w:ind w:firstLine="561"/>
        <w:keepLines w:val="0"/>
        <w:keepNext w:val="0"/>
        <w:pageBreakBefore w:val="0"/>
        <w:spacing w:line="520" w:lineRule="exact"/>
        <w:widowControl w:val="off"/>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用于水样中总磷、总氮指标的实验室全自动分析。</w:t>
      </w:r>
      <w:r/>
    </w:p>
    <w:p>
      <w:pPr>
        <w:ind w:firstLine="561"/>
        <w:keepLines w:val="0"/>
        <w:keepNext w:val="0"/>
        <w:pageBreakBefore w:val="0"/>
        <w:spacing w:line="52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2.技术参数</w:t>
      </w:r>
      <w:r/>
    </w:p>
    <w:p>
      <w:pPr>
        <w:ind w:firstLine="561"/>
        <w:keepLines w:val="0"/>
        <w:keepNext w:val="0"/>
        <w:pageBreakBefore w:val="0"/>
        <w:spacing w:line="520" w:lineRule="exact"/>
        <w:widowControl w:val="off"/>
        <w:rPr>
          <w:rFonts w:ascii="仿宋" w:hAnsi="仿宋" w:eastAsia="仿宋" w:cs="宋体"/>
          <w:b/>
          <w:color w:val="auto"/>
          <w:sz w:val="28"/>
          <w:szCs w:val="28"/>
          <w:highlight w:val="none"/>
        </w:rPr>
      </w:pPr>
      <w:r>
        <w:rPr>
          <w:rFonts w:hint="eastAsia" w:ascii="仿宋" w:hAnsi="仿宋" w:eastAsia="仿宋" w:cs="宋体"/>
          <w:bCs/>
          <w:color w:val="auto"/>
          <w:sz w:val="28"/>
          <w:szCs w:val="28"/>
          <w:highlight w:val="none"/>
        </w:rPr>
        <w:t xml:space="preserve">2.1符合标准《水质总磷的测定钼酸铵分光光度法》（GB/T11893-1989）、《水质 总氮的测定 碱性过硫酸钾消解紫外分光光度法》（HJ636-2012）中规定检测方法。</w:t>
      </w:r>
      <w:r>
        <w:rPr>
          <w:rFonts w:hint="eastAsia" w:ascii="仿宋" w:hAnsi="仿宋" w:eastAsia="仿宋" w:cs="宋体"/>
          <w:b/>
          <w:color w:val="auto"/>
          <w:sz w:val="28"/>
          <w:szCs w:val="28"/>
          <w:highlight w:val="none"/>
        </w:rPr>
        <w:t xml:space="preserve">投标文件中须提供证明材料，包括但不限于产品说明书、彩页或白皮书。同时提供的承诺涵（格式自拟），承诺能根据中国环境监测总站的数智化转型相关标准或规范要求升级仪器设备，不提供视为无效投标</w:t>
      </w:r>
      <w:r/>
    </w:p>
    <w:p>
      <w:pPr>
        <w:pStyle w:val="891"/>
        <w:ind w:firstLine="561"/>
        <w:keepLines w:val="0"/>
        <w:keepNext w:val="0"/>
        <w:pageBreakBefore w:val="0"/>
        <w:spacing w:line="520" w:lineRule="exact"/>
        <w:widowControl w:val="off"/>
        <w:rPr>
          <w:rFonts w:hint="eastAsia" w:ascii="仿宋" w:hAnsi="仿宋" w:eastAsia="仿宋" w:cs="宋体"/>
          <w:b/>
          <w:color w:val="auto"/>
          <w:sz w:val="28"/>
          <w:szCs w:val="28"/>
          <w:highlight w:val="none"/>
          <w:lang w:eastAsia="zh-CN"/>
        </w:rPr>
      </w:pPr>
      <w:r>
        <w:rPr>
          <w:rFonts w:hint="eastAsia" w:ascii="仿宋" w:hAnsi="仿宋" w:eastAsia="仿宋"/>
          <w:bCs/>
          <w:color w:val="auto"/>
          <w:sz w:val="28"/>
          <w:szCs w:val="28"/>
          <w:highlight w:val="none"/>
        </w:rPr>
        <w:t xml:space="preserve">2.2</w:t>
      </w:r>
      <w:r>
        <w:rPr>
          <w:rFonts w:hint="eastAsia" w:ascii="仿宋" w:hAnsi="仿宋" w:eastAsia="仿宋" w:cs="宋体"/>
          <w:b/>
          <w:color w:val="auto"/>
          <w:sz w:val="28"/>
          <w:szCs w:val="28"/>
          <w:highlight w:val="none"/>
        </w:rPr>
        <w:t xml:space="preserve">自动配标：可使用高浓度母液进行自动配标，无需手工配置；投标文件中须提供设置软件截图</w:t>
      </w:r>
      <w:r>
        <w:rPr>
          <w:rFonts w:hint="eastAsia" w:ascii="仿宋" w:hAnsi="仿宋" w:eastAsia="仿宋" w:cs="宋体"/>
          <w:b/>
          <w:color w:val="auto"/>
          <w:sz w:val="28"/>
          <w:szCs w:val="28"/>
          <w:highlight w:val="none"/>
          <w:lang w:eastAsia="zh-CN"/>
        </w:rPr>
        <w:t xml:space="preserve">。</w:t>
      </w:r>
      <w:r/>
    </w:p>
    <w:p>
      <w:pPr>
        <w:ind w:firstLine="561"/>
        <w:keepLines w:val="0"/>
        <w:keepNext w:val="0"/>
        <w:pageBreakBefore w:val="0"/>
        <w:spacing w:line="52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2.3可单独测定总磷或总氮一个项目，或同时测试总磷、总氮两个项目；</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2.4消解系统，各样品独立密封、消解，确保消解温度为120-124℃，工作压力为1.1-1.4kg/cm</w:t>
      </w:r>
      <w:r>
        <w:rPr>
          <w:rFonts w:eastAsia="仿宋" w:cs="Calibri"/>
          <w:bCs/>
          <w:color w:val="auto"/>
          <w:sz w:val="28"/>
          <w:szCs w:val="28"/>
          <w:highlight w:val="none"/>
        </w:rPr>
        <w:t xml:space="preserve">²</w:t>
      </w:r>
      <w:r>
        <w:rPr>
          <w:rFonts w:hint="eastAsia" w:ascii="仿宋" w:hAnsi="仿宋" w:eastAsia="仿宋" w:cs="仿宋"/>
          <w:bCs/>
          <w:color w:val="auto"/>
          <w:sz w:val="28"/>
          <w:szCs w:val="28"/>
          <w:highlight w:val="none"/>
        </w:rPr>
        <w:t xml:space="preserve">，消解时间≥</w:t>
      </w:r>
      <w:r>
        <w:rPr>
          <w:rFonts w:hint="eastAsia" w:ascii="仿宋" w:hAnsi="仿宋" w:eastAsia="仿宋"/>
          <w:bCs/>
          <w:color w:val="auto"/>
          <w:sz w:val="28"/>
          <w:szCs w:val="28"/>
          <w:highlight w:val="none"/>
        </w:rPr>
        <w:t xml:space="preserve">30min；消解方式可采用高压蒸汽灭菌锅消解或电加热消解；</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2.5样品检测范围：总磷：（0.01-1.2）mg/L；总氮：（0.05-7.0）mg/L（样品无稀释）；</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2.6准确度：±5%；RSD＜3.5%；相关系数r＞0.999（自动配标）；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2.7</w:t>
      </w:r>
      <w:r>
        <w:rPr>
          <w:rFonts w:hint="eastAsia" w:ascii="仿宋" w:hAnsi="仿宋" w:eastAsia="仿宋" w:cs="宋体"/>
          <w:bCs/>
          <w:color w:val="auto"/>
          <w:sz w:val="28"/>
          <w:szCs w:val="28"/>
          <w:highlight w:val="none"/>
        </w:rPr>
        <w:t xml:space="preserve">浊度色度补偿：含有浊度或色度的总磷水样，可进行浊度色度补偿，扣除干扰；</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2.8具备方法报告导出功能，数据可导出留存，方法具备追溯性；</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2.9日志可查询，分析过程实时记录，分析过程具备追溯性。</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3.配置</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3.1总磷总氮自动分析仪1套；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3.2配套工作站1台（含配套操作软件1套）；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3.3长、宽、高为160cm*75cm*80cm和160cm*75cm*70cm（±2%）的实验室操作台各1组。</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（二）采水无人机</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1.采水无人机为遥控设备或自备程序控制装置操纵，为无人驾驶的航空器。无人机上搭载可按预定设置的采水单元（模块）、云台红外相机，完成水质采样和污染源排口排查的设备。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2.无人机水质采样系统包括无人机单元、采水单元。</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3.无人机单元包括无人机、飞行电池、云台红外相机、遥控器等。</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3.1无人机为旋翼或垂直起降无人机，能够自主规划航线，具悬停功能、飞行感知功能、避障功能，具有低电量报警功能，在故障、低电压、极端天气环境自动返航功能。</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3.2抗风等级不小于六级，同时无人机应可拆卸便于携带及运输。</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3.3最大载重：≥5kg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3.3最大起飞重量：≥10kg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3.4负载最大续航时间：≥50分钟</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3.5最大水平飞行速度：≥15m/s</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3.6最大飞行海拔高度：≥500m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3.7防护等级：≥IP45</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3.8工作温度：-10℃~50℃</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3.9定位系统：支持单北斗模式</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3.10悬停精度：垂直方向≤±0.5m  水平方向≤±1.5m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3.11支持云台安装，飞行器支持搭载云台负载数量≥3</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3.12电池可通过电池箱（仓）进行充电，能够显示电池电量。</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3.13电池容量≥20000mAh、电池能量</w:t>
      </w:r>
      <w:r>
        <w:rPr>
          <w:rFonts w:hint="eastAsia" w:ascii="仿宋" w:hAnsi="仿宋" w:eastAsia="仿宋"/>
          <w:bCs/>
          <w:color w:val="auto"/>
          <w:sz w:val="28"/>
          <w:szCs w:val="28"/>
          <w:highlight w:val="none"/>
        </w:rPr>
        <w:tab/>
      </w:r>
      <w:r>
        <w:rPr>
          <w:rFonts w:hint="eastAsia" w:ascii="仿宋" w:hAnsi="仿宋" w:eastAsia="仿宋"/>
          <w:bCs/>
          <w:color w:val="auto"/>
          <w:sz w:val="28"/>
          <w:szCs w:val="28"/>
          <w:highlight w:val="none"/>
        </w:rPr>
        <w:t xml:space="preserve">≥900Wh、电池循环次数≥400、电池重量≤5000克</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3.14无人机机身应具备FPV相机。</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3.15云台红外相机：通过无人机云台进行搭载，云台可控制红外相机俯仰、平移转动。</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3.15.1红外相机支持视频录制，通过APP端设置支持开启预录制，视频连续录制时不低于1小时。</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3.15.2负载广角相机有效像素：有效像素≥2400万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3.15.3负载广角相机照片尺寸：最大照片尺寸≥8064×6048</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3.15.4负载广角相机视频分辨率：视频分辨率≥3840×2160@30fps；</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3.15.5负载变焦相机有效像素：有效像素≥2000万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3.15.6负载变焦相机照片尺寸：最大照片尺寸≥7328x5496；</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3.15.7负载变焦相机可光光学变焦倍数：光学变焦能力≥16倍；</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3.15.8负载变焦相机可见光数码变焦倍数：数码变焦能力≥200倍；</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3.15.9红外相机数字变焦倍数：变焦倍数≥16倍；</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3.15.10红外相机视频分辨率：视频分辨率≥1280x1024@30fps</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3.15.11红外相机照片分辨率：分辨率1280x1024；</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3.15.12支持测温、高温报警功能以及红外成像模式。</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3.15.13支持近红外补光：支持开启近红外补光，增加夜视效果；</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3.15.14激光测距模块：最远测量距离≥1500米；</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3.15.15激光打点定位：支持在画面中央的目标上打点，可记录目标点的经纬度及高度。</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3.15.16相机存储空间≥64G，支持容量扩展；</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3.16遥控器具有远距离对无人机和采水单元进行监控和操纵功能，通常包括调度、规划任务、运行控制、记录显示等功能。</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3.16.1遥控器遥控距离：≥1km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3.16.2遥控器按键支持背景光</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3.16.3遥控器可通过内置或外置电池供电，电池续航时间≥2小时。</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3.16..4遥控器存储空间≥128G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4.采水单元</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4.1通过无人机云台搭载，采用采样绳+采水器组合。</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4.2采水器自重：≤2kg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4.3采水器容积：≥1L</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4.4采样绳放线长度：</w:t>
      </w:r>
      <w:bookmarkStart w:id="67" w:name="OLE_LINK10"/>
      <w:r>
        <w:rPr>
          <w:rFonts w:hint="eastAsia" w:ascii="仿宋" w:hAnsi="仿宋" w:eastAsia="仿宋"/>
          <w:bCs/>
          <w:color w:val="auto"/>
          <w:sz w:val="28"/>
          <w:szCs w:val="28"/>
          <w:highlight w:val="none"/>
        </w:rPr>
        <w:t xml:space="preserve">≥</w:t>
      </w:r>
      <w:bookmarkEnd w:id="67"/>
      <w:r>
        <w:rPr>
          <w:rFonts w:hint="eastAsia" w:ascii="仿宋" w:hAnsi="仿宋" w:eastAsia="仿宋"/>
          <w:bCs/>
          <w:color w:val="auto"/>
          <w:sz w:val="28"/>
          <w:szCs w:val="28"/>
          <w:highlight w:val="none"/>
        </w:rPr>
        <w:t xml:space="preserve">5m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4.5内置下视相机，像素≥200万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4.6采水单元具备毫米波雷达测距功能，测量距离流体的准确高度。</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4.7支持无人机遥控器一体化遥控采样单元，具有自动/手动控制采样，包括手动控制采样深度、上升/下降/停止等。</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4.8具备应急防绞线设计，紧急情况下支持远程一键断融线绳功能。</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5.配置清单</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5.1无人机主机                                      1套</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5.2红外相机及云台组件                              1套</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5.3飞行电池                                        3组</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5.4电池充电箱                                      1套</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5.5采水单元（包含</w:t>
      </w:r>
      <w:bookmarkStart w:id="68" w:name="OLE_LINK11"/>
      <w:r>
        <w:rPr>
          <w:rFonts w:hint="eastAsia" w:ascii="仿宋" w:hAnsi="仿宋" w:eastAsia="仿宋"/>
          <w:bCs/>
          <w:color w:val="auto"/>
          <w:sz w:val="28"/>
          <w:szCs w:val="28"/>
          <w:highlight w:val="none"/>
        </w:rPr>
        <w:t xml:space="preserve">1L采水器2个</w:t>
      </w:r>
      <w:bookmarkEnd w:id="68"/>
      <w:r>
        <w:rPr>
          <w:rFonts w:hint="eastAsia" w:ascii="仿宋" w:hAnsi="仿宋" w:eastAsia="仿宋"/>
          <w:bCs/>
          <w:color w:val="auto"/>
          <w:sz w:val="28"/>
          <w:szCs w:val="28"/>
          <w:highlight w:val="none"/>
        </w:rPr>
        <w:t xml:space="preserve">，2L采水器2个）    1套</w:t>
      </w:r>
      <w:r/>
    </w:p>
    <w:p>
      <w:pPr>
        <w:ind w:firstLine="560"/>
        <w:spacing w:line="500" w:lineRule="exact"/>
        <w:rPr>
          <w:rFonts w:ascii="仿宋" w:hAnsi="仿宋" w:eastAsia="仿宋" w:cs="仿宋"/>
          <w:bCs/>
          <w:color w:val="auto"/>
          <w:sz w:val="28"/>
          <w:szCs w:val="28"/>
          <w:highlight w:val="none"/>
        </w:rPr>
      </w:pPr>
      <w:r/>
      <w:bookmarkStart w:id="69" w:name="OLE_LINK6"/>
      <w:r>
        <w:rPr>
          <w:rFonts w:hint="eastAsia" w:ascii="仿宋" w:hAnsi="仿宋" w:eastAsia="仿宋" w:cs="仿宋"/>
          <w:bCs/>
          <w:color w:val="auto"/>
          <w:sz w:val="28"/>
          <w:szCs w:val="28"/>
          <w:highlight w:val="none"/>
        </w:rPr>
        <w:t xml:space="preserve">（三）便携式气相色谱质谱联用仪</w:t>
      </w:r>
      <w:bookmarkEnd w:id="69"/>
      <w:r>
        <w:rPr>
          <w:rFonts w:hint="eastAsia" w:ascii="仿宋" w:hAnsi="仿宋" w:eastAsia="仿宋" w:cs="仿宋"/>
          <w:bCs/>
          <w:color w:val="auto"/>
          <w:sz w:val="28"/>
          <w:szCs w:val="28"/>
          <w:highlight w:val="none"/>
        </w:rPr>
        <w:t xml:space="preserve">（核心产品）</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1.便携式气</w:t>
      </w:r>
      <w:r>
        <w:rPr>
          <w:rFonts w:hint="eastAsia" w:ascii="仿宋" w:hAnsi="仿宋" w:eastAsia="仿宋" w:cs="仿宋"/>
          <w:bCs/>
          <w:color w:val="auto"/>
          <w:sz w:val="28"/>
          <w:szCs w:val="28"/>
          <w:highlight w:val="none"/>
        </w:rPr>
        <w:t xml:space="preserve">相色谱质谱分析仪（GC-MS）用于污染事故现场大气、水体和土壤中挥发性和半挥发性有机污染物的快速定性及定量、半定量分析。便携式气相色谱质谱分析仪（GC-MS，含配套顶空/吹扫捕集功能）无需通过更换色谱柱或其它配置，即可同时满足或优于《环境空气 挥发性有机物的应急测定 便携式气相色谱-质谱法》（HJ 1223—2021）、《水质 挥发性有机物的应急测定 便携式顶空气相色谱-质谱法》（HJ 1227—2021）、《便携式气相色谱-质谱联用仪技术要求及实验方法》（GB/T 32210-2015）对仪器性能的要求。</w:t>
      </w:r>
      <w:r/>
    </w:p>
    <w:p>
      <w:pPr>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2.仪器配置包括但不限于以下部件：</w:t>
      </w:r>
      <w:r/>
    </w:p>
    <w:tbl>
      <w:tblPr>
        <w:tblStyle w:val="677"/>
        <w:tblW w:w="8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2181"/>
        <w:gridCol w:w="737"/>
        <w:gridCol w:w="600"/>
        <w:gridCol w:w="4622"/>
      </w:tblGrid>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序号</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名称</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数量</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单位</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便携式气质联用仪主机，包含采样探头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台</w:t>
            </w:r>
            <w:r/>
          </w:p>
        </w:tc>
        <w:tc>
          <w:tcPr>
            <w:tcBorders>
              <w:top w:val="single" w:color="auto" w:sz="4" w:space="0"/>
              <w:left w:val="single" w:color="auto" w:sz="4" w:space="0"/>
              <w:bottom w:val="single" w:color="auto" w:sz="4" w:space="0"/>
              <w:right w:val="single" w:color="auto" w:sz="4" w:space="0"/>
            </w:tcBorders>
            <w:tcW w:w="4622" w:type="dxa"/>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主机触屏操作，内装正版操作系统、控制和数据处理软件、最新原装正版等3种谱库</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顶空/吹扫捕集进样器</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ascii="仿宋" w:hAnsi="仿宋" w:eastAsia="仿宋" w:cs="仿宋"/>
                <w:bCs/>
                <w:color w:val="auto"/>
                <w:sz w:val="24"/>
                <w:highlight w:val="none"/>
                <w:lang w:bidi="en-US"/>
              </w:rPr>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3</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内置载气</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内标气</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6</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内置可充电池</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主机全新配套，配原装电池充电器1套，6-8小时主机续航能力</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数据线、电源适配器等</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ascii="仿宋" w:hAnsi="仿宋" w:eastAsia="仿宋" w:cs="仿宋"/>
                <w:bCs/>
                <w:color w:val="auto"/>
                <w:sz w:val="24"/>
                <w:highlight w:val="none"/>
                <w:lang w:bidi="en-US"/>
              </w:rPr>
            </w:r>
            <w:r/>
          </w:p>
        </w:tc>
      </w:tr>
      <w:tr>
        <w:trPr>
          <w:jc w:val="center"/>
          <w:trHeight w:val="90"/>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7</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与主机配套使用的移动数据终端和数据处理系统</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与主机配套使用的移动数据终端，配置控制和数据处理软件、最新原装正版等3种谱库；保证在事故现场可进行标准对照、模型预测、报告编制上报等功能。</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8</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40mL顶空瓶</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200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与动静态顶空进样器配套，透明瓶</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小推车</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台</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与便携气质主机配套使用</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顶空瓶垫片</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1000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片</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与40ml顶空瓶配套使用</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HJ 1223标气</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52组分的1ppm的2L标气</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12</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HJ 1227标液</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56组分的1ml的标液</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13</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移液枪10mL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配套10mL枪头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600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ascii="仿宋" w:hAnsi="仿宋" w:eastAsia="仿宋" w:cs="仿宋"/>
                <w:bCs/>
                <w:color w:val="auto"/>
                <w:sz w:val="24"/>
                <w:highlight w:val="none"/>
                <w:lang w:bidi="en-US"/>
              </w:rPr>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15</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配套1000μL枪头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17</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18</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19</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移液枪50μL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20</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配套50μL枪头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22</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23</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移液枪支架</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便于移液枪竖直放置</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微量注射器1000μL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25</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27</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微量注射器5μL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28</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bl>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3.配置与技术参数要求</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（1）整机与环境</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重量：≤25kg（包括续航不少于六小时的内置电池、内标气和载气瓶等），方便现场携带搬运。</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环境温度：-10～40℃；湿度：≤85%；气压：70～106 kPa</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1.3 预热时间≤1小时</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 支持内置电池供电和外部适配器交流供电两种供电方式，仪器可监控电池剩余电量，在供电不足时报警。</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（2）气相色谱部分</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2.1基本操作条件：全部色谱参数和操作条件可通过触屏操作设定并能被显示出来，并可传输到数据处理系统，其色谱参数和操作条件的设定内容可被保存和复制。仪器主机与其它配置系统的联机性强，操作简便。</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2.2气相色谱柱：与主机相匹配的温度可编程的毛细管色谱柱，可兼容其他毛细管色谱柱，可进行程序升温，气相色谱柱最大温度不低于220℃；升温速率不低于40℃/分钟。</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 </w:t>
      </w:r>
      <w:bookmarkStart w:id="70" w:name="_Hlk112328294"/>
      <w:r>
        <w:rPr>
          <w:rFonts w:hint="eastAsia" w:ascii="仿宋" w:hAnsi="仿宋" w:eastAsia="仿宋" w:cs="仿宋"/>
          <w:bCs/>
          <w:color w:val="auto"/>
          <w:sz w:val="28"/>
          <w:szCs w:val="28"/>
          <w:highlight w:val="none"/>
        </w:rPr>
        <w:t xml:space="preserve">样品进样：仪器同时内置吸附管及定量环，气体样品可通过吸附热解吸和定量环两种模式进样，可通过软件控制二者选其一使用，避免手动更换。</w:t>
      </w:r>
      <w:bookmarkEnd w:id="70"/>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2.4气相色谱柱体温度控制稳定性：≤0.5%</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2.5气相色谱柱体程序升温重复性：1%</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（3）质谱部分</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3.1质量分析器：四级杆质量分析器或离子阱质量分析器，精准匹配谱库。</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3.2可分析质量范围：18amu～300amu；</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3.3质量分辨率：≤1amu；</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3.4质量稳定性：≤±0.3amu； </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3.5扫描方式：全扫描；</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3.6扫描范围:41amu-300amu；</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3.7电离模式：70eV EI（非放射性离子源）；</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3.8检测器：电子倍增器；</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（4）检测性能</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4.1灵敏度：热解析进样：4×10</w:t>
      </w:r>
      <w:r>
        <w:rPr>
          <w:rFonts w:hint="eastAsia" w:ascii="仿宋" w:hAnsi="仿宋" w:eastAsia="仿宋" w:cs="仿宋"/>
          <w:bCs/>
          <w:color w:val="auto"/>
          <w:sz w:val="28"/>
          <w:szCs w:val="28"/>
          <w:highlight w:val="none"/>
          <w:vertAlign w:val="superscript"/>
        </w:rPr>
        <w:t xml:space="preserve">-3</w:t>
      </w:r>
      <w:r>
        <w:rPr>
          <w:rFonts w:hint="eastAsia" w:ascii="仿宋" w:hAnsi="仿宋" w:eastAsia="仿宋" w:cs="仿宋"/>
          <w:bCs/>
          <w:color w:val="auto"/>
          <w:sz w:val="28"/>
          <w:szCs w:val="28"/>
          <w:highlight w:val="none"/>
        </w:rPr>
        <w:t xml:space="preserve">mg/m</w:t>
      </w:r>
      <w:r>
        <w:rPr>
          <w:rFonts w:hint="eastAsia" w:ascii="仿宋" w:hAnsi="仿宋" w:eastAsia="仿宋" w:cs="仿宋"/>
          <w:bCs/>
          <w:color w:val="auto"/>
          <w:sz w:val="28"/>
          <w:szCs w:val="28"/>
          <w:highlight w:val="none"/>
          <w:vertAlign w:val="superscript"/>
        </w:rPr>
        <w:t xml:space="preserve">3</w:t>
      </w:r>
      <w:r>
        <w:rPr>
          <w:rFonts w:hint="eastAsia" w:ascii="仿宋" w:hAnsi="仿宋" w:eastAsia="仿宋" w:cs="仿宋"/>
          <w:bCs/>
          <w:color w:val="auto"/>
          <w:sz w:val="28"/>
          <w:szCs w:val="28"/>
          <w:highlight w:val="none"/>
        </w:rPr>
        <w:t xml:space="preserve">甲苯（SNR≥3:1），200mL；直接进样：1ng甲苯（SNR≥3:1）</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4.2定量重复性：≤20%（n=6）</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4.3定量稳定性：≤20%</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（5）气体采样探头</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5.1分析方式：采样探头内置采样泵，气体样品不经过色谱柱分离直接进入质谱检测；</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5.2气体采样探头与主机连接线外附保温层，低温环境下仍可正常使用。</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（6）顶空+吹扫捕集进样器</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6.1配置原厂便携顶空+吹扫捕集进样系统，系统能具备独立电源供给或由便携GC-MS主机提供现场能源供给，实现应急所必要的水、土样品处理及传输；</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 顶空+吹扫捕集系统具有适应于应急现场携带的便携性，重量≤10kg。 顶空+吹扫捕集进样器通过控温的传输管线与GC-MS主机相连，可形成闭环系统用于检测固体或液体中的VOCs或SVOC；</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6.3能够对样品瓶进行加热，加热范围：≥50℃；加热位：≥4位；</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6.4能够控制样品加热平衡温度和时间。</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（7）数据处理系统 </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7.1 </w:t>
      </w:r>
      <w:bookmarkStart w:id="71" w:name="_Hlk112337610"/>
      <w:r>
        <w:rPr>
          <w:rFonts w:hint="eastAsia" w:ascii="仿宋" w:hAnsi="仿宋" w:eastAsia="仿宋" w:cs="仿宋"/>
          <w:bCs/>
          <w:color w:val="auto"/>
          <w:sz w:val="28"/>
          <w:szCs w:val="28"/>
          <w:highlight w:val="none"/>
        </w:rPr>
        <w:t xml:space="preserve">简约直观的图形化操作界面、人机交互式触摸屏，可在无人值守情况下按照事先设置好的序列运行设备。</w:t>
      </w:r>
      <w:bookmarkEnd w:id="71"/>
      <w:r/>
      <w:r/>
    </w:p>
    <w:p>
      <w:pPr>
        <w:ind w:firstLine="560"/>
        <w:spacing w:line="520" w:lineRule="exact"/>
        <w:rPr>
          <w:rFonts w:ascii="仿宋" w:hAnsi="仿宋" w:eastAsia="仿宋" w:cs="仿宋"/>
          <w:bCs/>
          <w:color w:val="auto"/>
          <w:sz w:val="28"/>
          <w:szCs w:val="28"/>
          <w:highlight w:val="none"/>
        </w:rPr>
      </w:pPr>
      <w:r/>
      <w:bookmarkStart w:id="72" w:name="_Hlk112337620"/>
      <w:r>
        <w:rPr>
          <w:rFonts w:hint="eastAsia" w:ascii="仿宋" w:hAnsi="仿宋" w:eastAsia="仿宋" w:cs="仿宋"/>
          <w:bCs/>
          <w:color w:val="auto"/>
          <w:sz w:val="28"/>
          <w:szCs w:val="28"/>
          <w:highlight w:val="none"/>
        </w:rPr>
        <w:t xml:space="preserve">7.2 </w:t>
      </w:r>
      <w:bookmarkStart w:id="73" w:name="_Hlk113269578"/>
      <w:r>
        <w:rPr>
          <w:rFonts w:hint="eastAsia" w:ascii="仿宋" w:hAnsi="仿宋" w:eastAsia="仿宋" w:cs="仿宋"/>
          <w:bCs/>
          <w:color w:val="auto"/>
          <w:sz w:val="28"/>
          <w:szCs w:val="28"/>
          <w:highlight w:val="none"/>
        </w:rPr>
        <w:t xml:space="preserve">软件具有实时定性功能，在分析未结束时即可对已出峰的物质进行定性，提高现场检测效率。</w:t>
      </w:r>
      <w:bookmarkEnd w:id="72"/>
      <w:r/>
      <w:bookmarkEnd w:id="73"/>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7.3 </w:t>
      </w:r>
      <w:bookmarkStart w:id="74" w:name="_Hlk113269942"/>
      <w:r>
        <w:rPr>
          <w:rFonts w:hint="eastAsia" w:ascii="仿宋" w:hAnsi="仿宋" w:eastAsia="仿宋" w:cs="仿宋"/>
          <w:bCs/>
          <w:color w:val="auto"/>
          <w:sz w:val="28"/>
          <w:szCs w:val="28"/>
          <w:highlight w:val="none"/>
        </w:rPr>
        <w:t xml:space="preserve">具有自动调谐功能，无需输入电压或质量数等任何参数即可进行调谐，</w:t>
      </w:r>
      <w:bookmarkStart w:id="75" w:name="_Hlk112337927"/>
      <w:r>
        <w:rPr>
          <w:rFonts w:hint="eastAsia" w:ascii="仿宋" w:hAnsi="仿宋" w:eastAsia="仿宋" w:cs="仿宋"/>
          <w:bCs/>
          <w:color w:val="auto"/>
          <w:sz w:val="28"/>
          <w:szCs w:val="28"/>
          <w:highlight w:val="none"/>
        </w:rPr>
        <w:t xml:space="preserve">关键离子丰度应满足HJ1223-2021《环境空气 挥发性有机物的应急测定 便携式气相色谱-质谱法》的要求。</w:t>
      </w:r>
      <w:bookmarkEnd w:id="74"/>
      <w:r/>
      <w:bookmarkEnd w:id="75"/>
      <w:r/>
      <w:r/>
    </w:p>
    <w:p>
      <w:pPr>
        <w:ind w:firstLine="560"/>
        <w:spacing w:line="520" w:lineRule="exact"/>
        <w:rPr>
          <w:rFonts w:ascii="仿宋" w:hAnsi="仿宋" w:eastAsia="仿宋" w:cs="仿宋"/>
          <w:bCs/>
          <w:color w:val="auto"/>
          <w:sz w:val="28"/>
          <w:szCs w:val="28"/>
          <w:highlight w:val="none"/>
        </w:rPr>
      </w:pPr>
      <w:r/>
      <w:bookmarkStart w:id="76" w:name="_Hlk112337964"/>
      <w:r/>
      <w:bookmarkStart w:id="77" w:name="_Hlk113270627"/>
      <w:r>
        <w:rPr>
          <w:rFonts w:hint="eastAsia" w:ascii="仿宋" w:hAnsi="仿宋" w:eastAsia="仿宋" w:cs="仿宋"/>
          <w:bCs/>
          <w:color w:val="auto"/>
          <w:sz w:val="28"/>
          <w:szCs w:val="28"/>
          <w:highlight w:val="none"/>
        </w:rPr>
        <w:t xml:space="preserve">7.4设备内置北斗定位系统，符合《卫星定位导航授时设备单北斗测试技术规范》（FT-B07-0014-01）。</w:t>
      </w:r>
      <w:bookmarkEnd w:id="76"/>
      <w:r/>
      <w:bookmarkEnd w:id="77"/>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7.5 标准谱库：包含环境样品专用谱库（内含超过1000种物质）以及中文版化学品安全指导数据库（SIC），可提示GB职业接触限制、浓度转换系数、接触途径等信息。内装NIST与AMDIS的质谱库，NIOSH数据库。</w:t>
      </w:r>
      <w:r/>
    </w:p>
    <w:p>
      <w:pPr>
        <w:ind w:firstLine="28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（8）移液枪最大允许误差</w:t>
      </w:r>
      <w:r/>
    </w:p>
    <w:tbl>
      <w:tblPr>
        <w:tblStyle w:val="677"/>
        <w:tblpPr w:horzAnchor="page" w:tblpX="1677" w:vertAnchor="text" w:tblpY="638" w:leftFromText="180" w:topFromText="0" w:rightFromText="180" w:bottomFromText="0"/>
        <w:tblW w:w="91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6"/>
        <w:gridCol w:w="1998"/>
        <w:gridCol w:w="2002"/>
        <w:gridCol w:w="3173"/>
      </w:tblGrid>
      <w:tr>
        <w:trPr>
          <w:trHeight w:val="528"/>
          <w:tblHeader/>
        </w:trPr>
        <w:tc>
          <w:tcPr>
            <w:tcMar>
              <w:left w:w="120" w:type="dxa"/>
              <w:top w:w="120" w:type="dxa"/>
              <w:right w:w="120" w:type="dxa"/>
              <w:bottom w:w="120" w:type="dxa"/>
            </w:tcMar>
            <w:tcW w:w="1936" w:type="dxa"/>
            <w:vAlign w:val="center"/>
            <w:vMerge w:val="restart"/>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量程</w:t>
            </w:r>
            <w:r/>
          </w:p>
        </w:tc>
        <w:tc>
          <w:tcPr>
            <w:tcMar>
              <w:left w:w="120" w:type="dxa"/>
              <w:top w:w="120" w:type="dxa"/>
              <w:right w:w="120" w:type="dxa"/>
              <w:bottom w:w="120" w:type="dxa"/>
            </w:tcMar>
            <w:tcW w:w="1998"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体积 (μL)</w:t>
            </w:r>
            <w:r/>
          </w:p>
        </w:tc>
        <w:tc>
          <w:tcPr>
            <w:gridSpan w:val="2"/>
            <w:tcMar>
              <w:left w:w="120" w:type="dxa"/>
              <w:top w:w="120" w:type="dxa"/>
              <w:right w:w="120" w:type="dxa"/>
              <w:bottom w:w="120" w:type="dxa"/>
            </w:tcMar>
            <w:tcW w:w="517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最大允差范围</w:t>
            </w:r>
            <w:r/>
          </w:p>
        </w:tc>
      </w:tr>
      <w:tr>
        <w:trPr>
          <w:trHeight w:val="113"/>
        </w:trPr>
        <w:tc>
          <w:tcPr>
            <w:tcMar>
              <w:left w:w="120" w:type="dxa"/>
              <w:top w:w="120" w:type="dxa"/>
              <w:right w:w="120" w:type="dxa"/>
              <w:bottom w:w="120" w:type="dxa"/>
            </w:tcMar>
            <w:tcW w:w="1936" w:type="dxa"/>
            <w:vAlign w:val="center"/>
            <w:vMerge w:val="continue"/>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vMerge w:val="continue"/>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系统误差 (μL)</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随机误差 (μL)</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±0.09</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≤0.03</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±0.10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≤0.03</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±0.15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≤0.06</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≤0.08</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±0.27</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≤0.08</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≤0.10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±0.34</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±0.70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±0.75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≤0.40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±1.70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≤0.50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≤1.6</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±8.5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≤4.0</w:t>
            </w:r>
            <w:r/>
          </w:p>
        </w:tc>
      </w:tr>
    </w:tbl>
    <w:p>
      <w:pPr>
        <w:ind w:firstLine="560"/>
        <w:spacing w:line="500" w:lineRule="exact"/>
        <w:rPr>
          <w:rFonts w:ascii="仿宋" w:hAnsi="仿宋" w:eastAsia="仿宋"/>
          <w:bCs/>
          <w:color w:val="auto"/>
          <w:sz w:val="28"/>
          <w:szCs w:val="28"/>
          <w:highlight w:val="none"/>
        </w:rPr>
        <w:outlineLvl w:val="1"/>
      </w:pPr>
      <w:r/>
      <w:bookmarkStart w:id="78" w:name="_Toc2885"/>
      <w:r>
        <w:rPr>
          <w:rFonts w:hint="eastAsia" w:ascii="黑体" w:hAnsi="黑体" w:eastAsia="黑体"/>
          <w:bCs/>
          <w:color w:val="auto"/>
          <w:sz w:val="28"/>
          <w:szCs w:val="28"/>
          <w:highlight w:val="none"/>
        </w:rPr>
        <w:t xml:space="preserve">四、质量</w:t>
      </w:r>
      <w:bookmarkStart w:id="79" w:name="_Toc25182"/>
      <w:r>
        <w:rPr>
          <w:rFonts w:hint="eastAsia" w:ascii="黑体" w:hAnsi="黑体" w:eastAsia="黑体"/>
          <w:bCs/>
          <w:color w:val="auto"/>
          <w:sz w:val="28"/>
          <w:szCs w:val="28"/>
          <w:highlight w:val="none"/>
        </w:rPr>
        <w:t xml:space="preserve">保证</w:t>
      </w:r>
      <w:bookmarkEnd w:id="78"/>
      <w:r/>
      <w:bookmarkEnd w:id="79"/>
      <w:r/>
      <w:r/>
    </w:p>
    <w:p>
      <w:pPr>
        <w:ind w:firstLine="560"/>
        <w:spacing w:line="500" w:lineRule="exact"/>
        <w:rPr>
          <w:rFonts w:ascii="仿宋" w:hAnsi="仿宋" w:eastAsia="仿宋"/>
          <w:bCs/>
          <w:color w:val="auto"/>
          <w:sz w:val="28"/>
          <w:szCs w:val="28"/>
          <w:highlight w:val="none"/>
        </w:rPr>
      </w:pPr>
      <w:r/>
      <w:bookmarkStart w:id="80" w:name="_Toc5062"/>
      <w:r>
        <w:rPr>
          <w:rFonts w:hint="eastAsia" w:ascii="仿宋" w:hAnsi="仿宋" w:eastAsia="仿宋"/>
          <w:bCs/>
          <w:color w:val="auto"/>
          <w:sz w:val="28"/>
          <w:szCs w:val="28"/>
          <w:highlight w:val="none"/>
        </w:rPr>
        <w:t xml:space="preserve">1.建设期的质量保证</w:t>
      </w:r>
      <w:bookmarkEnd w:id="80"/>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（1）中标人不得以任何形式转包于他方。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（2）系统和设备达不到招标文件质量和规格要求的，采购人有权解除合同，所有责任由中标人承担。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（3）中标人必须严格按照合同约定工期要求将合同设备全部交付到指定地点，完成系统所有建设内容。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（4）报价中标人必须提供详细的仪器、设备和采用的各种材料明细清单，包括品牌、型号、详细配置、制造商、数量、备品备件及专用工具等等。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（5）为确保系统高质量建设，中标人应制定有关建设期间的质量保证计划，包括系统设计与施工规范化管理、仪器设备质量保证、技术人员资质及管理等。中标人必须提供详细的项目管理组织构架。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2.仪器准确度、精密度要求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（1）准确度要求：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按照国家相关标准规范进行考核。</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（2）精密度要求：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按照国家相关标准规范进行考核。</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供应商要自行对现场和周围环境进行实地踏勘，以获取有关编制响应文件和签订合同所需的各项资料。供应商应承担现场踏勘的责任和风险，费用自行承担。中标后和签订合同时及实施过程中，中标人均不得以不了解现场情况为由，提出任何形式增加费用的要求。</w:t>
      </w:r>
      <w:r/>
    </w:p>
    <w:p>
      <w:pPr>
        <w:ind w:firstLine="560"/>
        <w:spacing w:line="500" w:lineRule="exact"/>
        <w:rPr>
          <w:rFonts w:ascii="黑体" w:hAnsi="黑体" w:eastAsia="黑体"/>
          <w:bCs/>
          <w:color w:val="auto"/>
          <w:sz w:val="28"/>
          <w:szCs w:val="28"/>
          <w:highlight w:val="none"/>
        </w:rPr>
        <w:outlineLvl w:val="1"/>
      </w:pPr>
      <w:r/>
      <w:bookmarkStart w:id="81" w:name="_Toc781"/>
      <w:r>
        <w:rPr>
          <w:rFonts w:hint="eastAsia" w:ascii="黑体" w:hAnsi="黑体" w:eastAsia="黑体"/>
          <w:bCs/>
          <w:color w:val="auto"/>
          <w:sz w:val="28"/>
          <w:szCs w:val="28"/>
          <w:highlight w:val="none"/>
        </w:rPr>
        <w:t xml:space="preserve">五、交货期限和地点</w:t>
      </w:r>
      <w:bookmarkEnd w:id="81"/>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签定合同日期：自中标（成交）公告结束后30日内按时签约。</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交货期：自合同签</w:t>
      </w:r>
      <w:r>
        <w:rPr>
          <w:rFonts w:hint="eastAsia" w:ascii="仿宋" w:hAnsi="仿宋" w:eastAsia="仿宋"/>
          <w:bCs/>
          <w:color w:val="auto"/>
          <w:sz w:val="28"/>
          <w:szCs w:val="28"/>
          <w:highlight w:val="none"/>
          <w:lang w:val="en-US" w:eastAsia="zh-CN"/>
        </w:rPr>
        <w:t xml:space="preserve">订</w:t>
      </w:r>
      <w:r>
        <w:rPr>
          <w:rFonts w:hint="eastAsia" w:ascii="仿宋" w:hAnsi="仿宋" w:eastAsia="仿宋"/>
          <w:bCs/>
          <w:color w:val="auto"/>
          <w:sz w:val="28"/>
          <w:szCs w:val="28"/>
          <w:highlight w:val="none"/>
        </w:rPr>
        <w:t xml:space="preserve">之日起30天内完成安装、调试。</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w:t>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交货地点：采购人指定地点。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产品须为全新、未使用过的原装合格正品。安装质量符合各项现行技术规范和强制性标准。货物由成交供应商负责办理运输、装卸、安装、调试等，所有费用由成交供应商负责。采购方组织验收，检验不合格或不符合质量要求，成交供应商除无条件退货、返工外，还应承担采购方由此造成的一切损失。</w:t>
      </w:r>
      <w:r/>
    </w:p>
    <w:p>
      <w:pPr>
        <w:ind w:firstLine="560"/>
        <w:spacing w:line="500" w:lineRule="exact"/>
        <w:rPr>
          <w:rFonts w:ascii="黑体" w:hAnsi="黑体" w:eastAsia="黑体"/>
          <w:bCs/>
          <w:color w:val="auto"/>
          <w:sz w:val="28"/>
          <w:szCs w:val="28"/>
          <w:highlight w:val="none"/>
        </w:rPr>
        <w:outlineLvl w:val="1"/>
      </w:pPr>
      <w:r/>
      <w:bookmarkStart w:id="82" w:name="_Toc20601"/>
      <w:r>
        <w:rPr>
          <w:rFonts w:hint="eastAsia" w:ascii="黑体" w:hAnsi="黑体" w:eastAsia="黑体"/>
          <w:bCs/>
          <w:color w:val="auto"/>
          <w:sz w:val="28"/>
          <w:szCs w:val="28"/>
          <w:highlight w:val="none"/>
        </w:rPr>
        <w:t xml:space="preserve">六、验收方案</w:t>
      </w:r>
      <w:bookmarkEnd w:id="82"/>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1.验收标准：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按照国家及江苏省相关规范进行验收。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2.验收内容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项目的验收报告，报告内容包含但不限于：①供货清单；②安装调试情况；③试运行情况；④其他辅助设备运行报告；⑤培训情况；⑥所有仪器设备技术资料；⑦其他符合相关规范的资料（包括防雷报告等）。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3.验收方式</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此项目建设完成试运行期满后（联网调试完成后水站进入试运行，试运行应连续运行不少于 30 d），成交方须提供验收报告和书面申请，采购方在30个工作日内及时组织相关专业技术人员，必要时邀请相关职能部门共同参与验收（所产生费用均由中标人承担），并出具验收意见，作为支付货款的依据。</w:t>
      </w:r>
      <w:r/>
    </w:p>
    <w:p>
      <w:pPr>
        <w:ind w:firstLine="560"/>
        <w:spacing w:line="500" w:lineRule="exact"/>
        <w:rPr>
          <w:rFonts w:ascii="黑体" w:hAnsi="黑体" w:eastAsia="黑体"/>
          <w:bCs/>
          <w:color w:val="auto"/>
          <w:sz w:val="28"/>
          <w:szCs w:val="28"/>
          <w:highlight w:val="none"/>
        </w:rPr>
        <w:outlineLvl w:val="1"/>
      </w:pPr>
      <w:r/>
      <w:bookmarkStart w:id="83" w:name="_Toc20318"/>
      <w:r>
        <w:rPr>
          <w:rFonts w:hint="eastAsia" w:ascii="黑体" w:hAnsi="黑体" w:eastAsia="黑体"/>
          <w:bCs/>
          <w:color w:val="auto"/>
          <w:sz w:val="28"/>
          <w:szCs w:val="28"/>
          <w:highlight w:val="none"/>
        </w:rPr>
        <w:t xml:space="preserve">七、质量保证期限</w:t>
      </w:r>
      <w:bookmarkEnd w:id="83"/>
      <w:r/>
      <w:r/>
    </w:p>
    <w:p>
      <w:pPr>
        <w:ind w:firstLine="560"/>
        <w:spacing w:line="500" w:lineRule="exact"/>
        <w:rPr>
          <w:rFonts w:ascii="黑体" w:hAnsi="黑体" w:eastAsia="黑体"/>
          <w:bCs/>
          <w:color w:val="auto"/>
          <w:sz w:val="28"/>
          <w:szCs w:val="28"/>
          <w:highlight w:val="none"/>
        </w:rPr>
      </w:pPr>
      <w:r>
        <w:rPr>
          <w:rFonts w:hint="eastAsia" w:ascii="仿宋" w:hAnsi="仿宋" w:eastAsia="仿宋"/>
          <w:bCs/>
          <w:color w:val="auto"/>
          <w:sz w:val="28"/>
          <w:szCs w:val="28"/>
          <w:highlight w:val="none"/>
        </w:rPr>
        <w:t xml:space="preserve">质保期限（自交货并验收合格之日起计）：本项目整体保修3年。</w:t>
      </w:r>
      <w:r/>
    </w:p>
    <w:p>
      <w:pPr>
        <w:ind w:firstLine="560"/>
        <w:spacing w:line="500" w:lineRule="exact"/>
        <w:rPr>
          <w:rFonts w:ascii="黑体" w:hAnsi="黑体" w:eastAsia="黑体"/>
          <w:bCs/>
          <w:color w:val="auto"/>
          <w:sz w:val="28"/>
          <w:szCs w:val="28"/>
          <w:highlight w:val="none"/>
        </w:rPr>
        <w:outlineLvl w:val="1"/>
      </w:pPr>
      <w:r/>
      <w:bookmarkStart w:id="84" w:name="_Toc19684"/>
      <w:r>
        <w:rPr>
          <w:rFonts w:hint="eastAsia" w:ascii="黑体" w:hAnsi="黑体" w:eastAsia="黑体"/>
          <w:bCs/>
          <w:color w:val="auto"/>
          <w:sz w:val="28"/>
          <w:szCs w:val="28"/>
          <w:highlight w:val="none"/>
        </w:rPr>
        <w:t xml:space="preserve">八、售后服务</w:t>
      </w:r>
      <w:bookmarkEnd w:id="84"/>
      <w:r/>
      <w:r/>
    </w:p>
    <w:p>
      <w:pPr>
        <w:ind w:firstLine="562"/>
        <w:spacing w:line="50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1.所投飞行器保险：每年保障额度≥55000元，在保障额度内可享受不限次数的免费维修或置换服务，直至保障额度用完为止，共计三年。</w:t>
      </w:r>
      <w:r/>
    </w:p>
    <w:p>
      <w:pPr>
        <w:ind w:firstLine="562"/>
        <w:spacing w:line="50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2.所投云台相机保险：保障额度≥63250元，在保障额度内可享受不限次数的免费维修或置换服务，直至保障额度用完为止，共计三年。</w:t>
      </w:r>
      <w:r/>
    </w:p>
    <w:p>
      <w:pPr>
        <w:ind w:firstLine="562"/>
        <w:spacing w:line="50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3.培训考证：须飞行器培训设备及取得民用无人驾驶航空器操控员执照CAAC，共计4人。</w:t>
      </w:r>
      <w:r/>
    </w:p>
    <w:p>
      <w:pPr>
        <w:pStyle w:val="700"/>
        <w:ind w:firstLine="562"/>
        <w:rPr>
          <w:rFonts w:eastAsia="仿宋"/>
          <w:bCs/>
          <w:color w:val="auto"/>
          <w:highlight w:val="none"/>
        </w:rPr>
      </w:pPr>
      <w:r>
        <w:rPr>
          <w:rFonts w:hint="eastAsia" w:ascii="仿宋" w:hAnsi="仿宋" w:eastAsia="仿宋" w:cs="仿宋"/>
          <w:b/>
          <w:color w:val="auto"/>
          <w:sz w:val="28"/>
          <w:szCs w:val="28"/>
          <w:highlight w:val="none"/>
        </w:rPr>
        <w:t xml:space="preserve">以上1-3须在投标文件中提供承诺函（格式自拟），不提供视为无效投标。</w:t>
      </w:r>
      <w:r/>
    </w:p>
    <w:p>
      <w:pPr>
        <w:ind w:firstLine="561"/>
        <w:keepLines w:val="0"/>
        <w:keepNext w:val="0"/>
        <w:pageBreakBefore w:val="0"/>
        <w:spacing w:line="520" w:lineRule="exact"/>
        <w:widowControl w:val="off"/>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4.</w:t>
      </w:r>
      <w:r>
        <w:rPr>
          <w:rFonts w:hint="eastAsia" w:ascii="仿宋" w:hAnsi="仿宋" w:eastAsia="仿宋"/>
          <w:bCs/>
          <w:color w:val="auto"/>
          <w:sz w:val="28"/>
          <w:szCs w:val="28"/>
          <w:highlight w:val="none"/>
        </w:rPr>
        <w:t xml:space="preserve">提供产品售后服务机构名称、地址，以及专业技术人员名单和联系电话；</w:t>
      </w:r>
      <w:r/>
    </w:p>
    <w:p>
      <w:pPr>
        <w:pStyle w:val="884"/>
        <w:ind w:firstLine="561"/>
        <w:keepLines w:val="0"/>
        <w:keepNext w:val="0"/>
        <w:pageBreakBefore w:val="0"/>
        <w:spacing w:line="520" w:lineRule="exact"/>
        <w:widowControl w:val="off"/>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5.保修期内：24小时作出相应的问题答复；如电话不能解决问题，维修人员将在3个工作日内到达现场（视用户地理位置而定）如果仍未解决问题的，厂家需要提供相同性能仪器，在维修期内供用户免费备用。</w:t>
      </w:r>
      <w:r/>
    </w:p>
    <w:p>
      <w:pPr>
        <w:pStyle w:val="884"/>
        <w:ind w:firstLine="561"/>
        <w:keepLines w:val="0"/>
        <w:keepNext w:val="0"/>
        <w:pageBreakBefore w:val="0"/>
        <w:spacing w:line="520" w:lineRule="exact"/>
        <w:widowControl w:val="off"/>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6.成交供应商须到采购方提供现场免费安装、调试设备，进行操作试验，直至运行正常，为仪器操作人员提供必须的免费的操作及维护培训，仪器运转正常后可免培训费提供人员培训。</w:t>
      </w:r>
      <w:r/>
    </w:p>
    <w:p>
      <w:pPr>
        <w:ind w:firstLine="561"/>
        <w:keepLines w:val="0"/>
        <w:keepNext w:val="0"/>
        <w:pageBreakBefore w:val="0"/>
        <w:spacing w:line="520" w:lineRule="exact"/>
        <w:widowControl w:val="off"/>
        <w:rPr>
          <w:rFonts w:ascii="黑体" w:hAnsi="黑体" w:eastAsia="黑体"/>
          <w:bCs/>
          <w:color w:val="auto"/>
          <w:sz w:val="28"/>
          <w:szCs w:val="28"/>
          <w:highlight w:val="none"/>
        </w:rPr>
        <w:outlineLvl w:val="1"/>
      </w:pPr>
      <w:r/>
      <w:bookmarkStart w:id="85" w:name="_Toc5788"/>
      <w:r>
        <w:rPr>
          <w:rFonts w:hint="eastAsia" w:ascii="黑体" w:hAnsi="黑体" w:eastAsia="黑体"/>
          <w:bCs/>
          <w:color w:val="auto"/>
          <w:sz w:val="28"/>
          <w:szCs w:val="28"/>
          <w:highlight w:val="none"/>
        </w:rPr>
        <w:t xml:space="preserve">九、付款方式</w:t>
      </w:r>
      <w:bookmarkEnd w:id="85"/>
      <w:r/>
      <w:r/>
    </w:p>
    <w:p>
      <w:pPr>
        <w:ind w:firstLine="561"/>
        <w:keepLines w:val="0"/>
        <w:keepNext w:val="0"/>
        <w:pageBreakBefore w:val="0"/>
        <w:spacing w:line="52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合同签订后预付合同金额40%，设备安装、调试、培训、验收合格后支付全同金额60%，每次支付前，中标人均应出具在税务部门开具的正式发票。</w:t>
      </w:r>
      <w:r/>
    </w:p>
    <w:p>
      <w:pPr>
        <w:ind w:firstLine="561"/>
        <w:keepLines w:val="0"/>
        <w:keepNext w:val="0"/>
        <w:pageBreakBefore w:val="0"/>
        <w:spacing w:line="52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w:t>
      </w:r>
      <w:r>
        <w:rPr>
          <w:rFonts w:hint="eastAsia" w:ascii="仿宋" w:hAnsi="仿宋" w:eastAsia="仿宋" w:cs="宋体"/>
          <w:bCs/>
          <w:color w:val="auto"/>
          <w:sz w:val="28"/>
          <w:szCs w:val="28"/>
          <w:highlight w:val="none"/>
        </w:rPr>
        <w:t xml:space="preserve">履约保证金</w:t>
      </w:r>
      <w:r>
        <w:rPr>
          <w:rFonts w:hint="eastAsia" w:ascii="仿宋" w:hAnsi="仿宋" w:eastAsia="仿宋"/>
          <w:bCs/>
          <w:color w:val="auto"/>
          <w:sz w:val="28"/>
          <w:szCs w:val="28"/>
          <w:highlight w:val="none"/>
        </w:rPr>
        <w:t xml:space="preserve">。</w:t>
      </w:r>
      <w:r/>
    </w:p>
    <w:p>
      <w:pPr>
        <w:ind w:firstLine="561"/>
        <w:keepLines w:val="0"/>
        <w:keepNext w:val="0"/>
        <w:pageBreakBefore w:val="0"/>
        <w:spacing w:line="520" w:lineRule="exact"/>
        <w:widowControl w:val="off"/>
        <w:rPr>
          <w:rFonts w:ascii="仿宋" w:hAnsi="仿宋" w:eastAsia="仿宋"/>
          <w:bCs/>
          <w:color w:val="auto"/>
          <w:sz w:val="28"/>
          <w:szCs w:val="28"/>
          <w:highlight w:val="none"/>
        </w:rPr>
        <w:outlineLvl w:val="1"/>
      </w:pPr>
      <w:r/>
      <w:bookmarkStart w:id="86" w:name="_Toc8137"/>
      <w:r>
        <w:rPr>
          <w:rFonts w:hint="eastAsia" w:ascii="黑体" w:hAnsi="黑体" w:eastAsia="黑体"/>
          <w:bCs/>
          <w:color w:val="auto"/>
          <w:sz w:val="28"/>
          <w:szCs w:val="28"/>
          <w:highlight w:val="none"/>
        </w:rPr>
        <w:t xml:space="preserve">十、其他要求</w:t>
      </w:r>
      <w:bookmarkEnd w:id="86"/>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（一）报价要求：</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报价要求：报价人报价应包含设备的制造、包装、运输、装卸、保险、验收、安装调试（试运行）、售后服务、人员培训、检验、税金、代理服务费等与本项目相关的一切费用。成交价之外采购人不再支付任何费用。</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（二）报价含响应供应商为完成采购文件全部要求内容应承担的一切成本、费用和支出以及供应商的合理利润等交付使用前一切费用。不接受选择性报价。</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（三）供应商中标后应保证在本项目中心站数据信息平台的任何产品使用（包括部分使用）时，不会产生因第三方提出侵犯其专利权、商标权或其它知识产权而引起的法律和经济纠纷。</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（四）供应商中标后需向采购人开放数据库访问协议，以保证系统与其他业务系统集成时，其他业务系统无障碍将环境信息接入系统。同时，原先系统集成商须无条件开放系统协议，供中标人设备接入原系统。</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如采用中标人所不拥有的知识产权，则在投标价中必须包括合法获取该知识产权的相关费用。如用到第三方中间件，中标后需提供第三方原厂对本项目的授权证书。中标人应自觉维护委托单位的利益，不得向任何单位和个人泄漏从委托单位获得的数据，不得将所掌握的数据用于其他商业用途谋取私利。</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六）试运行期间，中标人应进行全程跟踪，提供全面技术支持服务，确保试运行的顺利进行。在试运行期间，中标人应当根据采购人的要求，不断修改和完善系统功能和性能，直至采购人满意。如发生故障给采购人造成损失的，中标人应当承担损失赔偿责任。</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（七）项目交付的同时需完成文档交付工作。</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（八）现场踏勘时间、地点</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投标时须提供现场踏勘承诺函。</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p>
      <w:pPr>
        <w:contextualSpacing/>
        <w:ind w:firstLine="562"/>
        <w:shd w:val="clear" w:color="auto" w:fill="ffffff"/>
        <w:widowControl/>
        <w:rPr>
          <w:rFonts w:ascii="仿宋" w:hAnsi="仿宋" w:eastAsia="仿宋"/>
          <w:b/>
          <w:color w:val="auto"/>
          <w:sz w:val="28"/>
          <w:szCs w:val="28"/>
          <w:highlight w:val="none"/>
        </w:rPr>
      </w:pPr>
      <w:r>
        <w:rPr>
          <w:rFonts w:ascii="仿宋" w:hAnsi="仿宋" w:eastAsia="仿宋"/>
          <w:b/>
          <w:color w:val="auto"/>
          <w:sz w:val="28"/>
          <w:szCs w:val="28"/>
          <w:highlight w:val="none"/>
        </w:rPr>
      </w:r>
      <w:r/>
    </w:p>
    <w:p>
      <w:pPr>
        <w:pStyle w:val="876"/>
        <w:ind w:firstLine="0"/>
        <w:jc w:val="center"/>
        <w:spacing w:line="240" w:lineRule="auto"/>
        <w:rPr>
          <w:rFonts w:ascii="方正小标宋简体" w:eastAsia="方正小标宋简体"/>
          <w:b/>
          <w:color w:val="auto"/>
          <w:sz w:val="32"/>
          <w:szCs w:val="32"/>
          <w:highlight w:val="none"/>
        </w:rPr>
        <w:outlineLvl w:val="0"/>
      </w:pPr>
      <w:r>
        <w:rPr>
          <w:rFonts w:ascii="方正小标宋简体" w:eastAsia="方正小标宋简体"/>
          <w:b/>
          <w:color w:val="auto"/>
          <w:sz w:val="32"/>
          <w:szCs w:val="32"/>
          <w:highlight w:val="none"/>
        </w:rPr>
        <w:br w:type="page" w:clear="all"/>
      </w:r>
      <w:bookmarkStart w:id="87" w:name="_Toc2487"/>
      <w:r>
        <w:rPr>
          <w:rFonts w:hint="eastAsia" w:ascii="方正小标宋简体" w:eastAsia="方正小标宋简体"/>
          <w:b/>
          <w:color w:val="auto"/>
          <w:sz w:val="32"/>
          <w:szCs w:val="32"/>
          <w:highlight w:val="none"/>
        </w:rPr>
        <w:t xml:space="preserve">第4章 合同文本</w:t>
      </w:r>
      <w:bookmarkEnd w:id="87"/>
      <w:r/>
      <w:r/>
    </w:p>
    <w:p>
      <w:pPr>
        <w:jc w:val="center"/>
        <w:spacing w:before="19"/>
        <w:widowControl/>
        <w:rPr>
          <w:rFonts w:ascii="方正小标宋简体" w:eastAsia="方正小标宋简体"/>
          <w:b/>
          <w:color w:val="auto"/>
          <w:sz w:val="32"/>
          <w:szCs w:val="32"/>
          <w:highlight w:val="none"/>
        </w:rPr>
      </w:pPr>
      <w:r>
        <w:rPr>
          <w:rFonts w:hint="eastAsia" w:ascii="方正小标宋简体" w:eastAsia="方正小标宋简体"/>
          <w:b/>
          <w:color w:val="auto"/>
          <w:sz w:val="32"/>
          <w:szCs w:val="32"/>
          <w:highlight w:val="none"/>
        </w:rPr>
        <w:t xml:space="preserve">如皋市政府采购合同</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甲方 : 南通市如皋生态环境局</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乙方 : </w:t>
      </w:r>
      <w:r/>
    </w:p>
    <w:p>
      <w:pPr>
        <w:spacing w:before="19"/>
        <w:widowControl/>
        <w:rPr>
          <w:rFonts w:ascii="仿宋_GB2312" w:hAnsi="宋体" w:eastAsia="仿宋_GB2312"/>
          <w:bCs/>
          <w:color w:val="auto"/>
          <w:sz w:val="24"/>
          <w:highlight w:val="none"/>
        </w:rPr>
      </w:pPr>
      <w:r>
        <w:rPr>
          <w:rFonts w:hint="eastAsia" w:ascii="仿宋_GB2312" w:hAnsi="宋体" w:eastAsia="仿宋_GB2312"/>
          <w:bCs/>
          <w:color w:val="auto"/>
          <w:sz w:val="24"/>
          <w:highlight w:val="none"/>
        </w:rPr>
        <w:t xml:space="preserve">（南通市如皋生态环境局）（</w:t>
      </w:r>
      <w:r>
        <w:rPr>
          <w:rFonts w:hint="eastAsia" w:ascii="仿宋_GB2312" w:hAnsi="宋体" w:eastAsia="仿宋_GB2312"/>
          <w:bCs/>
          <w:color w:val="auto"/>
          <w:sz w:val="24"/>
          <w:highlight w:val="none"/>
          <w:lang w:eastAsia="zh-CN"/>
        </w:rPr>
        <w:t xml:space="preserve">如皋市水源地水质自动监测监控预警能力提升建设项目（采购包2）</w:t>
      </w:r>
      <w:r>
        <w:rPr>
          <w:rFonts w:hint="eastAsia" w:ascii="仿宋_GB2312" w:hAnsi="宋体" w:eastAsia="仿宋_GB2312"/>
          <w:bCs/>
          <w:color w:val="auto"/>
          <w:sz w:val="24"/>
          <w:highlight w:val="none"/>
        </w:rPr>
        <w:t xml:space="preserve">项目）委托（</w:t>
      </w:r>
      <w:r>
        <w:rPr>
          <w:rFonts w:hint="eastAsia" w:ascii="仿宋_GB2312" w:hAnsi="宋体" w:eastAsia="仿宋_GB2312"/>
          <w:bCs/>
          <w:color w:val="0000ff"/>
          <w:sz w:val="24"/>
          <w:highlight w:val="none"/>
        </w:rPr>
        <w:t xml:space="preserve">南通中江工程项目管理有限公司</w:t>
      </w:r>
      <w:r>
        <w:rPr>
          <w:rFonts w:hint="eastAsia" w:ascii="仿宋_GB2312" w:hAnsi="宋体" w:eastAsia="仿宋_GB2312"/>
          <w:bCs/>
          <w:color w:val="auto"/>
          <w:sz w:val="24"/>
          <w:highlight w:val="none"/>
        </w:rPr>
        <w:t xml:space="preserve">）进行了政府采购。按照评委会评审推荐、甲方确定乙方为中标单位。现甲乙双方协商同意签订本合同。</w:t>
      </w:r>
      <w:r/>
    </w:p>
    <w:p>
      <w:pPr>
        <w:numPr>
          <w:ilvl w:val="0"/>
          <w:numId w:val="1"/>
        </w:num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货物及其数量如下表：</w:t>
      </w:r>
      <w:r/>
    </w:p>
    <w:tbl>
      <w:tblPr>
        <w:tblStyle w:val="677"/>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货物名称</w:t>
            </w:r>
            <w:r/>
          </w:p>
        </w:tc>
        <w:tc>
          <w:tcPr>
            <w:tcW w:w="3256"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规格型号</w:t>
            </w:r>
            <w:r/>
          </w:p>
        </w:tc>
        <w:tc>
          <w:tcPr>
            <w:tcW w:w="76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单位</w:t>
            </w:r>
            <w:r/>
          </w:p>
        </w:tc>
        <w:tc>
          <w:tcPr>
            <w:tcW w:w="76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数量</w:t>
            </w:r>
            <w:r/>
          </w:p>
        </w:tc>
        <w:tc>
          <w:tcPr>
            <w:tcW w:w="120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单价</w:t>
            </w:r>
            <w:r/>
          </w:p>
        </w:tc>
        <w:tc>
          <w:tcPr>
            <w:tcW w:w="1425"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总价</w:t>
            </w:r>
            <w:r/>
          </w:p>
        </w:tc>
      </w:tr>
      <w:tr>
        <w:trPr>
          <w:cantSplit/>
          <w:jc w:val="center"/>
          <w:trHeight w:val="510"/>
        </w:trPr>
        <w:tc>
          <w:tcPr>
            <w:tcW w:w="1580"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3256"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203"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425"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r>
      <w:tr>
        <w:trPr>
          <w:cantSplit/>
          <w:jc w:val="center"/>
          <w:trHeight w:val="510"/>
        </w:trPr>
        <w:tc>
          <w:tcPr>
            <w:tcW w:w="1580"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3256"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203"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425"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r>
      <w:tr>
        <w:trPr>
          <w:cantSplit/>
          <w:jc w:val="center"/>
          <w:trHeight w:val="510"/>
        </w:trPr>
        <w:tc>
          <w:tcPr>
            <w:tcW w:w="1580" w:type="dxa"/>
            <w:vAlign w:val="center"/>
            <w:textDirection w:val="lrTb"/>
            <w:noWrap w:val="false"/>
          </w:tcPr>
          <w:p>
            <w:pPr>
              <w:rPr>
                <w:rFonts w:ascii="仿宋" w:hAnsi="仿宋" w:eastAsia="仿宋"/>
                <w:bCs/>
                <w:color w:val="auto"/>
                <w:sz w:val="24"/>
                <w:highlight w:val="none"/>
              </w:rPr>
            </w:pPr>
            <w:r>
              <w:rPr>
                <w:rFonts w:hint="eastAsia" w:ascii="仿宋" w:hAnsi="仿宋" w:eastAsia="仿宋"/>
                <w:bCs/>
                <w:color w:val="auto"/>
                <w:sz w:val="24"/>
                <w:highlight w:val="none"/>
              </w:rPr>
              <w:t xml:space="preserve">总      计</w:t>
            </w:r>
            <w:r/>
          </w:p>
        </w:tc>
        <w:tc>
          <w:tcPr>
            <w:gridSpan w:val="3"/>
            <w:tcW w:w="4794" w:type="dxa"/>
            <w:vAlign w:val="center"/>
            <w:textDirection w:val="lrTb"/>
            <w:noWrap w:val="false"/>
          </w:tcPr>
          <w:p>
            <w:pPr>
              <w:rPr>
                <w:rFonts w:ascii="仿宋" w:hAnsi="仿宋" w:eastAsia="仿宋"/>
                <w:bCs/>
                <w:color w:val="auto"/>
                <w:sz w:val="24"/>
                <w:highlight w:val="none"/>
              </w:rPr>
            </w:pPr>
            <w:r>
              <w:rPr>
                <w:rFonts w:hint="eastAsia" w:ascii="仿宋" w:hAnsi="仿宋" w:eastAsia="仿宋"/>
                <w:bCs/>
                <w:color w:val="auto"/>
                <w:sz w:val="24"/>
                <w:highlight w:val="none"/>
              </w:rPr>
              <w:t xml:space="preserve">（大写）</w:t>
            </w:r>
            <w:r/>
          </w:p>
        </w:tc>
        <w:tc>
          <w:tcPr>
            <w:gridSpan w:val="2"/>
            <w:tcW w:w="2628" w:type="dxa"/>
            <w:vAlign w:val="center"/>
            <w:textDirection w:val="lrTb"/>
            <w:noWrap w:val="false"/>
          </w:tcPr>
          <w:p>
            <w:pPr>
              <w:rPr>
                <w:rFonts w:ascii="仿宋" w:hAnsi="仿宋" w:eastAsia="仿宋"/>
                <w:bCs/>
                <w:color w:val="auto"/>
                <w:sz w:val="24"/>
                <w:highlight w:val="none"/>
              </w:rPr>
            </w:pPr>
            <w:r>
              <w:rPr>
                <w:rFonts w:hint="eastAsia" w:ascii="仿宋" w:hAnsi="仿宋" w:eastAsia="仿宋"/>
                <w:bCs/>
                <w:color w:val="auto"/>
                <w:sz w:val="24"/>
                <w:highlight w:val="none"/>
              </w:rPr>
              <w:t xml:space="preserve">￥</w:t>
            </w:r>
            <w:r/>
          </w:p>
        </w:tc>
      </w:tr>
    </w:tbl>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质保期：</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交货时间：</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交货地点：</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付款：</w:t>
      </w:r>
      <w:r/>
    </w:p>
    <w:p>
      <w:pPr>
        <w:ind w:left="426" w:firstLine="480"/>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u w:val="single"/>
        </w:rPr>
        <w:t xml:space="preserve">合同签订后预付合同金额40%，设备安装、调试、培训、验收合格后支付全同金额60%，每次支付前，中标人均应出具在税务部门开具的正式发票。</w:t>
      </w:r>
      <w:r/>
    </w:p>
    <w:p>
      <w:pPr>
        <w:ind w:left="426"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w:t>
      </w:r>
      <w:r>
        <w:rPr>
          <w:rFonts w:hint="eastAsia" w:ascii="仿宋" w:hAnsi="仿宋" w:eastAsia="仿宋" w:cs="宋体"/>
          <w:bCs/>
          <w:color w:val="auto"/>
          <w:sz w:val="24"/>
          <w:szCs w:val="24"/>
          <w:highlight w:val="none"/>
          <w:u w:val="single"/>
        </w:rPr>
        <w:t xml:space="preserve">履约保证金</w:t>
      </w:r>
      <w:r>
        <w:rPr>
          <w:rFonts w:hint="eastAsia" w:ascii="仿宋" w:hAnsi="仿宋" w:eastAsia="仿宋"/>
          <w:bCs/>
          <w:color w:val="auto"/>
          <w:sz w:val="24"/>
          <w:highlight w:val="none"/>
          <w:u w:val="single"/>
        </w:rPr>
        <w:t xml:space="preserve">。</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合同纠纷处理：本合同执行过程中发生纠纷，由甲方和乙方协商处理。</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合同生效：本合同由甲乙双方签字盖章后生效。</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组成本合同的文件包括：</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本合同一式两份，甲方持一份，乙方持一份。</w:t>
      </w:r>
      <w:r/>
    </w:p>
    <w:tbl>
      <w:tblPr>
        <w:tblStyle w:val="677"/>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甲方（公章）：南通市如皋生态环境局</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地址：</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法定代表人（授权人）：</w:t>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right"/>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年月日</w:t>
            </w:r>
            <w:r/>
          </w:p>
        </w:tc>
        <w:tc>
          <w:tcPr>
            <w:tcW w:w="4261" w:type="dxa"/>
            <w:textDirection w:val="lrTb"/>
            <w:noWrap w:val="false"/>
          </w:tcPr>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乙方（公章）：</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地址：</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法定代表人（授权人）：</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户名：</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开户银行：</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账号：</w:t>
            </w:r>
            <w:r/>
          </w:p>
          <w:p>
            <w:pPr>
              <w:jc w:val="right"/>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年月日</w:t>
            </w:r>
            <w:r/>
          </w:p>
        </w:tc>
      </w:tr>
    </w:tbl>
    <w:p>
      <w:pPr>
        <w:jc w:val="right"/>
        <w:spacing w:before="19"/>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center"/>
        <w:spacing w:before="19"/>
        <w:widowControl/>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合同专用条款</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第一条 供货及知识产权</w:t>
      </w:r>
      <w:r/>
    </w:p>
    <w:p>
      <w:pPr>
        <w:ind w:firstLine="480"/>
        <w:rPr>
          <w:rFonts w:ascii="仿宋" w:hAnsi="仿宋" w:eastAsia="仿宋"/>
          <w:bCs/>
          <w:color w:val="auto"/>
          <w:sz w:val="24"/>
          <w:highlight w:val="none"/>
        </w:rPr>
      </w:pPr>
      <w:r>
        <w:rPr>
          <w:rFonts w:ascii="仿宋" w:hAnsi="仿宋" w:eastAsia="仿宋"/>
          <w:bCs/>
          <w:color w:val="auto"/>
          <w:sz w:val="24"/>
          <w:highlight w:val="none"/>
        </w:rPr>
        <w:t xml:space="preserve">乙方应按</w:t>
      </w:r>
      <w:r>
        <w:rPr>
          <w:rFonts w:hint="eastAsia" w:ascii="仿宋" w:hAnsi="仿宋" w:eastAsia="仿宋"/>
          <w:bCs/>
          <w:color w:val="auto"/>
          <w:sz w:val="24"/>
          <w:highlight w:val="none"/>
        </w:rPr>
        <w:t xml:space="preserve">照招标</w:t>
      </w:r>
      <w:r>
        <w:rPr>
          <w:rFonts w:ascii="仿宋" w:hAnsi="仿宋" w:eastAsia="仿宋"/>
          <w:bCs/>
          <w:color w:val="auto"/>
          <w:sz w:val="24"/>
          <w:highlight w:val="none"/>
        </w:rPr>
        <w:t xml:space="preserve">文件规定</w:t>
      </w:r>
      <w:r>
        <w:rPr>
          <w:rFonts w:hint="eastAsia" w:ascii="仿宋" w:hAnsi="仿宋" w:eastAsia="仿宋"/>
          <w:bCs/>
          <w:color w:val="auto"/>
          <w:sz w:val="24"/>
          <w:highlight w:val="none"/>
        </w:rPr>
        <w:t xml:space="preserve">及投标文件承诺</w:t>
      </w:r>
      <w:r>
        <w:rPr>
          <w:rFonts w:ascii="仿宋" w:hAnsi="仿宋" w:eastAsia="仿宋"/>
          <w:bCs/>
          <w:color w:val="auto"/>
          <w:sz w:val="24"/>
          <w:highlight w:val="none"/>
        </w:rPr>
        <w:t xml:space="preserve">的货物性能、技术要求、质量标准向甲方提供未经使用的全新产品。乙</w:t>
      </w:r>
      <w:r>
        <w:rPr>
          <w:rFonts w:hint="eastAsia" w:ascii="仿宋" w:hAnsi="仿宋" w:eastAsia="仿宋"/>
          <w:bCs/>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第二条 合同总价款    </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第三条 质量保证期内的技术支持与售后服务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1.所提供产品应包含不少于年的整机（含全部部件）免费上门保修服务，质量保证期从设备安装验收合格开始计算。</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2.在质量保证期内厂商应自行处理保修凭证问题，采购人不负责提供产品的保修卡、发票等保修凭证。</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3.应针对本项目指定专人作为售后联系人，7*8小时负责协调产品销售以及售后问题。</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5.在质量保证期内，未能在规定时间内修复情况下主动提供免费备机服务。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6.在质量保证期内更换的任何配件，须为原设备厂家生产的；并且保证替代的零配件是新的未使用过和未经修复的。</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7. 提供的产品若有设计缺陷，应主动召回。</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9.软件免费维护和升级服务的内容，供应商可根据自身情况，提供相应的软件服务方案。</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10.损坏的信息存储介质不得收回，应免费由用户保留。</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第四条 质量保证期外的技术支持与服务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按乙方投标文件执行。</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第五条 交货和验收</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1、乙方应按照本合同规定的时间、地点和方式向甲方交付货物。</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3、甲方应当在到货后五日内对货物进行验收，</w:t>
      </w:r>
      <w:r>
        <w:rPr>
          <w:rFonts w:ascii="仿宋" w:hAnsi="仿宋" w:eastAsia="仿宋"/>
          <w:bCs/>
          <w:color w:val="auto"/>
          <w:sz w:val="24"/>
          <w:highlight w:val="none"/>
        </w:rPr>
        <w:t xml:space="preserve">验收包括：型号、规格、数量、外观质量、及货物包装</w:t>
      </w:r>
      <w:r>
        <w:rPr>
          <w:rFonts w:hint="eastAsia" w:ascii="仿宋" w:hAnsi="仿宋" w:eastAsia="仿宋"/>
          <w:bCs/>
          <w:color w:val="auto"/>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第六条 货款支付</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本合同项下所有款项均在乙方货物交付验收合格后，并提交所需单据后</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个工作日内按合同约定的付款方支付货款。</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第七条 违约责任</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1、甲方无正当理由拒收货物、拒付货物款的，由甲方向乙方偿付合同总价的5%违约金。</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3、如乙方不能交付货物，乙方应向甲方支付合同总价５％的违约金。</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4、</w:t>
      </w:r>
      <w:r>
        <w:rPr>
          <w:rFonts w:ascii="仿宋" w:hAnsi="仿宋" w:eastAsia="仿宋"/>
          <w:bCs/>
          <w:color w:val="auto"/>
          <w:sz w:val="24"/>
          <w:highlight w:val="none"/>
        </w:rPr>
        <w:t xml:space="preserve">乙方逾期交付货物的，每逾期1天，乙方向甲方偿付逾期交货部分货款总额的5‰的滞纳金</w:t>
      </w:r>
      <w:r>
        <w:rPr>
          <w:rFonts w:hint="eastAsia" w:ascii="仿宋" w:hAnsi="仿宋" w:eastAsia="仿宋"/>
          <w:bCs/>
          <w:color w:val="auto"/>
          <w:sz w:val="24"/>
          <w:highlight w:val="none"/>
        </w:rPr>
        <w:t xml:space="preserve">。如乙方逾期交货达10天，甲方有权解除合同，解除合同的通知自到达乙方时生效。</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5、</w:t>
      </w:r>
      <w:r>
        <w:rPr>
          <w:rFonts w:ascii="仿宋" w:hAnsi="仿宋" w:eastAsia="仿宋"/>
          <w:bCs/>
          <w:color w:val="auto"/>
          <w:sz w:val="24"/>
          <w:highlight w:val="none"/>
        </w:rPr>
        <w:t xml:space="preserve">乙方所交</w:t>
      </w:r>
      <w:r>
        <w:rPr>
          <w:rFonts w:hint="eastAsia" w:ascii="仿宋" w:hAnsi="仿宋" w:eastAsia="仿宋"/>
          <w:bCs/>
          <w:color w:val="auto"/>
          <w:sz w:val="24"/>
          <w:highlight w:val="none"/>
        </w:rPr>
        <w:t xml:space="preserve">付</w:t>
      </w:r>
      <w:r>
        <w:rPr>
          <w:rFonts w:ascii="仿宋" w:hAnsi="仿宋" w:eastAsia="仿宋"/>
          <w:bCs/>
          <w:color w:val="auto"/>
          <w:sz w:val="24"/>
          <w:highlight w:val="none"/>
        </w:rPr>
        <w:t xml:space="preserve">的货物品种、型号、规格不符合合同规定的，甲方有权拒收。</w:t>
      </w:r>
      <w:r>
        <w:rPr>
          <w:rFonts w:hint="eastAsia" w:ascii="仿宋" w:hAnsi="仿宋" w:eastAsia="仿宋"/>
          <w:bCs/>
          <w:color w:val="auto"/>
          <w:sz w:val="24"/>
          <w:highlight w:val="none"/>
        </w:rPr>
        <w:t xml:space="preserve">甲方拒收的，</w:t>
      </w:r>
      <w:r>
        <w:rPr>
          <w:rFonts w:ascii="仿宋" w:hAnsi="仿宋" w:eastAsia="仿宋"/>
          <w:bCs/>
          <w:color w:val="auto"/>
          <w:sz w:val="24"/>
          <w:highlight w:val="none"/>
        </w:rPr>
        <w:t xml:space="preserve">乙方</w:t>
      </w:r>
      <w:r>
        <w:rPr>
          <w:rFonts w:hint="eastAsia" w:ascii="仿宋" w:hAnsi="仿宋" w:eastAsia="仿宋"/>
          <w:bCs/>
          <w:color w:val="auto"/>
          <w:sz w:val="24"/>
          <w:highlight w:val="none"/>
        </w:rPr>
        <w:t xml:space="preserve">应</w:t>
      </w:r>
      <w:r>
        <w:rPr>
          <w:rFonts w:ascii="仿宋" w:hAnsi="仿宋" w:eastAsia="仿宋"/>
          <w:bCs/>
          <w:color w:val="auto"/>
          <w:sz w:val="24"/>
          <w:highlight w:val="none"/>
        </w:rPr>
        <w:t xml:space="preserve">向甲方支付货款总额5%的违约金。</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6、在乙方承诺的或国家规定的质量保证期内（取两者中最长的期限），</w:t>
      </w:r>
      <w:r>
        <w:rPr>
          <w:rFonts w:ascii="仿宋" w:hAnsi="仿宋" w:eastAsia="仿宋"/>
          <w:bCs/>
          <w:color w:val="auto"/>
          <w:sz w:val="24"/>
          <w:highlight w:val="none"/>
        </w:rPr>
        <w:t xml:space="preserve">如经乙方两次维修</w:t>
      </w:r>
      <w:r>
        <w:rPr>
          <w:rFonts w:hint="eastAsia" w:ascii="仿宋" w:hAnsi="仿宋" w:eastAsia="仿宋"/>
          <w:bCs/>
          <w:color w:val="auto"/>
          <w:sz w:val="24"/>
          <w:highlight w:val="none"/>
        </w:rPr>
        <w:t xml:space="preserve">或更换</w:t>
      </w:r>
      <w:r>
        <w:rPr>
          <w:rFonts w:ascii="仿宋" w:hAnsi="仿宋" w:eastAsia="仿宋"/>
          <w:bCs/>
          <w:color w:val="auto"/>
          <w:sz w:val="24"/>
          <w:highlight w:val="none"/>
        </w:rPr>
        <w:t xml:space="preserve">，货物仍不能达到合同约定</w:t>
      </w:r>
      <w:r>
        <w:rPr>
          <w:rFonts w:hint="eastAsia" w:ascii="仿宋" w:hAnsi="仿宋" w:eastAsia="仿宋"/>
          <w:bCs/>
          <w:color w:val="auto"/>
          <w:sz w:val="24"/>
          <w:highlight w:val="none"/>
        </w:rPr>
        <w:t xml:space="preserve">的</w:t>
      </w:r>
      <w:r>
        <w:rPr>
          <w:rFonts w:ascii="仿宋" w:hAnsi="仿宋" w:eastAsia="仿宋"/>
          <w:bCs/>
          <w:color w:val="auto"/>
          <w:sz w:val="24"/>
          <w:highlight w:val="none"/>
        </w:rPr>
        <w:t xml:space="preserve">质量标准，甲方有权退货，乙方</w:t>
      </w:r>
      <w:r>
        <w:rPr>
          <w:rFonts w:hint="eastAsia" w:ascii="仿宋" w:hAnsi="仿宋" w:eastAsia="仿宋"/>
          <w:bCs/>
          <w:color w:val="auto"/>
          <w:sz w:val="24"/>
          <w:highlight w:val="none"/>
        </w:rPr>
        <w:t xml:space="preserve">应</w:t>
      </w:r>
      <w:r>
        <w:rPr>
          <w:rFonts w:ascii="仿宋" w:hAnsi="仿宋" w:eastAsia="仿宋"/>
          <w:bCs/>
          <w:color w:val="auto"/>
          <w:sz w:val="24"/>
          <w:highlight w:val="none"/>
        </w:rPr>
        <w:t xml:space="preserve">退回全部货款，并按第3款处理，同时，乙方还须赔偿甲方因此遭受的损失。</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7、乙方未按本合同的规定和服务承诺提供服务的，应按合同总价款的_3_%向甲方承担违约责任。</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第八条 合同的变更和终止</w:t>
      </w:r>
      <w:r/>
    </w:p>
    <w:p>
      <w:pPr>
        <w:pStyle w:val="695"/>
        <w:ind w:firstLine="480"/>
        <w:tabs>
          <w:tab w:val="clear" w:pos="4153" w:leader="none"/>
          <w:tab w:val="clear" w:pos="8306"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除《政府采购法》第49条、第50条第二款规定的情形外，本合同一经签订，甲乙双方不得擅自变更、中止或终止合同。</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第十三条 合同的转让</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乙方不得擅自部分或全部转让其应履行的合同义务。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第十四条 争议的解决</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第十五条 合同生效及其他</w:t>
      </w:r>
      <w:r/>
    </w:p>
    <w:p>
      <w:pPr>
        <w:ind w:firstLine="480"/>
        <w:jc w:val="both"/>
        <w:rPr>
          <w:rFonts w:hint="eastAsia" w:ascii="仿宋" w:hAnsi="仿宋" w:eastAsia="仿宋"/>
          <w:bCs/>
          <w:color w:val="auto"/>
          <w:sz w:val="24"/>
          <w:highlight w:val="none"/>
        </w:rPr>
        <w:outlineLvl w:val="9"/>
      </w:pPr>
      <w:r/>
      <w:bookmarkStart w:id="88" w:name="_Toc28315"/>
      <w:r>
        <w:rPr>
          <w:rFonts w:hint="eastAsia" w:ascii="仿宋" w:hAnsi="仿宋" w:eastAsia="仿宋"/>
          <w:bCs/>
          <w:color w:val="auto"/>
          <w:sz w:val="24"/>
          <w:highlight w:val="none"/>
        </w:rPr>
        <w:t xml:space="preserve">1、本合同自签订之日起生效。</w:t>
      </w:r>
      <w:bookmarkEnd w:id="88"/>
      <w:r/>
      <w:r/>
    </w:p>
    <w:p>
      <w:pPr>
        <w:ind w:firstLine="420"/>
        <w:jc w:val="center"/>
        <w:rPr>
          <w:b/>
          <w:color w:val="auto"/>
          <w:highlight w:val="none"/>
        </w:rPr>
        <w:outlineLvl w:val="0"/>
      </w:pPr>
      <w:r>
        <w:rPr>
          <w:rFonts w:ascii="仿宋" w:hAnsi="仿宋" w:eastAsia="仿宋"/>
          <w:bCs/>
          <w:color w:val="auto"/>
          <w:highlight w:val="none"/>
        </w:rPr>
        <w:br w:type="page" w:clear="all"/>
      </w:r>
      <w:bookmarkStart w:id="89" w:name="_Toc21050"/>
      <w:r>
        <w:rPr>
          <w:rFonts w:hint="eastAsia" w:ascii="方正小标宋简体" w:eastAsia="方正小标宋简体"/>
          <w:b/>
          <w:color w:val="auto"/>
          <w:sz w:val="32"/>
          <w:szCs w:val="32"/>
          <w:highlight w:val="none"/>
        </w:rPr>
        <w:t xml:space="preserve">第5章 评标标准和方法</w:t>
      </w:r>
      <w:bookmarkEnd w:id="89"/>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综合评分法</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投标报价得分=(评标基准价／投标报价)×价格分分值</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bCs/>
          <w:color w:val="auto"/>
          <w:sz w:val="28"/>
          <w:szCs w:val="28"/>
          <w:highlight w:val="none"/>
        </w:rPr>
      </w:pPr>
      <w:r/>
      <w:bookmarkStart w:id="90" w:name="_Toc3856"/>
      <w:r>
        <w:rPr>
          <w:rFonts w:hint="eastAsia" w:ascii="仿宋" w:hAnsi="仿宋" w:eastAsia="仿宋"/>
          <w:bCs/>
          <w:color w:val="auto"/>
          <w:sz w:val="28"/>
          <w:szCs w:val="28"/>
          <w:highlight w:val="none"/>
        </w:rPr>
        <w:t xml:space="preserve">5.</w:t>
      </w:r>
      <w:bookmarkEnd w:id="90"/>
      <w:r/>
      <w:bookmarkStart w:id="91" w:name="_Toc2826"/>
      <w:r>
        <w:rPr>
          <w:rFonts w:hint="eastAsia" w:ascii="仿宋" w:hAnsi="仿宋" w:eastAsia="仿宋"/>
          <w:bCs/>
          <w:color w:val="auto"/>
          <w:sz w:val="28"/>
          <w:szCs w:val="28"/>
          <w:highlight w:val="none"/>
        </w:rPr>
        <w:t xml:space="preserve">评分表：</w:t>
      </w:r>
      <w:bookmarkEnd w:id="91"/>
      <w:r/>
      <w:r/>
    </w:p>
    <w:tbl>
      <w:tblPr>
        <w:tblStyle w:val="677"/>
        <w:tblpPr w:horzAnchor="page" w:tblpXSpec="center" w:vertAnchor="text" w:tblpY="296" w:leftFromText="180" w:topFromText="0" w:rightFromText="180" w:bottomFromText="0"/>
        <w:tblW w:w="946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65"/>
        <w:gridCol w:w="1213"/>
        <w:gridCol w:w="791"/>
        <w:gridCol w:w="6102"/>
        <w:gridCol w:w="594"/>
      </w:tblGrid>
      <w:tr>
        <w:trPr>
          <w:trHeight w:val="305"/>
        </w:trPr>
        <w:tc>
          <w:tcPr>
            <w:shd w:val="clear" w:color="000000" w:fill="ffffff"/>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shd w:val="clear" w:color="000000" w:fill="ffffff"/>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评审因素</w:t>
            </w:r>
            <w:r/>
          </w:p>
        </w:tc>
        <w:tc>
          <w:tcPr>
            <w:shd w:val="clear" w:color="000000" w:fill="ffffff"/>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分值</w:t>
            </w:r>
            <w:r/>
          </w:p>
        </w:tc>
        <w:tc>
          <w:tcPr>
            <w:shd w:val="clear" w:color="000000" w:fill="ffffff"/>
            <w:tcBorders>
              <w:top w:val="single" w:color="auto" w:sz="8" w:space="0"/>
              <w:left w:val="single" w:color="auto" w:sz="8" w:space="0"/>
              <w:bottom w:val="single" w:color="auto" w:sz="8" w:space="0"/>
              <w:right w:val="single" w:color="auto" w:sz="8" w:space="0"/>
            </w:tcBorders>
            <w:tcW w:w="61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评分说明</w:t>
            </w:r>
            <w:r/>
          </w:p>
        </w:tc>
        <w:tc>
          <w:tcPr>
            <w:shd w:val="clear" w:color="000000" w:fill="ffffff"/>
            <w:tcBorders>
              <w:top w:val="single" w:color="auto" w:sz="8" w:space="0"/>
              <w:left w:val="single" w:color="auto" w:sz="8" w:space="0"/>
              <w:bottom w:val="single" w:color="auto" w:sz="8" w:space="0"/>
              <w:right w:val="single" w:color="auto" w:sz="8" w:space="0"/>
            </w:tcBorders>
            <w:tcW w:w="594"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得分</w:t>
            </w:r>
            <w:r/>
          </w:p>
        </w:tc>
      </w:tr>
      <w:tr>
        <w:trPr>
          <w:trHeight w:val="1650"/>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价格</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32</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价格分应当采用低价优先法计算，即满足磋商文件要求且最后报价中最低报价为评审基准价，其价格分为满分。其他响应供应商的价格分统一按照下列公式计算：</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最后报价得分=(评审基准价／最后报价)×价格分分值</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磋商过程中，不得去掉报价中的最高报价和最低报价。因落实政府采购政策进行价格调整的，以调整后的价格计算评审基准价和最后报价。</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548"/>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类似业绩</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1.自2023年1月1日以来投标人承担的便携式气相色谱质谱联用仪类似供货业绩。提供1个有效业绩得2分，最多6分。</w:t>
            </w:r>
            <w:r/>
          </w:p>
          <w:p>
            <w:pPr>
              <w:ind w:firstLine="240"/>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注：投标人承担的相关产品的销售业绩（购买方必须为使用单位）业绩需提供以下佐证材料：</w:t>
            </w:r>
            <w:r/>
          </w:p>
          <w:p>
            <w:pPr>
              <w:ind w:firstLine="241"/>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（1）须提供业绩清单，业绩清单包含但不限于合同名称、业主单位名称、合同签订时间、业主联系人与联系电话等。</w:t>
            </w:r>
            <w:r/>
          </w:p>
          <w:p>
            <w:pPr>
              <w:ind w:firstLine="241"/>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（2）须提供终端业主采购合同、购置发票复印件（至少50%合同款）、中标（成交）通知书（或公共资源交易中心、政府采购网中标（成交）公告截图）作为证明材料，缺项不得分。</w:t>
            </w:r>
            <w:r/>
          </w:p>
          <w:p>
            <w:pPr>
              <w:ind w:firstLine="241"/>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（3）投标人需保证所提供业绩的真实性，并提供业主联系方式以备查验。</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2.自2023年1月1日以来投标人承担的类似（已建成）水质智能分析实验室业绩，提供1个有效业绩得2分，最多4分。</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类似水质智能分析实验室指：至少包含总磷总氮全自动分析，须满足采购人接入水质智能分析实验室。</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须提供业主单位出具的有效证明资料。</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注：同一个业主单位具有多份产品合同的仅计1次分，同一业绩合同中同一产品有多台所投设备的不累计得分。</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892"/>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Borders>
              <w:top w:val="single" w:color="auto" w:sz="4"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产品性能</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45</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一、便携式气相色谱-质谱联用仪参数要求：</w:t>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1、载气：氦气或氮气；</w:t>
            </w:r>
            <w:bookmarkStart w:id="92" w:name="_Hlk112330467"/>
            <w:r>
              <w:rPr>
                <w:rFonts w:hint="eastAsia" w:ascii="仿宋" w:hAnsi="仿宋" w:eastAsia="仿宋" w:cs="仿宋"/>
                <w:bCs/>
                <w:color w:val="auto"/>
                <w:sz w:val="24"/>
                <w:highlight w:val="none"/>
              </w:rPr>
              <w:t xml:space="preserve">便携式载气瓶容积≤100ml，与主机连接的同时具备减压阀，可调节载气压力大小。</w:t>
            </w:r>
            <w:bookmarkEnd w:id="92"/>
            <w:r>
              <w:rPr>
                <w:rFonts w:hint="eastAsia" w:ascii="仿宋" w:hAnsi="仿宋" w:eastAsia="仿宋" w:cs="仿宋"/>
                <w:b/>
                <w:color w:val="auto"/>
                <w:sz w:val="24"/>
                <w:highlight w:val="none"/>
              </w:rPr>
              <w:t xml:space="preserve">须提供设备实物图片。</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载气监控：</w:t>
            </w:r>
            <w:bookmarkStart w:id="93" w:name="_Hlk112330532"/>
            <w:r>
              <w:rPr>
                <w:rFonts w:hint="eastAsia" w:ascii="仿宋" w:hAnsi="仿宋" w:eastAsia="仿宋" w:cs="仿宋"/>
                <w:bCs/>
                <w:color w:val="auto"/>
                <w:sz w:val="24"/>
                <w:highlight w:val="none"/>
                <w:lang w:val="zh-CN"/>
              </w:rPr>
              <w:t xml:space="preserve">可对载气压力进行监控，并在载气压力低于规定限值时报警提示用户。</w:t>
            </w:r>
            <w:bookmarkEnd w:id="93"/>
            <w:r/>
            <w:bookmarkStart w:id="94" w:name="OLE_LINK12"/>
            <w:r/>
            <w:bookmarkEnd w:id="94"/>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lang w:val="zh-CN"/>
              </w:rPr>
              <w:t xml:space="preserve">须提供具有法定资格的计量检测机构出具的具有CNAS或CMA标识检测报告</w:t>
            </w:r>
            <w:r>
              <w:rPr>
                <w:rFonts w:hint="eastAsia" w:ascii="仿宋" w:hAnsi="仿宋" w:eastAsia="仿宋" w:cs="仿宋"/>
                <w:b/>
                <w:color w:val="auto"/>
                <w:sz w:val="24"/>
                <w:highlight w:val="none"/>
              </w:rPr>
              <w:t xml:space="preserve">扫描件</w:t>
            </w:r>
            <w:r>
              <w:rPr>
                <w:rFonts w:hint="eastAsia" w:ascii="仿宋" w:hAnsi="仿宋" w:eastAsia="仿宋" w:cs="仿宋"/>
                <w:b/>
                <w:color w:val="auto"/>
                <w:sz w:val="24"/>
                <w:highlight w:val="none"/>
                <w:lang w:val="zh-CN"/>
              </w:rPr>
              <w:t xml:space="preserve">。</w:t>
            </w:r>
            <w:r/>
          </w:p>
          <w:p>
            <w:pPr>
              <w:spacing w:line="280" w:lineRule="exact"/>
              <w:rPr>
                <w:rFonts w:ascii="仿宋" w:hAnsi="仿宋" w:eastAsia="仿宋" w:cs="仿宋"/>
                <w:bCs/>
                <w:color w:val="auto"/>
                <w:sz w:val="24"/>
                <w:highlight w:val="none"/>
                <w:lang w:val="zh-CN"/>
              </w:rPr>
            </w:pPr>
            <w:r/>
            <w:bookmarkStart w:id="95" w:name="_Hlk113268024"/>
            <w:r>
              <w:rPr>
                <w:rFonts w:hint="eastAsia" w:ascii="仿宋" w:hAnsi="仿宋" w:eastAsia="仿宋" w:cs="仿宋"/>
                <w:bCs/>
                <w:color w:val="auto"/>
                <w:sz w:val="24"/>
                <w:highlight w:val="none"/>
              </w:rPr>
              <w:t xml:space="preserve">3、真空系统：</w:t>
            </w:r>
            <w:bookmarkEnd w:id="95"/>
            <w:r/>
            <w:bookmarkStart w:id="96" w:name="_Hlk112750073"/>
            <w:r>
              <w:rPr>
                <w:rFonts w:hint="eastAsia" w:ascii="仿宋" w:hAnsi="仿宋" w:eastAsia="仿宋" w:cs="仿宋"/>
                <w:bCs/>
                <w:color w:val="auto"/>
                <w:sz w:val="24"/>
                <w:highlight w:val="none"/>
                <w:lang w:val="zh-CN"/>
              </w:rPr>
              <w:t xml:space="preserve">真空度不低于10</w:t>
            </w:r>
            <w:r>
              <w:rPr>
                <w:rFonts w:hint="eastAsia" w:ascii="仿宋" w:hAnsi="仿宋" w:eastAsia="仿宋" w:cs="仿宋"/>
                <w:bCs/>
                <w:color w:val="auto"/>
                <w:sz w:val="24"/>
                <w:highlight w:val="none"/>
                <w:vertAlign w:val="superscript"/>
                <w:lang w:val="zh-CN"/>
              </w:rPr>
              <w:t xml:space="preserve">-4</w:t>
            </w:r>
            <w:r>
              <w:rPr>
                <w:rFonts w:hint="eastAsia" w:ascii="仿宋" w:hAnsi="仿宋" w:eastAsia="仿宋" w:cs="仿宋"/>
                <w:bCs/>
                <w:color w:val="auto"/>
                <w:sz w:val="24"/>
                <w:highlight w:val="none"/>
                <w:lang w:val="zh-CN"/>
              </w:rPr>
              <w:t xml:space="preserve">Pa。</w:t>
            </w:r>
            <w:r/>
          </w:p>
          <w:p>
            <w:pPr>
              <w:spacing w:line="280" w:lineRule="exact"/>
              <w:rPr>
                <w:rFonts w:ascii="仿宋" w:hAnsi="仿宋" w:eastAsia="仿宋" w:cs="仿宋"/>
                <w:bCs/>
                <w:color w:val="auto"/>
                <w:sz w:val="24"/>
                <w:highlight w:val="none"/>
                <w:lang w:val="zh-CN"/>
              </w:rPr>
            </w:pPr>
            <w:r>
              <w:rPr>
                <w:rFonts w:hint="eastAsia" w:ascii="仿宋" w:hAnsi="仿宋" w:eastAsia="仿宋" w:cs="仿宋"/>
                <w:b/>
                <w:color w:val="auto"/>
                <w:sz w:val="24"/>
                <w:highlight w:val="none"/>
                <w:lang w:val="zh-CN"/>
              </w:rPr>
              <w:t xml:space="preserve">须提供产品技术白皮书或产品彩页。</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4、顶空+吹扫捕集系统具有适应于应急现场携带的便携性，重量≤10kg</w:t>
            </w:r>
            <w:bookmarkEnd w:id="96"/>
            <w:r/>
            <w:bookmarkStart w:id="97" w:name="OLE_LINK3"/>
            <w:r>
              <w:rPr>
                <w:rFonts w:hint="eastAsia" w:ascii="仿宋" w:hAnsi="仿宋" w:eastAsia="仿宋" w:cs="仿宋"/>
                <w:bCs/>
                <w:color w:val="auto"/>
                <w:sz w:val="24"/>
                <w:highlight w:val="none"/>
              </w:rPr>
              <w:t xml:space="preserve">。</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w:t>
            </w:r>
            <w:bookmarkEnd w:id="97"/>
            <w:r>
              <w:rPr>
                <w:rFonts w:hint="eastAsia" w:ascii="仿宋" w:hAnsi="仿宋" w:eastAsia="仿宋" w:cs="仿宋"/>
                <w:b/>
                <w:color w:val="auto"/>
                <w:sz w:val="24"/>
                <w:highlight w:val="none"/>
              </w:rPr>
              <w:t xml:space="preserve">提供设备实物称重及测量图片。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5、顶空系统内置载气瓶，含减压阀，可调节载气压力大小并通过自带表盘直读气压数值。</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须提供顶空系统内置载气瓶、显示载气压力的实物图片。</w:t>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6、设备</w:t>
            </w:r>
            <w:r>
              <w:rPr>
                <w:rFonts w:hint="eastAsia" w:ascii="仿宋" w:hAnsi="仿宋" w:eastAsia="仿宋" w:cs="仿宋"/>
                <w:bCs/>
                <w:color w:val="auto"/>
                <w:sz w:val="24"/>
                <w:highlight w:val="none"/>
                <w:lang w:val="zh-CN"/>
              </w:rPr>
              <w:t xml:space="preserve">内置北斗定位系统，符合《卫星定位导航授时设备单北斗测试技术规范》（FT-B07-0014-01），定位精度满足水平定位精度≤10m（95%），垂直定位精度≤15m（95%）</w:t>
            </w:r>
            <w:bookmarkStart w:id="98" w:name="OLE_LINK7"/>
            <w:r>
              <w:rPr>
                <w:rFonts w:hint="eastAsia" w:ascii="仿宋" w:hAnsi="仿宋" w:eastAsia="仿宋" w:cs="仿宋"/>
                <w:bCs/>
                <w:color w:val="auto"/>
                <w:sz w:val="24"/>
                <w:highlight w:val="none"/>
                <w:lang w:val="zh-CN"/>
              </w:rPr>
              <w:t xml:space="preserve">。</w:t>
            </w:r>
            <w:r>
              <w:rPr>
                <w:rFonts w:hint="eastAsia" w:ascii="仿宋" w:hAnsi="仿宋" w:eastAsia="仿宋" w:cs="仿宋"/>
                <w:b/>
                <w:color w:val="auto"/>
                <w:sz w:val="24"/>
                <w:highlight w:val="none"/>
              </w:rPr>
              <w:t xml:space="preserve">须提供具有法定资格的计量检测机构出具的具有CNAS或CMA标识检测报告扫描件。</w:t>
            </w:r>
            <w:bookmarkEnd w:id="98"/>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7、专用数据库：包含环境样品专用谱库（内含超过1000种物质）以及中文版化学品安全指导数据库（SIC），可提示GB职业接触限制、浓度转换系数等信息</w:t>
            </w:r>
            <w:bookmarkStart w:id="99" w:name="_Hlk112338449"/>
            <w:r/>
            <w:bookmarkStart w:id="100" w:name="OLE_LINK5"/>
            <w:r>
              <w:rPr>
                <w:rFonts w:hint="eastAsia" w:ascii="仿宋" w:hAnsi="仿宋" w:eastAsia="仿宋" w:cs="仿宋"/>
                <w:bCs/>
                <w:color w:val="auto"/>
                <w:sz w:val="24"/>
                <w:highlight w:val="none"/>
              </w:rPr>
              <w:t xml:space="preserve">。</w:t>
            </w:r>
            <w:bookmarkEnd w:id="99"/>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须提供具有法定资格的计量检测机构出具的具有CNAS或CMA标识检测报告扫描件。</w:t>
            </w:r>
            <w:bookmarkEnd w:id="100"/>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8、气相色谱模块</w:t>
            </w:r>
            <w:r>
              <w:rPr>
                <w:rFonts w:hint="eastAsia" w:ascii="仿宋" w:hAnsi="仿宋" w:eastAsia="仿宋" w:cs="仿宋"/>
                <w:bCs/>
                <w:color w:val="auto"/>
                <w:sz w:val="24"/>
                <w:highlight w:val="none"/>
                <w:lang w:val="zh-CN"/>
              </w:rPr>
              <w:t xml:space="preserve">气路控制：高精度电子压力控制，最高耐受压可达900kPa，流速最高可达100ml/min。</w:t>
            </w:r>
            <w:r/>
          </w:p>
          <w:p>
            <w:pPr>
              <w:spacing w:line="280" w:lineRule="exact"/>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须提供具有法定资格的计量检测机构出具的具有CNAS或CMA标识检测报告扫描件。</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9、</w:t>
            </w:r>
            <w:bookmarkStart w:id="101" w:name="_Hlk112331302"/>
            <w:r>
              <w:rPr>
                <w:rFonts w:hint="eastAsia" w:ascii="仿宋" w:hAnsi="仿宋" w:eastAsia="仿宋" w:cs="仿宋"/>
                <w:bCs/>
                <w:color w:val="auto"/>
                <w:sz w:val="24"/>
                <w:highlight w:val="none"/>
              </w:rPr>
              <w:t xml:space="preserve">内标气至少包括1,3,5-三（三氟甲基）苯及4-溴氟苯，具有内标调谐功能。内标钢瓶无需打开主机外壳即可实现反复灌充、易于更换，容积不大于90mL，灌充标气可耐受1500 psi或更高压力，以适应应急现场大量样品的分析需求</w:t>
            </w:r>
            <w:r>
              <w:rPr>
                <w:rFonts w:hint="eastAsia" w:ascii="仿宋" w:hAnsi="仿宋" w:eastAsia="仿宋" w:cs="仿宋"/>
                <w:bCs/>
                <w:color w:val="auto"/>
                <w:sz w:val="24"/>
                <w:highlight w:val="none"/>
                <w:lang w:val="zh-CN"/>
              </w:rPr>
              <w:t xml:space="preserve">。</w:t>
            </w:r>
            <w:bookmarkEnd w:id="101"/>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须提供标气瓶尺寸规格图片予以证明。</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10、进样模块温度范围：分流进样口最高操作温度≥270℃。</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须提供具有法定资格的计量检测机构出具的具有CNAS或CMA标识检测报告扫描件。</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11、</w:t>
            </w:r>
            <w:bookmarkStart w:id="102" w:name="_Hlk188535078"/>
            <w:r/>
            <w:bookmarkStart w:id="103" w:name="_Hlk113270940"/>
            <w:r>
              <w:rPr>
                <w:rFonts w:hint="eastAsia" w:ascii="仿宋" w:hAnsi="仿宋" w:eastAsia="仿宋" w:cs="仿宋"/>
                <w:bCs/>
                <w:color w:val="auto"/>
                <w:sz w:val="24"/>
                <w:highlight w:val="none"/>
                <w:lang w:val="zh-CN"/>
              </w:rPr>
              <w:t xml:space="preserve">可将检测结果链接到设备内置的环境标准（超过90种），在主机面板上标识出超标的物质。</w:t>
            </w:r>
            <w:bookmarkEnd w:id="102"/>
            <w:r/>
            <w:bookmarkEnd w:id="103"/>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须提供具有法定资格的计量检测机构出具的具有CNAS或CMA标识检测报告扫描件。</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12、配备大体积进样器，大体积进样器重量：≤2kg，取样体积至少涵盖100~200mL且配备大体积进样器可与便携式气相色谱-质谱仪主机连接使用，设备分析过程无需载气，无需借助任何外接电源及电池情况下，实现至少100mL样品进样分析。</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须提供该模块与便携式气质联用仪主机连接图片及模块称重照片。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二、总磷总氮全自动分析仪：</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13、</w:t>
            </w:r>
            <w:r>
              <w:rPr>
                <w:rFonts w:hint="eastAsia" w:ascii="仿宋" w:hAnsi="仿宋" w:eastAsia="仿宋" w:cs="仿宋"/>
                <w:bCs/>
                <w:color w:val="auto"/>
                <w:sz w:val="24"/>
                <w:highlight w:val="none"/>
                <w:lang w:val="zh-CN"/>
              </w:rPr>
              <w:t xml:space="preserve">仪器配备自动稀释</w:t>
            </w:r>
            <w:r>
              <w:rPr>
                <w:rFonts w:hint="eastAsia" w:ascii="仿宋" w:hAnsi="仿宋" w:eastAsia="仿宋" w:cs="仿宋"/>
                <w:bCs/>
                <w:color w:val="auto"/>
                <w:sz w:val="24"/>
                <w:highlight w:val="none"/>
              </w:rPr>
              <w:t xml:space="preserve">和加标</w:t>
            </w:r>
            <w:r>
              <w:rPr>
                <w:rFonts w:hint="eastAsia" w:ascii="仿宋" w:hAnsi="仿宋" w:eastAsia="仿宋" w:cs="仿宋"/>
                <w:bCs/>
                <w:color w:val="auto"/>
                <w:sz w:val="24"/>
                <w:highlight w:val="none"/>
                <w:lang w:val="zh-CN"/>
              </w:rPr>
              <w:t xml:space="preserve">功能。</w:t>
            </w:r>
            <w:r>
              <w:rPr>
                <w:rFonts w:hint="eastAsia" w:ascii="仿宋" w:hAnsi="仿宋" w:eastAsia="仿宋" w:cs="仿宋"/>
                <w:b/>
                <w:color w:val="auto"/>
                <w:sz w:val="24"/>
                <w:highlight w:val="none"/>
                <w:lang w:val="zh-CN"/>
              </w:rPr>
              <w:t xml:space="preserve">须提供设置软件图片。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14、消解位：如采用高压蒸汽灭菌锅消解，消解位≥40位；如采用电加热消解，消解位≥10位。</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w:t>
            </w:r>
            <w:r>
              <w:rPr>
                <w:rFonts w:hint="eastAsia" w:ascii="仿宋" w:hAnsi="仿宋" w:eastAsia="仿宋" w:cs="仿宋"/>
                <w:b/>
                <w:color w:val="auto"/>
                <w:sz w:val="24"/>
                <w:highlight w:val="none"/>
                <w:lang w:val="zh-CN"/>
              </w:rPr>
              <w:t xml:space="preserve">提供清晰可见数量的消解盘实物图片。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15、样品位：可在仪器运转过程中添加样品，如果采用高压蒸汽灭菌锅消解，自动进样器样品位≥64位；如果采用电加热消解，自动进样器样品位≥75位。</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w:t>
            </w:r>
            <w:r>
              <w:rPr>
                <w:rFonts w:hint="eastAsia" w:ascii="仿宋" w:hAnsi="仿宋" w:eastAsia="仿宋" w:cs="仿宋"/>
                <w:b/>
                <w:color w:val="auto"/>
                <w:sz w:val="24"/>
                <w:highlight w:val="none"/>
                <w:lang w:val="zh-CN"/>
              </w:rPr>
              <w:t xml:space="preserve">提供清晰可见数量的</w:t>
            </w:r>
            <w:r>
              <w:rPr>
                <w:rFonts w:hint="eastAsia" w:ascii="仿宋" w:hAnsi="仿宋" w:eastAsia="仿宋" w:cs="仿宋"/>
                <w:b/>
                <w:color w:val="auto"/>
                <w:sz w:val="24"/>
                <w:highlight w:val="none"/>
              </w:rPr>
              <w:t xml:space="preserve">样品位</w:t>
            </w:r>
            <w:r>
              <w:rPr>
                <w:rFonts w:hint="eastAsia" w:ascii="仿宋" w:hAnsi="仿宋" w:eastAsia="仿宋" w:cs="仿宋"/>
                <w:b/>
                <w:color w:val="auto"/>
                <w:sz w:val="24"/>
                <w:highlight w:val="none"/>
                <w:lang w:val="zh-CN"/>
              </w:rPr>
              <w:t xml:space="preserve">实物图片。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1.以上1-15项每满足一项得3分，本项最高45分。</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2.当投标人提供技术偏离表与证明资料不一致的，一律以证明资料为准。</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579"/>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tc>
        <w:tc>
          <w:tcPr>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售后方案</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13</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1.制定售后服务方案：投标人应制订满足采购文件要求的售后服务方案及管理制度，包括但不限于：</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①自身及所投产品制造商的售后服务机构的分布情况；</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②售后服务人员的数量、素质、技术水平；</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③主要产品配件清单及收费标准；</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④设备使用的培训方案；</w:t>
            </w:r>
            <w:r/>
          </w:p>
          <w:p>
            <w:pPr>
              <w:ind w:firstLine="480"/>
              <w:jc w:val="left"/>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⑤故障解决方案等服务方案；服务方案应科学合理、具备</w:t>
            </w:r>
            <w:r>
              <w:rPr>
                <w:rFonts w:hint="eastAsia" w:ascii="仿宋" w:hAnsi="仿宋" w:eastAsia="仿宋" w:cs="仿宋"/>
                <w:b/>
                <w:color w:val="auto"/>
                <w:sz w:val="24"/>
                <w:highlight w:val="none"/>
              </w:rPr>
              <w:t xml:space="preserve">针对性，并指定专门的售后服务人员；</w:t>
            </w:r>
            <w:r/>
          </w:p>
          <w:p>
            <w:pPr>
              <w:ind w:firstLine="480"/>
              <w:jc w:val="left"/>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上述内容中每缺少一项内容扣1分，每有一处需求分析内容存在缺陷或不足的扣0.5分，扣完为止。(本项最多得5分)</w:t>
            </w:r>
            <w:r/>
          </w:p>
          <w:p>
            <w:pPr>
              <w:ind w:firstLine="482"/>
              <w:jc w:val="left"/>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售后服务方案内容存在缺陷或不足是指以下任意一种情形：售后服务方案内容不切合行业实际、不符合国家法规政策；或售后服务方案内容生搬硬造，与实际情况不符，存在偏差；或售后服务方案内容过于简略；或存在与项目无关的文字内容；或内容不适用项目采购文件要求；或内容逻辑漏洞或原理错误。</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2.投标人承诺接到招标人报修通知后，半小时内有效响应，一般故障2小时内予以排除，特殊故障 24小时内予以排除的得3分；一小时内有效响应，一般故障4小时内予以排除，特殊故障 48小时内予以排除的得1分；其他不得分。本项目最高3分。</w:t>
            </w:r>
            <w:r/>
          </w:p>
          <w:p>
            <w:pPr>
              <w:ind w:firstLine="480"/>
              <w:jc w:val="left"/>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投标文件中须提供承诺书，格式自拟，不提供不得分。</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在满足招标文件中规定的免费质保期要求的基础上，投标人针对所有产品的免费质保期限每增加一年得1分，最高得2分。在首年承担产品检定和校准的基础上，能够继续承担所投产品（便携式气相色谱-质谱联用仪、总磷总氮全自动分析仪）需要检定或校准费用的，每增加1年得1分，最多得3分。本项共5分。</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根据承诺内容评分，投标文件中须提供承诺书，格式自拟，不提供不得分。</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579"/>
        </w:trPr>
        <w:tc>
          <w:tcPr>
            <w:gridSpan w:val="2"/>
            <w:tcBorders>
              <w:top w:val="single" w:color="auto" w:sz="8" w:space="0"/>
              <w:left w:val="single" w:color="auto" w:sz="8" w:space="0"/>
              <w:bottom w:val="single" w:color="auto" w:sz="8" w:space="0"/>
              <w:right w:val="single" w:color="auto" w:sz="8" w:space="0"/>
            </w:tcBorders>
            <w:tcW w:w="1978" w:type="dxa"/>
            <w:vAlign w:val="center"/>
            <w:textDirection w:val="lrTb"/>
            <w:noWrap/>
          </w:tcPr>
          <w:p>
            <w:pPr>
              <w:jc w:val="center"/>
              <w:spacing w:line="28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合计</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100</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spacing w:line="2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备注：</w:t>
      </w:r>
      <w:r/>
    </w:p>
    <w:p>
      <w:pPr>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1.上述</w:t>
      </w:r>
      <w:r>
        <w:rPr>
          <w:rFonts w:hint="eastAsia" w:ascii="仿宋" w:hAnsi="仿宋" w:eastAsia="仿宋" w:cs="Times New Roman"/>
          <w:color w:val="auto"/>
          <w:sz w:val="28"/>
          <w:szCs w:val="28"/>
          <w:highlight w:val="none"/>
          <w:lang w:eastAsia="zh-CN"/>
        </w:rPr>
        <w:t xml:space="preserve">响应文件</w:t>
      </w:r>
      <w:r>
        <w:rPr>
          <w:rFonts w:hint="eastAsia" w:ascii="仿宋" w:hAnsi="仿宋" w:eastAsia="仿宋" w:cs="Times New Roman"/>
          <w:color w:val="auto"/>
          <w:sz w:val="28"/>
          <w:szCs w:val="28"/>
          <w:highlight w:val="none"/>
        </w:rPr>
        <w:t xml:space="preserve">中所提供的相关证书等证明材料如有有效期的均须在有效期内。</w:t>
      </w:r>
      <w:r/>
    </w:p>
    <w:p>
      <w:pPr>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2.上述</w:t>
      </w:r>
      <w:r>
        <w:rPr>
          <w:rFonts w:hint="eastAsia" w:ascii="仿宋" w:hAnsi="仿宋" w:eastAsia="仿宋" w:cs="Times New Roman"/>
          <w:color w:val="auto"/>
          <w:sz w:val="28"/>
          <w:szCs w:val="28"/>
          <w:highlight w:val="none"/>
          <w:lang w:eastAsia="zh-CN"/>
        </w:rPr>
        <w:t xml:space="preserve">响应文件</w:t>
      </w:r>
      <w:r>
        <w:rPr>
          <w:rFonts w:hint="eastAsia" w:ascii="仿宋" w:hAnsi="仿宋" w:eastAsia="仿宋" w:cs="Times New Roman"/>
          <w:color w:val="auto"/>
          <w:sz w:val="28"/>
          <w:szCs w:val="28"/>
          <w:highlight w:val="none"/>
        </w:rPr>
        <w:t xml:space="preserve">中所提供的相关合同业绩、获奖证书、获奖文件、证明及报告等必须与原件一致。</w:t>
      </w:r>
      <w:r>
        <w:rPr>
          <w:rFonts w:hint="eastAsia" w:ascii="仿宋" w:hAnsi="仿宋" w:eastAsia="仿宋" w:cs="Times New Roman"/>
          <w:color w:val="auto"/>
          <w:sz w:val="28"/>
          <w:szCs w:val="28"/>
          <w:highlight w:val="none"/>
          <w:lang w:val="en-US" w:eastAsia="zh-CN"/>
        </w:rPr>
        <w:t xml:space="preserve">采购结束后，在确认采购结果之前，采购人将对成交供应商响应文件中所提供的证明文件进行核实，</w:t>
      </w:r>
      <w:r>
        <w:rPr>
          <w:rFonts w:hint="eastAsia" w:ascii="仿宋" w:hAnsi="仿宋" w:eastAsia="仿宋" w:cs="Times New Roman"/>
          <w:b/>
          <w:bCs/>
          <w:color w:val="auto"/>
          <w:sz w:val="28"/>
          <w:szCs w:val="28"/>
          <w:highlight w:val="none"/>
          <w:lang w:val="en-US" w:eastAsia="zh-CN"/>
        </w:rPr>
        <w:t xml:space="preserve">若核验发现供应商提供虚假证明材料，将报送如皋市财政局政府采购监管科查处，本次成交结果自动作废，项目按规定重新组织采购。</w:t>
      </w:r>
      <w:r/>
    </w:p>
    <w:p>
      <w:pPr>
        <w:ind w:firstLine="560"/>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3.本项目商务技术评分标准中须提供的相关得分佐证材料较多，</w:t>
      </w:r>
      <w:r>
        <w:rPr>
          <w:rFonts w:hint="eastAsia" w:ascii="仿宋" w:hAnsi="仿宋" w:eastAsia="仿宋" w:cs="Times New Roman"/>
          <w:color w:val="auto"/>
          <w:sz w:val="28"/>
          <w:szCs w:val="28"/>
          <w:highlight w:val="none"/>
          <w:lang w:eastAsia="zh-CN"/>
        </w:rPr>
        <w:t xml:space="preserve">响应供应商</w:t>
      </w:r>
      <w:r>
        <w:rPr>
          <w:rFonts w:hint="eastAsia" w:ascii="仿宋" w:hAnsi="仿宋" w:eastAsia="仿宋" w:cs="Times New Roman"/>
          <w:color w:val="auto"/>
          <w:sz w:val="28"/>
          <w:szCs w:val="28"/>
          <w:highlight w:val="none"/>
        </w:rPr>
        <w:t xml:space="preserve">需有序放置于相应</w:t>
      </w:r>
      <w:r>
        <w:rPr>
          <w:rFonts w:hint="eastAsia" w:ascii="仿宋" w:hAnsi="仿宋" w:eastAsia="仿宋" w:cs="Times New Roman"/>
          <w:color w:val="auto"/>
          <w:sz w:val="28"/>
          <w:szCs w:val="28"/>
          <w:highlight w:val="none"/>
          <w:lang w:eastAsia="zh-CN"/>
        </w:rPr>
        <w:t xml:space="preserve">响应文件</w:t>
      </w:r>
      <w:r>
        <w:rPr>
          <w:rFonts w:hint="eastAsia" w:ascii="仿宋" w:hAnsi="仿宋" w:eastAsia="仿宋" w:cs="Times New Roman"/>
          <w:color w:val="auto"/>
          <w:sz w:val="28"/>
          <w:szCs w:val="28"/>
          <w:highlight w:val="none"/>
        </w:rPr>
        <w:t xml:space="preserve">中，并注明如评分点 1，评分点 2……，条理清晰，对重点部分着重标注标识，便于评委检索。若因错放，漏放造成的不得分情况由</w:t>
      </w:r>
      <w:r>
        <w:rPr>
          <w:rFonts w:hint="eastAsia" w:ascii="仿宋" w:hAnsi="仿宋" w:eastAsia="仿宋" w:cs="Times New Roman"/>
          <w:color w:val="auto"/>
          <w:sz w:val="28"/>
          <w:szCs w:val="28"/>
          <w:highlight w:val="none"/>
          <w:lang w:eastAsia="zh-CN"/>
        </w:rPr>
        <w:t xml:space="preserve">响应供应商</w:t>
      </w:r>
      <w:r>
        <w:rPr>
          <w:rFonts w:hint="eastAsia" w:ascii="仿宋" w:hAnsi="仿宋" w:eastAsia="仿宋" w:cs="Times New Roman"/>
          <w:color w:val="auto"/>
          <w:sz w:val="28"/>
          <w:szCs w:val="28"/>
          <w:highlight w:val="none"/>
        </w:rPr>
        <w:t xml:space="preserve">自行承担。</w:t>
      </w:r>
      <w:r/>
    </w:p>
    <w:p>
      <w:pPr>
        <w:pStyle w:val="876"/>
        <w:ind w:firstLine="0"/>
        <w:jc w:val="center"/>
        <w:spacing w:line="240" w:lineRule="auto"/>
        <w:rPr>
          <w:rFonts w:ascii="方正小标宋简体" w:eastAsia="方正小标宋简体"/>
          <w:b/>
          <w:color w:val="auto"/>
          <w:sz w:val="32"/>
          <w:szCs w:val="32"/>
          <w:highlight w:val="none"/>
        </w:rPr>
        <w:outlineLvl w:val="0"/>
      </w:pPr>
      <w:r>
        <w:rPr>
          <w:rFonts w:ascii="方正小标宋简体" w:eastAsia="方正小标宋简体"/>
          <w:b/>
          <w:color w:val="auto"/>
          <w:sz w:val="44"/>
          <w:szCs w:val="28"/>
          <w:highlight w:val="none"/>
        </w:rPr>
        <w:br w:type="page" w:clear="all"/>
      </w:r>
      <w:bookmarkStart w:id="104" w:name="_Toc25015"/>
      <w:r>
        <w:rPr>
          <w:rFonts w:hint="eastAsia" w:ascii="方正小标宋简体" w:eastAsia="方正小标宋简体"/>
          <w:b/>
          <w:color w:val="auto"/>
          <w:sz w:val="32"/>
          <w:szCs w:val="32"/>
          <w:highlight w:val="none"/>
        </w:rPr>
        <w:t xml:space="preserve">第6章 投标文件组成</w:t>
      </w:r>
      <w:bookmarkEnd w:id="104"/>
      <w:r/>
      <w:r/>
    </w:p>
    <w:p>
      <w:pPr>
        <w:pStyle w:val="876"/>
        <w:ind w:firstLine="0"/>
        <w:jc w:val="center"/>
        <w:spacing w:line="240" w:lineRule="auto"/>
        <w:rPr>
          <w:rFonts w:ascii="方正小标宋简体" w:eastAsia="方正小标宋简体"/>
          <w:b/>
          <w:color w:val="auto"/>
          <w:sz w:val="32"/>
          <w:szCs w:val="32"/>
          <w:highlight w:val="none"/>
        </w:rPr>
      </w:pPr>
      <w:r>
        <w:rPr>
          <w:rFonts w:ascii="方正小标宋简体" w:eastAsia="方正小标宋简体"/>
          <w:b/>
          <w:color w:val="auto"/>
          <w:sz w:val="32"/>
          <w:szCs w:val="32"/>
          <w:highlight w:val="none"/>
        </w:rPr>
      </w:r>
      <w:r/>
    </w:p>
    <w:p>
      <w:pPr>
        <w:ind w:firstLine="883"/>
        <w:jc w:val="center"/>
        <w:rPr>
          <w:rFonts w:ascii="方正小标宋简体" w:hAnsi="仿宋" w:eastAsia="方正小标宋简体"/>
          <w:b/>
          <w:color w:val="auto"/>
          <w:sz w:val="44"/>
          <w:szCs w:val="44"/>
          <w:highlight w:val="none"/>
        </w:rPr>
      </w:pPr>
      <w:r>
        <w:rPr>
          <w:rFonts w:hint="eastAsia" w:ascii="方正小标宋简体" w:hAnsi="仿宋" w:eastAsia="方正小标宋简体"/>
          <w:b/>
          <w:color w:val="auto"/>
          <w:sz w:val="44"/>
          <w:szCs w:val="44"/>
          <w:highlight w:val="none"/>
        </w:rPr>
        <w:t xml:space="preserve">如皋市政府采购投标文件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jc w:val="center"/>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eastAsia="zh-CN"/>
        </w:rPr>
        <w:t xml:space="preserve">如皋市水源地水质自动监测监控预警能力提升建设项目（采购包2）</w:t>
      </w:r>
      <w:r/>
    </w:p>
    <w:p>
      <w:pPr>
        <w:jc w:val="center"/>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eastAsia="zh-CN"/>
        </w:rPr>
        <w:t xml:space="preserve">JSZC-320682-NTZJ-G2026-0020</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689"/>
        <w:spacing w:line="240" w:lineRule="auto"/>
        <w:rPr>
          <w:rFonts w:ascii="文鼎CS楷体" w:eastAsia="文鼎CS楷体"/>
          <w:b/>
          <w:color w:val="auto"/>
          <w:sz w:val="32"/>
          <w:szCs w:val="32"/>
          <w:highlight w:val="none"/>
        </w:rPr>
      </w:pPr>
      <w:r>
        <w:rPr>
          <w:rFonts w:ascii="文鼎CS楷体" w:eastAsia="文鼎CS楷体"/>
          <w:b/>
          <w:color w:val="auto"/>
          <w:sz w:val="32"/>
          <w:szCs w:val="32"/>
          <w:highlight w:val="none"/>
        </w:rPr>
      </w:r>
      <w:r/>
    </w:p>
    <w:p>
      <w:pPr>
        <w:rPr>
          <w:b/>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黑体" w:hAnsi="黑体" w:eastAsia="黑体"/>
          <w:bCs/>
          <w:color w:val="auto"/>
          <w:sz w:val="28"/>
          <w:szCs w:val="28"/>
          <w:highlight w:val="none"/>
        </w:rPr>
        <w:outlineLvl w:val="1"/>
      </w:pPr>
      <w:r>
        <w:rPr>
          <w:rFonts w:ascii="宋体" w:hAnsi="宋体"/>
          <w:b/>
          <w:color w:val="auto"/>
          <w:sz w:val="24"/>
          <w:highlight w:val="none"/>
        </w:rPr>
        <w:br w:type="page" w:clear="all"/>
      </w:r>
      <w:bookmarkStart w:id="105" w:name="_Toc17506"/>
      <w:r>
        <w:rPr>
          <w:rFonts w:hint="eastAsia" w:ascii="黑体" w:hAnsi="黑体" w:eastAsia="黑体"/>
          <w:bCs/>
          <w:color w:val="auto"/>
          <w:sz w:val="28"/>
          <w:szCs w:val="28"/>
          <w:highlight w:val="none"/>
        </w:rPr>
        <w:t xml:space="preserve">一、开标一览表</w:t>
      </w:r>
      <w:bookmarkEnd w:id="105"/>
      <w:r/>
      <w:r/>
    </w:p>
    <w:p>
      <w:pPr>
        <w:ind w:firstLine="720"/>
        <w:jc w:val="center"/>
        <w:rPr>
          <w:rFonts w:ascii="方正小标宋简体" w:hAnsi="方正小标宋简体" w:eastAsia="方正小标宋简体"/>
          <w:bCs/>
          <w:color w:val="auto"/>
          <w:sz w:val="36"/>
          <w:szCs w:val="36"/>
          <w:highlight w:val="none"/>
        </w:rPr>
      </w:pPr>
      <w:r>
        <w:rPr>
          <w:rFonts w:hint="eastAsia" w:ascii="方正小标宋简体" w:hAnsi="方正小标宋简体" w:eastAsia="方正小标宋简体"/>
          <w:bCs/>
          <w:color w:val="auto"/>
          <w:sz w:val="36"/>
          <w:szCs w:val="36"/>
          <w:highlight w:val="none"/>
        </w:rPr>
        <w:t xml:space="preserve">开标一览表（货物类）</w:t>
      </w:r>
      <w:r/>
    </w:p>
    <w:p>
      <w:pPr>
        <w:ind w:left="1080" w:right="-867" w:hanging="540"/>
        <w:tabs>
          <w:tab w:val="left" w:pos="1800" w:leader="none"/>
          <w:tab w:val="left" w:pos="558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项目名称：</w:t>
      </w:r>
      <w:r/>
    </w:p>
    <w:p>
      <w:pPr>
        <w:ind w:left="1080" w:right="-867" w:hanging="540"/>
        <w:tabs>
          <w:tab w:val="left" w:pos="1800" w:leader="none"/>
          <w:tab w:val="left" w:pos="558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如皋市水源地水质自动监测监控预警能力提升建设项目（采购包2）</w:t>
      </w:r>
      <w:r>
        <w:rPr>
          <w:rFonts w:hint="eastAsia" w:ascii="仿宋" w:hAnsi="仿宋" w:eastAsia="仿宋"/>
          <w:bCs/>
          <w:color w:val="auto"/>
          <w:sz w:val="28"/>
          <w:szCs w:val="28"/>
          <w:highlight w:val="none"/>
        </w:rPr>
        <w:t xml:space="preserve">　                </w:t>
      </w:r>
      <w:r/>
    </w:p>
    <w:p>
      <w:pPr>
        <w:ind w:left="1080" w:right="-867" w:hanging="540"/>
        <w:tabs>
          <w:tab w:val="left" w:pos="1800" w:leader="none"/>
          <w:tab w:val="left" w:pos="558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项目编号： </w:t>
      </w:r>
      <w:r>
        <w:rPr>
          <w:rFonts w:hint="eastAsia" w:ascii="仿宋" w:hAnsi="仿宋" w:eastAsia="仿宋"/>
          <w:bCs/>
          <w:color w:val="auto"/>
          <w:sz w:val="28"/>
          <w:szCs w:val="28"/>
          <w:highlight w:val="none"/>
          <w:lang w:eastAsia="zh-CN"/>
        </w:rPr>
        <w:t xml:space="preserve">JSZC-320682-NTZJ-G2026-0020</w:t>
      </w:r>
      <w:r>
        <w:rPr>
          <w:rFonts w:hint="eastAsia" w:ascii="仿宋" w:hAnsi="仿宋" w:eastAsia="仿宋"/>
          <w:bCs/>
          <w:color w:val="auto"/>
          <w:sz w:val="28"/>
          <w:szCs w:val="28"/>
          <w:highlight w:val="none"/>
        </w:rPr>
        <w:t xml:space="preserve">                包号：</w:t>
      </w:r>
      <w:r/>
    </w:p>
    <w:tbl>
      <w:tblPr>
        <w:tblStyle w:val="677"/>
        <w:tblW w:w="9362" w:type="dxa"/>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444"/>
        <w:gridCol w:w="1249"/>
        <w:gridCol w:w="2126"/>
        <w:gridCol w:w="1134"/>
        <w:gridCol w:w="1049"/>
        <w:gridCol w:w="881"/>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货物名称</w:t>
            </w:r>
            <w:r/>
          </w:p>
        </w:tc>
        <w:tc>
          <w:tcPr>
            <w:tcW w:w="144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品牌</w:t>
            </w:r>
            <w:r/>
          </w:p>
        </w:tc>
        <w:tc>
          <w:tcPr>
            <w:tcW w:w="12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型号</w:t>
            </w:r>
            <w:r/>
          </w:p>
        </w:tc>
        <w:tc>
          <w:tcPr>
            <w:tcW w:w="2126"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制造商</w:t>
            </w:r>
            <w:r/>
          </w:p>
        </w:tc>
        <w:tc>
          <w:tcPr>
            <w:tcW w:w="113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交货期</w:t>
            </w:r>
            <w:r/>
          </w:p>
        </w:tc>
        <w:tc>
          <w:tcPr>
            <w:tcW w:w="10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交货地点</w:t>
            </w:r>
            <w:r/>
          </w:p>
        </w:tc>
        <w:tc>
          <w:tcPr>
            <w:tcW w:w="881"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44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2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2126"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t xml:space="preserve">……</w:t>
            </w:r>
            <w:r/>
          </w:p>
        </w:tc>
        <w:tc>
          <w:tcPr>
            <w:tcW w:w="144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2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2126"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 xml:space="preserve">投标总报价：</w:t>
      </w:r>
      <w:r>
        <w:rPr>
          <w:rFonts w:hint="eastAsia" w:ascii="仿宋" w:hAnsi="仿宋" w:eastAsia="仿宋"/>
          <w:bCs/>
          <w:color w:val="auto"/>
          <w:sz w:val="28"/>
          <w:szCs w:val="28"/>
          <w:highlight w:val="none"/>
        </w:rPr>
        <w:t xml:space="preserve">万元（小写）</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万元（大写）</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u w:val="single"/>
        </w:rPr>
        <w:t xml:space="preserve">注：此表格式如与苏采云系统提供的格式不同，请以系统提供的为准。</w:t>
      </w:r>
      <w:r/>
    </w:p>
    <w:p>
      <w:pPr>
        <w:ind w:firstLine="1024"/>
        <w:rPr>
          <w:rFonts w:ascii="仿宋" w:hAnsi="仿宋" w:eastAsia="仿宋"/>
          <w:bCs/>
          <w:color w:val="auto"/>
          <w:sz w:val="28"/>
          <w:szCs w:val="28"/>
          <w:highlight w:val="none"/>
        </w:rPr>
        <w:outlineLvl w:val="1"/>
      </w:pPr>
      <w:r>
        <w:rPr>
          <w:rFonts w:ascii="黑体" w:hAnsi="黑体" w:eastAsia="黑体"/>
          <w:bCs/>
          <w:color w:val="auto"/>
          <w:sz w:val="28"/>
          <w:szCs w:val="28"/>
          <w:highlight w:val="none"/>
        </w:rPr>
        <w:br w:type="page" w:clear="all"/>
      </w:r>
      <w:bookmarkStart w:id="106" w:name="_Toc17519"/>
      <w:r>
        <w:rPr>
          <w:rFonts w:hint="eastAsia" w:ascii="黑体" w:hAnsi="黑体" w:eastAsia="黑体"/>
          <w:bCs/>
          <w:color w:val="auto"/>
          <w:sz w:val="28"/>
          <w:szCs w:val="28"/>
          <w:highlight w:val="none"/>
        </w:rPr>
        <w:t xml:space="preserve">二、资格证明文件</w:t>
      </w:r>
      <w:bookmarkEnd w:id="106"/>
      <w:r/>
      <w:r/>
    </w:p>
    <w:p>
      <w:pPr>
        <w:ind w:firstLine="560"/>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（一）</w:t>
      </w:r>
      <w:r>
        <w:rPr>
          <w:rFonts w:hint="eastAsia" w:ascii="仿宋" w:hAnsi="仿宋" w:eastAsia="仿宋" w:cs="Arial"/>
          <w:bCs/>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（二）参加本次政府采购活动前的会计报表</w:t>
      </w:r>
      <w:r>
        <w:rPr>
          <w:rFonts w:hint="eastAsia" w:ascii="仿宋" w:hAnsi="仿宋" w:eastAsia="仿宋" w:cs="Arial"/>
          <w:bCs/>
          <w:color w:val="auto"/>
          <w:sz w:val="28"/>
          <w:szCs w:val="28"/>
          <w:highlight w:val="none"/>
        </w:rPr>
        <w:t xml:space="preserve">（复印件，成立不满一年不需提供）。</w:t>
      </w:r>
      <w:r/>
    </w:p>
    <w:p>
      <w:pPr>
        <w:ind w:firstLine="560"/>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bCs/>
          <w:color w:val="auto"/>
          <w:sz w:val="28"/>
          <w:szCs w:val="28"/>
          <w:highlight w:val="none"/>
        </w:rPr>
        <w:t xml:space="preserve">（复印件）。</w:t>
      </w:r>
      <w:r/>
    </w:p>
    <w:p>
      <w:pPr>
        <w:ind w:firstLine="560"/>
        <w:jc w:val="left"/>
        <w:spacing w:before="50"/>
        <w:rPr>
          <w:rFonts w:ascii="仿宋" w:hAnsi="仿宋" w:eastAsia="仿宋" w:cs="Arial"/>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（四）根据项目需求提供履行合同</w:t>
      </w:r>
      <w:r>
        <w:rPr>
          <w:rFonts w:hint="eastAsia" w:ascii="仿宋" w:hAnsi="仿宋" w:eastAsia="仿宋" w:cs="Arial"/>
          <w:bCs/>
          <w:color w:val="auto"/>
          <w:sz w:val="28"/>
          <w:szCs w:val="28"/>
          <w:highlight w:val="none"/>
        </w:rPr>
        <w:t xml:space="preserve">必需的设备和专业技术能力的声明及证明材料。</w:t>
      </w:r>
      <w:r/>
    </w:p>
    <w:p>
      <w:pPr>
        <w:jc w:val="center"/>
        <w:rPr>
          <w:rFonts w:ascii="方正小标宋简体" w:hAnsi="仿宋" w:eastAsia="方正小标宋简体"/>
          <w:bCs/>
          <w:color w:val="auto"/>
          <w:sz w:val="36"/>
          <w:szCs w:val="36"/>
          <w:highlight w:val="none"/>
        </w:rPr>
      </w:pPr>
      <w:r>
        <w:rPr>
          <w:rFonts w:hint="eastAsia" w:ascii="方正小标宋简体" w:hAnsi="仿宋" w:eastAsia="方正小标宋简体"/>
          <w:bCs/>
          <w:color w:val="auto"/>
          <w:sz w:val="36"/>
          <w:szCs w:val="36"/>
          <w:highlight w:val="none"/>
        </w:rPr>
        <w:t xml:space="preserve">声  明</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主要设备有：________。</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主要专业技术能力有：________。</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252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供应商名称（公章）：</w:t>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授权代表签字：_________________</w:t>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日期：______年 月日</w:t>
      </w:r>
      <w:r/>
    </w:p>
    <w:p>
      <w:pPr>
        <w:ind w:firstLine="560"/>
        <w:rPr>
          <w:rFonts w:ascii="仿宋" w:hAnsi="仿宋" w:eastAsia="仿宋" w:cs="Arial"/>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（五）</w:t>
      </w:r>
      <w:r>
        <w:rPr>
          <w:rFonts w:hint="eastAsia" w:ascii="仿宋" w:hAnsi="仿宋" w:eastAsia="仿宋" w:cs="Arial"/>
          <w:bCs/>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bCs/>
          <w:color w:val="auto"/>
          <w:sz w:val="36"/>
          <w:szCs w:val="36"/>
          <w:highlight w:val="none"/>
        </w:rPr>
      </w:pPr>
      <w:r>
        <w:rPr>
          <w:rFonts w:hint="eastAsia" w:ascii="方正小标宋简体" w:hAnsi="仿宋" w:eastAsia="方正小标宋简体"/>
          <w:bCs/>
          <w:color w:val="auto"/>
          <w:sz w:val="36"/>
          <w:szCs w:val="36"/>
          <w:highlight w:val="none"/>
        </w:rPr>
        <w:t xml:space="preserve">声  明</w:t>
      </w:r>
      <w:r/>
    </w:p>
    <w:p>
      <w:pPr>
        <w:ind w:firstLine="482"/>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在投标截止时间节点，没有被“信用中国”（</w:t>
      </w:r>
      <w:r>
        <w:rPr>
          <w:rFonts w:ascii="仿宋" w:hAnsi="仿宋" w:eastAsia="仿宋"/>
          <w:bCs/>
          <w:color w:val="auto"/>
          <w:sz w:val="28"/>
          <w:szCs w:val="28"/>
          <w:highlight w:val="none"/>
        </w:rPr>
        <w:t xml:space="preserve">www.creditchina.gov.cn</w:t>
      </w:r>
      <w:r>
        <w:rPr>
          <w:rFonts w:hint="eastAsia" w:ascii="仿宋" w:hAnsi="仿宋" w:eastAsia="仿宋"/>
          <w:bCs/>
          <w:color w:val="auto"/>
          <w:sz w:val="28"/>
          <w:szCs w:val="28"/>
          <w:highlight w:val="none"/>
        </w:rPr>
        <w:t xml:space="preserve">）、“中国政府采购网”（</w:t>
      </w:r>
      <w:r>
        <w:rPr>
          <w:rFonts w:ascii="仿宋" w:hAnsi="仿宋" w:eastAsia="仿宋"/>
          <w:bCs/>
          <w:color w:val="auto"/>
          <w:sz w:val="28"/>
          <w:szCs w:val="28"/>
          <w:highlight w:val="none"/>
        </w:rPr>
        <w:t xml:space="preserve">www.ccgp.gov.cn</w:t>
      </w:r>
      <w:r>
        <w:rPr>
          <w:rFonts w:hint="eastAsia" w:ascii="仿宋" w:hAnsi="仿宋" w:eastAsia="仿宋"/>
          <w:bCs/>
          <w:color w:val="auto"/>
          <w:sz w:val="28"/>
          <w:szCs w:val="28"/>
          <w:highlight w:val="none"/>
        </w:rPr>
        <w:t xml:space="preserve">）网站列入失信被执行人、重大税收违法案件当事人名单、政府采购严重违法失信行为记录名单。</w:t>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供应商名称（公章）：</w:t>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授权代表签字：_________________</w:t>
      </w:r>
      <w:r/>
    </w:p>
    <w:p>
      <w:pPr>
        <w:ind w:firstLine="560"/>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                           日期：______年 月日</w:t>
      </w:r>
      <w:r/>
    </w:p>
    <w:p>
      <w:pPr>
        <w:ind w:firstLine="56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（六）项目实施所必须的许可资质证明材料：无。</w:t>
      </w:r>
      <w:r/>
    </w:p>
    <w:p>
      <w:pPr>
        <w:ind w:firstLine="560"/>
        <w:jc w:val="left"/>
        <w:spacing w:before="5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ind w:firstLine="560"/>
        <w:jc w:val="left"/>
        <w:spacing w:before="5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（七）法定代表人身份证明及身份证复印件</w:t>
      </w:r>
      <w:r/>
    </w:p>
    <w:p>
      <w:pPr>
        <w:ind w:firstLine="560"/>
        <w:jc w:val="center"/>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法定代表人身份证明</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供应商名称：</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单位性质：</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地址：</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成立时间：年月日</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经营期限：</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姓名：性别：</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年龄：职务：</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系（供应商名称）的法定代表人。特此证明。</w:t>
      </w:r>
      <w:r/>
    </w:p>
    <w:p>
      <w:pPr>
        <w:ind w:firstLine="56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法定代表人身份证</w:t>
      </w:r>
      <w:r/>
    </w:p>
    <w:p>
      <w:pPr>
        <w:ind w:firstLine="560"/>
        <w:jc w:val="righ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供应商名称（公章）：</w:t>
      </w:r>
      <w:r/>
    </w:p>
    <w:p>
      <w:pP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日期：年月日 </w:t>
      </w:r>
      <w:r/>
    </w:p>
    <w:p>
      <w:pPr>
        <w:ind w:firstLine="56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（八）法定代表人</w:t>
      </w:r>
      <w:r>
        <w:rPr>
          <w:rFonts w:ascii="仿宋" w:hAnsi="仿宋" w:eastAsia="仿宋"/>
          <w:bCs/>
          <w:color w:val="auto"/>
          <w:sz w:val="28"/>
          <w:szCs w:val="28"/>
          <w:highlight w:val="none"/>
        </w:rPr>
        <w:t xml:space="preserve">授权</w:t>
      </w:r>
      <w:r>
        <w:rPr>
          <w:rFonts w:hint="eastAsia" w:ascii="仿宋" w:hAnsi="仿宋" w:eastAsia="仿宋"/>
          <w:bCs/>
          <w:color w:val="auto"/>
          <w:sz w:val="28"/>
          <w:szCs w:val="28"/>
          <w:highlight w:val="none"/>
        </w:rPr>
        <w:t xml:space="preserve">委托</w:t>
      </w:r>
      <w:r>
        <w:rPr>
          <w:rFonts w:ascii="仿宋" w:hAnsi="仿宋" w:eastAsia="仿宋"/>
          <w:bCs/>
          <w:color w:val="auto"/>
          <w:sz w:val="28"/>
          <w:szCs w:val="28"/>
          <w:highlight w:val="none"/>
        </w:rPr>
        <w:t xml:space="preserve">书</w:t>
      </w:r>
      <w:r>
        <w:rPr>
          <w:rFonts w:hint="eastAsia" w:ascii="仿宋" w:hAnsi="仿宋" w:eastAsia="仿宋"/>
          <w:bCs/>
          <w:color w:val="auto"/>
          <w:sz w:val="28"/>
          <w:szCs w:val="28"/>
          <w:highlight w:val="none"/>
        </w:rPr>
        <w:t xml:space="preserve">。（法定代表人参加招标活动的，无需提供）</w:t>
      </w:r>
      <w:r/>
    </w:p>
    <w:p>
      <w:pPr>
        <w:jc w:val="center"/>
        <w:spacing w:line="500" w:lineRule="exact"/>
        <w:rPr>
          <w:rFonts w:ascii="方正小标宋简体" w:eastAsia="方正小标宋简体"/>
          <w:bCs/>
          <w:i/>
          <w:color w:val="auto"/>
          <w:sz w:val="36"/>
          <w:szCs w:val="36"/>
          <w:highlight w:val="none"/>
        </w:rPr>
      </w:pPr>
      <w:r>
        <w:rPr>
          <w:rFonts w:hint="eastAsia" w:ascii="方正小标宋简体" w:eastAsia="方正小标宋简体"/>
          <w:bCs/>
          <w:color w:val="auto"/>
          <w:sz w:val="36"/>
          <w:szCs w:val="36"/>
          <w:highlight w:val="none"/>
        </w:rPr>
        <w:t xml:space="preserve">法定代表人授权委托书</w:t>
      </w:r>
      <w:r/>
    </w:p>
    <w:p>
      <w:pPr>
        <w:pStyle w:val="878"/>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878"/>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本授权书于______年____月____日起生效，特此声明。</w:t>
      </w:r>
      <w:r/>
    </w:p>
    <w:p>
      <w:pPr>
        <w:pStyle w:val="878"/>
        <w:ind w:firstLine="48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878"/>
        <w:ind w:firstLine="48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法定代表人（签字）： </w:t>
      </w:r>
      <w:r/>
    </w:p>
    <w:p>
      <w:pPr>
        <w:pStyle w:val="878"/>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身份证号码：</w:t>
      </w:r>
      <w:r/>
    </w:p>
    <w:p>
      <w:pPr>
        <w:pStyle w:val="878"/>
        <w:ind w:firstLine="232"/>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联系电话（手机）：</w:t>
      </w:r>
      <w:r/>
    </w:p>
    <w:p>
      <w:pPr>
        <w:pStyle w:val="878"/>
        <w:ind w:firstLine="48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878"/>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代理人姓名：</w:t>
      </w:r>
      <w:r/>
    </w:p>
    <w:p>
      <w:pPr>
        <w:pStyle w:val="878"/>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身份证号码：                         </w:t>
      </w:r>
      <w:r/>
    </w:p>
    <w:p>
      <w:pPr>
        <w:pStyle w:val="878"/>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联系电话（手机）：                    </w:t>
      </w:r>
      <w:r/>
    </w:p>
    <w:p>
      <w:pPr>
        <w:pStyle w:val="878"/>
        <w:ind w:firstLine="48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878"/>
        <w:ind w:firstLine="12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供应商名称（加盖公章）：</w:t>
      </w:r>
      <w:r/>
    </w:p>
    <w:p>
      <w:pPr>
        <w:pStyle w:val="878"/>
        <w:ind w:firstLine="602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年   月   日</w:t>
      </w:r>
      <w:r/>
    </w:p>
    <w:p>
      <w:pPr>
        <w:pStyle w:val="878"/>
        <w:ind w:firstLine="480"/>
        <w:spacing w:line="500" w:lineRule="exact"/>
        <w:rPr>
          <w:rFonts w:ascii="仿宋" w:hAnsi="仿宋" w:eastAsia="仿宋"/>
          <w:bCs/>
          <w:color w:val="auto"/>
          <w:sz w:val="28"/>
          <w:szCs w:val="28"/>
          <w:highlight w:val="none"/>
        </w:rPr>
      </w:pPr>
      <w:r/>
      <w:bookmarkStart w:id="107" w:name="_格式3__银行出具的资信证明"/>
      <w:r/>
      <w:bookmarkEnd w:id="107"/>
      <w:r/>
      <w:bookmarkStart w:id="108" w:name="_Hlt26671380"/>
      <w:r/>
      <w:bookmarkEnd w:id="108"/>
      <w:r/>
      <w:bookmarkStart w:id="109" w:name="_Hlt26955070"/>
      <w:r/>
      <w:bookmarkEnd w:id="109"/>
      <w:r/>
      <w:r/>
    </w:p>
    <w:p>
      <w:pPr>
        <w:pStyle w:val="679"/>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679"/>
        <w:ind w:firstLine="49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代理人身份证复印件</w:t>
      </w:r>
      <w:r/>
    </w:p>
    <w:p>
      <w:pPr>
        <w:ind w:firstLine="480"/>
        <w:jc w:val="left"/>
        <w:spacing w:before="50" w:line="500" w:lineRule="exact"/>
        <w:rPr>
          <w:rFonts w:ascii="仿宋" w:hAnsi="仿宋" w:eastAsia="仿宋" w:cs="Arial"/>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（九）</w:t>
      </w:r>
      <w:r>
        <w:rPr>
          <w:rFonts w:hint="eastAsia" w:ascii="仿宋" w:hAnsi="仿宋" w:eastAsia="仿宋" w:cs="Arial"/>
          <w:bCs/>
          <w:color w:val="auto"/>
          <w:sz w:val="28"/>
          <w:szCs w:val="28"/>
          <w:highlight w:val="none"/>
        </w:rPr>
        <w:t xml:space="preserve">投标函</w:t>
      </w:r>
      <w:r/>
    </w:p>
    <w:p>
      <w:pPr>
        <w:jc w:val="center"/>
        <w:spacing w:before="50" w:line="500" w:lineRule="exact"/>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 xml:space="preserve">投标函</w:t>
      </w:r>
      <w:r/>
    </w:p>
    <w:p>
      <w:pPr>
        <w:pStyle w:val="878"/>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致：南通市如皋生态环境局</w:t>
      </w:r>
      <w:r/>
    </w:p>
    <w:p>
      <w:pPr>
        <w:pStyle w:val="878"/>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根据贵方的</w:t>
      </w:r>
      <w:r>
        <w:rPr>
          <w:rFonts w:hint="eastAsia" w:ascii="仿宋" w:hAnsi="仿宋" w:eastAsia="仿宋"/>
          <w:bCs/>
          <w:i/>
          <w:color w:val="auto"/>
          <w:sz w:val="28"/>
          <w:szCs w:val="28"/>
          <w:highlight w:val="none"/>
          <w:u w:val="single"/>
          <w:lang w:eastAsia="zh-CN"/>
        </w:rPr>
        <w:t xml:space="preserve">如皋市水源地水质自动监测监控预警能力提升建设项目（采购包2）</w:t>
      </w:r>
      <w:r>
        <w:rPr>
          <w:rFonts w:hint="eastAsia" w:ascii="仿宋" w:hAnsi="仿宋" w:eastAsia="仿宋"/>
          <w:bCs/>
          <w:color w:val="auto"/>
          <w:sz w:val="28"/>
          <w:szCs w:val="28"/>
          <w:highlight w:val="none"/>
        </w:rPr>
        <w:t xml:space="preserve">（项目编号：</w:t>
      </w:r>
      <w:r>
        <w:rPr>
          <w:rFonts w:hint="eastAsia" w:ascii="仿宋" w:hAnsi="仿宋" w:eastAsia="仿宋"/>
          <w:bCs/>
          <w:color w:val="auto"/>
          <w:sz w:val="28"/>
          <w:szCs w:val="28"/>
          <w:highlight w:val="none"/>
          <w:lang w:eastAsia="zh-CN"/>
        </w:rPr>
        <w:t xml:space="preserve">JSZC-320682-NTZJ-G2026-0020</w:t>
      </w:r>
      <w:r>
        <w:rPr>
          <w:rFonts w:hint="eastAsia" w:ascii="仿宋" w:hAnsi="仿宋" w:eastAsia="仿宋"/>
          <w:bCs/>
          <w:color w:val="auto"/>
          <w:sz w:val="28"/>
          <w:szCs w:val="28"/>
          <w:highlight w:val="none"/>
        </w:rPr>
        <w:t xml:space="preserve">）招标文件，正式授权下述签字人_________ (姓名和职务)代表我方______________（供应商的名称），全权处理本次项目招标采购的有关事宜。</w:t>
      </w:r>
      <w:r/>
    </w:p>
    <w:p>
      <w:pPr>
        <w:pStyle w:val="878"/>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据此函，__________（签字人）兹宣布同意如下：</w:t>
      </w:r>
      <w:r/>
    </w:p>
    <w:p>
      <w:pPr>
        <w:pStyle w:val="878"/>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1.按招标文件规定的各项要求，向买方提供所需货物、服务。</w:t>
      </w:r>
      <w:r/>
    </w:p>
    <w:p>
      <w:pPr>
        <w:pStyle w:val="878"/>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2.我们已详细审核全部招标文件及其有效补充文件，我们知道必须放弃提出含糊不清或误解问题的权利。</w:t>
      </w:r>
      <w:r/>
    </w:p>
    <w:p>
      <w:pPr>
        <w:pStyle w:val="878"/>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3.我们同意从规定的投标文件接收截止时间起遵循本投标文件，并在规定的招标有效期期满之前均具有约束力。</w:t>
      </w:r>
      <w:r/>
    </w:p>
    <w:p>
      <w:pPr>
        <w:pStyle w:val="878"/>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878"/>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5.如果我方中标，我方将在法定期限内签订合同，否则将承担相应法律责任。</w:t>
      </w:r>
      <w:r/>
    </w:p>
    <w:p>
      <w:pPr>
        <w:pStyle w:val="878"/>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6.我方将根据招标文件的规定，严格履行合同的责任和义务，并保证在招标文件规定的时间完成项目。</w:t>
      </w:r>
      <w:r/>
    </w:p>
    <w:p>
      <w:pPr>
        <w:pStyle w:val="878"/>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7.遵守招标文件中要求的收费项目和标准。</w:t>
      </w:r>
      <w:r/>
    </w:p>
    <w:p>
      <w:pPr>
        <w:pStyle w:val="878"/>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8.与本招标采购有关的正式通讯地址为：</w:t>
      </w:r>
      <w:r/>
    </w:p>
    <w:p>
      <w:pPr>
        <w:pStyle w:val="878"/>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地 址：                         邮 编：</w:t>
      </w:r>
      <w:r/>
    </w:p>
    <w:p>
      <w:pPr>
        <w:pStyle w:val="878"/>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电 话：                         传 真：</w:t>
      </w:r>
      <w:r/>
    </w:p>
    <w:p>
      <w:pPr>
        <w:pStyle w:val="878"/>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供应商开户行：                  账 户： </w:t>
      </w:r>
      <w:r/>
    </w:p>
    <w:p>
      <w:pPr>
        <w:pStyle w:val="878"/>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供应商名称（公章）：            </w:t>
      </w:r>
      <w:r/>
    </w:p>
    <w:p>
      <w:pPr>
        <w:pStyle w:val="878"/>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日 期：________年____月____日</w:t>
      </w:r>
      <w:r/>
    </w:p>
    <w:p>
      <w:pPr>
        <w:ind w:firstLine="48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（十）其他资格证明材料</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投标人须提供《关于符合本国产品标准的声明函》。</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黑体" w:hAnsi="黑体" w:eastAsia="黑体"/>
          <w:bCs/>
          <w:color w:val="auto"/>
          <w:sz w:val="28"/>
          <w:szCs w:val="28"/>
          <w:highlight w:val="none"/>
        </w:rPr>
        <w:outlineLvl w:val="1"/>
      </w:pPr>
      <w:r>
        <w:rPr>
          <w:rFonts w:ascii="黑体" w:hAnsi="黑体" w:eastAsia="黑体"/>
          <w:bCs/>
          <w:color w:val="auto"/>
          <w:sz w:val="28"/>
          <w:szCs w:val="28"/>
          <w:highlight w:val="none"/>
        </w:rPr>
        <w:br w:type="page" w:clear="all"/>
      </w:r>
      <w:bookmarkStart w:id="110" w:name="_Toc31177"/>
      <w:r>
        <w:rPr>
          <w:rFonts w:hint="eastAsia" w:ascii="黑体" w:hAnsi="黑体" w:eastAsia="黑体"/>
          <w:bCs/>
          <w:color w:val="auto"/>
          <w:sz w:val="28"/>
          <w:szCs w:val="28"/>
          <w:highlight w:val="none"/>
        </w:rPr>
        <w:t xml:space="preserve">三、商务技术文件</w:t>
      </w:r>
      <w:bookmarkEnd w:id="110"/>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（一）符合技术要求或者服务要求的相关证明材料：</w:t>
      </w:r>
      <w:r/>
    </w:p>
    <w:p>
      <w:pPr>
        <w:ind w:firstLine="560"/>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1.总磷总氮全自动分析仪符合标准《水质总磷的测定钼酸铵分光光度法》（GB/T11893-1989）、《水质 总氮的测定 碱性过硫酸钾消解紫外分光光度法》（HJ636-2012）中规定检测方法。（投标文件中须提供证明材料，包括但不限于产品说明书、彩页或白皮书。同时提供的承诺涵（格式自拟），承诺能根据中国环境监测总站的数智化转型相关标准或规范要求升级仪器设备，不提供视为无效投标）。</w:t>
      </w:r>
      <w:r/>
    </w:p>
    <w:p>
      <w:pPr>
        <w:ind w:firstLine="560"/>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2.总磷总氮全自动分析仪自动配标：可使用高浓度母液进行自动配标，无需手工配置；投标文件中须提供设置软件截图，不提供视为无效投标。</w:t>
      </w:r>
      <w:r/>
    </w:p>
    <w:p>
      <w:pPr>
        <w:ind w:firstLine="560"/>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3.承诺函</w:t>
      </w:r>
      <w:r/>
    </w:p>
    <w:p>
      <w:pPr>
        <w:ind w:firstLine="560"/>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（1）所投飞行器保险：每年保障额度≥55000元，在保障额度内可享受不限次数的免费维修或置换服务，直至保障额度用完为止，共计三年。</w:t>
      </w:r>
      <w:r/>
    </w:p>
    <w:p>
      <w:pPr>
        <w:ind w:firstLine="560"/>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（2）所投云台相机保险：保障额度≥63250元，在保障额度内可享受不限次数的免费维修或置换服务，直至保障额度用完为止，共计三年。</w:t>
      </w:r>
      <w:r/>
    </w:p>
    <w:p>
      <w:pPr>
        <w:ind w:firstLine="560"/>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（3）培训考证：须飞行器培训设备及取得民用无人驾驶航空器操控员执照CAAC，共计4人。</w:t>
      </w:r>
      <w:r/>
    </w:p>
    <w:p>
      <w:pPr>
        <w:ind w:firstLine="560"/>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 xml:space="preserve">以上1-3须在投标文件中提供承诺函（格式自拟），不提供视为无效投标。</w:t>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（二）技术部分正负偏离表</w:t>
      </w:r>
      <w:r/>
    </w:p>
    <w:p>
      <w:pPr>
        <w:ind w:firstLine="641"/>
        <w:jc w:val="center"/>
        <w:rPr>
          <w:rFonts w:ascii="仿宋" w:hAnsi="仿宋" w:eastAsia="仿宋"/>
          <w:bCs/>
          <w:color w:val="auto"/>
          <w:sz w:val="28"/>
          <w:szCs w:val="28"/>
          <w:highlight w:val="none"/>
        </w:rPr>
      </w:pPr>
      <w:r>
        <w:rPr>
          <w:rFonts w:hint="eastAsia" w:ascii="方正小标宋简体" w:hAnsi="宋体" w:eastAsia="方正小标宋简体"/>
          <w:bCs/>
          <w:color w:val="auto"/>
          <w:sz w:val="32"/>
          <w:szCs w:val="32"/>
          <w:highlight w:val="none"/>
        </w:rPr>
        <w:t xml:space="preserve">技术部分正负偏离表</w:t>
      </w:r>
      <w:r/>
    </w:p>
    <w:p>
      <w:pPr>
        <w:pStyle w:val="700"/>
        <w:rPr>
          <w:rFonts w:ascii="宋体"/>
          <w:color w:val="auto"/>
          <w:highlight w:val="none"/>
        </w:rPr>
      </w:pPr>
      <w:r>
        <w:rPr>
          <w:rFonts w:ascii="宋体"/>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1.货物名称：</w:t>
      </w:r>
      <w:r>
        <w:rPr>
          <w:rFonts w:hint="eastAsia" w:ascii="仿宋" w:hAnsi="仿宋" w:eastAsia="仿宋"/>
          <w:bCs/>
          <w:color w:val="auto"/>
          <w:sz w:val="28"/>
          <w:szCs w:val="28"/>
          <w:highlight w:val="none"/>
          <w:u w:val="single"/>
        </w:rPr>
        <w:t xml:space="preserve">总磷总氮全自动分析仪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677"/>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974"/>
        <w:gridCol w:w="1095"/>
        <w:gridCol w:w="1247"/>
        <w:gridCol w:w="612"/>
      </w:tblGrid>
      <w:tr>
        <w:trPr>
          <w:trHeight w:val="1126"/>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97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用途要求</w:t>
            </w:r>
            <w:r/>
          </w:p>
        </w:tc>
        <w:tc>
          <w:tcPr>
            <w:tcBorders>
              <w:top w:val="single" w:color="auto" w:sz="4" w:space="0"/>
              <w:left w:val="single" w:color="auto" w:sz="4" w:space="0"/>
              <w:bottom w:val="single" w:color="auto" w:sz="4" w:space="0"/>
              <w:right w:val="single" w:color="auto" w:sz="4" w:space="0"/>
            </w:tcBorders>
            <w:tcW w:w="397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用于水样中总磷、总氮指标的实验室全自动分析。</w:t>
            </w:r>
            <w:r/>
          </w:p>
        </w:tc>
        <w:tc>
          <w:tcPr>
            <w:tcBorders>
              <w:top w:val="single" w:color="auto" w:sz="4" w:space="0"/>
              <w:left w:val="single" w:color="auto" w:sz="4" w:space="0"/>
              <w:bottom w:val="single" w:color="auto" w:sz="4" w:space="0"/>
              <w:right w:val="single" w:color="auto" w:sz="4" w:space="0"/>
            </w:tcBorders>
            <w:tcW w:w="1095"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技术参数</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97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2.1符合标准《水质总磷的测定钼酸铵分光光度法》（GB/T11893-1989）、《水质 总氮的测定 碱性过硫酸钾消解紫外分光光度法》（HJ636-2012）中规定检测方法。（投标文件中须提供证明材料，包括但不限于产品说明书、彩页或白皮书。同时提供的承诺涵（格式自拟），承诺能根据中国环境监测总站的数智化转型相关标准或规范要求升级仪器设备，不提供视为无效投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2.2自动配标：可使用高浓度母液进行自动配标，无需手工配置；（投标文件中须提供设置软件截图，不提供视为无效投标）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2.3可单独测定总磷或总氮一个项目，或同时测试总磷、总氮两个项目；</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2.4消解系统，各样品独立密封、消解，确保消解温度为120-124℃，工作压力为1.1-1.4kg/cm²，消解时间≥30min；消解方式可采用高压蒸汽灭菌锅消解或电加热消解；</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2.5样品检测范围：总磷：（0.01-1.2）mg/L；总氮：（0.05-7.0）mg/L（样品无稀释）；</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2.6准确度：±5%；RSD＜3.5%；相关系数r＞0.999（自动配标）；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2.7浊度色度补偿：含有浊度或色度的总磷水样，可进行浊度色度补偿，扣除干扰；</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2.8具备方法报告导出功能，数据可导出留存，方法具备追溯性；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2.9日志可查询，分析过程实时记录，分析过程具备追溯性。</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95"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配置</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97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3.1总磷总氮自动分析仪1套；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3.2配套工作站1台（含配套操作软件1套）；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3.3长、宽、高为160cm*75cm*80cm和160cm*75cm*70cm（±2%）的实验室操作台各1组。</w:t>
            </w:r>
            <w:r/>
          </w:p>
        </w:tc>
        <w:tc>
          <w:tcPr>
            <w:tcBorders>
              <w:top w:val="single" w:color="auto" w:sz="4" w:space="0"/>
              <w:left w:val="single" w:color="auto" w:sz="4" w:space="0"/>
              <w:bottom w:val="single" w:color="auto" w:sz="4" w:space="0"/>
              <w:right w:val="single" w:color="auto" w:sz="4" w:space="0"/>
            </w:tcBorders>
            <w:tcW w:w="1095"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宋体"/>
          <w:bCs/>
          <w:color w:val="auto"/>
          <w:highlight w:val="none"/>
        </w:rPr>
      </w:pPr>
      <w:r>
        <w:rPr>
          <w:rFonts w:ascii="宋体"/>
          <w:bCs/>
          <w:color w:val="auto"/>
          <w:highlight w:val="none"/>
        </w:rPr>
      </w:r>
      <w:r/>
    </w:p>
    <w:p>
      <w:pPr>
        <w:pStyle w:val="700"/>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2.货物名称：</w:t>
      </w:r>
      <w:r>
        <w:rPr>
          <w:rFonts w:hint="eastAsia" w:ascii="仿宋" w:hAnsi="仿宋" w:eastAsia="仿宋"/>
          <w:bCs/>
          <w:color w:val="auto"/>
          <w:sz w:val="28"/>
          <w:szCs w:val="28"/>
          <w:highlight w:val="none"/>
          <w:u w:val="single"/>
        </w:rPr>
        <w:t xml:space="preserve">采水无人机</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677"/>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总体要求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1.采水无人机为遥控设备或自备程序控制装置操纵，为无人驾驶的航空器。无人机上搭载可按预定设置的采水单元（模块）、云台红外相机，完成水质采样和污染源排口排查的设备。</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系统单元要求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2.无人机水质采样系统包括无人机单元、采水单元。</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各部件技术参数</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3.无人机单元包括无人机、飞行电池、云台红外相机、遥控器等。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3.1无人机为旋翼或垂直起降无人机，能够自主规划航线，具悬停功能、飞行感知功能、避障功能，具有低电量报警功能，在故障、低电压、极端天气环境自动返航功能。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3.2抗风等级不小于六级，同时无人机应可拆卸便于携带及运输。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3.3最大载重：≥5kg</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3.3最大起飞重量：≥10kg</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3.4负载最大续航时间：≥50分钟</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3.5最大水平飞行速度：≥15m/s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3.6最大飞行海拔高度：≥500m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3.7防护等级：≥IP45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3.8工作温度：-10℃~50℃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3.9定位系统：支持单北斗模式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3.10悬停精度：垂直方向≤±0.5m  水平方向≤±1.5m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3.11支持云台安装，飞行器支持搭载云台负载数量≥3</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3.12电池可通过电池箱（仓）进行充电，能够显示电池电量。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3.13电池容量≥20000mAh、电池能量</w:t>
            </w:r>
            <w:r>
              <w:rPr>
                <w:rFonts w:hint="eastAsia" w:ascii="仿宋" w:hAnsi="仿宋" w:eastAsia="仿宋"/>
                <w:bCs/>
                <w:color w:val="auto"/>
                <w:sz w:val="24"/>
                <w:highlight w:val="none"/>
              </w:rPr>
              <w:tab/>
            </w:r>
            <w:r>
              <w:rPr>
                <w:rFonts w:hint="eastAsia" w:ascii="仿宋" w:hAnsi="仿宋" w:eastAsia="仿宋"/>
                <w:bCs/>
                <w:color w:val="auto"/>
                <w:sz w:val="24"/>
                <w:highlight w:val="none"/>
              </w:rPr>
              <w:t xml:space="preserve">≥900Wh、电池循环次数≥400、电池重量≤5000克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3.14无人机机身应具备FPV相机。</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3.15云台红外相机：通过无人机云台进行搭载，云台可控制红外相机俯仰、平移转动。</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3.15.1红外相机支持视频录制，通过APP端设置支持开启预录制，视频连续录制时不低于1小时。</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3.15.2负载广角相机有效像素：有效像素≥2400万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3.15.3负载广角相机照片尺寸：最大照片尺寸≥8064×6048</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3.15.4负载广角相机视频分辨率：视频分辨率≥3840×2160@30fps；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3.15.5负载变焦相机有效像素：有效像素≥2000万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3.15.6负载变焦相机照片尺寸：最大照片尺寸≥7328x5496；</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3.15.7负载变焦相机可光光学变焦倍数：光学变焦能力≥16倍；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3.15.8负载变焦相机可见光数码变焦倍数：数码变焦能力≥200倍；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3.15.9红外相机数字变焦倍数：变焦倍数≥16倍；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3.15.10红外相机视频分辨率：视频分辨率≥1280x1024@30fps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3.15.11红外相机照片分辨率：分辨率1280x1024；</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3.15.12支持测温、高温报警功能以及红外成像模式。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3.15.13支持近红外补光：支持开启近红外补光，增加夜视效果；</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3.15.14激光测距模块：最远测量距离≥1500米；</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3.15.15激光打点定位：支持在画面中央的目标上打点，可记录目标点的经纬度及高度。</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3.15.16相机存储空间≥64G，支持容量扩展；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3.16遥控器具有远距离对无人机和采水单元进行监控和操纵功能，通常包括调度、规划任务、运行控制、记录显示等功能。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3.16.1遥控器遥控距离：≥1km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3.16.2遥控器按键支持背景光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3.16.3遥控器可通过内置或外置电池供电，电池续航时间≥2小时。</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3.16..4遥控器存储空间≥128G</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采水单元</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4.1通过无人机云台搭载，采用采样绳+采水器组合。</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4.2采水器自重：≤2kg</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4.3采水器容积：≥1L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4.4采样绳放线长度：≥5m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4.5内置下视相机，像素≥200万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4.6采水单元具备毫米波雷达测距功能，测量距离流体的准确高度。</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4.7支持无人机遥控器一体化遥控采样单元，具有自动/手动控制采样，包括手动控制采样深度、上升/下降/停止等。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4.8具备应急防绞线设计，紧急情况下支持远程一键断融线绳功能。</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配置清单</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5.1无人机主机                                      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5.2红外相机及云台组件                              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5.3飞行电池                                        3组</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5.4电池充电箱                                      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5.5采水单元（包含1L采水器2个，2L采水器2个）    1套</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681"/>
        <w:ind w:left="1680"/>
        <w:rPr>
          <w:rFonts w:ascii="宋体"/>
          <w:bCs/>
          <w:color w:val="auto"/>
          <w:highlight w:val="none"/>
        </w:rPr>
      </w:pPr>
      <w:r>
        <w:rPr>
          <w:rFonts w:ascii="宋体"/>
          <w:bCs/>
          <w:color w:val="auto"/>
          <w:highlight w:val="none"/>
        </w:rPr>
      </w:r>
      <w:r/>
    </w:p>
    <w:p>
      <w:pPr>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3.货物名称：</w:t>
      </w:r>
      <w:r>
        <w:rPr>
          <w:rFonts w:hint="eastAsia" w:ascii="仿宋" w:hAnsi="仿宋" w:eastAsia="仿宋"/>
          <w:bCs/>
          <w:color w:val="auto"/>
          <w:sz w:val="28"/>
          <w:szCs w:val="28"/>
          <w:highlight w:val="none"/>
          <w:u w:val="single"/>
        </w:rPr>
        <w:t xml:space="preserve">便携式气相色谱质谱联用仪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677"/>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491"/>
        <w:gridCol w:w="1766"/>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491"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功能要求</w:t>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便携式气</w:t>
            </w:r>
            <w:r>
              <w:rPr>
                <w:rFonts w:hint="eastAsia" w:ascii="仿宋" w:hAnsi="仿宋" w:eastAsia="仿宋"/>
                <w:bCs/>
                <w:color w:val="auto"/>
                <w:sz w:val="24"/>
                <w:highlight w:val="none"/>
              </w:rPr>
              <w:t xml:space="preserve">相色谱质谱分析仪（GC-MS）用于污染事故现场大气、水体和土壤中挥发性和半挥发性有机污染物的快速定性及定量、半定量分析。便携式气相色谱质谱分析仪（GC-MS，含配套顶空/吹扫捕集功能）无需通过更换色谱柱或其它配置，即可同时满足或优于《环境空气 挥发性有机物的应急测定 便携式气相色谱-质谱法》（HJ 1223—2021）、《水质 挥发性有机物的应急测定 便携式顶空气相色谱-质谱法》（HJ 1227—2021）、《便携式气相色谱-质谱联用仪技术要求及实验方法》（GB/T 32210-2015）对仪器性能的要求。</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仪器配置</w:t>
            </w:r>
            <w:r/>
          </w:p>
        </w:tc>
        <w:tc>
          <w:tcPr>
            <w:tcBorders>
              <w:top w:val="single" w:color="auto" w:sz="4" w:space="0"/>
              <w:left w:val="single" w:color="auto" w:sz="4" w:space="0"/>
              <w:bottom w:val="single" w:color="auto" w:sz="4" w:space="0"/>
              <w:right w:val="single" w:color="auto" w:sz="4" w:space="0"/>
            </w:tcBorders>
            <w:tcW w:w="3491" w:type="dxa"/>
            <w:textDirection w:val="lrTb"/>
            <w:noWrap/>
          </w:tcPr>
          <w:tbl>
            <w:tblPr>
              <w:tblStyle w:val="677"/>
              <w:tblW w:w="3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904"/>
              <w:gridCol w:w="450"/>
              <w:gridCol w:w="316"/>
              <w:gridCol w:w="1309"/>
            </w:tblGrid>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ascii="宋体"/>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ascii="宋体"/>
                      <w:bCs/>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便携式气质联用仪主机，包含采样探头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textDirection w:val="lrTb"/>
                  <w:noWrap/>
                </w:tcPr>
                <w:p>
                  <w:pPr>
                    <w:pStyle w:val="700"/>
                    <w:spacing w:line="172" w:lineRule="atLeast"/>
                    <w:rPr>
                      <w:bCs/>
                      <w:color w:val="auto"/>
                      <w:highlight w:val="none"/>
                    </w:rPr>
                  </w:pPr>
                  <w:r>
                    <w:rPr>
                      <w:rFonts w:ascii="宋体"/>
                      <w:bCs/>
                      <w:color w:val="auto"/>
                      <w:highlight w:val="none"/>
                    </w:rPr>
                    <w:t xml:space="preserve">台</w:t>
                  </w:r>
                  <w:r/>
                </w:p>
              </w:tc>
              <w:tc>
                <w:tcPr>
                  <w:tcBorders>
                    <w:top w:val="single" w:color="auto" w:sz="4" w:space="0"/>
                    <w:left w:val="single" w:color="auto" w:sz="4" w:space="0"/>
                    <w:bottom w:val="single" w:color="auto" w:sz="4" w:space="0"/>
                    <w:right w:val="single" w:color="auto" w:sz="4" w:space="0"/>
                  </w:tcBorders>
                  <w:tcW w:w="1309" w:type="dxa"/>
                  <w:textDirection w:val="lrTb"/>
                  <w:noWrap/>
                </w:tcPr>
                <w:p>
                  <w:pPr>
                    <w:pStyle w:val="700"/>
                    <w:spacing w:line="172" w:lineRule="atLeast"/>
                    <w:rPr>
                      <w:bCs/>
                      <w:color w:val="auto"/>
                      <w:highlight w:val="none"/>
                    </w:rPr>
                  </w:pPr>
                  <w:r>
                    <w:rPr>
                      <w:rFonts w:ascii="宋体"/>
                      <w:bCs/>
                      <w:color w:val="auto"/>
                      <w:highlight w:val="none"/>
                    </w:rPr>
                    <w:t xml:space="preserve">主机触屏操作，内装正版操作系统、控制和数据处理软件、最新原装正版等3种谱库</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顶空/吹扫捕集进样器</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bCs/>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内置载气</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内标气</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内置可充电池</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主机全新配套，配原装电池充电器1套，6-8小时主机续航能力</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数据线、电源适配器等</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bCs/>
                      <w:color w:val="auto"/>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与主机配套使用的移动数据终端和数据处理系统</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与主机配套使用的移动数据终端，配置控制和数据处理软件、最新原装正版等3种谱库；保证在事故现场可进行标准对照、模型预测、报告编制上报等功能。</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hint="eastAsia"/>
                      <w:bCs/>
                      <w:color w:val="auto"/>
                      <w:highlight w:val="none"/>
                    </w:rPr>
                    <w:t xml:space="preserve">40mL</w:t>
                  </w:r>
                  <w:r>
                    <w:rPr>
                      <w:rFonts w:ascii="宋体"/>
                      <w:bCs/>
                      <w:color w:val="auto"/>
                      <w:highlight w:val="none"/>
                    </w:rPr>
                    <w:t xml:space="preserve">顶空瓶</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200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与动静态顶空进样器配套，透明瓶</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9</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小推车</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台</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与便携气质主机配套使用</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顶空瓶垫片</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1000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片</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与40ml顶空瓶配套使用</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hint="eastAsia"/>
                      <w:bCs/>
                      <w:color w:val="auto"/>
                      <w:highlight w:val="none"/>
                    </w:rPr>
                    <w:t xml:space="preserve">HJ 1223</w:t>
                  </w:r>
                  <w:r>
                    <w:rPr>
                      <w:rFonts w:ascii="宋体"/>
                      <w:bCs/>
                      <w:color w:val="auto"/>
                      <w:highlight w:val="none"/>
                    </w:rPr>
                    <w:t xml:space="preserve">标气</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hint="eastAsia"/>
                      <w:bCs/>
                      <w:color w:val="auto"/>
                      <w:highlight w:val="none"/>
                    </w:rPr>
                    <w:t xml:space="preserve">52</w:t>
                  </w:r>
                  <w:r>
                    <w:rPr>
                      <w:rFonts w:ascii="宋体"/>
                      <w:bCs/>
                      <w:color w:val="auto"/>
                      <w:highlight w:val="none"/>
                    </w:rPr>
                    <w:t xml:space="preserve">组分的1ppm的2L标气</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hint="eastAsia"/>
                      <w:bCs/>
                      <w:color w:val="auto"/>
                      <w:highlight w:val="none"/>
                    </w:rPr>
                    <w:t xml:space="preserve">HJ 1227</w:t>
                  </w:r>
                  <w:r>
                    <w:rPr>
                      <w:rFonts w:ascii="宋体"/>
                      <w:bCs/>
                      <w:color w:val="auto"/>
                      <w:highlight w:val="none"/>
                    </w:rPr>
                    <w:t xml:space="preserve">标液</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hint="eastAsia"/>
                      <w:bCs/>
                      <w:color w:val="auto"/>
                      <w:highlight w:val="none"/>
                    </w:rPr>
                    <w:t xml:space="preserve">56</w:t>
                  </w:r>
                  <w:r>
                    <w:rPr>
                      <w:rFonts w:ascii="宋体"/>
                      <w:bCs/>
                      <w:color w:val="auto"/>
                      <w:highlight w:val="none"/>
                    </w:rPr>
                    <w:t xml:space="preserve">组分的1ml的标液</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移液枪10mL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配套10mL枪头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600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bCs/>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移液枪1000μL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配套1000μL枪头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17</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移液枪100μL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18</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配套100μL枪头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19</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移液枪50μL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20</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配套50μL枪头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21</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移液枪10μL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22</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配套10μL枪头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23</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移液枪支架</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便于移液枪竖直放置</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24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微量注射器1000μL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25</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微量注射器100μL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26</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微量注射器10μL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27</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微量注射器5μL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00"/>
                    <w:spacing w:line="172" w:lineRule="atLeast"/>
                    <w:rPr>
                      <w:bCs/>
                      <w:color w:val="auto"/>
                      <w:highlight w:val="none"/>
                    </w:rPr>
                  </w:pPr>
                  <w:r>
                    <w:rPr>
                      <w:rFonts w:hint="eastAsia"/>
                      <w:bCs/>
                      <w:color w:val="auto"/>
                      <w:highlight w:val="none"/>
                    </w:rPr>
                    <w:t xml:space="preserve">28</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00"/>
                    <w:spacing w:line="172" w:lineRule="atLeast"/>
                    <w:rPr>
                      <w:bCs/>
                      <w:color w:val="auto"/>
                      <w:highlight w:val="none"/>
                    </w:rPr>
                  </w:pPr>
                  <w:r>
                    <w:rPr>
                      <w:rFonts w:ascii="宋体"/>
                      <w:bCs/>
                      <w:color w:val="auto"/>
                      <w:highlight w:val="none"/>
                    </w:rPr>
                    <w:t xml:space="preserve">微量注射器1μL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00"/>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00"/>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00"/>
                    <w:spacing w:line="172" w:lineRule="atLeast"/>
                    <w:rPr>
                      <w:bCs/>
                      <w:color w:val="auto"/>
                      <w:highlight w:val="none"/>
                    </w:rPr>
                  </w:pPr>
                  <w:r>
                    <w:rPr>
                      <w:rFonts w:ascii="宋体"/>
                      <w:bCs/>
                      <w:color w:val="auto"/>
                      <w:highlight w:val="none"/>
                    </w:rPr>
                    <w:t xml:space="preserve">保证高精确性</w:t>
                  </w:r>
                  <w:r/>
                </w:p>
              </w:tc>
            </w:tr>
          </w:tbl>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整机与环境</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 重量：≤25kg（包括续航不少于六小时的内置电池、内标气和载气瓶等），方便现场携带搬运。</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 环境温度：-10～40℃；湿度：≤85%；气压：70～106 kPa</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 预热时间≤1小时</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 支持内置电池供电和外部适配器交流供电两种供电方式，仪器可监控电池剩余电量，在供电不足时报警。</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气相色谱部分</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2.1基本操作条件：全部色谱参数和操作条件可通过触屏操作设定并能被显示出来，并可传输到数据处理系统，其色谱参数和操作条件的设定内容可被保存和复制。仪器主机与其它配置系统的联机性强，操作简便。</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2.2气相色谱柱：与主机相匹配的温度可编程的毛细管色谱柱，可兼容其他毛细管色谱柱，可进行程序升温，气相色谱柱最大温度不低于220℃；升温速率不低于40℃/分钟。</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2.3 样品进样：仪器同时内置吸附管及定量环，气体样品可通过吸附热解吸和定量环两种模式进样，可通过软件控制二者选其一使用，避免手动更换。</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2.4气相色谱柱体温度控制稳定性：≤0.5%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2.5气相色谱柱体程序升温重复性：1%</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质谱部分</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3.1质量分析器：四级杆质量分析器或离子阱质量分析器，精准匹配谱库。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3.2可分析质量范围：18amu～300amu；</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3.3质量分辨率：≤1amu；</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3.4质量稳定性：≤±0.3amu； </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3.5扫描方式：全扫描；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3.6扫描范围:41amu-300amu；</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3.7电离模式：70eV EI（非放射性离子源）；</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3.8检测器：电子倍增器；</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检测性能</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4.1灵敏度：热解析进样：4×10-3mg/m3甲苯（SNR≥3:1），200mL；直接进样：1ng甲苯（SNR≥3:1）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4.2定量重复性：≤20%（n=6）</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4.3定量稳定性：≤20%</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气体采样探头</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5.1分析方式：采样探头内置采样泵，气体样品不经过色谱柱分离直接进入质谱检测；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5.2气体采样探头与主机连接线外附保温层，低温环境下仍可正常使用。</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顶空+吹扫捕集进样器</w:t>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6.1配置原厂便携顶空+吹扫捕集进样系统，系统能具备独立电源供给或由便携GC-MS主机提供现场能源供给，实现应急所必要的水、土样品处理及传输；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6.2 顶空+吹扫捕集系统具有适应于应急现场携带的便携性，重量≤10kg。 顶空+吹扫捕集进样器通过控温的传输管线与GC-MS主机相连，可形成闭环系统用于检测固体或液体中的VOCs或SVOC；</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6.3能够对样品瓶进行加热，加热范围：≥50℃；加热位：≥4位；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6.4能够控制样品加热平衡温度和时间。</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数据处理系统 </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7.1 简约直观的图形化操作界面、人机交互式触摸屏，可在无人值守情况下按照事先设置好的序列运行设备。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7.2 软件具有实时定性功能，在分析未结束时即可对已出峰的物质进行定性，提高现场检测效率。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7.3 具有自动调谐功能，无需输入电压或质量数等任何参数即可进行调谐，关键离子丰度应满足HJ1223-2021《环境空气 挥发性有机物的应急测定 便携式气相色谱-质谱法》的要求。</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7.4设备内置北斗定位系统，符合《卫星定位导航授时设备单北斗测试技术规范》（FT-B07-0014-01）。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7.5 标准谱库：包含环境样品专用谱库（内含超过1000种物质）以及中文版化学品安全指导数据库（SIC），可提示GB职业接触限制、浓度转换系数、接触途径等信息。内装NIST与AMDIS的质谱库，NIOSH数据库。</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移液枪最大允许误差</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tbl>
            <w:tblPr>
              <w:tblStyle w:val="677"/>
              <w:tblpPr w:horzAnchor="page" w:tblpX="2116" w:vertAnchor="text" w:tblpY="-449" w:leftFromText="180" w:topFromText="0" w:rightFromText="180" w:bottomFromText="0"/>
              <w:tblW w:w="3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456"/>
              <w:gridCol w:w="832"/>
              <w:gridCol w:w="1950"/>
            </w:tblGrid>
            <w:tr>
              <w:trPr>
                <w:trHeight w:val="528"/>
                <w:tblHeader/>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vMerge w:val="restart"/>
                  <w:textDirection w:val="lrTb"/>
                  <w:noWrap/>
                </w:tcPr>
                <w:p>
                  <w:pPr>
                    <w:pStyle w:val="700"/>
                    <w:spacing w:line="240" w:lineRule="exact"/>
                    <w:rPr>
                      <w:bCs/>
                      <w:color w:val="auto"/>
                      <w:sz w:val="15"/>
                      <w:szCs w:val="15"/>
                      <w:highlight w:val="none"/>
                    </w:rPr>
                  </w:pPr>
                  <w:r>
                    <w:rPr>
                      <w:rFonts w:ascii="宋体"/>
                      <w:bCs/>
                      <w:color w:val="auto"/>
                      <w:sz w:val="15"/>
                      <w:szCs w:val="15"/>
                      <w:highlight w:val="none"/>
                    </w:rPr>
                    <w:t xml:space="preserve">量程</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vMerge w:val="restart"/>
                  <w:textDirection w:val="lrTb"/>
                  <w:noWrap/>
                </w:tcPr>
                <w:p>
                  <w:pPr>
                    <w:pStyle w:val="700"/>
                    <w:spacing w:line="240" w:lineRule="exact"/>
                    <w:rPr>
                      <w:bCs/>
                      <w:color w:val="auto"/>
                      <w:sz w:val="15"/>
                      <w:szCs w:val="15"/>
                      <w:highlight w:val="none"/>
                    </w:rPr>
                  </w:pPr>
                  <w:r>
                    <w:rPr>
                      <w:rFonts w:ascii="宋体"/>
                      <w:bCs/>
                      <w:color w:val="auto"/>
                      <w:sz w:val="15"/>
                      <w:szCs w:val="15"/>
                      <w:highlight w:val="none"/>
                    </w:rPr>
                    <w:t xml:space="preserve">体积 (μL)</w:t>
                  </w:r>
                  <w:r/>
                </w:p>
              </w:tc>
              <w:tc>
                <w:tcPr>
                  <w:gridSpan w:val="2"/>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782" w:type="dxa"/>
                  <w:vAlign w:val="center"/>
                  <w:textDirection w:val="lrTb"/>
                  <w:noWrap/>
                </w:tcPr>
                <w:p>
                  <w:pPr>
                    <w:pStyle w:val="700"/>
                    <w:spacing w:line="240" w:lineRule="exact"/>
                    <w:rPr>
                      <w:bCs/>
                      <w:color w:val="auto"/>
                      <w:sz w:val="15"/>
                      <w:szCs w:val="15"/>
                      <w:highlight w:val="none"/>
                    </w:rPr>
                  </w:pPr>
                  <w:r>
                    <w:rPr>
                      <w:rFonts w:ascii="宋体"/>
                      <w:bCs/>
                      <w:color w:val="auto"/>
                      <w:sz w:val="15"/>
                      <w:szCs w:val="15"/>
                      <w:highlight w:val="none"/>
                    </w:rPr>
                    <w:t xml:space="preserve">最大允差范围</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vMerge w:val="continue"/>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vMerge w:val="continue"/>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ascii="宋体"/>
                      <w:bCs/>
                      <w:color w:val="auto"/>
                      <w:sz w:val="15"/>
                      <w:szCs w:val="15"/>
                      <w:highlight w:val="none"/>
                    </w:rPr>
                    <w:t xml:space="preserve">系统误差 (μL)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ascii="宋体"/>
                      <w:bCs/>
                      <w:color w:val="auto"/>
                      <w:sz w:val="15"/>
                      <w:szCs w:val="15"/>
                      <w:highlight w:val="none"/>
                    </w:rPr>
                    <w:t xml:space="preserve">随机误差 (μL)</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±0.09</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≤0.03</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≤0.03</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±0.15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≤0.06</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25μL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3</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±0.25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≤0.08</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±0.27</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≤0.08</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25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±0.30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≤0.10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50μL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20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±0.34</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≤0.20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±0.70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100μL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≤0.20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±0.75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≤0.40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250μL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±1.70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250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±2.50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≤0.50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1000μL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±3.0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≤1.6</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500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≤2.5</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00"/>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1000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±8.5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00"/>
                    <w:spacing w:line="240" w:lineRule="exact"/>
                    <w:rPr>
                      <w:bCs/>
                      <w:color w:val="auto"/>
                      <w:sz w:val="15"/>
                      <w:szCs w:val="15"/>
                      <w:highlight w:val="none"/>
                    </w:rPr>
                  </w:pPr>
                  <w:r>
                    <w:rPr>
                      <w:rFonts w:hint="eastAsia"/>
                      <w:bCs/>
                      <w:color w:val="auto"/>
                      <w:sz w:val="15"/>
                      <w:szCs w:val="15"/>
                      <w:highlight w:val="none"/>
                    </w:rPr>
                    <w:t xml:space="preserve">≤4.0</w:t>
                  </w:r>
                  <w:r/>
                </w:p>
              </w:tc>
            </w:tr>
          </w:tbl>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宋体"/>
          <w:color w:val="auto"/>
          <w:highlight w:val="none"/>
        </w:rPr>
      </w:pPr>
      <w:r>
        <w:rPr>
          <w:rFonts w:ascii="宋体"/>
          <w:color w:val="auto"/>
          <w:highlight w:val="none"/>
        </w:rPr>
      </w:r>
      <w:r/>
    </w:p>
    <w:p>
      <w:pPr>
        <w:pStyle w:val="700"/>
        <w:rPr>
          <w:color w:val="auto"/>
          <w:highlight w:val="none"/>
        </w:rPr>
      </w:pPr>
      <w:r>
        <w:rPr>
          <w:color w:val="auto"/>
          <w:highlight w:val="none"/>
        </w:rPr>
      </w:r>
      <w:r/>
    </w:p>
    <w:p>
      <w:pPr>
        <w:ind w:firstLine="641"/>
        <w:jc w:val="center"/>
        <w:rPr>
          <w:rFonts w:ascii="仿宋" w:hAnsi="仿宋" w:eastAsia="仿宋"/>
          <w:bCs/>
          <w:color w:val="auto"/>
          <w:sz w:val="28"/>
          <w:szCs w:val="28"/>
          <w:highlight w:val="none"/>
        </w:rPr>
      </w:pPr>
      <w:r>
        <w:rPr>
          <w:rFonts w:hint="eastAsia" w:ascii="仿宋" w:hAnsi="仿宋" w:eastAsia="仿宋"/>
          <w:bCs/>
          <w:color w:val="auto"/>
          <w:szCs w:val="21"/>
          <w:highlight w:val="none"/>
        </w:rPr>
        <w:t xml:space="preserve">注：供应商应当明确响应产品的品牌、型号和具体技术指标数值，否则作为无效投标处理。</w:t>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（四）商务部分正负偏离表</w:t>
      </w:r>
      <w:r/>
    </w:p>
    <w:p>
      <w:pPr>
        <w:jc w:val="center"/>
        <w:rPr>
          <w:rFonts w:ascii="方正小标宋简体" w:hAnsi="宋体" w:eastAsia="方正小标宋简体"/>
          <w:bCs/>
          <w:color w:val="auto"/>
          <w:sz w:val="32"/>
          <w:szCs w:val="32"/>
          <w:highlight w:val="none"/>
        </w:rPr>
      </w:pPr>
      <w:r>
        <w:rPr>
          <w:rFonts w:hint="eastAsia" w:ascii="方正小标宋简体" w:hAnsi="宋体" w:eastAsia="方正小标宋简体"/>
          <w:bCs/>
          <w:color w:val="auto"/>
          <w:sz w:val="32"/>
          <w:szCs w:val="32"/>
          <w:highlight w:val="none"/>
        </w:rPr>
        <w:t xml:space="preserve">商务部分正负偏离表</w:t>
      </w:r>
      <w:r/>
    </w:p>
    <w:tbl>
      <w:tblPr>
        <w:tblStyle w:val="677"/>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745"/>
        <w:gridCol w:w="2940"/>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交货期限和地点</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 签定合同日期：自中标（成交）公告结束后30日内按时签约。</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 交货期：</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自合同签定之日起30天内完成安装、调试。</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3.交货地点：采购人指定地点。</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注：产品须为全新、未使用过的原装合格正品。安装质量符合各项现行技术规范和强制性标准。货物由成交供应商负责办理运输、装卸、安装、调试等，所有费用由成交供应商负责。采购方组织验收，检验不合格或不符合质量要求，成交供应商除无条件退货、返工外，还应承担采购方由此造成的一切损失。</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验收方案</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1.验收标准：</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按照国家及江苏省相关规范进行验收。</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2.验收内容</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项目的验收报告，报告内容包含但不限于：①供货清单；②安装调试情况；③试运行情况；④其他辅助设备运行报告；⑤培训情况；⑥所有仪器设备技术资料；⑦其他符合相关规范的资料（包括防雷报告等）。</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 验收方式</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此项目建设完成试运行期满后（联网调试完成后水站进入试运行，试运行应连续运行不少于 30 d），成交方须提供验收报告和书面申请，采购方在30个工作日内及时组织相关专业技术人员，必要时邀请相关职能部门共同参与验收（所产生费用均由中标人承担），并出具验收意见，作为支付货款的依据。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质量保证期限</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质保期限（自交货并验收合格之日起计）：本项目整体保修3年。</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售后服务</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售后服务</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70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1.所投飞行器保险：每年保障额度≥55000元，在保障额度内可享受不限次数的免费维修或置换服务，直至保障额度用完为止，共计三年。</w:t>
            </w:r>
            <w:r/>
          </w:p>
          <w:p>
            <w:pPr>
              <w:pStyle w:val="70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2.所投云台相机保险：保障额度≥63250元，在保障额度内可享受不限次数的免费维修或置换服务，直至保障额度用完为止，共计三年。</w:t>
            </w:r>
            <w:r/>
          </w:p>
          <w:p>
            <w:pPr>
              <w:pStyle w:val="70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3.培训考证：须飞行器培训设备及取得民用无人驾驶航空器操控员执照CAAC，共计4人。</w:t>
            </w:r>
            <w:r/>
          </w:p>
          <w:p>
            <w:pPr>
              <w:pStyle w:val="70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以上1-3须在投标文件中提供承诺函（格式自拟），不提供视为无效投标。</w:t>
            </w:r>
            <w:r/>
          </w:p>
          <w:p>
            <w:pPr>
              <w:pStyle w:val="70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4.提供产品售后服务机构名称、地址，以及专业技术人员名单和联系电话；</w:t>
            </w:r>
            <w:r/>
          </w:p>
          <w:p>
            <w:pPr>
              <w:pStyle w:val="70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5.保修期内：24小时作出相应的问题答复；如电话不能解决问题，维修人员将在3个工作日内到达现场（视用户地理位置而定）如果仍未解决问题的，厂家需要提供相同性能仪器，在维修期内供用户免费备用。</w:t>
            </w:r>
            <w:r/>
          </w:p>
          <w:p>
            <w:pPr>
              <w:pStyle w:val="70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6.成交供应商须到采购方提供现场免费安装、调试设备，进行操作试验，直至运行正常，为仪器操作人员提供必须的免费的操作及维护培训，仪器运转正常后可免培训费提供人员培训。</w:t>
            </w:r>
            <w:r/>
          </w:p>
          <w:p>
            <w:pPr>
              <w:pStyle w:val="700"/>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付款方式</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合同签订后预付合同金额40%，设备安装、调试、培训、验收合格后支付全同金额60%，每次支付前，中标人均应出具在税务部门开具的正式发票。</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质量保证金。</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其他要求</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（一）报价要求：</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报价要求：报价人报价应包含设备的制造、包装、运输、装卸、保险、验收、安装调试（试运行）、售后服务、人员培训、检验、税金、代理服务费等与本项目相关的一切费用。成交价之外采购人不再支付任何费用。</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（二）报价含响应供应商为完成采购文件全部要求内容应承担的一切成本、费用和支出以及供应商的合理利润等交付使用前一切费用。不接受选择性报价。</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（三）供应商中标后应保证在本项目中心站数据信息平台的任何产品使用（包括部分使用）时，不会产生因第三方提出侵犯其专利权、商标权或其它知识产权而引起的法律和经济纠纷。</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（四）供应商中标后需向采购人开放数据库访问协议，以保证系统与其他业务系统集成时，其他业务系统无障碍将环境信息接入系统。同时，原先系统集成商须无条件开放系统协议，供中标人设备接入原系统。</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五）如采用中标人所不拥有的知识产权，则在投标价中必须包括合法获取该知识产权的相关费用。如用到第三方中间件，中标后需提供第三方原厂对本项目的授权证书。中标人应自觉维护委托单位的利益，不得向任何单位和个人泄漏从委托单位获得的数据，不得将所掌握的数据用于其他商业用途谋取私利。</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六）试运行期间，中标人应进行全程跟踪，提供全面技术支持服务，确保试运行的顺利进行。在试运行期间，中标人应当根据采购人的要求，不断修改和完善系统功能和性能，直至采购人满意。如发生故障给采购人造成损失的，中标人应当承担损失赔偿责任。</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（七）项目交付的同时需完成文档交付工作。</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（八）现场踏勘时间、地点</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投标时须提供现场踏勘承诺函。</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bl>
    <w:p>
      <w:pPr>
        <w:pStyle w:val="700"/>
        <w:rPr>
          <w:rFonts w:ascii="方正小标宋简体" w:hAnsi="宋体" w:eastAsia="方正小标宋简体"/>
          <w:bCs/>
          <w:color w:val="auto"/>
          <w:sz w:val="32"/>
          <w:szCs w:val="32"/>
          <w:highlight w:val="none"/>
        </w:rPr>
      </w:pPr>
      <w:r>
        <w:rPr>
          <w:rFonts w:ascii="方正小标宋简体" w:hAnsi="宋体" w:eastAsia="方正小标宋简体"/>
          <w:bCs/>
          <w:color w:val="auto"/>
          <w:sz w:val="32"/>
          <w:szCs w:val="32"/>
          <w:highlight w:val="none"/>
        </w:rPr>
      </w:r>
      <w:r/>
    </w:p>
    <w:p>
      <w:pPr>
        <w:rPr>
          <w:rFonts w:ascii="仿宋" w:hAnsi="仿宋" w:eastAsia="仿宋"/>
          <w:bCs/>
          <w:color w:val="auto"/>
          <w:szCs w:val="21"/>
          <w:highlight w:val="none"/>
        </w:rPr>
      </w:pPr>
      <w:r>
        <w:rPr>
          <w:rFonts w:hint="eastAsia" w:ascii="仿宋" w:hAnsi="仿宋" w:eastAsia="仿宋"/>
          <w:bCs/>
          <w:color w:val="auto"/>
          <w:szCs w:val="21"/>
          <w:highlight w:val="none"/>
        </w:rPr>
        <w:t xml:space="preserve">注：按照招标文件要求详细填列，可增减行。</w:t>
      </w:r>
      <w:r/>
    </w:p>
    <w:p>
      <w:pPr>
        <w:rPr>
          <w:rFonts w:ascii="仿宋" w:hAnsi="仿宋" w:eastAsia="仿宋"/>
          <w:bCs/>
          <w:color w:val="auto"/>
          <w:sz w:val="24"/>
          <w:highlight w:val="none"/>
        </w:rPr>
      </w:pPr>
      <w:r>
        <w:rPr>
          <w:rFonts w:ascii="仿宋" w:hAnsi="仿宋" w:eastAsia="仿宋"/>
          <w:bCs/>
          <w:color w:val="auto"/>
          <w:sz w:val="24"/>
          <w:highlight w:val="none"/>
        </w:rPr>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（四）招标文件规定提交的其他材料</w:t>
      </w:r>
      <w:r/>
    </w:p>
    <w:p>
      <w:pPr>
        <w:ind w:firstLine="560"/>
        <w:rPr>
          <w:rFonts w:ascii="黑体" w:hAnsi="黑体" w:eastAsia="黑体"/>
          <w:bCs/>
          <w:color w:val="auto"/>
          <w:sz w:val="28"/>
          <w:szCs w:val="28"/>
          <w:highlight w:val="none"/>
        </w:rPr>
        <w:outlineLvl w:val="1"/>
      </w:pPr>
      <w:r>
        <w:rPr>
          <w:rFonts w:ascii="黑体" w:hAnsi="黑体" w:eastAsia="黑体"/>
          <w:bCs/>
          <w:color w:val="auto"/>
          <w:sz w:val="28"/>
          <w:szCs w:val="28"/>
          <w:highlight w:val="none"/>
        </w:rPr>
        <w:br w:type="page" w:clear="all"/>
      </w:r>
      <w:bookmarkStart w:id="111" w:name="_Toc28713"/>
      <w:r>
        <w:rPr>
          <w:rFonts w:hint="eastAsia" w:ascii="黑体" w:hAnsi="黑体" w:eastAsia="黑体"/>
          <w:bCs/>
          <w:color w:val="auto"/>
          <w:sz w:val="28"/>
          <w:szCs w:val="28"/>
          <w:highlight w:val="none"/>
        </w:rPr>
        <w:t xml:space="preserve">四、报价文件</w:t>
      </w:r>
      <w:bookmarkEnd w:id="111"/>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（一）公开招标响应报价表</w:t>
      </w:r>
      <w:r/>
    </w:p>
    <w:p>
      <w:pPr>
        <w:ind w:firstLine="3040"/>
        <w:rPr>
          <w:rFonts w:ascii="方正小标宋简体" w:hAnsi="宋体" w:eastAsia="方正小标宋简体"/>
          <w:bCs/>
          <w:color w:val="auto"/>
          <w:sz w:val="32"/>
          <w:szCs w:val="32"/>
          <w:highlight w:val="none"/>
        </w:rPr>
      </w:pPr>
      <w:r>
        <w:rPr>
          <w:rFonts w:hint="eastAsia" w:ascii="方正小标宋简体" w:hAnsi="宋体" w:eastAsia="方正小标宋简体"/>
          <w:bCs/>
          <w:color w:val="auto"/>
          <w:sz w:val="32"/>
          <w:szCs w:val="32"/>
          <w:highlight w:val="none"/>
        </w:rPr>
        <w:t xml:space="preserve">公开招标响应报价表</w:t>
      </w:r>
      <w:r/>
    </w:p>
    <w:tbl>
      <w:tblPr>
        <w:tblStyle w:val="67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宋体"/>
                <w:bCs/>
                <w:color w:val="auto"/>
                <w:sz w:val="24"/>
                <w:highlight w:val="none"/>
                <w:lang w:eastAsia="zh-CN"/>
              </w:rPr>
            </w:pPr>
            <w:r>
              <w:rPr>
                <w:rFonts w:hint="eastAsia" w:ascii="仿宋" w:hAnsi="仿宋" w:eastAsia="仿宋" w:cs="宋体"/>
                <w:bCs/>
                <w:color w:val="auto"/>
                <w:sz w:val="24"/>
                <w:highlight w:val="none"/>
              </w:rPr>
              <w:t xml:space="preserve">项目名称：</w:t>
            </w:r>
            <w:r>
              <w:rPr>
                <w:rFonts w:hint="eastAsia" w:ascii="仿宋" w:hAnsi="仿宋" w:eastAsia="仿宋" w:cs="宋体"/>
                <w:bCs/>
                <w:color w:val="auto"/>
                <w:sz w:val="24"/>
                <w:highlight w:val="none"/>
                <w:lang w:eastAsia="zh-CN"/>
              </w:rPr>
              <w:t xml:space="preserve">如皋市水源地水质自动监测监控预警能力提升建设项目（采购包2）</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bCs/>
                <w:color w:val="auto"/>
                <w:sz w:val="24"/>
                <w:highlight w:val="none"/>
                <w:lang w:eastAsia="zh-CN"/>
              </w:rPr>
            </w:pPr>
            <w:r>
              <w:rPr>
                <w:rFonts w:hint="eastAsia" w:ascii="仿宋" w:hAnsi="仿宋" w:eastAsia="仿宋" w:cs="宋体"/>
                <w:bCs/>
                <w:color w:val="auto"/>
                <w:sz w:val="24"/>
                <w:highlight w:val="none"/>
              </w:rPr>
              <w:t xml:space="preserve">项目编号：</w:t>
            </w:r>
            <w:r>
              <w:rPr>
                <w:rFonts w:hint="eastAsia" w:ascii="仿宋" w:hAnsi="仿宋" w:eastAsia="仿宋" w:cs="宋体"/>
                <w:bCs/>
                <w:color w:val="auto"/>
                <w:sz w:val="24"/>
                <w:highlight w:val="none"/>
                <w:lang w:eastAsia="zh-CN"/>
              </w:rPr>
              <w:t xml:space="preserve">JSZC-320682-NTZJ-G2026-0020</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小微企业、残疾人福利单位或者监狱和戒毒企业制造的产品或者承接的服务，报价折扣</w:t>
            </w:r>
            <w:r>
              <w:rPr>
                <w:rFonts w:hint="eastAsia" w:ascii="仿宋" w:hAnsi="仿宋" w:eastAsia="仿宋" w:cs="宋体"/>
                <w:bCs/>
                <w:color w:val="auto"/>
                <w:sz w:val="24"/>
                <w:highlight w:val="none"/>
                <w:u w:val="single"/>
              </w:rPr>
              <w:t xml:space="preserve">10%</w:t>
            </w:r>
            <w:r>
              <w:rPr>
                <w:rFonts w:hint="eastAsia" w:ascii="仿宋" w:hAnsi="仿宋" w:eastAsia="仿宋" w:cs="宋体"/>
                <w:bCs/>
                <w:color w:val="auto"/>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96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r>
        <w:trPr>
          <w:trHeight w:val="1092"/>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1092"/>
        </w:trPr>
        <w:tc>
          <w:tcPr>
            <w:tcBorders>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bCs/>
                <w:color w:val="auto"/>
                <w:highlight w:val="none"/>
              </w:rPr>
            </w:pPr>
            <w:r>
              <w:rPr>
                <w:bCs/>
                <w:color w:val="auto"/>
                <w:highlight w:val="none"/>
              </w:r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bCs/>
                <w:color w:val="auto"/>
                <w:highlight w:val="none"/>
              </w:rPr>
            </w:pPr>
            <w:r>
              <w:rPr>
                <w:bCs/>
                <w:color w:val="auto"/>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bCs/>
                <w:color w:val="auto"/>
                <w:sz w:val="24"/>
                <w:highlight w:val="none"/>
              </w:rPr>
            </w:pPr>
            <w:r>
              <w:rPr>
                <w:rFonts w:hint="eastAsia" w:ascii="仿宋" w:hAnsi="仿宋" w:eastAsia="仿宋"/>
                <w:bCs/>
                <w:color w:val="auto"/>
                <w:sz w:val="24"/>
                <w:highlight w:val="none"/>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bCs/>
                <w:color w:val="auto"/>
                <w:sz w:val="24"/>
                <w:highlight w:val="none"/>
                <w:u w:val="single"/>
              </w:rPr>
              <w:t xml:space="preserve">4%</w:t>
            </w:r>
            <w:r>
              <w:rPr>
                <w:rFonts w:hint="eastAsia" w:ascii="仿宋" w:hAnsi="仿宋" w:eastAsia="仿宋"/>
                <w:bCs/>
                <w:color w:val="auto"/>
                <w:sz w:val="24"/>
                <w:highlight w:val="none"/>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2256"/>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）中小企业声明函</w:t>
      </w:r>
      <w:r/>
    </w:p>
    <w:p>
      <w:pPr>
        <w:jc w:val="center"/>
        <w:spacing w:line="500" w:lineRule="exact"/>
        <w:rPr>
          <w:rFonts w:ascii="方正小标宋简体" w:hAnsi="Calibri" w:eastAsia="方正小标宋简体"/>
          <w:bCs/>
          <w:color w:val="auto"/>
          <w:sz w:val="44"/>
          <w:szCs w:val="44"/>
          <w:highlight w:val="none"/>
        </w:rPr>
      </w:pPr>
      <w:r>
        <w:rPr>
          <w:rFonts w:hint="eastAsia" w:ascii="方正小标宋简体" w:hAnsi="Calibri" w:eastAsia="方正小标宋简体"/>
          <w:bCs/>
          <w:color w:val="auto"/>
          <w:sz w:val="44"/>
          <w:szCs w:val="44"/>
          <w:highlight w:val="none"/>
        </w:rPr>
        <w:t xml:space="preserve">中小企业声明函（货物）</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bCs/>
          <w:i/>
          <w:color w:val="auto"/>
          <w:sz w:val="32"/>
          <w:szCs w:val="32"/>
          <w:highlight w:val="none"/>
          <w:u w:val="single"/>
        </w:rPr>
        <w:t xml:space="preserve">（南通市如皋生态环境局）</w:t>
      </w:r>
      <w:r>
        <w:rPr>
          <w:rFonts w:hint="eastAsia" w:ascii="仿宋" w:hAnsi="仿宋" w:eastAsia="仿宋"/>
          <w:bCs/>
          <w:color w:val="auto"/>
          <w:sz w:val="32"/>
          <w:szCs w:val="32"/>
          <w:highlight w:val="none"/>
        </w:rPr>
        <w:t xml:space="preserve"> 的</w:t>
      </w:r>
      <w:r>
        <w:rPr>
          <w:rFonts w:hint="eastAsia" w:ascii="仿宋" w:hAnsi="仿宋" w:eastAsia="仿宋"/>
          <w:bCs/>
          <w:i/>
          <w:color w:val="auto"/>
          <w:sz w:val="32"/>
          <w:szCs w:val="32"/>
          <w:highlight w:val="none"/>
          <w:u w:val="single"/>
        </w:rPr>
        <w:t xml:space="preserve">（</w:t>
      </w:r>
      <w:r>
        <w:rPr>
          <w:rFonts w:hint="eastAsia" w:ascii="仿宋" w:hAnsi="仿宋" w:eastAsia="仿宋"/>
          <w:bCs/>
          <w:i/>
          <w:color w:val="auto"/>
          <w:sz w:val="32"/>
          <w:szCs w:val="32"/>
          <w:highlight w:val="none"/>
          <w:u w:val="single"/>
          <w:lang w:eastAsia="zh-CN"/>
        </w:rPr>
        <w:t xml:space="preserve">如皋市水源地水质自动监测监控预警能力提升建设项目（采购包2）</w:t>
      </w:r>
      <w:r>
        <w:rPr>
          <w:rFonts w:hint="eastAsia" w:ascii="仿宋" w:hAnsi="仿宋" w:eastAsia="仿宋"/>
          <w:bCs/>
          <w:i/>
          <w:color w:val="auto"/>
          <w:sz w:val="32"/>
          <w:szCs w:val="32"/>
          <w:highlight w:val="none"/>
          <w:u w:val="single"/>
        </w:rPr>
        <w:t xml:space="preserve">）</w:t>
      </w:r>
      <w:r>
        <w:rPr>
          <w:rFonts w:hint="eastAsia" w:ascii="仿宋" w:hAnsi="仿宋" w:eastAsia="仿宋"/>
          <w:bCs/>
          <w:color w:val="auto"/>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1. </w:t>
      </w:r>
      <w:r>
        <w:rPr>
          <w:rFonts w:hint="eastAsia" w:ascii="仿宋" w:hAnsi="仿宋" w:eastAsia="仿宋"/>
          <w:bCs/>
          <w:i/>
          <w:color w:val="auto"/>
          <w:sz w:val="32"/>
          <w:szCs w:val="32"/>
          <w:highlight w:val="none"/>
          <w:u w:val="single"/>
        </w:rPr>
        <w:t xml:space="preserve">（总磷总氮全自动分析仪）</w:t>
      </w:r>
      <w:r>
        <w:rPr>
          <w:rFonts w:hint="eastAsia" w:ascii="仿宋" w:hAnsi="仿宋" w:eastAsia="仿宋"/>
          <w:bCs/>
          <w:color w:val="auto"/>
          <w:sz w:val="32"/>
          <w:szCs w:val="32"/>
          <w:highlight w:val="none"/>
        </w:rPr>
        <w:t xml:space="preserve">，属于</w:t>
      </w:r>
      <w:r>
        <w:rPr>
          <w:rFonts w:hint="eastAsia" w:ascii="仿宋" w:hAnsi="仿宋" w:eastAsia="仿宋"/>
          <w:bCs/>
          <w:i/>
          <w:color w:val="auto"/>
          <w:sz w:val="32"/>
          <w:szCs w:val="32"/>
          <w:highlight w:val="none"/>
          <w:u w:val="single"/>
        </w:rPr>
        <w:t xml:space="preserve">（工业行业）行业</w:t>
      </w:r>
      <w:r>
        <w:rPr>
          <w:rFonts w:hint="eastAsia" w:ascii="仿宋" w:hAnsi="仿宋" w:eastAsia="仿宋"/>
          <w:bCs/>
          <w:color w:val="auto"/>
          <w:sz w:val="32"/>
          <w:szCs w:val="32"/>
          <w:highlight w:val="none"/>
        </w:rPr>
        <w:t xml:space="preserve"> ；制造商为 </w:t>
      </w:r>
      <w:r>
        <w:rPr>
          <w:rFonts w:hint="eastAsia" w:ascii="仿宋" w:hAnsi="仿宋" w:eastAsia="仿宋"/>
          <w:bCs/>
          <w:i/>
          <w:color w:val="auto"/>
          <w:sz w:val="32"/>
          <w:szCs w:val="32"/>
          <w:highlight w:val="none"/>
          <w:u w:val="single"/>
        </w:rPr>
        <w:t xml:space="preserve">（企业名称）</w:t>
      </w:r>
      <w:r>
        <w:rPr>
          <w:rFonts w:hint="eastAsia" w:ascii="仿宋" w:hAnsi="仿宋" w:eastAsia="仿宋"/>
          <w:bCs/>
          <w:color w:val="auto"/>
          <w:sz w:val="32"/>
          <w:szCs w:val="32"/>
          <w:highlight w:val="none"/>
        </w:rPr>
        <w:t xml:space="preserve"> ，从业人员人，营业收入为万元，资产总额为万元</w:t>
      </w:r>
      <w:r>
        <w:rPr>
          <w:rFonts w:hint="eastAsia" w:ascii="仿宋" w:hAnsi="仿宋" w:eastAsia="仿宋"/>
          <w:bCs/>
          <w:color w:val="auto"/>
          <w:sz w:val="32"/>
          <w:szCs w:val="32"/>
          <w:highlight w:val="none"/>
          <w:vertAlign w:val="superscript"/>
        </w:rPr>
        <w:t xml:space="preserve">1</w:t>
      </w:r>
      <w:r>
        <w:rPr>
          <w:rFonts w:hint="eastAsia" w:ascii="仿宋" w:hAnsi="仿宋" w:eastAsia="仿宋"/>
          <w:bCs/>
          <w:color w:val="auto"/>
          <w:sz w:val="32"/>
          <w:szCs w:val="32"/>
          <w:highlight w:val="none"/>
        </w:rPr>
        <w:t xml:space="preserve"> ，属于</w:t>
      </w:r>
      <w:r>
        <w:rPr>
          <w:rFonts w:hint="eastAsia" w:ascii="仿宋" w:hAnsi="仿宋" w:eastAsia="仿宋"/>
          <w:bCs/>
          <w:i/>
          <w:color w:val="auto"/>
          <w:sz w:val="32"/>
          <w:szCs w:val="32"/>
          <w:highlight w:val="none"/>
          <w:u w:val="single"/>
        </w:rPr>
        <w:t xml:space="preserve"> （中型企业、小型企业、微型企业） </w:t>
      </w:r>
      <w:r>
        <w:rPr>
          <w:rFonts w:hint="eastAsia" w:ascii="仿宋" w:hAnsi="仿宋" w:eastAsia="仿宋"/>
          <w:bCs/>
          <w:color w:val="auto"/>
          <w:sz w:val="32"/>
          <w:szCs w:val="32"/>
          <w:highlight w:val="none"/>
        </w:rPr>
        <w:t xml:space="preserve">；</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2. </w:t>
      </w:r>
      <w:r>
        <w:rPr>
          <w:rFonts w:hint="eastAsia" w:ascii="仿宋" w:hAnsi="仿宋" w:eastAsia="仿宋"/>
          <w:bCs/>
          <w:i/>
          <w:color w:val="auto"/>
          <w:sz w:val="32"/>
          <w:szCs w:val="32"/>
          <w:highlight w:val="none"/>
          <w:u w:val="single"/>
        </w:rPr>
        <w:t xml:space="preserve">（采水无人机）</w:t>
      </w:r>
      <w:r>
        <w:rPr>
          <w:rFonts w:hint="eastAsia" w:ascii="仿宋" w:hAnsi="仿宋" w:eastAsia="仿宋"/>
          <w:bCs/>
          <w:color w:val="auto"/>
          <w:sz w:val="32"/>
          <w:szCs w:val="32"/>
          <w:highlight w:val="none"/>
        </w:rPr>
        <w:t xml:space="preserve"> ，属于</w:t>
      </w:r>
      <w:r>
        <w:rPr>
          <w:rFonts w:hint="eastAsia" w:ascii="仿宋" w:hAnsi="仿宋" w:eastAsia="仿宋"/>
          <w:bCs/>
          <w:i/>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i/>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i/>
          <w:color w:val="auto"/>
          <w:sz w:val="32"/>
          <w:szCs w:val="32"/>
          <w:highlight w:val="none"/>
          <w:u w:val="single"/>
        </w:rPr>
        <w:t xml:space="preserve"> （中型企业、小型企业、微型企业）</w:t>
      </w:r>
      <w:r>
        <w:rPr>
          <w:rFonts w:hint="eastAsia" w:ascii="仿宋" w:hAnsi="仿宋" w:eastAsia="仿宋"/>
          <w:bCs/>
          <w:color w:val="auto"/>
          <w:sz w:val="32"/>
          <w:szCs w:val="32"/>
          <w:highlight w:val="none"/>
        </w:rPr>
        <w:t xml:space="preserve"> ；</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3. </w:t>
      </w:r>
      <w:r>
        <w:rPr>
          <w:rFonts w:hint="eastAsia" w:ascii="仿宋" w:hAnsi="仿宋" w:eastAsia="仿宋"/>
          <w:bCs/>
          <w:i/>
          <w:color w:val="auto"/>
          <w:sz w:val="32"/>
          <w:szCs w:val="32"/>
          <w:highlight w:val="none"/>
          <w:u w:val="single"/>
        </w:rPr>
        <w:t xml:space="preserve">（便携式气相色谱质谱联用仪）</w:t>
      </w:r>
      <w:r>
        <w:rPr>
          <w:rFonts w:hint="eastAsia" w:ascii="仿宋" w:hAnsi="仿宋" w:eastAsia="仿宋"/>
          <w:bCs/>
          <w:color w:val="auto"/>
          <w:sz w:val="32"/>
          <w:szCs w:val="32"/>
          <w:highlight w:val="none"/>
        </w:rPr>
        <w:t xml:space="preserve"> ，属于</w:t>
      </w:r>
      <w:r>
        <w:rPr>
          <w:rFonts w:hint="eastAsia" w:ascii="仿宋" w:hAnsi="仿宋" w:eastAsia="仿宋"/>
          <w:bCs/>
          <w:i/>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i/>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i/>
          <w:color w:val="auto"/>
          <w:sz w:val="32"/>
          <w:szCs w:val="32"/>
          <w:highlight w:val="none"/>
          <w:u w:val="single"/>
        </w:rPr>
        <w:t xml:space="preserve"> （中型企业、小型企业、微型企业）</w:t>
      </w:r>
      <w:r/>
    </w:p>
    <w:p>
      <w:pPr>
        <w:ind w:firstLine="643"/>
        <w:spacing w:line="500" w:lineRule="exact"/>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本企业对上述声明内容的真实性负责。如有虚假，将依法承担相应责任。</w:t>
      </w:r>
      <w:r/>
    </w:p>
    <w:p>
      <w:pPr>
        <w:jc w:val="right"/>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企业名称（盖章）：            </w:t>
      </w:r>
      <w:r/>
    </w:p>
    <w:p>
      <w:pPr>
        <w:jc w:val="right"/>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日 期：               </w:t>
      </w:r>
      <w:r/>
    </w:p>
    <w:p>
      <w:pPr>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 从业人员、营业收入、资产总额填报上一年度数据，无上一年度数据的新成立企业可不填报。</w:t>
      </w:r>
      <w:r/>
    </w:p>
    <w:p>
      <w:pPr>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jc w:val="left"/>
        <w:widowControl/>
        <w:rPr>
          <w:rFonts w:ascii="Calibri" w:hAnsi="Calibri"/>
          <w:bCs/>
          <w:color w:val="auto"/>
          <w:szCs w:val="22"/>
          <w:highlight w:val="none"/>
        </w:rPr>
      </w:pPr>
      <w:r>
        <w:rPr>
          <w:rFonts w:ascii="Calibri" w:hAnsi="Calibri"/>
          <w:bCs/>
          <w:color w:val="auto"/>
          <w:szCs w:val="22"/>
          <w:highlight w:val="none"/>
        </w:rPr>
        <w:br w:type="page" w:clear="all"/>
      </w:r>
      <w:r/>
    </w:p>
    <w:p>
      <w:pPr>
        <w:ind w:firstLine="560"/>
        <w:spacing w:line="500" w:lineRule="exact"/>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三</w:t>
      </w:r>
      <w:r>
        <w:rPr>
          <w:rFonts w:hint="eastAsia" w:ascii="仿宋" w:hAnsi="仿宋" w:eastAsia="仿宋"/>
          <w:bCs/>
          <w:color w:val="auto"/>
          <w:sz w:val="28"/>
          <w:szCs w:val="28"/>
          <w:highlight w:val="none"/>
        </w:rPr>
        <w:t xml:space="preserve">）</w:t>
      </w:r>
      <w:r>
        <w:rPr>
          <w:rFonts w:hint="eastAsia" w:ascii="仿宋" w:hAnsi="仿宋" w:eastAsia="仿宋" w:cs="Arial"/>
          <w:bCs/>
          <w:color w:val="auto"/>
          <w:sz w:val="28"/>
          <w:szCs w:val="28"/>
          <w:highlight w:val="none"/>
        </w:rPr>
        <w:t xml:space="preserve">残疾人福利性单位声明函</w:t>
      </w:r>
      <w:r>
        <w:rPr>
          <w:rFonts w:hint="eastAsia" w:ascii="仿宋" w:hAnsi="仿宋" w:eastAsia="仿宋"/>
          <w:bCs/>
          <w:color w:val="auto"/>
          <w:sz w:val="28"/>
          <w:szCs w:val="28"/>
          <w:highlight w:val="none"/>
        </w:rPr>
        <w:t xml:space="preserve">（根据响应供应商具体情况而定，如不属于可删除）</w:t>
      </w:r>
      <w:r/>
    </w:p>
    <w:p>
      <w:pPr>
        <w:jc w:val="center"/>
        <w:rPr>
          <w:rFonts w:ascii="方正小标宋简体" w:eastAsia="方正小标宋简体"/>
          <w:bCs/>
          <w:i/>
          <w:color w:val="auto"/>
          <w:sz w:val="36"/>
          <w:szCs w:val="36"/>
          <w:highlight w:val="none"/>
        </w:rPr>
      </w:pPr>
      <w:r>
        <w:rPr>
          <w:rFonts w:hint="eastAsia" w:ascii="方正小标宋简体" w:eastAsia="方正小标宋简体"/>
          <w:bCs/>
          <w:color w:val="auto"/>
          <w:sz w:val="36"/>
          <w:szCs w:val="36"/>
          <w:highlight w:val="none"/>
        </w:rPr>
        <w:t xml:space="preserve">残疾人福利性单位声明函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 xml:space="preserve">单位的项目编号为</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lang w:val="en-US" w:eastAsia="zh-CN"/>
        </w:rPr>
        <w:t xml:space="preserve"> </w:t>
      </w:r>
      <w:r>
        <w:rPr>
          <w:rFonts w:hint="eastAsia" w:ascii="仿宋" w:hAnsi="仿宋" w:eastAsia="仿宋"/>
          <w:bCs/>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right="1560" w:firstLine="560"/>
        <w:jc w:val="center"/>
        <w:spacing w:line="500" w:lineRule="exact"/>
        <w:tabs>
          <w:tab w:val="left" w:pos="486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日  期：</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注意：中标供应商提供的《中小企业声明函》、《残疾人福利性单位声明函》将随中标结果同时公告，接受社会监督。</w:t>
      </w:r>
      <w:r/>
    </w:p>
    <w:p>
      <w:pPr>
        <w:numPr>
          <w:ilvl w:val="0"/>
          <w:numId w:val="2"/>
        </w:numPr>
        <w:ind w:firstLine="560"/>
        <w:spacing w:line="500" w:lineRule="exact"/>
        <w:rPr>
          <w:rFonts w:hint="eastAsia" w:ascii="仿宋" w:hAnsi="仿宋" w:eastAsia="仿宋" w:cs="仿宋"/>
          <w:bCs/>
          <w:color w:val="auto"/>
          <w:sz w:val="28"/>
          <w:szCs w:val="28"/>
          <w:highlight w:val="none"/>
        </w:rPr>
      </w:pPr>
      <w:r>
        <w:rPr>
          <w:rFonts w:hint="eastAsia" w:ascii="仿宋" w:hAnsi="仿宋" w:eastAsia="仿宋"/>
          <w:bCs/>
          <w:color w:val="auto"/>
          <w:sz w:val="28"/>
          <w:szCs w:val="28"/>
          <w:highlight w:val="none"/>
        </w:rPr>
        <w:br w:type="page" w:clear="all"/>
      </w:r>
      <w:r>
        <w:rPr>
          <w:rFonts w:hint="eastAsia" w:ascii="仿宋" w:hAnsi="仿宋" w:eastAsia="仿宋" w:cs="仿宋"/>
          <w:bCs/>
          <w:color w:val="auto"/>
          <w:sz w:val="28"/>
          <w:szCs w:val="28"/>
          <w:highlight w:val="none"/>
        </w:rPr>
        <w:t xml:space="preserve">关于符合本国产品标准的声明函（在有进口产品参加的采购项目中，享受本国产品价格扣除优惠的，须提供此函）</w:t>
      </w:r>
      <w:r/>
    </w:p>
    <w:p>
      <w:pPr>
        <w:numPr>
          <w:ilvl w:val="0"/>
          <w:numId w:val="0"/>
        </w:numPr>
        <w:jc w:val="center"/>
        <w:spacing w:line="500" w:lineRule="exact"/>
        <w:rPr>
          <w:rStyle w:val="888"/>
          <w:rFonts w:hint="eastAsia" w:ascii="方正小标宋简体" w:hAnsi="方正小标宋简体" w:eastAsia="方正小标宋简体" w:cs="方正小标宋简体"/>
          <w:b w:val="0"/>
          <w:bCs w:val="0"/>
          <w:color w:val="auto"/>
          <w:sz w:val="44"/>
          <w:szCs w:val="44"/>
          <w:highlight w:val="none"/>
        </w:rPr>
      </w:pPr>
      <w:r>
        <w:rPr>
          <w:rFonts w:hint="eastAsia" w:ascii="方正小标宋简体" w:hAnsi="方正小标宋简体" w:eastAsia="方正小标宋简体" w:cs="方正小标宋简体"/>
          <w:b w:val="0"/>
          <w:bCs w:val="0"/>
          <w:color w:val="auto"/>
          <w:sz w:val="44"/>
          <w:szCs w:val="44"/>
          <w:highlight w:val="none"/>
        </w:rPr>
      </w:r>
      <w:r/>
    </w:p>
    <w:p>
      <w:pPr>
        <w:numPr>
          <w:ilvl w:val="0"/>
          <w:numId w:val="0"/>
        </w:numPr>
        <w:jc w:val="center"/>
        <w:spacing w:line="500" w:lineRule="exact"/>
        <w:rPr>
          <w:rFonts w:ascii="方正小标宋简体" w:hAnsi="方正小标宋简体" w:eastAsia="方正小标宋简体"/>
          <w:color w:val="auto"/>
          <w:sz w:val="44"/>
          <w:szCs w:val="44"/>
          <w:highlight w:val="none"/>
        </w:rPr>
      </w:pPr>
      <w:r>
        <w:rPr>
          <w:rStyle w:val="888"/>
          <w:rFonts w:hint="eastAsia" w:ascii="方正小标宋简体" w:hAnsi="方正小标宋简体" w:eastAsia="方正小标宋简体" w:cs="方正小标宋简体"/>
          <w:b w:val="0"/>
          <w:bCs w:val="0"/>
          <w:color w:val="auto"/>
          <w:sz w:val="44"/>
          <w:szCs w:val="44"/>
          <w:highlight w:val="none"/>
        </w:rPr>
        <w:t xml:space="preserve">关于符合本国产品标准的声明函</w:t>
      </w:r>
      <w:r/>
    </w:p>
    <w:p>
      <w:pPr>
        <w:ind w:firstLine="420"/>
        <w:rPr>
          <w:rFonts w:ascii="仿宋" w:hAnsi="仿宋" w:eastAsia="仿宋"/>
          <w:color w:val="auto"/>
          <w:szCs w:val="21"/>
          <w:highlight w:val="none"/>
        </w:rPr>
      </w:pPr>
      <w:r>
        <w:rPr>
          <w:rFonts w:ascii="仿宋" w:hAnsi="仿宋" w:eastAsia="仿宋"/>
          <w:color w:val="auto"/>
          <w:szCs w:val="21"/>
          <w:highlight w:val="none"/>
        </w:rPr>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1.</w:t>
      </w:r>
      <w:r>
        <w:rPr>
          <w:rStyle w:val="885"/>
          <w:rFonts w:hint="eastAsia" w:ascii="仿宋" w:hAnsi="仿宋" w:eastAsia="仿宋" w:cs="仿宋"/>
          <w:color w:val="auto"/>
          <w:sz w:val="32"/>
          <w:szCs w:val="32"/>
          <w:highlight w:val="none"/>
        </w:rPr>
        <w:t xml:space="preserve">（总磷总氮全自动分析仪）</w:t>
      </w:r>
      <w:r>
        <w:rPr>
          <w:rStyle w:val="885"/>
          <w:rFonts w:hint="eastAsia" w:ascii="仿宋" w:hAnsi="仿宋" w:eastAsia="仿宋" w:cs="仿宋"/>
          <w:color w:val="auto"/>
          <w:sz w:val="32"/>
          <w:szCs w:val="32"/>
          <w:highlight w:val="none"/>
          <w:vertAlign w:val="superscript"/>
        </w:rPr>
        <w:t xml:space="preserve">1</w:t>
      </w:r>
      <w:r>
        <w:rPr>
          <w:rFonts w:hint="eastAsia" w:ascii="仿宋" w:hAnsi="仿宋" w:eastAsia="仿宋" w:cs="仿宋"/>
          <w:color w:val="auto"/>
          <w:sz w:val="32"/>
          <w:szCs w:val="32"/>
          <w:highlight w:val="none"/>
        </w:rPr>
        <w:t xml:space="preserve">，生产厂为</w:t>
      </w:r>
      <w:r>
        <w:rPr>
          <w:rStyle w:val="885"/>
          <w:rFonts w:hint="eastAsia" w:ascii="仿宋" w:hAnsi="仿宋" w:eastAsia="仿宋" w:cs="仿宋"/>
          <w:color w:val="auto"/>
          <w:sz w:val="32"/>
          <w:szCs w:val="32"/>
          <w:highlight w:val="none"/>
        </w:rPr>
        <w:t xml:space="preserve">（厂名）</w:t>
      </w:r>
      <w:r>
        <w:rPr>
          <w:rStyle w:val="885"/>
          <w:rFonts w:hint="eastAsia" w:ascii="仿宋" w:hAnsi="仿宋" w:eastAsia="仿宋" w:cs="仿宋"/>
          <w:color w:val="auto"/>
          <w:sz w:val="32"/>
          <w:szCs w:val="32"/>
          <w:highlight w:val="none"/>
          <w:vertAlign w:val="superscript"/>
        </w:rPr>
        <w:t xml:space="preserve">2</w:t>
      </w:r>
      <w:r>
        <w:rPr>
          <w:rFonts w:hint="eastAsia" w:ascii="仿宋" w:hAnsi="仿宋" w:eastAsia="仿宋" w:cs="仿宋"/>
          <w:color w:val="auto"/>
          <w:sz w:val="32"/>
          <w:szCs w:val="32"/>
          <w:highlight w:val="none"/>
        </w:rPr>
        <w:t xml:space="preserve">，厂址为</w:t>
      </w:r>
      <w:r>
        <w:rPr>
          <w:rStyle w:val="885"/>
          <w:rFonts w:hint="eastAsia" w:ascii="仿宋" w:hAnsi="仿宋" w:eastAsia="仿宋" w:cs="仿宋"/>
          <w:color w:val="auto"/>
          <w:sz w:val="32"/>
          <w:szCs w:val="32"/>
          <w:highlight w:val="none"/>
        </w:rPr>
        <w:t xml:space="preserve">（生产厂址）</w:t>
      </w:r>
      <w:r>
        <w:rPr>
          <w:rFonts w:hint="eastAsia" w:ascii="仿宋" w:hAnsi="仿宋" w:eastAsia="仿宋" w:cs="仿宋"/>
          <w:color w:val="auto"/>
          <w:sz w:val="32"/>
          <w:szCs w:val="32"/>
          <w:highlight w:val="none"/>
        </w:rPr>
        <w:t xml:space="preserve">。</w:t>
      </w:r>
      <w:r>
        <w:rPr>
          <w:rStyle w:val="885"/>
          <w:rFonts w:hint="eastAsia" w:ascii="仿宋" w:hAnsi="仿宋" w:eastAsia="仿宋" w:cs="仿宋"/>
          <w:color w:val="auto"/>
          <w:sz w:val="32"/>
          <w:szCs w:val="32"/>
          <w:highlight w:val="none"/>
        </w:rPr>
        <w:t xml:space="preserve">（产品名称1）</w:t>
      </w:r>
      <w:r>
        <w:rPr>
          <w:rFonts w:hint="eastAsia" w:ascii="仿宋" w:hAnsi="仿宋" w:eastAsia="仿宋" w:cs="仿宋"/>
          <w:color w:val="auto"/>
          <w:sz w:val="32"/>
          <w:szCs w:val="32"/>
          <w:highlight w:val="none"/>
        </w:rPr>
        <w:t xml:space="preserve">的中国境内生产的组件成本占比≥</w:t>
      </w:r>
      <w:r>
        <w:rPr>
          <w:rStyle w:val="885"/>
          <w:rFonts w:hint="eastAsia" w:ascii="仿宋" w:hAnsi="仿宋" w:eastAsia="仿宋" w:cs="仿宋"/>
          <w:color w:val="auto"/>
          <w:sz w:val="32"/>
          <w:szCs w:val="32"/>
          <w:highlight w:val="none"/>
        </w:rPr>
        <w:t xml:space="preserve">（规定比例）</w:t>
      </w:r>
      <w:r>
        <w:rPr>
          <w:rStyle w:val="885"/>
          <w:rFonts w:hint="eastAsia" w:ascii="仿宋" w:hAnsi="仿宋" w:eastAsia="仿宋" w:cs="仿宋"/>
          <w:color w:val="auto"/>
          <w:sz w:val="32"/>
          <w:szCs w:val="32"/>
          <w:highlight w:val="none"/>
          <w:vertAlign w:val="superscript"/>
        </w:rPr>
        <w:t xml:space="preserve">3</w:t>
      </w:r>
      <w:r>
        <w:rPr>
          <w:rFonts w:hint="eastAsia" w:ascii="仿宋" w:hAnsi="仿宋" w:eastAsia="仿宋" w:cs="仿宋"/>
          <w:color w:val="auto"/>
          <w:sz w:val="32"/>
          <w:szCs w:val="32"/>
          <w:highlight w:val="none"/>
        </w:rPr>
        <w:t xml:space="preserve">。</w:t>
      </w:r>
      <w:r>
        <w:rPr>
          <w:rStyle w:val="885"/>
          <w:rFonts w:hint="eastAsia" w:ascii="仿宋" w:hAnsi="仿宋" w:eastAsia="仿宋" w:cs="仿宋"/>
          <w:color w:val="auto"/>
          <w:sz w:val="32"/>
          <w:szCs w:val="32"/>
          <w:highlight w:val="none"/>
        </w:rPr>
        <w:t xml:space="preserve">（产品名称1）</w:t>
      </w:r>
      <w:r>
        <w:rPr>
          <w:rFonts w:hint="eastAsia" w:ascii="仿宋" w:hAnsi="仿宋" w:eastAsia="仿宋" w:cs="仿宋"/>
          <w:color w:val="auto"/>
          <w:sz w:val="32"/>
          <w:szCs w:val="32"/>
          <w:highlight w:val="none"/>
        </w:rPr>
        <w:t xml:space="preserve">的</w:t>
      </w:r>
      <w:r>
        <w:rPr>
          <w:rStyle w:val="885"/>
          <w:rFonts w:hint="eastAsia" w:ascii="仿宋" w:hAnsi="仿宋" w:eastAsia="仿宋" w:cs="仿宋"/>
          <w:color w:val="auto"/>
          <w:sz w:val="32"/>
          <w:szCs w:val="32"/>
          <w:highlight w:val="none"/>
        </w:rPr>
        <w:t xml:space="preserve">（关键组件）</w:t>
      </w:r>
      <w:r>
        <w:rPr>
          <w:rStyle w:val="885"/>
          <w:rFonts w:hint="eastAsia" w:ascii="仿宋" w:hAnsi="仿宋" w:eastAsia="仿宋" w:cs="仿宋"/>
          <w:color w:val="auto"/>
          <w:sz w:val="32"/>
          <w:szCs w:val="32"/>
          <w:highlight w:val="none"/>
          <w:vertAlign w:val="superscript"/>
        </w:rPr>
        <w:t xml:space="preserve">4</w:t>
      </w:r>
      <w:r>
        <w:rPr>
          <w:rFonts w:hint="eastAsia" w:ascii="仿宋" w:hAnsi="仿宋" w:eastAsia="仿宋" w:cs="仿宋"/>
          <w:color w:val="auto"/>
          <w:sz w:val="32"/>
          <w:szCs w:val="32"/>
          <w:highlight w:val="none"/>
        </w:rPr>
        <w:t xml:space="preserve">在中国境内生产。</w:t>
      </w:r>
      <w:r>
        <w:rPr>
          <w:rStyle w:val="885"/>
          <w:rFonts w:hint="eastAsia" w:ascii="仿宋" w:hAnsi="仿宋" w:eastAsia="仿宋" w:cs="仿宋"/>
          <w:color w:val="auto"/>
          <w:sz w:val="32"/>
          <w:szCs w:val="32"/>
          <w:highlight w:val="none"/>
        </w:rPr>
        <w:t xml:space="preserve">（产品名称1）</w:t>
      </w:r>
      <w:r>
        <w:rPr>
          <w:rFonts w:hint="eastAsia" w:ascii="仿宋" w:hAnsi="仿宋" w:eastAsia="仿宋" w:cs="仿宋"/>
          <w:color w:val="auto"/>
          <w:sz w:val="32"/>
          <w:szCs w:val="32"/>
          <w:highlight w:val="none"/>
        </w:rPr>
        <w:t xml:space="preserve">的</w:t>
      </w:r>
      <w:r>
        <w:rPr>
          <w:rStyle w:val="885"/>
          <w:rFonts w:hint="eastAsia" w:ascii="仿宋" w:hAnsi="仿宋" w:eastAsia="仿宋" w:cs="仿宋"/>
          <w:color w:val="auto"/>
          <w:sz w:val="32"/>
          <w:szCs w:val="32"/>
          <w:highlight w:val="none"/>
        </w:rPr>
        <w:t xml:space="preserve">（关键工序）</w:t>
      </w:r>
      <w:r>
        <w:rPr>
          <w:rStyle w:val="885"/>
          <w:rFonts w:hint="eastAsia" w:ascii="仿宋" w:hAnsi="仿宋" w:eastAsia="仿宋" w:cs="仿宋"/>
          <w:color w:val="auto"/>
          <w:sz w:val="32"/>
          <w:szCs w:val="32"/>
          <w:highlight w:val="none"/>
          <w:vertAlign w:val="superscript"/>
        </w:rPr>
        <w:t xml:space="preserve">5</w:t>
      </w:r>
      <w:r>
        <w:rPr>
          <w:rFonts w:hint="eastAsia" w:ascii="仿宋" w:hAnsi="仿宋" w:eastAsia="仿宋" w:cs="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2.</w:t>
      </w:r>
      <w:r>
        <w:rPr>
          <w:rStyle w:val="885"/>
          <w:rFonts w:hint="eastAsia" w:ascii="仿宋" w:hAnsi="仿宋" w:eastAsia="仿宋" w:cs="仿宋"/>
          <w:color w:val="auto"/>
          <w:sz w:val="32"/>
          <w:szCs w:val="32"/>
          <w:highlight w:val="none"/>
        </w:rPr>
        <w:t xml:space="preserve">（采水无人机</w:t>
      </w:r>
      <w:r>
        <w:rPr>
          <w:rFonts w:hint="eastAsia" w:ascii="仿宋" w:hAnsi="仿宋" w:eastAsia="仿宋" w:cs="仿宋"/>
          <w:color w:val="auto"/>
          <w:sz w:val="32"/>
          <w:szCs w:val="32"/>
          <w:highlight w:val="none"/>
        </w:rPr>
        <w:t xml:space="preserve">，生产厂为</w:t>
      </w:r>
      <w:r>
        <w:rPr>
          <w:rStyle w:val="885"/>
          <w:rFonts w:hint="eastAsia" w:ascii="仿宋" w:hAnsi="仿宋" w:eastAsia="仿宋" w:cs="仿宋"/>
          <w:color w:val="auto"/>
          <w:sz w:val="32"/>
          <w:szCs w:val="32"/>
          <w:highlight w:val="none"/>
        </w:rPr>
        <w:t xml:space="preserve">（厂名）</w:t>
      </w:r>
      <w:r>
        <w:rPr>
          <w:rFonts w:hint="eastAsia" w:ascii="仿宋" w:hAnsi="仿宋" w:eastAsia="仿宋" w:cs="仿宋"/>
          <w:color w:val="auto"/>
          <w:sz w:val="32"/>
          <w:szCs w:val="32"/>
          <w:highlight w:val="none"/>
        </w:rPr>
        <w:t xml:space="preserve">，厂址为</w:t>
      </w:r>
      <w:r>
        <w:rPr>
          <w:rStyle w:val="885"/>
          <w:rFonts w:hint="eastAsia" w:ascii="仿宋" w:hAnsi="仿宋" w:eastAsia="仿宋" w:cs="仿宋"/>
          <w:color w:val="auto"/>
          <w:sz w:val="32"/>
          <w:szCs w:val="32"/>
          <w:highlight w:val="none"/>
        </w:rPr>
        <w:t xml:space="preserve">（生产厂址）</w:t>
      </w:r>
      <w:r>
        <w:rPr>
          <w:rFonts w:hint="eastAsia" w:ascii="仿宋" w:hAnsi="仿宋" w:eastAsia="仿宋" w:cs="仿宋"/>
          <w:color w:val="auto"/>
          <w:sz w:val="32"/>
          <w:szCs w:val="32"/>
          <w:highlight w:val="none"/>
        </w:rPr>
        <w:t xml:space="preserve">。</w:t>
      </w:r>
      <w:r>
        <w:rPr>
          <w:rStyle w:val="885"/>
          <w:rFonts w:hint="eastAsia" w:ascii="仿宋" w:hAnsi="仿宋" w:eastAsia="仿宋" w:cs="仿宋"/>
          <w:color w:val="auto"/>
          <w:sz w:val="32"/>
          <w:szCs w:val="32"/>
          <w:highlight w:val="none"/>
        </w:rPr>
        <w:t xml:space="preserve">（产品名称2）</w:t>
      </w:r>
      <w:r>
        <w:rPr>
          <w:rFonts w:hint="eastAsia" w:ascii="仿宋" w:hAnsi="仿宋" w:eastAsia="仿宋" w:cs="仿宋"/>
          <w:color w:val="auto"/>
          <w:sz w:val="32"/>
          <w:szCs w:val="32"/>
          <w:highlight w:val="none"/>
        </w:rPr>
        <w:t xml:space="preserve">的中国境内生产的组件成本占比≥</w:t>
      </w:r>
      <w:r>
        <w:rPr>
          <w:rStyle w:val="885"/>
          <w:rFonts w:hint="eastAsia" w:ascii="仿宋" w:hAnsi="仿宋" w:eastAsia="仿宋" w:cs="仿宋"/>
          <w:color w:val="auto"/>
          <w:sz w:val="32"/>
          <w:szCs w:val="32"/>
          <w:highlight w:val="none"/>
        </w:rPr>
        <w:t xml:space="preserve">（规定比例）</w:t>
      </w:r>
      <w:r>
        <w:rPr>
          <w:rFonts w:hint="eastAsia" w:ascii="仿宋" w:hAnsi="仿宋" w:eastAsia="仿宋" w:cs="仿宋"/>
          <w:color w:val="auto"/>
          <w:sz w:val="32"/>
          <w:szCs w:val="32"/>
          <w:highlight w:val="none"/>
        </w:rPr>
        <w:t xml:space="preserve">。</w:t>
      </w:r>
      <w:r>
        <w:rPr>
          <w:rStyle w:val="885"/>
          <w:rFonts w:hint="eastAsia" w:ascii="仿宋" w:hAnsi="仿宋" w:eastAsia="仿宋" w:cs="仿宋"/>
          <w:color w:val="auto"/>
          <w:sz w:val="32"/>
          <w:szCs w:val="32"/>
          <w:highlight w:val="none"/>
        </w:rPr>
        <w:t xml:space="preserve">（产品名称2）</w:t>
      </w:r>
      <w:r>
        <w:rPr>
          <w:rFonts w:hint="eastAsia" w:ascii="仿宋" w:hAnsi="仿宋" w:eastAsia="仿宋" w:cs="仿宋"/>
          <w:color w:val="auto"/>
          <w:sz w:val="32"/>
          <w:szCs w:val="32"/>
          <w:highlight w:val="none"/>
        </w:rPr>
        <w:t xml:space="preserve">的</w:t>
      </w:r>
      <w:r>
        <w:rPr>
          <w:rStyle w:val="885"/>
          <w:rFonts w:hint="eastAsia" w:ascii="仿宋" w:hAnsi="仿宋" w:eastAsia="仿宋" w:cs="仿宋"/>
          <w:color w:val="auto"/>
          <w:sz w:val="32"/>
          <w:szCs w:val="32"/>
          <w:highlight w:val="none"/>
        </w:rPr>
        <w:t xml:space="preserve">（关键组件）</w:t>
      </w:r>
      <w:r>
        <w:rPr>
          <w:rFonts w:hint="eastAsia" w:ascii="仿宋" w:hAnsi="仿宋" w:eastAsia="仿宋" w:cs="仿宋"/>
          <w:color w:val="auto"/>
          <w:sz w:val="32"/>
          <w:szCs w:val="32"/>
          <w:highlight w:val="none"/>
        </w:rPr>
        <w:t xml:space="preserve">在中国境内生产。</w:t>
      </w:r>
      <w:r>
        <w:rPr>
          <w:rStyle w:val="885"/>
          <w:rFonts w:hint="eastAsia" w:ascii="仿宋" w:hAnsi="仿宋" w:eastAsia="仿宋" w:cs="仿宋"/>
          <w:color w:val="auto"/>
          <w:sz w:val="32"/>
          <w:szCs w:val="32"/>
          <w:highlight w:val="none"/>
        </w:rPr>
        <w:t xml:space="preserve">（产品名称2）</w:t>
      </w:r>
      <w:r>
        <w:rPr>
          <w:rFonts w:hint="eastAsia" w:ascii="仿宋" w:hAnsi="仿宋" w:eastAsia="仿宋" w:cs="仿宋"/>
          <w:color w:val="auto"/>
          <w:sz w:val="32"/>
          <w:szCs w:val="32"/>
          <w:highlight w:val="none"/>
        </w:rPr>
        <w:t xml:space="preserve">的</w:t>
      </w:r>
      <w:r>
        <w:rPr>
          <w:rStyle w:val="885"/>
          <w:rFonts w:hint="eastAsia" w:ascii="仿宋" w:hAnsi="仿宋" w:eastAsia="仿宋" w:cs="仿宋"/>
          <w:color w:val="auto"/>
          <w:sz w:val="32"/>
          <w:szCs w:val="32"/>
          <w:highlight w:val="none"/>
        </w:rPr>
        <w:t xml:space="preserve">（关键工序）</w:t>
      </w:r>
      <w:r>
        <w:rPr>
          <w:rFonts w:hint="eastAsia" w:ascii="仿宋" w:hAnsi="仿宋" w:eastAsia="仿宋" w:cs="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3.（便携式气相色谱质谱联用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ascii="仿宋" w:hAnsi="仿宋" w:eastAsia="仿宋"/>
          <w:color w:val="auto"/>
          <w:sz w:val="32"/>
          <w:szCs w:val="32"/>
          <w:highlight w:val="none"/>
        </w:rPr>
      </w:r>
      <w:r/>
    </w:p>
    <w:p>
      <w:pPr>
        <w:ind w:firstLine="640"/>
        <w:spacing w:line="540" w:lineRule="exact"/>
        <w:rPr>
          <w:rFonts w:ascii="仿宋" w:hAnsi="仿宋" w:eastAsia="仿宋"/>
          <w:color w:val="auto"/>
          <w:sz w:val="32"/>
          <w:szCs w:val="32"/>
          <w:highlight w:val="none"/>
        </w:rPr>
      </w:pPr>
      <w:r>
        <w:rPr>
          <w:rFonts w:hint="eastAsia" w:ascii="MS Gothic" w:hAnsi="MS Gothic" w:eastAsia="MS Gothic" w:cs="MS Gothic"/>
          <w:color w:val="auto"/>
          <w:sz w:val="32"/>
          <w:szCs w:val="32"/>
          <w:highlight w:val="none"/>
        </w:rPr>
        <w:t xml:space="preserve">        </w:t>
      </w:r>
      <w:r>
        <w:rPr>
          <w:rFonts w:hint="eastAsia" w:ascii="仿宋" w:hAnsi="仿宋" w:eastAsia="仿宋" w:cs="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MS Gothic" w:hAnsi="MS Gothic" w:eastAsia="MS Gothic" w:cs="MS Gothic"/>
          <w:color w:val="auto"/>
          <w:sz w:val="32"/>
          <w:szCs w:val="32"/>
          <w:highlight w:val="none"/>
        </w:rPr>
        <w:t xml:space="preserve">       </w:t>
      </w:r>
      <w:r>
        <w:rPr>
          <w:rFonts w:hint="eastAsia" w:ascii="仿宋" w:hAnsi="仿宋" w:eastAsia="仿宋" w:cs="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4.该产品的关键组件要求实施前，“关键组件”栏可不填，下同。</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5.该产品的关键工序要求实施前，“关键工序”栏可不填，下同。</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五</w:t>
      </w:r>
      <w:r>
        <w:rPr>
          <w:rFonts w:hint="eastAsia" w:ascii="仿宋" w:hAnsi="仿宋" w:eastAsia="仿宋"/>
          <w:bCs/>
          <w:color w:val="auto"/>
          <w:sz w:val="28"/>
          <w:szCs w:val="28"/>
          <w:highlight w:val="none"/>
        </w:rPr>
        <w:t xml:space="preserve">）公开招标响应报价明细表</w:t>
      </w:r>
      <w:r/>
    </w:p>
    <w:p>
      <w:pPr>
        <w:ind w:firstLine="3052"/>
        <w:rPr>
          <w:rFonts w:ascii="宋体" w:hAnsi="宋体"/>
          <w:b/>
          <w:color w:val="auto"/>
          <w:sz w:val="24"/>
          <w:highlight w:val="none"/>
        </w:rPr>
      </w:pPr>
      <w:r>
        <w:rPr>
          <w:rFonts w:hint="eastAsia" w:ascii="方正小标宋简体" w:hAnsi="宋体" w:eastAsia="方正小标宋简体"/>
          <w:b/>
          <w:color w:val="auto"/>
          <w:sz w:val="32"/>
          <w:szCs w:val="32"/>
          <w:highlight w:val="none"/>
        </w:rPr>
        <w:t xml:space="preserve">公开招标响应报价明细表</w:t>
      </w:r>
      <w:r/>
    </w:p>
    <w:p>
      <w:pPr>
        <w:rPr>
          <w:rFonts w:ascii="宋体" w:hAnsi="宋体"/>
          <w:b/>
          <w:color w:val="auto"/>
          <w:highlight w:val="none"/>
        </w:rPr>
      </w:pPr>
      <w:r>
        <w:rPr>
          <w:rFonts w:ascii="宋体" w:hAnsi="宋体"/>
          <w:b/>
          <w:color w:val="auto"/>
          <w:highlight w:val="none"/>
        </w:rPr>
      </w:r>
      <w:r/>
    </w:p>
    <w:p>
      <w:pPr>
        <w:pStyle w:val="691"/>
        <w:rPr>
          <w:rFonts w:hint="eastAsia" w:ascii="宋体" w:eastAsia="仿宋"/>
          <w:b w:val="0"/>
          <w:bCs/>
          <w:color w:val="auto"/>
          <w:highlight w:val="none"/>
          <w:lang w:eastAsia="zh-CN"/>
        </w:rPr>
      </w:pPr>
      <w:r>
        <w:rPr>
          <w:rFonts w:hint="eastAsia" w:ascii="仿宋" w:hAnsi="仿宋" w:eastAsia="仿宋"/>
          <w:b w:val="0"/>
          <w:bCs/>
          <w:color w:val="auto"/>
          <w:szCs w:val="24"/>
          <w:highlight w:val="none"/>
        </w:rPr>
        <w:t xml:space="preserve">项目名称：</w:t>
      </w:r>
      <w:r>
        <w:rPr>
          <w:rFonts w:hint="eastAsia" w:ascii="仿宋" w:hAnsi="仿宋" w:eastAsia="仿宋"/>
          <w:b w:val="0"/>
          <w:bCs/>
          <w:color w:val="auto"/>
          <w:szCs w:val="24"/>
          <w:highlight w:val="none"/>
          <w:lang w:eastAsia="zh-CN"/>
        </w:rPr>
        <w:t xml:space="preserve">如皋市水源地水质自动监测监控预警能力提升建设项目（采购包2）</w:t>
      </w:r>
      <w:r/>
    </w:p>
    <w:p>
      <w:pP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项目编号： </w:t>
      </w:r>
      <w:r>
        <w:rPr>
          <w:rFonts w:hint="eastAsia" w:ascii="仿宋" w:hAnsi="仿宋" w:eastAsia="仿宋"/>
          <w:b w:val="0"/>
          <w:bCs/>
          <w:color w:val="auto"/>
          <w:sz w:val="24"/>
          <w:highlight w:val="none"/>
          <w:lang w:eastAsia="zh-CN"/>
        </w:rPr>
        <w:t xml:space="preserve">JSZC-320682-NTZJ-G2026-0020</w:t>
      </w:r>
      <w:r>
        <w:rPr>
          <w:rFonts w:hint="eastAsia" w:ascii="仿宋" w:hAnsi="仿宋" w:eastAsia="仿宋"/>
          <w:b w:val="0"/>
          <w:bCs/>
          <w:color w:val="auto"/>
          <w:sz w:val="24"/>
          <w:highlight w:val="none"/>
        </w:rPr>
        <w:t xml:space="preserve">              分包号：                   </w:t>
      </w:r>
      <w:r/>
    </w:p>
    <w:tbl>
      <w:tblPr>
        <w:tblStyle w:val="677"/>
        <w:tblW w:w="9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168"/>
        <w:gridCol w:w="1354"/>
        <w:gridCol w:w="983"/>
        <w:gridCol w:w="983"/>
        <w:gridCol w:w="983"/>
        <w:gridCol w:w="983"/>
        <w:gridCol w:w="1147"/>
        <w:gridCol w:w="983"/>
      </w:tblGrid>
      <w:tr>
        <w:trPr>
          <w:cantSplit/>
          <w:trHeight w:val="954"/>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品牌和型号</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计量单位</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单价</w:t>
            </w:r>
            <w:r/>
          </w:p>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单项</w:t>
            </w:r>
            <w:r/>
          </w:p>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合计价</w:t>
            </w:r>
            <w:r/>
          </w:p>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备注</w:t>
            </w:r>
            <w:r/>
          </w:p>
        </w:tc>
      </w:tr>
      <w:tr>
        <w:trPr>
          <w:cantSplit/>
          <w:trHeight w:val="639"/>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总磷总氮全自动分析仪</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954"/>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采水无人机</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639"/>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便携式气相色谱质谱联用仪</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639"/>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334"/>
        </w:trPr>
        <w:tc>
          <w:tcPr>
            <w:gridSpan w:val="6"/>
            <w:tcBorders>
              <w:top w:val="single" w:color="auto" w:sz="4" w:space="0"/>
              <w:left w:val="single" w:color="auto" w:sz="4" w:space="0"/>
              <w:bottom w:val="single" w:color="auto" w:sz="4" w:space="0"/>
              <w:right w:val="single" w:color="auto" w:sz="4" w:space="0"/>
            </w:tcBorders>
            <w:tcW w:w="6160" w:type="dxa"/>
            <w:vAlign w:val="center"/>
            <w:textDirection w:val="lrTb"/>
            <w:noWrap/>
          </w:tcPr>
          <w:p>
            <w:pPr>
              <w:rPr>
                <w:rFonts w:ascii="仿宋" w:hAnsi="仿宋" w:eastAsia="仿宋"/>
                <w:b/>
                <w:color w:val="auto"/>
                <w:sz w:val="24"/>
                <w:highlight w:val="none"/>
              </w:rPr>
            </w:pPr>
            <w:r>
              <w:rPr>
                <w:rFonts w:hint="eastAsia" w:ascii="仿宋" w:hAnsi="仿宋" w:eastAsia="仿宋"/>
                <w:b/>
                <w:color w:val="auto"/>
                <w:sz w:val="24"/>
                <w:highlight w:val="none"/>
              </w:rPr>
              <w:t xml:space="preserve">总 计（大写）</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rPr>
          <w:rFonts w:ascii="仿宋" w:hAnsi="仿宋" w:eastAsia="仿宋"/>
          <w:b/>
          <w:color w:val="auto"/>
          <w:szCs w:val="21"/>
          <w:highlight w:val="none"/>
        </w:rPr>
      </w:pPr>
      <w:r>
        <w:rPr>
          <w:rFonts w:hint="eastAsia" w:ascii="仿宋" w:hAnsi="仿宋" w:eastAsia="仿宋"/>
          <w:b/>
          <w:color w:val="auto"/>
          <w:szCs w:val="21"/>
          <w:highlight w:val="none"/>
        </w:rPr>
        <w:t xml:space="preserve">投标人名称：（盖章）                日期：年</w:t>
      </w:r>
      <w:r>
        <w:rPr>
          <w:rFonts w:hint="eastAsia" w:ascii="仿宋" w:hAnsi="仿宋" w:eastAsia="仿宋"/>
          <w:b/>
          <w:color w:val="auto"/>
          <w:szCs w:val="21"/>
          <w:highlight w:val="none"/>
          <w:lang w:val="en-US" w:eastAsia="zh-CN"/>
        </w:rPr>
        <w:t xml:space="preserve"> </w:t>
      </w:r>
      <w:r>
        <w:rPr>
          <w:rFonts w:hint="eastAsia" w:ascii="仿宋" w:hAnsi="仿宋" w:eastAsia="仿宋"/>
          <w:b/>
          <w:color w:val="auto"/>
          <w:szCs w:val="21"/>
          <w:highlight w:val="none"/>
        </w:rPr>
        <w:t xml:space="preserve">月</w:t>
      </w:r>
      <w:r>
        <w:rPr>
          <w:rFonts w:hint="eastAsia" w:ascii="仿宋" w:hAnsi="仿宋" w:eastAsia="仿宋"/>
          <w:b/>
          <w:color w:val="auto"/>
          <w:szCs w:val="21"/>
          <w:highlight w:val="none"/>
          <w:lang w:val="en-US" w:eastAsia="zh-CN"/>
        </w:rPr>
        <w:t xml:space="preserve">  </w:t>
      </w:r>
      <w:r>
        <w:rPr>
          <w:rFonts w:hint="eastAsia" w:ascii="仿宋" w:hAnsi="仿宋" w:eastAsia="仿宋"/>
          <w:b/>
          <w:color w:val="auto"/>
          <w:szCs w:val="21"/>
          <w:highlight w:val="none"/>
        </w:rPr>
        <w:t xml:space="preserve">日</w:t>
      </w:r>
      <w:r/>
    </w:p>
    <w:p>
      <w:pPr>
        <w:rPr>
          <w:rFonts w:ascii="仿宋" w:hAnsi="仿宋" w:eastAsia="仿宋"/>
          <w:b/>
          <w:color w:val="auto"/>
          <w:szCs w:val="21"/>
          <w:highlight w:val="none"/>
        </w:rPr>
      </w:pPr>
      <w:r>
        <w:rPr>
          <w:rFonts w:hint="eastAsia" w:ascii="仿宋" w:hAnsi="仿宋" w:eastAsia="仿宋"/>
          <w:b/>
          <w:color w:val="auto"/>
          <w:szCs w:val="21"/>
          <w:highlight w:val="none"/>
        </w:rPr>
        <w:t xml:space="preserve">注：</w:t>
      </w:r>
      <w:r/>
    </w:p>
    <w:p>
      <w:pPr>
        <w:rPr>
          <w:rFonts w:ascii="仿宋" w:hAnsi="仿宋" w:eastAsia="仿宋"/>
          <w:b/>
          <w:color w:val="auto"/>
          <w:szCs w:val="21"/>
          <w:highlight w:val="none"/>
        </w:rPr>
      </w:pPr>
      <w:r>
        <w:rPr>
          <w:rFonts w:hint="eastAsia" w:ascii="仿宋" w:hAnsi="仿宋" w:eastAsia="仿宋"/>
          <w:b/>
          <w:color w:val="auto"/>
          <w:szCs w:val="21"/>
          <w:highlight w:val="none"/>
        </w:rPr>
        <w:t xml:space="preserve">1、此表可以根据需要自行增减行数。</w:t>
      </w:r>
      <w:r/>
    </w:p>
    <w:p>
      <w:pPr>
        <w:rPr>
          <w:rFonts w:ascii="仿宋" w:hAnsi="仿宋" w:eastAsia="仿宋"/>
          <w:b/>
          <w:color w:val="auto"/>
          <w:szCs w:val="21"/>
          <w:highlight w:val="none"/>
        </w:rPr>
      </w:pPr>
      <w:r>
        <w:rPr>
          <w:rFonts w:hint="eastAsia" w:ascii="仿宋" w:hAnsi="仿宋" w:eastAsia="仿宋"/>
          <w:b/>
          <w:color w:val="auto"/>
          <w:szCs w:val="21"/>
          <w:highlight w:val="none"/>
        </w:rPr>
        <w:t xml:space="preserve">2、项目如有分包，请各投标人按投报的分包分别列表。</w:t>
      </w:r>
      <w:r/>
    </w:p>
    <w:p>
      <w:pPr>
        <w:pStyle w:val="700"/>
        <w:rPr>
          <w:color w:val="auto"/>
          <w:highlight w:val="none"/>
        </w:rPr>
      </w:pPr>
      <w:r>
        <w:rPr>
          <w:color w:val="auto"/>
          <w:highlight w:val="none"/>
        </w:rPr>
      </w:r>
      <w:r/>
    </w:p>
    <w:p>
      <w:pPr>
        <w:pStyle w:val="876"/>
        <w:ind w:firstLine="0"/>
        <w:jc w:val="center"/>
        <w:spacing w:line="240" w:lineRule="auto"/>
        <w:rPr>
          <w:rFonts w:hint="eastAsia" w:ascii="仿宋" w:hAnsi="仿宋" w:eastAsia="仿宋"/>
          <w:bCs/>
          <w:color w:val="auto"/>
          <w:sz w:val="28"/>
          <w:szCs w:val="28"/>
          <w:highlight w:val="none"/>
          <w:lang w:val="en-US" w:eastAsia="zh-CN"/>
        </w:rPr>
        <w:outlineLvl w:val="0"/>
      </w:pPr>
      <w:r>
        <w:rPr>
          <w:rFonts w:hint="eastAsia" w:ascii="仿宋" w:hAnsi="仿宋" w:eastAsia="仿宋"/>
          <w:bCs/>
          <w:color w:val="auto"/>
          <w:sz w:val="28"/>
          <w:szCs w:val="28"/>
          <w:highlight w:val="none"/>
          <w:lang w:val="en-US" w:eastAsia="zh-CN"/>
        </w:rPr>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FangSong">
    <w:panose1 w:val="02010609060101010101"/>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文鼎CS楷体">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rPr>
        <w:rStyle w:val="711"/>
      </w:rPr>
      <w:framePr w:wrap="around" w:vAnchor="text" w:hAnchor="margin" w:xAlign="center" w:y="1"/>
    </w:pPr>
    <w:r>
      <w:fldChar w:fldCharType="begin"/>
    </w:r>
    <w:r>
      <w:rPr>
        <w:rStyle w:val="711"/>
      </w:rPr>
      <w:instrText xml:space="preserve">PAGE  </w:instrText>
    </w:r>
    <w:r>
      <w:fldChar w:fldCharType="end"/>
    </w:r>
    <w:r/>
  </w:p>
  <w:p>
    <w:pPr>
      <w:pStyle w:val="6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7">
    <w:name w:val="Heading 1"/>
    <w:basedOn w:val="666"/>
    <w:next w:val="666"/>
    <w:uiPriority w:val="0"/>
    <w:qFormat/>
    <w:pPr>
      <w:keepLines/>
      <w:keepNext/>
      <w:spacing w:before="340" w:after="330" w:line="578" w:lineRule="auto"/>
      <w:outlineLvl w:val="0"/>
    </w:pPr>
    <w:rPr>
      <w:b/>
      <w:bCs/>
      <w:sz w:val="44"/>
      <w:szCs w:val="44"/>
    </w:rPr>
  </w:style>
  <w:style w:type="paragraph" w:styleId="668">
    <w:name w:val="Heading 2"/>
    <w:basedOn w:val="666"/>
    <w:next w:val="666"/>
    <w:link w:val="882"/>
    <w:uiPriority w:val="0"/>
    <w:qFormat/>
    <w:pPr>
      <w:keepLines/>
      <w:keepNext/>
      <w:spacing w:before="260" w:after="260" w:line="416" w:lineRule="auto"/>
      <w:outlineLvl w:val="1"/>
    </w:pPr>
    <w:rPr>
      <w:rFonts w:ascii="Arial" w:hAnsi="Arial" w:eastAsia="黑体"/>
      <w:b/>
      <w:bCs/>
      <w:sz w:val="32"/>
      <w:szCs w:val="32"/>
    </w:rPr>
  </w:style>
  <w:style w:type="paragraph" w:styleId="669">
    <w:name w:val="Heading 3"/>
    <w:basedOn w:val="666"/>
    <w:next w:val="666"/>
    <w:link w:val="867"/>
    <w:uiPriority w:val="0"/>
    <w:qFormat/>
    <w:pPr>
      <w:keepLines/>
      <w:keepNext/>
      <w:spacing w:before="260" w:after="260" w:line="416" w:lineRule="auto"/>
      <w:outlineLvl w:val="2"/>
    </w:pPr>
    <w:rPr>
      <w:b/>
      <w:sz w:val="32"/>
      <w:szCs w:val="20"/>
    </w:rPr>
  </w:style>
  <w:style w:type="paragraph" w:styleId="670">
    <w:name w:val="Heading 4"/>
    <w:basedOn w:val="666"/>
    <w:next w:val="666"/>
    <w:link w:val="868"/>
    <w:uiPriority w:val="0"/>
    <w:qFormat/>
    <w:pPr>
      <w:keepLines/>
      <w:keepNext/>
      <w:spacing w:before="280" w:after="290" w:line="376" w:lineRule="auto"/>
      <w:outlineLvl w:val="3"/>
    </w:pPr>
    <w:rPr>
      <w:rFonts w:ascii="Arial" w:hAnsi="Arial" w:eastAsia="黑体"/>
      <w:b/>
      <w:bCs/>
      <w:sz w:val="28"/>
      <w:szCs w:val="28"/>
    </w:rPr>
  </w:style>
  <w:style w:type="paragraph" w:styleId="671">
    <w:name w:val="Heading 5"/>
    <w:basedOn w:val="666"/>
    <w:next w:val="666"/>
    <w:link w:val="719"/>
    <w:uiPriority w:val="9"/>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20"/>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22"/>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23"/>
    <w:uiPriority w:val="9"/>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oc 7"/>
    <w:basedOn w:val="666"/>
    <w:next w:val="666"/>
    <w:uiPriority w:val="39"/>
    <w:unhideWhenUsed/>
    <w:qFormat/>
    <w:pPr>
      <w:ind w:left="1701" w:right="0" w:firstLine="0"/>
      <w:spacing w:after="57"/>
    </w:pPr>
  </w:style>
  <w:style w:type="paragraph" w:styleId="679">
    <w:name w:val="Normal Indent"/>
    <w:basedOn w:val="666"/>
    <w:link w:val="873"/>
    <w:uiPriority w:val="0"/>
    <w:qFormat/>
    <w:pPr>
      <w:ind w:firstLine="420"/>
    </w:pPr>
  </w:style>
  <w:style w:type="paragraph" w:styleId="680">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1">
    <w:name w:val="index 5"/>
    <w:basedOn w:val="666"/>
    <w:next w:val="666"/>
    <w:uiPriority w:val="0"/>
    <w:qFormat/>
    <w:pPr>
      <w:ind w:left="800"/>
    </w:pPr>
  </w:style>
  <w:style w:type="paragraph" w:styleId="682">
    <w:name w:val="Document Map"/>
    <w:basedOn w:val="666"/>
    <w:uiPriority w:val="0"/>
    <w:semiHidden/>
    <w:qFormat/>
    <w:pPr>
      <w:shd w:val="clear" w:color="auto" w:fill="000080"/>
    </w:pPr>
  </w:style>
  <w:style w:type="paragraph" w:styleId="683">
    <w:name w:val="annotation text"/>
    <w:basedOn w:val="666"/>
    <w:uiPriority w:val="0"/>
    <w:unhideWhenUsed/>
    <w:qFormat/>
    <w:pPr>
      <w:jc w:val="left"/>
    </w:pPr>
    <w:rPr>
      <w:rFonts w:hint="eastAsia"/>
    </w:rPr>
  </w:style>
  <w:style w:type="paragraph" w:styleId="684">
    <w:name w:val="Body Text"/>
    <w:basedOn w:val="666"/>
    <w:uiPriority w:val="0"/>
    <w:qFormat/>
    <w:pPr>
      <w:spacing w:after="120"/>
    </w:pPr>
    <w:rPr>
      <w:rFonts w:ascii="Calibri" w:hAnsi="Calibri"/>
    </w:rPr>
  </w:style>
  <w:style w:type="paragraph" w:styleId="685">
    <w:name w:val="Body Text Indent"/>
    <w:basedOn w:val="666"/>
    <w:next w:val="686"/>
    <w:uiPriority w:val="0"/>
    <w:qFormat/>
    <w:pPr>
      <w:ind w:left="420"/>
      <w:spacing w:after="120"/>
    </w:pPr>
  </w:style>
  <w:style w:type="paragraph" w:styleId="686">
    <w:name w:val="envelope return"/>
    <w:basedOn w:val="666"/>
    <w:uiPriority w:val="99"/>
    <w:unhideWhenUsed/>
    <w:qFormat/>
    <w:rPr>
      <w:rFonts w:ascii="Arial" w:hAnsi="Arial"/>
    </w:rPr>
  </w:style>
  <w:style w:type="paragraph" w:styleId="687">
    <w:name w:val="toc 5"/>
    <w:basedOn w:val="666"/>
    <w:next w:val="666"/>
    <w:uiPriority w:val="39"/>
    <w:unhideWhenUsed/>
    <w:qFormat/>
    <w:pPr>
      <w:ind w:left="1134" w:right="0" w:firstLine="0"/>
      <w:spacing w:after="57"/>
    </w:pPr>
  </w:style>
  <w:style w:type="paragraph" w:styleId="688">
    <w:name w:val="toc 3"/>
    <w:basedOn w:val="666"/>
    <w:next w:val="666"/>
    <w:uiPriority w:val="39"/>
    <w:unhideWhenUsed/>
    <w:qFormat/>
    <w:pPr>
      <w:ind w:left="567" w:right="0" w:firstLine="0"/>
      <w:spacing w:after="57"/>
    </w:pPr>
  </w:style>
  <w:style w:type="paragraph" w:styleId="689">
    <w:name w:val="Plain Text"/>
    <w:basedOn w:val="666"/>
    <w:link w:val="872"/>
    <w:uiPriority w:val="99"/>
    <w:qFormat/>
    <w:pPr>
      <w:jc w:val="left"/>
      <w:spacing w:after="200" w:line="252" w:lineRule="auto"/>
      <w:widowControl/>
    </w:pPr>
    <w:rPr>
      <w:rFonts w:ascii="宋体" w:hAnsi="Courier New"/>
      <w:szCs w:val="20"/>
    </w:rPr>
  </w:style>
  <w:style w:type="paragraph" w:styleId="690">
    <w:name w:val="toc 8"/>
    <w:basedOn w:val="666"/>
    <w:next w:val="666"/>
    <w:uiPriority w:val="39"/>
    <w:unhideWhenUsed/>
    <w:qFormat/>
    <w:pPr>
      <w:ind w:left="1984" w:right="0" w:firstLine="0"/>
      <w:spacing w:after="57"/>
    </w:pPr>
  </w:style>
  <w:style w:type="paragraph" w:styleId="691">
    <w:name w:val="Date"/>
    <w:basedOn w:val="666"/>
    <w:next w:val="666"/>
    <w:link w:val="863"/>
    <w:uiPriority w:val="0"/>
    <w:qFormat/>
    <w:rPr>
      <w:sz w:val="24"/>
      <w:szCs w:val="20"/>
    </w:rPr>
  </w:style>
  <w:style w:type="paragraph" w:styleId="692">
    <w:name w:val="Body Text Indent 2"/>
    <w:basedOn w:val="666"/>
    <w:link w:val="883"/>
    <w:uiPriority w:val="0"/>
    <w:qFormat/>
    <w:pPr>
      <w:ind w:left="420"/>
      <w:spacing w:after="120" w:line="480" w:lineRule="auto"/>
    </w:pPr>
  </w:style>
  <w:style w:type="paragraph" w:styleId="693">
    <w:name w:val="endnote text"/>
    <w:basedOn w:val="666"/>
    <w:link w:val="861"/>
    <w:uiPriority w:val="99"/>
    <w:semiHidden/>
    <w:unhideWhenUsed/>
    <w:qFormat/>
    <w:pPr>
      <w:spacing w:after="0" w:line="240" w:lineRule="auto"/>
    </w:pPr>
    <w:rPr>
      <w:sz w:val="20"/>
    </w:rPr>
  </w:style>
  <w:style w:type="paragraph" w:styleId="694">
    <w:name w:val="Balloon Text"/>
    <w:basedOn w:val="666"/>
    <w:link w:val="865"/>
    <w:uiPriority w:val="0"/>
    <w:qFormat/>
    <w:rPr>
      <w:sz w:val="18"/>
      <w:szCs w:val="18"/>
    </w:rPr>
  </w:style>
  <w:style w:type="paragraph" w:styleId="695">
    <w:name w:val="Footer"/>
    <w:basedOn w:val="666"/>
    <w:uiPriority w:val="0"/>
    <w:qFormat/>
    <w:pPr>
      <w:jc w:val="left"/>
      <w:tabs>
        <w:tab w:val="center" w:pos="4153" w:leader="none"/>
        <w:tab w:val="right" w:pos="8306" w:leader="none"/>
      </w:tabs>
    </w:pPr>
    <w:rPr>
      <w:sz w:val="18"/>
      <w:szCs w:val="18"/>
    </w:rPr>
  </w:style>
  <w:style w:type="paragraph" w:styleId="696">
    <w:name w:val="Header"/>
    <w:basedOn w:val="666"/>
    <w:link w:val="874"/>
    <w:uiPriority w:val="99"/>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66"/>
    <w:next w:val="666"/>
    <w:uiPriority w:val="0"/>
    <w:qFormat/>
  </w:style>
  <w:style w:type="paragraph" w:styleId="698">
    <w:name w:val="toc 4"/>
    <w:basedOn w:val="666"/>
    <w:next w:val="666"/>
    <w:uiPriority w:val="39"/>
    <w:unhideWhenUsed/>
    <w:qFormat/>
    <w:pPr>
      <w:ind w:left="850" w:right="0" w:firstLine="0"/>
      <w:spacing w:after="57"/>
    </w:pPr>
  </w:style>
  <w:style w:type="paragraph" w:styleId="699">
    <w:name w:val="Subtitle"/>
    <w:basedOn w:val="666"/>
    <w:next w:val="666"/>
    <w:link w:val="727"/>
    <w:uiPriority w:val="11"/>
    <w:qFormat/>
    <w:pPr>
      <w:spacing w:before="200" w:after="200"/>
    </w:pPr>
    <w:rPr>
      <w:sz w:val="24"/>
      <w:szCs w:val="24"/>
    </w:rPr>
  </w:style>
  <w:style w:type="paragraph" w:styleId="700">
    <w:name w:val="footnote text"/>
    <w:basedOn w:val="666"/>
    <w:next w:val="681"/>
    <w:uiPriority w:val="0"/>
    <w:qFormat/>
    <w:pPr>
      <w:jc w:val="left"/>
      <w:spacing w:line="312" w:lineRule="atLeast"/>
    </w:pPr>
    <w:rPr>
      <w:sz w:val="18"/>
      <w:szCs w:val="22"/>
    </w:rPr>
  </w:style>
  <w:style w:type="paragraph" w:styleId="701">
    <w:name w:val="toc 6"/>
    <w:basedOn w:val="666"/>
    <w:next w:val="666"/>
    <w:uiPriority w:val="39"/>
    <w:unhideWhenUsed/>
    <w:qFormat/>
    <w:pPr>
      <w:ind w:left="1417" w:right="0" w:firstLine="0"/>
      <w:spacing w:after="57"/>
    </w:pPr>
  </w:style>
  <w:style w:type="paragraph" w:styleId="702">
    <w:name w:val="Body Text Indent 3"/>
    <w:basedOn w:val="666"/>
    <w:link w:val="864"/>
    <w:uiPriority w:val="0"/>
    <w:qFormat/>
    <w:pPr>
      <w:ind w:left="420"/>
      <w:spacing w:after="120"/>
    </w:pPr>
    <w:rPr>
      <w:sz w:val="16"/>
      <w:szCs w:val="16"/>
    </w:rPr>
  </w:style>
  <w:style w:type="paragraph" w:styleId="703">
    <w:name w:val="table of figures"/>
    <w:basedOn w:val="666"/>
    <w:next w:val="666"/>
    <w:uiPriority w:val="99"/>
    <w:unhideWhenUsed/>
    <w:qFormat/>
    <w:pPr>
      <w:spacing w:after="0" w:afterAutospacing="0"/>
    </w:pPr>
  </w:style>
  <w:style w:type="paragraph" w:styleId="704">
    <w:name w:val="toc 2"/>
    <w:basedOn w:val="666"/>
    <w:next w:val="666"/>
    <w:uiPriority w:val="0"/>
    <w:qFormat/>
    <w:pPr>
      <w:ind w:left="420"/>
    </w:pPr>
  </w:style>
  <w:style w:type="paragraph" w:styleId="705">
    <w:name w:val="toc 9"/>
    <w:basedOn w:val="666"/>
    <w:next w:val="666"/>
    <w:uiPriority w:val="39"/>
    <w:unhideWhenUsed/>
    <w:qFormat/>
    <w:pPr>
      <w:ind w:left="2268" w:right="0" w:firstLine="0"/>
      <w:spacing w:after="57"/>
    </w:pPr>
  </w:style>
  <w:style w:type="paragraph" w:styleId="706">
    <w:name w:val="Normal (Web)"/>
    <w:basedOn w:val="666"/>
    <w:uiPriority w:val="99"/>
    <w:unhideWhenUsed/>
    <w:qFormat/>
    <w:pPr>
      <w:jc w:val="left"/>
      <w:spacing w:before="100" w:beforeAutospacing="1" w:after="100" w:afterAutospacing="1"/>
      <w:widowControl/>
    </w:pPr>
    <w:rPr>
      <w:rFonts w:ascii="宋体" w:hAnsi="宋体" w:cs="宋体"/>
      <w:sz w:val="24"/>
    </w:rPr>
  </w:style>
  <w:style w:type="paragraph" w:styleId="707">
    <w:name w:val="Title"/>
    <w:basedOn w:val="666"/>
    <w:next w:val="666"/>
    <w:link w:val="726"/>
    <w:uiPriority w:val="10"/>
    <w:qFormat/>
    <w:pPr>
      <w:contextualSpacing/>
      <w:spacing w:before="300" w:after="200"/>
    </w:pPr>
    <w:rPr>
      <w:sz w:val="48"/>
      <w:szCs w:val="48"/>
    </w:rPr>
  </w:style>
  <w:style w:type="paragraph" w:styleId="708">
    <w:name w:val="Body Text First Indent"/>
    <w:basedOn w:val="684"/>
    <w:next w:val="666"/>
    <w:uiPriority w:val="99"/>
    <w:qFormat/>
    <w:pPr>
      <w:ind w:firstLine="420"/>
      <w:tabs>
        <w:tab w:val="left" w:pos="2020" w:leader="none"/>
        <w:tab w:val="center" w:pos="4535" w:leader="none"/>
      </w:tabs>
    </w:pPr>
  </w:style>
  <w:style w:type="table" w:styleId="709">
    <w:name w:val="Table Grid"/>
    <w:basedOn w:val="6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basedOn w:val="676"/>
    <w:uiPriority w:val="99"/>
    <w:semiHidden/>
    <w:unhideWhenUsed/>
    <w:qFormat/>
    <w:rPr>
      <w:vertAlign w:val="superscript"/>
    </w:rPr>
  </w:style>
  <w:style w:type="character" w:styleId="711">
    <w:name w:val="page number"/>
    <w:basedOn w:val="676"/>
    <w:uiPriority w:val="0"/>
    <w:qFormat/>
  </w:style>
  <w:style w:type="character" w:styleId="712">
    <w:name w:val="Hyperlink"/>
    <w:basedOn w:val="676"/>
    <w:uiPriority w:val="0"/>
    <w:qFormat/>
    <w:rPr>
      <w:color w:val="0000ff"/>
      <w:u w:val="single"/>
    </w:rPr>
  </w:style>
  <w:style w:type="character" w:styleId="713">
    <w:name w:val="annotation reference"/>
    <w:basedOn w:val="676"/>
    <w:uiPriority w:val="0"/>
    <w:qFormat/>
    <w:rPr>
      <w:sz w:val="21"/>
      <w:szCs w:val="21"/>
    </w:rPr>
  </w:style>
  <w:style w:type="character" w:styleId="714">
    <w:name w:val="footnote reference"/>
    <w:basedOn w:val="676"/>
    <w:uiPriority w:val="99"/>
    <w:unhideWhenUsed/>
    <w:qFormat/>
    <w:rPr>
      <w:vertAlign w:val="superscript"/>
    </w:rPr>
  </w:style>
  <w:style w:type="character" w:styleId="715" w:customStyle="1">
    <w:name w:val="Heading 1 Char"/>
    <w:basedOn w:val="676"/>
    <w:uiPriority w:val="9"/>
    <w:qFormat/>
    <w:rPr>
      <w:rFonts w:ascii="Arial" w:hAnsi="Arial" w:eastAsia="Arial" w:cs="Arial"/>
      <w:sz w:val="40"/>
      <w:szCs w:val="40"/>
    </w:rPr>
  </w:style>
  <w:style w:type="character" w:styleId="716" w:customStyle="1">
    <w:name w:val="Heading 2 Char"/>
    <w:basedOn w:val="676"/>
    <w:uiPriority w:val="9"/>
    <w:qFormat/>
    <w:rPr>
      <w:rFonts w:ascii="Arial" w:hAnsi="Arial" w:eastAsia="Arial" w:cs="Arial"/>
      <w:sz w:val="34"/>
    </w:rPr>
  </w:style>
  <w:style w:type="character" w:styleId="717" w:customStyle="1">
    <w:name w:val="Heading 3 Char"/>
    <w:basedOn w:val="676"/>
    <w:uiPriority w:val="9"/>
    <w:qFormat/>
    <w:rPr>
      <w:rFonts w:ascii="Arial" w:hAnsi="Arial" w:eastAsia="Arial" w:cs="Arial"/>
      <w:sz w:val="30"/>
      <w:szCs w:val="30"/>
    </w:rPr>
  </w:style>
  <w:style w:type="character" w:styleId="718" w:customStyle="1">
    <w:name w:val="Heading 4 Char"/>
    <w:basedOn w:val="676"/>
    <w:uiPriority w:val="9"/>
    <w:qFormat/>
    <w:rPr>
      <w:rFonts w:ascii="Arial" w:hAnsi="Arial" w:eastAsia="Arial" w:cs="Arial"/>
      <w:b/>
      <w:bCs/>
      <w:sz w:val="26"/>
      <w:szCs w:val="26"/>
    </w:rPr>
  </w:style>
  <w:style w:type="character" w:styleId="719" w:customStyle="1">
    <w:name w:val="Heading 5 Char"/>
    <w:basedOn w:val="676"/>
    <w:link w:val="671"/>
    <w:uiPriority w:val="9"/>
    <w:qFormat/>
    <w:rPr>
      <w:rFonts w:ascii="Arial" w:hAnsi="Arial" w:eastAsia="Arial" w:cs="Arial"/>
      <w:b/>
      <w:bCs/>
      <w:sz w:val="24"/>
      <w:szCs w:val="24"/>
    </w:rPr>
  </w:style>
  <w:style w:type="character" w:styleId="720" w:customStyle="1">
    <w:name w:val="Heading 6 Char"/>
    <w:basedOn w:val="676"/>
    <w:link w:val="672"/>
    <w:uiPriority w:val="9"/>
    <w:qFormat/>
    <w:rPr>
      <w:rFonts w:ascii="Arial" w:hAnsi="Arial" w:eastAsia="Arial" w:cs="Arial"/>
      <w:b/>
      <w:bCs/>
      <w:sz w:val="22"/>
      <w:szCs w:val="22"/>
    </w:rPr>
  </w:style>
  <w:style w:type="character" w:styleId="721" w:customStyle="1">
    <w:name w:val="Heading 7 Char"/>
    <w:basedOn w:val="676"/>
    <w:link w:val="673"/>
    <w:uiPriority w:val="9"/>
    <w:qFormat/>
    <w:rPr>
      <w:rFonts w:ascii="Arial" w:hAnsi="Arial" w:eastAsia="Arial" w:cs="Arial"/>
      <w:b/>
      <w:bCs/>
      <w:i/>
      <w:iCs/>
      <w:sz w:val="22"/>
      <w:szCs w:val="22"/>
    </w:rPr>
  </w:style>
  <w:style w:type="character" w:styleId="722" w:customStyle="1">
    <w:name w:val="Heading 8 Char"/>
    <w:basedOn w:val="676"/>
    <w:link w:val="674"/>
    <w:uiPriority w:val="9"/>
    <w:qFormat/>
    <w:rPr>
      <w:rFonts w:ascii="Arial" w:hAnsi="Arial" w:eastAsia="Arial" w:cs="Arial"/>
      <w:i/>
      <w:iCs/>
      <w:sz w:val="22"/>
      <w:szCs w:val="22"/>
    </w:rPr>
  </w:style>
  <w:style w:type="character" w:styleId="723" w:customStyle="1">
    <w:name w:val="Heading 9 Char"/>
    <w:basedOn w:val="676"/>
    <w:link w:val="675"/>
    <w:uiPriority w:val="9"/>
    <w:qFormat/>
    <w:rPr>
      <w:rFonts w:ascii="Arial" w:hAnsi="Arial" w:eastAsia="Arial" w:cs="Arial"/>
      <w:i/>
      <w:iCs/>
      <w:sz w:val="21"/>
      <w:szCs w:val="21"/>
    </w:rPr>
  </w:style>
  <w:style w:type="paragraph" w:styleId="724">
    <w:name w:val="List Paragraph"/>
    <w:basedOn w:val="666"/>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basedOn w:val="676"/>
    <w:link w:val="707"/>
    <w:uiPriority w:val="10"/>
    <w:qFormat/>
    <w:rPr>
      <w:sz w:val="48"/>
      <w:szCs w:val="48"/>
    </w:rPr>
  </w:style>
  <w:style w:type="character" w:styleId="727" w:customStyle="1">
    <w:name w:val="Subtitle Char"/>
    <w:basedOn w:val="676"/>
    <w:link w:val="699"/>
    <w:uiPriority w:val="11"/>
    <w:qFormat/>
    <w:rPr>
      <w:sz w:val="24"/>
      <w:szCs w:val="24"/>
    </w:rPr>
  </w:style>
  <w:style w:type="paragraph" w:styleId="728">
    <w:name w:val="Quote"/>
    <w:basedOn w:val="666"/>
    <w:next w:val="666"/>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66"/>
    <w:next w:val="666"/>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basedOn w:val="676"/>
    <w:uiPriority w:val="99"/>
    <w:qFormat/>
  </w:style>
  <w:style w:type="character" w:styleId="733" w:customStyle="1">
    <w:name w:val="Footer Char"/>
    <w:basedOn w:val="676"/>
    <w:uiPriority w:val="99"/>
    <w:qFormat/>
  </w:style>
  <w:style w:type="character" w:styleId="734" w:customStyle="1">
    <w:name w:val="Caption Char"/>
    <w:uiPriority w:val="99"/>
    <w:qFormat/>
  </w:style>
  <w:style w:type="table" w:styleId="735" w:customStyle="1">
    <w:name w:val="Table Grid Light"/>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6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6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6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6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6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6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6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basedOn w:val="6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basedOn w:val="6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basedOn w:val="6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basedOn w:val="6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basedOn w:val="6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6 Colorful - Accent 1"/>
    <w:basedOn w:val="6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8" w:customStyle="1">
    <w:name w:val="Grid Table 6 Colorful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9" w:customStyle="1">
    <w:name w:val="Grid Table 6 Colorful - Accent 3"/>
    <w:basedOn w:val="6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0" w:customStyle="1">
    <w:name w:val="Grid Table 6 Colorful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1" w:customStyle="1">
    <w:name w:val="Grid Table 6 Colorful - Accent 5"/>
    <w:basedOn w:val="6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Grid Table 6 Colorful - Accent 6"/>
    <w:basedOn w:val="6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basedOn w:val="6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basedOn w:val="6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basedOn w:val="6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basedOn w:val="6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basedOn w:val="6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basedOn w:val="6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6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6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6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6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6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6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basedOn w:val="6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basedOn w:val="6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basedOn w:val="6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basedOn w:val="6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basedOn w:val="6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basedOn w:val="6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6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basedOn w:val="6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6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6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6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6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6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basedOn w:val="6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basedOn w:val="6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basedOn w:val="6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basedOn w:val="6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basedOn w:val="6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1"/>
    <w:basedOn w:val="6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2"/>
    <w:basedOn w:val="6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3"/>
    <w:basedOn w:val="6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4"/>
    <w:basedOn w:val="6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5"/>
    <w:basedOn w:val="6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6"/>
    <w:basedOn w:val="6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6 Colorful - Accent 1"/>
    <w:basedOn w:val="6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7" w:customStyle="1">
    <w:name w:val="List Table 6 Colorful - Accent 2"/>
    <w:basedOn w:val="6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8" w:customStyle="1">
    <w:name w:val="List Table 6 Colorful - Accent 3"/>
    <w:basedOn w:val="6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9" w:customStyle="1">
    <w:name w:val="List Table 6 Colorful - Accent 4"/>
    <w:basedOn w:val="6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0" w:customStyle="1">
    <w:name w:val="List Table 6 Colorful - Accent 5"/>
    <w:basedOn w:val="6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1" w:customStyle="1">
    <w:name w:val="List Table 6 Colorful - Accent 6"/>
    <w:basedOn w:val="6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2"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basedOn w:val="6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6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6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6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6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6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basedOn w:val="6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basedOn w:val="6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basedOn w:val="6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basedOn w:val="6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basedOn w:val="6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basedOn w:val="6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basedOn w:val="6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basedOn w:val="6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basedOn w:val="6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basedOn w:val="6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basedOn w:val="6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basedOn w:val="6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basedOn w:val="6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basedOn w:val="6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basedOn w:val="6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Footnote Text Char"/>
    <w:uiPriority w:val="99"/>
    <w:qFormat/>
    <w:rPr>
      <w:sz w:val="18"/>
    </w:rPr>
  </w:style>
  <w:style w:type="character" w:styleId="861" w:customStyle="1">
    <w:name w:val="Endnote Text Char"/>
    <w:link w:val="693"/>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character" w:styleId="863" w:customStyle="1">
    <w:name w:val="日期 Char"/>
    <w:basedOn w:val="676"/>
    <w:link w:val="691"/>
    <w:uiPriority w:val="0"/>
    <w:qFormat/>
    <w:rPr>
      <w:sz w:val="24"/>
    </w:rPr>
  </w:style>
  <w:style w:type="character" w:styleId="864" w:customStyle="1">
    <w:name w:val="正文文本缩进 3 Char"/>
    <w:basedOn w:val="676"/>
    <w:link w:val="702"/>
    <w:uiPriority w:val="0"/>
    <w:qFormat/>
    <w:rPr>
      <w:sz w:val="16"/>
      <w:szCs w:val="16"/>
    </w:rPr>
  </w:style>
  <w:style w:type="character" w:styleId="865" w:customStyle="1">
    <w:name w:val="批注框文本 Char"/>
    <w:basedOn w:val="676"/>
    <w:link w:val="694"/>
    <w:uiPriority w:val="0"/>
    <w:qFormat/>
    <w:rPr>
      <w:sz w:val="18"/>
      <w:szCs w:val="18"/>
    </w:rPr>
  </w:style>
  <w:style w:type="character" w:styleId="866" w:customStyle="1">
    <w:name w:val="纯文本 Char"/>
    <w:uiPriority w:val="99"/>
    <w:qFormat/>
    <w:rPr>
      <w:rFonts w:ascii="宋体" w:hAnsi="Courier New"/>
      <w:sz w:val="21"/>
    </w:rPr>
  </w:style>
  <w:style w:type="character" w:styleId="867" w:customStyle="1">
    <w:name w:val="标题 3 Char"/>
    <w:basedOn w:val="676"/>
    <w:link w:val="669"/>
    <w:uiPriority w:val="0"/>
    <w:qFormat/>
    <w:rPr>
      <w:b/>
      <w:sz w:val="32"/>
    </w:rPr>
  </w:style>
  <w:style w:type="character" w:styleId="868" w:customStyle="1">
    <w:name w:val="标题 4 Char"/>
    <w:basedOn w:val="676"/>
    <w:link w:val="670"/>
    <w:uiPriority w:val="0"/>
    <w:qFormat/>
    <w:rPr>
      <w:rFonts w:ascii="Arial" w:hAnsi="Arial" w:eastAsia="黑体"/>
      <w:b/>
      <w:bCs/>
      <w:sz w:val="28"/>
      <w:szCs w:val="28"/>
    </w:rPr>
  </w:style>
  <w:style w:type="character" w:styleId="869" w:customStyle="1">
    <w:name w:val="正文缩进2格 Char"/>
    <w:link w:val="870"/>
    <w:uiPriority w:val="0"/>
    <w:qFormat/>
    <w:rPr>
      <w:rFonts w:ascii="仿宋_GB2312" w:hAnsi="宋体" w:eastAsia="仿宋_GB2312"/>
      <w:sz w:val="31"/>
      <w:szCs w:val="28"/>
      <w:lang w:bidi="ar-SA"/>
    </w:rPr>
  </w:style>
  <w:style w:type="paragraph" w:styleId="870" w:customStyle="1">
    <w:name w:val="正文缩进2格"/>
    <w:basedOn w:val="666"/>
    <w:link w:val="869"/>
    <w:uiPriority w:val="0"/>
    <w:qFormat/>
    <w:pPr>
      <w:ind w:firstLine="639"/>
      <w:spacing w:line="600" w:lineRule="exact"/>
    </w:pPr>
    <w:rPr>
      <w:rFonts w:ascii="仿宋_GB2312" w:hAnsi="宋体" w:eastAsia="仿宋_GB2312"/>
      <w:sz w:val="31"/>
      <w:szCs w:val="28"/>
    </w:rPr>
  </w:style>
  <w:style w:type="character" w:styleId="871" w:customStyle="1">
    <w:name w:val="纯文本 Char2"/>
    <w:basedOn w:val="676"/>
    <w:uiPriority w:val="0"/>
    <w:qFormat/>
    <w:rPr>
      <w:rFonts w:ascii="宋体" w:hAnsi="Courier New" w:eastAsia="宋体"/>
      <w:sz w:val="24"/>
      <w:lang w:val="en-US" w:eastAsia="zh-CN" w:bidi="ar-SA"/>
    </w:rPr>
  </w:style>
  <w:style w:type="character" w:styleId="872" w:customStyle="1">
    <w:name w:val="纯文本 Char1"/>
    <w:basedOn w:val="676"/>
    <w:link w:val="689"/>
    <w:uiPriority w:val="0"/>
    <w:qFormat/>
    <w:rPr>
      <w:rFonts w:ascii="宋体" w:hAnsi="Courier New" w:cs="Courier New"/>
      <w:sz w:val="21"/>
      <w:szCs w:val="21"/>
    </w:rPr>
  </w:style>
  <w:style w:type="character" w:styleId="873" w:customStyle="1">
    <w:name w:val="正文缩进 Char"/>
    <w:link w:val="679"/>
    <w:uiPriority w:val="0"/>
    <w:qFormat/>
    <w:rPr>
      <w:rFonts w:eastAsia="宋体"/>
      <w:sz w:val="21"/>
      <w:szCs w:val="24"/>
      <w:lang w:val="en-US" w:eastAsia="zh-CN" w:bidi="ar-SA"/>
    </w:rPr>
  </w:style>
  <w:style w:type="character" w:styleId="874" w:customStyle="1">
    <w:name w:val="页眉 Char"/>
    <w:link w:val="696"/>
    <w:uiPriority w:val="99"/>
    <w:qFormat/>
    <w:rPr>
      <w:sz w:val="18"/>
      <w:szCs w:val="18"/>
    </w:rPr>
  </w:style>
  <w:style w:type="paragraph" w:styleId="875" w:customStyle="1">
    <w:name w:val="Char"/>
    <w:basedOn w:val="682"/>
    <w:uiPriority w:val="0"/>
    <w:qFormat/>
    <w:rPr>
      <w:rFonts w:ascii="Tahoma" w:hAnsi="Tahoma"/>
      <w:sz w:val="24"/>
    </w:rPr>
  </w:style>
  <w:style w:type="paragraph" w:styleId="876" w:customStyle="1">
    <w:name w:val="普通正文"/>
    <w:basedOn w:val="666"/>
    <w:uiPriority w:val="0"/>
    <w:qFormat/>
    <w:pPr>
      <w:ind w:firstLine="480"/>
      <w:jc w:val="left"/>
      <w:spacing w:before="120" w:after="120" w:line="360" w:lineRule="auto"/>
    </w:pPr>
    <w:rPr>
      <w:rFonts w:ascii="Arial" w:hAnsi="Arial"/>
      <w:sz w:val="24"/>
    </w:rPr>
  </w:style>
  <w:style w:type="paragraph" w:styleId="877" w:customStyle="1">
    <w:name w:val="msonormalcxspmiddle"/>
    <w:basedOn w:val="666"/>
    <w:uiPriority w:val="0"/>
    <w:qFormat/>
    <w:pPr>
      <w:jc w:val="left"/>
      <w:spacing w:before="100" w:beforeAutospacing="1" w:after="100" w:afterAutospacing="1"/>
      <w:widowControl/>
    </w:pPr>
    <w:rPr>
      <w:rFonts w:ascii="宋体" w:hAnsi="宋体" w:cs="宋体"/>
      <w:sz w:val="24"/>
    </w:rPr>
  </w:style>
  <w:style w:type="paragraph" w:styleId="878" w:customStyle="1">
    <w:name w:val="Char1"/>
    <w:basedOn w:val="666"/>
    <w:uiPriority w:val="0"/>
    <w:qFormat/>
    <w:pPr>
      <w:tabs>
        <w:tab w:val="left" w:pos="360" w:leader="none"/>
      </w:tabs>
    </w:pPr>
    <w:rPr>
      <w:color w:val="000000"/>
      <w:sz w:val="24"/>
    </w:rPr>
  </w:style>
  <w:style w:type="paragraph" w:styleId="879" w:customStyle="1">
    <w:name w:val="Char Char Char Char"/>
    <w:basedOn w:val="682"/>
    <w:uiPriority w:val="0"/>
    <w:qFormat/>
    <w:pPr>
      <w:spacing w:line="360" w:lineRule="auto"/>
    </w:pPr>
    <w:rPr>
      <w:szCs w:val="20"/>
    </w:rPr>
  </w:style>
  <w:style w:type="character" w:styleId="880" w:customStyle="1">
    <w:name w:val="p0 Char"/>
    <w:link w:val="881"/>
    <w:uiPriority w:val="0"/>
    <w:qFormat/>
    <w:rPr>
      <w:sz w:val="21"/>
      <w:szCs w:val="21"/>
    </w:rPr>
  </w:style>
  <w:style w:type="paragraph" w:styleId="881" w:customStyle="1">
    <w:name w:val="p0"/>
    <w:basedOn w:val="666"/>
    <w:link w:val="880"/>
    <w:uiPriority w:val="0"/>
    <w:qFormat/>
    <w:pPr>
      <w:widowControl/>
    </w:pPr>
    <w:rPr>
      <w:szCs w:val="21"/>
    </w:rPr>
  </w:style>
  <w:style w:type="character" w:styleId="882" w:customStyle="1">
    <w:name w:val="标题 2 Char"/>
    <w:link w:val="668"/>
    <w:uiPriority w:val="0"/>
    <w:qFormat/>
    <w:rPr>
      <w:rFonts w:ascii="Arial" w:hAnsi="Arial" w:eastAsia="黑体"/>
      <w:b/>
      <w:bCs/>
      <w:sz w:val="32"/>
      <w:szCs w:val="32"/>
    </w:rPr>
  </w:style>
  <w:style w:type="character" w:styleId="883" w:customStyle="1">
    <w:name w:val="正文文本缩进 2 Char"/>
    <w:basedOn w:val="676"/>
    <w:link w:val="692"/>
    <w:uiPriority w:val="0"/>
    <w:qFormat/>
    <w:rPr>
      <w:sz w:val="21"/>
      <w:szCs w:val="24"/>
    </w:rPr>
  </w:style>
  <w:style w:type="paragraph" w:styleId="884" w:customStyle="1">
    <w:name w:val="正文1"/>
    <w:basedOn w:val="666"/>
    <w:uiPriority w:val="0"/>
    <w:qFormat/>
    <w:pPr>
      <w:ind w:firstLine="361"/>
      <w:spacing w:line="360" w:lineRule="auto"/>
    </w:pPr>
    <w:rPr>
      <w:rFonts w:ascii="宋体" w:hAnsi="宋体" w:eastAsia="仿宋_GB2312"/>
    </w:rPr>
  </w:style>
  <w:style w:type="character" w:styleId="885" w:customStyle="1">
    <w:name w:val="15"/>
    <w:basedOn w:val="676"/>
    <w:uiPriority w:val="0"/>
    <w:qFormat/>
    <w:rPr>
      <w:rFonts w:hint="default" w:ascii="Times New Roman" w:hAnsi="Times New Roman" w:cs="Times New Roman"/>
      <w:i/>
      <w:iCs/>
    </w:rPr>
  </w:style>
  <w:style w:type="character" w:styleId="886" w:customStyle="1">
    <w:name w:val="16"/>
    <w:basedOn w:val="676"/>
    <w:uiPriority w:val="0"/>
    <w:qFormat/>
    <w:rPr>
      <w:rFonts w:hint="default" w:ascii="Times New Roman" w:hAnsi="Times New Roman" w:cs="Times New Roman"/>
    </w:rPr>
  </w:style>
  <w:style w:type="character" w:styleId="887" w:customStyle="1">
    <w:name w:val="10"/>
    <w:basedOn w:val="676"/>
    <w:uiPriority w:val="0"/>
    <w:qFormat/>
    <w:rPr>
      <w:rFonts w:hint="default" w:ascii="Times New Roman" w:hAnsi="Times New Roman" w:cs="Times New Roman"/>
    </w:rPr>
  </w:style>
  <w:style w:type="character" w:styleId="888" w:customStyle="1">
    <w:name w:val="17"/>
    <w:basedOn w:val="676"/>
    <w:uiPriority w:val="0"/>
    <w:qFormat/>
    <w:rPr>
      <w:rFonts w:hint="default" w:ascii="Times New Roman" w:hAnsi="Times New Roman" w:cs="Times New Roman"/>
      <w:b/>
      <w:bCs/>
    </w:rPr>
  </w:style>
  <w:style w:type="paragraph" w:styleId="889" w:customStyle="1">
    <w:name w:val="表格文字"/>
    <w:basedOn w:val="685"/>
    <w:next w:val="684"/>
    <w:uiPriority w:val="0"/>
    <w:qFormat/>
    <w:pPr>
      <w:jc w:val="left"/>
      <w:spacing w:line="360" w:lineRule="auto"/>
    </w:pPr>
    <w:rPr>
      <w:bCs/>
      <w:spacing w:val="10"/>
      <w:szCs w:val="20"/>
    </w:rPr>
  </w:style>
  <w:style w:type="paragraph" w:styleId="890" w:customStyle="1">
    <w:name w:val="表"/>
    <w:basedOn w:val="666"/>
    <w:uiPriority w:val="0"/>
    <w:unhideWhenUsed/>
    <w:qFormat/>
    <w:pPr>
      <w:spacing w:line="312" w:lineRule="auto"/>
    </w:pPr>
    <w:rPr>
      <w:rFonts w:ascii="Calibri" w:hAnsi="Calibri" w:cs="宋体"/>
      <w:szCs w:val="20"/>
    </w:rPr>
  </w:style>
  <w:style w:type="paragraph" w:styleId="891" w:customStyle="1">
    <w:name w:val="正文首行缩进2字符"/>
    <w:basedOn w:val="666"/>
    <w:uiPriority w:val="0"/>
    <w:unhideWhenUsed/>
    <w:qFormat/>
    <w:pPr>
      <w:ind w:firstLine="482"/>
      <w:spacing w:line="360" w:lineRule="auto"/>
    </w:pPr>
  </w:style>
  <w:style w:type="numbering" w:styleId="16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杨洁</cp:lastModifiedBy>
  <cp:revision>12</cp:revision>
  <dcterms:created xsi:type="dcterms:W3CDTF">2026-06-23T03:05:00Z</dcterms:created>
  <dcterms:modified xsi:type="dcterms:W3CDTF">2026-07-31T02:11:23Z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FF2ADC40355E4647A86A0F8991D7C0BA_13</vt:lpwstr>
  </property>
  <property fmtid="{D5CDD505-2E9C-101B-9397-08002B2CF9AE}" pid="4" name="KSOTemplateDocerSaveRecord">
    <vt:lpwstr>eyJoZGlkIjoiYmViMmMzOTZmM2RlY2U5YzgxYmVjYmVmOThmZDA4MzIiLCJ1c2VySWQiOiI2MzQ3ODY4MTAifQ==</vt:lpwstr>
  </property>
</Properties>
</file>