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8"/>
        <w:spacing w:before="120" w:beforeAutospacing="0" w:after="120" w:afterAutospacing="0" w:line="360" w:lineRule="auto"/>
      </w:pPr>
      <w:r/>
      <w:r/>
    </w:p>
    <w:p>
      <w:pPr>
        <w:pStyle w:val="868"/>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868"/>
        <w:jc w:val="center"/>
        <w:spacing w:before="120" w:beforeAutospacing="0" w:after="120" w:afterAutospacing="0" w:line="360" w:lineRule="auto"/>
      </w:pPr>
      <w:r>
        <w:rPr>
          <w:rFonts w:ascii="Arial" w:hAnsi="Arial" w:cs="Arial"/>
          <w:b/>
          <w:sz w:val="84"/>
          <w:szCs w:val="84"/>
        </w:rPr>
        <w:t xml:space="preserve">竞争性磋商文件</w:t>
      </w:r>
      <w:r/>
    </w:p>
    <w:p>
      <w:pPr>
        <w:pStyle w:val="868"/>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68"/>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68"/>
        <w:jc w:val="center"/>
        <w:spacing w:before="120" w:beforeAutospacing="0" w:after="120" w:afterAutospacing="0" w:line="360" w:lineRule="auto"/>
        <w:rPr>
          <w:rFonts w:hint="default" w:ascii="Arial" w:hAnsi="Arial" w:eastAsia="宋体" w:cs="Arial"/>
          <w:b/>
          <w:sz w:val="32"/>
          <w:szCs w:val="32"/>
          <w:lang w:val="en-US" w:eastAsia="zh-CN"/>
        </w:rPr>
      </w:pPr>
      <w:r>
        <w:rPr>
          <w:rFonts w:ascii="Arial" w:hAnsi="Arial" w:cs="Arial"/>
          <w:b/>
          <w:sz w:val="32"/>
          <w:szCs w:val="32"/>
        </w:rPr>
        <w:t xml:space="preserve">项目编号：</w:t>
      </w:r>
      <w:r>
        <w:rPr>
          <w:rFonts w:hint="eastAsia" w:ascii="宋体" w:hAnsi="宋体" w:eastAsia="宋体" w:cs="宋体"/>
          <w:b/>
          <w:sz w:val="32"/>
          <w:szCs w:val="32"/>
          <w:lang w:eastAsia="zh-CN"/>
        </w:rPr>
        <w:t xml:space="preserve">JSZC-320900-JZCG-C2026-0050</w:t>
      </w:r>
      <w:r/>
    </w:p>
    <w:p>
      <w:pPr>
        <w:pStyle w:val="868"/>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68"/>
        <w:jc w:val="center"/>
        <w:spacing w:before="120" w:beforeAutospacing="0" w:after="120" w:afterAutospacing="0" w:line="360" w:lineRule="auto"/>
        <w:rPr>
          <w:rFonts w:ascii="宋体" w:hAnsi="宋体" w:eastAsia="宋体" w:cs="宋体"/>
          <w:b/>
          <w:sz w:val="32"/>
          <w:szCs w:val="32"/>
        </w:rPr>
      </w:pPr>
      <w:r>
        <w:rPr>
          <w:rFonts w:hint="eastAsia" w:ascii="宋体" w:hAnsi="宋体" w:eastAsia="宋体" w:cs="宋体"/>
          <w:b/>
          <w:sz w:val="32"/>
          <w:szCs w:val="32"/>
        </w:rPr>
        <w:t xml:space="preserve">项目名称：盐城市12345平台呼叫中心服务项目</w:t>
      </w:r>
      <w:r/>
    </w:p>
    <w:p>
      <w:pPr>
        <w:pStyle w:val="868"/>
        <w:ind w:firstLine="2249"/>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68"/>
        <w:ind w:firstLine="720"/>
        <w:spacing w:before="120" w:beforeAutospacing="0" w:after="120" w:afterAutospacing="0" w:line="360" w:lineRule="auto"/>
      </w:pPr>
      <w:r/>
      <w:r/>
    </w:p>
    <w:p>
      <w:pPr>
        <w:pStyle w:val="868"/>
        <w:spacing w:beforeAutospacing="0" w:afterAutospacing="0" w:line="360" w:lineRule="auto"/>
      </w:pPr>
      <w:r>
        <w:t xml:space="preserve"> </w:t>
      </w:r>
      <w:r/>
    </w:p>
    <w:p>
      <w:pPr>
        <w:pStyle w:val="868"/>
        <w:spacing w:beforeAutospacing="0" w:afterAutospacing="0" w:line="360" w:lineRule="auto"/>
      </w:pPr>
      <w:r>
        <w:t xml:space="preserve"> </w:t>
      </w:r>
      <w:r/>
    </w:p>
    <w:p>
      <w:pPr>
        <w:pStyle w:val="868"/>
        <w:spacing w:beforeAutospacing="0" w:afterAutospacing="0" w:line="360" w:lineRule="auto"/>
      </w:pPr>
      <w:r>
        <w:t xml:space="preserve"> </w:t>
      </w:r>
      <w:r/>
    </w:p>
    <w:p>
      <w:pPr>
        <w:pStyle w:val="868"/>
        <w:spacing w:beforeAutospacing="0" w:afterAutospacing="0" w:line="360" w:lineRule="auto"/>
      </w:pPr>
      <w:r>
        <w:t xml:space="preserve"> </w:t>
      </w:r>
      <w:r/>
    </w:p>
    <w:p>
      <w:pPr>
        <w:pStyle w:val="868"/>
        <w:jc w:val="center"/>
        <w:spacing w:beforeAutospacing="0" w:afterAutospacing="0" w:line="360" w:lineRule="auto"/>
        <w:rPr>
          <w:rFonts w:ascii="黑体" w:hAnsi="黑体" w:eastAsia="黑体" w:cs="黑体"/>
          <w:bCs/>
          <w:sz w:val="32"/>
          <w:szCs w:val="32"/>
        </w:rPr>
      </w:pPr>
      <w:r>
        <w:rPr>
          <w:rFonts w:hint="eastAsia" w:ascii="黑体" w:hAnsi="黑体" w:eastAsia="黑体" w:cs="黑体"/>
          <w:bCs/>
          <w:sz w:val="32"/>
          <w:szCs w:val="32"/>
        </w:rPr>
        <w:t xml:space="preserve">盐城市数据局</w:t>
      </w:r>
      <w:r/>
    </w:p>
    <w:p>
      <w:pPr>
        <w:pStyle w:val="868"/>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2026年</w:t>
      </w:r>
      <w:r>
        <w:rPr>
          <w:rFonts w:hint="eastAsia" w:ascii="黑体" w:hAnsi="黑体" w:eastAsia="黑体" w:cs="黑体"/>
          <w:bCs/>
          <w:sz w:val="32"/>
          <w:szCs w:val="32"/>
          <w:lang w:val="en-US" w:eastAsia="zh-CN"/>
        </w:rPr>
        <w:t xml:space="preserve">8</w:t>
      </w:r>
      <w:r>
        <w:rPr>
          <w:rFonts w:hint="eastAsia" w:ascii="黑体" w:hAnsi="黑体" w:eastAsia="黑体" w:cs="黑体"/>
          <w:bCs/>
          <w:sz w:val="32"/>
          <w:szCs w:val="32"/>
        </w:rPr>
        <w:t xml:space="preserve">月</w:t>
      </w:r>
      <w:r/>
    </w:p>
    <w:p>
      <w:pPr>
        <w:pStyle w:val="868"/>
        <w:spacing w:before="120" w:beforeAutospacing="0" w:after="120" w:afterAutospacing="0" w:line="360" w:lineRule="auto"/>
      </w:pPr>
      <w:r>
        <w:rPr>
          <w:rFonts w:ascii="Arial" w:hAnsi="Arial" w:cs="Arial"/>
        </w:rPr>
        <w:t xml:space="preserve">                        </w:t>
      </w:r>
      <w:r/>
    </w:p>
    <w:p>
      <w:pPr>
        <w:pStyle w:val="868"/>
        <w:jc w:val="center"/>
        <w:spacing w:before="120" w:beforeAutospacing="0" w:after="120" w:afterAutospacing="0" w:line="360" w:lineRule="auto"/>
      </w:pPr>
      <w:r>
        <w:t xml:space="preserve"> </w:t>
      </w:r>
      <w:r/>
    </w:p>
    <w:p>
      <w:pPr>
        <w:pStyle w:val="868"/>
        <w:jc w:val="center"/>
        <w:spacing w:beforeAutospacing="0" w:afterAutospacing="0" w:line="480" w:lineRule="auto"/>
        <w:rPr>
          <w:rFonts w:ascii="Times New Roman" w:hAnsi="Times New Roman"/>
          <w:sz w:val="21"/>
          <w:szCs w:val="21"/>
        </w:rPr>
        <w:sectPr>
          <w:headerReference w:type="default" r:id="rId9"/>
          <w:footnotePr/>
          <w:endnotePr/>
          <w:type w:val="nextPage"/>
          <w:pgSz w:w="11906" w:h="16838" w:orient="portrait"/>
          <w:pgMar w:top="1440" w:right="1633" w:bottom="1440" w:left="1633" w:header="851" w:footer="992" w:gutter="0"/>
          <w:pgNumType w:start="0"/>
          <w:cols w:num="1" w:sep="0" w:space="425" w:equalWidth="1"/>
          <w:docGrid w:linePitch="360"/>
        </w:sectPr>
      </w:pPr>
      <w:r>
        <w:rPr>
          <w:rFonts w:ascii="Times New Roman" w:hAnsi="Times New Roman"/>
          <w:sz w:val="21"/>
          <w:szCs w:val="21"/>
        </w:rPr>
      </w:r>
      <w:r/>
    </w:p>
    <w:p>
      <w:pPr>
        <w:pStyle w:val="868"/>
        <w:jc w:val="center"/>
        <w:spacing w:beforeAutospacing="0" w:afterAutospacing="0" w:line="480" w:lineRule="auto"/>
        <w:rPr>
          <w:rFonts w:ascii="Times New Roman" w:hAnsi="Times New Roman"/>
          <w:sz w:val="21"/>
          <w:szCs w:val="21"/>
        </w:rPr>
      </w:pPr>
      <w:r>
        <w:rPr>
          <w:rFonts w:ascii="Times New Roman" w:hAnsi="Times New Roman"/>
          <w:sz w:val="21"/>
          <w:szCs w:val="21"/>
        </w:rPr>
        <w:t xml:space="preserve"> </w:t>
      </w:r>
      <w:bookmarkStart w:id="0" w:name="_Toc479757206"/>
      <w:r/>
      <w:bookmarkStart w:id="1" w:name="_Toc513029200"/>
      <w:r/>
      <w:bookmarkStart w:id="2" w:name="_Toc20823272"/>
      <w:r/>
      <w:bookmarkStart w:id="3" w:name="_Toc16938516"/>
      <w:r/>
      <w:bookmarkStart w:id="4" w:name="_Toc120614210"/>
      <w:r/>
      <w:bookmarkStart w:id="5" w:name="_Toc523127445"/>
      <w:r/>
      <w:r/>
    </w:p>
    <w:p>
      <w:pPr>
        <w:pStyle w:val="868"/>
        <w:jc w:val="center"/>
        <w:spacing w:beforeAutospacing="0" w:afterAutospacing="0" w:line="480" w:lineRule="auto"/>
      </w:pPr>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868"/>
        <w:ind w:left="2160" w:hanging="1440"/>
        <w:jc w:val="both"/>
        <w:spacing w:beforeAutospacing="0" w:afterAutospacing="0" w:line="360" w:lineRule="auto"/>
        <w:tabs>
          <w:tab w:val="left" w:pos="1441" w:leader="none"/>
        </w:tabs>
        <w:rPr>
          <w:rFonts w:eastAsia="黑体"/>
        </w:rPr>
      </w:pPr>
      <w:r>
        <w:rPr>
          <w:rFonts w:hint="eastAsia" w:ascii="黑体" w:hAnsi="宋体" w:eastAsia="黑体" w:cs="黑体"/>
          <w:sz w:val="36"/>
          <w:szCs w:val="36"/>
        </w:rPr>
        <w:t xml:space="preserve">第一章  竞争性磋商公告………………………2</w:t>
      </w:r>
      <w:r/>
    </w:p>
    <w:p>
      <w:pPr>
        <w:pStyle w:val="868"/>
        <w:ind w:left="2160" w:hanging="1440"/>
        <w:jc w:val="both"/>
        <w:spacing w:beforeAutospacing="0" w:afterAutospacing="0" w:line="360" w:lineRule="auto"/>
        <w:tabs>
          <w:tab w:val="left" w:pos="1441" w:leader="none"/>
        </w:tabs>
      </w:pPr>
      <w:r>
        <w:rPr>
          <w:rFonts w:hint="eastAsia" w:ascii="黑体" w:hAnsi="宋体" w:eastAsia="黑体" w:cs="黑体"/>
          <w:sz w:val="36"/>
          <w:szCs w:val="36"/>
        </w:rPr>
        <w:t xml:space="preserve">第二章  供应商须知……………………………6  </w:t>
      </w:r>
      <w:r/>
    </w:p>
    <w:p>
      <w:pPr>
        <w:pStyle w:val="868"/>
        <w:ind w:left="2160" w:hanging="1440"/>
        <w:jc w:val="both"/>
        <w:spacing w:beforeAutospacing="0" w:afterAutospacing="0" w:line="360" w:lineRule="auto"/>
        <w:tabs>
          <w:tab w:val="left" w:pos="1441" w:leader="none"/>
        </w:tabs>
        <w:rPr>
          <w:rFonts w:eastAsia="黑体"/>
        </w:rPr>
      </w:pPr>
      <w:r>
        <w:rPr>
          <w:rFonts w:hint="eastAsia" w:ascii="黑体" w:hAnsi="宋体" w:eastAsia="黑体" w:cs="黑体"/>
          <w:sz w:val="36"/>
          <w:szCs w:val="36"/>
        </w:rPr>
        <w:t xml:space="preserve">第三章  合同文本………………………………26</w:t>
      </w:r>
      <w:r/>
    </w:p>
    <w:p>
      <w:pPr>
        <w:pStyle w:val="868"/>
        <w:ind w:left="2160" w:hanging="1440"/>
        <w:jc w:val="both"/>
        <w:spacing w:beforeAutospacing="0" w:afterAutospacing="0" w:line="360" w:lineRule="auto"/>
        <w:tabs>
          <w:tab w:val="left" w:pos="1441" w:leader="none"/>
        </w:tabs>
        <w:rPr>
          <w:rFonts w:eastAsia="黑体"/>
        </w:rPr>
      </w:pPr>
      <w:r>
        <w:rPr>
          <w:rFonts w:hint="eastAsia" w:ascii="黑体" w:hAnsi="宋体" w:eastAsia="黑体" w:cs="黑体"/>
          <w:sz w:val="36"/>
          <w:szCs w:val="36"/>
        </w:rPr>
        <w:t xml:space="preserve">第四章  采购需求………………………………32</w:t>
      </w:r>
      <w:r/>
    </w:p>
    <w:p>
      <w:pPr>
        <w:pStyle w:val="868"/>
        <w:ind w:left="2160" w:hanging="1440"/>
        <w:jc w:val="both"/>
        <w:spacing w:beforeAutospacing="0" w:afterAutospacing="0" w:line="360" w:lineRule="auto"/>
        <w:tabs>
          <w:tab w:val="left" w:pos="1441" w:leader="none"/>
        </w:tabs>
        <w:rPr>
          <w:rFonts w:eastAsia="黑体"/>
        </w:rPr>
      </w:pPr>
      <w:r>
        <w:rPr>
          <w:rFonts w:hint="eastAsia" w:ascii="黑体" w:hAnsi="宋体" w:eastAsia="黑体" w:cs="黑体"/>
          <w:sz w:val="36"/>
          <w:szCs w:val="36"/>
        </w:rPr>
        <w:t xml:space="preserve">第五章  评审方法与评审标准…………………54</w:t>
      </w:r>
      <w:r/>
    </w:p>
    <w:p>
      <w:pPr>
        <w:pStyle w:val="868"/>
        <w:ind w:left="2160" w:hanging="1440"/>
        <w:jc w:val="both"/>
        <w:spacing w:beforeAutospacing="0" w:afterAutospacing="0" w:line="360" w:lineRule="auto"/>
        <w:tabs>
          <w:tab w:val="left" w:pos="1441" w:leader="none"/>
        </w:tabs>
        <w:rPr>
          <w:rFonts w:eastAsia="黑体"/>
        </w:rPr>
      </w:pPr>
      <w:r>
        <w:rPr>
          <w:rFonts w:hint="eastAsia" w:ascii="黑体" w:hAnsi="宋体" w:eastAsia="黑体" w:cs="黑体"/>
          <w:sz w:val="36"/>
          <w:szCs w:val="36"/>
        </w:rPr>
        <w:t xml:space="preserve">第六章  响应文件格式…………………………62</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jc w:val="center"/>
        <w:spacing w:line="700" w:lineRule="exact"/>
        <w:widowControl/>
        <w:pBdr>
          <w:top w:val="none" w:color="000000" w:sz="0" w:space="0"/>
          <w:left w:val="none" w:color="000000" w:sz="0" w:space="0"/>
          <w:bottom w:val="none" w:color="000000" w:sz="0" w:space="0"/>
          <w:right w:val="none" w:color="000000" w:sz="0" w:space="0"/>
        </w:pBdr>
        <w:outlineLvl w:val="0"/>
      </w:pPr>
      <w:r/>
      <w:bookmarkStart w:id="6" w:name="_Toc28359086"/>
      <w:r>
        <w:rPr>
          <w:rFonts w:hint="eastAsia" w:ascii="黑体" w:hAnsi="黑体" w:eastAsia="黑体" w:cs="黑体"/>
          <w:sz w:val="44"/>
          <w:szCs w:val="20"/>
        </w:rPr>
        <w:t xml:space="preserve">第一章</w:t>
      </w:r>
      <w:r>
        <w:rPr>
          <w:rFonts w:hint="eastAsia" w:ascii="黑体" w:hAnsi="黑体" w:eastAsia="黑体" w:cs="黑体"/>
          <w:sz w:val="44"/>
          <w:szCs w:val="20"/>
          <w:lang w:val="en-US" w:eastAsia="zh-CN"/>
        </w:rPr>
        <w:t xml:space="preserve"> </w:t>
      </w:r>
      <w:r>
        <w:rPr>
          <w:rFonts w:hint="eastAsia" w:ascii="黑体" w:hAnsi="黑体" w:eastAsia="黑体" w:cs="黑体"/>
          <w:sz w:val="44"/>
          <w:szCs w:val="20"/>
        </w:rPr>
        <w:t xml:space="preserve">竞争性磋商公告</w:t>
      </w:r>
      <w:r/>
    </w:p>
    <w:p>
      <w:pPr>
        <w:ind w:firstLine="482"/>
        <w:jc w:val="left"/>
        <w:spacing w:line="560" w:lineRule="exact"/>
        <w:widowControl/>
        <w:rPr>
          <w:rFonts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rPr>
        <w:t xml:space="preserve">项目概况</w:t>
      </w:r>
      <w:r/>
    </w:p>
    <w:p>
      <w:pPr>
        <w:ind w:firstLine="482"/>
        <w:jc w:val="left"/>
        <w:spacing w:line="560" w:lineRule="exact"/>
        <w:widowControl/>
        <w:rPr>
          <w:rFonts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rPr>
        <w:t xml:space="preserve">盐城市12345平台呼叫中心服务项目</w:t>
      </w:r>
      <w:r>
        <w:rPr>
          <w:rFonts w:hint="eastAsia" w:ascii="宋体" w:hAnsi="宋体" w:eastAsia="宋体" w:cs="宋体"/>
          <w:sz w:val="24"/>
          <w:szCs w:val="20"/>
          <w:lang w:eastAsia="zh-CN"/>
        </w:rPr>
        <w:t xml:space="preserve">JSZC-320900-JZCG-C2026-0050</w:t>
      </w:r>
      <w:r>
        <w:rPr>
          <w:rFonts w:hint="eastAsia" w:ascii="宋体" w:hAnsi="宋体" w:eastAsia="宋体" w:cs="宋体"/>
          <w:sz w:val="24"/>
          <w:szCs w:val="20"/>
        </w:rPr>
        <w:t xml:space="preserve">的潜在供应商应在“苏采云”系统内免费下载（投标人必须在苏采云系统中获取磋商文件，方能参与政府采购项目），并于</w:t>
      </w:r>
      <w:r>
        <w:rPr>
          <w:rFonts w:hint="eastAsia" w:ascii="宋体" w:hAnsi="宋体" w:cs="宋体"/>
          <w:sz w:val="24"/>
        </w:rPr>
        <w:t xml:space="preserve">2026年</w:t>
      </w:r>
      <w:r>
        <w:rPr>
          <w:rFonts w:hint="eastAsia" w:ascii="宋体" w:hAnsi="宋体" w:cs="宋体"/>
          <w:sz w:val="24"/>
          <w:lang w:val="en-US" w:eastAsia="zh-CN"/>
        </w:rPr>
        <w:t xml:space="preserve">8</w:t>
      </w:r>
      <w:r>
        <w:rPr>
          <w:rFonts w:hint="eastAsia" w:ascii="宋体" w:hAnsi="宋体" w:cs="宋体"/>
          <w:sz w:val="24"/>
        </w:rPr>
        <w:t xml:space="preserve">月14日9点30分（北京时间）</w:t>
      </w:r>
      <w:r>
        <w:rPr>
          <w:rFonts w:hint="eastAsia" w:ascii="宋体" w:hAnsi="宋体" w:eastAsia="宋体" w:cs="宋体"/>
          <w:sz w:val="24"/>
          <w:szCs w:val="20"/>
        </w:rPr>
        <w:t xml:space="preserve">前递交响应文件。</w:t>
      </w:r>
      <w:r/>
    </w:p>
    <w:p>
      <w:pPr>
        <w:ind w:firstLine="482"/>
        <w:jc w:val="left"/>
        <w:spacing w:line="560" w:lineRule="exact"/>
        <w:widowControl/>
        <w:rPr>
          <w:rFonts w:ascii="宋体" w:hAnsi="宋体" w:eastAsia="宋体" w:cs="宋体"/>
          <w:b/>
          <w:bCs/>
          <w:sz w:val="24"/>
          <w:szCs w:val="20"/>
        </w:rPr>
      </w:pPr>
      <w:r/>
      <w:bookmarkStart w:id="7" w:name="_Hlk24379207"/>
      <w:r/>
      <w:bookmarkStart w:id="8" w:name="_Toc38985263"/>
      <w:r/>
      <w:bookmarkStart w:id="9" w:name="_Toc28359002"/>
      <w:r/>
      <w:bookmarkStart w:id="10" w:name="_Toc28359079"/>
      <w:r/>
      <w:bookmarkStart w:id="11" w:name="_Toc35393790"/>
      <w:r/>
      <w:bookmarkStart w:id="12" w:name="_Toc35393621"/>
      <w:r>
        <w:rPr>
          <w:rFonts w:hint="eastAsia" w:ascii="宋体" w:hAnsi="宋体" w:eastAsia="宋体" w:cs="宋体"/>
          <w:b/>
          <w:bCs/>
          <w:sz w:val="24"/>
          <w:szCs w:val="20"/>
        </w:rPr>
        <w:t xml:space="preserve">一、项目基本情况</w:t>
      </w:r>
      <w:bookmarkEnd w:id="7"/>
      <w:r/>
      <w:bookmarkEnd w:id="8"/>
      <w:r/>
      <w:bookmarkEnd w:id="9"/>
      <w:r/>
      <w:bookmarkEnd w:id="10"/>
      <w:r/>
      <w:bookmarkEnd w:id="11"/>
      <w:r/>
      <w:bookmarkEnd w:id="12"/>
      <w:r/>
      <w:r/>
    </w:p>
    <w:p>
      <w:pPr>
        <w:ind w:firstLine="482"/>
        <w:jc w:val="left"/>
        <w:spacing w:line="560" w:lineRule="exact"/>
        <w:widowControl/>
        <w:rPr>
          <w:rFonts w:hint="eastAsia" w:ascii="宋体" w:hAnsi="宋体" w:eastAsia="宋体" w:cs="宋体"/>
          <w:sz w:val="24"/>
          <w:szCs w:val="20"/>
          <w:lang w:eastAsia="zh-CN"/>
        </w:rPr>
      </w:pPr>
      <w:r>
        <w:rPr>
          <w:rFonts w:hint="eastAsia" w:ascii="宋体" w:hAnsi="宋体" w:eastAsia="宋体" w:cs="宋体"/>
          <w:sz w:val="24"/>
          <w:szCs w:val="20"/>
        </w:rPr>
        <w:t xml:space="preserve">1.项目编号：</w:t>
      </w:r>
      <w:r>
        <w:rPr>
          <w:rFonts w:hint="eastAsia" w:ascii="宋体" w:hAnsi="宋体" w:eastAsia="宋体" w:cs="宋体"/>
          <w:sz w:val="24"/>
          <w:szCs w:val="20"/>
          <w:lang w:eastAsia="zh-CN"/>
        </w:rPr>
        <w:t xml:space="preserve">JSZC-320900-JZCG-C2026-0050</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2.项目名称：盐城市12345平台呼叫中心服务项目</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3.采购方式：竞争性磋商</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4.预算金额：324万元</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5.最高限价：324万元</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6.采购需求：本次招标内容有关要求详情见第四章采购需求部分。</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7.合同履行期限：本项目服务期为三年，合同一年一签。首年合同服务期满后，在年度预算能够保障的前提下，经采购人年度考核合格且双方协商一致，可续签下一年度合同，最多续签两次，累计服务期限不超过三年。若甲方或乙方任何一方不同意续签，或采购人财政预算未获批复，则合同到期终止，不再续签。</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8.本项目（是/否）接受联合体参与磋商：否。</w:t>
      </w:r>
      <w:r/>
    </w:p>
    <w:p>
      <w:pPr>
        <w:ind w:firstLine="482"/>
        <w:jc w:val="left"/>
        <w:spacing w:line="560" w:lineRule="exact"/>
        <w:widowControl/>
        <w:rPr>
          <w:rFonts w:ascii="宋体" w:hAnsi="宋体" w:eastAsia="宋体" w:cs="宋体"/>
          <w:b/>
          <w:bCs/>
          <w:sz w:val="24"/>
          <w:szCs w:val="20"/>
        </w:rPr>
      </w:pPr>
      <w:r/>
      <w:bookmarkStart w:id="13" w:name="_Toc28359080"/>
      <w:r/>
      <w:bookmarkStart w:id="14" w:name="_Toc38985264"/>
      <w:r/>
      <w:bookmarkStart w:id="15" w:name="_Toc28359003"/>
      <w:r/>
      <w:bookmarkStart w:id="16" w:name="_Toc35393622"/>
      <w:r/>
      <w:bookmarkStart w:id="17" w:name="_Toc35393791"/>
      <w:r>
        <w:rPr>
          <w:rFonts w:hint="eastAsia" w:ascii="宋体" w:hAnsi="宋体" w:eastAsia="宋体" w:cs="宋体"/>
          <w:b/>
          <w:bCs/>
          <w:sz w:val="24"/>
          <w:szCs w:val="20"/>
        </w:rPr>
        <w:t xml:space="preserve">二、申请人的资格要求</w:t>
      </w:r>
      <w:bookmarkEnd w:id="13"/>
      <w:r/>
      <w:bookmarkEnd w:id="14"/>
      <w:r/>
      <w:bookmarkEnd w:id="15"/>
      <w:r/>
      <w:bookmarkEnd w:id="16"/>
      <w:r/>
      <w:bookmarkEnd w:id="17"/>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1.满足《中华人民共和国政府采购法》第二十二条规定，并提供下列材料：</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1.1 法人或者其他组织的营业执照等证明文件，自然人的身份证明；</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1.2 </w:t>
      </w:r>
      <w:r>
        <w:rPr>
          <w:rFonts w:hint="eastAsia" w:ascii="宋体" w:hAnsi="宋体" w:eastAsia="宋体" w:cs="宋体"/>
          <w:sz w:val="24"/>
          <w:szCs w:val="20"/>
          <w:lang w:val="en-US" w:eastAsia="zh-CN"/>
        </w:rPr>
        <w:t xml:space="preserve">上一</w:t>
      </w:r>
      <w:r>
        <w:rPr>
          <w:rFonts w:hint="eastAsia" w:ascii="宋体" w:hAnsi="宋体" w:eastAsia="宋体" w:cs="宋体"/>
          <w:sz w:val="24"/>
          <w:szCs w:val="20"/>
        </w:rPr>
        <w:t xml:space="preserve">年度的财务状况报告（成立不满一年无需提供）；</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1.3 具备履行合同所必需的设备和专业技术能力的书面声明；</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1.4 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1.5参加政府采购活动前3年内在经营活动中没有重大违法记录的书面声明。</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1.6 法律、行政法规规定的其他条件。</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1.7 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1.8 单位负责人为同一人或者存在直接控股、管理关系的不同供应商，不得参加同一合同项下的政府采购活动。</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2.落实政府采购政策需满足的资格要求：无</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3.本项目的特定资格要求：无</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三、获取磋商文件</w:t>
      </w:r>
      <w:bookmarkStart w:id="18" w:name="_Toc35393624"/>
      <w:r/>
      <w:bookmarkStart w:id="19" w:name="_Toc38985266"/>
      <w:r/>
      <w:bookmarkStart w:id="20" w:name="_Toc28359082"/>
      <w:r/>
      <w:bookmarkStart w:id="21" w:name="_Toc28359005"/>
      <w:r/>
      <w:bookmarkStart w:id="22" w:name="_Toc35393793"/>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1.时间：自磋商文件公告发布之日起5个工作日</w:t>
      </w:r>
      <w:bookmarkEnd w:id="18"/>
      <w:r/>
      <w:bookmarkEnd w:id="19"/>
      <w:r/>
      <w:bookmarkEnd w:id="20"/>
      <w:r/>
      <w:bookmarkEnd w:id="21"/>
      <w:r/>
      <w:bookmarkEnd w:id="22"/>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2.地点：“苏采云”系统内免费下载（投标人必须在苏采云系统中获取磋商文件，方能参与政府采购项目）</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3.方式：本项目采用网上注册登记方式</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4.售价：0元</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四、响应文件提交</w:t>
      </w:r>
      <w:r/>
    </w:p>
    <w:p>
      <w:pPr>
        <w:ind w:firstLine="482"/>
        <w:jc w:val="left"/>
        <w:spacing w:line="560" w:lineRule="exact"/>
        <w:widowControl/>
        <w:rPr>
          <w:rFonts w:ascii="宋体" w:hAnsi="宋体" w:cs="宋体"/>
          <w:sz w:val="24"/>
        </w:rPr>
      </w:pPr>
      <w:r>
        <w:rPr>
          <w:rFonts w:hint="eastAsia" w:ascii="宋体" w:hAnsi="宋体" w:eastAsia="宋体" w:cs="宋体"/>
          <w:sz w:val="24"/>
          <w:szCs w:val="20"/>
        </w:rPr>
        <w:t xml:space="preserve">1.截止时间：</w:t>
      </w:r>
      <w:r>
        <w:rPr>
          <w:rFonts w:hint="eastAsia" w:ascii="宋体" w:hAnsi="宋体" w:cs="宋体"/>
          <w:sz w:val="24"/>
        </w:rPr>
        <w:t xml:space="preserve">2026年</w:t>
      </w:r>
      <w:r>
        <w:rPr>
          <w:rFonts w:hint="eastAsia" w:ascii="宋体" w:hAnsi="宋体" w:cs="宋体"/>
          <w:sz w:val="24"/>
          <w:lang w:val="en-US" w:eastAsia="zh-CN"/>
        </w:rPr>
        <w:t xml:space="preserve">8</w:t>
      </w:r>
      <w:r>
        <w:rPr>
          <w:rFonts w:hint="eastAsia" w:ascii="宋体" w:hAnsi="宋体" w:cs="宋体"/>
          <w:sz w:val="24"/>
        </w:rPr>
        <w:t xml:space="preserve">月14日9点30分（北京时间）</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2.地点：苏采云“不见面”开标大厅。</w:t>
      </w:r>
      <w:r/>
    </w:p>
    <w:p>
      <w:pPr>
        <w:ind w:firstLine="482"/>
        <w:jc w:val="left"/>
        <w:spacing w:line="560" w:lineRule="exact"/>
        <w:widowControl/>
        <w:rPr>
          <w:rFonts w:ascii="宋体" w:hAnsi="宋体" w:eastAsia="宋体" w:cs="宋体"/>
          <w:b/>
          <w:bCs/>
          <w:sz w:val="24"/>
          <w:szCs w:val="20"/>
        </w:rPr>
      </w:pPr>
      <w:r/>
      <w:bookmarkStart w:id="23" w:name="_Toc35393795"/>
      <w:r/>
      <w:bookmarkStart w:id="24" w:name="_Toc38985268"/>
      <w:r/>
      <w:bookmarkStart w:id="25" w:name="_Toc35393626"/>
      <w:r>
        <w:rPr>
          <w:rFonts w:hint="eastAsia" w:ascii="宋体" w:hAnsi="宋体" w:eastAsia="宋体" w:cs="宋体"/>
          <w:b/>
          <w:bCs/>
          <w:sz w:val="24"/>
          <w:szCs w:val="20"/>
        </w:rPr>
        <w:t xml:space="preserve">五、开启</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1.时间：</w:t>
      </w:r>
      <w:bookmarkEnd w:id="23"/>
      <w:r/>
      <w:bookmarkEnd w:id="24"/>
      <w:r/>
      <w:bookmarkEnd w:id="25"/>
      <w:r>
        <w:rPr>
          <w:rFonts w:hint="eastAsia" w:ascii="宋体" w:hAnsi="宋体" w:eastAsia="宋体" w:cs="宋体"/>
          <w:sz w:val="24"/>
          <w:szCs w:val="20"/>
        </w:rPr>
        <w:t xml:space="preserve">2026年</w:t>
      </w:r>
      <w:r>
        <w:rPr>
          <w:rFonts w:hint="eastAsia" w:ascii="宋体" w:hAnsi="宋体" w:eastAsia="宋体" w:cs="宋体"/>
          <w:sz w:val="24"/>
          <w:szCs w:val="20"/>
          <w:lang w:val="en-US" w:eastAsia="zh-CN"/>
        </w:rPr>
        <w:t xml:space="preserve">8</w:t>
      </w:r>
      <w:r>
        <w:rPr>
          <w:rFonts w:hint="eastAsia" w:ascii="宋体" w:hAnsi="宋体" w:eastAsia="宋体" w:cs="宋体"/>
          <w:sz w:val="24"/>
          <w:szCs w:val="20"/>
        </w:rPr>
        <w:t xml:space="preserve">月14日9点30分（北京时间）</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2.地点：盐城市公共资源交易中心开标区开标四室。</w:t>
      </w:r>
      <w:r/>
    </w:p>
    <w:p>
      <w:pPr>
        <w:ind w:firstLine="482"/>
        <w:jc w:val="left"/>
        <w:spacing w:line="560" w:lineRule="exact"/>
        <w:widowControl/>
        <w:rPr>
          <w:rFonts w:ascii="宋体" w:hAnsi="宋体" w:eastAsia="宋体" w:cs="宋体"/>
          <w:b/>
          <w:bCs/>
          <w:sz w:val="24"/>
          <w:szCs w:val="20"/>
        </w:rPr>
      </w:pPr>
      <w:r/>
      <w:bookmarkStart w:id="26" w:name="_Toc28359094"/>
      <w:r>
        <w:rPr>
          <w:rFonts w:hint="eastAsia" w:ascii="宋体" w:hAnsi="宋体" w:eastAsia="宋体" w:cs="宋体"/>
          <w:b/>
          <w:bCs/>
          <w:sz w:val="24"/>
          <w:szCs w:val="20"/>
        </w:rPr>
        <w:t xml:space="preserve">六、公告期限</w:t>
      </w:r>
      <w:bookmarkEnd w:id="26"/>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自本公告发布之日起3个工作日</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七、其他补充事宜</w:t>
      </w:r>
      <w:r/>
    </w:p>
    <w:p>
      <w:pPr>
        <w:ind w:firstLine="482"/>
        <w:jc w:val="left"/>
        <w:spacing w:line="560" w:lineRule="exact"/>
        <w:widowControl/>
        <w:rPr>
          <w:rFonts w:ascii="宋体" w:hAnsi="宋体" w:eastAsia="宋体" w:cs="宋体"/>
          <w:sz w:val="24"/>
          <w:szCs w:val="20"/>
        </w:rPr>
      </w:pPr>
      <w:r/>
      <w:bookmarkStart w:id="27" w:name="_Toc28359018"/>
      <w:r>
        <w:rPr>
          <w:rFonts w:hint="eastAsia" w:ascii="宋体" w:hAnsi="宋体" w:eastAsia="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领取CA和办理电子签章（</w:t>
      </w:r>
      <w:r>
        <w:rPr>
          <w:rFonts w:hint="eastAsia" w:ascii="宋体" w:hAnsi="宋体" w:eastAsia="宋体" w:cs="宋体"/>
          <w:b/>
          <w:bCs/>
          <w:color w:val="auto"/>
          <w:sz w:val="24"/>
          <w:szCs w:val="20"/>
        </w:rPr>
        <w:t xml:space="preserve">请至盐城市府西路1号盐城市公共资源交易中心四楼大厅10号，11号窗口办理</w:t>
      </w:r>
      <w:r>
        <w:rPr>
          <w:rFonts w:hint="eastAsia" w:ascii="宋体" w:hAnsi="宋体" w:eastAsia="宋体" w:cs="宋体"/>
          <w:color w:val="auto"/>
          <w:sz w:val="24"/>
          <w:szCs w:val="20"/>
        </w:rPr>
        <w:t xml:space="preserve">，</w:t>
      </w:r>
      <w:r>
        <w:rPr>
          <w:rFonts w:hint="eastAsia" w:ascii="宋体" w:hAnsi="宋体" w:eastAsia="宋体" w:cs="宋体"/>
          <w:sz w:val="24"/>
          <w:szCs w:val="20"/>
        </w:rPr>
        <w:t xml:space="preserve">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2.潜在供应商访问电子招标响应交易平台的网络地址和方法： </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2.1“苏采云”系统用户注册--获取“CA 数字证书”--CA 绑定与登录--参与投标--下载磋商文件（后缀名为“.kedt”）--将后缀名为“.kedt”的磋商文件导入政府采购客户端工具--制作响应文件--导出加密的响应文件（后缀名为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2.2 潜在投标人访问“苏采云”系统方法：江苏省政府采购网首页-“苏采云”链接。 </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2.3 磋商文件（后缀名为“.kedt”）、供应商操作手册及政府采购客户端 工具可通过“苏采云”系统相应链接进行下载。 </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2.4 采购代理机构将数据电文形式的磋商文件加载至“苏采云”系统，供潜在供应商下载或者查阅。 </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如潜在投标人未按上述要求操作，将自行承担所产生的风险。</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 有关本次磋商的事项若存在变动或修改，敬请及时关注盐城市政府采购中心在“中国政府采购网”“江苏政府采购网”“盐城市政府采购网”发布的更正公告。</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4. 本次磋商不收取磋商保证金，不收取质量保证金。</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八、凡对本次采购提出询问，请按以下方式联系。</w:t>
      </w:r>
      <w:bookmarkEnd w:id="27"/>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1.采购人信息</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名    称：盐城市数据局</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地    址：盐城市府西路1号 </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联 系 人：郁女士</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联系方式：0515-86661159</w:t>
      </w:r>
      <w:r/>
    </w:p>
    <w:p>
      <w:pPr>
        <w:ind w:firstLine="480"/>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2.采购代理机构信息</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名 </w:t>
      </w:r>
      <w:r>
        <w:rPr>
          <w:rFonts w:hint="eastAsia" w:ascii="宋体" w:hAnsi="宋体" w:eastAsia="宋体" w:cs="宋体"/>
          <w:sz w:val="24"/>
          <w:szCs w:val="20"/>
          <w:lang w:val="en-US" w:eastAsia="zh-CN"/>
        </w:rPr>
        <w:t xml:space="preserve">   </w:t>
      </w:r>
      <w:r>
        <w:rPr>
          <w:rFonts w:hint="eastAsia" w:ascii="宋体" w:hAnsi="宋体" w:eastAsia="Arial" w:cs="宋体"/>
          <w:sz w:val="24"/>
          <w:szCs w:val="20"/>
        </w:rPr>
        <w:t xml:space="preserve">称：盐城市政府采购中心 </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地    址：盐城市府西路1号市公共资源交易中心5楼</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联 系 人：</w:t>
      </w:r>
      <w:r>
        <w:rPr>
          <w:rFonts w:hint="eastAsia" w:ascii="宋体" w:hAnsi="宋体" w:eastAsia="宋体" w:cs="宋体"/>
          <w:sz w:val="24"/>
          <w:szCs w:val="20"/>
        </w:rPr>
        <w:t xml:space="preserve">顾女士</w:t>
      </w:r>
      <w:r>
        <w:rPr>
          <w:rFonts w:hint="eastAsia" w:ascii="宋体" w:hAnsi="宋体" w:eastAsia="Arial" w:cs="宋体"/>
          <w:sz w:val="24"/>
          <w:szCs w:val="20"/>
        </w:rPr>
        <w:t xml:space="preserve">                    </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联系方式：</w:t>
      </w:r>
      <w:bookmarkStart w:id="28" w:name="_Toc28359010"/>
      <w:r/>
      <w:bookmarkStart w:id="29" w:name="_Toc28359087"/>
      <w:r>
        <w:rPr>
          <w:rFonts w:hint="eastAsia" w:ascii="宋体" w:hAnsi="宋体" w:eastAsia="宋体" w:cs="宋体"/>
          <w:sz w:val="24"/>
          <w:szCs w:val="20"/>
        </w:rPr>
        <w:t xml:space="preserve">0515-86665092</w:t>
      </w:r>
      <w:r>
        <w:rPr>
          <w:rFonts w:hint="eastAsia" w:ascii="宋体" w:hAnsi="宋体" w:eastAsia="Arial" w:cs="宋体"/>
          <w:sz w:val="24"/>
          <w:szCs w:val="20"/>
        </w:rPr>
        <w:t xml:space="preserve"> </w:t>
      </w:r>
      <w:bookmarkEnd w:id="28"/>
      <w:r/>
      <w:bookmarkEnd w:id="29"/>
      <w:r/>
      <w:r/>
    </w:p>
    <w:p>
      <w:pPr>
        <w:ind w:firstLine="480"/>
        <w:jc w:val="left"/>
        <w:spacing w:line="560" w:lineRule="exact"/>
        <w:widowControl/>
        <w:rPr>
          <w:rFonts w:ascii="宋体" w:hAnsi="宋体" w:eastAsia="Arial" w:cs="宋体"/>
          <w:b/>
          <w:bCs/>
          <w:sz w:val="24"/>
          <w:szCs w:val="20"/>
        </w:rPr>
        <w:outlineLvl w:val="2"/>
      </w:pPr>
      <w:r/>
      <w:bookmarkStart w:id="30" w:name="_Toc28359021"/>
      <w:r>
        <w:rPr>
          <w:rFonts w:hint="eastAsia" w:ascii="宋体" w:hAnsi="宋体" w:eastAsia="Arial" w:cs="宋体"/>
          <w:b/>
          <w:bCs/>
          <w:sz w:val="24"/>
          <w:szCs w:val="20"/>
        </w:rPr>
        <w:t xml:space="preserve">3.</w:t>
      </w:r>
      <w:bookmarkEnd w:id="30"/>
      <w:r>
        <w:rPr>
          <w:rFonts w:hint="eastAsia" w:ascii="宋体" w:hAnsi="宋体" w:eastAsia="Arial" w:cs="宋体"/>
          <w:b/>
          <w:bCs/>
          <w:sz w:val="24"/>
          <w:szCs w:val="20"/>
        </w:rPr>
        <w:t xml:space="preserve">项目联系方式</w:t>
      </w:r>
      <w:r/>
    </w:p>
    <w:p>
      <w:pPr>
        <w:ind w:firstLine="480"/>
        <w:jc w:val="left"/>
        <w:spacing w:line="360" w:lineRule="auto"/>
        <w:widowControl/>
        <w:rPr>
          <w:rFonts w:ascii="宋体" w:hAnsi="宋体" w:eastAsia="宋体" w:cs="宋体"/>
          <w:sz w:val="24"/>
          <w:szCs w:val="20"/>
        </w:rPr>
      </w:pPr>
      <w:r>
        <w:rPr>
          <w:rFonts w:hint="eastAsia" w:ascii="宋体" w:hAnsi="宋体" w:eastAsia="Arial" w:cs="宋体"/>
          <w:sz w:val="24"/>
          <w:szCs w:val="20"/>
        </w:rPr>
        <w:t xml:space="preserve">项目联系人：</w:t>
      </w:r>
      <w:r>
        <w:rPr>
          <w:rFonts w:hint="eastAsia" w:ascii="宋体" w:hAnsi="宋体" w:eastAsia="宋体" w:cs="宋体"/>
          <w:sz w:val="24"/>
          <w:szCs w:val="20"/>
        </w:rPr>
        <w:t xml:space="preserve">顾女士</w:t>
      </w:r>
      <w:r/>
    </w:p>
    <w:p>
      <w:pPr>
        <w:ind w:firstLine="480"/>
        <w:jc w:val="left"/>
        <w:spacing w:line="360" w:lineRule="auto"/>
        <w:widowControl/>
        <w:rPr>
          <w:rFonts w:hint="eastAsia" w:ascii="宋体" w:hAnsi="宋体" w:eastAsia="Arial" w:cs="宋体"/>
          <w:sz w:val="24"/>
          <w:szCs w:val="24"/>
        </w:rPr>
      </w:pPr>
      <w:r>
        <w:rPr>
          <w:rFonts w:hint="eastAsia" w:ascii="宋体" w:hAnsi="宋体" w:eastAsia="Arial" w:cs="宋体"/>
          <w:sz w:val="24"/>
          <w:szCs w:val="20"/>
        </w:rPr>
        <w:t xml:space="preserve">联系电话：</w:t>
      </w:r>
      <w:r>
        <w:rPr>
          <w:rFonts w:hint="eastAsia" w:ascii="宋体" w:hAnsi="宋体" w:eastAsia="宋体" w:cs="宋体"/>
          <w:sz w:val="24"/>
          <w:szCs w:val="20"/>
        </w:rPr>
        <w:t xml:space="preserve">0515-86665092</w:t>
      </w:r>
      <w:r>
        <w:rPr>
          <w:rFonts w:hint="eastAsia" w:ascii="宋体" w:hAnsi="宋体" w:eastAsia="Arial" w:cs="宋体"/>
          <w:sz w:val="24"/>
          <w:szCs w:val="20"/>
        </w:rPr>
        <w:t xml:space="preserve"> </w:t>
      </w:r>
      <w:r>
        <w:rPr>
          <w:rFonts w:ascii="宋体" w:hAnsi="宋体" w:eastAsia="宋体" w:cs="宋体"/>
          <w:sz w:val="24"/>
          <w:szCs w:val="20"/>
        </w:rPr>
      </w:r>
      <w:r/>
    </w:p>
    <w:p>
      <w:pPr>
        <w:ind w:firstLine="480"/>
        <w:jc w:val="center"/>
        <w:spacing w:line="360" w:lineRule="auto"/>
        <w:widowControl/>
        <w:rPr>
          <w:rFonts w:ascii="宋体" w:hAnsi="宋体" w:eastAsia="宋体" w:cs="宋体"/>
          <w:sz w:val="24"/>
          <w:szCs w:val="24"/>
        </w:rPr>
      </w:pPr>
      <w:r>
        <w:rPr>
          <w:rFonts w:hint="eastAsia" w:ascii="宋体" w:hAnsi="宋体" w:eastAsia="Arial" w:cs="宋体"/>
          <w:sz w:val="24"/>
          <w:szCs w:val="20"/>
        </w:rPr>
      </w:r>
      <w:bookmarkStart w:id="31" w:name="_Toc120614211"/>
      <w:r>
        <w:rPr>
          <w:rFonts w:hint="eastAsia" w:ascii="黑体" w:hAnsi="宋体" w:eastAsia="黑体" w:cs="黑体"/>
          <w:bCs/>
          <w:sz w:val="44"/>
          <w:szCs w:val="44"/>
        </w:rPr>
        <w:t xml:space="preserve">第二章</w:t>
      </w:r>
      <w:bookmarkEnd w:id="31"/>
      <w:r>
        <w:rPr>
          <w:rFonts w:hint="eastAsia" w:ascii="黑体" w:hAnsi="宋体" w:eastAsia="黑体" w:cs="黑体"/>
          <w:bCs/>
          <w:sz w:val="44"/>
          <w:szCs w:val="44"/>
          <w:lang w:val="en-US" w:eastAsia="zh-CN"/>
        </w:rPr>
        <w:t xml:space="preserve"> </w:t>
      </w:r>
      <w:r>
        <w:rPr>
          <w:rFonts w:hint="eastAsia" w:ascii="黑体" w:hAnsi="宋体" w:eastAsia="黑体" w:cs="黑体"/>
          <w:bCs/>
          <w:sz w:val="44"/>
          <w:szCs w:val="44"/>
        </w:rPr>
        <w:t xml:space="preserve">供应商须知</w:t>
      </w:r>
      <w:r>
        <w:rPr>
          <w:rFonts w:ascii="宋体" w:hAnsi="宋体" w:eastAsia="宋体" w:cs="宋体"/>
          <w:sz w:val="24"/>
          <w:szCs w:val="20"/>
        </w:rPr>
      </w:r>
      <w:r/>
    </w:p>
    <w:p>
      <w:pPr>
        <w:ind w:firstLine="482"/>
        <w:jc w:val="left"/>
        <w:spacing w:line="560" w:lineRule="exact"/>
        <w:widowControl/>
        <w:rPr>
          <w:rFonts w:ascii="宋体" w:hAnsi="宋体" w:eastAsia="宋体" w:cs="宋体"/>
          <w:b/>
          <w:bCs/>
          <w:sz w:val="24"/>
          <w:szCs w:val="20"/>
        </w:rPr>
      </w:pPr>
      <w:r/>
      <w:bookmarkStart w:id="32" w:name="_Toc16938519"/>
      <w:r/>
      <w:bookmarkStart w:id="33" w:name="_Toc20823275"/>
      <w:r/>
      <w:bookmarkStart w:id="34" w:name="_Toc513029203"/>
      <w:r/>
      <w:bookmarkStart w:id="35" w:name="_Toc120614214"/>
      <w:r>
        <w:rPr>
          <w:rFonts w:hint="eastAsia" w:ascii="宋体" w:hAnsi="宋体" w:eastAsia="宋体" w:cs="宋体"/>
          <w:b/>
          <w:bCs/>
          <w:sz w:val="24"/>
          <w:szCs w:val="20"/>
        </w:rPr>
        <w:t xml:space="preserve">一、总则</w:t>
      </w:r>
      <w:bookmarkEnd w:id="32"/>
      <w:r/>
      <w:bookmarkEnd w:id="33"/>
      <w:r/>
      <w:bookmarkEnd w:id="34"/>
      <w:r/>
      <w:bookmarkEnd w:id="35"/>
      <w:r/>
      <w:r/>
    </w:p>
    <w:p>
      <w:pPr>
        <w:ind w:firstLine="482"/>
        <w:jc w:val="left"/>
        <w:spacing w:line="560" w:lineRule="exact"/>
        <w:widowControl/>
        <w:rPr>
          <w:rFonts w:ascii="宋体" w:hAnsi="宋体" w:eastAsia="宋体" w:cs="宋体"/>
          <w:b/>
          <w:bCs/>
          <w:sz w:val="24"/>
          <w:szCs w:val="20"/>
        </w:rPr>
      </w:pPr>
      <w:r/>
      <w:bookmarkStart w:id="36" w:name="_Toc20823276"/>
      <w:r/>
      <w:bookmarkStart w:id="37" w:name="_Toc458694821"/>
      <w:r/>
      <w:bookmarkStart w:id="38" w:name="_Toc513029204"/>
      <w:r/>
      <w:bookmarkStart w:id="39" w:name="_Toc16938520"/>
      <w:r/>
      <w:bookmarkStart w:id="40" w:name="_Hlt16619475"/>
      <w:r>
        <w:rPr>
          <w:rFonts w:hint="eastAsia" w:ascii="宋体" w:hAnsi="宋体" w:eastAsia="宋体" w:cs="宋体"/>
          <w:b/>
          <w:bCs/>
          <w:sz w:val="24"/>
          <w:szCs w:val="20"/>
        </w:rPr>
        <w:t xml:space="preserve">1</w:t>
      </w:r>
      <w:bookmarkEnd w:id="36"/>
      <w:r>
        <w:rPr>
          <w:rFonts w:hint="eastAsia" w:ascii="宋体" w:hAnsi="宋体" w:eastAsia="宋体" w:cs="宋体"/>
          <w:b/>
          <w:bCs/>
          <w:sz w:val="24"/>
          <w:szCs w:val="20"/>
        </w:rPr>
        <w:t xml:space="preserve">、采购方式</w:t>
      </w:r>
      <w:bookmarkEnd w:id="37"/>
      <w:r/>
      <w:bookmarkEnd w:id="38"/>
      <w:r/>
      <w:bookmarkEnd w:id="39"/>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1.1 本次政府采购活动采取竞争性磋商(以下简称磋商)方式，本磋商文件仅适用于磋商公告中所述项目。</w:t>
      </w:r>
      <w:r/>
    </w:p>
    <w:p>
      <w:pPr>
        <w:ind w:firstLine="482"/>
        <w:jc w:val="left"/>
        <w:spacing w:line="560" w:lineRule="exact"/>
        <w:widowControl/>
        <w:rPr>
          <w:rFonts w:ascii="宋体" w:hAnsi="宋体" w:eastAsia="宋体" w:cs="宋体"/>
          <w:b/>
          <w:bCs/>
          <w:sz w:val="24"/>
          <w:szCs w:val="20"/>
        </w:rPr>
      </w:pPr>
      <w:r/>
      <w:bookmarkStart w:id="41" w:name="_Toc513029205"/>
      <w:r/>
      <w:bookmarkStart w:id="42" w:name="_Toc20823277"/>
      <w:r/>
      <w:bookmarkStart w:id="43" w:name="_Toc16938521"/>
      <w:r>
        <w:rPr>
          <w:rFonts w:hint="eastAsia" w:ascii="宋体" w:hAnsi="宋体" w:eastAsia="宋体" w:cs="宋体"/>
          <w:b/>
          <w:bCs/>
          <w:sz w:val="24"/>
          <w:szCs w:val="20"/>
        </w:rPr>
        <w:t xml:space="preserve">2、合格的</w:t>
      </w:r>
      <w:bookmarkEnd w:id="41"/>
      <w:r/>
      <w:bookmarkEnd w:id="42"/>
      <w:r/>
      <w:bookmarkEnd w:id="43"/>
      <w:r>
        <w:rPr>
          <w:rFonts w:hint="eastAsia" w:ascii="宋体" w:hAnsi="宋体" w:eastAsia="宋体" w:cs="宋体"/>
          <w:b/>
          <w:bCs/>
          <w:sz w:val="24"/>
          <w:szCs w:val="20"/>
        </w:rPr>
        <w:t xml:space="preserve">供应商</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2.1满足磋商公告中供应商资格要求的规定。</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2.2 满足本磋商文件实质性要求和条件的规定。</w:t>
      </w:r>
      <w:r/>
    </w:p>
    <w:p>
      <w:pPr>
        <w:ind w:firstLine="482"/>
        <w:jc w:val="left"/>
        <w:spacing w:line="560" w:lineRule="exact"/>
        <w:widowControl/>
        <w:rPr>
          <w:rFonts w:ascii="宋体" w:hAnsi="宋体" w:eastAsia="宋体" w:cs="宋体"/>
          <w:b/>
          <w:bCs/>
          <w:sz w:val="24"/>
          <w:szCs w:val="20"/>
        </w:rPr>
      </w:pPr>
      <w:r/>
      <w:bookmarkStart w:id="44" w:name="_Toc513029206"/>
      <w:r/>
      <w:bookmarkStart w:id="45" w:name="_Toc20823278"/>
      <w:r/>
      <w:bookmarkStart w:id="46" w:name="_Toc16938522"/>
      <w:r/>
      <w:bookmarkStart w:id="47" w:name="_Toc513029207"/>
      <w:r/>
      <w:bookmarkStart w:id="48" w:name="_Toc20823279"/>
      <w:r/>
      <w:bookmarkStart w:id="49" w:name="_Toc462564067"/>
      <w:r/>
      <w:bookmarkStart w:id="50" w:name="_Toc16938523"/>
      <w:r>
        <w:rPr>
          <w:rFonts w:hint="eastAsia" w:ascii="宋体" w:hAnsi="宋体" w:eastAsia="宋体" w:cs="宋体"/>
          <w:b/>
          <w:bCs/>
          <w:sz w:val="24"/>
          <w:szCs w:val="20"/>
        </w:rPr>
        <w:t xml:space="preserve">3、适用法律</w:t>
      </w:r>
      <w:bookmarkEnd w:id="44"/>
      <w:r/>
      <w:bookmarkEnd w:id="45"/>
      <w:r/>
      <w:bookmarkEnd w:id="46"/>
      <w:r>
        <w:rPr>
          <w:rFonts w:hint="eastAsia" w:ascii="宋体" w:hAnsi="宋体" w:eastAsia="宋体" w:cs="宋体"/>
          <w:b/>
          <w:bCs/>
          <w:sz w:val="24"/>
          <w:szCs w:val="20"/>
        </w:rPr>
        <w:t xml:space="preserve">和标准</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3.1 本次招标及由此产生的合同受中华人民共和国有关的法律法规制约和保护。</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3.2 在本项目政府采购活动过程中，如果所执行的标准有更新的，按照最新标准执行。</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4、磋商费用</w:t>
      </w:r>
      <w:bookmarkEnd w:id="47"/>
      <w:r/>
      <w:bookmarkEnd w:id="48"/>
      <w:r/>
      <w:bookmarkEnd w:id="49"/>
      <w:r/>
      <w:bookmarkEnd w:id="50"/>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4.1供应商应自行承担所有与参加本次磋商有关的费用，无论磋商过程中的做法和结果如何，盐城市政府采购中心（以下简称采购中心）在任何情况下均无义务和责任承担这些费用。</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4.2本次磋商采购中心和采购人不收取标书工本费与成交服务费。</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5、磋商文件的约束力</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5.1供应商一旦参加本项目采购活动，即被认为接受了本磋商文件的规定和约束。</w:t>
      </w:r>
      <w:bookmarkStart w:id="51" w:name="_Toc513029209"/>
      <w:r/>
      <w:bookmarkStart w:id="52" w:name="_Toc20823281"/>
      <w:r/>
      <w:bookmarkStart w:id="53" w:name="_Toc120614215"/>
      <w:r/>
      <w:bookmarkStart w:id="54" w:name="_Toc16938525"/>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二、</w:t>
      </w:r>
      <w:bookmarkEnd w:id="51"/>
      <w:r/>
      <w:bookmarkEnd w:id="52"/>
      <w:r/>
      <w:bookmarkEnd w:id="53"/>
      <w:r/>
      <w:bookmarkEnd w:id="54"/>
      <w:r>
        <w:rPr>
          <w:rFonts w:hint="eastAsia" w:ascii="宋体" w:hAnsi="宋体" w:eastAsia="宋体" w:cs="宋体"/>
          <w:b/>
          <w:bCs/>
          <w:sz w:val="24"/>
          <w:szCs w:val="20"/>
        </w:rPr>
        <w:t xml:space="preserve">磋商文件</w:t>
      </w:r>
      <w:r/>
    </w:p>
    <w:p>
      <w:pPr>
        <w:ind w:firstLine="482"/>
        <w:jc w:val="left"/>
        <w:spacing w:line="560" w:lineRule="exact"/>
        <w:widowControl/>
        <w:rPr>
          <w:rFonts w:ascii="宋体" w:hAnsi="宋体" w:eastAsia="宋体" w:cs="宋体"/>
          <w:b/>
          <w:bCs/>
          <w:sz w:val="24"/>
          <w:szCs w:val="20"/>
        </w:rPr>
      </w:pPr>
      <w:r/>
      <w:bookmarkStart w:id="55" w:name="_Toc20823282"/>
      <w:r/>
      <w:bookmarkStart w:id="56" w:name="_Toc16938526"/>
      <w:r/>
      <w:bookmarkStart w:id="57" w:name="_Toc513029210"/>
      <w:r>
        <w:rPr>
          <w:rFonts w:hint="eastAsia" w:ascii="宋体" w:hAnsi="宋体" w:eastAsia="宋体" w:cs="宋体"/>
          <w:b/>
          <w:bCs/>
          <w:sz w:val="24"/>
          <w:szCs w:val="20"/>
        </w:rPr>
        <w:t xml:space="preserve">6、磋商文件构成</w:t>
      </w:r>
      <w:bookmarkEnd w:id="55"/>
      <w:r/>
      <w:bookmarkEnd w:id="56"/>
      <w:r/>
      <w:bookmarkEnd w:id="57"/>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6.1磋商文件由以下部分组成：</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（1）磋商公告</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（2）供应商须知</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（3）合同文本</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（4）采购需求</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（5）评审方法与评审标准</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（6）响应文件格式</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请仔细检查磋商文件是否齐全，如有缺漏请立即与采购中心联系解决。</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jc w:val="left"/>
        <w:spacing w:line="560" w:lineRule="exact"/>
        <w:widowControl/>
        <w:rPr>
          <w:rFonts w:ascii="宋体" w:hAnsi="宋体" w:eastAsia="宋体" w:cs="宋体"/>
          <w:b/>
          <w:bCs/>
          <w:sz w:val="24"/>
          <w:szCs w:val="20"/>
        </w:rPr>
      </w:pPr>
      <w:r/>
      <w:bookmarkStart w:id="58" w:name="_Toc20823283"/>
      <w:r/>
      <w:bookmarkStart w:id="59" w:name="_Toc16938527"/>
      <w:r/>
      <w:bookmarkStart w:id="60" w:name="_Toc513029211"/>
      <w:r/>
      <w:bookmarkStart w:id="61" w:name="_Toc462564070"/>
      <w:r>
        <w:rPr>
          <w:rFonts w:hint="eastAsia" w:ascii="宋体" w:hAnsi="宋体" w:eastAsia="宋体" w:cs="宋体"/>
          <w:b/>
          <w:bCs/>
          <w:sz w:val="24"/>
          <w:szCs w:val="20"/>
        </w:rPr>
        <w:t xml:space="preserve">7、磋商文件的澄清</w:t>
      </w:r>
      <w:bookmarkEnd w:id="58"/>
      <w:r/>
      <w:bookmarkEnd w:id="59"/>
      <w:r/>
      <w:bookmarkEnd w:id="60"/>
      <w:r/>
      <w:bookmarkEnd w:id="61"/>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7.1 任何要求对磋商文件进行澄清的供应商，应在磋商截止期</w:t>
      </w:r>
      <w:r>
        <w:rPr>
          <w:rFonts w:hint="eastAsia" w:ascii="宋体" w:hAnsi="宋体" w:eastAsia="宋体" w:cs="宋体"/>
          <w:b/>
          <w:bCs/>
          <w:sz w:val="24"/>
          <w:szCs w:val="20"/>
        </w:rPr>
        <w:t xml:space="preserve">5日</w:t>
      </w:r>
      <w:r>
        <w:rPr>
          <w:rFonts w:hint="eastAsia" w:ascii="宋体" w:hAnsi="宋体" w:eastAsia="宋体" w:cs="宋体"/>
          <w:sz w:val="24"/>
          <w:szCs w:val="20"/>
        </w:rPr>
        <w:t xml:space="preserve">前按磋商公告中的通讯地址，以书面形式通知采购中心。</w:t>
      </w:r>
      <w:r/>
    </w:p>
    <w:p>
      <w:pPr>
        <w:ind w:firstLine="482"/>
        <w:jc w:val="left"/>
        <w:spacing w:line="560" w:lineRule="exact"/>
        <w:widowControl/>
        <w:rPr>
          <w:rFonts w:ascii="宋体" w:hAnsi="宋体" w:eastAsia="宋体" w:cs="宋体"/>
          <w:b/>
          <w:bCs/>
          <w:sz w:val="24"/>
          <w:szCs w:val="20"/>
        </w:rPr>
      </w:pPr>
      <w:r/>
      <w:bookmarkStart w:id="62" w:name="_Toc20823284"/>
      <w:r/>
      <w:bookmarkStart w:id="63" w:name="_Toc16938528"/>
      <w:r/>
      <w:bookmarkStart w:id="64" w:name="_Toc513029212"/>
      <w:r/>
      <w:bookmarkStart w:id="65" w:name="_Toc462564071"/>
      <w:r>
        <w:rPr>
          <w:rFonts w:hint="eastAsia" w:ascii="宋体" w:hAnsi="宋体" w:eastAsia="宋体" w:cs="宋体"/>
          <w:b/>
          <w:bCs/>
          <w:sz w:val="24"/>
          <w:szCs w:val="20"/>
        </w:rPr>
        <w:t xml:space="preserve">8、磋商文件的澄清和修改</w:t>
      </w:r>
      <w:bookmarkEnd w:id="62"/>
      <w:r/>
      <w:bookmarkEnd w:id="63"/>
      <w:r/>
      <w:bookmarkEnd w:id="64"/>
      <w:r/>
      <w:bookmarkEnd w:id="65"/>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8.1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更正公告内容将作为磋商文件的组成部分，并对供应商具有约束力。不足5日的，采购中心将顺延提交首次响应文件截止时间。</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8.2采购中心可以视采购项目的具体情况，组织供应商进行现场考察或召开磋商前答疑会，但不单独或分别组织只有一个供应商参加的现场考察和答疑会。</w:t>
      </w:r>
      <w:r/>
    </w:p>
    <w:p>
      <w:pPr>
        <w:ind w:firstLine="482"/>
        <w:jc w:val="left"/>
        <w:spacing w:line="560" w:lineRule="exact"/>
        <w:widowControl/>
        <w:rPr>
          <w:rFonts w:ascii="宋体" w:hAnsi="宋体" w:eastAsia="宋体" w:cs="宋体"/>
          <w:b/>
          <w:bCs/>
          <w:sz w:val="24"/>
          <w:szCs w:val="20"/>
        </w:rPr>
      </w:pPr>
      <w:r/>
      <w:bookmarkStart w:id="66" w:name="_Toc462564072"/>
      <w:r/>
      <w:bookmarkStart w:id="67" w:name="_Toc513029213"/>
      <w:r/>
      <w:bookmarkStart w:id="68" w:name="_Toc16938529"/>
      <w:r/>
      <w:bookmarkStart w:id="69" w:name="_Toc120614216"/>
      <w:r/>
      <w:bookmarkStart w:id="70" w:name="_Toc20823285"/>
      <w:r>
        <w:rPr>
          <w:rFonts w:hint="eastAsia" w:ascii="宋体" w:hAnsi="宋体" w:eastAsia="宋体" w:cs="宋体"/>
          <w:b/>
          <w:bCs/>
          <w:sz w:val="24"/>
          <w:szCs w:val="20"/>
        </w:rPr>
        <w:t xml:space="preserve">三、响应文件的编制</w:t>
      </w:r>
      <w:bookmarkEnd w:id="66"/>
      <w:r/>
      <w:bookmarkEnd w:id="67"/>
      <w:r/>
      <w:bookmarkEnd w:id="68"/>
      <w:r/>
      <w:bookmarkEnd w:id="69"/>
      <w:r/>
      <w:bookmarkEnd w:id="70"/>
      <w:r/>
      <w:r/>
    </w:p>
    <w:p>
      <w:pPr>
        <w:ind w:firstLine="482"/>
        <w:jc w:val="left"/>
        <w:spacing w:line="560" w:lineRule="exact"/>
        <w:widowControl/>
        <w:rPr>
          <w:rFonts w:ascii="宋体" w:hAnsi="宋体" w:eastAsia="宋体" w:cs="宋体"/>
          <w:b/>
          <w:bCs/>
          <w:sz w:val="24"/>
          <w:szCs w:val="20"/>
        </w:rPr>
      </w:pPr>
      <w:r/>
      <w:bookmarkStart w:id="71" w:name="_Toc462564073"/>
      <w:r/>
      <w:bookmarkStart w:id="72" w:name="_Toc16938530"/>
      <w:r/>
      <w:bookmarkStart w:id="73" w:name="_Toc513029214"/>
      <w:r/>
      <w:bookmarkStart w:id="74" w:name="_Toc20823286"/>
      <w:r>
        <w:rPr>
          <w:rFonts w:hint="eastAsia" w:ascii="宋体" w:hAnsi="宋体" w:eastAsia="宋体" w:cs="宋体"/>
          <w:b/>
          <w:bCs/>
          <w:sz w:val="24"/>
          <w:szCs w:val="20"/>
        </w:rPr>
        <w:t xml:space="preserve">9、响应文件的语言及度量衡单位</w:t>
      </w:r>
      <w:bookmarkEnd w:id="71"/>
      <w:r/>
      <w:bookmarkEnd w:id="72"/>
      <w:r/>
      <w:bookmarkEnd w:id="73"/>
      <w:r/>
      <w:bookmarkEnd w:id="74"/>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9.1供应商提交的响应文件以及供应商与采购中心就有关磋商的所有来往通知、函件和文件均应使用</w:t>
      </w:r>
      <w:r>
        <w:rPr>
          <w:rFonts w:hint="eastAsia" w:ascii="宋体" w:hAnsi="宋体" w:eastAsia="宋体" w:cs="宋体"/>
          <w:b/>
          <w:bCs/>
          <w:sz w:val="24"/>
          <w:szCs w:val="20"/>
        </w:rPr>
        <w:t xml:space="preserve">简体中文</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9.2 除技术性能另有规定外，响应文件所使用的度量衡单位，均须采用国家法定计量单位。</w:t>
      </w:r>
      <w:r/>
    </w:p>
    <w:p>
      <w:pPr>
        <w:ind w:firstLine="482"/>
        <w:jc w:val="left"/>
        <w:spacing w:line="560" w:lineRule="exact"/>
        <w:widowControl/>
        <w:rPr>
          <w:rFonts w:ascii="宋体" w:hAnsi="宋体" w:eastAsia="宋体" w:cs="宋体"/>
          <w:b/>
          <w:bCs/>
          <w:sz w:val="24"/>
          <w:szCs w:val="20"/>
        </w:rPr>
      </w:pPr>
      <w:r/>
      <w:bookmarkStart w:id="75" w:name="_Toc16938531"/>
      <w:r/>
      <w:bookmarkStart w:id="76" w:name="_Toc513029215"/>
      <w:r/>
      <w:bookmarkStart w:id="77" w:name="_Toc20823287"/>
      <w:r/>
      <w:bookmarkStart w:id="78" w:name="_Toc462564074"/>
      <w:r>
        <w:rPr>
          <w:rFonts w:hint="eastAsia" w:ascii="宋体" w:hAnsi="宋体" w:eastAsia="宋体" w:cs="宋体"/>
          <w:b/>
          <w:bCs/>
          <w:sz w:val="24"/>
          <w:szCs w:val="20"/>
        </w:rPr>
        <w:t xml:space="preserve">10、响应文件构成</w:t>
      </w:r>
      <w:bookmarkEnd w:id="75"/>
      <w:r/>
      <w:bookmarkEnd w:id="76"/>
      <w:r/>
      <w:bookmarkEnd w:id="77"/>
      <w:r/>
      <w:bookmarkEnd w:id="78"/>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10.1供应商编写的响应文件应包括资格证明文件、符合性证明文件、分项报价表、技术要求响应及偏离表、商务要求响应及偏离表、其他证明文件、磋商响应函等部分。</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ind w:firstLine="482"/>
        <w:jc w:val="left"/>
        <w:spacing w:line="560" w:lineRule="exact"/>
        <w:widowControl/>
        <w:rPr>
          <w:rFonts w:ascii="宋体" w:hAnsi="宋体" w:eastAsia="宋体" w:cs="宋体"/>
          <w:b/>
          <w:bCs/>
          <w:sz w:val="24"/>
          <w:szCs w:val="20"/>
        </w:rPr>
      </w:pPr>
      <w:r/>
      <w:bookmarkStart w:id="79" w:name="_Toc14577357"/>
      <w:r/>
      <w:bookmarkStart w:id="80" w:name="_Toc49090507"/>
      <w:r/>
      <w:bookmarkStart w:id="81" w:name="_Toc14577354"/>
      <w:r/>
      <w:bookmarkStart w:id="82" w:name="_Toc49090509"/>
      <w:r/>
      <w:bookmarkStart w:id="83" w:name="_Toc14577355"/>
      <w:r/>
      <w:bookmarkStart w:id="84" w:name="_Toc49090508"/>
      <w:r/>
      <w:bookmarkStart w:id="85" w:name="_Toc513029216"/>
      <w:r/>
      <w:bookmarkStart w:id="86" w:name="_Toc513029219"/>
      <w:r/>
      <w:bookmarkStart w:id="87" w:name="_Hlt26670360"/>
      <w:r/>
      <w:bookmarkStart w:id="88" w:name="_Hlt26668975"/>
      <w:r/>
      <w:bookmarkStart w:id="89" w:name="_Hlt26954838"/>
      <w:r>
        <w:rPr>
          <w:rFonts w:hint="eastAsia" w:ascii="宋体" w:hAnsi="宋体" w:eastAsia="宋体" w:cs="宋体"/>
          <w:b/>
          <w:bCs/>
          <w:sz w:val="24"/>
          <w:szCs w:val="20"/>
        </w:rPr>
        <w:t xml:space="preserve">11、证明磋商响应标的符合磋商文件规定的文件</w:t>
      </w:r>
      <w:bookmarkEnd w:id="79"/>
      <w:r/>
      <w:bookmarkEnd w:id="80"/>
      <w:r/>
      <w:bookmarkEnd w:id="81"/>
      <w:r/>
      <w:bookmarkEnd w:id="82"/>
      <w:r/>
      <w:bookmarkEnd w:id="83"/>
      <w:r/>
      <w:bookmarkEnd w:id="84"/>
      <w:r/>
      <w:bookmarkEnd w:id="85"/>
      <w:r/>
      <w:bookmarkEnd w:id="86"/>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11.1供应商应按照磋商文件要求提交证明文件，证明其及磋商响应标的符合磋商文件规定。</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11.2磋商文件对证明文件无明确形式要求的，证明文件可以以文字资料、图纸和数据等形式提交。</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12、分项报价表</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12.1供应商应按照磋商文件规定格式填报分项报价表。</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12.2磋商货币。响应文件中的单价和总价无特殊规定的采用人民币报价，以元为单位标注。磋商文件中另有规定的按规定执行。</w:t>
      </w:r>
      <w:r/>
    </w:p>
    <w:p>
      <w:pPr>
        <w:ind w:firstLine="482"/>
        <w:jc w:val="left"/>
        <w:spacing w:line="560" w:lineRule="exact"/>
        <w:widowControl/>
        <w:rPr>
          <w:rFonts w:ascii="宋体" w:hAnsi="宋体" w:eastAsia="宋体" w:cs="宋体"/>
          <w:b/>
          <w:bCs/>
          <w:sz w:val="24"/>
          <w:szCs w:val="20"/>
        </w:rPr>
      </w:pPr>
      <w:r/>
      <w:bookmarkStart w:id="90" w:name="_Hlt26954731"/>
      <w:r/>
      <w:bookmarkStart w:id="91" w:name="_Hlt26670482"/>
      <w:r/>
      <w:bookmarkStart w:id="92" w:name="_Hlt26670486"/>
      <w:r/>
      <w:bookmarkStart w:id="93" w:name="_Hlt26954848"/>
      <w:r/>
      <w:bookmarkStart w:id="94" w:name="_Hlt26954846"/>
      <w:r>
        <w:rPr>
          <w:rFonts w:hint="eastAsia" w:ascii="宋体" w:hAnsi="宋体" w:eastAsia="宋体" w:cs="宋体"/>
          <w:b/>
          <w:bCs/>
          <w:sz w:val="24"/>
          <w:szCs w:val="20"/>
        </w:rPr>
        <w:t xml:space="preserve">13、技术要求响应及偏离表、商务要求响应及偏离表</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13.1供应商需对磋商文件中的技术要求与商务要求逐项作出响应或偏离，并说明原因。</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13.2供应商可在响应文件中提供认为需要的其他技术文件或说明。</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14、服务承诺、培训计划、人员安排及其他</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14.1供应商需根据磋商文件要求提供有关售后服务的管理制度，售后服务机构的分布情况，售后服务人员的数量、素质、技术水平及售后服务的反应能力等。</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14.2供应商需根据磋商文件要求提供培训计划。</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14.3供应商需根据磋商文件要求提供磋商响应标的的主要组成部分、功能设计、实现思路及关键技术等。</w:t>
      </w:r>
      <w:r/>
    </w:p>
    <w:p>
      <w:pPr>
        <w:ind w:firstLine="482"/>
        <w:jc w:val="left"/>
        <w:spacing w:line="560" w:lineRule="exact"/>
        <w:widowControl/>
        <w:rPr>
          <w:rFonts w:ascii="宋体" w:hAnsi="宋体" w:eastAsia="宋体" w:cs="宋体"/>
          <w:b/>
          <w:bCs/>
          <w:sz w:val="24"/>
          <w:szCs w:val="20"/>
        </w:rPr>
      </w:pPr>
      <w:r/>
      <w:bookmarkStart w:id="95" w:name="_Toc14577359"/>
      <w:r/>
      <w:bookmarkStart w:id="96" w:name="_Toc49090510"/>
      <w:r>
        <w:rPr>
          <w:rFonts w:hint="eastAsia" w:ascii="宋体" w:hAnsi="宋体" w:eastAsia="宋体" w:cs="宋体"/>
          <w:b/>
          <w:bCs/>
          <w:sz w:val="24"/>
          <w:szCs w:val="20"/>
        </w:rPr>
        <w:t xml:space="preserve">15、磋商响应函</w:t>
      </w:r>
      <w:bookmarkEnd w:id="95"/>
      <w:r/>
      <w:bookmarkEnd w:id="96"/>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15.1供应商应按照磋商文件中提供的格式完整、正确填写磋商响应函。</w:t>
      </w:r>
      <w:r/>
    </w:p>
    <w:p>
      <w:pPr>
        <w:ind w:firstLine="482"/>
        <w:jc w:val="left"/>
        <w:spacing w:line="560" w:lineRule="exact"/>
        <w:widowControl/>
        <w:rPr>
          <w:rFonts w:ascii="宋体" w:hAnsi="宋体" w:eastAsia="宋体" w:cs="宋体"/>
          <w:b/>
          <w:bCs/>
          <w:sz w:val="24"/>
          <w:szCs w:val="20"/>
        </w:rPr>
      </w:pPr>
      <w:r/>
      <w:bookmarkStart w:id="97" w:name="_Toc49090511"/>
      <w:r/>
      <w:bookmarkStart w:id="98" w:name="_Toc14577360"/>
      <w:r>
        <w:rPr>
          <w:rFonts w:hint="eastAsia" w:ascii="宋体" w:hAnsi="宋体" w:eastAsia="宋体" w:cs="宋体"/>
          <w:b/>
          <w:bCs/>
          <w:sz w:val="24"/>
          <w:szCs w:val="20"/>
        </w:rPr>
        <w:t xml:space="preserve">16、磋商有效期</w:t>
      </w:r>
      <w:bookmarkEnd w:id="97"/>
      <w:r/>
      <w:bookmarkEnd w:id="98"/>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16.1磋商有效期为采购中心规定的提交响应文件截止之日后</w:t>
      </w:r>
      <w:r>
        <w:rPr>
          <w:rFonts w:hint="eastAsia" w:ascii="宋体" w:hAnsi="宋体" w:eastAsia="宋体" w:cs="宋体"/>
          <w:b/>
          <w:bCs/>
          <w:sz w:val="24"/>
          <w:szCs w:val="20"/>
          <w:u w:val="single"/>
        </w:rPr>
        <w:t xml:space="preserve">九十（90）天</w:t>
      </w:r>
      <w:r>
        <w:rPr>
          <w:rFonts w:hint="eastAsia" w:ascii="宋体" w:hAnsi="宋体" w:eastAsia="宋体" w:cs="宋体"/>
          <w:sz w:val="24"/>
          <w:szCs w:val="20"/>
        </w:rPr>
        <w:t xml:space="preserve">。磋商有效期比规定短的将被视为非实质性响应磋商文件而予以拒绝。</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17、磋商有效期的延长</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ind w:firstLine="482"/>
        <w:jc w:val="left"/>
        <w:spacing w:line="560" w:lineRule="exact"/>
        <w:widowControl/>
        <w:rPr>
          <w:rFonts w:ascii="宋体" w:hAnsi="宋体" w:eastAsia="宋体" w:cs="宋体"/>
          <w:b/>
          <w:bCs/>
          <w:sz w:val="24"/>
          <w:szCs w:val="20"/>
        </w:rPr>
      </w:pPr>
      <w:r/>
      <w:bookmarkStart w:id="99" w:name="_Toc16938540"/>
      <w:r/>
      <w:bookmarkStart w:id="100" w:name="_Toc513029224"/>
      <w:r/>
      <w:bookmarkStart w:id="101" w:name="_Toc120614217"/>
      <w:r/>
      <w:bookmarkStart w:id="102" w:name="_Toc20823296"/>
      <w:r/>
      <w:bookmarkStart w:id="103" w:name="_Hlt26954852"/>
      <w:r/>
      <w:bookmarkStart w:id="104" w:name="_Hlt26954739"/>
      <w:r>
        <w:rPr>
          <w:rFonts w:hint="eastAsia" w:ascii="宋体" w:hAnsi="宋体" w:eastAsia="宋体" w:cs="宋体"/>
          <w:b/>
          <w:bCs/>
          <w:sz w:val="24"/>
          <w:szCs w:val="20"/>
        </w:rPr>
        <w:t xml:space="preserve">四、响应文件的递交</w:t>
      </w:r>
      <w:bookmarkEnd w:id="99"/>
      <w:r/>
      <w:bookmarkEnd w:id="100"/>
      <w:r/>
      <w:bookmarkEnd w:id="101"/>
      <w:r/>
      <w:bookmarkEnd w:id="102"/>
      <w:r/>
      <w:r/>
    </w:p>
    <w:p>
      <w:pPr>
        <w:ind w:firstLine="482"/>
        <w:jc w:val="left"/>
        <w:spacing w:line="560" w:lineRule="exact"/>
        <w:widowControl/>
        <w:rPr>
          <w:rFonts w:ascii="宋体" w:hAnsi="宋体" w:eastAsia="宋体" w:cs="宋体"/>
          <w:b/>
          <w:bCs/>
          <w:sz w:val="24"/>
          <w:szCs w:val="20"/>
        </w:rPr>
      </w:pPr>
      <w:r/>
      <w:bookmarkStart w:id="105" w:name="_Toc20823297"/>
      <w:r/>
      <w:bookmarkStart w:id="106" w:name="_Toc16938541"/>
      <w:r/>
      <w:bookmarkStart w:id="107" w:name="_Toc462564084"/>
      <w:r/>
      <w:bookmarkStart w:id="108" w:name="_Toc513029225"/>
      <w:r>
        <w:rPr>
          <w:rFonts w:hint="eastAsia" w:ascii="宋体" w:hAnsi="宋体" w:eastAsia="宋体" w:cs="宋体"/>
          <w:b/>
          <w:bCs/>
          <w:sz w:val="24"/>
          <w:szCs w:val="20"/>
        </w:rPr>
        <w:t xml:space="preserve">18、电子磋商</w:t>
      </w:r>
      <w:bookmarkEnd w:id="105"/>
      <w:r/>
      <w:bookmarkEnd w:id="106"/>
      <w:r/>
      <w:bookmarkEnd w:id="107"/>
      <w:r/>
      <w:bookmarkEnd w:id="108"/>
      <w:r>
        <w:rPr>
          <w:rFonts w:hint="eastAsia" w:ascii="宋体" w:hAnsi="宋体" w:eastAsia="宋体" w:cs="宋体"/>
          <w:b/>
          <w:bCs/>
          <w:sz w:val="24"/>
          <w:szCs w:val="20"/>
        </w:rPr>
        <w:t xml:space="preserve">响应文件的递交</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18.1供应商应当按照《操作手册》规定，在提交响应文件截止时间前制作并上传电子响应文件。</w:t>
      </w:r>
      <w:bookmarkStart w:id="109" w:name="_Toc20823298"/>
      <w:r/>
      <w:bookmarkEnd w:id="109"/>
      <w:r/>
      <w:bookmarkStart w:id="110" w:name="_Toc16938542"/>
      <w:r/>
      <w:bookmarkEnd w:id="110"/>
      <w:r/>
      <w:bookmarkStart w:id="111" w:name="_Toc513029226"/>
      <w:r/>
      <w:r/>
    </w:p>
    <w:p>
      <w:pPr>
        <w:ind w:firstLine="482"/>
        <w:jc w:val="left"/>
        <w:spacing w:line="560" w:lineRule="exact"/>
        <w:widowControl/>
        <w:rPr>
          <w:rFonts w:ascii="宋体" w:hAnsi="宋体" w:eastAsia="宋体" w:cs="宋体"/>
          <w:sz w:val="24"/>
          <w:szCs w:val="20"/>
        </w:rPr>
      </w:pPr>
      <w:r>
        <w:rPr>
          <w:rFonts w:hint="eastAsia" w:ascii="宋体" w:hAnsi="宋体" w:eastAsia="宋体" w:cs="宋体"/>
          <w:b/>
          <w:bCs/>
          <w:sz w:val="24"/>
          <w:szCs w:val="20"/>
        </w:rPr>
        <w:t xml:space="preserve">19、提交响应文件截止时间</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i/>
          <w:iCs/>
          <w:sz w:val="24"/>
          <w:szCs w:val="20"/>
          <w:u w:val="single"/>
        </w:rPr>
        <w:t xml:space="preserve">19.1供应商上传电子响应文件的时间不得迟于磋商公告中规定的提交响应文件截止时间</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供应商应充分考虑到网络环境、网络带宽等风险因素，如因供应商自身原因造成的电子响应文件上传不成功的按照本磋商文件第二章第26.3.2条规定做无效响应处理。</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19.2 采购中心可以按照规定，通过修改磋商文件酌情延长提交响应文件截止日期，在此情况下，供应商的所有权利和义务以及供应商受制的截止日期均应以延长后新的截止日期为准。</w:t>
      </w:r>
      <w:r/>
    </w:p>
    <w:p>
      <w:pPr>
        <w:ind w:firstLine="482"/>
        <w:jc w:val="left"/>
        <w:spacing w:line="560" w:lineRule="exact"/>
        <w:widowControl/>
        <w:rPr>
          <w:rFonts w:ascii="宋体" w:hAnsi="宋体" w:eastAsia="宋体" w:cs="宋体"/>
          <w:b/>
          <w:bCs/>
          <w:sz w:val="24"/>
          <w:szCs w:val="20"/>
        </w:rPr>
      </w:pPr>
      <w:r/>
      <w:bookmarkStart w:id="112" w:name="_Toc513029227"/>
      <w:r/>
      <w:bookmarkStart w:id="113" w:name="_Toc20823299"/>
      <w:r/>
      <w:bookmarkStart w:id="114" w:name="_Toc16938543"/>
      <w:r>
        <w:rPr>
          <w:rFonts w:hint="eastAsia" w:ascii="宋体" w:hAnsi="宋体" w:eastAsia="宋体" w:cs="宋体"/>
          <w:b/>
          <w:bCs/>
          <w:sz w:val="24"/>
          <w:szCs w:val="20"/>
        </w:rPr>
        <w:t xml:space="preserve">20、响应文件</w:t>
      </w:r>
      <w:bookmarkEnd w:id="112"/>
      <w:r/>
      <w:bookmarkEnd w:id="113"/>
      <w:r/>
      <w:bookmarkEnd w:id="114"/>
      <w:r>
        <w:rPr>
          <w:rFonts w:hint="eastAsia" w:ascii="宋体" w:hAnsi="宋体" w:eastAsia="宋体" w:cs="宋体"/>
          <w:b/>
          <w:bCs/>
          <w:sz w:val="24"/>
          <w:szCs w:val="20"/>
        </w:rPr>
        <w:t xml:space="preserve">的拒收</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20.1 采购中心拒绝接收在其规定的提交响应文件截止时间后上传的任何电子响应文件。</w:t>
      </w:r>
      <w:r/>
    </w:p>
    <w:p>
      <w:pPr>
        <w:ind w:firstLine="482"/>
        <w:jc w:val="left"/>
        <w:spacing w:line="560" w:lineRule="exact"/>
        <w:widowControl/>
        <w:rPr>
          <w:rFonts w:ascii="宋体" w:hAnsi="宋体" w:eastAsia="宋体" w:cs="宋体"/>
          <w:b/>
          <w:bCs/>
          <w:sz w:val="24"/>
          <w:szCs w:val="20"/>
        </w:rPr>
      </w:pPr>
      <w:r/>
      <w:bookmarkStart w:id="115" w:name="_Toc16938544"/>
      <w:r/>
      <w:bookmarkStart w:id="116" w:name="_Toc20823300"/>
      <w:r/>
      <w:bookmarkStart w:id="117" w:name="_Toc513029228"/>
      <w:r>
        <w:rPr>
          <w:rFonts w:hint="eastAsia" w:ascii="宋体" w:hAnsi="宋体" w:eastAsia="宋体" w:cs="宋体"/>
          <w:b/>
          <w:bCs/>
          <w:sz w:val="24"/>
          <w:szCs w:val="20"/>
        </w:rPr>
        <w:t xml:space="preserve">21、响应文件的撤回和修改</w:t>
      </w:r>
      <w:bookmarkEnd w:id="115"/>
      <w:r/>
      <w:bookmarkEnd w:id="116"/>
      <w:r/>
      <w:bookmarkEnd w:id="117"/>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21.1响应文件的撤回</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21.1.1 电子响应文件的撤回</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供应商可在提交响应文件截止时间前，撤回其电子响应文件，具体操作方法见《操作手册》。</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21.1.2供应商撤回电子响应文件，则认为其不再参与本项目磋商活动。</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21.2响应文件的修改</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供应商可在提交响应文件截止时间前，对其电子响应文件进行修改，具体操作方法见《操作手册》。</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21.3 在提交响应文件截止时间之后，供应商不得对其电子响应文件作任何修改。</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21.4 在提交响应文件截止时间至磋商文件中规定的磋商有效期满之间的这段时间内，供应商不得撤回其响应文件。</w:t>
      </w:r>
      <w:r/>
    </w:p>
    <w:p>
      <w:pPr>
        <w:ind w:firstLine="482"/>
        <w:jc w:val="left"/>
        <w:spacing w:line="560" w:lineRule="exact"/>
        <w:widowControl/>
        <w:rPr>
          <w:rFonts w:ascii="宋体" w:hAnsi="宋体" w:eastAsia="宋体" w:cs="宋体"/>
          <w:b/>
          <w:bCs/>
          <w:sz w:val="24"/>
          <w:szCs w:val="20"/>
        </w:rPr>
      </w:pPr>
      <w:r/>
      <w:bookmarkStart w:id="118" w:name="_Toc513029229"/>
      <w:r/>
      <w:bookmarkStart w:id="119" w:name="_Toc16938545"/>
      <w:r/>
      <w:bookmarkStart w:id="120" w:name="_Toc20823301"/>
      <w:r/>
      <w:bookmarkStart w:id="121" w:name="_Toc120614218"/>
      <w:r>
        <w:rPr>
          <w:rFonts w:hint="eastAsia" w:ascii="宋体" w:hAnsi="宋体" w:eastAsia="宋体" w:cs="宋体"/>
          <w:b/>
          <w:bCs/>
          <w:sz w:val="24"/>
          <w:szCs w:val="20"/>
        </w:rPr>
        <w:t xml:space="preserve">五、响应文件的解密与评审</w:t>
      </w:r>
      <w:bookmarkEnd w:id="118"/>
      <w:r/>
      <w:bookmarkEnd w:id="119"/>
      <w:r/>
      <w:bookmarkEnd w:id="120"/>
      <w:r/>
      <w:bookmarkEnd w:id="121"/>
      <w:r/>
      <w:r/>
    </w:p>
    <w:p>
      <w:pPr>
        <w:ind w:firstLine="482"/>
        <w:jc w:val="left"/>
        <w:spacing w:line="560" w:lineRule="exact"/>
        <w:widowControl/>
        <w:rPr>
          <w:rFonts w:ascii="宋体" w:hAnsi="宋体" w:eastAsia="宋体" w:cs="宋体"/>
          <w:b/>
          <w:bCs/>
          <w:sz w:val="24"/>
          <w:szCs w:val="20"/>
        </w:rPr>
      </w:pPr>
      <w:r/>
      <w:bookmarkStart w:id="122" w:name="_Toc16938546"/>
      <w:r/>
      <w:bookmarkStart w:id="123" w:name="_Toc20823302"/>
      <w:r/>
      <w:bookmarkStart w:id="124" w:name="_Toc513029230"/>
      <w:r>
        <w:rPr>
          <w:rFonts w:hint="eastAsia" w:ascii="宋体" w:hAnsi="宋体" w:eastAsia="宋体" w:cs="宋体"/>
          <w:b/>
          <w:bCs/>
          <w:sz w:val="24"/>
          <w:szCs w:val="20"/>
        </w:rPr>
        <w:t xml:space="preserve">22、</w:t>
      </w:r>
      <w:bookmarkEnd w:id="122"/>
      <w:r/>
      <w:bookmarkEnd w:id="123"/>
      <w:r/>
      <w:bookmarkEnd w:id="124"/>
      <w:r>
        <w:rPr>
          <w:rFonts w:hint="eastAsia" w:ascii="宋体" w:hAnsi="宋体" w:eastAsia="宋体" w:cs="宋体"/>
          <w:b/>
          <w:bCs/>
          <w:sz w:val="24"/>
          <w:szCs w:val="20"/>
        </w:rPr>
        <w:t xml:space="preserve">响应文件解密</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22.1供应商应当按照《操作手册》规定，在苏采云系统规定的时间内对磋商响应文件进行解密。</w:t>
      </w:r>
      <w:r/>
    </w:p>
    <w:p>
      <w:pPr>
        <w:numPr>
          <w:ilvl w:val="0"/>
          <w:numId w:val="1"/>
        </w:numPr>
        <w:ind w:firstLine="482"/>
        <w:jc w:val="left"/>
        <w:spacing w:line="560" w:lineRule="exact"/>
        <w:widowControl/>
        <w:rPr>
          <w:rFonts w:ascii="宋体" w:hAnsi="宋体" w:eastAsia="宋体" w:cs="宋体"/>
          <w:b/>
          <w:bCs/>
          <w:sz w:val="24"/>
          <w:szCs w:val="20"/>
        </w:rPr>
      </w:pPr>
      <w:r/>
      <w:bookmarkStart w:id="125" w:name="_Toc513029231"/>
      <w:r/>
      <w:bookmarkStart w:id="126" w:name="_Toc20823303"/>
      <w:r/>
      <w:bookmarkStart w:id="127" w:name="_Toc16938547"/>
      <w:r>
        <w:rPr>
          <w:rFonts w:hint="eastAsia" w:ascii="宋体" w:hAnsi="宋体" w:eastAsia="宋体" w:cs="宋体"/>
          <w:b/>
          <w:bCs/>
          <w:sz w:val="24"/>
          <w:szCs w:val="20"/>
        </w:rPr>
        <w:t xml:space="preserve">磋商小组</w:t>
      </w:r>
      <w:bookmarkEnd w:id="125"/>
      <w:r/>
      <w:bookmarkEnd w:id="126"/>
      <w:r/>
      <w:bookmarkEnd w:id="127"/>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23.1采购中心将组织磋商小组对响应文件进行评审。磋商小组由采购人代表和有关技术、经济等方面的专家组成，且人员构成符合政府采购有关规定。</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23.2磋商小组独立工作，负责评审所有响应文件并确定成交候选人。</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24、评审过程的保密与公正</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24.1磋商小组、采购人和采购中心工作人员、相关监督人员等与评审工作有关的人员，对评审情况以及在评审过程中获悉的国家秘密、商业秘密负有保密责任。</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24.2在评审过程中，供应商不得以任何行为影响磋商评审过程，否则其响应文件将被视为无效响应文件。</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24.3在项目评审期间，采购中心将设专门人员与供应商联系。</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24.4 采购中心和磋商小组不向未成交的供应商解释未成交原因，也不公布评审过程中的相关细节。</w:t>
      </w:r>
      <w:r/>
    </w:p>
    <w:p>
      <w:pPr>
        <w:ind w:firstLine="482"/>
        <w:jc w:val="left"/>
        <w:spacing w:line="560" w:lineRule="exact"/>
        <w:widowControl/>
        <w:rPr>
          <w:rFonts w:ascii="宋体" w:hAnsi="宋体" w:eastAsia="宋体" w:cs="宋体"/>
          <w:b/>
          <w:bCs/>
          <w:sz w:val="24"/>
          <w:szCs w:val="20"/>
        </w:rPr>
      </w:pPr>
      <w:r/>
      <w:bookmarkStart w:id="128" w:name="_Toc16938548"/>
      <w:r/>
      <w:bookmarkStart w:id="129" w:name="_Toc20823304"/>
      <w:r/>
      <w:bookmarkStart w:id="130" w:name="_Toc513029232"/>
      <w:r>
        <w:rPr>
          <w:rFonts w:hint="eastAsia" w:ascii="宋体" w:hAnsi="宋体" w:eastAsia="宋体" w:cs="宋体"/>
          <w:b/>
          <w:bCs/>
          <w:sz w:val="24"/>
          <w:szCs w:val="20"/>
        </w:rPr>
        <w:t xml:space="preserve">25、评审过程中的澄清</w:t>
      </w:r>
      <w:bookmarkEnd w:id="128"/>
      <w:r/>
      <w:bookmarkEnd w:id="129"/>
      <w:r/>
      <w:bookmarkEnd w:id="130"/>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磋商小组并非对每个供应商都作澄清要求。</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25.3 接到磋商小组澄清、说明和更正要求的供应商如未按规定作出澄清、说明和 更正，其风险由供应商自行承担。</w:t>
      </w:r>
      <w:r/>
    </w:p>
    <w:p>
      <w:pPr>
        <w:ind w:firstLine="482"/>
        <w:jc w:val="left"/>
        <w:spacing w:line="560" w:lineRule="exact"/>
        <w:widowControl/>
        <w:rPr>
          <w:rFonts w:ascii="宋体" w:hAnsi="宋体" w:eastAsia="宋体" w:cs="宋体"/>
          <w:b/>
          <w:bCs/>
          <w:sz w:val="24"/>
          <w:szCs w:val="20"/>
        </w:rPr>
      </w:pPr>
      <w:r/>
      <w:bookmarkStart w:id="131" w:name="_Toc513029233"/>
      <w:r/>
      <w:bookmarkStart w:id="132" w:name="_Toc20823305"/>
      <w:r/>
      <w:bookmarkStart w:id="133" w:name="_Toc16938549"/>
      <w:r>
        <w:rPr>
          <w:rFonts w:hint="eastAsia" w:ascii="宋体" w:hAnsi="宋体" w:eastAsia="宋体" w:cs="宋体"/>
          <w:b/>
          <w:bCs/>
          <w:sz w:val="24"/>
          <w:szCs w:val="20"/>
        </w:rPr>
        <w:t xml:space="preserve">26、对响应文件的审</w:t>
      </w:r>
      <w:bookmarkEnd w:id="131"/>
      <w:r/>
      <w:bookmarkEnd w:id="132"/>
      <w:r/>
      <w:bookmarkEnd w:id="133"/>
      <w:r>
        <w:rPr>
          <w:rFonts w:hint="eastAsia" w:ascii="宋体" w:hAnsi="宋体" w:eastAsia="宋体" w:cs="宋体"/>
          <w:b/>
          <w:bCs/>
          <w:sz w:val="24"/>
          <w:szCs w:val="20"/>
        </w:rPr>
        <w:t xml:space="preserve">查</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26.1响应文件审查分为资格审查和符合性审查。</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26.1.1 资格审查：由磋商小组依据法律法规和磋商文件的规定，对响应文件中的资格证明文件进行审查，以确定供应商是否具备参加磋商的资格。</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磋商小组在进行资格审查的同时，将在“信用中国”网站（www.creditchina.gov.cn）查询供应商的信用记录，以确定供应商是否具备磋商资格,查询结果留存并归档。</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26.1.2 符合性审查：依据磋商文件的规定，由磋商小组从响应文件的有效性、完整性和对磋商文件的响应程度进行审查，以确定是否对磋商文件的实质性要求作出响应。</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26.3未实质性响应磋商文件的情形</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26.3.1供应商在苏采云系统规定的时间内未成功解密电子响应文件的。</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26.3.2供应商未按照磋商文件要求上传电子响应文件的。</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26.3.3同一供应商提交两个（含两个）以上不同的响应文件或者最后报价的。</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26.3.4供应商不具备磋商文件中规定资格要求的。</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26.3.5供应商的最后报价超过了采购预算。</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26.3.6不符合磋商文件中规定的实质性要求和条件的（</w:t>
      </w:r>
      <w:r>
        <w:rPr>
          <w:rFonts w:hint="eastAsia" w:ascii="宋体" w:hAnsi="宋体" w:eastAsia="宋体" w:cs="宋体"/>
          <w:i/>
          <w:iCs/>
          <w:sz w:val="24"/>
          <w:szCs w:val="20"/>
          <w:u w:val="single"/>
        </w:rPr>
        <w:t xml:space="preserve">本磋商文件中斜体且有下划线部分为实质性要求和条件</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26.3.8响应文件含有采购人不能接受的附加条件的。</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26.3.10供应商不能证明其报价合理性的，磋商小组应当将其作为无效响应处理。</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（一）评审过程中出现下列情形之一的，磋商小组应当启动异常低价响应审查程序：</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u w:val="single"/>
        </w:rPr>
        <w:t xml:space="preserve">提醒：采购人可以结合具体项目实际情况，提高上述第1项至第3项中启动异常低价投标（响应）审查的数值标准，但是最高不得超过65%</w:t>
      </w:r>
      <w:r>
        <w:rPr>
          <w:rFonts w:hint="eastAsia" w:ascii="宋体" w:hAnsi="宋体" w:eastAsia="Arial" w:cs="宋体"/>
          <w:b/>
          <w:bCs/>
          <w:color w:val="auto"/>
          <w:sz w:val="24"/>
          <w:szCs w:val="20"/>
        </w:rPr>
        <w:t xml:space="preserve">。</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相关法律法规对供应商报价有规定的，从其规定。</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26.3.11响应文件未按照磋商文件要求加盖CA电子公章的。</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26.4未实质性响应磋商文件的响应文件按无效响应处理。</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26.5如果响应文件实质上没有响应磋商文件的要求，磋商小组将予以拒绝，供应商不得通过修改或撤销不符合要求的偏离或保留而使其成为实质性响应的文件。</w:t>
      </w:r>
      <w:r/>
    </w:p>
    <w:p>
      <w:pPr>
        <w:ind w:firstLine="482"/>
        <w:jc w:val="left"/>
        <w:spacing w:line="560" w:lineRule="exact"/>
        <w:widowControl/>
        <w:rPr>
          <w:rFonts w:ascii="宋体" w:hAnsi="宋体" w:eastAsia="宋体" w:cs="宋体"/>
          <w:sz w:val="24"/>
          <w:szCs w:val="20"/>
        </w:rPr>
      </w:pPr>
      <w:r/>
      <w:bookmarkStart w:id="134" w:name="_Toc20823306"/>
      <w:r/>
      <w:bookmarkStart w:id="135" w:name="_Toc16938550"/>
      <w:r/>
      <w:bookmarkStart w:id="136" w:name="_Toc513029234"/>
      <w:r>
        <w:rPr>
          <w:rFonts w:hint="eastAsia" w:ascii="宋体" w:hAnsi="宋体" w:eastAsia="宋体" w:cs="宋体"/>
          <w:sz w:val="24"/>
          <w:szCs w:val="20"/>
        </w:rPr>
        <w:t xml:space="preserve">26.6供应商在项目评审全过程中应保持通信畅通，并安排专人与采购中心及磋商小组联系。</w:t>
      </w:r>
      <w:bookmarkEnd w:id="134"/>
      <w:r/>
      <w:bookmarkEnd w:id="135"/>
      <w:r/>
      <w:bookmarkEnd w:id="136"/>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27、磋商程序及评审方法和评审标准</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27.1磋商程序</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2"/>
        <w:jc w:val="left"/>
        <w:spacing w:line="560" w:lineRule="exact"/>
        <w:widowControl/>
        <w:rPr>
          <w:rFonts w:ascii="宋体" w:hAnsi="宋体" w:eastAsia="宋体" w:cs="宋体"/>
          <w:b/>
          <w:bCs/>
          <w:sz w:val="24"/>
          <w:szCs w:val="20"/>
        </w:rPr>
      </w:pPr>
      <w:r/>
      <w:bookmarkStart w:id="137" w:name="_Toc513029235"/>
      <w:r/>
      <w:bookmarkStart w:id="138" w:name="_Toc16938551"/>
      <w:r/>
      <w:bookmarkStart w:id="139" w:name="_Toc20823307"/>
      <w:r/>
      <w:bookmarkStart w:id="140" w:name="_Toc120614219"/>
      <w:r>
        <w:rPr>
          <w:rFonts w:hint="eastAsia" w:ascii="宋体" w:hAnsi="宋体" w:eastAsia="宋体" w:cs="宋体"/>
          <w:b/>
          <w:bCs/>
          <w:sz w:val="24"/>
          <w:szCs w:val="20"/>
        </w:rPr>
        <w:t xml:space="preserve">六、</w:t>
      </w:r>
      <w:bookmarkEnd w:id="137"/>
      <w:r/>
      <w:bookmarkEnd w:id="138"/>
      <w:r/>
      <w:bookmarkEnd w:id="139"/>
      <w:r/>
      <w:bookmarkEnd w:id="140"/>
      <w:r>
        <w:rPr>
          <w:rFonts w:hint="eastAsia" w:ascii="宋体" w:hAnsi="宋体" w:eastAsia="宋体" w:cs="宋体"/>
          <w:b/>
          <w:bCs/>
          <w:sz w:val="24"/>
          <w:szCs w:val="20"/>
        </w:rPr>
        <w:t xml:space="preserve">成交</w:t>
      </w:r>
      <w:r/>
    </w:p>
    <w:p>
      <w:pPr>
        <w:ind w:firstLine="482"/>
        <w:jc w:val="left"/>
        <w:spacing w:line="560" w:lineRule="exact"/>
        <w:widowControl/>
        <w:rPr>
          <w:rFonts w:ascii="宋体" w:hAnsi="宋体" w:eastAsia="宋体" w:cs="宋体"/>
          <w:b/>
          <w:bCs/>
          <w:sz w:val="24"/>
          <w:szCs w:val="20"/>
        </w:rPr>
      </w:pPr>
      <w:r/>
      <w:bookmarkStart w:id="141" w:name="_Toc20823310"/>
      <w:r/>
      <w:bookmarkStart w:id="142" w:name="_Toc16938554"/>
      <w:r/>
      <w:bookmarkStart w:id="143" w:name="_Toc513029238"/>
      <w:r>
        <w:rPr>
          <w:rFonts w:hint="eastAsia" w:ascii="宋体" w:hAnsi="宋体" w:eastAsia="宋体" w:cs="宋体"/>
          <w:b/>
          <w:bCs/>
          <w:sz w:val="24"/>
          <w:szCs w:val="20"/>
        </w:rPr>
        <w:t xml:space="preserve">28、</w:t>
      </w:r>
      <w:bookmarkEnd w:id="141"/>
      <w:r>
        <w:rPr>
          <w:rFonts w:hint="eastAsia" w:ascii="宋体" w:hAnsi="宋体" w:eastAsia="宋体" w:cs="宋体"/>
          <w:b/>
          <w:bCs/>
          <w:sz w:val="24"/>
          <w:szCs w:val="20"/>
        </w:rPr>
        <w:t xml:space="preserve">确定</w:t>
      </w:r>
      <w:bookmarkEnd w:id="142"/>
      <w:r/>
      <w:bookmarkEnd w:id="143"/>
      <w:r>
        <w:rPr>
          <w:rFonts w:hint="eastAsia" w:ascii="宋体" w:hAnsi="宋体" w:eastAsia="宋体" w:cs="宋体"/>
          <w:b/>
          <w:bCs/>
          <w:sz w:val="24"/>
          <w:szCs w:val="20"/>
        </w:rPr>
        <w:t xml:space="preserve">成交单位</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28.2采购人从评审报告提出的成交候选供应商中，按照排序由高到低的原则确定成交供应商。采购人确定成交供应商后，采购中心将在“中国政府采购网”“江苏政府采购网”“盐城市政府采购网”发布成交结果公告，公告期限为1个工作日。</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28.3若有充分证据证明，成交供应商出现下列情况之一的，一经查实，将被取消成交资格：</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28.3.1提供虚假材料谋取成交的。</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28.3.2与评审专家、采购人、其他供应商或者采购中心工作人员恶意串通的。</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28.3.3向评审专家、采购人或采购中心工作人员行贿或者提供其他不正当利益的。</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28.3.4恶意竞争，最后报价明显低于其自身合理成本且又无法提供证明的。</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28.3.5不满足本磋商文件规定的实质性要求，但在评审过程中又未被磋商小组发现的。</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28.3.6成交后无正当理由拒不与采购人签订政府采购合同或者未按照磋商文件确定的事项签订政府采购合同的。</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28.3.7将政府采购合同转包的。</w:t>
      </w:r>
      <w:r/>
    </w:p>
    <w:p>
      <w:pPr>
        <w:ind w:firstLine="482"/>
        <w:jc w:val="left"/>
        <w:spacing w:line="560" w:lineRule="exact"/>
        <w:widowControl/>
        <w:rPr>
          <w:rFonts w:ascii="宋体" w:hAnsi="宋体" w:eastAsia="宋体" w:cs="宋体"/>
          <w:b/>
          <w:bCs/>
          <w:sz w:val="24"/>
          <w:szCs w:val="20"/>
        </w:rPr>
      </w:pPr>
      <w:r/>
      <w:bookmarkStart w:id="144" w:name="_Toc200451960"/>
      <w:r>
        <w:rPr>
          <w:rFonts w:hint="eastAsia" w:ascii="宋体" w:hAnsi="宋体" w:eastAsia="宋体" w:cs="宋体"/>
          <w:b/>
          <w:bCs/>
          <w:sz w:val="24"/>
          <w:szCs w:val="20"/>
        </w:rPr>
        <w:t xml:space="preserve">29、质疑处理</w:t>
      </w:r>
      <w:bookmarkEnd w:id="144"/>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29.1 提出质疑的供应商应当是参与所质疑项目采购活动的供应商。潜在供应商依法获取其可质疑的磋商文件的，可以对磋商文件提出质疑。</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29.2供应商认为磋商文件、磋商过程和磋商结果使自己的权益受到损害的，可以在知道或应知其权益受到损害之日起七个工作日内，以书面形式根据下述29.4条款的规定向采购中心或采购人提出质疑。上述应知其权益受到损害之日，是指：</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29.2.1对可以质疑的磋商文件提出质疑的，为收到磋商文件之日或者磋商文件公告期限届满之日。</w:t>
      </w:r>
      <w:r>
        <w:rPr>
          <w:rFonts w:hint="eastAsia" w:ascii="宋体" w:hAnsi="宋体" w:eastAsia="宋体" w:cs="宋体"/>
          <w:sz w:val="24"/>
          <w:szCs w:val="20"/>
        </w:rPr>
        <w:br/>
      </w:r>
      <w:r>
        <w:rPr>
          <w:rFonts w:hint="eastAsia" w:ascii="宋体" w:hAnsi="宋体" w:eastAsia="宋体" w:cs="宋体"/>
          <w:sz w:val="24"/>
          <w:szCs w:val="20"/>
        </w:rPr>
        <w:t xml:space="preserve">   29.2.2对磋商过程提出质疑的，为各采购程序环节结束之日。</w:t>
      </w:r>
      <w:r>
        <w:rPr>
          <w:rFonts w:hint="eastAsia" w:ascii="宋体" w:hAnsi="宋体" w:eastAsia="宋体" w:cs="宋体"/>
          <w:sz w:val="24"/>
          <w:szCs w:val="20"/>
        </w:rPr>
        <w:br/>
      </w:r>
      <w:r>
        <w:rPr>
          <w:rFonts w:hint="eastAsia" w:ascii="宋体" w:hAnsi="宋体" w:eastAsia="宋体" w:cs="宋体"/>
          <w:sz w:val="24"/>
          <w:szCs w:val="20"/>
        </w:rPr>
        <w:t xml:space="preserve">   29.2.3对成交结果提出质疑的，为成交结果公告期限届满之日。</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b/>
          <w:bCs/>
          <w:sz w:val="24"/>
          <w:szCs w:val="20"/>
        </w:rPr>
        <w:t xml:space="preserve">29.4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采购人及采购中心只接收以纸质原件形式送达的质疑,采购人和采购中心不接受未填写快递运单的快件。质疑接收部门为公共资源交易中心业务受理处，联系地址：盐城市府西路1号市公共资源交易中心</w:t>
      </w:r>
      <w:r>
        <w:rPr>
          <w:rFonts w:hint="eastAsia" w:ascii="宋体" w:hAnsi="宋体" w:eastAsia="宋体" w:cs="宋体"/>
          <w:sz w:val="24"/>
          <w:szCs w:val="20"/>
          <w:lang w:val="en-US" w:eastAsia="zh-CN"/>
        </w:rPr>
        <w:t xml:space="preserve">412室</w:t>
      </w:r>
      <w:r>
        <w:rPr>
          <w:rFonts w:hint="eastAsia" w:ascii="宋体" w:hAnsi="宋体" w:eastAsia="宋体" w:cs="宋体"/>
          <w:sz w:val="24"/>
          <w:szCs w:val="20"/>
        </w:rPr>
        <w:t xml:space="preserve">，联系电话：0515-69083522。</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29.5 以下情形的质疑不予受理</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29.5.1 内容不符合《政府采购质疑和投诉办法》第十二条规定的质疑。</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29.5.2 超出政府采购法定期限的质疑。</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29.5.3 以传真、电子邮件等方式递交的非原件形式的质疑。</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29.5.4 未参加磋商活动的供应商或在磋商活动中自身权益未受到损害的供应商所提出的质疑。</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29.5.5供应商组成联合体参加磋商，联合体中任何一方或多方未按要求签字、盖章、加盖公章的质疑。</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30、成交通知书</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jc w:val="left"/>
        <w:spacing w:line="560" w:lineRule="exact"/>
        <w:widowControl/>
        <w:rPr>
          <w:rFonts w:ascii="宋体" w:hAnsi="宋体" w:eastAsia="宋体" w:cs="宋体"/>
          <w:b/>
          <w:bCs/>
          <w:sz w:val="24"/>
          <w:szCs w:val="20"/>
        </w:rPr>
      </w:pPr>
      <w:r/>
      <w:bookmarkStart w:id="145" w:name="_Toc20823308"/>
      <w:r/>
      <w:bookmarkStart w:id="146" w:name="_Toc513029236"/>
      <w:r/>
      <w:bookmarkStart w:id="147" w:name="_Toc16938552"/>
      <w:r/>
      <w:bookmarkStart w:id="148" w:name="_Toc120614220"/>
      <w:r>
        <w:rPr>
          <w:rFonts w:hint="eastAsia" w:ascii="宋体" w:hAnsi="宋体" w:eastAsia="宋体" w:cs="宋体"/>
          <w:b/>
          <w:bCs/>
          <w:sz w:val="24"/>
          <w:szCs w:val="20"/>
        </w:rPr>
        <w:t xml:space="preserve">七、授予合同</w:t>
      </w:r>
      <w:bookmarkEnd w:id="145"/>
      <w:r/>
      <w:bookmarkEnd w:id="146"/>
      <w:r/>
      <w:bookmarkEnd w:id="147"/>
      <w:r/>
      <w:bookmarkEnd w:id="148"/>
      <w:r/>
      <w:r/>
    </w:p>
    <w:p>
      <w:pPr>
        <w:ind w:firstLine="482"/>
        <w:jc w:val="left"/>
        <w:spacing w:line="560" w:lineRule="exact"/>
        <w:widowControl/>
        <w:rPr>
          <w:rFonts w:ascii="宋体" w:hAnsi="宋体" w:eastAsia="宋体" w:cs="宋体"/>
          <w:b/>
          <w:bCs/>
          <w:sz w:val="24"/>
          <w:szCs w:val="20"/>
        </w:rPr>
      </w:pPr>
      <w:r/>
      <w:bookmarkStart w:id="149" w:name="_Toc16938553"/>
      <w:r/>
      <w:bookmarkStart w:id="150" w:name="_Toc513029237"/>
      <w:r/>
      <w:bookmarkStart w:id="151" w:name="_Toc20823309"/>
      <w:r>
        <w:rPr>
          <w:rFonts w:hint="eastAsia" w:ascii="宋体" w:hAnsi="宋体" w:eastAsia="宋体" w:cs="宋体"/>
          <w:b/>
          <w:bCs/>
          <w:sz w:val="24"/>
          <w:szCs w:val="20"/>
        </w:rPr>
        <w:t xml:space="preserve">31、签订合同</w:t>
      </w:r>
      <w:bookmarkEnd w:id="149"/>
      <w:r/>
      <w:bookmarkEnd w:id="150"/>
      <w:r/>
      <w:bookmarkEnd w:id="151"/>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31.l成交供应商应当在成交通知书发出之日起三十日内，按照磋商文件确定的事项与采购人签订政府采购合同。</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31.2磋商文件、成交供应商的响应文件及磋商过程中有关澄清、承诺文件均应作为合同附件。</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31.3 签订合同后，</w:t>
      </w:r>
      <w:r>
        <w:rPr>
          <w:rFonts w:hint="eastAsia" w:ascii="宋体" w:hAnsi="宋体" w:eastAsia="宋体" w:cs="宋体"/>
          <w:i/>
          <w:iCs/>
          <w:sz w:val="24"/>
          <w:szCs w:val="20"/>
          <w:u w:val="single"/>
        </w:rPr>
        <w:t xml:space="preserve">成交供应商不得将合同标的进行转包</w:t>
      </w:r>
      <w:r>
        <w:rPr>
          <w:rFonts w:hint="eastAsia" w:ascii="宋体" w:hAnsi="宋体" w:eastAsia="宋体" w:cs="宋体"/>
          <w:sz w:val="24"/>
          <w:szCs w:val="20"/>
        </w:rPr>
        <w:t xml:space="preserve">。未经采购人同意，成交供应商也不得采用分包形式履行合同,否则采购人有权终止合同。转包或分包造成采购人损失的，成交供应商应承担相应赔偿责任。</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32、标的物的追加</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33、政府采购政策功能落实</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33.1政府采购线上合同信用融资政策</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33.2进口产品</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33.3中小企业、监狱企业及残疾人福利性单位</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33.3.1中小企业定义：</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中小企业</w:t>
      </w:r>
      <w:r>
        <w:rPr>
          <w:rFonts w:hint="eastAsia" w:ascii="宋体" w:hAnsi="宋体" w:eastAsia="宋体" w:cs="宋体"/>
          <w:sz w:val="24"/>
          <w:szCs w:val="20"/>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33.3.2供应商提供的货物、工程或者服务符合下列情形的，享受中小企业扶持政策：</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33.3.2.1在货物采购项目中，货物由中小企业制造，即货物由中小企业生产且使用该中小企业商号或者注册商标；</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33.3.2.2在工程采购项目中，工程由中小企业承建，即工程施工单位为中小企业；</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33.3.2.3在服务采购项目中，服务由中小企业承接，即提供服务的人员为中小企业依照《中华人民共和国劳动合同法》订立劳动合同的从业人员。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33.3.3在货物采购项目中，供应商提供的货物既有中小企业制造货物，也有大型企业制造货物的，不享受中小企业扶持政策。</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33.3.4以联合体形式参加政府采购活动，联合体各方均为中小企业的，联合体视同中小企业。其中，联合体各方均为小微企业的，联合体视同小微企业。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33.3.6残疾人福利单位定义：享受政府采购支持政策的残疾人福利性单位应当同时满足以下条件：</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33.3.6.1安置的残疾人占本单位在职职工人数的比例不低于25%（含25%），并且安置的残疾人人数不少于10 人（含10 人）；</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33.3.6.2依法与安置的每位残疾人签订了一年以上（含一年）的劳动合同或服务协议；</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33.3.6.3为安置的每位残疾人按月足额缴纳了基本养老保险、基本医疗保险、失业保险、工伤保险和生育保险等社会保险费；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33.3.6.4通过银行等金融机构向安置的每位残疾人，按月支付了不低于单位所在区县适用的经省级人民政府批准的月最低工资标准的工资；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33.3.7本项目是否专门面向中小企业预留采购份额见第一章《竞争性磋商公告》。</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33.3.8采购标的对应的中小企业划分标准所属行业见第四章《采购需求》。</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33.3.9小微企业价格评审优惠的政策：见第五章《评标方法和评标标准》。</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33.4政府采购节能产品、环境标志产品</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0"/>
          <w:u w:val="single"/>
        </w:rPr>
        <w:t xml:space="preserve">如属政府强制采购产品未提供认证证书的或认证证书提供不全的将视为未实质性响应采购要求</w:t>
      </w:r>
      <w:r>
        <w:rPr>
          <w:rFonts w:hint="eastAsia" w:ascii="宋体" w:hAnsi="宋体" w:eastAsia="宋体"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33.5绿色包装</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33.6政府采购创新产品</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采购人优先采购各级政府部门公开发布的有效期内的创新产品、创新服务、首台套、首购首用等《目录》的创新产品。</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33.7绿色数据中心政策 </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本文件中若涉及到数据中心采购，采购人应依据《绿色数据中心政府采购需求标准（试行）》（财办库〔2023〕7号）文件精神</w:t>
      </w:r>
      <w:r>
        <w:rPr>
          <w:rFonts w:hint="eastAsia" w:ascii="宋体" w:hAnsi="宋体" w:eastAsia="宋体" w:cs="宋体"/>
          <w:sz w:val="24"/>
          <w:szCs w:val="2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宋体" w:cs="宋体"/>
          <w:b/>
          <w:bCs/>
          <w:color w:val="auto"/>
          <w:sz w:val="24"/>
          <w:szCs w:val="20"/>
        </w:rPr>
      </w:pPr>
      <w:r>
        <w:rPr>
          <w:rFonts w:hint="eastAsia" w:ascii="宋体" w:hAnsi="宋体" w:eastAsia="宋体" w:cs="宋体"/>
          <w:b/>
          <w:bCs/>
          <w:color w:val="auto"/>
          <w:sz w:val="24"/>
          <w:szCs w:val="20"/>
        </w:rPr>
        <w:t xml:space="preserve">33.8实施本国产品标准及相关政策</w:t>
      </w:r>
      <w:r/>
    </w:p>
    <w:p>
      <w:pPr>
        <w:ind w:firstLine="482"/>
        <w:jc w:val="left"/>
        <w:spacing w:line="560" w:lineRule="exact"/>
        <w:widowControl/>
        <w:rPr>
          <w:rFonts w:ascii="宋体" w:hAnsi="宋体" w:eastAsia="宋体" w:cs="宋体"/>
          <w:b/>
          <w:bCs/>
          <w:color w:val="auto"/>
          <w:sz w:val="24"/>
          <w:szCs w:val="20"/>
        </w:rPr>
      </w:pPr>
      <w:r>
        <w:rPr>
          <w:rFonts w:hint="eastAsia" w:ascii="宋体" w:hAnsi="宋体" w:eastAsia="宋体" w:cs="宋体"/>
          <w:b/>
          <w:bCs/>
          <w:color w:val="auto"/>
          <w:sz w:val="24"/>
          <w:szCs w:val="20"/>
        </w:rPr>
        <w:t xml:space="preserve">1.本项目对采购本国产品给予政策支持，具体内容见招标文件“第五章 评标方法与评标标准”。</w:t>
      </w:r>
      <w:r/>
    </w:p>
    <w:p>
      <w:pPr>
        <w:ind w:firstLine="482"/>
        <w:jc w:val="left"/>
        <w:spacing w:line="560" w:lineRule="exact"/>
        <w:widowControl/>
        <w:rPr>
          <w:rFonts w:ascii="宋体" w:hAnsi="宋体" w:eastAsia="宋体" w:cs="宋体"/>
          <w:b/>
          <w:bCs/>
          <w:color w:val="auto"/>
          <w:sz w:val="24"/>
          <w:szCs w:val="20"/>
        </w:rPr>
      </w:pPr>
      <w:r>
        <w:rPr>
          <w:rFonts w:hint="eastAsia" w:ascii="宋体" w:hAnsi="宋体" w:eastAsia="宋体" w:cs="宋体"/>
          <w:b/>
          <w:bCs/>
          <w:color w:val="auto"/>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宋体" w:cs="宋体"/>
          <w:b/>
          <w:bCs/>
          <w:color w:val="auto"/>
          <w:sz w:val="24"/>
          <w:szCs w:val="20"/>
        </w:rPr>
      </w:pPr>
      <w:r>
        <w:rPr>
          <w:rFonts w:hint="eastAsia" w:ascii="宋体" w:hAnsi="宋体" w:eastAsia="宋体" w:cs="宋体"/>
          <w:b/>
          <w:bCs/>
          <w:color w:val="auto"/>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宋体" w:cs="宋体"/>
          <w:b/>
          <w:bCs/>
          <w:color w:val="auto"/>
          <w:sz w:val="24"/>
          <w:szCs w:val="20"/>
        </w:rPr>
      </w:pPr>
      <w:r>
        <w:rPr>
          <w:rFonts w:hint="eastAsia" w:ascii="宋体" w:hAnsi="宋体" w:eastAsia="宋体" w:cs="宋体"/>
          <w:b/>
          <w:bCs/>
          <w:color w:val="auto"/>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auto"/>
          <w:sz w:val="24"/>
          <w:szCs w:val="20"/>
        </w:rPr>
        <w:t xml:space="preserve">。</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33.9履约保证金政策</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确需收取履约保证金的，履约保证金的缴纳形式：</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b/>
          <w:bCs/>
          <w:sz w:val="24"/>
          <w:szCs w:val="20"/>
        </w:rPr>
        <w:t xml:space="preserve">免收履约保证金</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34、预付款制度</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本项目落实预付款制度，预付款比例为30%。在签订合同时，中标、成交供应商明确书面表示无需预付款或者主动要求降低预付款比例的，采购人可就预付款比例作相应调整。</w:t>
      </w:r>
      <w:r/>
    </w:p>
    <w:p>
      <w:pPr>
        <w:pStyle w:val="877"/>
        <w:ind w:left="0" w:firstLine="560"/>
        <w:spacing w:after="0" w:line="520" w:lineRule="exact"/>
        <w:rPr>
          <w:rFonts w:ascii="宋体" w:hAnsi="宋体" w:eastAsia="宋体" w:cs="宋体"/>
          <w:sz w:val="24"/>
        </w:rPr>
      </w:pPr>
      <w:r>
        <w:rPr>
          <w:rFonts w:ascii="宋体" w:hAnsi="宋体" w:eastAsia="宋体" w:cs="宋体"/>
          <w:sz w:val="24"/>
        </w:rPr>
      </w:r>
      <w:r/>
    </w:p>
    <w:p>
      <w:pPr>
        <w:pStyle w:val="868"/>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rPr>
          <w:rFonts w:ascii="黑体" w:hAnsi="宋体" w:eastAsia="黑体" w:cs="黑体"/>
          <w:sz w:val="44"/>
          <w:szCs w:val="44"/>
        </w:rPr>
      </w:pPr>
      <w:r>
        <w:rPr>
          <w:rFonts w:hint="eastAsia" w:ascii="黑体" w:hAnsi="宋体" w:eastAsia="黑体" w:cs="黑体"/>
          <w:sz w:val="44"/>
          <w:szCs w:val="44"/>
        </w:rPr>
        <w:br w:type="page" w:clear="all"/>
      </w:r>
      <w:r/>
    </w:p>
    <w:p>
      <w:pPr>
        <w:pStyle w:val="868"/>
        <w:ind w:firstLine="2640"/>
        <w:jc w:val="both"/>
        <w:keepNext/>
        <w:spacing w:beforeAutospacing="0" w:afterAutospacing="0"/>
      </w:pPr>
      <w:r>
        <w:rPr>
          <w:rFonts w:hint="eastAsia" w:ascii="黑体" w:hAnsi="宋体" w:eastAsia="黑体" w:cs="黑体"/>
          <w:sz w:val="44"/>
          <w:szCs w:val="44"/>
        </w:rPr>
        <w:t xml:space="preserve">第三章</w:t>
      </w:r>
      <w:r>
        <w:rPr>
          <w:rFonts w:hint="eastAsia" w:ascii="黑体" w:hAnsi="宋体" w:eastAsia="黑体" w:cs="黑体"/>
          <w:sz w:val="44"/>
          <w:szCs w:val="44"/>
          <w:lang w:val="en-US" w:eastAsia="zh-CN"/>
        </w:rPr>
        <w:t xml:space="preserve"> </w:t>
      </w:r>
      <w:r>
        <w:rPr>
          <w:rFonts w:hint="eastAsia" w:ascii="黑体" w:hAnsi="宋体" w:eastAsia="黑体" w:cs="黑体"/>
          <w:sz w:val="44"/>
          <w:szCs w:val="44"/>
        </w:rPr>
        <w:t xml:space="preserve">合同文本</w:t>
      </w:r>
      <w:r/>
    </w:p>
    <w:p>
      <w:pPr>
        <w:jc w:val="center"/>
        <w:spacing w:line="560" w:lineRule="exact"/>
        <w:widowControl/>
        <w:rPr>
          <w:rFonts w:ascii="宋体" w:hAnsi="宋体" w:eastAsia="宋体" w:cs="宋体"/>
          <w:sz w:val="24"/>
          <w:szCs w:val="20"/>
        </w:rPr>
      </w:pPr>
      <w:r/>
      <w:bookmarkStart w:id="152" w:name="_Toc513029243"/>
      <w:r/>
      <w:bookmarkStart w:id="153" w:name="_Toc20823315"/>
      <w:r/>
      <w:bookmarkStart w:id="154" w:name="_Toc16938559"/>
      <w:r>
        <w:rPr>
          <w:rFonts w:hint="eastAsia" w:ascii="宋体" w:hAnsi="宋体" w:eastAsia="宋体" w:cs="宋体"/>
          <w:sz w:val="24"/>
          <w:szCs w:val="20"/>
        </w:rPr>
        <w:t xml:space="preserve">以下为成交后签订本项目合同的通用条款，成交供应商不得提出实质性的修改。</w:t>
      </w:r>
      <w:bookmarkEnd w:id="152"/>
      <w:r/>
      <w:bookmarkEnd w:id="153"/>
      <w:r/>
      <w:bookmarkEnd w:id="154"/>
      <w:r/>
      <w:r/>
    </w:p>
    <w:p>
      <w:pPr>
        <w:ind w:firstLine="482"/>
        <w:jc w:val="center"/>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盐城市政府采购合同（合同编号）</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项目名称：盐城市12345平台呼叫中心服务项目</w:t>
      </w:r>
      <w:r/>
    </w:p>
    <w:p>
      <w:pPr>
        <w:ind w:firstLine="482"/>
        <w:jc w:val="left"/>
        <w:spacing w:line="560" w:lineRule="exact"/>
        <w:widowControl/>
        <w:rPr>
          <w:rFonts w:hint="eastAsia" w:ascii="宋体" w:hAnsi="宋体" w:eastAsia="宋体" w:cs="宋体"/>
          <w:sz w:val="24"/>
          <w:szCs w:val="20"/>
          <w:lang w:eastAsia="zh-CN"/>
        </w:rPr>
      </w:pPr>
      <w:r>
        <w:rPr>
          <w:rFonts w:hint="eastAsia" w:ascii="宋体" w:hAnsi="宋体" w:eastAsia="宋体" w:cs="宋体"/>
          <w:sz w:val="24"/>
          <w:szCs w:val="20"/>
        </w:rPr>
        <w:t xml:space="preserve">项目编号：</w:t>
      </w:r>
      <w:r>
        <w:rPr>
          <w:rFonts w:hint="eastAsia" w:ascii="宋体" w:hAnsi="宋体" w:eastAsia="宋体" w:cs="宋体"/>
          <w:sz w:val="24"/>
          <w:szCs w:val="20"/>
          <w:lang w:eastAsia="zh-CN"/>
        </w:rPr>
        <w:t xml:space="preserve">JSZC-320900-JZCG-C2026-0050</w:t>
      </w:r>
      <w:r/>
    </w:p>
    <w:p>
      <w:pPr>
        <w:ind w:firstLine="482"/>
        <w:jc w:val="left"/>
        <w:spacing w:line="560" w:lineRule="exact"/>
        <w:widowControl/>
        <w:rPr>
          <w:rFonts w:ascii="宋体" w:hAnsi="宋体" w:eastAsia="宋体" w:cs="宋体"/>
          <w:sz w:val="24"/>
          <w:szCs w:val="20"/>
          <w:u w:val="single"/>
        </w:rPr>
      </w:pPr>
      <w:r>
        <w:rPr>
          <w:rFonts w:hint="eastAsia" w:ascii="宋体" w:hAnsi="宋体" w:eastAsia="宋体" w:cs="宋体"/>
          <w:sz w:val="24"/>
          <w:szCs w:val="20"/>
        </w:rPr>
        <w:t xml:space="preserve">甲方：（买方）</w:t>
      </w:r>
      <w:r>
        <w:rPr>
          <w:rFonts w:hint="eastAsia" w:ascii="宋体" w:hAnsi="宋体" w:eastAsia="宋体" w:cs="宋体"/>
          <w:sz w:val="24"/>
          <w:szCs w:val="20"/>
          <w:u w:val="single"/>
        </w:rPr>
        <w:t xml:space="preserve">盐城市数据局</w:t>
      </w:r>
      <w:r/>
    </w:p>
    <w:p>
      <w:pPr>
        <w:ind w:firstLine="482"/>
        <w:jc w:val="left"/>
        <w:spacing w:line="560" w:lineRule="exact"/>
        <w:widowControl/>
        <w:rPr>
          <w:rFonts w:hint="default" w:ascii="宋体" w:hAnsi="宋体" w:eastAsia="宋体" w:cs="宋体"/>
          <w:sz w:val="24"/>
          <w:szCs w:val="20"/>
          <w:u w:val="single"/>
          <w:lang w:val="en-US" w:eastAsia="zh-CN"/>
        </w:rPr>
      </w:pPr>
      <w:r>
        <w:rPr>
          <w:rFonts w:hint="eastAsia" w:ascii="宋体" w:hAnsi="宋体" w:eastAsia="宋体" w:cs="宋体"/>
          <w:sz w:val="24"/>
          <w:szCs w:val="20"/>
        </w:rPr>
        <w:t xml:space="preserve">乙方：（卖方）</w:t>
      </w:r>
      <w:r>
        <w:rPr>
          <w:rFonts w:hint="eastAsia" w:ascii="宋体" w:hAnsi="宋体" w:eastAsia="宋体" w:cs="宋体"/>
          <w:sz w:val="24"/>
          <w:szCs w:val="20"/>
          <w:u w:val="single"/>
          <w:lang w:val="en-US" w:eastAsia="zh-CN"/>
        </w:rPr>
        <w:t xml:space="preserve">            </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甲、乙双方根据盐城市政府采购中心</w:t>
      </w:r>
      <w:r>
        <w:rPr>
          <w:rFonts w:hint="eastAsia" w:ascii="宋体" w:hAnsi="宋体" w:eastAsia="宋体" w:cs="宋体"/>
          <w:sz w:val="24"/>
          <w:szCs w:val="20"/>
          <w:u w:val="single"/>
        </w:rPr>
        <w:t xml:space="preserve">盐城市12345平台呼叫中心服务项目</w:t>
      </w:r>
      <w:r>
        <w:rPr>
          <w:rFonts w:hint="eastAsia" w:ascii="宋体" w:hAnsi="宋体" w:eastAsia="宋体" w:cs="宋体"/>
          <w:sz w:val="24"/>
          <w:szCs w:val="20"/>
        </w:rPr>
        <w:t xml:space="preserve">竞争性磋商的结果，签署本合同。</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一、合同内容</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1.1 标的名称：盐城市12345平台呼叫中心服务项目</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1.2 标的质量：详见采购需求</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1.3 标的数量（规模）：详见采购需求</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1.4 履行时间（期限）：一年，期满后甲方对服务运营情况进行综合评估，评估合格后可以续签，续签不超过2次，总年限不超过三年。</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1.5 履行地点：盐城市府西路1号国投商务楼</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1.6 履行方式：按甲方指定的方式</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二、合同金额</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2.1 本合同金额为（大写）：_________________圆（_______________元）人民币或其他币种。</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本合同价款包含话务平台每年需开展信息系统安全等级保护三级和商用密码应用安全性评估工作，验收需提供等级保护三级备案证明、等保测评报告、商用密码应用安全性评估报告等材料，相关全部费用应包含在投标总价中，采购人不再另行支付。</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三、技术资料</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3.1乙方应按磋商文件规定的时间向甲方提供与合同标的有关的技术资料。</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四、知识产权</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五、产权担保</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5.1 乙方保证所交付的合同标的的所有权完全属于乙方且无任何抵押、查封等产权瑕疵。</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六、履约保证金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6.1 乙方交纳人民币作为本合同的履约保证金。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备注：履约保证金为合同金额的5%，采购人对AA评级及以上政府采购供应商（需提供信用管理部门备案的第三方信用报告）</w:t>
      </w:r>
      <w:r>
        <w:rPr>
          <w:rFonts w:hint="eastAsia" w:ascii="宋体" w:hAnsi="宋体" w:eastAsia="Arial" w:cs="宋体"/>
          <w:b/>
          <w:bCs/>
          <w:sz w:val="24"/>
          <w:szCs w:val="20"/>
        </w:rPr>
        <w:t xml:space="preserve">免收履约保证金</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6.2确需收取履约保证金的，履约保证金的缴纳形式：</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6.2.2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6.3合同履行结束后，甲方应及时退还交纳的履约保证金。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6.4履约保证金的退还：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6.4.1方式：退还至投标人缴纳履约保证金的账户。如为保函，在到期时自行失效。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6.4.2时间：验收合格且采购人收到发票后30日内。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6.4.3条件：按合同要求全部履约完成并经采购人验收合格，且采购人收到中标人出具的发票。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6.4.4不予退还情形：</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除不可抗力情况外，投标人出现下列情形之一的，其履约保证金，招标人将视情节决定不予退还或部分不予退还。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（1）中标人无正当理由拒绝签订合同的，或者在签订合同时向采购人提出附加条件或者更改合同实质性内容要求的；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（2）中标人不履行与采购人订立的合同的；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（3）中标人所供货物或服务不符合磋商文件规定要求的；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（4）中标人采取欺骗、弄虚作假方式投标的或与其他投标人串通投标的；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（5）中标人将合同内容转包、违法分包的；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（6）中标人故意捏造事实或伪造证明材料，进行虚假恶意投诉或反映的。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七、合同转包或分包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7.1乙方不得将合同标的转包给他人履行。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7.2乙方不得将合同标的分包给他人履行。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7.3乙方如有转包或未经甲方同意的分包行为，甲方有权解除合同。</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八、合同款项支付</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8.1 合同款项的支付方式及进度安排</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8.1.1 各年度预付款：</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每年度服务合同生效后，采购人收到中标人提供的对应年度等额有效发票及预付款申请材料后【10】个工作日内，支付该年度合同金额的 30%。</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8.1.2 各年度尾款：</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该年度服务期满并经采购人验收合格后，采购人收到中标人提供的对应年度等额有效发票后【10】个工作日内，支付该年度合同金额的 70%。</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8.1.3 续约年度：</w:t>
      </w:r>
      <w:r/>
    </w:p>
    <w:p>
      <w:pPr>
        <w:ind w:firstLine="482"/>
        <w:jc w:val="left"/>
        <w:spacing w:line="560" w:lineRule="exact"/>
        <w:widowControl/>
        <w:rPr>
          <w:rFonts w:hint="eastAsia" w:asciiTheme="minorEastAsia" w:hAnsiTheme="minorEastAsia" w:eastAsiaTheme="minorEastAsia" w:cstheme="minorEastAsia"/>
          <w:sz w:val="24"/>
          <w:szCs w:val="20"/>
          <w:highlight w:val="none"/>
        </w:rPr>
      </w:pPr>
      <w:r>
        <w:rPr>
          <w:rFonts w:hint="eastAsia" w:asciiTheme="minorEastAsia" w:hAnsiTheme="minorEastAsia" w:eastAsiaTheme="minorEastAsia" w:cstheme="minorEastAsia"/>
          <w:sz w:val="24"/>
          <w:szCs w:val="20"/>
          <w:highlight w:val="none"/>
        </w:rPr>
        <w:t xml:space="preserve">第二、第三年度服务开始前，中标人须向采购人提交续约申请</w:t>
      </w:r>
      <w:r>
        <w:rPr>
          <w:rFonts w:hint="eastAsia" w:asciiTheme="minorEastAsia" w:hAnsiTheme="minorEastAsia" w:cstheme="minorEastAsia"/>
          <w:sz w:val="24"/>
          <w:szCs w:val="20"/>
          <w:highlight w:val="none"/>
          <w:lang w:eastAsia="zh-CN"/>
        </w:rPr>
        <w:t xml:space="preserve">，</w:t>
      </w:r>
      <w:r>
        <w:rPr>
          <w:rFonts w:hint="eastAsia" w:asciiTheme="minorEastAsia" w:hAnsiTheme="minorEastAsia" w:eastAsiaTheme="minorEastAsia" w:cstheme="minorEastAsia"/>
          <w:sz w:val="24"/>
          <w:szCs w:val="20"/>
          <w:highlight w:val="none"/>
        </w:rPr>
        <w:t xml:space="preserve">采购人根据上一年度履约考核结果，决定是否续签。续约后，当年度付款方式同上述8.1.1及8.1.2。</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九、税费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9.1本合同执行中相关的一切税费均由乙方负担。</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十、项目验收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10.1 甲方依法组织履约验收工作。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10.3 对于实际使用人和甲方分离的项目，甲方邀请实际使用人参与验收。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10.4 如有必要，甲方邀请参加本项目的其他供应商或第三方专业机构及专家参与验收，相关意见将作为验收书的参考资料。</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十一、违约责任</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11.1甲方无正当理由拒绝接受乙方提供的合同标的的，甲方向乙方偿付拒绝接受合同价款总值</w:t>
      </w:r>
      <w:r>
        <w:rPr>
          <w:rFonts w:hint="eastAsia" w:ascii="宋体" w:hAnsi="宋体" w:eastAsia="Arial" w:cs="宋体"/>
          <w:sz w:val="24"/>
          <w:szCs w:val="20"/>
          <w:u w:val="single"/>
        </w:rPr>
        <w:t xml:space="preserve">1%</w:t>
      </w:r>
      <w:r>
        <w:rPr>
          <w:rFonts w:hint="eastAsia" w:ascii="宋体" w:hAnsi="宋体" w:eastAsia="Arial" w:cs="宋体"/>
          <w:sz w:val="24"/>
          <w:szCs w:val="20"/>
        </w:rPr>
        <w:t xml:space="preserve">的违约金。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11.2 甲方无故逾期验收和办理合同款项支付手续的,甲方应按逾期付款总额</w:t>
      </w:r>
      <w:r>
        <w:rPr>
          <w:rFonts w:hint="eastAsia" w:ascii="宋体" w:hAnsi="宋体" w:eastAsia="Arial" w:cs="宋体"/>
          <w:sz w:val="24"/>
          <w:szCs w:val="20"/>
          <w:u w:val="single"/>
        </w:rPr>
        <w:t xml:space="preserve">1%</w:t>
      </w:r>
      <w:r>
        <w:rPr>
          <w:rFonts w:hint="eastAsia" w:ascii="宋体" w:hAnsi="宋体" w:eastAsia="Arial" w:cs="宋体"/>
          <w:sz w:val="24"/>
          <w:szCs w:val="20"/>
        </w:rPr>
        <w:t xml:space="preserve">每日向乙方支付违约金。</w:t>
      </w:r>
      <w:r/>
    </w:p>
    <w:p>
      <w:pPr>
        <w:ind w:firstLine="482"/>
        <w:jc w:val="left"/>
        <w:spacing w:line="560" w:lineRule="exact"/>
        <w:widowControl/>
      </w:pPr>
      <w:r>
        <w:rPr>
          <w:rFonts w:hint="eastAsia" w:ascii="宋体" w:hAnsi="宋体" w:eastAsia="Arial" w:cs="宋体"/>
          <w:sz w:val="24"/>
          <w:szCs w:val="20"/>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退还甲方已支付的全部金额并向甲方支付合同价款总额</w:t>
      </w:r>
      <w:r>
        <w:rPr>
          <w:rFonts w:hint="eastAsia" w:ascii="宋体" w:hAnsi="宋体" w:eastAsia="Arial" w:cs="宋体"/>
          <w:sz w:val="24"/>
          <w:szCs w:val="20"/>
          <w:u w:val="single"/>
        </w:rPr>
        <w:t xml:space="preserve">1%</w:t>
      </w:r>
      <w:r>
        <w:rPr>
          <w:rFonts w:hint="eastAsia" w:ascii="宋体" w:hAnsi="宋体" w:eastAsia="Arial" w:cs="宋体"/>
          <w:sz w:val="24"/>
          <w:szCs w:val="20"/>
        </w:rPr>
        <w:t xml:space="preserve">的违约金，如造成甲方损失超过违约金的，超出部分由乙方继续承担赔偿责任。 </w:t>
      </w:r>
      <w:r/>
    </w:p>
    <w:p>
      <w:pPr>
        <w:ind w:firstLine="482"/>
        <w:jc w:val="left"/>
        <w:spacing w:line="560" w:lineRule="exact"/>
        <w:widowControl/>
        <w:rPr>
          <w:highlight w:val="yellow"/>
        </w:rPr>
      </w:pPr>
      <w:r>
        <w:rPr>
          <w:rFonts w:hint="eastAsia" w:ascii="宋体" w:hAnsi="宋体" w:eastAsia="Arial" w:cs="宋体"/>
          <w:sz w:val="24"/>
          <w:szCs w:val="20"/>
        </w:rPr>
        <w:t xml:space="preserve">11.4 乙方保证其提供的运维驻场服务由乙方独立完成。未经甲方书面同意，乙方不得将本合同项下运维驻场人员的全部或部分工作内容以任何方式分包、转包或交由第三方完成。如乙方违反本约定，甲方有权要求乙方立即纠正，且乙方应向甲方支付合同价款总额</w:t>
      </w:r>
      <w:r>
        <w:rPr>
          <w:rFonts w:hint="eastAsia" w:ascii="宋体" w:hAnsi="宋体" w:eastAsia="宋体" w:cs="宋体"/>
          <w:sz w:val="24"/>
          <w:szCs w:val="20"/>
          <w:u w:val="single"/>
        </w:rPr>
        <w:t xml:space="preserve">3</w:t>
      </w:r>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的违约金；若因此给甲方造成损失的，违约金不足以弥补损失的，乙方还应就超出部分承担赔偿责任。甲方亦有权因此单方解除本合同。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w:t>
      </w:r>
      <w:r>
        <w:rPr>
          <w:rFonts w:hint="eastAsia" w:ascii="宋体" w:hAnsi="宋体" w:eastAsia="宋体" w:cs="宋体"/>
          <w:sz w:val="24"/>
          <w:szCs w:val="20"/>
        </w:rPr>
        <w:t xml:space="preserve">5</w:t>
      </w:r>
      <w:r>
        <w:rPr>
          <w:rFonts w:hint="eastAsia" w:ascii="宋体" w:hAnsi="宋体" w:eastAsia="Arial" w:cs="宋体"/>
          <w:sz w:val="24"/>
          <w:szCs w:val="20"/>
        </w:rPr>
        <w:t xml:space="preserve"> 乙方交付合同标的的标准不符合合同规定及磋商文件规定标准的，甲方有权拒绝接受合同标的，并可单方面解除合同。</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十二、不可抗力事件处理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12.1 在合同有效期内，任何一方因不可抗力事件导致不能履行合同，则合同履行期可延长，其延长期与不可抗力影响期相同。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12.2 不可抗力事件发生后，应立即通知对方，并寄送有关权威机构出具的证明。</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12.3 不可抗力事件延续120天以上，双方应通过友好协商，确定是否继续履行合同。</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十三、解决争议的方法</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13.1双方在签订、履行合同中所发生的一切争议，应通过友好协商解决。如协商不成，由甲方住所地人民法院管辖。</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十四、合同生效及其他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14.1 合同经双方法定代表人或授权委托代表人签字并加盖单位公章后生效。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14.2本合同未尽事宜，遵照《中华人民共和国民法典》《中华人民共和国政府采购法》有关条文执行。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14.3 本合同正本一式三份，具有同等法律效力，甲方、乙方各执一份。</w:t>
      </w:r>
      <w:r/>
    </w:p>
    <w:p>
      <w:pPr>
        <w:ind w:firstLine="720"/>
        <w:spacing w:line="560" w:lineRule="exact"/>
        <w:rPr>
          <w:rFonts w:ascii="宋体" w:hAnsi="宋体" w:cs="宋体"/>
          <w:sz w:val="24"/>
        </w:rPr>
      </w:pPr>
      <w:r/>
      <w:bookmarkStart w:id="155" w:name="_Toc479757211"/>
      <w:r/>
      <w:bookmarkStart w:id="156" w:name="_Toc20823346"/>
      <w:r/>
      <w:bookmarkStart w:id="157" w:name="_Toc16938590"/>
      <w:r/>
      <w:bookmarkStart w:id="158" w:name="_Toc462564139"/>
      <w:r/>
      <w:bookmarkStart w:id="159" w:name="_Toc120614244"/>
      <w:r/>
      <w:bookmarkStart w:id="160" w:name="_Hlt16619369"/>
      <w:r/>
      <w:bookmarkStart w:id="161" w:name="_Hlt16619350"/>
      <w:r>
        <w:rPr>
          <w:rFonts w:hint="eastAsia" w:ascii="宋体" w:hAnsi="宋体" w:cs="宋体"/>
          <w:sz w:val="24"/>
        </w:rPr>
        <w:t xml:space="preserve">甲方：                                  乙方： </w:t>
      </w:r>
      <w:r/>
    </w:p>
    <w:p>
      <w:pPr>
        <w:ind w:firstLine="240"/>
        <w:spacing w:line="560" w:lineRule="exact"/>
        <w:rPr>
          <w:rFonts w:ascii="宋体" w:hAnsi="宋体" w:cs="宋体"/>
          <w:sz w:val="24"/>
        </w:rPr>
      </w:pPr>
      <w:r>
        <w:rPr>
          <w:rFonts w:hint="eastAsia" w:ascii="宋体" w:hAnsi="宋体" w:cs="宋体"/>
          <w:sz w:val="24"/>
        </w:rPr>
        <w:t xml:space="preserve">    地址：                                  地址： </w:t>
      </w:r>
      <w:r/>
    </w:p>
    <w:p>
      <w:pPr>
        <w:spacing w:line="560" w:lineRule="exact"/>
        <w:rPr>
          <w:rFonts w:ascii="宋体" w:hAnsi="宋体" w:cs="宋体"/>
          <w:sz w:val="24"/>
        </w:rPr>
      </w:pPr>
      <w:r>
        <w:rPr>
          <w:rFonts w:hint="eastAsia" w:ascii="宋体" w:hAnsi="宋体" w:cs="宋体"/>
          <w:sz w:val="24"/>
        </w:rPr>
        <w:t xml:space="preserve">      法定代表人或授权代表：                  法定代表人或授权代表：</w:t>
      </w:r>
      <w:r/>
    </w:p>
    <w:p>
      <w:pPr>
        <w:ind w:firstLine="480"/>
        <w:spacing w:line="560" w:lineRule="exact"/>
        <w:rPr>
          <w:rFonts w:ascii="宋体" w:hAnsi="宋体" w:cs="宋体"/>
          <w:sz w:val="24"/>
        </w:rPr>
      </w:pPr>
      <w:r>
        <w:rPr>
          <w:rFonts w:hint="eastAsia" w:ascii="宋体" w:hAnsi="宋体" w:cs="宋体"/>
          <w:sz w:val="24"/>
        </w:rPr>
        <w:t xml:space="preserve">  联系电话：                              联系电话：</w:t>
      </w:r>
      <w:r/>
    </w:p>
    <w:p>
      <w:pPr>
        <w:ind w:firstLine="5520"/>
        <w:spacing w:line="560" w:lineRule="exact"/>
        <w:rPr>
          <w:rFonts w:ascii="宋体" w:hAnsi="宋体" w:cs="宋体"/>
          <w:sz w:val="24"/>
        </w:rPr>
      </w:pPr>
      <w:r>
        <w:rPr>
          <w:rFonts w:hint="eastAsia" w:ascii="宋体" w:hAnsi="宋体" w:cs="宋体"/>
          <w:sz w:val="24"/>
        </w:rPr>
        <w:t xml:space="preserve">签订日期：      年  月  日</w:t>
      </w:r>
      <w:r/>
    </w:p>
    <w:p>
      <w:pPr>
        <w:pStyle w:val="868"/>
        <w:jc w:val="center"/>
        <w:spacing w:before="120" w:beforeAutospacing="0" w:after="120" w:afterAutospacing="0" w:line="0" w:lineRule="atLeast"/>
      </w:pPr>
      <w:r>
        <w:rPr>
          <w:rFonts w:hint="eastAsia" w:ascii="黑体" w:hAnsi="宋体" w:eastAsia="黑体" w:cs="黑体"/>
          <w:sz w:val="44"/>
          <w:szCs w:val="44"/>
        </w:rPr>
        <w:br w:type="page" w:clear="all"/>
      </w:r>
      <w:r>
        <w:rPr>
          <w:rFonts w:hint="eastAsia" w:ascii="黑体" w:hAnsi="宋体" w:eastAsia="黑体" w:cs="黑体"/>
          <w:sz w:val="44"/>
          <w:szCs w:val="44"/>
        </w:rPr>
        <w:t xml:space="preserve"> 第</w:t>
      </w:r>
      <w:bookmarkEnd w:id="155"/>
      <w:r>
        <w:rPr>
          <w:rFonts w:hint="eastAsia" w:ascii="黑体" w:hAnsi="宋体" w:eastAsia="黑体" w:cs="黑体"/>
          <w:sz w:val="44"/>
          <w:szCs w:val="44"/>
        </w:rPr>
        <w:t xml:space="preserve">四章</w:t>
      </w:r>
      <w:r>
        <w:rPr>
          <w:rFonts w:hint="eastAsia" w:ascii="黑体" w:hAnsi="宋体" w:eastAsia="黑体" w:cs="黑体"/>
          <w:sz w:val="44"/>
          <w:szCs w:val="44"/>
          <w:lang w:val="en-US" w:eastAsia="zh-CN"/>
        </w:rPr>
        <w:t xml:space="preserve"> </w:t>
      </w:r>
      <w:r>
        <w:rPr>
          <w:rFonts w:hint="eastAsia" w:ascii="黑体" w:hAnsi="宋体" w:eastAsia="黑体" w:cs="黑体"/>
          <w:sz w:val="44"/>
          <w:szCs w:val="44"/>
        </w:rPr>
        <w:t xml:space="preserve">采购需求</w:t>
      </w:r>
      <w:bookmarkEnd w:id="156"/>
      <w:r/>
      <w:bookmarkEnd w:id="157"/>
      <w:r/>
      <w:bookmarkEnd w:id="158"/>
      <w:r/>
      <w:bookmarkEnd w:id="159"/>
      <w:r/>
      <w:bookmarkStart w:id="162" w:name="_Toc49090575"/>
      <w:r/>
      <w:bookmarkEnd w:id="162"/>
      <w:r/>
      <w:bookmarkStart w:id="163" w:name="_Toc26554093"/>
      <w:r/>
      <w:bookmarkEnd w:id="163"/>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项目属性：服务类项目</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一、项目概况</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1.1 建设背景</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盐城市12345热线平台主要接受企业群众的咨询、投诉、评价、意见建议等，是畅通民意的主要渠道之一。热线归并作为政府职能转变、提升政务服务的有效途径，可实现对各级单位的服务质量、服务监督等进行有效管控，同时集约化“一号通”服务可降低地方的综合服务成本和提升全市政务服务整体水平，进一步打造便民惠民的政务服务体系。</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1.2 项目目标</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通过采购专业化呼叫中心平台服务，保障12345热线7×24小时稳定运行，实现话务智能调度、数据安全存储、</w:t>
      </w:r>
      <w:r>
        <w:rPr>
          <w:rFonts w:hint="eastAsia" w:asciiTheme="minorEastAsia" w:hAnsiTheme="minorEastAsia" w:eastAsiaTheme="minorEastAsia" w:cstheme="minorEastAsia"/>
          <w:color w:val="000000" w:themeColor="text1"/>
          <w:sz w:val="24"/>
          <w:szCs w:val="20"/>
          <w14:textFill>
            <w14:solidFill>
              <w14:schemeClr w14:val="tx1"/>
            </w14:solidFill>
          </w14:textFill>
        </w:rPr>
        <w:t xml:space="preserve">国产化环境适配</w:t>
      </w:r>
      <w:r>
        <w:rPr>
          <w:rFonts w:hint="eastAsia" w:asciiTheme="minorEastAsia" w:hAnsiTheme="minorEastAsia" w:eastAsiaTheme="minorEastAsia" w:cstheme="minorEastAsia"/>
          <w:sz w:val="24"/>
          <w:szCs w:val="20"/>
        </w:rPr>
        <w:t xml:space="preserve">，建立完善的技术运维与安全保障体系，确保热线接通率不低于95%，满足省一体化平台对接及未来业务扩展需求。</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1.3 服务范围</w:t>
      </w:r>
      <w:r/>
    </w:p>
    <w:p>
      <w:pPr>
        <w:ind w:firstLine="482"/>
        <w:jc w:val="left"/>
        <w:spacing w:line="560" w:lineRule="exact"/>
        <w:widowControl/>
        <w:rPr>
          <w:rFonts w:ascii="宋体" w:hAnsi="宋体" w:eastAsia="Arial" w:cs="宋体"/>
          <w:sz w:val="24"/>
          <w:szCs w:val="20"/>
        </w:rPr>
      </w:pPr>
      <w:r>
        <w:rPr>
          <w:rFonts w:hint="eastAsia" w:asciiTheme="minorEastAsia" w:hAnsiTheme="minorEastAsia" w:eastAsiaTheme="minorEastAsia" w:cstheme="minorEastAsia"/>
          <w:sz w:val="24"/>
          <w:szCs w:val="20"/>
        </w:rPr>
        <w:t xml:space="preserve">服务覆盖盐城市本级及各县（市、区）统一接入的热线话务，包括坐席通信资源、技术运维、安全保障、</w:t>
      </w:r>
      <w:r>
        <w:rPr>
          <w:rFonts w:hint="eastAsia" w:asciiTheme="minorEastAsia" w:hAnsiTheme="minorEastAsia" w:eastAsiaTheme="minorEastAsia" w:cstheme="minorEastAsia"/>
          <w:color w:val="000000" w:themeColor="text1"/>
          <w:sz w:val="24"/>
          <w:szCs w:val="20"/>
          <w14:textFill>
            <w14:solidFill>
              <w14:schemeClr w14:val="tx1"/>
            </w14:solidFill>
          </w14:textFill>
        </w:rPr>
        <w:t xml:space="preserve">国产化适配</w:t>
      </w:r>
      <w:r>
        <w:rPr>
          <w:rFonts w:hint="eastAsia" w:asciiTheme="minorEastAsia" w:hAnsiTheme="minorEastAsia" w:eastAsiaTheme="minorEastAsia" w:cstheme="minorEastAsia"/>
          <w:sz w:val="24"/>
          <w:szCs w:val="20"/>
        </w:rPr>
        <w:t xml:space="preserve">等全链条服务。</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二、服务内容及要求</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2.1坐席业务及基础资源</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2.1.1链路整合及网络面板维护服务</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对12345平台场地及边界网络链路进行优化整合，确保现有网络接口畅通，必要时可临时增加线路；物理隔离相关链路，杜绝跨网访问；链路调整前须制定专项施工方案，经专家评估同意后实施；施工完成后提交准确的网络拓扑图、点位图、安全设备配置文件等验收材料。</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2.1.2坐席通信服务</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提供不少于160个坐席（包含140路座席通道+20席免费应急坐席通道）的通信服务，通道数不少于350个，做好相关通信服务的资源池和技能组配置，满足7×24小时民众咨询、求助、投诉等需求；应急情况下可免费增加临时坐席，保障话务接听。</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2.1.3基础资源</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中继电路1条，带宽100M；互联网千兆宽带1条，用于话务区专席互联网办公；提供不少于150部应急电话，用于计划性或突发性通信故障时的备用通信；</w:t>
      </w:r>
      <w:r>
        <w:rPr>
          <w:rFonts w:hint="eastAsia" w:asciiTheme="minorEastAsia" w:hAnsiTheme="minorEastAsia" w:eastAsiaTheme="minorEastAsia" w:cstheme="minorEastAsia"/>
          <w:color w:val="000000" w:themeColor="text1"/>
          <w:sz w:val="24"/>
          <w:szCs w:val="20"/>
          <w14:textFill>
            <w14:solidFill>
              <w14:schemeClr w14:val="tx1"/>
            </w14:solidFill>
          </w14:textFill>
        </w:rPr>
        <w:t xml:space="preserve">提供不多于10部固定电话及2条宽带免费使用，不再另外收费</w:t>
      </w:r>
      <w:r>
        <w:rPr>
          <w:rFonts w:hint="eastAsia" w:asciiTheme="minorEastAsia" w:hAnsiTheme="minorEastAsia" w:eastAsiaTheme="minorEastAsia" w:cstheme="minorEastAsia"/>
          <w:sz w:val="24"/>
          <w:szCs w:val="20"/>
        </w:rPr>
        <w:t xml:space="preserve">；提供每年不少于150万条、三年累计不少于450万条短信服务，并根据省、市热线平台工作部署，免费机动增加短信条数，满足发送需求。</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2.2话务平台主要功能与技术架构</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2.2.1主要业务功能</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话务呼入策略、话务接听外呼功能、话务服务、话务管理、话务数据报表对接、话务调度；遇应急情况可临时增加坐席免费使用，保障12345热线接听率，驻场人员现场支撑坐席扩容升级。</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2.2.2话务平台系统架构</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话务平台采用分层架构设计，自下而上包括：</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基础设施层：服务器、存储、网络设备，支持虚拟化与国产化环境。</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平台支撑层：包含呼叫控制、媒体处理、录音服务、数据库、中间件等。</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业务应用层：提供话务接入、智能路由、IVR、坐席管理、报表监控、智能回访、坐席助手等功能。</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接入层：支持PSTN、VoIP、互联网等多种接入方式，与省一体化平台对接。</w:t>
      </w:r>
      <w:r/>
    </w:p>
    <w:p>
      <w:pPr>
        <w:rPr>
          <w:rFonts w:hint="eastAsia" w:asciiTheme="minorEastAsia" w:hAnsiTheme="minorEastAsia" w:eastAsiaTheme="minorEastAsia" w:cstheme="minorEastAsia"/>
          <w:highlight w:val="yellow"/>
        </w:rPr>
      </w:pPr>
      <w:r>
        <w:rPr>
          <w:rFonts w:hint="eastAsia" w:asciiTheme="minorEastAsia" w:hAnsiTheme="minorEastAsia" w:eastAsiaTheme="minorEastAsia" w:cstheme="minorEastAsia"/>
          <w:highlight w:val="yellow"/>
        </w:rPr>
      </w:r>
      <w:r/>
    </w:p>
    <w:p>
      <w:pPr>
        <w:rPr>
          <w:rFonts w:hint="eastAsia" w:asciiTheme="minorEastAsia" w:hAnsiTheme="minorEastAsia" w:eastAsiaTheme="minorEastAsia" w:cstheme="minorEastAsia"/>
          <w:highlight w:val="yellow"/>
        </w:rPr>
      </w:pPr>
      <w:r>
        <w:rPr>
          <w:rFonts w:hint="eastAsia" w:asciiTheme="minorEastAsia" w:hAnsiTheme="minorEastAsia" w:eastAsiaTheme="minorEastAsia" w:cstheme="minorEastAsia"/>
        </w:rPr>
        <mc:AlternateContent>
          <mc:Choice Requires="wpg">
            <w:drawing>
              <wp:inline xmlns:wp="http://schemas.openxmlformats.org/drawingml/2006/wordprocessingDrawing" distT="0" distB="0" distL="0" distR="0">
                <wp:extent cx="5701030" cy="3573145"/>
                <wp:effectExtent l="0" t="0" r="13970" b="825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rcRect l="29259" t="21646" r="13876" b="15000"/>
                        <a:stretch/>
                      </pic:blipFill>
                      <pic:spPr bwMode="auto">
                        <a:xfrm>
                          <a:off x="0" y="0"/>
                          <a:ext cx="5701030" cy="3573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8.9pt;height:281.3pt;mso-wrap-distance-left:0.0pt;mso-wrap-distance-top:0.0pt;mso-wrap-distance-right:0.0pt;mso-wrap-distance-bottom:0.0pt;" stroked="f">
                <v:path textboxrect="0,0,0,0"/>
                <v:imagedata r:id="rId12" o:title=""/>
              </v:shape>
            </w:pict>
          </mc:Fallback>
        </mc:AlternateConten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2.2.3系统对接要求</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1.完成话务平台与盐城市智能回访、智能坐席助手对接，实现政务热线智能化服务；保障话务网安全维护，</w:t>
      </w:r>
      <w:r>
        <w:rPr>
          <w:rFonts w:hint="eastAsia" w:asciiTheme="minorEastAsia" w:hAnsiTheme="minorEastAsia" w:eastAsiaTheme="minorEastAsia" w:cstheme="minorEastAsia"/>
          <w:color w:val="000000" w:themeColor="text1"/>
          <w:sz w:val="24"/>
          <w:szCs w:val="20"/>
          <w14:textFill>
            <w14:solidFill>
              <w14:schemeClr w14:val="tx1"/>
            </w14:solidFill>
          </w14:textFill>
        </w:rPr>
        <w:t xml:space="preserve">国产化环境适配</w:t>
      </w:r>
      <w:r>
        <w:rPr>
          <w:rFonts w:hint="eastAsia" w:asciiTheme="minorEastAsia" w:hAnsiTheme="minorEastAsia" w:eastAsiaTheme="minorEastAsia" w:cstheme="minorEastAsia"/>
          <w:sz w:val="24"/>
          <w:szCs w:val="20"/>
        </w:rPr>
        <w:t xml:space="preserve">；日常维护坐席软电话，并根据省一体化平台呼入、呼出转接定制化场景做出相应升级调整。</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2.完成与话务监控及指标类接口对接，包含坐席状态数据接口、呼入量接口、接通量接口、呼损量接口等指标类接口，确保数据实时同步至省平台及本地监控系统。</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2.3录音备份要求</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呼入、呼出录音文件实时备份至盐城市政务云存储，三年累计存储量不少于18T；要求提供实时同步软件，确保录音数据稳定备份，备份周期为实时备份，并支持随时调取。</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2.4话务网安全服务</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2.4.1安全需求</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市12345热线平台统一接听市本级和县（市、区）来电，话务网安全可靠关乎服务水平和群众隐私。话务专网需实现主备线路自动切换，减少人工干预，避免长时间中断。要求具备入侵防御、病毒隔离等基本安全防护功能。话务平台每年需开展信息系统安全等级保护三级和商用密码应用安全性评估工作，验收需提供等级保护三级备案证明、等保测评报告、商用密码应用安全性评估报告等材料，</w:t>
      </w:r>
      <w:r>
        <w:rPr>
          <w:rFonts w:hint="eastAsia" w:asciiTheme="minorEastAsia" w:hAnsiTheme="minorEastAsia" w:eastAsiaTheme="minorEastAsia" w:cstheme="minorEastAsia"/>
          <w:color w:val="000000" w:themeColor="text1"/>
          <w:sz w:val="24"/>
          <w:szCs w:val="20"/>
          <w14:textFill>
            <w14:solidFill>
              <w14:schemeClr w14:val="tx1"/>
            </w14:solidFill>
          </w14:textFill>
        </w:rPr>
        <w:t xml:space="preserve">相关全部费用应包含在投标总价中，采购人不再另行支付。</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2.4.2驻场安全员</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配备1名专职驻场安全员，负责网络安全事项，负责日常安全监控、漏洞修复、应急响应、安全培训等。每周提交工作日志，输出网络安全报告。工作配备必要工具（电脑、网线钳、寻线仪等）由供应商自行承担。</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2.4.3 网络冗余与应急</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话务网实现主备线路自动切换，断网后1分钟内自动切换至备用网络；增加自动切换失效的第二层应急手段，自动切换不少于150部应急电话接听来电，同时支持驻场工程师人工介入切换；每年至少组织一次应急切换演练，并提交演练报告。</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2.4.4安全设备服务</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提供包含但不限于防火墙、安全网关等必要设备，用于保障平台网络安全：</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提供的防火墙设备及软件具备入侵防御、病毒隔离等功能，满足等保三级要求；</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提供的安全网关-防护版设备及软件，参数不低于以下要求：</w:t>
      </w:r>
      <w:r/>
    </w:p>
    <w:p>
      <w:pPr>
        <w:ind w:firstLine="482"/>
        <w:jc w:val="left"/>
        <w:spacing w:line="560" w:lineRule="exact"/>
        <w:widowControl/>
        <w:rPr>
          <w:rFonts w:hint="eastAsia" w:asciiTheme="minorEastAsia" w:hAnsiTheme="minorEastAsia" w:eastAsiaTheme="minorEastAsia" w:cstheme="minorEastAsia"/>
          <w:sz w:val="24"/>
          <w:szCs w:val="20"/>
          <w:highlight w:val="yellow"/>
        </w:rPr>
      </w:pPr>
      <w:r>
        <w:rPr>
          <w:rFonts w:hint="eastAsia" w:asciiTheme="minorEastAsia" w:hAnsiTheme="minorEastAsia" w:eastAsiaTheme="minorEastAsia" w:cstheme="minorEastAsia"/>
          <w:sz w:val="24"/>
          <w:szCs w:val="20"/>
        </w:rPr>
        <w:t xml:space="preserve">网络层吞吐量≥8Gbps，IPS+AV+URL+SA吞吐量≥500Mbps，最大并发连接数≥200万，每秒新建连接数≥5万/秒，接口：千兆Combo接口≥ 8个，万兆光口≥2个，千兆WAN口≥ 16个，支持USB3.0。</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提供的安全网关-审计版设备及软件，参数不低于以下要求：</w:t>
      </w:r>
      <w:r/>
    </w:p>
    <w:p>
      <w:pPr>
        <w:ind w:firstLine="482"/>
        <w:jc w:val="left"/>
        <w:spacing w:line="560" w:lineRule="exact"/>
        <w:widowControl/>
        <w:rPr>
          <w:rFonts w:ascii="宋体" w:hAnsi="宋体" w:eastAsia="Arial" w:cs="宋体"/>
          <w:sz w:val="24"/>
          <w:szCs w:val="20"/>
          <w:highlight w:val="yellow"/>
        </w:rPr>
      </w:pPr>
      <w:r>
        <w:rPr>
          <w:rFonts w:hint="eastAsia" w:asciiTheme="minorEastAsia" w:hAnsiTheme="minorEastAsia" w:eastAsiaTheme="minorEastAsia" w:cstheme="minorEastAsia"/>
          <w:sz w:val="24"/>
          <w:szCs w:val="20"/>
        </w:rPr>
        <w:t xml:space="preserve">流量处理能力 ≥ 500Mbps，支持行为审计、流量分析等功能。</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2.4.5安全培训与报告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驻场安全员每周输出网络安全巡检报告；每年提供不少于4次安全集中培训，以及不定期的新入职人员安全培训。</w:t>
      </w:r>
      <w:r/>
    </w:p>
    <w:p>
      <w:pPr>
        <w:ind w:firstLine="482"/>
        <w:jc w:val="left"/>
        <w:spacing w:line="560" w:lineRule="exact"/>
        <w:widowControl/>
        <w:rPr>
          <w:rFonts w:ascii="宋体" w:hAnsi="宋体" w:eastAsia="Arial" w:cs="宋体"/>
          <w:b/>
          <w:bCs/>
          <w:color w:val="000000" w:themeColor="text1"/>
          <w:sz w:val="24"/>
          <w:szCs w:val="20"/>
          <w14:textFill>
            <w14:solidFill>
              <w14:schemeClr w14:val="tx1"/>
            </w14:solidFill>
          </w14:textFill>
        </w:rPr>
      </w:pPr>
      <w:r>
        <w:rPr>
          <w:rFonts w:hint="eastAsia" w:ascii="宋体" w:hAnsi="宋体" w:eastAsia="Arial" w:cs="宋体"/>
          <w:b/>
          <w:bCs/>
          <w:sz w:val="24"/>
          <w:szCs w:val="20"/>
        </w:rPr>
        <w:t xml:space="preserve">2.5</w:t>
      </w:r>
      <w:r>
        <w:rPr>
          <w:rFonts w:hint="eastAsia" w:ascii="宋体" w:hAnsi="宋体" w:eastAsia="Arial" w:cs="宋体"/>
          <w:b/>
          <w:bCs/>
          <w:color w:val="000000" w:themeColor="text1"/>
          <w:sz w:val="24"/>
          <w:szCs w:val="20"/>
          <w14:textFill>
            <w14:solidFill>
              <w14:schemeClr w14:val="tx1"/>
            </w14:solidFill>
          </w14:textFill>
        </w:rPr>
        <w:t xml:space="preserve">国产化环境适配</w:t>
      </w:r>
      <w:r/>
    </w:p>
    <w:p>
      <w:pPr>
        <w:ind w:firstLine="482"/>
        <w:jc w:val="left"/>
        <w:spacing w:line="560" w:lineRule="exact"/>
        <w:widowControl/>
        <w:rPr>
          <w:rFonts w:ascii="宋体" w:hAnsi="宋体" w:eastAsia="Arial" w:cs="宋体"/>
          <w:color w:val="000000" w:themeColor="text1"/>
          <w:sz w:val="24"/>
          <w:szCs w:val="20"/>
          <w14:textFill>
            <w14:solidFill>
              <w14:schemeClr w14:val="tx1"/>
            </w14:solidFill>
          </w14:textFill>
        </w:rPr>
      </w:pPr>
      <w:r>
        <w:rPr>
          <w:rFonts w:hint="eastAsia" w:ascii="宋体" w:hAnsi="宋体" w:eastAsia="Arial" w:cs="宋体"/>
          <w:color w:val="000000" w:themeColor="text1"/>
          <w:sz w:val="24"/>
          <w:szCs w:val="20"/>
          <w14:textFill>
            <w14:solidFill>
              <w14:schemeClr w14:val="tx1"/>
            </w14:solidFill>
          </w14:textFill>
        </w:rPr>
        <w:t xml:space="preserve">本项目要求，中标供应商所提供的平台须满足盐城市政务云</w:t>
      </w:r>
      <w:r>
        <w:rPr>
          <w:rFonts w:hint="eastAsia" w:ascii="宋体" w:hAnsi="宋体" w:eastAsia="宋体" w:cs="宋体"/>
          <w:color w:val="000000" w:themeColor="text1"/>
          <w:sz w:val="24"/>
          <w:szCs w:val="20"/>
          <w:lang w:val="en-US" w:eastAsia="zh-CN"/>
          <w14:textFill>
            <w14:solidFill>
              <w14:schemeClr w14:val="tx1"/>
            </w14:solidFill>
          </w14:textFill>
        </w:rPr>
        <w:t xml:space="preserve">国产化</w:t>
      </w:r>
      <w:r>
        <w:rPr>
          <w:rFonts w:hint="eastAsia" w:ascii="宋体" w:hAnsi="宋体" w:eastAsia="Arial" w:cs="宋体"/>
          <w:color w:val="000000" w:themeColor="text1"/>
          <w:sz w:val="24"/>
          <w:szCs w:val="20"/>
          <w14:textFill>
            <w14:solidFill>
              <w14:schemeClr w14:val="tx1"/>
            </w14:solidFill>
          </w14:textFill>
        </w:rPr>
        <w:t xml:space="preserve">环境及</w:t>
      </w:r>
      <w:r>
        <w:rPr>
          <w:rFonts w:hint="eastAsia" w:ascii="宋体" w:hAnsi="宋体" w:eastAsia="宋体" w:cs="宋体"/>
          <w:color w:val="000000" w:themeColor="text1"/>
          <w:sz w:val="24"/>
          <w:szCs w:val="20"/>
          <w:lang w:val="en-US" w:eastAsia="zh-CN"/>
          <w14:textFill>
            <w14:solidFill>
              <w14:schemeClr w14:val="tx1"/>
            </w14:solidFill>
          </w14:textFill>
        </w:rPr>
        <w:t xml:space="preserve">国产化</w:t>
      </w:r>
      <w:r>
        <w:rPr>
          <w:rFonts w:hint="eastAsia" w:ascii="宋体" w:hAnsi="宋体" w:eastAsia="Arial" w:cs="宋体"/>
          <w:color w:val="000000" w:themeColor="text1"/>
          <w:sz w:val="24"/>
          <w:szCs w:val="20"/>
          <w14:textFill>
            <w14:solidFill>
              <w14:schemeClr w14:val="tx1"/>
            </w14:solidFill>
          </w14:textFill>
        </w:rPr>
        <w:t xml:space="preserve">适配相关要求。</w:t>
      </w:r>
      <w:r/>
    </w:p>
    <w:p>
      <w:pPr>
        <w:ind w:firstLine="482"/>
        <w:jc w:val="left"/>
        <w:spacing w:line="560" w:lineRule="exact"/>
        <w:widowControl/>
        <w:rPr>
          <w:rFonts w:ascii="宋体" w:hAnsi="宋体" w:eastAsia="Arial" w:cs="宋体"/>
          <w:color w:val="000000" w:themeColor="text1"/>
          <w:sz w:val="24"/>
          <w:szCs w:val="20"/>
          <w:highlight w:val="yellow"/>
          <w14:textFill>
            <w14:solidFill>
              <w14:schemeClr w14:val="tx1"/>
            </w14:solidFill>
          </w14:textFill>
        </w:rPr>
      </w:pPr>
      <w:r>
        <w:rPr>
          <w:rFonts w:hint="eastAsia" w:ascii="宋体" w:hAnsi="宋体" w:eastAsia="Arial" w:cs="宋体"/>
          <w:color w:val="000000" w:themeColor="text1"/>
          <w:sz w:val="24"/>
          <w:szCs w:val="20"/>
          <w14:textFill>
            <w14:solidFill>
              <w14:schemeClr w14:val="tx1"/>
            </w14:solidFill>
          </w14:textFill>
        </w:rPr>
        <w:t xml:space="preserve">适配工作范围包括但不限于：应用系统源代码级适配改造、国产化基础软硬件（含操作系统、数据库、中间件）的采购与替换、历史业务数据的清洗与迁移，以及</w:t>
      </w:r>
      <w:r>
        <w:rPr>
          <w:rFonts w:hint="eastAsia" w:ascii="宋体" w:hAnsi="宋体" w:eastAsia="宋体" w:cs="宋体"/>
          <w:color w:val="000000" w:themeColor="text1"/>
          <w:sz w:val="24"/>
          <w:szCs w:val="20"/>
          <w:lang w:val="en-US" w:eastAsia="zh-CN"/>
          <w14:textFill>
            <w14:solidFill>
              <w14:schemeClr w14:val="tx1"/>
            </w14:solidFill>
          </w14:textFill>
        </w:rPr>
        <w:t xml:space="preserve">国产化</w:t>
      </w:r>
      <w:r>
        <w:rPr>
          <w:rFonts w:hint="eastAsia" w:ascii="宋体" w:hAnsi="宋体" w:eastAsia="Arial" w:cs="宋体"/>
          <w:color w:val="000000" w:themeColor="text1"/>
          <w:sz w:val="24"/>
          <w:szCs w:val="20"/>
          <w14:textFill>
            <w14:solidFill>
              <w14:schemeClr w14:val="tx1"/>
            </w14:solidFill>
          </w14:textFill>
        </w:rPr>
        <w:t xml:space="preserve">环境下的功能、性能及安全性调优，直至系统通过</w:t>
      </w:r>
      <w:r>
        <w:rPr>
          <w:rFonts w:hint="eastAsia" w:ascii="宋体" w:hAnsi="宋体" w:eastAsia="宋体" w:cs="宋体"/>
          <w:color w:val="000000" w:themeColor="text1"/>
          <w:sz w:val="24"/>
          <w:szCs w:val="20"/>
          <w:lang w:val="en-US" w:eastAsia="zh-CN"/>
          <w14:textFill>
            <w14:solidFill>
              <w14:schemeClr w14:val="tx1"/>
            </w14:solidFill>
          </w14:textFill>
        </w:rPr>
        <w:t xml:space="preserve">国产化</w:t>
      </w:r>
      <w:r>
        <w:rPr>
          <w:rFonts w:hint="eastAsia" w:ascii="宋体" w:hAnsi="宋体" w:eastAsia="Arial" w:cs="宋体"/>
          <w:color w:val="000000" w:themeColor="text1"/>
          <w:sz w:val="24"/>
          <w:szCs w:val="20"/>
          <w14:textFill>
            <w14:solidFill>
              <w14:schemeClr w14:val="tx1"/>
            </w14:solidFill>
          </w14:textFill>
        </w:rPr>
        <w:t xml:space="preserve">环境兼容性测试。相关全部费用应包含在投标总价中，采购人不再另行支付。</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2.5.1坐席终端适配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保障后期热线坐席更换国产电脑（硬件更换不在本项目范围内）后，话务功能正常使用，适配国产操作系统及浏览器。</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2.5.2短信平台数据库适配</w:t>
      </w:r>
      <w:r/>
    </w:p>
    <w:p>
      <w:pPr>
        <w:ind w:firstLine="482"/>
        <w:jc w:val="left"/>
        <w:spacing w:line="560" w:lineRule="exact"/>
        <w:widowControl/>
        <w:rPr>
          <w:rFonts w:ascii="宋体" w:hAnsi="宋体" w:eastAsia="Arial" w:cs="宋体"/>
          <w:color w:val="000000" w:themeColor="text1"/>
          <w:sz w:val="24"/>
          <w:szCs w:val="20"/>
          <w14:textFill>
            <w14:solidFill>
              <w14:schemeClr w14:val="tx1"/>
            </w14:solidFill>
          </w14:textFill>
        </w:rPr>
      </w:pPr>
      <w:r>
        <w:rPr>
          <w:rFonts w:hint="eastAsia" w:ascii="宋体" w:hAnsi="宋体" w:eastAsia="Arial" w:cs="宋体"/>
          <w:sz w:val="24"/>
          <w:szCs w:val="20"/>
        </w:rPr>
        <w:t xml:space="preserve">短信平台现有Oracle数据库适配改造为国产数据库（如TaurusDB、openGauss等），涉及1套数据库及代码改造；部署环境为盐城市政务云</w:t>
      </w:r>
      <w:r>
        <w:rPr>
          <w:rFonts w:hint="eastAsia" w:ascii="宋体" w:hAnsi="宋体" w:eastAsia="Arial" w:cs="宋体"/>
          <w:color w:val="000000" w:themeColor="text1"/>
          <w:sz w:val="24"/>
          <w:szCs w:val="20"/>
          <w14:textFill>
            <w14:solidFill>
              <w14:schemeClr w14:val="tx1"/>
            </w14:solidFill>
          </w14:textFill>
        </w:rPr>
        <w:t xml:space="preserve">国产化环境。</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2.5.3政务云服务器</w:t>
      </w:r>
      <w:r>
        <w:rPr>
          <w:rFonts w:hint="eastAsia" w:ascii="宋体" w:hAnsi="宋体" w:eastAsia="Arial" w:cs="宋体"/>
          <w:b/>
          <w:bCs/>
          <w:color w:val="000000" w:themeColor="text1"/>
          <w:sz w:val="24"/>
          <w:szCs w:val="20"/>
          <w14:textFill>
            <w14:solidFill>
              <w14:schemeClr w14:val="tx1"/>
            </w14:solidFill>
          </w14:textFill>
        </w:rPr>
        <w:t xml:space="preserve">国产化环境</w:t>
      </w:r>
      <w:r>
        <w:rPr>
          <w:rFonts w:hint="eastAsia" w:ascii="宋体" w:hAnsi="宋体" w:eastAsia="Arial" w:cs="宋体"/>
          <w:b/>
          <w:bCs/>
          <w:sz w:val="24"/>
          <w:szCs w:val="20"/>
        </w:rPr>
        <w:t xml:space="preserve">适配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结合盐城市数据局对政务云服务器的</w:t>
      </w:r>
      <w:r>
        <w:rPr>
          <w:rFonts w:hint="eastAsia" w:ascii="宋体" w:hAnsi="宋体" w:eastAsia="Arial" w:cs="宋体"/>
          <w:color w:val="000000" w:themeColor="text1"/>
          <w:sz w:val="24"/>
          <w:szCs w:val="20"/>
          <w14:textFill>
            <w14:solidFill>
              <w14:schemeClr w14:val="tx1"/>
            </w14:solidFill>
          </w14:textFill>
        </w:rPr>
        <w:t xml:space="preserve">国产化环境</w:t>
      </w:r>
      <w:r>
        <w:rPr>
          <w:rFonts w:hint="eastAsia" w:ascii="宋体" w:hAnsi="宋体" w:eastAsia="Arial" w:cs="宋体"/>
          <w:sz w:val="24"/>
          <w:szCs w:val="20"/>
        </w:rPr>
        <w:t xml:space="preserve">统一适配要求，进行适配改造。</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2.5.4智能化功能模块适配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涉及坐席人员使用的系统智能化功能模块需完成国产化适配改造。需适配国产数据库、操作系统、中间件及国产浏览器。需结合盐城国产化环境目录清单要求，进行计划选型。本项目支持潜在供应商现场踏勘，采购人将在投标截止时间前组织统一踏勘，供应商可派员自愿参与，踏勘具体时间及地点将另行通知。</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2.5.5适配时间要求</w:t>
      </w:r>
      <w:r/>
    </w:p>
    <w:p>
      <w:pPr>
        <w:ind w:firstLine="482"/>
        <w:jc w:val="left"/>
        <w:spacing w:line="560" w:lineRule="exact"/>
        <w:widowControl/>
        <w:rPr>
          <w:rFonts w:ascii="宋体" w:hAnsi="宋体" w:eastAsia="Arial" w:cs="宋体"/>
          <w:b/>
          <w:bCs/>
          <w:i/>
          <w:iCs/>
          <w:sz w:val="24"/>
          <w:szCs w:val="20"/>
        </w:rPr>
      </w:pPr>
      <w:r>
        <w:rPr>
          <w:rFonts w:hint="eastAsia" w:ascii="宋体" w:hAnsi="宋体" w:eastAsia="Arial" w:cs="宋体"/>
          <w:b/>
          <w:bCs/>
          <w:i/>
          <w:iCs/>
          <w:sz w:val="24"/>
          <w:szCs w:val="20"/>
          <w:u w:val="single"/>
        </w:rPr>
        <w:t xml:space="preserve">供应商须承诺于2027年12月前，呼叫中心项目涉及的所有服务均满足</w:t>
      </w:r>
      <w:r>
        <w:rPr>
          <w:rFonts w:hint="eastAsia" w:ascii="宋体" w:hAnsi="宋体" w:eastAsia="Arial" w:cs="宋体"/>
          <w:b/>
          <w:bCs/>
          <w:i/>
          <w:iCs/>
          <w:color w:val="000000" w:themeColor="text1"/>
          <w:sz w:val="24"/>
          <w:szCs w:val="20"/>
          <w:u w:val="single"/>
          <w14:textFill>
            <w14:solidFill>
              <w14:schemeClr w14:val="tx1"/>
            </w14:solidFill>
          </w14:textFill>
        </w:rPr>
        <w:t xml:space="preserve">国产化</w:t>
      </w:r>
      <w:r>
        <w:rPr>
          <w:rFonts w:hint="eastAsia" w:ascii="宋体" w:hAnsi="宋体" w:eastAsia="Arial" w:cs="宋体"/>
          <w:b/>
          <w:bCs/>
          <w:i/>
          <w:iCs/>
          <w:sz w:val="24"/>
          <w:szCs w:val="20"/>
          <w:u w:val="single"/>
        </w:rPr>
        <w:t xml:space="preserve">适配要求，并通过验收测试。</w:t>
      </w:r>
      <w:r>
        <w:rPr>
          <w:rFonts w:hint="eastAsia" w:asciiTheme="majorEastAsia" w:hAnsiTheme="majorEastAsia" w:eastAsiaTheme="majorEastAsia" w:cstheme="majorEastAsia"/>
          <w:b/>
          <w:bCs/>
          <w:i/>
          <w:iCs/>
          <w:color w:val="000000" w:themeColor="text1"/>
          <w:sz w:val="24"/>
          <w:u w:val="single"/>
          <w14:textFill>
            <w14:solidFill>
              <w14:schemeClr w14:val="tx1"/>
            </w14:solidFill>
          </w14:textFill>
        </w:rPr>
        <w:t xml:space="preserve">（</w:t>
      </w:r>
      <w:r>
        <w:rPr>
          <w:rFonts w:hint="eastAsia" w:ascii="Times New Roman" w:hAnsi="Times New Roman"/>
          <w:b/>
          <w:bCs/>
          <w:i/>
          <w:iCs/>
          <w:sz w:val="24"/>
          <w:u w:val="single"/>
        </w:rPr>
        <w:t xml:space="preserve">投标人须出具承诺函，承诺函自制，并加盖投标人公章</w:t>
      </w:r>
      <w:r>
        <w:rPr>
          <w:rFonts w:hint="eastAsia" w:asciiTheme="majorEastAsia" w:hAnsiTheme="majorEastAsia" w:eastAsiaTheme="majorEastAsia" w:cstheme="majorEastAsia"/>
          <w:b/>
          <w:bCs/>
          <w:i/>
          <w:iCs/>
          <w:color w:val="000000"/>
          <w:sz w:val="24"/>
          <w:u w:val="single"/>
        </w:rPr>
        <w:t xml:space="preserve">）</w:t>
      </w:r>
      <w:r>
        <w:rPr>
          <w:rFonts w:hint="eastAsia" w:asciiTheme="majorEastAsia" w:hAnsiTheme="majorEastAsia" w:eastAsiaTheme="majorEastAsia" w:cstheme="majorEastAsia"/>
          <w:b/>
          <w:bCs/>
          <w:i/>
          <w:iCs/>
          <w:color w:val="000000"/>
          <w:sz w:val="24"/>
          <w:u w:val="none"/>
        </w:rPr>
        <w:t xml:space="preserve">。</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2.6日常技术运维服务</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2.6.1驻场服务</w:t>
      </w:r>
      <w:r/>
    </w:p>
    <w:p>
      <w:pPr>
        <w:ind w:firstLine="482"/>
        <w:jc w:val="left"/>
        <w:spacing w:line="560" w:lineRule="exact"/>
        <w:widowControl/>
        <w:rPr>
          <w:rFonts w:hint="eastAsia" w:asciiTheme="minorEastAsia" w:hAnsiTheme="minorEastAsia" w:eastAsiaTheme="minorEastAsia" w:cstheme="minorEastAsia"/>
          <w:sz w:val="24"/>
          <w:szCs w:val="20"/>
          <w:highlight w:val="yellow"/>
        </w:rPr>
      </w:pPr>
      <w:r>
        <w:rPr>
          <w:rFonts w:hint="eastAsia" w:asciiTheme="minorEastAsia" w:hAnsiTheme="minorEastAsia" w:eastAsiaTheme="minorEastAsia" w:cstheme="minorEastAsia"/>
          <w:sz w:val="24"/>
          <w:szCs w:val="20"/>
        </w:rPr>
        <w:t xml:space="preserve">除配备1名专职驻场安全员外，另需安排不少于1人专职驻场，负责日常平台技术运维，并提供7×24小时响应服务；驻场人员每周提交工作日志，日志内容包括巡检记录、故障处理、升级操作等。</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2.6.2运维工作内容</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每日检查网络链路状态，每周输出巡检报告；根据业务需求或安全要求，及时完成平台版本升级或补丁更新；为业务部门提供技术咨询，参与相关会议；每月进行一次漏洞扫描，发现高危漏洞须在24小时内修复；其他应急处理任务。</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2.6.3工具配备</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供应商应为驻场人员配备必要工具，包括但不限于笔记本电脑、网线钳、寻线仪、测试电话等。</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2.7话务服务保障</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2.7.1接通率保障</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热线坐席接通率须达到95%以上（按月度统计，排除不可抗力因素）。</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2.7.2系统对接</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保障话务数据报表对接、与盐城市智能回访和智能坐席助手模块对接，支撑热线平台智能化功能正常使用；根据盐城市数据局及省12345一体化平台的相关业务管理需求，保障呼入、呼出定制化场景策略调整升级。</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2.7.3录音备份</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呼入呼出录音文件实时备份至盐城市政务云存储，供应商提供必要的实时同步软件，实现录音稳定备份功能。</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三、商务要求</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本项目服务周期为3 年，合同一年一签。采购人有权根据年度工作需要、财政资金批复及使用情况，自主决定是否签订次年及第三年服务合同，无需向中标人承担违约责任或任何补偿费用。</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国产化适配后的软件使用权归采购人所有。</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四、技术方案要求</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投标人应提供详细的技术方案，至少包含以下内容：</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1、坐席业务与基础资源方案：链路整合与网络面板维护、坐席服务保障、基础资源提供等。</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（1）链路整合及网络面板维护应至少包含以下内容：</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①链路整合要求</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提供明确的链路整合方案，实现各类业务系统网络链路的统一接入与集中管理，避免多头接入造成的资源浪费与管理混乱。关键链路应采用主备冗余设计，确保单点故障情况下业务不中断，保障坐席服务连续性。同时应根据坐席业务并发量合理配置带宽资源，优先保障核心业务系统的网络传输质量。</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②网络面板维护要求</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投标人应提供网络面板的日常巡检机制，明确巡检周期、内容及标准，确保物理接口完好、标识清晰、连接稳定。建立网络面板故障快速响应机制，明确故障分级及对应处置时限。</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（2）坐席服务保障应至少包含以下内容：</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①服务目标要求</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需建立常态化、全周期的坐席运维保障机制，快速响应并处置坐席终端、网络、系统等各类故障，保障坐席人员业务办理零障碍，持续提升热线服务效率与群众满意度。</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②服务内容要求</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需覆盖坐席终端、网络链路、呼叫系统等全要素日常运维、故障应急处置、业务操作支撑、服务质量管控等全流程服务。</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③服务管理要求</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需科学合理划分保障批次与响应等级，针对不同类型故障、不同业务场景制定差异化保障方案，避免大规模集中运维影响正常工作秩序；需建立完整的服务台账，详细记录故障处置、巡检维护、服务响应等全流程信息。</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（3）基础资源提供应至少包含以下内容：</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①资源配备要求</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投标人应根据坐席规模、业务类型及岗位职责，科学配置基础资源，做到按需配备、避免浪费或不足。资源方案应预留弹性扩展能力，支持坐席规模扩大或业务功能升级时的平滑扩容。</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②基础资源内容要求</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提供满足坐席业务需求的标准化工作场地与工位，配备电源、网络、电话等基础接入条件。同时投标人应提供性能稳定、满足业务系统运行需求的终端设备，并建立设备更换与备用机制。另外投标人还应提供坐席业务所需的专网、互联网、电话线路等通信资源。</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2、日常技术运维服务方案：线路巡检、话务平台升级、专业咨询、安全漏扫等，明确驻场人员职责。</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（1）线路巡检应至少包含以下内容：</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投标人应在其方案中明确线路巡检的具体内容、频次、流程及记录要求，至少应包括：</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巡检的频次要求（如每日、每周等）；巡检覆盖的范围（如机房、通信线路、传输线路等）；巡检检查的具体内容（如线路连接状况、信号稳定性、物理损伤排查等）；隐患发现后的处理机制；巡检记录的提交方式与存档要求等内容。</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（2）话务平台升级应至少包含以下内容：</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在其方案中明确话务平台升级的保障机制与响应能力，至少应包括：对160个坐席话务软件升级的支持能力；热线号码呼入场景变更的响应与实施能力；IVR导航场景调整的响应与实施能力；配合省一体化统一安排完成话务平台升级的保障措施等内容。</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（3）专业咨询应至少包含以下内容：</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在其方案中明确专业咨询服务的提供方式与支撑能力，至少应包括：驻场人员提供专业咨询服务的范围（如线路、话务平台等方面）；咨询服务的响应机制与支撑方式；对业务处室及坐席人员咨询需求的覆盖能力等内容。</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（4）安全漏扫应至少包含以下内容：</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在其方案中明确安全漏洞扫描与修复的机制，至少应包括：安全漏扫的执行频次（如每月一次）；漏扫覆盖的范围；漏洞发现后的修复流程与时限承诺；以及保障平台网络安全性与稳定性的具体措施等内容。</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3、话务服务保障方案：投标人应提供完整、可行的话务服务保障方案，方案内容至少包含与智能回访和坐席助手系统对接、录音文件备份与管理等方面。具体要求如下：</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（1）与智能回访和坐席助手系统对接</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投标人应在其方案中明确与省一体化平台对接的实现机制与保障措施，至少应包括：</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对接省一体化平台，获取待回访工单并回传结果，保障工单流程稳定；智能回访模块在接口调整时的响应与保障机制；智能座席助手模块对接省一体化平台，实现来电语音转文字的技术方案等。</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（2）录音文件备份与管理</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在其方案中明确录音文件的备份机制、存储资源配置及安全保障措施，至少应包括：录音文件备份的频次要求（如每日实时备份）；录音数据备份的技术方案；网络安全保障措施、访问权限控制措施等具体内容。</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4、话务网安全服务方案：投标人应至少提供网安设备参数、断网应急措施等内容，并承诺每年提供不少于4次的安全集中培训和不定期的新入职人员的安全培训。具体要求如下：</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（1）网安设备参数</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投标人应在其方案中明确网安设备的具体配置方案，所投设备参数应不低于以下要求：</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① 安全网关-防护版</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网络层吞吐量≥8Gbps，IPS+AV+URL+SA吞吐量≥500Mbps，最大并发连接数≥200万，每秒新建连接数≥5万/秒，接口：千兆Combo接口≥ 8个，万兆光口≥2个，千兆WAN口≥ 16个，支持USB3.0。</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② 安全网关-审计版</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流量处理能力 ≥ 500Mbps，支持行为审计、流量分析等功能。</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（2）断网应急措施</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投标人应在其方案中明确断网应急的具体措施与保障机制，至少应包括：</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话务网主备线路1分钟内自动切换的实现方案；增加自动切换失效后的补救应急手段，当自动切换失效后，驻场网络工程师可进行人工切换操作，实现手动切换不少于150个应急电话（数量按需）的具体保障措施。</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5、国产化改造方案：投标人应提供完整、可行的国产化改造实施方案，全面覆盖平台整体适配、数据库迁移、政务云环境统一适配及核心智能模块改造等内容，确保系统在全栈国产化软硬件环境下稳定、高效、安全运行。方案至少包含适配国产化环境改造、短信平台数据库适配、政务云服务器国产化环境统一适配，以及对接的智能坐席助手、智能派单、智能回访三大功能模块的国产化适配改造等关键内容，具体要求如下：</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投标人应在方案中明确话务平台国产化适配改造具体内容，至少包括：针对热线座席终端更换国产操作系统后的软硬件兼容适配方案，保障话务接听、转接、挂机、录音、质检等核心话务功能正常运行的技术措施、测试验证机制及运行保障体系。</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（2）投标人应在方案中明确短信平台数据库适配具体方案，至少包括：将短信平台现有 Oracle 数据库迁移至符合政务要求的国产关系型数据库的技术路线、迁移方案、数据校验机制、回退预案及过渡期保障措施，确保数据不丢失、业务不中断。</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投标人应在方案中明确政务云服务器国产化环境适配具体方案，至少包括：政务云服务器端全栈国产化环境统一整合适配方案；对国产服务器、国产操作系统、国产数据库、国产中间件等基础软硬件的兼容适配、部署调优、性能优化及安全加固的具体技术措施。</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4）投标人应在方案中明确智能化功能模块国产化适配改造具体方案，至少包括：智能坐席助手、智能派单、智能回访三大核心功能模块在国产化环境下的代码改造、接口适配、流程重构及功能验证方案；实现对国产数据库、国产操作系统、国产中间件及国产浏览器全面兼容适配的具体技术实现路径与保障措施。</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6、应急保障服务方案：投标人应提供完整、可行的应急保障服务方案，方案内容至少包含应急组织与职责、事件分类与分级、预警机制、应急响应流程等内容。具体要求如下：</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（1）应急组织与职责</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投标人应在其方案中明确应急组织架构及职责分工，至少应包括：应急保障的组织架构设置；各岗位人员配置及具体职责分工；应急联络机制与信息通报流程等。</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（2）事件分类与分级</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投标人应在其方案中明确应急事件的分级分类标准，至少应包括：根据事件影响范围、严重程度、紧急程度等因素，建立明确的事件分类与分级标准；不同级别事件对应的响应要求与处置原则等内容。</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（3）预警机制</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投标人应在其方案中明确预警监测与发布机制，至少应包括：预警信息的监测与发现机制；预警级别的划分标准；预警信息发布流程与传递渠道；预警响应的准备工作等内容。</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（4）应急响应流程</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投标人应在其方案中明确应急响应的完整流程，至少应包括：事件发现与报告流程；应急启动与指挥调度流程；应急处置操作流程与规范；事后恢复与总结评估流程等内容。</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7、实施方案：投标人应至少提供项目组织及人员保障、项目进度安排、项目管理等内容。具体要求如下：</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（1）项目组织及人员保障</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为了确保按期完成建设和服务内容，投标人在项目实施过程中，项目实施负责人必须参加由采购人召开的项目推进会，每月向采购人汇报工作进度、问题及下阶段工作计划，确保按时完成项目工作。项目实施期间，投标人变更项目</w:t>
      </w:r>
      <w:r>
        <w:rPr>
          <w:rFonts w:hint="eastAsia" w:asciiTheme="minorEastAsia" w:hAnsiTheme="minorEastAsia" w:cstheme="minorEastAsia"/>
          <w:sz w:val="24"/>
          <w:szCs w:val="20"/>
          <w:lang w:val="en-US" w:eastAsia="zh-CN"/>
        </w:rPr>
        <w:t xml:space="preserve">负责人</w:t>
      </w:r>
      <w:r>
        <w:rPr>
          <w:rFonts w:hint="eastAsia" w:asciiTheme="minorEastAsia" w:hAnsiTheme="minorEastAsia" w:eastAsiaTheme="minorEastAsia" w:cstheme="minorEastAsia"/>
          <w:sz w:val="24"/>
          <w:szCs w:val="20"/>
        </w:rPr>
        <w:t xml:space="preserve">必须经采购人书面同意。项目结束前驻场人员不得更换或者中途退出，如有特殊原因需要更换，必须得到采购人书面同意。</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在系统建设、运维期间以及项目结束后，投标人必须严守保密规定，未经同意，不得将采购人信息数据向任何无关单位和个人提供和泄露，必须有严格的数据保密措施，如因操作不当导致数据泄密应追究相应法律责任。</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（2）项目进度安排</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为了确保按期完成建设和服务内容，投标人详细描述项目各项工作的进展计划，并明确完成各项工作预计所需时间及达到的阶段目标，提供各阶段服务内容。</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（3）项目管理</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为了确保按期完成建设和服务内容，投标人应提供完善的项目管理方案，包括项目整体管理、项目管理方法、项目质量管理、文档管理方案等。</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8、培训方案：投标人应至少提供培训内容、培训方式、培训计划等内容。具体要求如下：</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（1）培训内容</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投标人应在其方案中明确培训的具体内容，包含系统操作类培训、日常维护管理类培训、安全培训等，需根据不同岗位设置差异化的培训内容。</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（2）培训方式</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在其方案中明确培训的组织形式与教学方式，至少应包括：培训方式的具体安排（如现场集中培训、线上培训等）；分考虑不同受众的知识基础、接受能力和时间便利性，提供友好易学的培训体验；注重互动交流与实践操作相结合的培训设计等。</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（3）培训计划</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投标人应在其方案中明确培训的总体安排与实施计划，至少应包括：培训批次划分与时间安排，科学合理划分培训批次，方便不同岗位人员按需参与；培训总时长及各模块课时分配；培训进度的阶段性安排等内容。</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9、履约能力</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（1）项目团队</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为保证本项目从启动之日起至服务期满止期间的项目实施及系统正常有序运行，投标人须组织具有项目实施维护能力的项目团队，项目负责人1名，负责整个项目的策划、实施和管理，协调各方面工作，全面负责整个项目的执行，对现场项目进度、质量、安全等方面进行协调和管理；技术负责人1名，全面负责整个项目的安全运行，对现场话务网络、电子政务网及互联网安全等方面进行协调和管理；运维负责人1名，负责运维、故障与应急协调，保障系统稳定运行。团队成员不少于4人（不含项目负责人、</w:t>
      </w:r>
      <w:r>
        <w:rPr>
          <w:rFonts w:hint="eastAsia" w:asciiTheme="minorEastAsia" w:hAnsiTheme="minorEastAsia" w:cstheme="minorEastAsia"/>
          <w:sz w:val="24"/>
          <w:szCs w:val="20"/>
          <w:lang w:val="en-US" w:eastAsia="zh-CN"/>
        </w:rPr>
        <w:t xml:space="preserve">技术</w:t>
      </w:r>
      <w:r>
        <w:rPr>
          <w:rFonts w:hint="eastAsia" w:asciiTheme="minorEastAsia" w:hAnsiTheme="minorEastAsia" w:eastAsiaTheme="minorEastAsia" w:cstheme="minorEastAsia"/>
          <w:sz w:val="24"/>
          <w:szCs w:val="20"/>
        </w:rPr>
        <w:t xml:space="preserve">负责人），负责项目的具体工作，确保项目的顺利进行。服务期内，配备驻场工程师2人（驻场安全员和驻场技术运维各1人，</w:t>
      </w:r>
      <w:r>
        <w:rPr>
          <w:rFonts w:hint="eastAsia" w:asciiTheme="minorEastAsia" w:hAnsiTheme="minorEastAsia" w:eastAsiaTheme="minorEastAsia" w:cstheme="minorEastAsia"/>
          <w:color w:val="000000" w:themeColor="text1"/>
          <w:sz w:val="24"/>
          <w14:textFill>
            <w14:solidFill>
              <w14:schemeClr w14:val="tx1"/>
            </w14:solidFill>
          </w14:textFill>
        </w:rPr>
        <w:t xml:space="preserve">不含项目负责人、</w:t>
      </w:r>
      <w:r>
        <w:rPr>
          <w:rFonts w:hint="eastAsia" w:asciiTheme="minorEastAsia" w:hAnsiTheme="minorEastAsia" w:cstheme="minorEastAsia"/>
          <w:color w:val="000000" w:themeColor="text1"/>
          <w:sz w:val="24"/>
          <w:lang w:val="en-US" w:eastAsia="zh-CN"/>
          <w14:textFill>
            <w14:solidFill>
              <w14:schemeClr w14:val="tx1"/>
            </w14:solidFill>
          </w14:textFill>
        </w:rPr>
        <w:t xml:space="preserve">技术</w:t>
      </w:r>
      <w:r>
        <w:rPr>
          <w:rFonts w:hint="eastAsia" w:asciiTheme="minorEastAsia" w:hAnsiTheme="minorEastAsia" w:eastAsiaTheme="minorEastAsia" w:cstheme="minorEastAsia"/>
          <w:color w:val="000000" w:themeColor="text1"/>
          <w:sz w:val="24"/>
          <w14:textFill>
            <w14:solidFill>
              <w14:schemeClr w14:val="tx1"/>
            </w14:solidFill>
          </w14:textFill>
        </w:rPr>
        <w:t xml:space="preserve">负责人、项目团队成员</w:t>
      </w:r>
      <w:r>
        <w:rPr>
          <w:rFonts w:hint="eastAsia" w:asciiTheme="minorEastAsia" w:hAnsiTheme="minorEastAsia" w:eastAsiaTheme="minorEastAsia" w:cstheme="minorEastAsia"/>
          <w:sz w:val="24"/>
          <w:szCs w:val="20"/>
        </w:rPr>
        <w:t xml:space="preserve">），驻场人员必须具备与本项目规模相适应的技能、项目经验和沟通能力，并且为专职驻场人员，不得兼任其他项目，项目结束前人员不得更换或者中途退出，如有特殊原因需要更换，必须得到采购人书面同意。在服务期间以及项目结束后，投标人必须严守保密规定，未经同意，不得将采购人信息数据向任何无关单位和个人提供和泄露，必须有严格的数据保密措施，如因操作不当导致数据泄密应追究相应法律责任。</w:t>
      </w:r>
      <w:r/>
    </w:p>
    <w:p>
      <w:pPr>
        <w:ind w:firstLine="482"/>
        <w:jc w:val="left"/>
        <w:spacing w:line="560" w:lineRule="exact"/>
        <w:widowControl/>
        <w:rPr>
          <w:rFonts w:hint="eastAsia" w:asciiTheme="minorEastAsia" w:hAnsiTheme="minorEastAsia" w:eastAsiaTheme="minorEastAsia" w:cstheme="minorEastAsia"/>
          <w:color w:val="000000" w:themeColor="text1"/>
          <w:sz w:val="24"/>
          <w:szCs w:val="20"/>
          <w14:textFill>
            <w14:solidFill>
              <w14:schemeClr w14:val="tx1"/>
            </w14:solidFill>
          </w14:textFill>
        </w:rPr>
      </w:pPr>
      <w:r>
        <w:rPr>
          <w:rFonts w:hint="eastAsia" w:asciiTheme="minorEastAsia" w:hAnsiTheme="minorEastAsia" w:eastAsiaTheme="minorEastAsia" w:cstheme="minorEastAsia"/>
          <w:color w:val="000000" w:themeColor="text1"/>
          <w:sz w:val="24"/>
          <w:szCs w:val="20"/>
          <w14:textFill>
            <w14:solidFill>
              <w14:schemeClr w14:val="tx1"/>
            </w14:solidFill>
          </w14:textFill>
        </w:rPr>
        <w:t xml:space="preserve">（2）人员资质</w:t>
      </w:r>
      <w:r/>
    </w:p>
    <w:p>
      <w:pPr>
        <w:ind w:firstLine="482"/>
        <w:jc w:val="left"/>
        <w:spacing w:line="560" w:lineRule="exact"/>
        <w:widowControl/>
        <w:rPr>
          <w:rFonts w:hint="eastAsia" w:asciiTheme="minorEastAsia" w:hAnsiTheme="minorEastAsia" w:eastAsiaTheme="minorEastAsia" w:cstheme="minorEastAsia"/>
          <w:color w:val="000000" w:themeColor="text1"/>
          <w:sz w:val="24"/>
          <w:szCs w:val="20"/>
          <w14:textFill>
            <w14:solidFill>
              <w14:schemeClr w14:val="tx1"/>
            </w14:solidFill>
          </w14:textFill>
        </w:rPr>
      </w:pPr>
      <w:r>
        <w:rPr>
          <w:rFonts w:hint="eastAsia" w:asciiTheme="minorEastAsia" w:hAnsiTheme="minorEastAsia" w:eastAsiaTheme="minorEastAsia" w:cstheme="minorEastAsia"/>
          <w:color w:val="000000" w:themeColor="text1"/>
          <w:sz w:val="24"/>
          <w:szCs w:val="20"/>
          <w14:textFill>
            <w14:solidFill>
              <w14:schemeClr w14:val="tx1"/>
            </w14:solidFill>
          </w14:textFill>
        </w:rPr>
        <w:t xml:space="preserve">项目负责人：</w:t>
      </w:r>
      <w:r>
        <w:rPr>
          <w:rFonts w:hint="eastAsia" w:asciiTheme="minorEastAsia" w:hAnsiTheme="minorEastAsia" w:eastAsiaTheme="minorEastAsia" w:cstheme="minorEastAsia"/>
          <w:color w:val="000000" w:themeColor="text1"/>
          <w:sz w:val="24"/>
          <w14:textFill>
            <w14:solidFill>
              <w14:schemeClr w14:val="tx1"/>
            </w14:solidFill>
          </w14:textFill>
        </w:rPr>
        <w:t xml:space="preserve">具有中华人民共和国人力资源和社会保障部、工业和信息化部颁发的</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 xml:space="preserve">网络规划设计师（高级）证书、信息系统项目管理师（高级）证书</w:t>
      </w:r>
      <w:r>
        <w:rPr>
          <w:rFonts w:hint="eastAsia" w:asciiTheme="minorEastAsia" w:hAnsiTheme="minorEastAsia" w:eastAsiaTheme="minorEastAsia" w:cstheme="minorEastAsia"/>
          <w:color w:val="000000" w:themeColor="text1"/>
          <w:sz w:val="24"/>
          <w:szCs w:val="20"/>
          <w14:textFill>
            <w14:solidFill>
              <w14:schemeClr w14:val="tx1"/>
            </w14:solidFill>
          </w14:textFill>
        </w:rPr>
        <w:t xml:space="preserve">的</w:t>
      </w:r>
      <w:r>
        <w:rPr>
          <w:rFonts w:hint="eastAsia" w:asciiTheme="minorEastAsia" w:hAnsiTheme="minorEastAsia" w:eastAsiaTheme="minorEastAsia" w:cstheme="minorEastAsia"/>
          <w:b/>
          <w:bCs/>
          <w:color w:val="000000" w:themeColor="text1"/>
          <w:sz w:val="24"/>
          <w:szCs w:val="20"/>
          <w14:textFill>
            <w14:solidFill>
              <w14:schemeClr w14:val="tx1"/>
            </w14:solidFill>
          </w14:textFill>
        </w:rPr>
        <w:t xml:space="preserve">优先</w:t>
      </w:r>
      <w:r>
        <w:rPr>
          <w:rFonts w:hint="eastAsia" w:asciiTheme="minorEastAsia" w:hAnsiTheme="minorEastAsia" w:eastAsiaTheme="minorEastAsia" w:cstheme="minorEastAsia"/>
          <w:color w:val="000000" w:themeColor="text1"/>
          <w:sz w:val="24"/>
          <w:szCs w:val="20"/>
          <w14:textFill>
            <w14:solidFill>
              <w14:schemeClr w14:val="tx1"/>
            </w14:solidFill>
          </w14:textFill>
        </w:rPr>
        <w:t xml:space="preserve">。</w:t>
      </w:r>
      <w:r/>
    </w:p>
    <w:p>
      <w:pPr>
        <w:ind w:firstLine="482"/>
        <w:jc w:val="left"/>
        <w:spacing w:line="560" w:lineRule="exact"/>
        <w:widowControl/>
        <w:rPr>
          <w:rFonts w:hint="eastAsia" w:asciiTheme="minorEastAsia" w:hAnsiTheme="minorEastAsia" w:eastAsiaTheme="minorEastAsia" w:cstheme="minorEastAsia"/>
          <w:color w:val="000000" w:themeColor="text1"/>
          <w:sz w:val="24"/>
          <w:szCs w:val="20"/>
          <w14:textFill>
            <w14:solidFill>
              <w14:schemeClr w14:val="tx1"/>
            </w14:solidFill>
          </w14:textFill>
        </w:rPr>
      </w:pPr>
      <w:r>
        <w:rPr>
          <w:rFonts w:hint="eastAsia" w:asciiTheme="minorEastAsia" w:hAnsiTheme="minorEastAsia" w:eastAsiaTheme="minorEastAsia" w:cstheme="minorEastAsia"/>
          <w:color w:val="000000" w:themeColor="text1"/>
          <w:sz w:val="24"/>
          <w:szCs w:val="20"/>
          <w14:textFill>
            <w14:solidFill>
              <w14:schemeClr w14:val="tx1"/>
            </w14:solidFill>
          </w14:textFill>
        </w:rPr>
        <w:t xml:space="preserve">技术负责人：具有中华人民共和国人力资源和社会保障部、工业和信息化部颁发的</w:t>
      </w:r>
      <w:r>
        <w:rPr>
          <w:rFonts w:hint="eastAsia" w:asciiTheme="minorEastAsia" w:hAnsiTheme="minorEastAsia" w:eastAsiaTheme="minorEastAsia" w:cstheme="minorEastAsia"/>
          <w:color w:val="000000" w:themeColor="text1"/>
          <w:sz w:val="24"/>
          <w:szCs w:val="20"/>
          <w:lang w:val="en-US" w:eastAsia="zh-CN"/>
          <w14:textFill>
            <w14:solidFill>
              <w14:schemeClr w14:val="tx1"/>
            </w14:solidFill>
          </w14:textFill>
        </w:rPr>
        <w:t xml:space="preserve">系统集成项目管理工程师（中级）证书</w:t>
      </w:r>
      <w:r>
        <w:rPr>
          <w:rFonts w:hint="eastAsia" w:asciiTheme="minorEastAsia" w:hAnsiTheme="minorEastAsia" w:eastAsiaTheme="minorEastAsia" w:cstheme="minorEastAsia"/>
          <w:color w:val="000000" w:themeColor="text1"/>
          <w:sz w:val="24"/>
          <w:szCs w:val="20"/>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0"/>
          <w:lang w:val="en-US" w:eastAsia="zh-CN"/>
          <w14:textFill>
            <w14:solidFill>
              <w14:schemeClr w14:val="tx1"/>
            </w14:solidFill>
          </w14:textFill>
        </w:rPr>
        <w:t xml:space="preserve">中国网络安全审查技术与认证中心颁发的</w:t>
      </w:r>
      <w:r>
        <w:rPr>
          <w:rFonts w:hint="eastAsia" w:asciiTheme="minorEastAsia" w:hAnsiTheme="minorEastAsia" w:eastAsiaTheme="minorEastAsia" w:cstheme="minorEastAsia"/>
          <w:color w:val="000000" w:themeColor="text1"/>
          <w:sz w:val="24"/>
          <w:szCs w:val="20"/>
          <w14:textFill>
            <w14:solidFill>
              <w14:schemeClr w14:val="tx1"/>
            </w14:solidFill>
          </w14:textFill>
        </w:rPr>
        <w:t xml:space="preserve">信息安全保障人员认证证书CISAW（</w:t>
      </w:r>
      <w:r>
        <w:rPr>
          <w:rFonts w:hint="eastAsia" w:asciiTheme="minorEastAsia" w:hAnsiTheme="minorEastAsia" w:eastAsiaTheme="minorEastAsia" w:cstheme="minorEastAsia"/>
          <w:color w:val="000000" w:themeColor="text1"/>
          <w:sz w:val="24"/>
          <w:szCs w:val="20"/>
          <w:lang w:val="en-US" w:eastAsia="zh-CN"/>
          <w14:textFill>
            <w14:solidFill>
              <w14:schemeClr w14:val="tx1"/>
            </w14:solidFill>
          </w14:textFill>
        </w:rPr>
        <w:t xml:space="preserve">安全运维</w:t>
      </w:r>
      <w:r>
        <w:rPr>
          <w:rFonts w:hint="eastAsia" w:asciiTheme="minorEastAsia" w:hAnsiTheme="minorEastAsia" w:eastAsiaTheme="minorEastAsia" w:cstheme="minorEastAsia"/>
          <w:color w:val="000000" w:themeColor="text1"/>
          <w:sz w:val="24"/>
          <w:szCs w:val="20"/>
          <w14:textFill>
            <w14:solidFill>
              <w14:schemeClr w14:val="tx1"/>
            </w14:solidFill>
          </w14:textFill>
        </w:rPr>
        <w:t xml:space="preserve">）证书的</w:t>
      </w:r>
      <w:r>
        <w:rPr>
          <w:rFonts w:hint="eastAsia" w:asciiTheme="minorEastAsia" w:hAnsiTheme="minorEastAsia" w:eastAsiaTheme="minorEastAsia" w:cstheme="minorEastAsia"/>
          <w:b/>
          <w:bCs/>
          <w:color w:val="000000" w:themeColor="text1"/>
          <w:sz w:val="24"/>
          <w:szCs w:val="20"/>
          <w14:textFill>
            <w14:solidFill>
              <w14:schemeClr w14:val="tx1"/>
            </w14:solidFill>
          </w14:textFill>
        </w:rPr>
        <w:t xml:space="preserve">优先</w:t>
      </w:r>
      <w:r>
        <w:rPr>
          <w:rFonts w:hint="eastAsia" w:asciiTheme="minorEastAsia" w:hAnsiTheme="minorEastAsia" w:eastAsiaTheme="minorEastAsia" w:cstheme="minorEastAsia"/>
          <w:color w:val="000000" w:themeColor="text1"/>
          <w:sz w:val="24"/>
          <w:szCs w:val="20"/>
          <w14:textFill>
            <w14:solidFill>
              <w14:schemeClr w14:val="tx1"/>
            </w14:solidFill>
          </w14:textFill>
        </w:rPr>
        <w:t xml:space="preserve">。</w:t>
      </w:r>
      <w:r/>
    </w:p>
    <w:p>
      <w:pPr>
        <w:ind w:firstLine="482"/>
        <w:jc w:val="left"/>
        <w:spacing w:line="560" w:lineRule="exact"/>
        <w:widowControl/>
        <w:rPr>
          <w:rFonts w:hint="eastAsia" w:asciiTheme="minorEastAsia" w:hAnsiTheme="minorEastAsia" w:eastAsiaTheme="minorEastAsia" w:cstheme="minorEastAsia"/>
          <w:color w:val="000000" w:themeColor="text1"/>
          <w:sz w:val="24"/>
          <w:szCs w:val="20"/>
          <w14:textFill>
            <w14:solidFill>
              <w14:schemeClr w14:val="tx1"/>
            </w14:solidFill>
          </w14:textFill>
        </w:rPr>
      </w:pPr>
      <w:r>
        <w:rPr>
          <w:rFonts w:hint="eastAsia" w:asciiTheme="minorEastAsia" w:hAnsiTheme="minorEastAsia" w:eastAsiaTheme="minorEastAsia" w:cstheme="minorEastAsia"/>
          <w:color w:val="000000" w:themeColor="text1"/>
          <w:sz w:val="24"/>
          <w:szCs w:val="20"/>
          <w14:textFill>
            <w14:solidFill>
              <w14:schemeClr w14:val="tx1"/>
            </w14:solidFill>
          </w14:textFill>
        </w:rPr>
        <w:t xml:space="preserve">项目团队成员（除项目负责人、技术负责人以外）：</w:t>
      </w:r>
      <w:r>
        <w:rPr>
          <w:rFonts w:hint="eastAsia" w:asciiTheme="minorEastAsia" w:hAnsiTheme="minorEastAsia" w:eastAsiaTheme="minorEastAsia" w:cstheme="minorEastAsia"/>
          <w:color w:val="000000" w:themeColor="text1"/>
          <w:sz w:val="24"/>
          <w:szCs w:val="20"/>
          <w:lang w:val="en-US" w:eastAsia="zh-CN"/>
          <w14:textFill>
            <w14:solidFill>
              <w14:schemeClr w14:val="tx1"/>
            </w14:solidFill>
          </w14:textFill>
        </w:rPr>
        <w:t xml:space="preserve">具有中华人民共和国人力资源和社会保障部、工业和信息化部颁发的</w:t>
      </w:r>
      <w:r>
        <w:rPr>
          <w:rFonts w:hint="eastAsia" w:asciiTheme="minorEastAsia" w:hAnsiTheme="minorEastAsia" w:cstheme="minorEastAsia"/>
          <w:color w:val="000000" w:themeColor="text1"/>
          <w:sz w:val="24"/>
          <w:szCs w:val="20"/>
          <w:lang w:val="en-US" w:eastAsia="zh-CN"/>
          <w14:textFill>
            <w14:solidFill>
              <w14:schemeClr w14:val="tx1"/>
            </w14:solidFill>
          </w14:textFill>
        </w:rPr>
        <w:t xml:space="preserve">数据库系统工程师（中级）</w:t>
      </w:r>
      <w:r>
        <w:rPr>
          <w:rFonts w:hint="eastAsia" w:asciiTheme="minorEastAsia" w:hAnsiTheme="minorEastAsia" w:eastAsiaTheme="minorEastAsia" w:cstheme="minorEastAsia"/>
          <w:color w:val="000000" w:themeColor="text1"/>
          <w:sz w:val="24"/>
          <w:szCs w:val="20"/>
          <w:lang w:val="en-US" w:eastAsia="zh-CN"/>
          <w14:textFill>
            <w14:solidFill>
              <w14:schemeClr w14:val="tx1"/>
            </w14:solidFill>
          </w14:textFill>
        </w:rPr>
        <w:t xml:space="preserve">证书、网络工程师（中级）证书，中国信息安全测评中心颁发的注册信息安全专业人员（CISP）证书，中国网络安全审查技术与认证中心颁发的信息安全保障人员认证证书CISAW（应急服务）证书的</w:t>
      </w:r>
      <w:r>
        <w:rPr>
          <w:rFonts w:hint="eastAsia" w:asciiTheme="minorEastAsia" w:hAnsiTheme="minorEastAsia" w:eastAsiaTheme="minorEastAsia" w:cstheme="minorEastAsia"/>
          <w:b/>
          <w:bCs/>
          <w:color w:val="000000" w:themeColor="text1"/>
          <w:sz w:val="24"/>
          <w:szCs w:val="20"/>
          <w14:textFill>
            <w14:solidFill>
              <w14:schemeClr w14:val="tx1"/>
            </w14:solidFill>
          </w14:textFill>
        </w:rPr>
        <w:t xml:space="preserve">优先</w:t>
      </w:r>
      <w:r>
        <w:rPr>
          <w:rFonts w:hint="eastAsia" w:asciiTheme="minorEastAsia" w:hAnsiTheme="minorEastAsia" w:eastAsiaTheme="minorEastAsia" w:cstheme="minorEastAsia"/>
          <w:color w:val="000000" w:themeColor="text1"/>
          <w:sz w:val="24"/>
          <w:szCs w:val="20"/>
          <w14:textFill>
            <w14:solidFill>
              <w14:schemeClr w14:val="tx1"/>
            </w14:solidFill>
          </w14:textFill>
        </w:rPr>
        <w:t xml:space="preserve">。</w:t>
      </w:r>
      <w:r/>
    </w:p>
    <w:p>
      <w:pPr>
        <w:ind w:firstLine="482"/>
        <w:jc w:val="left"/>
        <w:spacing w:line="560" w:lineRule="exact"/>
        <w:widowControl/>
        <w:rPr>
          <w:rFonts w:hint="eastAsia" w:asciiTheme="minorEastAsia" w:hAnsiTheme="minorEastAsia" w:eastAsiaTheme="minorEastAsia" w:cstheme="minorEastAsia"/>
          <w:b/>
          <w:bCs/>
          <w:color w:val="000000" w:themeColor="text1"/>
          <w:sz w:val="24"/>
          <w:szCs w:val="20"/>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项目运维驻场人员（2人，</w:t>
      </w:r>
      <w:r>
        <w:rPr>
          <w:rFonts w:hint="eastAsia" w:asciiTheme="minorEastAsia" w:hAnsiTheme="minorEastAsia" w:eastAsiaTheme="minorEastAsia" w:cstheme="minorEastAsia"/>
          <w:color w:val="000000" w:themeColor="text1"/>
          <w:sz w:val="24"/>
          <w14:textFill>
            <w14:solidFill>
              <w14:schemeClr w14:val="tx1"/>
            </w14:solidFill>
          </w14:textFill>
        </w:rPr>
        <w:t xml:space="preserve">除项目负责人、</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 xml:space="preserve">技术</w:t>
      </w:r>
      <w:r>
        <w:rPr>
          <w:rFonts w:hint="eastAsia" w:asciiTheme="minorEastAsia" w:hAnsiTheme="minorEastAsia" w:eastAsiaTheme="minorEastAsia" w:cstheme="minorEastAsia"/>
          <w:color w:val="000000" w:themeColor="text1"/>
          <w:sz w:val="24"/>
          <w14:textFill>
            <w14:solidFill>
              <w14:schemeClr w14:val="tx1"/>
            </w14:solidFill>
          </w14:textFill>
        </w:rPr>
        <w:t xml:space="preserve">负责人、项目团队成员以外</w:t>
      </w:r>
      <w:r>
        <w:rPr>
          <w:rFonts w:hint="eastAsia" w:asciiTheme="minorEastAsia" w:hAnsiTheme="minorEastAsia" w:eastAsiaTheme="minorEastAsia" w:cstheme="minorEastAsia"/>
          <w:color w:val="000000" w:themeColor="text1"/>
          <w:sz w:val="24"/>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0"/>
          <w:lang w:val="en-US" w:eastAsia="zh-CN"/>
          <w14:textFill>
            <w14:solidFill>
              <w14:schemeClr w14:val="tx1"/>
            </w14:solidFill>
          </w14:textFill>
        </w:rPr>
        <w:t xml:space="preserve">具有中国信息安全测评中心颁发的注册信息安全专业人员（CISP）证书，中华人民共和国人力资源和社会保障部、工业和信息化部颁发的网络工程师（中级）证书</w:t>
      </w:r>
      <w:r>
        <w:rPr>
          <w:rFonts w:hint="eastAsia" w:asciiTheme="minorEastAsia" w:hAnsiTheme="minorEastAsia" w:eastAsiaTheme="minorEastAsia" w:cstheme="minorEastAsia"/>
          <w:color w:val="000000" w:themeColor="text1"/>
          <w:sz w:val="24"/>
          <w:szCs w:val="20"/>
          <w14:textFill>
            <w14:solidFill>
              <w14:schemeClr w14:val="tx1"/>
            </w14:solidFill>
          </w14:textFill>
        </w:rPr>
        <w:t xml:space="preserve">的</w:t>
      </w:r>
      <w:r>
        <w:rPr>
          <w:rFonts w:hint="eastAsia" w:asciiTheme="minorEastAsia" w:hAnsiTheme="minorEastAsia" w:eastAsiaTheme="minorEastAsia" w:cstheme="minorEastAsia"/>
          <w:b/>
          <w:bCs/>
          <w:color w:val="000000" w:themeColor="text1"/>
          <w:sz w:val="24"/>
          <w:szCs w:val="20"/>
          <w14:textFill>
            <w14:solidFill>
              <w14:schemeClr w14:val="tx1"/>
            </w14:solidFill>
          </w14:textFill>
        </w:rPr>
        <w:t xml:space="preserve">优先。</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（3）业绩要求。投标人自2023年1月1日以来（以合同签订日期为准）承接过类似项目（</w:t>
      </w:r>
      <w:r>
        <w:rPr>
          <w:rFonts w:hint="eastAsia" w:asciiTheme="minorEastAsia" w:hAnsiTheme="minorEastAsia" w:eastAsiaTheme="minorEastAsia" w:cstheme="minorEastAsia"/>
          <w:sz w:val="24"/>
        </w:rPr>
        <w:t xml:space="preserve">类似项目是指政府热线、呼叫中心等相关内容</w:t>
      </w:r>
      <w:r>
        <w:rPr>
          <w:rFonts w:hint="eastAsia" w:asciiTheme="minorEastAsia" w:hAnsiTheme="minorEastAsia" w:eastAsiaTheme="minorEastAsia" w:cstheme="minorEastAsia"/>
          <w:sz w:val="24"/>
          <w:lang w:val="zh-CN"/>
        </w:rPr>
        <w:t xml:space="preserve">至少一项在内</w:t>
      </w:r>
      <w:r>
        <w:rPr>
          <w:rFonts w:hint="eastAsia" w:asciiTheme="minorEastAsia" w:hAnsiTheme="minorEastAsia" w:eastAsiaTheme="minorEastAsia" w:cstheme="minorEastAsia"/>
          <w:sz w:val="24"/>
        </w:rPr>
        <w:t xml:space="preserve">的成功案例</w:t>
      </w:r>
      <w:r>
        <w:rPr>
          <w:rFonts w:hint="eastAsia" w:asciiTheme="minorEastAsia" w:hAnsiTheme="minorEastAsia" w:eastAsiaTheme="minorEastAsia" w:cstheme="minorEastAsia"/>
          <w:sz w:val="24"/>
          <w:szCs w:val="20"/>
        </w:rPr>
        <w:t xml:space="preserve">）的</w:t>
      </w:r>
      <w:r>
        <w:rPr>
          <w:rFonts w:hint="eastAsia" w:asciiTheme="minorEastAsia" w:hAnsiTheme="minorEastAsia" w:eastAsiaTheme="minorEastAsia" w:cstheme="minorEastAsia"/>
          <w:b/>
          <w:bCs/>
          <w:sz w:val="24"/>
          <w:szCs w:val="20"/>
        </w:rPr>
        <w:t xml:space="preserve">优先</w:t>
      </w:r>
      <w:r>
        <w:rPr>
          <w:rFonts w:hint="eastAsia" w:asciiTheme="minorEastAsia" w:hAnsiTheme="minorEastAsia" w:eastAsiaTheme="minorEastAsia" w:cstheme="minorEastAsia"/>
          <w:sz w:val="24"/>
          <w:szCs w:val="20"/>
        </w:rPr>
        <w:t xml:space="preserve">。</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（4）服务承诺。投标人须承诺在项目实施过程中，能够做到线路无需割接且系统不中断，或明确中断时长不超过承诺时限的</w:t>
      </w:r>
      <w:r>
        <w:rPr>
          <w:rFonts w:hint="eastAsia" w:asciiTheme="minorEastAsia" w:hAnsiTheme="minorEastAsia" w:eastAsiaTheme="minorEastAsia" w:cstheme="minorEastAsia"/>
          <w:b/>
          <w:bCs/>
          <w:sz w:val="24"/>
          <w:szCs w:val="20"/>
        </w:rPr>
        <w:t xml:space="preserve">优先</w:t>
      </w:r>
      <w:r>
        <w:rPr>
          <w:rFonts w:hint="eastAsia" w:asciiTheme="minorEastAsia" w:hAnsiTheme="minorEastAsia" w:eastAsiaTheme="minorEastAsia" w:cstheme="minorEastAsia"/>
          <w:sz w:val="24"/>
          <w:szCs w:val="20"/>
        </w:rPr>
        <w:t xml:space="preserve">。</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5）其他要求。中标人须接受采购人按月度对接通率、故障响应时间、备份完整性等指标的考核，考核结果与付款挂钩（具体见第五章“履约考核要求”）。项目实施过程中产生的定制化软件、代码、文档等知识产权归采购人所有。其中国产化适配后的软件，采购人享有永久使用权。</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五、履约考核要求</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5.1 考核目的</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通过量化考核，客观评价中标人的服务质量和履约能力，确保12345热线平台稳定、高效、安全运行。</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5.2 考核组织</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采购人指定专门处室负责日常监督与月度考核，中标人须配合提供相关数据和证明材料。</w:t>
      </w:r>
      <w:r/>
    </w:p>
    <w:p>
      <w:pPr>
        <w:ind w:firstLine="482"/>
        <w:jc w:val="left"/>
        <w:spacing w:line="560" w:lineRule="exact"/>
        <w:widowControl/>
        <w:rPr>
          <w:rFonts w:hint="eastAsia" w:asciiTheme="minorEastAsia" w:hAnsiTheme="minorEastAsia" w:eastAsiaTheme="minorEastAsia" w:cstheme="minorEastAsia"/>
          <w:b/>
          <w:bCs/>
          <w:sz w:val="24"/>
          <w:szCs w:val="20"/>
        </w:rPr>
      </w:pPr>
      <w:r>
        <w:rPr>
          <w:rFonts w:hint="eastAsia" w:asciiTheme="minorEastAsia" w:hAnsiTheme="minorEastAsia" w:eastAsiaTheme="minorEastAsia" w:cstheme="minorEastAsia"/>
          <w:b/>
          <w:bCs/>
          <w:sz w:val="24"/>
          <w:szCs w:val="20"/>
        </w:rPr>
        <w:t xml:space="preserve">5.3 考核内容与标准</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定期考核：</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供应商按合同约定积极配合采购方履约，保障好盐城市12345平台运行。由市数据局对服务项目进行考核、评审。供应商应提供考核、评审所需各项数据。</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相关考核细则将作为合同的一部分。</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①平台系统可用率。此项指标按月进行考核，统计单位小时。平台系统可用率=系统时间实际运行实际时间/应支撑时间*100%。指标数值要求≥99.5%。每低0.5个百分点，扣除1000元（上不封顶）</w:t>
      </w:r>
      <w:r/>
    </w:p>
    <w:p>
      <w:pPr>
        <w:ind w:firstLine="482"/>
        <w:jc w:val="left"/>
        <w:spacing w:line="560" w:lineRule="exact"/>
        <w:widowControl/>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②系统发生故障后，由供应商负责出具故障情况说明报告，确认故障发生时间、时长及故障原因。未及时响应并出具报告的，扣除200元/次。</w:t>
      </w:r>
      <w:r/>
    </w:p>
    <w:p>
      <w:pPr>
        <w:ind w:firstLine="482"/>
        <w:jc w:val="left"/>
        <w:spacing w:line="56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0"/>
        </w:rPr>
        <w:t xml:space="preserve">③保密要求。供应商需要签订相关保密信息，负责对运维服务中接触到的信息进行保密，若发生泄密事件，一经查实，由供应商负相应责任及后果，并扣除5000元/次。</w:t>
      </w:r>
      <w:r/>
    </w:p>
    <w:tbl>
      <w:tblPr>
        <w:tblStyle w:val="8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08" w:type="dxa"/>
          <w:right w:w="108" w:type="dxa"/>
          <w:bottom w:w="108" w:type="dxa"/>
        </w:tblCellMar>
        <w:tblLook w:val="04A0" w:firstRow="1" w:lastRow="0" w:firstColumn="1" w:lastColumn="0" w:noHBand="0" w:noVBand="1"/>
      </w:tblPr>
      <w:tblGrid>
        <w:gridCol w:w="728"/>
        <w:gridCol w:w="1425"/>
        <w:gridCol w:w="3645"/>
        <w:gridCol w:w="1290"/>
        <w:gridCol w:w="1671"/>
      </w:tblGrid>
      <w:tr>
        <w:trPr>
          <w:jc w:val="center"/>
          <w:trHeight w:val="570"/>
        </w:trPr>
        <w:tc>
          <w:tcPr>
            <w:tcW w:w="728" w:type="dxa"/>
            <w:vAlign w:val="center"/>
            <w:textDirection w:val="lrTb"/>
            <w:noWrap w:val="false"/>
          </w:tcPr>
          <w:p>
            <w:pPr>
              <w:jc w:val="center"/>
              <w:spacing w:line="400" w:lineRule="exact"/>
              <w:rPr>
                <w:rFonts w:ascii="宋体" w:hAnsi="宋体" w:eastAsia="宋体" w:cs="宋体"/>
                <w:b/>
                <w:bCs/>
                <w:sz w:val="24"/>
              </w:rPr>
            </w:pPr>
            <w:r>
              <w:rPr>
                <w:rFonts w:hint="eastAsia" w:ascii="宋体" w:hAnsi="宋体" w:eastAsia="宋体" w:cs="宋体"/>
                <w:b/>
                <w:bCs/>
                <w:sz w:val="24"/>
              </w:rPr>
              <w:t xml:space="preserve">序号</w:t>
            </w:r>
            <w:r/>
          </w:p>
        </w:tc>
        <w:tc>
          <w:tcPr>
            <w:tcW w:w="1425" w:type="dxa"/>
            <w:vAlign w:val="center"/>
            <w:textDirection w:val="lrTb"/>
            <w:noWrap w:val="false"/>
          </w:tcPr>
          <w:p>
            <w:pPr>
              <w:jc w:val="center"/>
              <w:spacing w:line="400" w:lineRule="exact"/>
              <w:rPr>
                <w:rFonts w:ascii="宋体" w:hAnsi="宋体" w:eastAsia="宋体" w:cs="宋体"/>
                <w:b/>
                <w:bCs/>
                <w:sz w:val="24"/>
              </w:rPr>
            </w:pPr>
            <w:r>
              <w:rPr>
                <w:rFonts w:hint="eastAsia" w:ascii="宋体" w:hAnsi="宋体" w:eastAsia="宋体" w:cs="宋体"/>
                <w:b/>
                <w:bCs/>
                <w:sz w:val="24"/>
              </w:rPr>
              <w:t xml:space="preserve">类别</w:t>
            </w:r>
            <w:r/>
          </w:p>
        </w:tc>
        <w:tc>
          <w:tcPr>
            <w:tcW w:w="3645" w:type="dxa"/>
            <w:vAlign w:val="center"/>
            <w:textDirection w:val="lrTb"/>
            <w:noWrap w:val="false"/>
          </w:tcPr>
          <w:p>
            <w:pPr>
              <w:jc w:val="center"/>
              <w:spacing w:line="400" w:lineRule="exact"/>
              <w:rPr>
                <w:rFonts w:ascii="宋体" w:hAnsi="宋体" w:eastAsia="宋体" w:cs="宋体"/>
                <w:b/>
                <w:bCs/>
                <w:sz w:val="24"/>
              </w:rPr>
            </w:pPr>
            <w:r>
              <w:rPr>
                <w:rFonts w:hint="eastAsia" w:ascii="宋体" w:hAnsi="宋体" w:eastAsia="宋体" w:cs="宋体"/>
                <w:b/>
                <w:bCs/>
                <w:sz w:val="24"/>
              </w:rPr>
              <w:t xml:space="preserve">评分办法</w:t>
            </w:r>
            <w:r/>
          </w:p>
        </w:tc>
        <w:tc>
          <w:tcPr>
            <w:tcW w:w="1290" w:type="dxa"/>
            <w:vAlign w:val="center"/>
            <w:textDirection w:val="lrTb"/>
            <w:noWrap w:val="false"/>
          </w:tcPr>
          <w:p>
            <w:pPr>
              <w:spacing w:line="400" w:lineRule="exact"/>
              <w:rPr>
                <w:rFonts w:ascii="宋体" w:hAnsi="宋体" w:eastAsia="宋体" w:cs="宋体"/>
                <w:b/>
                <w:bCs/>
                <w:sz w:val="24"/>
              </w:rPr>
            </w:pPr>
            <w:r>
              <w:rPr>
                <w:rFonts w:hint="eastAsia" w:ascii="宋体" w:hAnsi="宋体" w:eastAsia="宋体" w:cs="宋体"/>
                <w:b/>
                <w:bCs/>
                <w:sz w:val="24"/>
              </w:rPr>
              <w:t xml:space="preserve">扣减分数</w:t>
            </w:r>
            <w:r/>
          </w:p>
        </w:tc>
        <w:tc>
          <w:tcPr>
            <w:tcW w:w="1671" w:type="dxa"/>
            <w:vAlign w:val="center"/>
            <w:textDirection w:val="lrTb"/>
            <w:noWrap w:val="false"/>
          </w:tcPr>
          <w:p>
            <w:pPr>
              <w:jc w:val="center"/>
              <w:spacing w:line="400" w:lineRule="exact"/>
              <w:rPr>
                <w:rFonts w:ascii="宋体" w:hAnsi="宋体" w:eastAsia="宋体" w:cs="宋体"/>
                <w:b/>
                <w:bCs/>
                <w:sz w:val="24"/>
              </w:rPr>
            </w:pPr>
            <w:r>
              <w:rPr>
                <w:rFonts w:hint="eastAsia" w:ascii="宋体" w:hAnsi="宋体" w:eastAsia="宋体" w:cs="宋体"/>
                <w:b/>
                <w:bCs/>
                <w:sz w:val="24"/>
              </w:rPr>
              <w:t xml:space="preserve">评价依据</w:t>
            </w:r>
            <w:r/>
          </w:p>
        </w:tc>
      </w:tr>
      <w:tr>
        <w:trPr>
          <w:jc w:val="center"/>
          <w:trHeight w:val="285"/>
        </w:trPr>
        <w:tc>
          <w:tcPr>
            <w:tcW w:w="728"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1</w:t>
            </w:r>
            <w:r/>
          </w:p>
        </w:tc>
        <w:tc>
          <w:tcPr>
            <w:tcW w:w="1425"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巡检</w:t>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1.未及时进行相关巡检项目的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1分/次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合同、巡检记录及故障发生后的追溯</w:t>
            </w:r>
            <w:r/>
          </w:p>
        </w:tc>
      </w:tr>
      <w:tr>
        <w:trPr>
          <w:jc w:val="center"/>
          <w:trHeight w:val="285"/>
        </w:trPr>
        <w:tc>
          <w:tcPr>
            <w:tcW w:w="728" w:type="dxa"/>
            <w:vAlign w:val="center"/>
            <w:vMerge w:val="continue"/>
            <w:textDirection w:val="lrTb"/>
            <w:noWrap w:val="false"/>
          </w:tcPr>
          <w:p>
            <w:pPr>
              <w:spacing w:line="400" w:lineRule="exact"/>
              <w:rPr>
                <w:rFonts w:ascii="宋体" w:hAnsi="宋体" w:eastAsia="宋体" w:cs="宋体"/>
                <w:sz w:val="24"/>
              </w:rPr>
            </w:pPr>
            <w:r>
              <w:rPr>
                <w:rFonts w:ascii="宋体" w:hAnsi="宋体" w:eastAsia="宋体" w:cs="宋体"/>
                <w:sz w:val="24"/>
              </w:rPr>
            </w:r>
            <w:r/>
          </w:p>
        </w:tc>
        <w:tc>
          <w:tcPr>
            <w:tcW w:w="1425"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2.巡检后未及时提供相关记录的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1分/次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巡检记录</w:t>
            </w:r>
            <w:r/>
          </w:p>
        </w:tc>
      </w:tr>
      <w:tr>
        <w:trPr>
          <w:jc w:val="center"/>
          <w:trHeight w:val="855"/>
        </w:trPr>
        <w:tc>
          <w:tcPr>
            <w:tcW w:w="728" w:type="dxa"/>
            <w:vAlign w:val="center"/>
            <w:vMerge w:val="continue"/>
            <w:textDirection w:val="lrTb"/>
            <w:noWrap w:val="false"/>
          </w:tcPr>
          <w:p>
            <w:pPr>
              <w:spacing w:line="400" w:lineRule="exact"/>
              <w:rPr>
                <w:rFonts w:ascii="宋体" w:hAnsi="宋体" w:eastAsia="宋体" w:cs="宋体"/>
                <w:sz w:val="24"/>
              </w:rPr>
            </w:pPr>
            <w:r>
              <w:rPr>
                <w:rFonts w:ascii="宋体" w:hAnsi="宋体" w:eastAsia="宋体" w:cs="宋体"/>
                <w:sz w:val="24"/>
              </w:rPr>
            </w:r>
            <w:r/>
          </w:p>
        </w:tc>
        <w:tc>
          <w:tcPr>
            <w:tcW w:w="1425" w:type="dxa"/>
            <w:vAlign w:val="center"/>
            <w:vMerge w:val="continue"/>
            <w:textDirection w:val="lrTb"/>
            <w:noWrap w:val="false"/>
          </w:tcPr>
          <w:p>
            <w:pPr>
              <w:spacing w:line="400" w:lineRule="exact"/>
              <w:rPr>
                <w:rFonts w:ascii="宋体" w:hAnsi="宋体" w:eastAsia="宋体" w:cs="宋体"/>
                <w:sz w:val="24"/>
              </w:rPr>
            </w:pPr>
            <w:r>
              <w:rPr>
                <w:rFonts w:ascii="宋体" w:hAnsi="宋体" w:eastAsia="宋体" w:cs="宋体"/>
                <w:sz w:val="24"/>
              </w:rPr>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3.在供应商巡检后一定时间内出现巡检应发现的故障隐患而未发现，导致故障的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4分/次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采购方认定</w:t>
            </w:r>
            <w:r/>
          </w:p>
        </w:tc>
      </w:tr>
      <w:tr>
        <w:trPr>
          <w:jc w:val="center"/>
          <w:trHeight w:val="570"/>
        </w:trPr>
        <w:tc>
          <w:tcPr>
            <w:tcW w:w="728"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w:t>
            </w:r>
            <w:r/>
          </w:p>
        </w:tc>
        <w:tc>
          <w:tcPr>
            <w:tcW w:w="1425"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24小时响应</w:t>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4.拨打运维人员电话号码后工程师未在15分钟内回复用户的；驻场人员按时提交工作日志；故障响应及时（一般故障2小时内修复，重大故障1小时内）；日志缺失、故障响应超时扣分</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采购方认定</w:t>
            </w:r>
            <w:r/>
          </w:p>
        </w:tc>
      </w:tr>
      <w:tr>
        <w:trPr>
          <w:jc w:val="center"/>
          <w:trHeight w:val="874"/>
        </w:trPr>
        <w:tc>
          <w:tcPr>
            <w:tcW w:w="728"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1425"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5.驻场安全员到位；每周输出安全巡检报告；安全培训按计划开展（每年4次集中培训）；安全员缺岗每天扣2分；报告缺失每次扣2分；培训缺一次扣2分。</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采购方认定</w:t>
            </w:r>
            <w:r/>
          </w:p>
        </w:tc>
      </w:tr>
      <w:tr>
        <w:trPr>
          <w:jc w:val="center"/>
          <w:trHeight w:val="570"/>
        </w:trPr>
        <w:tc>
          <w:tcPr>
            <w:tcW w:w="728"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3</w:t>
            </w:r>
            <w:r/>
          </w:p>
        </w:tc>
        <w:tc>
          <w:tcPr>
            <w:tcW w:w="1425"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更新和部署</w:t>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6.进行较大影响的工作实施前未提供详细实施方案的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系统登录记录和相关反馈</w:t>
            </w:r>
            <w:r/>
          </w:p>
        </w:tc>
      </w:tr>
      <w:tr>
        <w:trPr>
          <w:jc w:val="center"/>
          <w:trHeight w:val="570"/>
        </w:trPr>
        <w:tc>
          <w:tcPr>
            <w:tcW w:w="728"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1425"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7.未经采购方同意擅自停用、启动相关服务的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4分/次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相关系统日志和用户反馈</w:t>
            </w:r>
            <w:r/>
          </w:p>
        </w:tc>
      </w:tr>
      <w:tr>
        <w:trPr>
          <w:jc w:val="center"/>
          <w:trHeight w:val="570"/>
        </w:trPr>
        <w:tc>
          <w:tcPr>
            <w:tcW w:w="728"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4</w:t>
            </w:r>
            <w:r/>
          </w:p>
        </w:tc>
        <w:tc>
          <w:tcPr>
            <w:tcW w:w="1425"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漏洞修复和故障处理</w:t>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8.工作时间内（5*8）供应商运维工程师15分钟内无法联系又不提前报备的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相关通话记录</w:t>
            </w:r>
            <w:r/>
          </w:p>
        </w:tc>
      </w:tr>
      <w:tr>
        <w:trPr>
          <w:jc w:val="center"/>
          <w:trHeight w:val="570"/>
        </w:trPr>
        <w:tc>
          <w:tcPr>
            <w:tcW w:w="728" w:type="dxa"/>
            <w:vAlign w:val="center"/>
            <w:vMerge w:val="continue"/>
            <w:textDirection w:val="lrTb"/>
            <w:noWrap w:val="false"/>
          </w:tcPr>
          <w:p>
            <w:pPr>
              <w:spacing w:line="400" w:lineRule="exact"/>
              <w:rPr>
                <w:rFonts w:ascii="宋体" w:hAnsi="宋体" w:eastAsia="宋体" w:cs="宋体"/>
                <w:sz w:val="24"/>
              </w:rPr>
            </w:pPr>
            <w:r>
              <w:rPr>
                <w:rFonts w:ascii="宋体" w:hAnsi="宋体" w:eastAsia="宋体" w:cs="宋体"/>
                <w:sz w:val="24"/>
              </w:rPr>
            </w:r>
            <w:r/>
          </w:p>
        </w:tc>
        <w:tc>
          <w:tcPr>
            <w:tcW w:w="1425" w:type="dxa"/>
            <w:vAlign w:val="center"/>
            <w:vMerge w:val="continue"/>
            <w:textDirection w:val="lrTb"/>
            <w:noWrap w:val="false"/>
          </w:tcPr>
          <w:p>
            <w:pPr>
              <w:spacing w:line="400" w:lineRule="exact"/>
              <w:rPr>
                <w:rFonts w:ascii="宋体" w:hAnsi="宋体" w:eastAsia="宋体" w:cs="宋体"/>
                <w:sz w:val="24"/>
              </w:rPr>
            </w:pPr>
            <w:r>
              <w:rPr>
                <w:rFonts w:ascii="宋体" w:hAnsi="宋体" w:eastAsia="宋体" w:cs="宋体"/>
                <w:sz w:val="24"/>
              </w:rPr>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9.在相关漏洞预警后不能及时扫测评估的后被发现的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10分/次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双方沟通记录</w:t>
            </w:r>
            <w:r/>
          </w:p>
        </w:tc>
      </w:tr>
      <w:tr>
        <w:trPr>
          <w:jc w:val="center"/>
          <w:trHeight w:val="570"/>
        </w:trPr>
        <w:tc>
          <w:tcPr>
            <w:tcW w:w="728" w:type="dxa"/>
            <w:vAlign w:val="center"/>
            <w:vMerge w:val="continue"/>
            <w:textDirection w:val="lrTb"/>
            <w:noWrap w:val="false"/>
          </w:tcPr>
          <w:p>
            <w:pPr>
              <w:spacing w:line="400" w:lineRule="exact"/>
              <w:rPr>
                <w:rFonts w:ascii="宋体" w:hAnsi="宋体" w:eastAsia="宋体" w:cs="宋体"/>
                <w:sz w:val="24"/>
              </w:rPr>
            </w:pPr>
            <w:r>
              <w:rPr>
                <w:rFonts w:ascii="宋体" w:hAnsi="宋体" w:eastAsia="宋体" w:cs="宋体"/>
                <w:sz w:val="24"/>
              </w:rPr>
            </w:r>
            <w:r/>
          </w:p>
        </w:tc>
        <w:tc>
          <w:tcPr>
            <w:tcW w:w="1425" w:type="dxa"/>
            <w:vAlign w:val="center"/>
            <w:vMerge w:val="continue"/>
            <w:textDirection w:val="lrTb"/>
            <w:noWrap w:val="false"/>
          </w:tcPr>
          <w:p>
            <w:pPr>
              <w:spacing w:line="400" w:lineRule="exact"/>
              <w:rPr>
                <w:rFonts w:ascii="宋体" w:hAnsi="宋体" w:eastAsia="宋体" w:cs="宋体"/>
                <w:sz w:val="24"/>
              </w:rPr>
            </w:pPr>
            <w:r>
              <w:rPr>
                <w:rFonts w:ascii="宋体" w:hAnsi="宋体" w:eastAsia="宋体" w:cs="宋体"/>
                <w:sz w:val="24"/>
              </w:rPr>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10.相关漏洞故障发现后不能及时采取措施修复的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20分/次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双方沟通记录</w:t>
            </w:r>
            <w:r/>
          </w:p>
        </w:tc>
      </w:tr>
      <w:tr>
        <w:trPr>
          <w:jc w:val="center"/>
          <w:trHeight w:val="285"/>
        </w:trPr>
        <w:tc>
          <w:tcPr>
            <w:tcW w:w="728"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5</w:t>
            </w:r>
            <w:r/>
          </w:p>
        </w:tc>
        <w:tc>
          <w:tcPr>
            <w:tcW w:w="1425"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重大任务和领导交办任务</w:t>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11.未在规定时间内完成指派工作任务</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采购方的限定时间</w:t>
            </w:r>
            <w:r/>
          </w:p>
        </w:tc>
      </w:tr>
      <w:tr>
        <w:trPr>
          <w:jc w:val="center"/>
          <w:trHeight w:val="570"/>
        </w:trPr>
        <w:tc>
          <w:tcPr>
            <w:tcW w:w="728"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1425"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12.相关工作任务被通报批评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8分/次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包括但不限于工作系统内部的通报、上级部门和领导口头或签发的批示通报等</w:t>
            </w:r>
            <w:r/>
          </w:p>
        </w:tc>
      </w:tr>
      <w:tr>
        <w:trPr>
          <w:jc w:val="center"/>
          <w:trHeight w:val="855"/>
        </w:trPr>
        <w:tc>
          <w:tcPr>
            <w:tcW w:w="728"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6</w:t>
            </w:r>
            <w:r/>
          </w:p>
        </w:tc>
        <w:tc>
          <w:tcPr>
            <w:tcW w:w="1425"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沟通协 调</w:t>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13.就同一问题与供应商沟通3次以上不能明白又不主动更换沟通对象的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采购方直接认定</w:t>
            </w:r>
            <w:r/>
          </w:p>
        </w:tc>
      </w:tr>
      <w:tr>
        <w:trPr>
          <w:jc w:val="center"/>
          <w:trHeight w:val="855"/>
        </w:trPr>
        <w:tc>
          <w:tcPr>
            <w:tcW w:w="728" w:type="dxa"/>
            <w:vAlign w:val="center"/>
            <w:vMerge w:val="continue"/>
            <w:textDirection w:val="lrTb"/>
            <w:noWrap w:val="false"/>
          </w:tcPr>
          <w:p>
            <w:pPr>
              <w:spacing w:line="400" w:lineRule="exact"/>
              <w:rPr>
                <w:rFonts w:ascii="宋体" w:hAnsi="宋体" w:eastAsia="宋体" w:cs="宋体"/>
                <w:sz w:val="24"/>
              </w:rPr>
            </w:pPr>
            <w:r>
              <w:rPr>
                <w:rFonts w:ascii="宋体" w:hAnsi="宋体" w:eastAsia="宋体" w:cs="宋体"/>
                <w:sz w:val="24"/>
              </w:rPr>
            </w:r>
            <w:r/>
          </w:p>
        </w:tc>
        <w:tc>
          <w:tcPr>
            <w:tcW w:w="1425" w:type="dxa"/>
            <w:vAlign w:val="center"/>
            <w:vMerge w:val="continue"/>
            <w:textDirection w:val="lrTb"/>
            <w:noWrap w:val="false"/>
          </w:tcPr>
          <w:p>
            <w:pPr>
              <w:spacing w:line="400" w:lineRule="exact"/>
              <w:rPr>
                <w:rFonts w:ascii="宋体" w:hAnsi="宋体" w:eastAsia="宋体" w:cs="宋体"/>
                <w:sz w:val="24"/>
              </w:rPr>
            </w:pPr>
            <w:r>
              <w:rPr>
                <w:rFonts w:ascii="宋体" w:hAnsi="宋体" w:eastAsia="宋体" w:cs="宋体"/>
                <w:sz w:val="24"/>
              </w:rPr>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14.与其他和采购方进行信息化项目合作单位进行协同合作时，明显推诿导致故障修复、工作任务推迟的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4分/次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采购方直接认定</w:t>
            </w:r>
            <w:r/>
          </w:p>
        </w:tc>
      </w:tr>
      <w:tr>
        <w:trPr>
          <w:jc w:val="center"/>
          <w:trHeight w:val="570"/>
        </w:trPr>
        <w:tc>
          <w:tcPr>
            <w:tcW w:w="728" w:type="dxa"/>
            <w:vAlign w:val="center"/>
            <w:vMerge w:val="continue"/>
            <w:textDirection w:val="lrTb"/>
            <w:noWrap w:val="false"/>
          </w:tcPr>
          <w:p>
            <w:pPr>
              <w:spacing w:line="400" w:lineRule="exact"/>
              <w:rPr>
                <w:rFonts w:ascii="宋体" w:hAnsi="宋体" w:eastAsia="宋体" w:cs="宋体"/>
                <w:sz w:val="24"/>
              </w:rPr>
            </w:pPr>
            <w:r>
              <w:rPr>
                <w:rFonts w:ascii="宋体" w:hAnsi="宋体" w:eastAsia="宋体" w:cs="宋体"/>
                <w:sz w:val="24"/>
              </w:rPr>
            </w:r>
            <w:r/>
          </w:p>
        </w:tc>
        <w:tc>
          <w:tcPr>
            <w:tcW w:w="1425" w:type="dxa"/>
            <w:vAlign w:val="center"/>
            <w:vMerge w:val="continue"/>
            <w:textDirection w:val="lrTb"/>
            <w:noWrap w:val="false"/>
          </w:tcPr>
          <w:p>
            <w:pPr>
              <w:spacing w:line="400" w:lineRule="exact"/>
              <w:rPr>
                <w:rFonts w:ascii="宋体" w:hAnsi="宋体" w:eastAsia="宋体" w:cs="宋体"/>
                <w:sz w:val="24"/>
              </w:rPr>
            </w:pPr>
            <w:r>
              <w:rPr>
                <w:rFonts w:ascii="宋体" w:hAnsi="宋体" w:eastAsia="宋体" w:cs="宋体"/>
                <w:sz w:val="24"/>
              </w:rPr>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15.因服务态度不好导致被采购方系统相关用户和合作单位投诉查实的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4分/次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采购方直接认定</w:t>
            </w:r>
            <w:r/>
          </w:p>
        </w:tc>
      </w:tr>
      <w:tr>
        <w:trPr>
          <w:jc w:val="center"/>
          <w:trHeight w:val="285"/>
        </w:trPr>
        <w:tc>
          <w:tcPr>
            <w:tcW w:w="728"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7</w:t>
            </w:r>
            <w:r/>
          </w:p>
        </w:tc>
        <w:tc>
          <w:tcPr>
            <w:tcW w:w="1425"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按需保 障</w:t>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16.重大勤务保障中无故不出席的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4分/次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事前通知、双方沟通记录</w:t>
            </w:r>
            <w:r/>
          </w:p>
        </w:tc>
      </w:tr>
      <w:tr>
        <w:trPr>
          <w:jc w:val="center"/>
          <w:trHeight w:val="855"/>
        </w:trPr>
        <w:tc>
          <w:tcPr>
            <w:tcW w:w="728"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1425"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17.采购方组织的相关正式或非正式会议、讨论、现场支撑、临时性值班，要求出席的，迟到或不出席的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采购方直接认定</w:t>
            </w:r>
            <w:r/>
          </w:p>
        </w:tc>
      </w:tr>
      <w:tr>
        <w:trPr>
          <w:jc w:val="center"/>
          <w:trHeight w:val="855"/>
        </w:trPr>
        <w:tc>
          <w:tcPr>
            <w:tcW w:w="728"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8</w:t>
            </w:r>
            <w:r/>
          </w:p>
        </w:tc>
        <w:tc>
          <w:tcPr>
            <w:tcW w:w="1425"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安全规 范</w:t>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18.违反采购方安全规定和要求的，包括但不限于私自分配IP地址、接通内外网、引入病毒木马、接入应用等</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4分/次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采购方直接认定</w:t>
            </w:r>
            <w:r/>
          </w:p>
        </w:tc>
      </w:tr>
      <w:tr>
        <w:trPr>
          <w:jc w:val="center"/>
          <w:trHeight w:val="1425"/>
        </w:trPr>
        <w:tc>
          <w:tcPr>
            <w:tcW w:w="728"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9</w:t>
            </w:r>
            <w:r/>
          </w:p>
        </w:tc>
        <w:tc>
          <w:tcPr>
            <w:tcW w:w="1425"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否决项</w:t>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19.信息安全：违反安全保密规定，导致敏感数据泄露的。发生后果特别严重的安全保密事件，采购方有权取消合同并中止支付后续服务款，并向供应商方索赔；</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30分/次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采购方直接认定</w:t>
            </w:r>
            <w:r/>
          </w:p>
        </w:tc>
      </w:tr>
      <w:tr>
        <w:trPr>
          <w:jc w:val="center"/>
          <w:trHeight w:val="855"/>
        </w:trPr>
        <w:tc>
          <w:tcPr>
            <w:tcW w:w="728" w:type="dxa"/>
            <w:vAlign w:val="center"/>
            <w:vMerge w:val="continue"/>
            <w:textDirection w:val="lrTb"/>
            <w:noWrap w:val="false"/>
          </w:tcPr>
          <w:p>
            <w:pPr>
              <w:spacing w:line="400" w:lineRule="exact"/>
              <w:rPr>
                <w:rFonts w:ascii="宋体" w:hAnsi="宋体" w:eastAsia="宋体" w:cs="宋体"/>
                <w:sz w:val="24"/>
              </w:rPr>
            </w:pPr>
            <w:r>
              <w:rPr>
                <w:rFonts w:ascii="宋体" w:hAnsi="宋体" w:eastAsia="宋体" w:cs="宋体"/>
                <w:sz w:val="24"/>
              </w:rPr>
            </w:r>
            <w:r/>
          </w:p>
        </w:tc>
        <w:tc>
          <w:tcPr>
            <w:tcW w:w="1425" w:type="dxa"/>
            <w:vAlign w:val="center"/>
            <w:vMerge w:val="continue"/>
            <w:textDirection w:val="lrTb"/>
            <w:noWrap w:val="false"/>
          </w:tcPr>
          <w:p>
            <w:pPr>
              <w:spacing w:line="400" w:lineRule="exact"/>
              <w:rPr>
                <w:rFonts w:ascii="宋体" w:hAnsi="宋体" w:eastAsia="宋体" w:cs="宋体"/>
                <w:sz w:val="24"/>
              </w:rPr>
            </w:pPr>
            <w:r>
              <w:rPr>
                <w:rFonts w:ascii="宋体" w:hAnsi="宋体" w:eastAsia="宋体" w:cs="宋体"/>
                <w:sz w:val="24"/>
              </w:rPr>
            </w:r>
            <w:r/>
          </w:p>
        </w:tc>
        <w:tc>
          <w:tcPr>
            <w:tcW w:w="3645" w:type="dxa"/>
            <w:vAlign w:val="center"/>
            <w:textDirection w:val="lrTb"/>
            <w:noWrap w:val="false"/>
          </w:tcPr>
          <w:p>
            <w:pPr>
              <w:jc w:val="left"/>
              <w:spacing w:line="400" w:lineRule="exact"/>
              <w:rPr>
                <w:rFonts w:ascii="宋体" w:hAnsi="宋体" w:eastAsia="宋体" w:cs="宋体"/>
                <w:sz w:val="24"/>
              </w:rPr>
            </w:pPr>
            <w:r>
              <w:rPr>
                <w:rFonts w:hint="eastAsia" w:ascii="宋体" w:hAnsi="宋体" w:eastAsia="宋体" w:cs="宋体"/>
                <w:sz w:val="24"/>
              </w:rPr>
              <w:t xml:space="preserve">20.网络安全：违反安全规定，造成重大故障的，采购方有权终止合同。</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30分/次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采购方直接认定</w:t>
            </w:r>
            <w:r/>
          </w:p>
        </w:tc>
      </w:tr>
      <w:tr>
        <w:trPr>
          <w:jc w:val="center"/>
          <w:trHeight w:val="855"/>
        </w:trPr>
        <w:tc>
          <w:tcPr>
            <w:tcW w:w="728" w:type="dxa"/>
            <w:vAlign w:val="center"/>
            <w:vMerge w:val="continue"/>
            <w:textDirection w:val="lrTb"/>
            <w:noWrap w:val="false"/>
          </w:tcPr>
          <w:p>
            <w:pPr>
              <w:spacing w:line="400" w:lineRule="exact"/>
              <w:rPr>
                <w:rFonts w:ascii="宋体" w:hAnsi="宋体" w:eastAsia="宋体" w:cs="宋体"/>
                <w:sz w:val="24"/>
              </w:rPr>
            </w:pPr>
            <w:r>
              <w:rPr>
                <w:rFonts w:ascii="宋体" w:hAnsi="宋体" w:eastAsia="宋体" w:cs="宋体"/>
                <w:sz w:val="24"/>
              </w:rPr>
            </w:r>
            <w:r/>
          </w:p>
        </w:tc>
        <w:tc>
          <w:tcPr>
            <w:tcW w:w="1425" w:type="dxa"/>
            <w:vAlign w:val="center"/>
            <w:vMerge w:val="continue"/>
            <w:textDirection w:val="lrTb"/>
            <w:noWrap w:val="false"/>
          </w:tcPr>
          <w:p>
            <w:pPr>
              <w:spacing w:line="400" w:lineRule="exact"/>
              <w:rPr>
                <w:rFonts w:ascii="宋体" w:hAnsi="宋体" w:eastAsia="宋体" w:cs="宋体"/>
                <w:sz w:val="24"/>
              </w:rPr>
            </w:pPr>
            <w:r>
              <w:rPr>
                <w:rFonts w:ascii="宋体" w:hAnsi="宋体" w:eastAsia="宋体" w:cs="宋体"/>
                <w:sz w:val="24"/>
              </w:rPr>
            </w:r>
            <w:r/>
          </w:p>
        </w:tc>
        <w:tc>
          <w:tcPr>
            <w:tcW w:w="3645" w:type="dxa"/>
            <w:vAlign w:val="center"/>
            <w:textDirection w:val="lrTb"/>
            <w:noWrap w:val="false"/>
          </w:tcPr>
          <w:p>
            <w:pPr>
              <w:jc w:val="left"/>
              <w:spacing w:line="400" w:lineRule="exact"/>
              <w:rPr>
                <w:rFonts w:ascii="宋体" w:hAnsi="宋体" w:eastAsia="宋体" w:cs="宋体"/>
                <w:sz w:val="24"/>
              </w:rPr>
            </w:pPr>
            <w:r>
              <w:rPr>
                <w:rFonts w:hint="eastAsia" w:ascii="宋体" w:hAnsi="宋体" w:eastAsia="宋体" w:cs="宋体"/>
                <w:sz w:val="24"/>
              </w:rPr>
              <w:t xml:space="preserve">21.服务质量：系统运维不到位，导致相关工作被其他单位通报批评的，采购方有权终止合同。</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30分/次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采购方直接认定</w:t>
            </w:r>
            <w:r/>
          </w:p>
        </w:tc>
      </w:tr>
      <w:tr>
        <w:trPr>
          <w:jc w:val="center"/>
          <w:trHeight w:val="855"/>
        </w:trPr>
        <w:tc>
          <w:tcPr>
            <w:tcW w:w="728" w:type="dxa"/>
            <w:vAlign w:val="center"/>
            <w:vMerge w:val="continue"/>
            <w:textDirection w:val="lrTb"/>
            <w:noWrap w:val="false"/>
          </w:tcPr>
          <w:p>
            <w:pPr>
              <w:spacing w:line="400" w:lineRule="exact"/>
              <w:rPr>
                <w:rFonts w:ascii="宋体" w:hAnsi="宋体" w:eastAsia="宋体" w:cs="宋体"/>
                <w:sz w:val="24"/>
              </w:rPr>
            </w:pPr>
            <w:r>
              <w:rPr>
                <w:rFonts w:ascii="宋体" w:hAnsi="宋体" w:eastAsia="宋体" w:cs="宋体"/>
                <w:sz w:val="24"/>
              </w:rPr>
            </w:r>
            <w:r/>
          </w:p>
        </w:tc>
        <w:tc>
          <w:tcPr>
            <w:tcW w:w="1425" w:type="dxa"/>
            <w:vAlign w:val="center"/>
            <w:vMerge w:val="continue"/>
            <w:textDirection w:val="lrTb"/>
            <w:noWrap w:val="false"/>
          </w:tcPr>
          <w:p>
            <w:pPr>
              <w:spacing w:line="400" w:lineRule="exact"/>
              <w:rPr>
                <w:rFonts w:ascii="宋体" w:hAnsi="宋体" w:eastAsia="宋体" w:cs="宋体"/>
                <w:sz w:val="24"/>
              </w:rPr>
            </w:pPr>
            <w:r>
              <w:rPr>
                <w:rFonts w:ascii="宋体" w:hAnsi="宋体" w:eastAsia="宋体" w:cs="宋体"/>
                <w:sz w:val="24"/>
              </w:rPr>
            </w:r>
            <w:r/>
          </w:p>
        </w:tc>
        <w:tc>
          <w:tcPr>
            <w:tcW w:w="3645" w:type="dxa"/>
            <w:vAlign w:val="center"/>
            <w:textDirection w:val="lrTb"/>
            <w:noWrap w:val="false"/>
          </w:tcPr>
          <w:p>
            <w:pPr>
              <w:jc w:val="left"/>
              <w:spacing w:line="400" w:lineRule="exact"/>
              <w:rPr>
                <w:rFonts w:ascii="宋体" w:hAnsi="宋体" w:eastAsia="宋体" w:cs="宋体"/>
                <w:sz w:val="24"/>
              </w:rPr>
            </w:pPr>
            <w:r>
              <w:rPr>
                <w:rFonts w:hint="eastAsia" w:ascii="宋体" w:hAnsi="宋体" w:eastAsia="宋体" w:cs="宋体"/>
                <w:sz w:val="24"/>
              </w:rPr>
              <w:t xml:space="preserve">22.其他事项：领导交办的任务不能及时完成又不主动提前进行沟通协调，多次导致工作延误的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30分/次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采购方直接认定</w:t>
            </w:r>
            <w:r/>
          </w:p>
        </w:tc>
      </w:tr>
      <w:tr>
        <w:trPr>
          <w:jc w:val="center"/>
          <w:trHeight w:val="1140"/>
        </w:trPr>
        <w:tc>
          <w:tcPr>
            <w:tcW w:w="728"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10</w:t>
            </w:r>
            <w:r/>
          </w:p>
        </w:tc>
        <w:tc>
          <w:tcPr>
            <w:tcW w:w="1425" w:type="dxa"/>
            <w:vAlign w:val="center"/>
            <w:vMerge w:val="restar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加分项</w:t>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23.在系统对接、故障处理过程中，特别是涉及到其他单位合作的，主动增派力量，提前谋划的及时完成任务、解决故障的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1-4分/次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根据供应商提交的书面报告由采购方认定</w:t>
            </w:r>
            <w:r/>
          </w:p>
        </w:tc>
      </w:tr>
      <w:tr>
        <w:trPr>
          <w:jc w:val="center"/>
          <w:trHeight w:val="570"/>
        </w:trPr>
        <w:tc>
          <w:tcPr>
            <w:tcW w:w="728"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1425"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24.领导要求完成的系统对接、升级、支撑等任务，最终提前完成的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采购方直接认定</w:t>
            </w:r>
            <w:r/>
          </w:p>
        </w:tc>
      </w:tr>
      <w:tr>
        <w:trPr>
          <w:jc w:val="center"/>
          <w:trHeight w:val="855"/>
        </w:trPr>
        <w:tc>
          <w:tcPr>
            <w:tcW w:w="728"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1425" w:type="dxa"/>
            <w:vAlign w:val="center"/>
            <w:vMerge w:val="continue"/>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25.对非因系统设计、运维等可能出现的故障、漏洞进行提前预警并给出详细建议计划的</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2-4分/次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根据供应商提交的书面报告由采购方认定</w:t>
            </w:r>
            <w:r/>
          </w:p>
        </w:tc>
      </w:tr>
      <w:tr>
        <w:trPr>
          <w:jc w:val="center"/>
          <w:trHeight w:val="855"/>
        </w:trPr>
        <w:tc>
          <w:tcPr>
            <w:tcW w:w="728"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11</w:t>
            </w:r>
            <w:r/>
          </w:p>
        </w:tc>
        <w:tc>
          <w:tcPr>
            <w:tcW w:w="1425"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接通率</w:t>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26.每月座席接通率维持在95%以上，来电平均等待时长不超过9秒</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6分/次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采购方直接认定</w:t>
            </w:r>
            <w:r/>
          </w:p>
        </w:tc>
      </w:tr>
      <w:tr>
        <w:trPr>
          <w:jc w:val="center"/>
          <w:trHeight w:val="855"/>
        </w:trPr>
        <w:tc>
          <w:tcPr>
            <w:tcW w:w="728"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12</w:t>
            </w:r>
            <w:r/>
          </w:p>
        </w:tc>
        <w:tc>
          <w:tcPr>
            <w:tcW w:w="1425"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录音备份完整性</w:t>
            </w:r>
            <w:r/>
          </w:p>
        </w:tc>
        <w:tc>
          <w:tcPr>
            <w:tcW w:w="3645" w:type="dxa"/>
            <w:vAlign w:val="center"/>
            <w:textDirection w:val="lrTb"/>
            <w:noWrap w:val="false"/>
          </w:tcPr>
          <w:p>
            <w:pPr>
              <w:spacing w:line="400" w:lineRule="exact"/>
              <w:rPr>
                <w:rFonts w:ascii="宋体" w:hAnsi="宋体" w:eastAsia="宋体" w:cs="宋体"/>
                <w:sz w:val="24"/>
              </w:rPr>
            </w:pPr>
            <w:r>
              <w:rPr>
                <w:rFonts w:hint="eastAsia" w:ascii="宋体" w:hAnsi="宋体" w:eastAsia="宋体" w:cs="宋体"/>
                <w:sz w:val="24"/>
              </w:rPr>
              <w:t xml:space="preserve">27.录音文件实时备份至政务云，备份数据完整可恢复，3年累计存储量不少于18T</w:t>
            </w:r>
            <w:r/>
          </w:p>
        </w:tc>
        <w:tc>
          <w:tcPr>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3分/次</w:t>
            </w:r>
            <w:r/>
          </w:p>
        </w:tc>
        <w:tc>
          <w:tcPr>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采购方直接认定</w:t>
            </w:r>
            <w:r/>
          </w:p>
        </w:tc>
      </w:tr>
      <w:tr>
        <w:trPr>
          <w:jc w:val="center"/>
          <w:trHeight w:val="855"/>
        </w:trPr>
        <w:tc>
          <w:tcPr>
            <w:tcW w:w="728" w:type="dxa"/>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p>
            <w:pPr>
              <w:jc w:val="center"/>
              <w:spacing w:line="400" w:lineRule="exact"/>
              <w:rPr>
                <w:rFonts w:ascii="宋体" w:hAnsi="宋体" w:eastAsia="宋体" w:cs="宋体"/>
                <w:sz w:val="24"/>
              </w:rPr>
            </w:pPr>
            <w:r>
              <w:rPr>
                <w:rFonts w:hint="eastAsia" w:ascii="宋体" w:hAnsi="宋体" w:eastAsia="宋体" w:cs="宋体"/>
                <w:sz w:val="24"/>
              </w:rPr>
              <w:t xml:space="preserve">13</w:t>
            </w:r>
            <w:r/>
          </w:p>
        </w:tc>
        <w:tc>
          <w:tcPr>
            <w:shd w:val="clear" w:color="auto" w:fill="auto"/>
            <w:tcW w:w="1425"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应急保障</w:t>
            </w:r>
            <w:r/>
          </w:p>
        </w:tc>
        <w:tc>
          <w:tcPr>
            <w:shd w:val="clear" w:color="auto" w:fill="auto"/>
            <w:tcW w:w="3645" w:type="dxa"/>
            <w:vAlign w:val="center"/>
            <w:textDirection w:val="lrTb"/>
            <w:noWrap w:val="false"/>
          </w:tcPr>
          <w:p>
            <w:pPr>
              <w:jc w:val="left"/>
              <w:spacing w:line="400" w:lineRule="exact"/>
              <w:widowControl/>
              <w:rPr>
                <w:rFonts w:ascii="宋体" w:hAnsi="宋体" w:eastAsia="宋体" w:cs="宋体"/>
                <w:sz w:val="24"/>
              </w:rPr>
            </w:pPr>
            <w:r>
              <w:rPr>
                <w:rFonts w:hint="eastAsia" w:ascii="宋体" w:hAnsi="宋体" w:eastAsia="宋体" w:cs="宋体"/>
                <w:sz w:val="24"/>
              </w:rPr>
              <w:t xml:space="preserve">28.断网自动切换1分钟内完成；应急电话可用；切换失败、应急电话不可用扣分</w:t>
            </w:r>
            <w:r/>
          </w:p>
        </w:tc>
        <w:tc>
          <w:tcPr>
            <w:shd w:val="clear" w:color="auto" w:fill="auto"/>
            <w:tcW w:w="1290"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3分/次</w:t>
            </w:r>
            <w:r/>
          </w:p>
        </w:tc>
        <w:tc>
          <w:tcPr>
            <w:shd w:val="clear" w:color="auto" w:fill="auto"/>
            <w:tcW w:w="167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采购方直接认定</w:t>
            </w:r>
            <w:r/>
          </w:p>
        </w:tc>
      </w:tr>
    </w:tbl>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年度汇总</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中标人年度综合考核得分低于90分的，或出现下列情形之一且情节严重的，即视为年度考核不合格，采购人有权不再续签合同：</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（1）连续两个月月度考核得分低于60分；</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（2）因中标人原因导致热线服务中断超过2小时，造成重大社会影响；</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（3）应急保障年度累计事故达到5次或以上；</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（4）发生数据泄露、系统被攻破等重大安全责任事故；</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（5）其他严重违反合同约定的行为。</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专项考核验收</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链路整合和网络面板采取两次验收，即第一次施工完毕后进行验收，第二次在服务期满前再进行一次验收。</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5.4 考核方式</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1.数据采集：由采购人通过系统记录、现场检查、日志审查、用户反馈等方式采集数据。</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2.月度评分：每月5日前完成上月考核评分，形成考核报告，并经双方确认。</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3.年度汇总：年度平均分作为年度履约评价依据。</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5.5 扣款处理</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根据月度考核得分，对中标人进行服务费用扣减，并在项目终验统一扣款。扣款标准如下：</w:t>
      </w:r>
      <w:r/>
    </w:p>
    <w:tbl>
      <w:tblPr>
        <w:tblStyle w:val="860"/>
        <w:tblW w:w="4940" w:type="pct"/>
        <w:jc w:val="center"/>
        <w:tblLayout w:type="autofit"/>
        <w:tblCellMar>
          <w:left w:w="108" w:type="dxa"/>
          <w:top w:w="0" w:type="dxa"/>
          <w:right w:w="108" w:type="dxa"/>
          <w:bottom w:w="0" w:type="dxa"/>
        </w:tblCellMar>
        <w:tblLook w:val="04A0" w:firstRow="1" w:lastRow="0" w:firstColumn="1" w:lastColumn="0" w:noHBand="0" w:noVBand="1"/>
      </w:tblPr>
      <w:tblGrid>
        <w:gridCol w:w="2718"/>
        <w:gridCol w:w="2489"/>
        <w:gridCol w:w="3543"/>
      </w:tblGrid>
      <w:tr>
        <w:trPr>
          <w:jc w:val="center"/>
          <w:trHeight w:val="1120"/>
        </w:trPr>
        <w:tc>
          <w:tcPr>
            <w:shd w:val="clear" w:color="auto" w:fill="f2f2f2"/>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spacing w:line="400" w:lineRule="exact"/>
              <w:widowControl/>
              <w:rPr>
                <w:rFonts w:ascii="宋体" w:hAnsi="宋体" w:eastAsia="宋体" w:cs="宋体"/>
                <w:b/>
                <w:bCs/>
                <w:color w:val="000000"/>
                <w:sz w:val="24"/>
              </w:rPr>
            </w:pPr>
            <w:r>
              <w:rPr>
                <w:rFonts w:hint="eastAsia" w:ascii="宋体" w:hAnsi="宋体" w:eastAsia="宋体" w:cs="宋体"/>
                <w:b/>
                <w:bCs/>
                <w:color w:val="000000"/>
                <w:sz w:val="24"/>
              </w:rPr>
              <w:t xml:space="preserve">月度得分范围</w:t>
            </w:r>
            <w:r/>
          </w:p>
        </w:tc>
        <w:tc>
          <w:tcPr>
            <w:shd w:val="clear" w:color="auto" w:fill="f2f2f2"/>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center"/>
              <w:spacing w:line="400" w:lineRule="exact"/>
              <w:widowControl/>
              <w:rPr>
                <w:rFonts w:ascii="宋体" w:hAnsi="宋体" w:eastAsia="宋体" w:cs="宋体"/>
                <w:b/>
                <w:bCs/>
                <w:color w:val="000000"/>
                <w:sz w:val="24"/>
              </w:rPr>
            </w:pPr>
            <w:r>
              <w:rPr>
                <w:rFonts w:hint="eastAsia" w:ascii="宋体" w:hAnsi="宋体" w:eastAsia="宋体" w:cs="宋体"/>
                <w:b/>
                <w:bCs/>
                <w:color w:val="000000"/>
                <w:sz w:val="24"/>
              </w:rPr>
              <w:t xml:space="preserve">扣款比例</w:t>
            </w:r>
            <w:r/>
          </w:p>
          <w:p>
            <w:pPr>
              <w:jc w:val="center"/>
              <w:spacing w:line="400" w:lineRule="exact"/>
              <w:widowControl/>
              <w:rPr>
                <w:rFonts w:ascii="宋体" w:hAnsi="宋体" w:eastAsia="宋体" w:cs="宋体"/>
                <w:b/>
                <w:bCs/>
                <w:color w:val="000000"/>
                <w:sz w:val="24"/>
              </w:rPr>
            </w:pPr>
            <w:r>
              <w:rPr>
                <w:rFonts w:hint="eastAsia" w:ascii="宋体" w:hAnsi="宋体" w:eastAsia="宋体" w:cs="宋体"/>
                <w:b/>
                <w:bCs/>
                <w:color w:val="000000"/>
                <w:sz w:val="24"/>
              </w:rPr>
              <w:t xml:space="preserve">（当月服务费：中标金额月平均后）</w:t>
            </w:r>
            <w:r/>
          </w:p>
        </w:tc>
        <w:tc>
          <w:tcPr>
            <w:shd w:val="clear" w:color="auto" w:fill="f2f2f2"/>
            <w:tcBorders>
              <w:top w:val="single" w:color="000000" w:sz="4" w:space="0"/>
              <w:left w:val="single" w:color="000000" w:sz="4" w:space="0"/>
              <w:bottom w:val="single" w:color="000000" w:sz="4" w:space="0"/>
              <w:right w:val="single" w:color="000000" w:sz="4" w:space="0"/>
            </w:tcBorders>
            <w:tcW w:w="2024" w:type="pct"/>
            <w:vAlign w:val="center"/>
            <w:textDirection w:val="lrTb"/>
            <w:noWrap w:val="false"/>
          </w:tcPr>
          <w:p>
            <w:pPr>
              <w:jc w:val="center"/>
              <w:spacing w:line="400" w:lineRule="exact"/>
              <w:widowControl/>
              <w:rPr>
                <w:rFonts w:ascii="宋体" w:hAnsi="宋体" w:eastAsia="宋体" w:cs="宋体"/>
                <w:b/>
                <w:bCs/>
                <w:color w:val="000000"/>
                <w:sz w:val="24"/>
              </w:rPr>
            </w:pPr>
            <w:r>
              <w:rPr>
                <w:rFonts w:hint="eastAsia" w:ascii="宋体" w:hAnsi="宋体" w:eastAsia="宋体" w:cs="宋体"/>
                <w:b/>
                <w:bCs/>
                <w:color w:val="000000"/>
                <w:sz w:val="24"/>
              </w:rPr>
              <w:t xml:space="preserve">备注</w:t>
            </w:r>
            <w:r/>
          </w:p>
        </w:tc>
      </w:tr>
      <w:tr>
        <w:trPr>
          <w:jc w:val="center"/>
          <w:trHeight w:val="703"/>
        </w:trPr>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90分及以上</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cente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024" w:type="pct"/>
            <w:vAlign w:val="center"/>
            <w:textDirection w:val="lrTb"/>
            <w:noWrap w:val="false"/>
          </w:tcPr>
          <w:p>
            <w:pPr>
              <w:jc w:val="cente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全额支付</w: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80-89分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cente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24" w:type="pct"/>
            <w:vAlign w:val="center"/>
            <w:textDirection w:val="lrTb"/>
            <w:noWrap w:val="false"/>
          </w:tcPr>
          <w:p>
            <w:pPr>
              <w:jc w:val="cente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扣减当月服务费的5%</w: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70-79分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cente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24" w:type="pct"/>
            <w:vAlign w:val="center"/>
            <w:textDirection w:val="lrTb"/>
            <w:noWrap w:val="false"/>
          </w:tcPr>
          <w:p>
            <w:pPr>
              <w:jc w:val="cente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扣减当月服务费的10%</w: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60-69分</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cente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24" w:type="pct"/>
            <w:vAlign w:val="center"/>
            <w:textDirection w:val="lrTb"/>
            <w:noWrap w:val="false"/>
          </w:tcPr>
          <w:p>
            <w:pPr>
              <w:jc w:val="cente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扣减当月服务费的20%</w:t>
            </w:r>
            <w:r/>
          </w:p>
        </w:tc>
      </w:tr>
      <w:tr>
        <w:trPr>
          <w:jc w:val="center"/>
          <w:trHeight w:val="982"/>
        </w:trPr>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60分以下</w:t>
            </w:r>
            <w:r/>
          </w:p>
        </w:tc>
        <w:tc>
          <w:tcPr>
            <w:shd w:val="clear" w:color="auto" w:fill="auto"/>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cente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24" w:type="pct"/>
            <w:vAlign w:val="center"/>
            <w:textDirection w:val="lrTb"/>
            <w:noWrap w:val="false"/>
          </w:tcPr>
          <w:p>
            <w:pPr>
              <w:jc w:val="cente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扣减当月服务费的30%，并限期整改</w:t>
            </w:r>
            <w:r/>
          </w:p>
        </w:tc>
      </w:tr>
    </w:tbl>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5.6 严重违约处理</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出现下列情形之一的，视为中标人严重违约，采购人有权单方面解除合同，并要求中标人承担相应违约责任：</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连续三个月考核得分低于60分；</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因中标人原因导致热线服务中断超过2小时，造成重大社会影响；</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未能在2027年12月前完成</w:t>
      </w:r>
      <w:r>
        <w:rPr>
          <w:rFonts w:hint="eastAsia" w:ascii="宋体" w:hAnsi="宋体" w:eastAsia="宋体" w:cs="宋体"/>
          <w:color w:val="000000" w:themeColor="text1"/>
          <w:sz w:val="24"/>
          <w:szCs w:val="20"/>
          <w14:textFill>
            <w14:solidFill>
              <w14:schemeClr w14:val="tx1"/>
            </w14:solidFill>
          </w14:textFill>
        </w:rPr>
        <w:t xml:space="preserve">国产化总体适配</w:t>
      </w:r>
      <w:r>
        <w:rPr>
          <w:rFonts w:hint="eastAsia" w:ascii="宋体" w:hAnsi="宋体" w:eastAsia="宋体" w:cs="宋体"/>
          <w:sz w:val="24"/>
          <w:szCs w:val="20"/>
        </w:rPr>
        <w:t xml:space="preserve">，且经催告后仍无法完成；</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发生重大安全责任事故，如数据泄露、系统被攻破等；</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系统运维不到位，导致相关工作被其他单位通报批评的；</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领导交办的任务不能及时完成又不主动提前进行沟通协调，多次导致工作延误的；</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中标人违反其投标文件或合同附件中载明的服务承诺（含人员、时效、安全培训、技术要求等），经采购人书面通知后【15】日内未予纠正的；</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其他严重违反合同约定，致使合同目的无法实现的情形。</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合同取消后，采购人可将该运维项目转交其他单位，供应商能积极协助交接工作，确保平稳过渡。若供应商配合有困难，双方可协商解决。但如不配合，采购人可依据合同条款采取相应措施，包括索赔。</w:t>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5.7 申诉机制</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中标人对考核结果有异议的，可在收到考核报告后3个工作日内向采购人提出书面申诉，采购人应在5个工作日内组织复核并答复。复核期间不影响扣款执行，若复核后确属误判，扣减款项在下一期服务费中予以返还。</w:t>
      </w:r>
      <w:r/>
    </w:p>
    <w:p>
      <w:pPr>
        <w:ind w:firstLine="482"/>
        <w:jc w:val="left"/>
        <w:spacing w:line="560" w:lineRule="exact"/>
        <w:widowControl/>
        <w:rPr>
          <w:rFonts w:ascii="宋体" w:hAnsi="宋体" w:eastAsia="宋体" w:cs="宋体"/>
          <w:b/>
          <w:bCs/>
          <w:sz w:val="24"/>
        </w:rPr>
      </w:pPr>
      <w:r>
        <w:rPr>
          <w:rFonts w:hint="eastAsia" w:ascii="宋体" w:hAnsi="宋体" w:eastAsia="宋体" w:cs="宋体"/>
          <w:b/>
          <w:bCs/>
          <w:sz w:val="24"/>
        </w:rPr>
        <w:t xml:space="preserve">六、采购标的对应的中小企业划分标准所属行业一览表</w:t>
      </w:r>
      <w:r/>
    </w:p>
    <w:tbl>
      <w:tblPr>
        <w:tblStyle w:val="860"/>
        <w:tblW w:w="876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34"/>
        <w:gridCol w:w="4288"/>
        <w:gridCol w:w="3644"/>
      </w:tblGrid>
      <w:tr>
        <w:trPr>
          <w:jc w:val="center"/>
          <w:tblCellSpacing w:w="0" w:type="dxa"/>
          <w:trHeight w:val="927"/>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spacing w:line="0" w:lineRule="atLeast"/>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tcPr>
          <w:p>
            <w:pPr>
              <w:jc w:val="center"/>
              <w:spacing w:line="0" w:lineRule="atLeast"/>
              <w:rPr>
                <w:rFonts w:ascii="宋体" w:hAnsi="宋体" w:cs="宋体"/>
                <w:sz w:val="24"/>
              </w:rPr>
            </w:pPr>
            <w:r>
              <w:rPr>
                <w:rFonts w:hint="eastAsia" w:ascii="宋体" w:hAnsi="宋体" w:cs="宋体"/>
                <w:sz w:val="24"/>
              </w:rPr>
              <w:t xml:space="preserve">采购标的</w:t>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tcPr>
          <w:p>
            <w:pPr>
              <w:jc w:val="center"/>
              <w:spacing w:line="0" w:lineRule="atLeast"/>
              <w:rPr>
                <w:rFonts w:ascii="宋体" w:hAnsi="宋体" w:cs="宋体"/>
                <w:sz w:val="24"/>
              </w:rPr>
            </w:pPr>
            <w:r>
              <w:rPr>
                <w:rFonts w:hint="eastAsia" w:ascii="宋体" w:hAnsi="宋体" w:cs="宋体"/>
                <w:sz w:val="24"/>
              </w:rPr>
              <w:t xml:space="preserve">对应中小企业划分标准所属行业</w:t>
            </w:r>
            <w:r/>
          </w:p>
        </w:tc>
      </w:tr>
      <w:tr>
        <w:trPr>
          <w:jc w:val="center"/>
          <w:tblCellSpacing w:w="0" w:type="dxa"/>
          <w:trHeight w:val="1127"/>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spacing w:line="0" w:lineRule="atLeast"/>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tcPr>
          <w:p>
            <w:pPr>
              <w:jc w:val="center"/>
              <w:spacing w:line="0" w:lineRule="atLeast"/>
              <w:rPr>
                <w:rFonts w:ascii="宋体" w:hAnsi="宋体" w:eastAsia="宋体" w:cs="宋体"/>
                <w:sz w:val="24"/>
              </w:rPr>
            </w:pPr>
            <w:r>
              <w:rPr>
                <w:rFonts w:hint="eastAsia" w:ascii="宋体" w:hAnsi="宋体" w:cs="宋体"/>
                <w:sz w:val="24"/>
              </w:rPr>
              <w:t xml:space="preserve"> 盐城市12345平台呼叫中心服务项目</w:t>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tcPr>
          <w:p>
            <w:pPr>
              <w:jc w:val="center"/>
              <w:spacing w:line="0" w:lineRule="atLeast"/>
              <w:rPr>
                <w:rFonts w:ascii="宋体" w:hAnsi="宋体" w:cs="宋体"/>
                <w:sz w:val="24"/>
              </w:rPr>
            </w:pPr>
            <w:r>
              <w:rPr>
                <w:rFonts w:hint="eastAsia" w:ascii="宋体" w:hAnsi="宋体" w:cs="宋体"/>
                <w:sz w:val="24"/>
              </w:rPr>
              <w:t xml:space="preserve">软件和信息技术服务业</w:t>
            </w:r>
            <w:r/>
          </w:p>
        </w:tc>
      </w:tr>
    </w:tbl>
    <w:p>
      <w:pPr>
        <w:jc w:val="center"/>
      </w:pPr>
      <w:r/>
      <w:r/>
    </w:p>
    <w:p>
      <w:r/>
      <w:r/>
    </w:p>
    <w:p>
      <w:pPr>
        <w:jc w:val="center"/>
      </w:pPr>
      <w:r>
        <w:t xml:space="preserve"> </w:t>
      </w:r>
      <w:bookmarkStart w:id="164" w:name="_Toc120614281"/>
      <w:r/>
      <w:r/>
    </w:p>
    <w:p>
      <w:r>
        <w:br w:type="page" w:clear="all"/>
      </w:r>
      <w:r/>
    </w:p>
    <w:p>
      <w:pPr>
        <w:jc w:val="center"/>
      </w:pPr>
      <w:r>
        <w:rPr>
          <w:rFonts w:hint="eastAsia" w:ascii="黑体" w:hAnsi="宋体" w:eastAsia="黑体" w:cs="黑体"/>
          <w:sz w:val="44"/>
          <w:szCs w:val="44"/>
        </w:rPr>
        <w:t xml:space="preserve">第五章</w:t>
      </w:r>
      <w:r>
        <w:rPr>
          <w:rFonts w:hint="eastAsia" w:ascii="黑体" w:hAnsi="宋体" w:eastAsia="黑体" w:cs="黑体"/>
          <w:sz w:val="44"/>
          <w:szCs w:val="44"/>
          <w:lang w:val="en-US" w:eastAsia="zh-CN"/>
        </w:rPr>
        <w:t xml:space="preserve"> </w:t>
      </w:r>
      <w:r>
        <w:rPr>
          <w:rFonts w:hint="eastAsia" w:ascii="黑体" w:hAnsi="宋体" w:eastAsia="黑体" w:cs="黑体"/>
          <w:sz w:val="44"/>
          <w:szCs w:val="44"/>
        </w:rPr>
        <w:t xml:space="preserve">评审方法与评审标准</w:t>
      </w:r>
      <w:bookmarkEnd w:id="164"/>
      <w:r/>
      <w:r/>
    </w:p>
    <w:p>
      <w:pPr>
        <w:pStyle w:val="868"/>
        <w:jc w:val="both"/>
        <w:spacing w:beforeAutospacing="0" w:afterAutospacing="0"/>
      </w:pPr>
      <w:r>
        <w:t xml:space="preserve"> </w:t>
      </w:r>
      <w:r/>
    </w:p>
    <w:p>
      <w:pPr>
        <w:ind w:firstLine="480"/>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一、定标原则</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本项目采用</w:t>
      </w:r>
      <w:r>
        <w:rPr>
          <w:rFonts w:hint="eastAsia" w:ascii="宋体" w:hAnsi="宋体" w:eastAsia="Arial" w:cs="宋体"/>
          <w:sz w:val="24"/>
          <w:szCs w:val="20"/>
          <w:u w:val="single"/>
        </w:rPr>
        <w:t xml:space="preserve">综合评分</w:t>
      </w:r>
      <w:r>
        <w:rPr>
          <w:rFonts w:hint="eastAsia" w:ascii="宋体" w:hAnsi="宋体" w:eastAsia="Arial" w:cs="宋体"/>
          <w:sz w:val="24"/>
          <w:szCs w:val="20"/>
        </w:rPr>
        <w:t xml:space="preserve">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0"/>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政府采购政策功能落实</w:t>
      </w:r>
      <w:r/>
    </w:p>
    <w:p>
      <w:pPr>
        <w:ind w:firstLine="480"/>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1、小微型企业价格扣除</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（1）本项目不专门面向中小企业采购，对符合规定的小型和微型企业报价给予20%的扣除价格，用扣除后的价格参与评审。</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（2）供应商需按照磋商文件的要求提供相应的《中小企业声明函》。</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（3）企业标准请参照《关于印发中小企业划型标准规定的通知》（工信部联企业〔2011〕300号）文件规定自行填写。</w:t>
      </w:r>
      <w:r/>
    </w:p>
    <w:p>
      <w:pPr>
        <w:ind w:firstLine="480"/>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2、残疾人福利单位价格扣除</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（1）本项目对残疾人福利性单位视同小型、微型企业，给予20%的价格扣除，用扣除后的价格参与评审。</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（2）残疾人福利单位需按照磋商文件的要求提供《残疾人福利性单位声明函》。</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（3）残疾人福利单位标准请参照《关于促进残疾人就业政府采购政策的通知》（财库〔2017〕141号）。</w:t>
      </w:r>
      <w:r/>
    </w:p>
    <w:p>
      <w:pPr>
        <w:ind w:firstLine="480"/>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3、监狱和戒毒企业价格扣除</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（1）本项目对监狱和戒毒企业（简称监狱企业）视同小型、微型企业，给予20%的价格扣除，用扣除后的价格参与评审。</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（3）监狱企业标准请参照《关于政府采购支持监狱企业发展有关问题的通知》（财库〔2014〕68号）。</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4、残疾人福利单位、监狱企业属于小型、微型企业的，不重复享受政策。</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p>
    <w:p>
      <w:pPr>
        <w:ind w:firstLine="480"/>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二、评审方法与评审标准</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本项目评分总分值为100分。</w:t>
      </w:r>
      <w:r/>
    </w:p>
    <w:tbl>
      <w:tblPr>
        <w:tblStyle w:val="860"/>
        <w:tblW w:w="8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302"/>
        <w:gridCol w:w="1428"/>
        <w:gridCol w:w="5138"/>
      </w:tblGrid>
      <w:tr>
        <w:trPr>
          <w:jc w:val="center"/>
          <w:trHeight w:val="645"/>
        </w:trPr>
        <w:tc>
          <w:tcPr>
            <w:tcW w:w="783" w:type="dxa"/>
            <w:vAlign w:val="center"/>
            <w:textDirection w:val="lrTb"/>
            <w:noWrap w:val="false"/>
          </w:tcPr>
          <w:p>
            <w:pPr>
              <w:jc w:val="center"/>
              <w:spacing w:line="500" w:lineRule="exact"/>
              <w:widowControl/>
              <w:rPr>
                <w:rFonts w:ascii="宋体" w:hAnsi="宋体" w:eastAsia="宋体" w:cs="宋体"/>
                <w:b/>
                <w:sz w:val="24"/>
                <w:lang w:val="zh-CN"/>
              </w:rPr>
            </w:pPr>
            <w:r>
              <w:rPr>
                <w:rFonts w:hint="eastAsia" w:ascii="宋体" w:hAnsi="宋体" w:eastAsia="宋体" w:cs="宋体"/>
                <w:b/>
                <w:sz w:val="24"/>
                <w:lang w:val="zh-CN"/>
              </w:rPr>
              <w:t xml:space="preserve">序号</w:t>
            </w:r>
            <w:r/>
          </w:p>
        </w:tc>
        <w:tc>
          <w:tcPr>
            <w:tcW w:w="1302" w:type="dxa"/>
            <w:vAlign w:val="center"/>
            <w:textDirection w:val="lrTb"/>
            <w:noWrap w:val="false"/>
          </w:tcPr>
          <w:p>
            <w:pPr>
              <w:jc w:val="center"/>
              <w:spacing w:line="500" w:lineRule="exact"/>
              <w:widowControl/>
              <w:rPr>
                <w:rFonts w:ascii="宋体" w:hAnsi="宋体" w:eastAsia="宋体" w:cs="宋体"/>
                <w:b/>
                <w:sz w:val="24"/>
                <w:lang w:val="zh-CN"/>
              </w:rPr>
            </w:pPr>
            <w:r>
              <w:rPr>
                <w:rFonts w:hint="eastAsia" w:ascii="宋体" w:hAnsi="宋体" w:eastAsia="宋体" w:cs="宋体"/>
                <w:b/>
                <w:sz w:val="24"/>
                <w:lang w:val="zh-CN"/>
              </w:rPr>
              <w:t xml:space="preserve">类别</w:t>
            </w:r>
            <w:r/>
          </w:p>
        </w:tc>
        <w:tc>
          <w:tcPr>
            <w:tcW w:w="1428" w:type="dxa"/>
            <w:vAlign w:val="center"/>
            <w:textDirection w:val="lrTb"/>
            <w:noWrap w:val="false"/>
          </w:tcPr>
          <w:p>
            <w:pPr>
              <w:jc w:val="center"/>
              <w:spacing w:line="500" w:lineRule="exact"/>
              <w:widowControl/>
              <w:rPr>
                <w:rFonts w:ascii="宋体" w:hAnsi="宋体" w:eastAsia="宋体" w:cs="宋体"/>
                <w:b/>
                <w:sz w:val="24"/>
                <w:lang w:val="zh-CN"/>
              </w:rPr>
            </w:pPr>
            <w:r>
              <w:rPr>
                <w:rFonts w:hint="eastAsia" w:ascii="宋体" w:hAnsi="宋体" w:eastAsia="宋体" w:cs="宋体"/>
                <w:b/>
                <w:sz w:val="24"/>
                <w:lang w:val="zh-CN"/>
              </w:rPr>
              <w:t xml:space="preserve">评分因素</w:t>
            </w:r>
            <w:r/>
          </w:p>
        </w:tc>
        <w:tc>
          <w:tcPr>
            <w:tcW w:w="5138" w:type="dxa"/>
            <w:vAlign w:val="center"/>
            <w:textDirection w:val="lrTb"/>
            <w:noWrap w:val="false"/>
          </w:tcPr>
          <w:p>
            <w:pPr>
              <w:jc w:val="center"/>
              <w:spacing w:line="500" w:lineRule="exact"/>
              <w:rPr>
                <w:rFonts w:ascii="宋体" w:hAnsi="宋体" w:eastAsia="宋体" w:cs="宋体"/>
                <w:b/>
                <w:sz w:val="24"/>
              </w:rPr>
            </w:pPr>
            <w:r>
              <w:rPr>
                <w:rFonts w:hint="eastAsia" w:ascii="宋体" w:hAnsi="宋体" w:eastAsia="宋体" w:cs="宋体"/>
                <w:b/>
                <w:sz w:val="24"/>
              </w:rPr>
              <w:t xml:space="preserve">评分标准</w:t>
            </w:r>
            <w:r/>
          </w:p>
        </w:tc>
      </w:tr>
      <w:tr>
        <w:trPr>
          <w:jc w:val="center"/>
          <w:trHeight w:val="567"/>
        </w:trPr>
        <w:tc>
          <w:tcPr>
            <w:shd w:val="clear" w:color="auto" w:fill="auto"/>
            <w:tcW w:w="783" w:type="dxa"/>
            <w:vAlign w:val="center"/>
            <w:textDirection w:val="lrTb"/>
            <w:noWrap w:val="false"/>
          </w:tcPr>
          <w:p>
            <w:pPr>
              <w:jc w:val="center"/>
              <w:spacing w:line="500" w:lineRule="exact"/>
              <w:widowControl/>
              <w:rPr>
                <w:rFonts w:ascii="宋体" w:hAnsi="宋体" w:eastAsia="宋体" w:cs="宋体"/>
                <w:sz w:val="24"/>
                <w:lang w:val="zh-CN"/>
              </w:rPr>
            </w:pPr>
            <w:r>
              <w:rPr>
                <w:rFonts w:hint="eastAsia" w:ascii="宋体" w:hAnsi="宋体" w:eastAsia="宋体" w:cs="宋体"/>
                <w:sz w:val="24"/>
                <w:lang w:val="zh-CN"/>
              </w:rPr>
              <w:t xml:space="preserve">1</w:t>
            </w:r>
            <w:r/>
          </w:p>
        </w:tc>
        <w:tc>
          <w:tcPr>
            <w:shd w:val="clear" w:color="auto" w:fill="auto"/>
            <w:tcW w:w="1302" w:type="dxa"/>
            <w:vAlign w:val="center"/>
            <w:textDirection w:val="lrTb"/>
            <w:noWrap w:val="false"/>
          </w:tcPr>
          <w:p>
            <w:pPr>
              <w:jc w:val="center"/>
              <w:spacing w:line="500" w:lineRule="exact"/>
              <w:widowControl/>
              <w:rPr>
                <w:rFonts w:ascii="宋体" w:hAnsi="宋体" w:eastAsia="宋体" w:cs="宋体"/>
                <w:sz w:val="24"/>
              </w:rPr>
            </w:pPr>
            <w:r>
              <w:rPr>
                <w:rFonts w:hint="eastAsia" w:ascii="宋体" w:hAnsi="宋体" w:eastAsia="宋体" w:cs="宋体"/>
                <w:sz w:val="24"/>
              </w:rPr>
              <w:t xml:space="preserve">报价</w:t>
            </w:r>
            <w:r/>
          </w:p>
          <w:p>
            <w:pPr>
              <w:jc w:val="center"/>
              <w:spacing w:line="500" w:lineRule="exact"/>
              <w:widowControl/>
              <w:rPr>
                <w:rFonts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10</w:t>
            </w:r>
            <w:r>
              <w:rPr>
                <w:rFonts w:hint="eastAsia" w:ascii="宋体" w:hAnsi="宋体" w:eastAsia="宋体" w:cs="宋体"/>
                <w:sz w:val="24"/>
                <w:lang w:val="zh-CN"/>
              </w:rPr>
              <w:t xml:space="preserve">分）</w:t>
            </w:r>
            <w:r/>
          </w:p>
        </w:tc>
        <w:tc>
          <w:tcPr>
            <w:shd w:val="clear" w:color="auto" w:fill="auto"/>
            <w:tcW w:w="1428" w:type="dxa"/>
            <w:vAlign w:val="center"/>
            <w:textDirection w:val="lrTb"/>
            <w:noWrap w:val="false"/>
          </w:tcPr>
          <w:p>
            <w:pPr>
              <w:jc w:val="center"/>
              <w:spacing w:line="500" w:lineRule="exact"/>
              <w:widowControl/>
              <w:rPr>
                <w:rFonts w:ascii="宋体" w:hAnsi="宋体" w:eastAsia="宋体" w:cs="宋体"/>
                <w:sz w:val="24"/>
                <w:lang w:val="zh-CN"/>
              </w:rPr>
            </w:pPr>
            <w:r>
              <w:rPr>
                <w:rFonts w:hint="eastAsia" w:ascii="宋体" w:hAnsi="宋体" w:eastAsia="宋体" w:cs="宋体"/>
                <w:sz w:val="24"/>
                <w:lang w:val="zh-CN"/>
              </w:rPr>
              <w:t xml:space="preserve">投标报价</w:t>
            </w:r>
            <w:r/>
          </w:p>
          <w:p>
            <w:pPr>
              <w:jc w:val="center"/>
              <w:spacing w:line="500" w:lineRule="exact"/>
              <w:widowControl/>
              <w:rPr>
                <w:rFonts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10</w:t>
            </w:r>
            <w:r>
              <w:rPr>
                <w:rFonts w:hint="eastAsia" w:ascii="宋体" w:hAnsi="宋体" w:eastAsia="宋体" w:cs="宋体"/>
                <w:sz w:val="24"/>
                <w:lang w:val="zh-CN"/>
              </w:rPr>
              <w:t xml:space="preserve">分）</w:t>
            </w:r>
            <w:r/>
          </w:p>
        </w:tc>
        <w:tc>
          <w:tcPr>
            <w:tcW w:w="5138" w:type="dxa"/>
            <w:vAlign w:val="center"/>
            <w:textDirection w:val="lrTb"/>
            <w:noWrap w:val="false"/>
          </w:tcPr>
          <w:p>
            <w:pPr>
              <w:ind w:firstLine="480"/>
              <w:spacing w:line="500" w:lineRule="exact"/>
              <w:widowControl/>
              <w:rPr>
                <w:rFonts w:ascii="宋体" w:hAnsi="宋体" w:eastAsia="宋体" w:cs="宋体"/>
                <w:b/>
                <w:sz w:val="24"/>
              </w:rPr>
            </w:pPr>
            <w:r>
              <w:rPr>
                <w:rFonts w:hint="eastAsia" w:ascii="宋体" w:hAnsi="宋体" w:eastAsia="宋体" w:cs="宋体"/>
                <w:sz w:val="24"/>
                <w:lang w:val="zh-CN"/>
              </w:rPr>
              <w:t xml:space="preserve">采用低价优先法计算，即满足磋商文件要求且响应价格最低的响应报价为评标基准价，其价格分为满分。其他</w:t>
            </w:r>
            <w:r>
              <w:rPr>
                <w:rFonts w:hint="eastAsia" w:ascii="宋体" w:hAnsi="宋体" w:eastAsia="宋体" w:cs="宋体"/>
                <w:sz w:val="24"/>
              </w:rPr>
              <w:t xml:space="preserve">投标人</w:t>
            </w:r>
            <w:r>
              <w:rPr>
                <w:rFonts w:hint="eastAsia" w:ascii="宋体" w:hAnsi="宋体" w:eastAsia="宋体" w:cs="宋体"/>
                <w:sz w:val="24"/>
                <w:lang w:val="zh-CN"/>
              </w:rPr>
              <w:t xml:space="preserve">的价格分统一按照下列公式计算：响应报价得分=(评标基准价/响应报价)×10</w:t>
            </w:r>
            <w:r>
              <w:rPr>
                <w:rFonts w:hint="eastAsia" w:ascii="宋体" w:hAnsi="宋体" w:eastAsia="宋体" w:cs="宋体"/>
                <w:sz w:val="24"/>
              </w:rPr>
              <w:t xml:space="preserve">（得分保留两位小数）</w:t>
            </w:r>
            <w:r>
              <w:rPr>
                <w:rFonts w:hint="eastAsia" w:ascii="宋体" w:hAnsi="宋体" w:eastAsia="宋体" w:cs="宋体"/>
                <w:sz w:val="24"/>
                <w:lang w:val="zh-CN"/>
              </w:rPr>
              <w:t xml:space="preserve">。</w:t>
            </w:r>
            <w:r/>
          </w:p>
        </w:tc>
      </w:tr>
      <w:tr>
        <w:trPr>
          <w:jc w:val="center"/>
          <w:trHeight w:val="567"/>
        </w:trPr>
        <w:tc>
          <w:tcPr>
            <w:shd w:val="clear" w:color="auto" w:fill="auto"/>
            <w:tcW w:w="783" w:type="dxa"/>
            <w:vAlign w:val="center"/>
            <w:vMerge w:val="restart"/>
            <w:textDirection w:val="lrTb"/>
            <w:noWrap w:val="false"/>
          </w:tcPr>
          <w:p>
            <w:pPr>
              <w:jc w:val="center"/>
              <w:spacing w:line="500" w:lineRule="exact"/>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1302" w:type="dxa"/>
            <w:vAlign w:val="center"/>
            <w:vMerge w:val="restart"/>
            <w:textDirection w:val="lrTb"/>
            <w:noWrap w:val="false"/>
          </w:tcPr>
          <w:p>
            <w:pPr>
              <w:jc w:val="center"/>
              <w:spacing w:line="500" w:lineRule="exact"/>
              <w:widowControl/>
              <w:rPr>
                <w:rFonts w:ascii="宋体" w:hAnsi="宋体" w:eastAsia="宋体" w:cs="宋体"/>
                <w:sz w:val="24"/>
              </w:rPr>
            </w:pPr>
            <w:r>
              <w:rPr>
                <w:rFonts w:hint="eastAsia" w:asciiTheme="majorEastAsia" w:hAnsiTheme="majorEastAsia" w:eastAsiaTheme="majorEastAsia" w:cstheme="majorEastAsia"/>
                <w:color w:val="000000"/>
                <w:sz w:val="24"/>
              </w:rPr>
              <w:t xml:space="preserve">履约能力（30分）</w:t>
            </w:r>
            <w:r/>
          </w:p>
        </w:tc>
        <w:tc>
          <w:tcPr>
            <w:shd w:val="clear" w:color="auto" w:fill="auto"/>
            <w:tcW w:w="1428" w:type="dxa"/>
            <w:vAlign w:val="center"/>
            <w:textDirection w:val="lrTb"/>
            <w:noWrap w:val="false"/>
          </w:tcPr>
          <w:p>
            <w:pPr>
              <w:jc w:val="center"/>
              <w:spacing w:line="500" w:lineRule="exact"/>
              <w:widowControl/>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 xml:space="preserve">业绩案例</w:t>
            </w:r>
            <w:r/>
          </w:p>
          <w:p>
            <w:pPr>
              <w:jc w:val="center"/>
              <w:spacing w:line="500" w:lineRule="exact"/>
              <w:widowControl/>
              <w:rPr>
                <w:rFonts w:ascii="宋体" w:hAnsi="宋体" w:eastAsia="宋体" w:cs="宋体"/>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 xml:space="preserve">（6分）</w:t>
            </w:r>
            <w:r/>
          </w:p>
        </w:tc>
        <w:tc>
          <w:tcPr>
            <w:tcW w:w="5138" w:type="dxa"/>
            <w:vAlign w:val="center"/>
            <w:textDirection w:val="lrTb"/>
            <w:noWrap w:val="false"/>
          </w:tcPr>
          <w:p>
            <w:pPr>
              <w:ind w:firstLine="480"/>
              <w:spacing w:line="50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投标人自2023年1月1日（以合同签订时间为准）以来承接过类似项目（类似项目是</w:t>
            </w:r>
            <w:r>
              <w:rPr>
                <w:rFonts w:hint="eastAsia" w:ascii="宋体" w:hAnsi="宋体" w:eastAsia="宋体" w:cs="宋体"/>
                <w:color w:val="000000" w:themeColor="text1"/>
                <w:sz w:val="24"/>
                <w:lang w:val="en-US" w:eastAsia="zh-CN"/>
                <w14:textFill>
                  <w14:solidFill>
                    <w14:schemeClr w14:val="tx1"/>
                  </w14:solidFill>
                </w14:textFill>
              </w:rPr>
              <w:t xml:space="preserve">政府</w:t>
            </w:r>
            <w:r>
              <w:rPr>
                <w:rFonts w:hint="eastAsia" w:ascii="宋体" w:hAnsi="宋体" w:eastAsia="宋体" w:cs="宋体"/>
                <w:color w:val="000000" w:themeColor="text1"/>
                <w:sz w:val="24"/>
                <w14:textFill>
                  <w14:solidFill>
                    <w14:schemeClr w14:val="tx1"/>
                  </w14:solidFill>
                </w14:textFill>
              </w:rPr>
              <w:t xml:space="preserve">热线、呼叫中心等相关内容</w:t>
            </w:r>
            <w:r>
              <w:rPr>
                <w:rFonts w:hint="eastAsia" w:ascii="宋体" w:hAnsi="宋体" w:eastAsia="宋体" w:cs="宋体"/>
                <w:color w:val="000000" w:themeColor="text1"/>
                <w:sz w:val="24"/>
                <w:lang w:val="zh-CN"/>
                <w14:textFill>
                  <w14:solidFill>
                    <w14:schemeClr w14:val="tx1"/>
                  </w14:solidFill>
                </w14:textFill>
              </w:rPr>
              <w:t xml:space="preserve">至少一项在内</w:t>
            </w:r>
            <w:r>
              <w:rPr>
                <w:rFonts w:hint="eastAsia" w:ascii="宋体" w:hAnsi="宋体" w:eastAsia="宋体" w:cs="宋体"/>
                <w:color w:val="000000" w:themeColor="text1"/>
                <w:sz w:val="24"/>
                <w14:textFill>
                  <w14:solidFill>
                    <w14:schemeClr w14:val="tx1"/>
                  </w14:solidFill>
                </w14:textFill>
              </w:rPr>
              <w:t xml:space="preserve">的成功案例），每提供一份案例的得2分，本项最高6分。</w:t>
            </w:r>
            <w:r/>
          </w:p>
          <w:p>
            <w:pPr>
              <w:ind w:firstLine="480"/>
              <w:spacing w:line="500" w:lineRule="exact"/>
              <w:widowControl/>
              <w:rPr>
                <w:rFonts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p>
        </w:tc>
      </w:tr>
      <w:tr>
        <w:trPr>
          <w:jc w:val="center"/>
          <w:trHeight w:val="567"/>
        </w:trPr>
        <w:tc>
          <w:tcPr>
            <w:shd w:val="clear" w:color="auto" w:fill="auto"/>
            <w:tcW w:w="783" w:type="dxa"/>
            <w:vAlign w:val="center"/>
            <w:vMerge w:val="continue"/>
            <w:textDirection w:val="lrTb"/>
            <w:noWrap w:val="false"/>
          </w:tcPr>
          <w:p>
            <w:pPr>
              <w:jc w:val="center"/>
              <w:spacing w:line="500" w:lineRule="exact"/>
              <w:widowControl/>
              <w:rPr>
                <w:rFonts w:ascii="宋体" w:hAnsi="宋体" w:eastAsia="宋体" w:cs="宋体"/>
                <w:sz w:val="24"/>
                <w:lang w:val="zh-CN"/>
              </w:rPr>
            </w:pPr>
            <w:r>
              <w:rPr>
                <w:rFonts w:ascii="宋体" w:hAnsi="宋体" w:eastAsia="宋体" w:cs="宋体"/>
                <w:sz w:val="24"/>
                <w:lang w:val="zh-CN"/>
              </w:rPr>
            </w:r>
            <w:r/>
          </w:p>
        </w:tc>
        <w:tc>
          <w:tcPr>
            <w:shd w:val="clear" w:color="auto" w:fill="auto"/>
            <w:tcW w:w="1302" w:type="dxa"/>
            <w:vAlign w:val="center"/>
            <w:vMerge w:val="continue"/>
            <w:textDirection w:val="lrTb"/>
            <w:noWrap w:val="false"/>
          </w:tcPr>
          <w:p>
            <w:pPr>
              <w:jc w:val="center"/>
              <w:spacing w:line="500" w:lineRule="exact"/>
              <w:widowControl/>
              <w:rPr>
                <w:rFonts w:ascii="宋体" w:hAnsi="宋体" w:eastAsia="宋体" w:cs="宋体"/>
                <w:sz w:val="24"/>
                <w:lang w:val="zh-CN"/>
              </w:rPr>
            </w:pPr>
            <w:r>
              <w:rPr>
                <w:rFonts w:ascii="宋体" w:hAnsi="宋体" w:eastAsia="宋体" w:cs="宋体"/>
                <w:sz w:val="24"/>
                <w:lang w:val="zh-CN"/>
              </w:rPr>
            </w:r>
            <w:r/>
          </w:p>
        </w:tc>
        <w:tc>
          <w:tcPr>
            <w:shd w:val="clear" w:color="auto" w:fill="auto"/>
            <w:tcW w:w="1428" w:type="dxa"/>
            <w:vAlign w:val="center"/>
            <w:textDirection w:val="lrTb"/>
            <w:noWrap w:val="false"/>
          </w:tcPr>
          <w:p>
            <w:pPr>
              <w:jc w:val="center"/>
              <w:spacing w:line="500" w:lineRule="exact"/>
              <w:widowControl/>
              <w:rPr>
                <w:rFonts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服务承诺</w:t>
            </w:r>
            <w:r/>
          </w:p>
          <w:p>
            <w:pPr>
              <w:jc w:val="center"/>
              <w:spacing w:line="500" w:lineRule="exact"/>
              <w:widowControl/>
              <w:rPr>
                <w:rFonts w:ascii="宋体" w:hAnsi="宋体" w:eastAsia="宋体" w:cs="宋体"/>
                <w:sz w:val="24"/>
              </w:rPr>
            </w:pPr>
            <w:r>
              <w:rPr>
                <w:rFonts w:hint="eastAsia" w:asciiTheme="majorEastAsia" w:hAnsiTheme="majorEastAsia" w:eastAsiaTheme="majorEastAsia" w:cstheme="majorEastAsia"/>
                <w:color w:val="000000"/>
                <w:sz w:val="24"/>
              </w:rPr>
              <w:t xml:space="preserve">（4分）</w:t>
            </w:r>
            <w:r/>
          </w:p>
        </w:tc>
        <w:tc>
          <w:tcPr>
            <w:tcW w:w="5138" w:type="dxa"/>
            <w:vAlign w:val="center"/>
            <w:textDirection w:val="lrTb"/>
            <w:noWrap w:val="false"/>
          </w:tcPr>
          <w:p>
            <w:pPr>
              <w:ind w:firstLine="480"/>
              <w:spacing w:line="500" w:lineRule="exact"/>
              <w:widowControl/>
              <w:rPr>
                <w:rFonts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投标人承诺线路割接时，系统中断半小时内的得4分；中断1小时内的得2分；中断2小时内的得1分；中断超过2小时不得分。</w:t>
            </w:r>
            <w:r/>
          </w:p>
          <w:p>
            <w:pPr>
              <w:ind w:firstLine="480"/>
              <w:spacing w:line="500" w:lineRule="exact"/>
              <w:widowControl/>
              <w:rPr>
                <w:rFonts w:ascii="宋体" w:hAnsi="宋体" w:eastAsia="宋体" w:cs="宋体"/>
                <w:sz w:val="24"/>
              </w:rPr>
            </w:pPr>
            <w:r>
              <w:rPr>
                <w:rFonts w:hint="eastAsia" w:asciiTheme="majorEastAsia" w:hAnsiTheme="majorEastAsia" w:eastAsiaTheme="majorEastAsia" w:cstheme="majorEastAsia"/>
                <w:color w:val="000000"/>
                <w:sz w:val="24"/>
              </w:rPr>
              <w:t xml:space="preserve">注：投标人须提供承诺书并加盖投标人公章，不提供不得分。</w:t>
            </w:r>
            <w:r/>
          </w:p>
        </w:tc>
      </w:tr>
      <w:tr>
        <w:trPr>
          <w:jc w:val="center"/>
          <w:trHeight w:val="567"/>
        </w:trPr>
        <w:tc>
          <w:tcPr>
            <w:shd w:val="clear" w:color="auto" w:fill="auto"/>
            <w:tcW w:w="783" w:type="dxa"/>
            <w:vAlign w:val="center"/>
            <w:vMerge w:val="continue"/>
            <w:textDirection w:val="lrTb"/>
            <w:noWrap w:val="false"/>
          </w:tcPr>
          <w:p>
            <w:pPr>
              <w:jc w:val="center"/>
              <w:spacing w:line="500" w:lineRule="exact"/>
              <w:widowControl/>
              <w:rPr>
                <w:rFonts w:ascii="宋体" w:hAnsi="宋体" w:eastAsia="宋体" w:cs="宋体"/>
                <w:sz w:val="24"/>
                <w:lang w:val="zh-CN"/>
              </w:rPr>
            </w:pPr>
            <w:r>
              <w:rPr>
                <w:rFonts w:ascii="宋体" w:hAnsi="宋体" w:eastAsia="宋体" w:cs="宋体"/>
                <w:sz w:val="24"/>
                <w:lang w:val="zh-CN"/>
              </w:rPr>
            </w:r>
            <w:r/>
          </w:p>
        </w:tc>
        <w:tc>
          <w:tcPr>
            <w:shd w:val="clear" w:color="auto" w:fill="auto"/>
            <w:tcW w:w="1302" w:type="dxa"/>
            <w:vAlign w:val="center"/>
            <w:vMerge w:val="continue"/>
            <w:textDirection w:val="lrTb"/>
            <w:noWrap w:val="false"/>
          </w:tcPr>
          <w:p>
            <w:pPr>
              <w:jc w:val="center"/>
              <w:spacing w:line="500" w:lineRule="exact"/>
              <w:widowControl/>
              <w:rPr>
                <w:rFonts w:ascii="宋体" w:hAnsi="宋体" w:eastAsia="宋体" w:cs="宋体"/>
                <w:sz w:val="24"/>
                <w:lang w:val="zh-CN"/>
              </w:rPr>
            </w:pPr>
            <w:r>
              <w:rPr>
                <w:rFonts w:ascii="宋体" w:hAnsi="宋体" w:eastAsia="宋体" w:cs="宋体"/>
                <w:sz w:val="24"/>
                <w:lang w:val="zh-CN"/>
              </w:rPr>
            </w:r>
            <w:r/>
          </w:p>
        </w:tc>
        <w:tc>
          <w:tcPr>
            <w:shd w:val="clear" w:color="auto" w:fill="auto"/>
            <w:tcW w:w="1428" w:type="dxa"/>
            <w:vAlign w:val="center"/>
            <w:textDirection w:val="lrTb"/>
            <w:noWrap w:val="false"/>
          </w:tcPr>
          <w:p>
            <w:pPr>
              <w:jc w:val="center"/>
              <w:spacing w:line="500" w:lineRule="exact"/>
              <w:widowControl/>
              <w:rPr>
                <w:rFonts w:ascii="宋体" w:hAnsi="宋体" w:eastAsia="宋体" w:cs="宋体"/>
                <w:sz w:val="24"/>
              </w:rPr>
            </w:pPr>
            <w:r>
              <w:rPr>
                <w:rFonts w:hint="eastAsia" w:asciiTheme="majorEastAsia" w:hAnsiTheme="majorEastAsia" w:eastAsiaTheme="majorEastAsia" w:cstheme="majorEastAsia"/>
                <w:color w:val="000000" w:themeColor="text1"/>
                <w:sz w:val="24"/>
                <w:lang w:val="en-US" w:eastAsia="zh-CN"/>
                <w14:textFill>
                  <w14:solidFill>
                    <w14:schemeClr w14:val="tx1"/>
                  </w14:solidFill>
                </w14:textFill>
              </w:rPr>
              <w:t xml:space="preserve">项目人员</w:t>
            </w:r>
            <w:r>
              <w:rPr>
                <w:rFonts w:hint="eastAsia" w:asciiTheme="majorEastAsia" w:hAnsiTheme="majorEastAsia" w:eastAsiaTheme="majorEastAsia" w:cstheme="majorEastAsia"/>
                <w:color w:val="000000" w:themeColor="text1"/>
                <w:sz w:val="24"/>
                <w14:textFill>
                  <w14:solidFill>
                    <w14:schemeClr w14:val="tx1"/>
                  </w14:solidFill>
                </w14:textFill>
              </w:rPr>
              <w:t xml:space="preserve">（</w:t>
            </w:r>
            <w:r>
              <w:rPr>
                <w:rFonts w:hint="eastAsia" w:asciiTheme="majorEastAsia" w:hAnsiTheme="majorEastAsia" w:eastAsiaTheme="majorEastAsia" w:cstheme="majorEastAsia"/>
                <w:color w:val="000000" w:themeColor="text1"/>
                <w:sz w:val="24"/>
                <w:lang w:val="en-US" w:eastAsia="zh-CN"/>
                <w14:textFill>
                  <w14:solidFill>
                    <w14:schemeClr w14:val="tx1"/>
                  </w14:solidFill>
                </w14:textFill>
              </w:rPr>
              <w:t xml:space="preserve">20</w:t>
            </w:r>
            <w:r>
              <w:rPr>
                <w:rFonts w:hint="eastAsia" w:asciiTheme="majorEastAsia" w:hAnsiTheme="majorEastAsia" w:eastAsiaTheme="majorEastAsia" w:cstheme="majorEastAsia"/>
                <w:color w:val="000000" w:themeColor="text1"/>
                <w:sz w:val="24"/>
                <w14:textFill>
                  <w14:solidFill>
                    <w14:schemeClr w14:val="tx1"/>
                  </w14:solidFill>
                </w14:textFill>
              </w:rPr>
              <w:t xml:space="preserve">分）</w:t>
            </w:r>
            <w:r/>
          </w:p>
        </w:tc>
        <w:tc>
          <w:tcPr>
            <w:tcW w:w="5138" w:type="dxa"/>
            <w:vAlign w:val="center"/>
            <w:textDirection w:val="lrTb"/>
            <w:noWrap w:val="false"/>
          </w:tcPr>
          <w:p>
            <w:pPr>
              <w:ind w:firstLine="480"/>
              <w:spacing w:line="500" w:lineRule="exact"/>
              <w:widowControl/>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1、项目负责人（1人）：具有中华人民共和国人力资源和社会保障部、工业和信息化部颁发的</w:t>
            </w:r>
            <w:r>
              <w:rPr>
                <w:rFonts w:hint="eastAsia" w:asciiTheme="majorEastAsia" w:hAnsiTheme="majorEastAsia" w:eastAsiaTheme="majorEastAsia" w:cstheme="majorEastAsia"/>
                <w:color w:val="000000"/>
                <w:sz w:val="24"/>
                <w:lang w:val="en-US" w:eastAsia="zh-CN"/>
              </w:rPr>
              <w:t xml:space="preserve">网络规划设计师（高级）证书、信息系统项目管理师（高级）证书，</w:t>
            </w:r>
            <w:r>
              <w:rPr>
                <w:rFonts w:hint="eastAsia" w:asciiTheme="majorEastAsia" w:hAnsiTheme="majorEastAsia" w:eastAsiaTheme="majorEastAsia" w:cstheme="majorEastAsia"/>
                <w:color w:val="000000"/>
                <w:sz w:val="24"/>
              </w:rPr>
              <w:t xml:space="preserve">每满足一项得2分，本项最高得4分，未提供不得分；</w:t>
            </w:r>
            <w:r/>
          </w:p>
          <w:p>
            <w:pPr>
              <w:ind w:firstLine="480"/>
              <w:spacing w:line="500" w:lineRule="exact"/>
              <w:widowControl/>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2、技术负责人（1人）：具有中华人民共和国人力资源和社会保障部、工业和信息化部颁发的</w:t>
            </w:r>
            <w:r>
              <w:rPr>
                <w:rFonts w:hint="eastAsia" w:asciiTheme="majorEastAsia" w:hAnsiTheme="majorEastAsia" w:eastAsiaTheme="majorEastAsia" w:cstheme="majorEastAsia"/>
                <w:color w:val="000000"/>
                <w:sz w:val="24"/>
                <w:lang w:val="en-US" w:eastAsia="zh-CN"/>
              </w:rPr>
              <w:t xml:space="preserve">系统集成项目管理工程师（中级）证书</w:t>
            </w:r>
            <w:r>
              <w:rPr>
                <w:rFonts w:hint="eastAsia" w:asciiTheme="majorEastAsia" w:hAnsiTheme="majorEastAsia" w:eastAsiaTheme="majorEastAsia" w:cstheme="majorEastAsia"/>
                <w:color w:val="000000"/>
                <w:sz w:val="24"/>
              </w:rPr>
              <w:t xml:space="preserve">，</w:t>
            </w:r>
            <w:r>
              <w:rPr>
                <w:rFonts w:hint="eastAsia" w:asciiTheme="majorEastAsia" w:hAnsiTheme="majorEastAsia" w:eastAsiaTheme="majorEastAsia" w:cstheme="majorEastAsia"/>
                <w:color w:val="000000"/>
                <w:sz w:val="24"/>
                <w:lang w:val="en-US" w:eastAsia="zh-CN"/>
              </w:rPr>
              <w:t xml:space="preserve">具有中国网络安全审查技术与认证中心颁发的</w:t>
            </w:r>
            <w:r>
              <w:rPr>
                <w:rFonts w:hint="eastAsia" w:asciiTheme="majorEastAsia" w:hAnsiTheme="majorEastAsia" w:eastAsiaTheme="majorEastAsia" w:cstheme="majorEastAsia"/>
                <w:color w:val="000000"/>
                <w:sz w:val="24"/>
              </w:rPr>
              <w:t xml:space="preserve">信息安全保障人员认证证书CISAW（</w:t>
            </w:r>
            <w:r>
              <w:rPr>
                <w:rFonts w:hint="eastAsia" w:asciiTheme="majorEastAsia" w:hAnsiTheme="majorEastAsia" w:eastAsiaTheme="majorEastAsia" w:cstheme="majorEastAsia"/>
                <w:color w:val="000000"/>
                <w:sz w:val="24"/>
                <w:lang w:val="en-US" w:eastAsia="zh-CN"/>
              </w:rPr>
              <w:t xml:space="preserve">安全运维</w:t>
            </w:r>
            <w:r>
              <w:rPr>
                <w:rFonts w:hint="eastAsia" w:asciiTheme="majorEastAsia" w:hAnsiTheme="majorEastAsia" w:eastAsiaTheme="majorEastAsia" w:cstheme="majorEastAsia"/>
                <w:color w:val="000000"/>
                <w:sz w:val="24"/>
              </w:rPr>
              <w:t xml:space="preserve">）证书</w:t>
            </w:r>
            <w:r>
              <w:rPr>
                <w:rFonts w:hint="eastAsia" w:asciiTheme="majorEastAsia" w:hAnsiTheme="majorEastAsia" w:eastAsiaTheme="majorEastAsia" w:cstheme="majorEastAsia"/>
                <w:color w:val="000000"/>
                <w:sz w:val="24"/>
                <w:lang w:eastAsia="zh-CN"/>
              </w:rPr>
              <w:t xml:space="preserve">，</w:t>
            </w:r>
            <w:r>
              <w:rPr>
                <w:rFonts w:hint="eastAsia" w:asciiTheme="majorEastAsia" w:hAnsiTheme="majorEastAsia" w:eastAsiaTheme="majorEastAsia" w:cstheme="majorEastAsia"/>
                <w:color w:val="000000"/>
                <w:sz w:val="24"/>
              </w:rPr>
              <w:t xml:space="preserve">每满足一项得2分，本项最高得4分，未提供不得分；</w:t>
            </w:r>
            <w:r/>
          </w:p>
          <w:p>
            <w:pPr>
              <w:ind w:firstLine="480"/>
              <w:spacing w:line="500" w:lineRule="exact"/>
              <w:widowControl/>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3、项目团队成员（除项目负责人、技术负责人以外）：具有中华人民共和国人力资源和社会保障部、工业和信息化部颁发的</w:t>
            </w:r>
            <w:r>
              <w:rPr>
                <w:rFonts w:hint="eastAsia" w:asciiTheme="minorEastAsia" w:hAnsiTheme="minorEastAsia" w:cstheme="minorEastAsia"/>
                <w:color w:val="000000" w:themeColor="text1"/>
                <w:sz w:val="24"/>
                <w:szCs w:val="20"/>
                <w:lang w:val="en-US" w:eastAsia="zh-CN"/>
                <w14:textFill>
                  <w14:solidFill>
                    <w14:schemeClr w14:val="tx1"/>
                  </w14:solidFill>
                </w14:textFill>
              </w:rPr>
              <w:t xml:space="preserve">数据库系统工程师（中级）</w:t>
            </w:r>
            <w:r>
              <w:rPr>
                <w:rFonts w:hint="eastAsia" w:asciiTheme="minorEastAsia" w:hAnsiTheme="minorEastAsia" w:eastAsiaTheme="minorEastAsia" w:cstheme="minorEastAsia"/>
                <w:color w:val="000000" w:themeColor="text1"/>
                <w:sz w:val="24"/>
                <w:szCs w:val="20"/>
                <w:lang w:val="en-US" w:eastAsia="zh-CN"/>
                <w14:textFill>
                  <w14:solidFill>
                    <w14:schemeClr w14:val="tx1"/>
                  </w14:solidFill>
                </w14:textFill>
              </w:rPr>
              <w:t xml:space="preserve">证书</w:t>
            </w:r>
            <w:r>
              <w:rPr>
                <w:rFonts w:hint="eastAsia" w:asciiTheme="majorEastAsia" w:hAnsiTheme="majorEastAsia" w:eastAsiaTheme="majorEastAsia" w:cstheme="majorEastAsia"/>
                <w:color w:val="000000"/>
                <w:sz w:val="24"/>
              </w:rPr>
              <w:t xml:space="preserve">、网络工程师（中级）证书</w:t>
            </w:r>
            <w:r>
              <w:rPr>
                <w:rFonts w:hint="eastAsia" w:asciiTheme="majorEastAsia" w:hAnsiTheme="majorEastAsia" w:eastAsiaTheme="majorEastAsia" w:cstheme="majorEastAsia"/>
                <w:color w:val="000000"/>
                <w:sz w:val="24"/>
                <w:lang w:eastAsia="zh-CN"/>
              </w:rPr>
              <w:t xml:space="preserve">，</w:t>
            </w:r>
            <w:r>
              <w:rPr>
                <w:rFonts w:hint="eastAsia" w:asciiTheme="majorEastAsia" w:hAnsiTheme="majorEastAsia" w:eastAsiaTheme="majorEastAsia" w:cstheme="majorEastAsia"/>
                <w:color w:val="000000"/>
                <w:sz w:val="24"/>
                <w:lang w:val="en-US" w:eastAsia="zh-CN"/>
              </w:rPr>
              <w:t xml:space="preserve">具有中国信息安全测评中心颁发的</w:t>
            </w:r>
            <w:r>
              <w:rPr>
                <w:rFonts w:hint="eastAsia" w:asciiTheme="majorEastAsia" w:hAnsiTheme="majorEastAsia" w:eastAsiaTheme="majorEastAsia" w:cstheme="majorEastAsia"/>
                <w:color w:val="000000"/>
                <w:sz w:val="24"/>
              </w:rPr>
              <w:t xml:space="preserve">注册信息安全专业人员（CISP）证书</w:t>
            </w:r>
            <w:r>
              <w:rPr>
                <w:rFonts w:hint="eastAsia" w:asciiTheme="majorEastAsia" w:hAnsiTheme="majorEastAsia" w:eastAsiaTheme="majorEastAsia" w:cstheme="majorEastAsia"/>
                <w:color w:val="000000"/>
                <w:sz w:val="24"/>
                <w:lang w:eastAsia="zh-CN"/>
              </w:rPr>
              <w:t xml:space="preserve">，</w:t>
            </w:r>
            <w:r>
              <w:rPr>
                <w:rFonts w:hint="eastAsia" w:asciiTheme="majorEastAsia" w:hAnsiTheme="majorEastAsia" w:eastAsiaTheme="majorEastAsia" w:cstheme="majorEastAsia"/>
                <w:color w:val="000000"/>
                <w:sz w:val="24"/>
                <w:lang w:val="en-US" w:eastAsia="zh-CN"/>
              </w:rPr>
              <w:t xml:space="preserve">具有中国网络安全审查技术与认证中心颁发的</w:t>
            </w:r>
            <w:r>
              <w:rPr>
                <w:rFonts w:hint="eastAsia" w:asciiTheme="majorEastAsia" w:hAnsiTheme="majorEastAsia" w:eastAsiaTheme="majorEastAsia" w:cstheme="majorEastAsia"/>
                <w:color w:val="000000"/>
                <w:sz w:val="24"/>
              </w:rPr>
              <w:t xml:space="preserve">信息安全保障人员认证证书CISAW（</w:t>
            </w:r>
            <w:r>
              <w:rPr>
                <w:rFonts w:hint="eastAsia" w:asciiTheme="majorEastAsia" w:hAnsiTheme="majorEastAsia" w:eastAsiaTheme="majorEastAsia" w:cstheme="majorEastAsia"/>
                <w:color w:val="000000"/>
                <w:sz w:val="24"/>
                <w:lang w:val="en-US" w:eastAsia="zh-CN"/>
              </w:rPr>
              <w:t xml:space="preserve">应急服务</w:t>
            </w:r>
            <w:r>
              <w:rPr>
                <w:rFonts w:hint="eastAsia" w:asciiTheme="majorEastAsia" w:hAnsiTheme="majorEastAsia" w:eastAsiaTheme="majorEastAsia" w:cstheme="majorEastAsia"/>
                <w:color w:val="000000"/>
                <w:sz w:val="24"/>
              </w:rPr>
              <w:t xml:space="preserve">）证书，</w:t>
            </w:r>
            <w:r>
              <w:rPr>
                <w:rFonts w:hint="eastAsia" w:asciiTheme="minorEastAsia" w:hAnsiTheme="minorEastAsia" w:eastAsiaTheme="minorEastAsia" w:cstheme="minorEastAsia"/>
                <w:color w:val="auto"/>
                <w:sz w:val="24"/>
                <w:highlight w:val="none"/>
              </w:rPr>
              <w:t xml:space="preserve">有一人得</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分</w:t>
            </w:r>
            <w:r>
              <w:rPr>
                <w:rFonts w:hint="eastAsia" w:asciiTheme="majorEastAsia" w:hAnsiTheme="majorEastAsia" w:eastAsiaTheme="majorEastAsia" w:cstheme="majorEastAsia"/>
                <w:color w:val="000000"/>
                <w:sz w:val="24"/>
              </w:rPr>
              <w:t xml:space="preserve">，最高得8分，不提供不得分。以上人员不能重复，同项证书不重复得分。</w:t>
            </w:r>
            <w:r/>
          </w:p>
          <w:p>
            <w:pPr>
              <w:ind w:firstLine="480"/>
              <w:spacing w:line="500" w:lineRule="exact"/>
              <w:widowControl/>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4、拟安排的项目运维驻场人员（2人，除项目负责人、技术负责人、项目团队成员以外）：具有</w:t>
            </w:r>
            <w:r>
              <w:rPr>
                <w:rFonts w:hint="eastAsia" w:asciiTheme="majorEastAsia" w:hAnsiTheme="majorEastAsia" w:eastAsiaTheme="majorEastAsia" w:cstheme="majorEastAsia"/>
                <w:color w:val="000000"/>
                <w:sz w:val="24"/>
                <w:lang w:val="en-US" w:eastAsia="zh-CN"/>
              </w:rPr>
              <w:t xml:space="preserve">中国信息安全测评中心颁发的</w:t>
            </w:r>
            <w:r>
              <w:rPr>
                <w:rFonts w:hint="eastAsia" w:asciiTheme="majorEastAsia" w:hAnsiTheme="majorEastAsia" w:eastAsiaTheme="majorEastAsia" w:cstheme="majorEastAsia"/>
                <w:color w:val="000000"/>
                <w:sz w:val="24"/>
              </w:rPr>
              <w:t xml:space="preserve">注册信息安全专业人员（CISP）证书</w:t>
            </w:r>
            <w:r>
              <w:rPr>
                <w:rFonts w:hint="eastAsia" w:asciiTheme="majorEastAsia" w:hAnsiTheme="majorEastAsia" w:eastAsiaTheme="majorEastAsia" w:cstheme="majorEastAsia"/>
                <w:color w:val="000000"/>
                <w:sz w:val="24"/>
                <w:lang w:eastAsia="zh-CN"/>
              </w:rPr>
              <w:t xml:space="preserve">，</w:t>
            </w:r>
            <w:r>
              <w:rPr>
                <w:rFonts w:hint="eastAsia" w:asciiTheme="majorEastAsia" w:hAnsiTheme="majorEastAsia" w:eastAsiaTheme="majorEastAsia" w:cstheme="majorEastAsia"/>
                <w:color w:val="000000"/>
                <w:sz w:val="24"/>
              </w:rPr>
              <w:t xml:space="preserve">具有中华人民共和国人力资源和社会保障部、工业和信息化部颁发的网络工程师（中级）证书</w:t>
            </w:r>
            <w:r>
              <w:rPr>
                <w:rFonts w:hint="eastAsia" w:asciiTheme="majorEastAsia" w:hAnsiTheme="majorEastAsia" w:eastAsiaTheme="majorEastAsia" w:cstheme="majorEastAsia"/>
                <w:color w:val="000000"/>
                <w:sz w:val="24"/>
                <w:lang w:eastAsia="zh-CN"/>
              </w:rPr>
              <w:t xml:space="preserve">，</w:t>
            </w:r>
            <w:r>
              <w:rPr>
                <w:rFonts w:hint="eastAsia" w:asciiTheme="minorEastAsia" w:hAnsiTheme="minorEastAsia" w:eastAsiaTheme="minorEastAsia" w:cstheme="minorEastAsia"/>
                <w:color w:val="auto"/>
                <w:sz w:val="24"/>
                <w:highlight w:val="none"/>
              </w:rPr>
              <w:t xml:space="preserve">有一人得</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分</w:t>
            </w:r>
            <w:r>
              <w:rPr>
                <w:rFonts w:hint="eastAsia" w:asciiTheme="majorEastAsia" w:hAnsiTheme="majorEastAsia" w:eastAsiaTheme="majorEastAsia" w:cstheme="majorEastAsia"/>
                <w:color w:val="000000"/>
                <w:sz w:val="24"/>
              </w:rPr>
              <w:t xml:space="preserve">，满分4分，不提供不得分。</w:t>
            </w:r>
            <w:r/>
          </w:p>
          <w:p>
            <w:pPr>
              <w:ind w:firstLine="480"/>
              <w:spacing w:line="500" w:lineRule="exact"/>
              <w:widowControl/>
              <w:rPr>
                <w:rFonts w:asciiTheme="majorEastAsia" w:hAnsiTheme="majorEastAsia" w:eastAsiaTheme="majorEastAsia" w:cstheme="majorEastAsia"/>
                <w:color w:val="000000"/>
                <w:sz w:val="24"/>
                <w:lang w:val="zh-CN"/>
              </w:rPr>
            </w:pPr>
            <w:r>
              <w:rPr>
                <w:rFonts w:hint="eastAsia" w:asciiTheme="majorEastAsia" w:hAnsiTheme="majorEastAsia" w:eastAsiaTheme="majorEastAsia" w:cstheme="majorEastAsia"/>
                <w:color w:val="000000"/>
                <w:sz w:val="24"/>
              </w:rPr>
              <w:t xml:space="preserve">注：投标时须提供以上相关证书扫描件加盖投标人公章，并提供相关人员在投标单位近三个月以来任意一个月的在投标人单位缴纳社保的证明材料扫描件加盖投标人公章。</w:t>
            </w:r>
            <w:r/>
          </w:p>
        </w:tc>
      </w:tr>
      <w:tr>
        <w:trPr>
          <w:jc w:val="center"/>
          <w:trHeight w:val="567"/>
        </w:trPr>
        <w:tc>
          <w:tcPr>
            <w:shd w:val="clear" w:color="auto" w:fill="auto"/>
            <w:tcW w:w="783" w:type="dxa"/>
            <w:vAlign w:val="center"/>
            <w:vMerge w:val="restart"/>
            <w:textDirection w:val="lrTb"/>
            <w:noWrap w:val="false"/>
          </w:tcPr>
          <w:p>
            <w:pPr>
              <w:jc w:val="center"/>
              <w:spacing w:line="500" w:lineRule="exact"/>
              <w:widowControl/>
              <w:rPr>
                <w:rFonts w:ascii="宋体" w:hAnsi="宋体" w:eastAsia="宋体" w:cs="宋体"/>
                <w:sz w:val="24"/>
              </w:rPr>
            </w:pPr>
            <w:r>
              <w:rPr>
                <w:rFonts w:hint="eastAsia" w:ascii="宋体" w:hAnsi="宋体" w:eastAsia="宋体" w:cs="宋体"/>
                <w:sz w:val="24"/>
              </w:rPr>
              <w:t xml:space="preserve">3</w:t>
            </w:r>
            <w:r/>
          </w:p>
        </w:tc>
        <w:tc>
          <w:tcPr>
            <w:shd w:val="clear" w:color="auto" w:fill="auto"/>
            <w:tcW w:w="1302" w:type="dxa"/>
            <w:vAlign w:val="center"/>
            <w:vMerge w:val="restart"/>
            <w:textDirection w:val="lrTb"/>
            <w:noWrap w:val="false"/>
          </w:tcPr>
          <w:p>
            <w:pPr>
              <w:jc w:val="center"/>
              <w:spacing w:line="500" w:lineRule="exact"/>
              <w:widowControl/>
              <w:rPr>
                <w:rFonts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技术方案（60分）</w:t>
            </w:r>
            <w:r/>
          </w:p>
        </w:tc>
        <w:tc>
          <w:tcPr>
            <w:shd w:val="clear" w:color="auto" w:fill="auto"/>
            <w:tcW w:w="1428" w:type="dxa"/>
            <w:vAlign w:val="center"/>
            <w:textDirection w:val="lrTb"/>
            <w:noWrap w:val="false"/>
          </w:tcPr>
          <w:p>
            <w:pPr>
              <w:jc w:val="center"/>
              <w:spacing w:line="500" w:lineRule="exact"/>
              <w:widowControl/>
              <w:rPr>
                <w:rFonts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坐席业务与基础资源方案（8分）</w:t>
            </w:r>
            <w:r/>
          </w:p>
        </w:tc>
        <w:tc>
          <w:tcPr>
            <w:shd w:val="clear" w:color="auto" w:fill="auto"/>
            <w:tcW w:w="5138" w:type="dxa"/>
            <w:vAlign w:val="center"/>
            <w:textDirection w:val="lrTb"/>
            <w:noWrap w:val="false"/>
          </w:tcPr>
          <w:p>
            <w:pPr>
              <w:ind w:firstLine="480"/>
              <w:spacing w:line="500" w:lineRule="exact"/>
              <w:widowControl/>
              <w:rPr>
                <w:rFonts w:ascii="宋体" w:hAnsi="宋体" w:eastAsia="宋体" w:cs="宋体"/>
                <w:sz w:val="24"/>
              </w:rPr>
            </w:pPr>
            <w:r>
              <w:rPr>
                <w:rFonts w:hint="eastAsia" w:ascii="宋体" w:hAnsi="宋体" w:eastAsia="宋体" w:cs="宋体"/>
                <w:sz w:val="24"/>
              </w:rPr>
              <w:t xml:space="preserve">投标人提供坐席业务与基础资源实施方案，</w:t>
            </w:r>
            <w:r>
              <w:rPr>
                <w:rFonts w:hint="eastAsia" w:ascii="宋体" w:hAnsi="宋体" w:eastAsia="宋体" w:cs="宋体"/>
                <w:sz w:val="24"/>
                <w:lang w:val="en-US" w:eastAsia="zh-CN"/>
              </w:rPr>
              <w:t xml:space="preserve">至少</w:t>
            </w:r>
            <w:r>
              <w:rPr>
                <w:rFonts w:hint="eastAsia" w:ascii="宋体" w:hAnsi="宋体" w:eastAsia="宋体" w:cs="宋体"/>
                <w:sz w:val="24"/>
              </w:rPr>
              <w:t xml:space="preserve">包含链路整合与网络面板维护、坐席服务保障、基础资源提供等内容。要求方案详尽、配置合理。要求内容准确、科学合理、条理清晰。方案优于招标文件要求的得8分；符合招标文件要求的得7分；不符合要求或未提供的不得分。</w:t>
            </w:r>
            <w:r/>
          </w:p>
          <w:p>
            <w:pPr>
              <w:ind w:firstLine="480"/>
              <w:spacing w:line="500" w:lineRule="exact"/>
              <w:widowControl/>
              <w:rPr>
                <w:rFonts w:ascii="宋体" w:hAnsi="宋体" w:eastAsia="宋体" w:cs="宋体"/>
                <w:sz w:val="24"/>
                <w:lang w:val="zh-CN"/>
              </w:rPr>
            </w:pPr>
            <w:r>
              <w:rPr>
                <w:rFonts w:hint="eastAsia" w:ascii="宋体" w:hAnsi="宋体" w:eastAsia="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567"/>
        </w:trPr>
        <w:tc>
          <w:tcPr>
            <w:shd w:val="clear" w:color="auto" w:fill="auto"/>
            <w:tcW w:w="783" w:type="dxa"/>
            <w:vAlign w:val="center"/>
            <w:vMerge w:val="continue"/>
            <w:textDirection w:val="lrTb"/>
            <w:noWrap w:val="false"/>
          </w:tcPr>
          <w:p>
            <w:pPr>
              <w:jc w:val="center"/>
              <w:spacing w:line="500" w:lineRule="exact"/>
              <w:widowControl/>
              <w:rPr>
                <w:rFonts w:ascii="宋体" w:hAnsi="宋体" w:eastAsia="宋体" w:cs="宋体"/>
                <w:sz w:val="24"/>
                <w:lang w:val="zh-CN"/>
              </w:rPr>
            </w:pPr>
            <w:r>
              <w:rPr>
                <w:rFonts w:ascii="宋体" w:hAnsi="宋体" w:eastAsia="宋体" w:cs="宋体"/>
                <w:sz w:val="24"/>
                <w:lang w:val="zh-CN"/>
              </w:rPr>
            </w:r>
            <w:r/>
          </w:p>
        </w:tc>
        <w:tc>
          <w:tcPr>
            <w:shd w:val="clear" w:color="auto" w:fill="auto"/>
            <w:tcW w:w="1302" w:type="dxa"/>
            <w:vAlign w:val="center"/>
            <w:vMerge w:val="continue"/>
            <w:textDirection w:val="lrTb"/>
            <w:noWrap w:val="false"/>
          </w:tcPr>
          <w:p>
            <w:pPr>
              <w:jc w:val="center"/>
              <w:spacing w:line="500" w:lineRule="exact"/>
              <w:widowControl/>
              <w:rPr>
                <w:rFonts w:asciiTheme="majorEastAsia" w:hAnsiTheme="majorEastAsia" w:eastAsiaTheme="majorEastAsia" w:cstheme="majorEastAsia"/>
                <w:color w:val="000000"/>
                <w:sz w:val="24"/>
                <w:lang w:val="zh-CN"/>
              </w:rPr>
            </w:pPr>
            <w:r>
              <w:rPr>
                <w:rFonts w:asciiTheme="majorEastAsia" w:hAnsiTheme="majorEastAsia" w:eastAsiaTheme="majorEastAsia" w:cstheme="majorEastAsia"/>
                <w:color w:val="000000"/>
                <w:sz w:val="24"/>
                <w:lang w:val="zh-CN"/>
              </w:rPr>
            </w:r>
            <w:r/>
          </w:p>
        </w:tc>
        <w:tc>
          <w:tcPr>
            <w:shd w:val="clear" w:color="auto" w:fill="auto"/>
            <w:tcW w:w="1428" w:type="dxa"/>
            <w:vAlign w:val="center"/>
            <w:textDirection w:val="lrTb"/>
            <w:noWrap w:val="false"/>
          </w:tcPr>
          <w:p>
            <w:pPr>
              <w:jc w:val="center"/>
              <w:spacing w:line="500" w:lineRule="exact"/>
              <w:widowControl/>
              <w:rPr>
                <w:rFonts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日常技术运维服务方案</w:t>
            </w:r>
            <w:r/>
          </w:p>
          <w:p>
            <w:pPr>
              <w:jc w:val="center"/>
              <w:spacing w:line="500" w:lineRule="exact"/>
              <w:widowControl/>
              <w:rPr>
                <w:rFonts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（8分）</w:t>
            </w:r>
            <w:r/>
          </w:p>
        </w:tc>
        <w:tc>
          <w:tcPr>
            <w:shd w:val="clear" w:color="auto" w:fill="auto"/>
            <w:tcW w:w="5138" w:type="dxa"/>
            <w:vAlign w:val="center"/>
            <w:textDirection w:val="lrTb"/>
            <w:noWrap w:val="false"/>
          </w:tcPr>
          <w:p>
            <w:pPr>
              <w:ind w:firstLine="480"/>
              <w:spacing w:line="500" w:lineRule="exact"/>
              <w:widowControl/>
              <w:rPr>
                <w:rFonts w:ascii="宋体" w:hAnsi="宋体" w:eastAsia="宋体" w:cs="宋体"/>
                <w:sz w:val="24"/>
              </w:rPr>
            </w:pPr>
            <w:r>
              <w:rPr>
                <w:rFonts w:hint="eastAsia" w:ascii="宋体" w:hAnsi="宋体" w:eastAsia="宋体" w:cs="宋体"/>
                <w:sz w:val="24"/>
              </w:rPr>
              <w:t xml:space="preserve">投标人提供日常技术运维服务方案，</w:t>
            </w:r>
            <w:r>
              <w:rPr>
                <w:rFonts w:hint="eastAsia" w:ascii="宋体" w:hAnsi="宋体" w:eastAsia="宋体" w:cs="宋体"/>
                <w:sz w:val="24"/>
                <w:lang w:val="en-US" w:eastAsia="zh-CN"/>
              </w:rPr>
              <w:t xml:space="preserve">至少包含</w:t>
            </w:r>
            <w:r>
              <w:rPr>
                <w:rFonts w:hint="eastAsia" w:ascii="宋体" w:hAnsi="宋体" w:eastAsia="宋体" w:cs="宋体"/>
                <w:sz w:val="24"/>
              </w:rPr>
              <w:t xml:space="preserve">线路巡检、话务平台升级、专业咨询、安全漏扫等，需明确驻场人员职责。要求方案流程规范、保障措施有力、响应机制健全。方案优于招标文件要求的得8分；符合招标文件要求的得7分；不符合要求或未提供的不得分。</w:t>
            </w:r>
            <w:r/>
          </w:p>
          <w:p>
            <w:pPr>
              <w:ind w:firstLine="480"/>
              <w:spacing w:line="500" w:lineRule="exact"/>
              <w:widowControl/>
              <w:rPr>
                <w:rFonts w:ascii="宋体" w:hAnsi="宋体" w:eastAsia="宋体" w:cs="宋体"/>
                <w:sz w:val="24"/>
                <w:lang w:val="zh-CN"/>
              </w:rPr>
            </w:pPr>
            <w:r>
              <w:rPr>
                <w:rFonts w:hint="eastAsia" w:ascii="宋体" w:hAnsi="宋体" w:eastAsia="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567"/>
        </w:trPr>
        <w:tc>
          <w:tcPr>
            <w:shd w:val="clear" w:color="auto" w:fill="auto"/>
            <w:tcW w:w="783" w:type="dxa"/>
            <w:vAlign w:val="center"/>
            <w:vMerge w:val="continue"/>
            <w:textDirection w:val="lrTb"/>
            <w:noWrap w:val="false"/>
          </w:tcPr>
          <w:p>
            <w:pPr>
              <w:jc w:val="center"/>
              <w:spacing w:line="500" w:lineRule="exact"/>
              <w:widowControl/>
              <w:rPr>
                <w:rFonts w:ascii="宋体" w:hAnsi="宋体" w:eastAsia="宋体" w:cs="宋体"/>
                <w:sz w:val="24"/>
                <w:lang w:val="zh-CN"/>
              </w:rPr>
            </w:pPr>
            <w:r>
              <w:rPr>
                <w:rFonts w:ascii="宋体" w:hAnsi="宋体" w:eastAsia="宋体" w:cs="宋体"/>
                <w:sz w:val="24"/>
                <w:lang w:val="zh-CN"/>
              </w:rPr>
            </w:r>
            <w:r/>
          </w:p>
        </w:tc>
        <w:tc>
          <w:tcPr>
            <w:shd w:val="clear" w:color="auto" w:fill="auto"/>
            <w:tcW w:w="1302" w:type="dxa"/>
            <w:vAlign w:val="center"/>
            <w:vMerge w:val="continue"/>
            <w:textDirection w:val="lrTb"/>
            <w:noWrap w:val="false"/>
          </w:tcPr>
          <w:p>
            <w:pPr>
              <w:jc w:val="center"/>
              <w:spacing w:line="500" w:lineRule="exact"/>
              <w:widowControl/>
              <w:rPr>
                <w:rFonts w:asciiTheme="majorEastAsia" w:hAnsiTheme="majorEastAsia" w:eastAsiaTheme="majorEastAsia" w:cstheme="majorEastAsia"/>
                <w:color w:val="000000"/>
                <w:sz w:val="24"/>
                <w:lang w:val="zh-CN"/>
              </w:rPr>
            </w:pPr>
            <w:r>
              <w:rPr>
                <w:rFonts w:asciiTheme="majorEastAsia" w:hAnsiTheme="majorEastAsia" w:eastAsiaTheme="majorEastAsia" w:cstheme="majorEastAsia"/>
                <w:color w:val="000000"/>
                <w:sz w:val="24"/>
                <w:lang w:val="zh-CN"/>
              </w:rPr>
            </w:r>
            <w:r/>
          </w:p>
        </w:tc>
        <w:tc>
          <w:tcPr>
            <w:shd w:val="clear" w:color="auto" w:fill="auto"/>
            <w:tcW w:w="1428" w:type="dxa"/>
            <w:vAlign w:val="center"/>
            <w:textDirection w:val="lrTb"/>
            <w:noWrap w:val="false"/>
          </w:tcPr>
          <w:p>
            <w:pPr>
              <w:jc w:val="center"/>
              <w:spacing w:line="500" w:lineRule="exact"/>
              <w:widowControl/>
              <w:rPr>
                <w:rFonts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话务服务保障方案</w:t>
            </w:r>
            <w:r/>
          </w:p>
          <w:p>
            <w:pPr>
              <w:jc w:val="center"/>
              <w:spacing w:line="500" w:lineRule="exact"/>
              <w:widowControl/>
              <w:rPr>
                <w:rFonts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（8分）</w:t>
            </w:r>
            <w:r/>
          </w:p>
        </w:tc>
        <w:tc>
          <w:tcPr>
            <w:shd w:val="clear" w:color="auto" w:fill="auto"/>
            <w:tcW w:w="5138" w:type="dxa"/>
            <w:vAlign w:val="center"/>
            <w:textDirection w:val="lrTb"/>
            <w:noWrap w:val="false"/>
          </w:tcPr>
          <w:p>
            <w:pPr>
              <w:ind w:firstLine="480"/>
              <w:spacing w:line="500" w:lineRule="exact"/>
              <w:widowControl/>
              <w:rPr>
                <w:rFonts w:ascii="宋体" w:hAnsi="宋体" w:eastAsia="宋体" w:cs="宋体"/>
                <w:sz w:val="24"/>
              </w:rPr>
            </w:pPr>
            <w:r>
              <w:rPr>
                <w:rFonts w:hint="eastAsia" w:ascii="宋体" w:hAnsi="宋体" w:eastAsia="宋体" w:cs="宋体"/>
                <w:sz w:val="24"/>
              </w:rPr>
              <w:t xml:space="preserve">投标人提供话务服务保障方案，</w:t>
            </w:r>
            <w:r>
              <w:rPr>
                <w:rFonts w:hint="eastAsia" w:ascii="宋体" w:hAnsi="宋体" w:eastAsia="宋体" w:cs="宋体"/>
                <w:sz w:val="24"/>
                <w:lang w:val="en-US" w:eastAsia="zh-CN"/>
              </w:rPr>
              <w:t xml:space="preserve">至少</w:t>
            </w:r>
            <w:r>
              <w:rPr>
                <w:rFonts w:hint="eastAsia" w:ascii="宋体" w:hAnsi="宋体" w:eastAsia="宋体" w:cs="宋体"/>
                <w:sz w:val="24"/>
              </w:rPr>
              <w:t xml:space="preserve">包含与智能回访和坐席助手系统对接、录音文件备份与管理等。要求方案能有效保障接通率与服务连续性，思路清晰。方案优于招标文件要求的得8分；符合招标文件要求的得7分；不符合要求或未提供的不得分。</w:t>
            </w:r>
            <w:r/>
          </w:p>
          <w:p>
            <w:pPr>
              <w:ind w:firstLine="480"/>
              <w:spacing w:line="500" w:lineRule="exact"/>
              <w:widowControl/>
              <w:rPr>
                <w:rFonts w:ascii="宋体" w:hAnsi="宋体" w:eastAsia="宋体" w:cs="宋体"/>
                <w:sz w:val="24"/>
                <w:lang w:val="zh-CN"/>
              </w:rPr>
            </w:pPr>
            <w:r>
              <w:rPr>
                <w:rFonts w:hint="eastAsia" w:ascii="宋体" w:hAnsi="宋体" w:eastAsia="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567"/>
        </w:trPr>
        <w:tc>
          <w:tcPr>
            <w:shd w:val="clear" w:color="auto" w:fill="auto"/>
            <w:tcW w:w="783" w:type="dxa"/>
            <w:vAlign w:val="center"/>
            <w:vMerge w:val="continue"/>
            <w:textDirection w:val="lrTb"/>
            <w:noWrap w:val="false"/>
          </w:tcPr>
          <w:p>
            <w:pPr>
              <w:jc w:val="center"/>
              <w:spacing w:line="500" w:lineRule="exact"/>
              <w:widowControl/>
              <w:rPr>
                <w:rFonts w:ascii="宋体" w:hAnsi="宋体" w:eastAsia="宋体" w:cs="宋体"/>
                <w:sz w:val="24"/>
                <w:lang w:val="zh-CN"/>
              </w:rPr>
            </w:pPr>
            <w:r>
              <w:rPr>
                <w:rFonts w:ascii="宋体" w:hAnsi="宋体" w:eastAsia="宋体" w:cs="宋体"/>
                <w:sz w:val="24"/>
                <w:lang w:val="zh-CN"/>
              </w:rPr>
            </w:r>
            <w:r/>
          </w:p>
        </w:tc>
        <w:tc>
          <w:tcPr>
            <w:shd w:val="clear" w:color="auto" w:fill="auto"/>
            <w:tcW w:w="1302" w:type="dxa"/>
            <w:vAlign w:val="center"/>
            <w:vMerge w:val="continue"/>
            <w:textDirection w:val="lrTb"/>
            <w:noWrap w:val="false"/>
          </w:tcPr>
          <w:p>
            <w:pPr>
              <w:jc w:val="center"/>
              <w:spacing w:line="500" w:lineRule="exact"/>
              <w:widowControl/>
              <w:rPr>
                <w:rFonts w:asciiTheme="majorEastAsia" w:hAnsiTheme="majorEastAsia" w:eastAsiaTheme="majorEastAsia" w:cstheme="majorEastAsia"/>
                <w:color w:val="000000"/>
                <w:sz w:val="24"/>
                <w:lang w:val="zh-CN"/>
              </w:rPr>
            </w:pPr>
            <w:r>
              <w:rPr>
                <w:rFonts w:asciiTheme="majorEastAsia" w:hAnsiTheme="majorEastAsia" w:eastAsiaTheme="majorEastAsia" w:cstheme="majorEastAsia"/>
                <w:color w:val="000000"/>
                <w:sz w:val="24"/>
                <w:lang w:val="zh-CN"/>
              </w:rPr>
            </w:r>
            <w:r/>
          </w:p>
        </w:tc>
        <w:tc>
          <w:tcPr>
            <w:shd w:val="clear" w:color="auto" w:fill="auto"/>
            <w:tcW w:w="1428" w:type="dxa"/>
            <w:vAlign w:val="center"/>
            <w:textDirection w:val="lrTb"/>
            <w:noWrap w:val="false"/>
          </w:tcPr>
          <w:p>
            <w:pPr>
              <w:jc w:val="center"/>
              <w:spacing w:line="500" w:lineRule="exact"/>
              <w:widowControl/>
              <w:rPr>
                <w:rFonts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话务网安全服务方案</w:t>
            </w:r>
            <w:r/>
          </w:p>
          <w:p>
            <w:pPr>
              <w:jc w:val="center"/>
              <w:spacing w:line="500" w:lineRule="exact"/>
              <w:widowControl/>
              <w:rPr>
                <w:rFonts w:asciiTheme="majorEastAsia" w:hAnsiTheme="majorEastAsia" w:eastAsiaTheme="majorEastAsia" w:cstheme="majorEastAsia"/>
                <w:color w:val="000000"/>
                <w:sz w:val="24"/>
                <w:lang w:val="zh-CN"/>
              </w:rPr>
            </w:pPr>
            <w:r>
              <w:rPr>
                <w:rFonts w:hint="eastAsia" w:asciiTheme="majorEastAsia" w:hAnsiTheme="majorEastAsia" w:eastAsiaTheme="majorEastAsia" w:cstheme="majorEastAsia"/>
                <w:color w:val="000000"/>
                <w:sz w:val="24"/>
              </w:rPr>
              <w:t xml:space="preserve">（8分）</w:t>
            </w:r>
            <w:r/>
          </w:p>
        </w:tc>
        <w:tc>
          <w:tcPr>
            <w:shd w:val="clear" w:color="auto" w:fill="auto"/>
            <w:tcW w:w="5138" w:type="dxa"/>
            <w:vAlign w:val="center"/>
            <w:textDirection w:val="lrTb"/>
            <w:noWrap w:val="false"/>
          </w:tcPr>
          <w:p>
            <w:pPr>
              <w:ind w:firstLine="480"/>
              <w:spacing w:line="500" w:lineRule="exact"/>
              <w:widowControl/>
              <w:rPr>
                <w:rFonts w:ascii="宋体" w:hAnsi="宋体" w:eastAsia="宋体" w:cs="宋体"/>
                <w:sz w:val="24"/>
              </w:rPr>
            </w:pPr>
            <w:r>
              <w:rPr>
                <w:rFonts w:hint="eastAsia" w:ascii="宋体" w:hAnsi="宋体" w:eastAsia="宋体" w:cs="宋体"/>
                <w:sz w:val="24"/>
              </w:rPr>
              <w:t xml:space="preserve">投标人提供话务网安全服务方案，</w:t>
            </w:r>
            <w:r>
              <w:rPr>
                <w:rFonts w:hint="eastAsia" w:ascii="宋体" w:hAnsi="宋体" w:eastAsia="宋体" w:cs="宋体"/>
                <w:sz w:val="24"/>
                <w:lang w:val="en-US" w:eastAsia="zh-CN"/>
              </w:rPr>
              <w:t xml:space="preserve">至少</w:t>
            </w:r>
            <w:r>
              <w:rPr>
                <w:rFonts w:hint="eastAsia" w:ascii="宋体" w:hAnsi="宋体" w:eastAsia="宋体" w:cs="宋体"/>
                <w:sz w:val="24"/>
              </w:rPr>
              <w:t xml:space="preserve">包含网安设备参数、断网应急措施等，并承诺每年提供不少于4次的安全集中培训和不定期的新入职人员的安全培训。要求方案科学合理、条理清晰。方案优于招标文件要求的得8分；符合招标文件要求的得7分；不符合要求或未提供的不得分。</w:t>
            </w:r>
            <w:r/>
          </w:p>
          <w:p>
            <w:pPr>
              <w:ind w:firstLine="480"/>
              <w:spacing w:line="500" w:lineRule="exact"/>
              <w:widowControl/>
              <w:rPr>
                <w:rFonts w:ascii="宋体" w:hAnsi="宋体" w:eastAsia="宋体" w:cs="宋体"/>
                <w:sz w:val="24"/>
                <w:lang w:val="zh-CN"/>
              </w:rPr>
            </w:pPr>
            <w:r>
              <w:rPr>
                <w:rFonts w:hint="eastAsia" w:ascii="宋体" w:hAnsi="宋体" w:eastAsia="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567"/>
        </w:trPr>
        <w:tc>
          <w:tcPr>
            <w:shd w:val="clear" w:color="auto" w:fill="auto"/>
            <w:tcW w:w="783" w:type="dxa"/>
            <w:vAlign w:val="center"/>
            <w:vMerge w:val="continue"/>
            <w:textDirection w:val="lrTb"/>
            <w:noWrap w:val="false"/>
          </w:tcPr>
          <w:p>
            <w:pPr>
              <w:jc w:val="center"/>
              <w:spacing w:line="500" w:lineRule="exact"/>
              <w:widowControl/>
              <w:rPr>
                <w:rFonts w:ascii="宋体" w:hAnsi="宋体" w:eastAsia="宋体" w:cs="宋体"/>
                <w:sz w:val="24"/>
                <w:lang w:val="zh-CN"/>
              </w:rPr>
            </w:pPr>
            <w:r>
              <w:rPr>
                <w:rFonts w:ascii="宋体" w:hAnsi="宋体" w:eastAsia="宋体" w:cs="宋体"/>
                <w:sz w:val="24"/>
                <w:lang w:val="zh-CN"/>
              </w:rPr>
            </w:r>
            <w:r/>
          </w:p>
        </w:tc>
        <w:tc>
          <w:tcPr>
            <w:shd w:val="clear" w:color="auto" w:fill="auto"/>
            <w:tcW w:w="1302" w:type="dxa"/>
            <w:vAlign w:val="center"/>
            <w:vMerge w:val="continue"/>
            <w:textDirection w:val="lrTb"/>
            <w:noWrap w:val="false"/>
          </w:tcPr>
          <w:p>
            <w:pPr>
              <w:jc w:val="center"/>
              <w:spacing w:line="500" w:lineRule="exact"/>
              <w:widowControl/>
              <w:rPr>
                <w:rFonts w:asciiTheme="majorEastAsia" w:hAnsiTheme="majorEastAsia" w:eastAsiaTheme="majorEastAsia" w:cstheme="majorEastAsia"/>
                <w:color w:val="000000"/>
                <w:sz w:val="24"/>
                <w:lang w:val="zh-CN"/>
              </w:rPr>
            </w:pPr>
            <w:r>
              <w:rPr>
                <w:rFonts w:asciiTheme="majorEastAsia" w:hAnsiTheme="majorEastAsia" w:eastAsiaTheme="majorEastAsia" w:cstheme="majorEastAsia"/>
                <w:color w:val="000000"/>
                <w:sz w:val="24"/>
                <w:lang w:val="zh-CN"/>
              </w:rPr>
            </w:r>
            <w:r/>
          </w:p>
        </w:tc>
        <w:tc>
          <w:tcPr>
            <w:shd w:val="clear" w:color="auto" w:fill="auto"/>
            <w:tcW w:w="1428" w:type="dxa"/>
            <w:vAlign w:val="center"/>
            <w:textDirection w:val="lrTb"/>
            <w:noWrap w:val="false"/>
          </w:tcPr>
          <w:p>
            <w:pPr>
              <w:jc w:val="center"/>
              <w:spacing w:line="500" w:lineRule="exact"/>
              <w:widowControl/>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 xml:space="preserve">国产化改造方案</w:t>
            </w:r>
            <w:r/>
          </w:p>
          <w:p>
            <w:pPr>
              <w:jc w:val="center"/>
              <w:spacing w:line="500" w:lineRule="exact"/>
              <w:widowControl/>
              <w:rPr>
                <w:rFonts w:asciiTheme="majorEastAsia" w:hAnsiTheme="majorEastAsia" w:eastAsiaTheme="majorEastAsia" w:cstheme="majorEastAsia"/>
                <w:color w:val="000000" w:themeColor="text1"/>
                <w:sz w:val="24"/>
                <w:lang w:val="zh-CN"/>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 xml:space="preserve">（8分）</w:t>
            </w:r>
            <w:r/>
          </w:p>
        </w:tc>
        <w:tc>
          <w:tcPr>
            <w:shd w:val="clear" w:color="auto" w:fill="auto"/>
            <w:tcW w:w="5138" w:type="dxa"/>
            <w:vAlign w:val="center"/>
            <w:textDirection w:val="lrTb"/>
            <w:noWrap w:val="false"/>
          </w:tcPr>
          <w:p>
            <w:pPr>
              <w:ind w:firstLine="480"/>
              <w:spacing w:line="50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投标人提供国产化改造方案，</w:t>
            </w:r>
            <w:r>
              <w:rPr>
                <w:rFonts w:hint="eastAsia" w:asciiTheme="minorEastAsia" w:hAnsiTheme="minorEastAsia" w:cstheme="minorEastAsia"/>
                <w:color w:val="000000" w:themeColor="text1"/>
                <w:sz w:val="24"/>
                <w:lang w:val="en-US" w:eastAsia="zh-CN"/>
                <w14:textFill>
                  <w14:solidFill>
                    <w14:schemeClr w14:val="tx1"/>
                  </w14:solidFill>
                </w14:textFill>
              </w:rPr>
              <w:t xml:space="preserve">至少</w:t>
            </w:r>
            <w:r>
              <w:rPr>
                <w:rFonts w:hint="eastAsia" w:asciiTheme="minorEastAsia" w:hAnsiTheme="minorEastAsia" w:eastAsiaTheme="minorEastAsia" w:cstheme="minorEastAsia"/>
                <w:color w:val="000000" w:themeColor="text1"/>
                <w:sz w:val="24"/>
                <w14:textFill>
                  <w14:solidFill>
                    <w14:schemeClr w14:val="tx1"/>
                  </w14:solidFill>
                </w14:textFill>
              </w:rPr>
              <w:t xml:space="preserve">包含适配国产化环境改造、短信平台数据库适配、政务云服务器的国产化环境统一适配以及对接的智能坐席助手、智能派单、智能回访3个功能模块国产化适配改造等内容，</w:t>
            </w:r>
            <w:r>
              <w:rPr>
                <w:rFonts w:hint="eastAsia" w:asciiTheme="minorEastAsia" w:hAnsiTheme="minorEastAsia" w:eastAsiaTheme="minorEastAsia" w:cstheme="minorEastAsia"/>
                <w:color w:val="000000" w:themeColor="text1"/>
                <w:sz w:val="24"/>
                <w14:textFill>
                  <w14:solidFill>
                    <w14:schemeClr w14:val="tx1"/>
                  </w14:solidFill>
                </w14:textFill>
              </w:rPr>
              <w:t xml:space="preserve">方案优于招标文件要求的得8分；符合招标文件要求的得7分；不符合要求或未提供的不得分。</w:t>
            </w:r>
            <w:r/>
          </w:p>
          <w:p>
            <w:pPr>
              <w:ind w:firstLine="480"/>
              <w:spacing w:line="500" w:lineRule="exact"/>
              <w:widowControl/>
              <w:rPr>
                <w:rFonts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567"/>
        </w:trPr>
        <w:tc>
          <w:tcPr>
            <w:shd w:val="clear" w:color="auto" w:fill="auto"/>
            <w:tcW w:w="783" w:type="dxa"/>
            <w:vAlign w:val="center"/>
            <w:vMerge w:val="continue"/>
            <w:textDirection w:val="lrTb"/>
            <w:noWrap w:val="false"/>
          </w:tcPr>
          <w:p>
            <w:pPr>
              <w:jc w:val="center"/>
              <w:spacing w:line="500" w:lineRule="exact"/>
              <w:widowControl/>
              <w:rPr>
                <w:rFonts w:ascii="宋体" w:hAnsi="宋体" w:eastAsia="宋体" w:cs="宋体"/>
                <w:sz w:val="24"/>
                <w:lang w:val="zh-CN"/>
              </w:rPr>
            </w:pPr>
            <w:r>
              <w:rPr>
                <w:rFonts w:ascii="宋体" w:hAnsi="宋体" w:eastAsia="宋体" w:cs="宋体"/>
                <w:sz w:val="24"/>
                <w:lang w:val="zh-CN"/>
              </w:rPr>
            </w:r>
            <w:r/>
          </w:p>
        </w:tc>
        <w:tc>
          <w:tcPr>
            <w:shd w:val="clear" w:color="auto" w:fill="auto"/>
            <w:tcW w:w="1302" w:type="dxa"/>
            <w:vAlign w:val="center"/>
            <w:vMerge w:val="continue"/>
            <w:textDirection w:val="lrTb"/>
            <w:noWrap w:val="false"/>
          </w:tcPr>
          <w:p>
            <w:pPr>
              <w:jc w:val="center"/>
              <w:spacing w:line="500" w:lineRule="exact"/>
              <w:widowControl/>
              <w:rPr>
                <w:rFonts w:asciiTheme="majorEastAsia" w:hAnsiTheme="majorEastAsia" w:eastAsiaTheme="majorEastAsia" w:cstheme="majorEastAsia"/>
                <w:color w:val="000000"/>
                <w:sz w:val="24"/>
                <w:lang w:val="zh-CN"/>
              </w:rPr>
            </w:pPr>
            <w:r>
              <w:rPr>
                <w:rFonts w:asciiTheme="majorEastAsia" w:hAnsiTheme="majorEastAsia" w:eastAsiaTheme="majorEastAsia" w:cstheme="majorEastAsia"/>
                <w:color w:val="000000"/>
                <w:sz w:val="24"/>
                <w:lang w:val="zh-CN"/>
              </w:rPr>
            </w:r>
            <w:r/>
          </w:p>
        </w:tc>
        <w:tc>
          <w:tcPr>
            <w:shd w:val="clear" w:color="auto" w:fill="auto"/>
            <w:tcW w:w="1428" w:type="dxa"/>
            <w:vAlign w:val="center"/>
            <w:textDirection w:val="lrTb"/>
            <w:noWrap w:val="false"/>
          </w:tcPr>
          <w:p>
            <w:pPr>
              <w:jc w:val="center"/>
              <w:spacing w:line="500" w:lineRule="exact"/>
              <w:widowControl/>
              <w:rPr>
                <w:rFonts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应急保障服务方案</w:t>
            </w:r>
            <w:r/>
          </w:p>
          <w:p>
            <w:pPr>
              <w:jc w:val="center"/>
              <w:spacing w:line="500" w:lineRule="exact"/>
              <w:widowControl/>
              <w:rPr>
                <w:rFonts w:asciiTheme="majorEastAsia" w:hAnsiTheme="majorEastAsia" w:eastAsiaTheme="majorEastAsia" w:cstheme="majorEastAsia"/>
                <w:color w:val="000000"/>
                <w:sz w:val="24"/>
                <w:lang w:val="zh-CN"/>
              </w:rPr>
            </w:pPr>
            <w:r>
              <w:rPr>
                <w:rFonts w:hint="eastAsia" w:asciiTheme="majorEastAsia" w:hAnsiTheme="majorEastAsia" w:eastAsiaTheme="majorEastAsia" w:cstheme="majorEastAsia"/>
                <w:color w:val="000000"/>
                <w:sz w:val="24"/>
              </w:rPr>
              <w:t xml:space="preserve">（7分）</w:t>
            </w:r>
            <w:r/>
          </w:p>
        </w:tc>
        <w:tc>
          <w:tcPr>
            <w:shd w:val="clear" w:color="auto" w:fill="auto"/>
            <w:tcW w:w="5138" w:type="dxa"/>
            <w:vAlign w:val="center"/>
            <w:textDirection w:val="lrTb"/>
            <w:noWrap w:val="false"/>
          </w:tcPr>
          <w:p>
            <w:pPr>
              <w:ind w:firstLine="480"/>
              <w:spacing w:line="500" w:lineRule="exact"/>
              <w:widowControl/>
              <w:rPr>
                <w:rFonts w:ascii="宋体" w:hAnsi="宋体" w:eastAsia="宋体" w:cs="宋体"/>
                <w:sz w:val="24"/>
              </w:rPr>
            </w:pPr>
            <w:r>
              <w:rPr>
                <w:rFonts w:hint="eastAsia" w:ascii="宋体" w:hAnsi="宋体" w:eastAsia="宋体" w:cs="宋体"/>
                <w:sz w:val="24"/>
              </w:rPr>
              <w:t xml:space="preserve">投标人提供应急保障服务方案，</w:t>
            </w:r>
            <w:r>
              <w:rPr>
                <w:rFonts w:hint="eastAsia" w:ascii="宋体" w:hAnsi="宋体" w:eastAsia="宋体" w:cs="宋体"/>
                <w:sz w:val="24"/>
                <w:lang w:val="en-US" w:eastAsia="zh-CN"/>
              </w:rPr>
              <w:t xml:space="preserve">至少</w:t>
            </w:r>
            <w:r>
              <w:rPr>
                <w:rFonts w:hint="eastAsia" w:ascii="宋体" w:hAnsi="宋体" w:eastAsia="宋体" w:cs="宋体"/>
                <w:sz w:val="24"/>
              </w:rPr>
              <w:t xml:space="preserve">包含应急组织与职责、事件分类与分级、预警机制、应急响应流程等。要求方案科学合理、条理清晰。方案优于招标文件要求的得7分；符合招标文件要求的得6分；不符合要求或未提供不得分。</w:t>
            </w:r>
            <w:r/>
          </w:p>
          <w:p>
            <w:pPr>
              <w:ind w:firstLine="480"/>
              <w:spacing w:line="500" w:lineRule="exact"/>
              <w:widowControl/>
              <w:rPr>
                <w:rFonts w:ascii="宋体" w:hAnsi="宋体" w:eastAsia="宋体" w:cs="宋体"/>
                <w:sz w:val="24"/>
                <w:lang w:val="zh-CN"/>
              </w:rPr>
            </w:pPr>
            <w:r>
              <w:rPr>
                <w:rFonts w:hint="eastAsia" w:ascii="宋体" w:hAnsi="宋体" w:eastAsia="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567"/>
        </w:trPr>
        <w:tc>
          <w:tcPr>
            <w:shd w:val="clear" w:color="auto" w:fill="auto"/>
            <w:tcW w:w="783" w:type="dxa"/>
            <w:vAlign w:val="center"/>
            <w:vMerge w:val="continue"/>
            <w:textDirection w:val="lrTb"/>
            <w:noWrap w:val="false"/>
          </w:tcPr>
          <w:p>
            <w:pPr>
              <w:jc w:val="center"/>
              <w:spacing w:line="500" w:lineRule="exact"/>
              <w:widowControl/>
              <w:rPr>
                <w:rFonts w:ascii="宋体" w:hAnsi="宋体" w:eastAsia="宋体" w:cs="宋体"/>
                <w:sz w:val="24"/>
                <w:lang w:val="zh-CN"/>
              </w:rPr>
            </w:pPr>
            <w:r>
              <w:rPr>
                <w:rFonts w:ascii="宋体" w:hAnsi="宋体" w:eastAsia="宋体" w:cs="宋体"/>
                <w:sz w:val="24"/>
                <w:lang w:val="zh-CN"/>
              </w:rPr>
            </w:r>
            <w:r/>
          </w:p>
        </w:tc>
        <w:tc>
          <w:tcPr>
            <w:shd w:val="clear" w:color="auto" w:fill="auto"/>
            <w:tcW w:w="1302" w:type="dxa"/>
            <w:vAlign w:val="center"/>
            <w:vMerge w:val="continue"/>
            <w:textDirection w:val="lrTb"/>
            <w:noWrap w:val="false"/>
          </w:tcPr>
          <w:p>
            <w:pPr>
              <w:jc w:val="center"/>
              <w:spacing w:line="500" w:lineRule="exact"/>
              <w:widowControl/>
              <w:rPr>
                <w:rFonts w:asciiTheme="majorEastAsia" w:hAnsiTheme="majorEastAsia" w:eastAsiaTheme="majorEastAsia" w:cstheme="majorEastAsia"/>
                <w:color w:val="000000"/>
                <w:sz w:val="24"/>
                <w:lang w:val="zh-CN"/>
              </w:rPr>
            </w:pPr>
            <w:r>
              <w:rPr>
                <w:rFonts w:asciiTheme="majorEastAsia" w:hAnsiTheme="majorEastAsia" w:eastAsiaTheme="majorEastAsia" w:cstheme="majorEastAsia"/>
                <w:color w:val="000000"/>
                <w:sz w:val="24"/>
                <w:lang w:val="zh-CN"/>
              </w:rPr>
            </w:r>
            <w:r/>
          </w:p>
        </w:tc>
        <w:tc>
          <w:tcPr>
            <w:shd w:val="clear" w:color="auto" w:fill="auto"/>
            <w:tcW w:w="1428" w:type="dxa"/>
            <w:vAlign w:val="center"/>
            <w:textDirection w:val="lrTb"/>
            <w:noWrap w:val="false"/>
          </w:tcPr>
          <w:p>
            <w:pPr>
              <w:jc w:val="center"/>
              <w:spacing w:line="500" w:lineRule="exact"/>
              <w:widowControl/>
              <w:rPr>
                <w:rFonts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实施方案</w:t>
            </w:r>
            <w:r/>
          </w:p>
          <w:p>
            <w:pPr>
              <w:jc w:val="center"/>
              <w:spacing w:line="500" w:lineRule="exact"/>
              <w:widowControl/>
              <w:rPr>
                <w:rFonts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（7分）</w:t>
            </w:r>
            <w:r/>
          </w:p>
        </w:tc>
        <w:tc>
          <w:tcPr>
            <w:shd w:val="clear" w:color="auto" w:fill="auto"/>
            <w:tcW w:w="5138" w:type="dxa"/>
            <w:vAlign w:val="center"/>
            <w:textDirection w:val="lrTb"/>
            <w:noWrap w:val="false"/>
          </w:tcPr>
          <w:p>
            <w:pPr>
              <w:ind w:firstLine="480"/>
              <w:spacing w:line="500" w:lineRule="exact"/>
              <w:widowControl/>
              <w:rPr>
                <w:rFonts w:ascii="宋体" w:hAnsi="宋体" w:eastAsia="宋体" w:cs="宋体"/>
                <w:sz w:val="24"/>
              </w:rPr>
            </w:pPr>
            <w:r>
              <w:rPr>
                <w:rFonts w:hint="eastAsia" w:ascii="宋体" w:hAnsi="宋体" w:eastAsia="宋体" w:cs="宋体"/>
                <w:sz w:val="24"/>
              </w:rPr>
              <w:t xml:space="preserve">投标人提供实施方案，</w:t>
            </w:r>
            <w:r>
              <w:rPr>
                <w:rFonts w:hint="eastAsia" w:ascii="宋体" w:hAnsi="宋体" w:eastAsia="宋体" w:cs="宋体"/>
                <w:sz w:val="24"/>
                <w:lang w:val="en-US" w:eastAsia="zh-CN"/>
              </w:rPr>
              <w:t xml:space="preserve">至少</w:t>
            </w:r>
            <w:r>
              <w:rPr>
                <w:rFonts w:hint="eastAsia" w:ascii="宋体" w:hAnsi="宋体" w:eastAsia="宋体" w:cs="宋体"/>
                <w:sz w:val="24"/>
              </w:rPr>
              <w:t xml:space="preserve">包括项目组织及人员保障、项目进度安排、项目管理等内容等。要求方案科学合理、内容详实、可操作性强，方案优于招标文件要求的得7分；符合招标文件要求的得6分；不符合要求或未提供的不得分。</w:t>
            </w:r>
            <w:r/>
          </w:p>
          <w:p>
            <w:pPr>
              <w:ind w:firstLine="480"/>
              <w:spacing w:line="500" w:lineRule="exact"/>
              <w:widowControl/>
              <w:rPr>
                <w:rFonts w:ascii="宋体" w:hAnsi="宋体" w:eastAsia="宋体" w:cs="宋体"/>
                <w:sz w:val="24"/>
              </w:rPr>
            </w:pPr>
            <w:r>
              <w:rPr>
                <w:rFonts w:hint="eastAsia" w:ascii="宋体" w:hAnsi="宋体" w:eastAsia="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567"/>
        </w:trPr>
        <w:tc>
          <w:tcPr>
            <w:shd w:val="clear" w:color="auto" w:fill="auto"/>
            <w:tcW w:w="783" w:type="dxa"/>
            <w:vAlign w:val="center"/>
            <w:vMerge w:val="continue"/>
            <w:textDirection w:val="lrTb"/>
            <w:noWrap w:val="false"/>
          </w:tcPr>
          <w:p>
            <w:pPr>
              <w:jc w:val="center"/>
              <w:spacing w:line="500" w:lineRule="exact"/>
              <w:widowControl/>
              <w:rPr>
                <w:rFonts w:ascii="宋体" w:hAnsi="宋体" w:eastAsia="宋体" w:cs="宋体"/>
                <w:sz w:val="24"/>
                <w:lang w:val="zh-CN"/>
              </w:rPr>
            </w:pPr>
            <w:r>
              <w:rPr>
                <w:rFonts w:ascii="宋体" w:hAnsi="宋体" w:eastAsia="宋体" w:cs="宋体"/>
                <w:sz w:val="24"/>
                <w:lang w:val="zh-CN"/>
              </w:rPr>
            </w:r>
            <w:r/>
          </w:p>
        </w:tc>
        <w:tc>
          <w:tcPr>
            <w:shd w:val="clear" w:color="auto" w:fill="auto"/>
            <w:tcW w:w="1302" w:type="dxa"/>
            <w:vAlign w:val="center"/>
            <w:vMerge w:val="continue"/>
            <w:textDirection w:val="lrTb"/>
            <w:noWrap w:val="false"/>
          </w:tcPr>
          <w:p>
            <w:pPr>
              <w:jc w:val="center"/>
              <w:spacing w:line="500" w:lineRule="exact"/>
              <w:widowControl/>
              <w:rPr>
                <w:rFonts w:asciiTheme="majorEastAsia" w:hAnsiTheme="majorEastAsia" w:eastAsiaTheme="majorEastAsia" w:cstheme="majorEastAsia"/>
                <w:color w:val="000000"/>
                <w:sz w:val="24"/>
                <w:lang w:val="zh-CN"/>
              </w:rPr>
            </w:pPr>
            <w:r>
              <w:rPr>
                <w:rFonts w:asciiTheme="majorEastAsia" w:hAnsiTheme="majorEastAsia" w:eastAsiaTheme="majorEastAsia" w:cstheme="majorEastAsia"/>
                <w:color w:val="000000"/>
                <w:sz w:val="24"/>
                <w:lang w:val="zh-CN"/>
              </w:rPr>
            </w:r>
            <w:r/>
          </w:p>
        </w:tc>
        <w:tc>
          <w:tcPr>
            <w:shd w:val="clear" w:color="auto" w:fill="auto"/>
            <w:tcW w:w="1428" w:type="dxa"/>
            <w:vAlign w:val="center"/>
            <w:textDirection w:val="lrTb"/>
            <w:noWrap w:val="false"/>
          </w:tcPr>
          <w:p>
            <w:pPr>
              <w:jc w:val="center"/>
              <w:spacing w:line="500" w:lineRule="exact"/>
              <w:widowControl/>
              <w:rPr>
                <w:rFonts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培训方案</w:t>
            </w:r>
            <w:r/>
          </w:p>
          <w:p>
            <w:pPr>
              <w:jc w:val="center"/>
              <w:spacing w:line="500" w:lineRule="exact"/>
              <w:widowControl/>
              <w:rPr>
                <w:rFonts w:asciiTheme="majorEastAsia" w:hAnsiTheme="majorEastAsia" w:eastAsiaTheme="majorEastAsia" w:cstheme="majorEastAsia"/>
                <w:color w:val="000000"/>
                <w:sz w:val="24"/>
                <w:lang w:val="zh-CN"/>
              </w:rPr>
            </w:pPr>
            <w:r>
              <w:rPr>
                <w:rFonts w:hint="eastAsia" w:asciiTheme="majorEastAsia" w:hAnsiTheme="majorEastAsia" w:eastAsiaTheme="majorEastAsia" w:cstheme="majorEastAsia"/>
                <w:color w:val="000000"/>
                <w:sz w:val="24"/>
              </w:rPr>
              <w:t xml:space="preserve">（6分）</w:t>
            </w:r>
            <w:r/>
          </w:p>
        </w:tc>
        <w:tc>
          <w:tcPr>
            <w:shd w:val="clear" w:color="auto" w:fill="auto"/>
            <w:tcW w:w="5138" w:type="dxa"/>
            <w:vAlign w:val="center"/>
            <w:textDirection w:val="lrTb"/>
            <w:noWrap w:val="false"/>
          </w:tcPr>
          <w:p>
            <w:pPr>
              <w:ind w:firstLine="480"/>
              <w:spacing w:line="500" w:lineRule="exact"/>
              <w:widowControl/>
              <w:rPr>
                <w:rFonts w:ascii="宋体" w:hAnsi="宋体" w:eastAsia="宋体" w:cs="宋体"/>
                <w:sz w:val="24"/>
              </w:rPr>
            </w:pPr>
            <w:r/>
            <w:bookmarkStart w:id="174" w:name="_GoBack"/>
            <w:r>
              <w:rPr>
                <w:rFonts w:hint="eastAsia" w:ascii="宋体" w:hAnsi="宋体" w:eastAsia="宋体" w:cs="宋体"/>
                <w:sz w:val="24"/>
              </w:rPr>
              <w:t xml:space="preserve">投标人提供培训方案，</w:t>
            </w:r>
            <w:r>
              <w:rPr>
                <w:rFonts w:hint="eastAsia" w:ascii="宋体" w:hAnsi="宋体" w:eastAsia="宋体" w:cs="宋体"/>
                <w:sz w:val="24"/>
                <w:lang w:val="en-US" w:eastAsia="zh-CN"/>
              </w:rPr>
              <w:t xml:space="preserve">至少</w:t>
            </w:r>
            <w:r>
              <w:rPr>
                <w:rFonts w:hint="eastAsia" w:ascii="宋体" w:hAnsi="宋体" w:eastAsia="宋体" w:cs="宋体"/>
                <w:sz w:val="24"/>
              </w:rPr>
              <w:t xml:space="preserve">包括培训内容、培训方式、培训计划等。要求方案科学合理、内容详实、可操作性强，方案优于招标文件要求的得6分；符合招标文件要求的得5分；不符合要求或未提供的不得分。</w:t>
            </w:r>
            <w:r/>
          </w:p>
          <w:p>
            <w:pPr>
              <w:ind w:firstLine="480"/>
              <w:spacing w:line="500" w:lineRule="exact"/>
              <w:widowControl/>
              <w:rPr>
                <w:rFonts w:ascii="宋体" w:hAnsi="宋体" w:eastAsia="宋体" w:cs="宋体"/>
                <w:sz w:val="24"/>
                <w:lang w:val="zh-CN"/>
              </w:rPr>
            </w:pPr>
            <w:r>
              <w:rPr>
                <w:rFonts w:hint="eastAsia" w:ascii="宋体" w:hAnsi="宋体" w:eastAsia="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bookmarkEnd w:id="174"/>
            <w:r/>
            <w:r/>
          </w:p>
        </w:tc>
      </w:tr>
    </w:tbl>
    <w:p>
      <w:pPr>
        <w:pStyle w:val="868"/>
        <w:ind w:firstLine="480"/>
        <w:spacing w:before="120" w:beforeAutospacing="0" w:after="120" w:afterAutospacing="0" w:line="0" w:lineRule="atLeast"/>
        <w:rPr>
          <w:rFonts w:ascii="宋体" w:hAnsi="宋体" w:eastAsia="宋体" w:cs="宋体"/>
          <w:bCs/>
          <w:highlight w:val="yellow"/>
        </w:rPr>
      </w:pPr>
      <w:r>
        <w:rPr>
          <w:rFonts w:ascii="宋体" w:hAnsi="宋体" w:eastAsia="宋体" w:cs="宋体"/>
          <w:bCs/>
          <w:highlight w:val="yellow"/>
        </w:rPr>
      </w:r>
      <w:r/>
    </w:p>
    <w:p>
      <w:pPr>
        <w:pStyle w:val="868"/>
        <w:ind w:firstLine="480"/>
        <w:spacing w:before="120" w:beforeAutospacing="0" w:after="120" w:afterAutospacing="0" w:line="0" w:lineRule="atLeast"/>
        <w:rPr>
          <w:rFonts w:ascii="宋体" w:hAnsi="宋体" w:eastAsia="宋体" w:cs="宋体"/>
          <w:bCs/>
          <w:highlight w:val="yellow"/>
        </w:rPr>
      </w:pPr>
      <w:r>
        <w:rPr>
          <w:rFonts w:ascii="宋体" w:hAnsi="宋体" w:eastAsia="宋体" w:cs="宋体"/>
          <w:bCs/>
          <w:highlight w:val="yellow"/>
        </w:rPr>
      </w:r>
      <w:r/>
    </w:p>
    <w:p>
      <w:pPr>
        <w:pStyle w:val="868"/>
        <w:ind w:firstLine="480"/>
        <w:spacing w:before="120" w:beforeAutospacing="0" w:after="120" w:afterAutospacing="0" w:line="0" w:lineRule="atLeast"/>
        <w:rPr>
          <w:rFonts w:ascii="宋体" w:hAnsi="宋体" w:eastAsia="宋体" w:cs="宋体"/>
          <w:bCs/>
          <w:highlight w:val="yellow"/>
        </w:rPr>
      </w:pPr>
      <w:r>
        <w:rPr>
          <w:rFonts w:ascii="宋体" w:hAnsi="宋体" w:eastAsia="宋体" w:cs="宋体"/>
          <w:bCs/>
          <w:highlight w:val="yellow"/>
        </w:rPr>
      </w:r>
      <w:r/>
    </w:p>
    <w:p>
      <w:pPr>
        <w:pStyle w:val="868"/>
        <w:ind w:firstLine="480"/>
        <w:spacing w:before="120" w:beforeAutospacing="0" w:after="120" w:afterAutospacing="0" w:line="0" w:lineRule="atLeast"/>
        <w:rPr>
          <w:rFonts w:ascii="宋体" w:hAnsi="宋体" w:eastAsia="宋体" w:cs="宋体"/>
          <w:bCs/>
          <w:highlight w:val="yellow"/>
        </w:rPr>
      </w:pPr>
      <w:r>
        <w:rPr>
          <w:rFonts w:ascii="宋体" w:hAnsi="宋体" w:eastAsia="宋体" w:cs="宋体"/>
          <w:bCs/>
          <w:highlight w:val="yellow"/>
        </w:rPr>
      </w:r>
      <w:r/>
    </w:p>
    <w:p>
      <w:pPr>
        <w:pStyle w:val="868"/>
        <w:ind w:firstLine="480"/>
        <w:spacing w:before="120" w:beforeAutospacing="0" w:after="120" w:afterAutospacing="0" w:line="0" w:lineRule="atLeast"/>
        <w:rPr>
          <w:rFonts w:ascii="宋体" w:hAnsi="宋体" w:eastAsia="宋体" w:cs="宋体"/>
          <w:bCs/>
          <w:highlight w:val="yellow"/>
        </w:rPr>
      </w:pPr>
      <w:r>
        <w:rPr>
          <w:rFonts w:ascii="宋体" w:hAnsi="宋体" w:eastAsia="宋体" w:cs="宋体"/>
          <w:bCs/>
          <w:highlight w:val="yellow"/>
        </w:rPr>
      </w:r>
      <w:r/>
    </w:p>
    <w:p>
      <w:pPr>
        <w:pStyle w:val="868"/>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868"/>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rPr>
          <w:rFonts w:ascii="黑体" w:hAnsi="黑体" w:eastAsia="黑体" w:cs="黑体"/>
          <w:sz w:val="44"/>
          <w:szCs w:val="44"/>
        </w:rPr>
      </w:pPr>
      <w:r>
        <w:rPr>
          <w:rFonts w:hint="eastAsia" w:ascii="黑体" w:hAnsi="黑体" w:eastAsia="黑体" w:cs="黑体"/>
          <w:sz w:val="44"/>
          <w:szCs w:val="44"/>
        </w:rPr>
        <w:br w:type="page" w:clear="all"/>
      </w:r>
      <w:r/>
    </w:p>
    <w:p>
      <w:pPr>
        <w:pStyle w:val="868"/>
        <w:jc w:val="center"/>
        <w:keepNext/>
        <w:spacing w:beforeAutospacing="0" w:afterAutospacing="0"/>
        <w:rPr>
          <w:rFonts w:hint="eastAsia" w:ascii="黑体" w:hAnsi="黑体" w:eastAsia="黑体" w:cs="黑体"/>
          <w:sz w:val="44"/>
          <w:szCs w:val="44"/>
        </w:rPr>
      </w:pPr>
      <w:r>
        <w:rPr>
          <w:rFonts w:hint="eastAsia" w:ascii="黑体" w:hAnsi="黑体" w:eastAsia="黑体" w:cs="黑体"/>
          <w:sz w:val="44"/>
          <w:szCs w:val="44"/>
        </w:rPr>
      </w:r>
      <w:r/>
    </w:p>
    <w:p>
      <w:pPr>
        <w:pStyle w:val="868"/>
        <w:jc w:val="center"/>
        <w:keepNext/>
        <w:spacing w:beforeAutospacing="0" w:afterAutospacing="0"/>
        <w:rPr>
          <w:rFonts w:ascii="黑体" w:hAnsi="黑体" w:eastAsia="黑体" w:cs="黑体"/>
          <w:sz w:val="44"/>
          <w:szCs w:val="44"/>
        </w:rPr>
      </w:pPr>
      <w:r>
        <w:rPr>
          <w:rFonts w:hint="eastAsia" w:ascii="黑体" w:hAnsi="黑体" w:eastAsia="黑体" w:cs="黑体"/>
          <w:sz w:val="44"/>
          <w:szCs w:val="44"/>
        </w:rPr>
        <w:t xml:space="preserve">第六章  响应文件格式 </w:t>
      </w:r>
      <w:r/>
    </w:p>
    <w:p>
      <w:pPr>
        <w:pStyle w:val="868"/>
        <w:jc w:val="center"/>
        <w:spacing w:beforeAutospacing="0" w:afterAutospacing="0"/>
        <w:rPr>
          <w:rFonts w:ascii="宋体" w:hAnsi="宋体" w:eastAsia="宋体" w:cs="宋体"/>
          <w:b/>
          <w:sz w:val="72"/>
          <w:szCs w:val="72"/>
        </w:rPr>
      </w:pPr>
      <w:r/>
      <w:bookmarkStart w:id="165" w:name="_Toc120614282"/>
      <w:r/>
      <w:bookmarkEnd w:id="165"/>
      <w:r/>
      <w:bookmarkStart w:id="166" w:name="_Toc49090576"/>
      <w:r/>
      <w:bookmarkEnd w:id="166"/>
      <w:r/>
      <w:bookmarkStart w:id="167" w:name="_Hlt26955039"/>
      <w:r/>
      <w:bookmarkStart w:id="168" w:name="_Hlt26671244"/>
      <w:r/>
      <w:bookmarkStart w:id="169" w:name="_Toc26554094"/>
      <w:r/>
      <w:r/>
    </w:p>
    <w:p>
      <w:pPr>
        <w:pStyle w:val="868"/>
        <w:jc w:val="center"/>
        <w:spacing w:beforeAutospacing="0" w:afterAutospacing="0"/>
        <w:rPr>
          <w:rFonts w:ascii="宋体" w:hAnsi="宋体" w:eastAsia="宋体" w:cs="宋体"/>
          <w:b/>
          <w:sz w:val="72"/>
          <w:szCs w:val="72"/>
        </w:rPr>
      </w:pPr>
      <w:r>
        <w:rPr>
          <w:rFonts w:ascii="宋体" w:hAnsi="宋体" w:eastAsia="宋体" w:cs="宋体"/>
          <w:b/>
          <w:sz w:val="72"/>
          <w:szCs w:val="72"/>
        </w:rPr>
      </w:r>
      <w:r/>
    </w:p>
    <w:p>
      <w:pPr>
        <w:pStyle w:val="868"/>
        <w:jc w:val="center"/>
        <w:spacing w:beforeAutospacing="0" w:afterAutospacing="0"/>
        <w:rPr>
          <w:rFonts w:ascii="方正小标宋_GBK" w:hAnsi="宋体" w:eastAsia="方正小标宋_GBK"/>
          <w:bCs/>
          <w:sz w:val="72"/>
          <w:szCs w:val="72"/>
        </w:rPr>
      </w:pPr>
      <w:r>
        <w:rPr>
          <w:rFonts w:hint="eastAsia" w:ascii="方正小标宋_GBK" w:hAnsi="宋体" w:eastAsia="方正小标宋_GBK"/>
          <w:bCs/>
          <w:sz w:val="72"/>
          <w:szCs w:val="72"/>
        </w:rPr>
        <w:t xml:space="preserve">响  应  文  件</w:t>
      </w:r>
      <w:r/>
    </w:p>
    <w:p>
      <w:pPr>
        <w:pStyle w:val="868"/>
        <w:jc w:val="center"/>
        <w:spacing w:beforeAutospacing="0" w:afterAutospacing="0"/>
      </w:pPr>
      <w:r>
        <w:t xml:space="preserve"> </w:t>
      </w:r>
      <w:r/>
    </w:p>
    <w:p>
      <w:pPr>
        <w:pStyle w:val="868"/>
        <w:jc w:val="center"/>
        <w:spacing w:beforeAutospacing="0" w:afterAutospacing="0"/>
      </w:pPr>
      <w:r>
        <w:t xml:space="preserve"> </w:t>
      </w:r>
      <w:r/>
    </w:p>
    <w:p>
      <w:pPr>
        <w:pStyle w:val="868"/>
        <w:jc w:val="center"/>
        <w:spacing w:beforeAutospacing="0" w:afterAutospacing="0"/>
      </w:pPr>
      <w:r>
        <w:t xml:space="preserve"> </w:t>
      </w:r>
      <w:r/>
    </w:p>
    <w:p>
      <w:pPr>
        <w:pStyle w:val="868"/>
        <w:jc w:val="center"/>
        <w:spacing w:beforeAutospacing="0" w:afterAutospacing="0"/>
      </w:pPr>
      <w:r>
        <w:t xml:space="preserve"> </w:t>
      </w:r>
      <w:r/>
    </w:p>
    <w:p>
      <w:pPr>
        <w:pStyle w:val="868"/>
        <w:jc w:val="center"/>
        <w:spacing w:beforeAutospacing="0" w:afterAutospacing="0" w:line="360" w:lineRule="auto"/>
      </w:pPr>
      <w:r>
        <w:t xml:space="preserve"> </w:t>
      </w:r>
      <w:r/>
    </w:p>
    <w:p>
      <w:pPr>
        <w:pStyle w:val="868"/>
        <w:ind w:firstLine="1084"/>
        <w:jc w:val="both"/>
        <w:spacing w:beforeAutospacing="0" w:afterAutospacing="0" w:line="360" w:lineRule="auto"/>
      </w:pPr>
      <w:r>
        <w:rPr>
          <w:rFonts w:hint="eastAsia" w:ascii="宋体" w:hAnsi="宋体" w:eastAsia="宋体" w:cs="宋体"/>
          <w:b/>
          <w:sz w:val="36"/>
          <w:szCs w:val="36"/>
        </w:rPr>
        <w:t xml:space="preserve">项 目名 称：</w:t>
      </w:r>
      <w:r>
        <w:rPr>
          <w:rFonts w:hint="eastAsia" w:ascii="宋体" w:hAnsi="宋体" w:eastAsia="宋体" w:cs="宋体"/>
          <w:b/>
          <w:sz w:val="36"/>
          <w:szCs w:val="36"/>
          <w:u w:val="single"/>
        </w:rPr>
        <w:t xml:space="preserve">                    </w:t>
      </w:r>
      <w:r/>
    </w:p>
    <w:p>
      <w:pPr>
        <w:pStyle w:val="868"/>
        <w:ind w:firstLine="1084"/>
        <w:jc w:val="both"/>
        <w:spacing w:beforeAutospacing="0" w:afterAutospacing="0" w:line="360" w:lineRule="auto"/>
        <w:rPr>
          <w:rFonts w:eastAsia="宋体"/>
        </w:rPr>
      </w:pPr>
      <w:r>
        <w:rPr>
          <w:rFonts w:hint="eastAsia" w:ascii="宋体" w:hAnsi="宋体" w:eastAsia="宋体" w:cs="宋体"/>
          <w:b/>
          <w:sz w:val="36"/>
          <w:szCs w:val="36"/>
        </w:rPr>
        <w:t xml:space="preserve">项 目编 号：</w:t>
      </w:r>
      <w:r>
        <w:rPr>
          <w:rFonts w:hint="eastAsia" w:ascii="宋体" w:hAnsi="宋体" w:eastAsia="宋体" w:cs="宋体"/>
          <w:b/>
          <w:sz w:val="36"/>
          <w:szCs w:val="36"/>
          <w:u w:val="single"/>
        </w:rPr>
        <w:t xml:space="preserve">                    </w:t>
      </w:r>
      <w:r/>
    </w:p>
    <w:p>
      <w:pPr>
        <w:pStyle w:val="868"/>
        <w:jc w:val="both"/>
        <w:spacing w:beforeAutospacing="0" w:afterAutospacing="0" w:line="360" w:lineRule="auto"/>
        <w:rPr>
          <w:rFonts w:hint="default" w:eastAsia="宋体"/>
          <w:lang w:val="en-US" w:eastAsia="zh-CN"/>
        </w:rPr>
      </w:pPr>
      <w:r>
        <w:rPr>
          <w:rFonts w:hint="eastAsia" w:ascii="宋体" w:hAnsi="宋体" w:eastAsia="宋体" w:cs="宋体"/>
          <w:b/>
          <w:sz w:val="36"/>
          <w:szCs w:val="36"/>
        </w:rPr>
        <w:t xml:space="preserve">      供应商名称：</w:t>
      </w:r>
      <w:r>
        <w:rPr>
          <w:rFonts w:hint="eastAsia" w:ascii="宋体" w:hAnsi="宋体" w:eastAsia="宋体" w:cs="宋体"/>
          <w:b/>
          <w:sz w:val="36"/>
          <w:szCs w:val="36"/>
          <w:u w:val="single"/>
        </w:rPr>
        <w:t xml:space="preserve">（加盖CA电子公章）</w:t>
      </w:r>
      <w:r>
        <w:rPr>
          <w:rFonts w:hint="eastAsia" w:ascii="宋体" w:hAnsi="宋体" w:eastAsia="宋体" w:cs="宋体"/>
          <w:b/>
          <w:sz w:val="36"/>
          <w:szCs w:val="36"/>
          <w:u w:val="single"/>
          <w:lang w:val="en-US" w:eastAsia="zh-CN"/>
        </w:rPr>
        <w:t xml:space="preserve">   </w:t>
      </w:r>
      <w:r/>
    </w:p>
    <w:p>
      <w:pPr>
        <w:pStyle w:val="868"/>
        <w:jc w:val="both"/>
        <w:spacing w:beforeAutospacing="0" w:afterAutospacing="0" w:line="360" w:lineRule="auto"/>
        <w:rPr>
          <w:rFonts w:hint="eastAsia" w:eastAsia="宋体"/>
          <w:lang w:val="en-US" w:eastAsia="zh-CN"/>
        </w:rPr>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rPr>
          <w:rFonts w:hint="eastAsia" w:ascii="宋体" w:hAnsi="宋体" w:eastAsia="宋体" w:cs="宋体"/>
          <w:b/>
          <w:sz w:val="36"/>
          <w:szCs w:val="36"/>
          <w:u w:val="single"/>
          <w:lang w:val="en-US" w:eastAsia="zh-CN"/>
        </w:rPr>
        <w:t xml:space="preserve"> </w:t>
      </w:r>
      <w:r/>
    </w:p>
    <w:p>
      <w:pPr>
        <w:pStyle w:val="868"/>
        <w:jc w:val="center"/>
        <w:spacing w:beforeAutospacing="0" w:afterAutospacing="0" w:line="360" w:lineRule="auto"/>
      </w:pPr>
      <w:r>
        <w:t xml:space="preserve"> </w:t>
      </w:r>
      <w:r/>
    </w:p>
    <w:p>
      <w:pPr>
        <w:pStyle w:val="868"/>
        <w:jc w:val="center"/>
        <w:spacing w:beforeAutospacing="0" w:afterAutospacing="0" w:line="360" w:lineRule="auto"/>
        <w:rPr>
          <w:rFonts w:ascii="宋体" w:hAnsi="宋体" w:eastAsia="宋体" w:cs="宋体"/>
          <w:b/>
          <w:sz w:val="32"/>
          <w:szCs w:val="32"/>
        </w:rPr>
      </w:pPr>
      <w:r>
        <w:rPr>
          <w:rFonts w:ascii="宋体" w:hAnsi="宋体" w:eastAsia="宋体" w:cs="宋体"/>
          <w:b/>
          <w:sz w:val="32"/>
          <w:szCs w:val="32"/>
        </w:rPr>
      </w:r>
      <w:r/>
    </w:p>
    <w:p>
      <w:pPr>
        <w:pStyle w:val="86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8"/>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jc w:val="center"/>
        <w:spacing w:line="560" w:lineRule="exact"/>
        <w:widowControl/>
        <w:rPr>
          <w:rFonts w:ascii="宋体" w:hAnsi="宋体" w:eastAsia="宋体" w:cs="宋体"/>
          <w:b/>
          <w:bCs/>
          <w:sz w:val="32"/>
          <w:szCs w:val="32"/>
        </w:rPr>
      </w:pPr>
      <w:r>
        <w:rPr>
          <w:rFonts w:hint="eastAsia" w:ascii="宋体" w:hAnsi="宋体" w:eastAsia="宋体" w:cs="宋体"/>
          <w:b/>
          <w:bCs/>
          <w:sz w:val="32"/>
          <w:szCs w:val="32"/>
        </w:rPr>
        <w:t xml:space="preserve">响应文件目录</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一、法人或者其他组织的营业执照等证明文件，自然人的身份证明</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二、</w:t>
      </w:r>
      <w:r>
        <w:rPr>
          <w:rFonts w:hint="eastAsia" w:ascii="宋体" w:hAnsi="宋体" w:eastAsia="宋体" w:cs="宋体"/>
          <w:sz w:val="24"/>
          <w:lang w:eastAsia="zh-CN"/>
        </w:rPr>
        <w:t xml:space="preserve">上</w:t>
      </w:r>
      <w:r>
        <w:rPr>
          <w:rFonts w:hint="eastAsia" w:ascii="宋体" w:hAnsi="宋体" w:eastAsia="宋体" w:cs="宋体"/>
          <w:sz w:val="24"/>
          <w:lang w:val="en-US" w:eastAsia="zh-CN"/>
        </w:rPr>
        <w:t xml:space="preserve">一</w:t>
      </w:r>
      <w:r>
        <w:rPr>
          <w:rFonts w:hint="eastAsia" w:ascii="宋体" w:hAnsi="宋体" w:eastAsia="宋体" w:cs="宋体"/>
          <w:sz w:val="24"/>
        </w:rPr>
        <w:t xml:space="preserve">年度的财务状况报告（至少提供资产负债表、利润表、现金流量表，磋商供应商成立不满一年无需提供）</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三、具备履行合同所必需的设备和专业技术能力的书面声明</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五、参加政府采购活动前 3 年内在经营活动中没有重大违法记录的书面声明</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六、特定资格要求的证明文件（如果本项目设置特定资格要求，则需要提供）</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七、法人授权书</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八、磋商响应函</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九、中小企业声明函</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十、残疾人福利性单位声明函</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十一、</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分项报价表</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十二、技术要求响应及偏离表</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十三、商务要求响应及偏离表</w:t>
      </w:r>
      <w:r/>
    </w:p>
    <w:p>
      <w:pPr>
        <w:ind w:firstLine="561"/>
        <w:spacing w:line="560" w:lineRule="exact"/>
        <w:widowControl/>
        <w:rPr>
          <w:rFonts w:hint="default" w:ascii="宋体" w:hAnsi="宋体" w:eastAsia="宋体" w:cs="宋体"/>
          <w:sz w:val="24"/>
          <w:lang w:val="en-US" w:eastAsia="zh-CN"/>
        </w:rPr>
      </w:pPr>
      <w:r>
        <w:rPr>
          <w:rFonts w:hint="eastAsia" w:ascii="宋体" w:hAnsi="宋体" w:eastAsia="宋体" w:cs="宋体"/>
          <w:sz w:val="24"/>
        </w:rPr>
        <w:t xml:space="preserve">十四、</w:t>
      </w:r>
      <w:r>
        <w:rPr>
          <w:rFonts w:hint="eastAsia" w:ascii="宋体" w:hAnsi="宋体" w:eastAsia="宋体" w:cs="宋体"/>
          <w:sz w:val="24"/>
          <w:lang w:val="en-US" w:eastAsia="zh-CN"/>
        </w:rPr>
        <w:t xml:space="preserve">磋商报价表</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十五、技术方案、服务承诺、培训承诺等</w:t>
      </w:r>
      <w:r/>
    </w:p>
    <w:p>
      <w:pPr>
        <w:ind w:firstLine="561"/>
        <w:spacing w:line="560" w:lineRule="exact"/>
        <w:widowControl/>
        <w:rPr>
          <w:rFonts w:ascii="宋体" w:hAnsi="宋体" w:eastAsia="宋体" w:cs="宋体"/>
          <w:sz w:val="24"/>
        </w:rPr>
      </w:pPr>
      <w:r>
        <w:rPr>
          <w:rFonts w:hint="eastAsia" w:ascii="宋体" w:hAnsi="宋体" w:eastAsia="宋体" w:cs="宋体"/>
          <w:sz w:val="24"/>
        </w:rPr>
        <w:t xml:space="preserve">十六、盐城市政府采购事前信用承诺书</w:t>
      </w:r>
      <w:r/>
    </w:p>
    <w:p>
      <w:pPr>
        <w:pStyle w:val="868"/>
        <w:ind w:firstLine="480"/>
        <w:jc w:val="both"/>
        <w:spacing w:beforeAutospacing="0" w:afterAutospacing="0" w:line="0" w:lineRule="atLeast"/>
      </w:pPr>
      <w:r/>
      <w:r/>
    </w:p>
    <w:p>
      <w:pPr>
        <w:pStyle w:val="868"/>
        <w:ind w:firstLine="480"/>
        <w:jc w:val="both"/>
        <w:spacing w:beforeAutospacing="0" w:afterAutospacing="0" w:line="0" w:lineRule="atLeast"/>
      </w:pPr>
      <w:r>
        <w:t xml:space="preserve"> </w:t>
      </w:r>
      <w:r/>
    </w:p>
    <w:p>
      <w:pPr>
        <w:pStyle w:val="868"/>
        <w:ind w:firstLine="480"/>
        <w:jc w:val="both"/>
        <w:spacing w:beforeAutospacing="0" w:afterAutospacing="0" w:line="0" w:lineRule="atLeast"/>
      </w:pPr>
      <w:r>
        <w:t xml:space="preserve"> </w:t>
      </w:r>
      <w:r/>
    </w:p>
    <w:p>
      <w:pPr>
        <w:pStyle w:val="868"/>
        <w:ind w:firstLine="480"/>
        <w:jc w:val="both"/>
        <w:spacing w:beforeAutospacing="0" w:afterAutospacing="0" w:line="0" w:lineRule="atLeast"/>
      </w:pPr>
      <w:r>
        <w:t xml:space="preserve"> </w:t>
      </w:r>
      <w:r/>
    </w:p>
    <w:p>
      <w:pPr>
        <w:pStyle w:val="868"/>
        <w:ind w:firstLine="480"/>
        <w:jc w:val="both"/>
        <w:spacing w:beforeAutospacing="0" w:afterAutospacing="0" w:line="0" w:lineRule="atLeast"/>
      </w:pPr>
      <w:r>
        <w:t xml:space="preserve"> </w:t>
      </w:r>
      <w:r/>
    </w:p>
    <w:p>
      <w:pPr>
        <w:pStyle w:val="868"/>
        <w:ind w:firstLine="480"/>
        <w:jc w:val="both"/>
        <w:spacing w:beforeAutospacing="0" w:afterAutospacing="0" w:line="0" w:lineRule="atLeast"/>
      </w:pPr>
      <w:r/>
      <w:r/>
    </w:p>
    <w:p>
      <w:pPr>
        <w:pStyle w:val="868"/>
        <w:ind w:firstLine="480"/>
        <w:jc w:val="both"/>
        <w:spacing w:beforeAutospacing="0" w:afterAutospacing="0" w:line="0" w:lineRule="atLeast"/>
      </w:pPr>
      <w:r/>
      <w:r/>
    </w:p>
    <w:p>
      <w:pPr>
        <w:jc w:val="center"/>
        <w:rPr>
          <w:rFonts w:ascii="黑体" w:hAnsi="黑体" w:eastAsia="黑体" w:cs="黑体"/>
          <w:i/>
          <w:sz w:val="32"/>
          <w:szCs w:val="32"/>
          <w:u w:val="single"/>
        </w:rPr>
      </w:pPr>
      <w:r/>
      <w:bookmarkStart w:id="170" w:name="_Toc120614284"/>
      <w:r/>
      <w:bookmarkStart w:id="171" w:name="_Hlt26955070"/>
      <w:r/>
      <w:bookmarkStart w:id="172" w:name="_Hlt26671380"/>
      <w:r/>
      <w:bookmarkStart w:id="173" w:name="_格式3__银行出具的资信证明"/>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ascii="宋体" w:hAnsi="宋体" w:cs="宋体"/>
          <w:b/>
          <w:bCs/>
          <w:sz w:val="32"/>
          <w:szCs w:val="32"/>
        </w:rPr>
      </w:pPr>
      <w:r>
        <w:rPr>
          <w:rFonts w:ascii="宋体" w:hAnsi="宋体" w:cs="宋体"/>
          <w:b/>
          <w:bCs/>
          <w:sz w:val="32"/>
          <w:szCs w:val="32"/>
        </w:rPr>
      </w:r>
      <w:r/>
    </w:p>
    <w:p>
      <w:pPr>
        <w:jc w:val="center"/>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rPr>
        <w:t xml:space="preserve">二、</w:t>
      </w:r>
      <w:r>
        <w:rPr>
          <w:rFonts w:hint="eastAsia" w:ascii="黑体" w:hAnsi="黑体" w:eastAsia="黑体" w:cs="黑体"/>
          <w:i/>
          <w:sz w:val="32"/>
          <w:szCs w:val="32"/>
          <w:u w:val="single"/>
          <w:lang w:eastAsia="zh-CN"/>
        </w:rPr>
        <w:t xml:space="preserve">上</w:t>
      </w:r>
      <w:r>
        <w:rPr>
          <w:rFonts w:hint="eastAsia" w:ascii="黑体" w:hAnsi="黑体" w:eastAsia="黑体" w:cs="黑体"/>
          <w:i/>
          <w:sz w:val="32"/>
          <w:szCs w:val="32"/>
          <w:u w:val="single"/>
          <w:lang w:val="en-US" w:eastAsia="zh-CN"/>
        </w:rPr>
        <w:t xml:space="preserve">一</w:t>
      </w:r>
      <w:r>
        <w:rPr>
          <w:rFonts w:hint="eastAsia" w:ascii="黑体" w:hAnsi="黑体" w:eastAsia="黑体" w:cs="黑体"/>
          <w:i/>
          <w:sz w:val="32"/>
          <w:szCs w:val="32"/>
          <w:u w:val="single"/>
        </w:rPr>
        <w:t xml:space="preserve">年度的财务状况报告</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（至少提供资产负债表、利润表、现金流量表，供应商成立不满一年无需提供）</w:t>
      </w:r>
      <w:r/>
    </w:p>
    <w:p>
      <w:pPr>
        <w:pStyle w:val="881"/>
        <w:ind w:firstLine="492"/>
        <w:jc w:val="center"/>
        <w:spacing w:line="500" w:lineRule="exact"/>
        <w:widowControl/>
        <w:rPr>
          <w:rFonts w:ascii="宋体" w:hAnsi="宋体" w:eastAsia="宋体" w:cs="宋体"/>
          <w:sz w:val="24"/>
          <w:szCs w:val="24"/>
        </w:rPr>
      </w:pPr>
      <w:r>
        <w:rPr>
          <w:rFonts w:ascii="宋体" w:hAnsi="宋体" w:eastAsia="宋体" w:cs="宋体"/>
          <w:sz w:val="24"/>
          <w:szCs w:val="24"/>
        </w:rPr>
      </w:r>
      <w:r/>
    </w:p>
    <w:p>
      <w:pPr>
        <w:jc w:val="left"/>
        <w:widowControl/>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rPr>
        <w:t xml:space="preserve">三、具备履行合同所必需的设备和专业技术能力的书面声明</w:t>
      </w:r>
      <w:r/>
    </w:p>
    <w:p>
      <w:pPr>
        <w:pStyle w:val="881"/>
        <w:ind w:firstLine="480"/>
        <w:jc w:val="both"/>
        <w:spacing w:before="0" w:after="0" w:line="560" w:lineRule="exact"/>
        <w:rPr>
          <w:rFonts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pStyle w:val="881"/>
        <w:ind w:firstLine="480"/>
        <w:jc w:val="both"/>
        <w:spacing w:before="0" w:after="0" w:line="560" w:lineRule="exact"/>
        <w:rPr>
          <w:rFonts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881"/>
        <w:ind w:firstLine="480"/>
        <w:jc w:val="both"/>
        <w:spacing w:before="0" w:after="0" w:line="560" w:lineRule="exact"/>
        <w:rPr>
          <w:rFonts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881"/>
        <w:ind w:firstLine="492"/>
        <w:jc w:val="center"/>
        <w:widowControl/>
        <w:rPr>
          <w:rFonts w:ascii="方正小标宋_GBK" w:hAnsi="宋体" w:eastAsia="方正小标宋_GBK" w:cs="宋体"/>
          <w:iCs/>
          <w:sz w:val="24"/>
          <w:szCs w:val="24"/>
        </w:rPr>
      </w:pPr>
      <w:r>
        <w:rPr>
          <w:rFonts w:ascii="方正小标宋_GBK" w:hAnsi="宋体" w:eastAsia="方正小标宋_GBK" w:cs="宋体"/>
          <w:iCs/>
          <w:sz w:val="24"/>
          <w:szCs w:val="24"/>
        </w:rPr>
      </w:r>
      <w:r/>
    </w:p>
    <w:p>
      <w:pPr>
        <w:jc w:val="center"/>
        <w:widowControl/>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rPr>
        <w:t xml:space="preserve">四、依法缴纳税收和社会保障资金的相关材料</w:t>
      </w:r>
      <w:r/>
    </w:p>
    <w:p>
      <w:pPr>
        <w:pStyle w:val="881"/>
        <w:ind w:firstLine="480"/>
        <w:jc w:val="both"/>
        <w:spacing w:before="0" w:after="0" w:line="560" w:lineRule="exact"/>
        <w:rPr>
          <w:rFonts w:ascii="宋体" w:hAnsi="宋体" w:eastAsia="宋体" w:cs="宋体"/>
          <w:sz w:val="24"/>
          <w:szCs w:val="24"/>
        </w:rPr>
      </w:pPr>
      <w:r>
        <w:rPr>
          <w:rFonts w:hint="eastAsia" w:ascii="宋体" w:hAnsi="宋体" w:eastAsia="宋体" w:cs="宋体"/>
          <w:sz w:val="24"/>
          <w:szCs w:val="24"/>
        </w:rPr>
        <w:t xml:space="preserve">提供提交响应文件截止时间前一年内至少一个月依法缴纳税收及缴纳社会保障资金的证明材料。供应商依法享受缓缴、免缴税收、社会保障资金的提供证明材料。</w:t>
      </w:r>
      <w:r/>
    </w:p>
    <w:p>
      <w:pPr>
        <w:pStyle w:val="881"/>
        <w:ind w:firstLine="492"/>
        <w:jc w:val="both"/>
        <w:widowControl/>
        <w:rPr>
          <w:rFonts w:ascii="宋体" w:hAnsi="宋体" w:eastAsia="宋体" w:cs="宋体"/>
          <w:sz w:val="24"/>
          <w:szCs w:val="24"/>
        </w:rPr>
      </w:pPr>
      <w:r>
        <w:rPr>
          <w:rFonts w:ascii="宋体" w:hAnsi="宋体" w:eastAsia="宋体" w:cs="宋体"/>
          <w:sz w:val="24"/>
          <w:szCs w:val="24"/>
        </w:rPr>
      </w:r>
      <w:r/>
    </w:p>
    <w:p>
      <w:pPr>
        <w:jc w:val="center"/>
        <w:widowControl/>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rPr>
        <w:t xml:space="preserve">五、参加政府采购活动前3年内在经营活动中没有重大违法记录的书面声明</w:t>
      </w:r>
      <w:r/>
    </w:p>
    <w:p>
      <w:pPr>
        <w:pStyle w:val="881"/>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81"/>
        <w:ind w:firstLine="480"/>
        <w:jc w:val="both"/>
        <w:spacing w:before="0" w:after="0" w:line="560" w:lineRule="exact"/>
        <w:rPr>
          <w:rFonts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881"/>
        <w:ind w:firstLine="492"/>
        <w:jc w:val="both"/>
        <w:spacing w:line="560" w:lineRule="exact"/>
        <w:widowControl/>
        <w:rPr>
          <w:rFonts w:ascii="宋体" w:hAnsi="宋体" w:eastAsia="宋体" w:cs="宋体"/>
          <w:sz w:val="24"/>
          <w:szCs w:val="24"/>
        </w:rPr>
      </w:pPr>
      <w:r>
        <w:rPr>
          <w:rFonts w:hint="eastAsia" w:ascii="宋体" w:hAnsi="宋体" w:eastAsia="宋体" w:cs="宋体"/>
          <w:sz w:val="24"/>
          <w:szCs w:val="24"/>
        </w:rPr>
        <w:t xml:space="preserve"> </w:t>
      </w:r>
      <w:r/>
    </w:p>
    <w:p>
      <w:pPr>
        <w:jc w:val="center"/>
        <w:spacing w:line="500" w:lineRule="exact"/>
        <w:widowControl/>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rPr>
        <w:t xml:space="preserve">六、特定资格要求的证明文件</w:t>
      </w:r>
      <w:r/>
    </w:p>
    <w:p>
      <w:pPr>
        <w:pStyle w:val="881"/>
        <w:jc w:val="center"/>
        <w:spacing w:before="0" w:after="0" w:line="500" w:lineRule="exact"/>
        <w:rPr>
          <w:rFonts w:ascii="宋体" w:hAnsi="宋体" w:eastAsia="宋体" w:cs="宋体"/>
          <w:sz w:val="24"/>
          <w:szCs w:val="24"/>
        </w:rPr>
      </w:pPr>
      <w:r>
        <w:rPr>
          <w:rFonts w:hint="eastAsia" w:ascii="宋体" w:hAnsi="宋体" w:eastAsia="宋体" w:cs="宋体"/>
          <w:sz w:val="24"/>
          <w:szCs w:val="24"/>
        </w:rPr>
        <w:t xml:space="preserve">如果本项目申请人的特定资格要求中要求提供的，必须提供。</w:t>
      </w:r>
      <w:r/>
    </w:p>
    <w:p>
      <w:pPr>
        <w:jc w:val="center"/>
        <w:widowControl/>
        <w:rPr>
          <w:rFonts w:ascii="黑体" w:hAnsi="黑体" w:eastAsia="黑体" w:cs="黑体"/>
          <w:i/>
          <w:sz w:val="32"/>
          <w:szCs w:val="32"/>
          <w:u w:val="single"/>
        </w:rPr>
      </w:pPr>
      <w:r>
        <w:rPr>
          <w:rFonts w:ascii="宋体" w:hAnsi="宋体"/>
        </w:rPr>
        <w:br w:type="page" w:clear="all"/>
      </w:r>
      <w:r>
        <w:rPr>
          <w:rFonts w:hint="eastAsia" w:ascii="黑体" w:hAnsi="黑体" w:eastAsia="黑体" w:cs="黑体"/>
          <w:i/>
          <w:sz w:val="32"/>
          <w:szCs w:val="32"/>
          <w:u w:val="single"/>
        </w:rPr>
        <w:t xml:space="preserve">七、法人授权书</w:t>
      </w:r>
      <w:r/>
    </w:p>
    <w:p>
      <w:pPr>
        <w:pStyle w:val="881"/>
        <w:ind w:firstLine="480"/>
        <w:jc w:val="both"/>
        <w:spacing w:before="0" w:after="0" w:line="560" w:lineRule="exact"/>
        <w:widowControl/>
        <w:rPr>
          <w:rFonts w:ascii="宋体" w:hAnsi="宋体" w:eastAsia="宋体" w:cs="宋体"/>
          <w:sz w:val="24"/>
          <w:szCs w:val="24"/>
        </w:rPr>
      </w:pPr>
      <w:r>
        <w:rPr>
          <w:rFonts w:hint="eastAsia" w:ascii="宋体" w:hAnsi="宋体" w:eastAsia="宋体" w:cs="宋体"/>
          <w:sz w:val="24"/>
          <w:szCs w:val="24"/>
        </w:rPr>
        <w:t xml:space="preserve">本授权书声明：（供应商名称）授权（被授权人的姓名）为我方就</w:t>
      </w:r>
      <w:r>
        <w:rPr>
          <w:rFonts w:hint="eastAsia" w:ascii="宋体" w:hAnsi="宋体" w:eastAsia="宋体" w:cs="宋体"/>
          <w:sz w:val="24"/>
          <w:szCs w:val="24"/>
          <w:u w:val="single"/>
          <w:lang w:eastAsia="zh-CN"/>
        </w:rPr>
        <w:t xml:space="preserve">JSZC-320900-JZCG-C2026-0050</w:t>
      </w:r>
      <w:r>
        <w:rPr>
          <w:rFonts w:hint="eastAsia" w:ascii="宋体" w:hAnsi="宋体" w:eastAsia="宋体" w:cs="宋体"/>
          <w:sz w:val="24"/>
          <w:szCs w:val="24"/>
        </w:rPr>
        <w:t xml:space="preserve">号</w:t>
      </w:r>
      <w:r>
        <w:rPr>
          <w:rFonts w:hint="eastAsia" w:ascii="宋体" w:hAnsi="宋体" w:eastAsia="宋体" w:cs="宋体"/>
          <w:sz w:val="24"/>
          <w:szCs w:val="20"/>
          <w:u w:val="single"/>
        </w:rPr>
        <w:t xml:space="preserve">盐城市12345平台呼叫中心服务项目</w:t>
      </w:r>
      <w:r>
        <w:rPr>
          <w:rFonts w:hint="eastAsia" w:ascii="宋体" w:hAnsi="宋体" w:eastAsia="宋体" w:cs="宋体"/>
          <w:sz w:val="24"/>
          <w:szCs w:val="24"/>
        </w:rPr>
        <w:t xml:space="preserve">采购活动的合法代理人，以本单位名义全权处理一切与该项目采购有关的事务。</w:t>
      </w:r>
      <w:r/>
    </w:p>
    <w:p>
      <w:pPr>
        <w:pStyle w:val="881"/>
        <w:ind w:firstLine="482"/>
        <w:jc w:val="both"/>
        <w:spacing w:before="0" w:after="0" w:line="600" w:lineRule="exact"/>
        <w:widowControl/>
        <w:rPr>
          <w:rFonts w:ascii="宋体" w:hAnsi="宋体" w:eastAsia="宋体" w:cs="宋体"/>
          <w:sz w:val="24"/>
          <w:szCs w:val="24"/>
        </w:rPr>
      </w:pPr>
      <w:r>
        <w:rPr>
          <w:rFonts w:hint="eastAsia" w:ascii="宋体" w:hAnsi="宋体" w:eastAsia="宋体" w:cs="宋体"/>
          <w:sz w:val="24"/>
          <w:szCs w:val="24"/>
        </w:rPr>
        <w:t xml:space="preserve">本授权书于年月日起生效，特此声明。</w:t>
      </w:r>
      <w:r/>
    </w:p>
    <w:p>
      <w:pPr>
        <w:pStyle w:val="881"/>
        <w:ind w:firstLine="482"/>
        <w:jc w:val="both"/>
        <w:spacing w:before="0" w:after="0" w:line="600" w:lineRule="exact"/>
        <w:widowControl/>
        <w:tabs>
          <w:tab w:val="left" w:pos="360" w:leader="none"/>
        </w:tabs>
        <w:rPr>
          <w:rFonts w:ascii="宋体" w:hAnsi="宋体" w:eastAsia="宋体" w:cs="宋体"/>
          <w:sz w:val="24"/>
          <w:szCs w:val="24"/>
        </w:rPr>
      </w:pP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pStyle w:val="881"/>
        <w:ind w:firstLine="482"/>
        <w:jc w:val="both"/>
        <w:spacing w:before="0" w:after="0" w:line="600" w:lineRule="exact"/>
        <w:widowControl/>
        <w:tabs>
          <w:tab w:val="left" w:pos="360" w:leader="none"/>
        </w:tabs>
        <w:rPr>
          <w:rFonts w:ascii="宋体" w:hAnsi="宋体" w:eastAsia="宋体" w:cs="宋体"/>
          <w:sz w:val="24"/>
          <w:szCs w:val="24"/>
        </w:rPr>
      </w:pPr>
      <w:r>
        <w:rPr>
          <w:rFonts w:hint="eastAsia" w:ascii="宋体" w:hAnsi="宋体" w:eastAsia="宋体" w:cs="宋体"/>
          <w:sz w:val="24"/>
          <w:szCs w:val="24"/>
        </w:rPr>
        <w:t xml:space="preserve">被授权人联系电话：</w:t>
      </w:r>
      <w:r>
        <w:rPr>
          <w:rFonts w:hint="eastAsia" w:ascii="宋体" w:hAnsi="宋体" w:eastAsia="宋体" w:cs="宋体"/>
          <w:sz w:val="24"/>
          <w:szCs w:val="24"/>
          <w:u w:val="single"/>
        </w:rPr>
        <w:t xml:space="preserve">（手机）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pStyle w:val="881"/>
        <w:ind w:firstLine="482"/>
        <w:jc w:val="both"/>
        <w:spacing w:before="0" w:after="0" w:line="600" w:lineRule="exact"/>
        <w:widowControl/>
        <w:tabs>
          <w:tab w:val="left" w:pos="360" w:leader="none"/>
        </w:tabs>
        <w:rPr>
          <w:rFonts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    （加盖CA电子公章）    </w:t>
      </w:r>
      <w:r/>
    </w:p>
    <w:p>
      <w:pPr>
        <w:pStyle w:val="881"/>
        <w:ind w:firstLine="482"/>
        <w:jc w:val="both"/>
        <w:spacing w:before="0" w:after="0" w:line="600" w:lineRule="exact"/>
        <w:widowControl/>
        <w:tabs>
          <w:tab w:val="left" w:pos="360" w:leader="none"/>
        </w:tabs>
        <w:rPr>
          <w:rFonts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pStyle w:val="881"/>
        <w:ind w:firstLine="482"/>
        <w:jc w:val="both"/>
        <w:spacing w:before="0" w:after="0" w:line="600" w:lineRule="exact"/>
        <w:widowControl/>
        <w:tabs>
          <w:tab w:val="left" w:pos="360" w:leader="none"/>
        </w:tabs>
        <w:rPr>
          <w:rFonts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pStyle w:val="868"/>
        <w:jc w:val="both"/>
        <w:spacing w:beforeAutospacing="0" w:afterAutospacing="0"/>
      </w:pPr>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pStyle w:val="868"/>
        <w:jc w:val="center"/>
        <w:keepLines/>
        <w:keepNext/>
        <w:spacing w:before="260" w:beforeAutospacing="0" w:after="260" w:afterAutospacing="0" w:line="276" w:lineRule="auto"/>
      </w:pPr>
      <w:r>
        <w:rPr>
          <w:rFonts w:hint="eastAsia" w:ascii="黑体" w:hAnsi="黑体" w:eastAsia="黑体" w:cs="黑体"/>
          <w:i/>
          <w:sz w:val="32"/>
          <w:szCs w:val="32"/>
          <w:u w:val="single"/>
        </w:rPr>
        <w:t xml:space="preserve">八、磋商响应函</w:t>
      </w:r>
      <w:r/>
    </w:p>
    <w:p>
      <w:pPr>
        <w:jc w:val="left"/>
        <w:keepLines w:val="0"/>
        <w:keepNext w:val="0"/>
        <w:pageBreakBefore w:val="0"/>
        <w:spacing w:line="276" w:lineRule="auto"/>
        <w:widowControl w:val="off"/>
        <w:rPr>
          <w:rFonts w:ascii="宋体" w:hAnsi="宋体" w:eastAsia="宋体" w:cs="宋体"/>
          <w:sz w:val="24"/>
        </w:rPr>
        <w:outlineLvl w:val="2"/>
      </w:pPr>
      <w:r>
        <w:rPr>
          <w:rFonts w:hint="eastAsia" w:ascii="宋体" w:hAnsi="宋体" w:eastAsia="宋体" w:cs="宋体"/>
          <w:sz w:val="24"/>
        </w:rPr>
        <w:t xml:space="preserve">致：盐城市政府采购中心</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根据贵方的</w:t>
      </w:r>
      <w:r>
        <w:rPr>
          <w:rFonts w:hint="eastAsia" w:ascii="宋体" w:hAnsi="宋体" w:eastAsia="宋体" w:cs="宋体"/>
          <w:sz w:val="24"/>
          <w:u w:val="single"/>
          <w:lang w:eastAsia="zh-CN"/>
        </w:rPr>
        <w:t xml:space="preserve">JSZC-320900-JZCG-C2026-0050</w:t>
      </w:r>
      <w:r>
        <w:rPr>
          <w:rFonts w:hint="eastAsia" w:ascii="宋体" w:hAnsi="宋体" w:eastAsia="宋体" w:cs="宋体"/>
          <w:sz w:val="24"/>
        </w:rPr>
        <w:t xml:space="preserve">号磋商文件，正式授权下述签字人____(姓名)代表我方______________（供应商的名称），全权处理本次项目磋商的有关事宜。</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据此函，__________签字人兹宣布同意如下：</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1.按磋商文件规定的各项要求，向买方提供所需服务（包含与服务相关的货物）。</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2.我们完全理解贵方不一定将合同授予最低报价的供应商。</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3.我们已详细审核全部磋商文件及其有效补充文件，我们知道必须放弃提出含糊不清或误解问题的权利。</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4.我们同意从规定的开标日期起遵循本响应文件，并在规定的磋商有效期期满之前均具有约束力。</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5.同意向贵方提供贵方可能另外要求的与磋商有关的任何证据或资料，并保证我方已提供和将要提供的文件是真实的、准确的。</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6.一旦我方成交,我方将根据磋商文件的规定，严格履行合同的责任和义务,并保证在磋商文件规定的时间完成项目，交付买方验收、使用。</w:t>
      </w:r>
      <w:r/>
    </w:p>
    <w:p>
      <w:pPr>
        <w:ind w:firstLine="480"/>
        <w:jc w:val="left"/>
        <w:keepLines w:val="0"/>
        <w:keepNext w:val="0"/>
        <w:pageBreakBefore w:val="0"/>
        <w:spacing w:line="560" w:lineRule="exact"/>
        <w:widowControl w:val="off"/>
        <w:rPr>
          <w:rFonts w:ascii="宋体" w:hAnsi="宋体" w:eastAsia="宋体" w:cs="宋体"/>
          <w:sz w:val="24"/>
        </w:rPr>
        <w:outlineLvl w:val="2"/>
      </w:pPr>
      <w:r>
        <w:rPr>
          <w:rFonts w:hint="eastAsia" w:ascii="宋体" w:hAnsi="宋体" w:eastAsia="宋体" w:cs="宋体"/>
          <w:sz w:val="24"/>
        </w:rPr>
        <w:t xml:space="preserve">7.我方与本磋商有关的正式通讯地址为：</w:t>
      </w:r>
      <w:r/>
    </w:p>
    <w:p>
      <w:pPr>
        <w:ind w:firstLine="480"/>
        <w:jc w:val="left"/>
        <w:spacing w:line="500" w:lineRule="exact"/>
        <w:rPr>
          <w:rFonts w:ascii="宋体" w:hAnsi="宋体" w:cs="宋体"/>
          <w:sz w:val="24"/>
        </w:rPr>
      </w:pPr>
      <w:r>
        <w:rPr>
          <w:rFonts w:hint="eastAsia" w:ascii="宋体" w:hAnsi="宋体" w:cs="宋体"/>
          <w:sz w:val="24"/>
        </w:rPr>
        <w:t xml:space="preserve">地        址：</w:t>
      </w:r>
      <w:r/>
    </w:p>
    <w:p>
      <w:pPr>
        <w:ind w:firstLine="480"/>
        <w:jc w:val="left"/>
        <w:spacing w:line="500" w:lineRule="exact"/>
        <w:rPr>
          <w:rFonts w:ascii="宋体" w:hAnsi="宋体" w:cs="宋体"/>
          <w:sz w:val="24"/>
        </w:rPr>
      </w:pPr>
      <w:r>
        <w:rPr>
          <w:rFonts w:hint="eastAsia" w:ascii="宋体" w:hAnsi="宋体" w:cs="宋体"/>
          <w:sz w:val="24"/>
        </w:rPr>
        <w:t xml:space="preserve">邮        编：</w:t>
      </w:r>
      <w:r/>
    </w:p>
    <w:p>
      <w:pPr>
        <w:ind w:firstLine="480"/>
        <w:jc w:val="left"/>
        <w:spacing w:line="500" w:lineRule="exact"/>
        <w:rPr>
          <w:rFonts w:ascii="宋体" w:hAnsi="宋体" w:cs="宋体"/>
          <w:sz w:val="24"/>
        </w:rPr>
      </w:pPr>
      <w:r>
        <w:rPr>
          <w:rFonts w:hint="eastAsia" w:ascii="宋体" w:hAnsi="宋体" w:cs="宋体"/>
          <w:sz w:val="24"/>
        </w:rPr>
        <w:t xml:space="preserve">电        话：</w:t>
      </w:r>
      <w:r/>
    </w:p>
    <w:p>
      <w:pPr>
        <w:ind w:firstLine="480"/>
        <w:jc w:val="left"/>
        <w:spacing w:line="500" w:lineRule="exact"/>
        <w:rPr>
          <w:rFonts w:ascii="宋体" w:hAnsi="宋体" w:cs="宋体"/>
          <w:sz w:val="24"/>
        </w:rPr>
      </w:pPr>
      <w:r>
        <w:rPr>
          <w:rFonts w:hint="eastAsia" w:ascii="宋体" w:hAnsi="宋体" w:cs="宋体"/>
          <w:sz w:val="24"/>
        </w:rPr>
        <w:t xml:space="preserve">传   </w:t>
      </w:r>
      <w:r>
        <w:rPr>
          <w:rFonts w:hint="eastAsia" w:ascii="宋体" w:hAnsi="宋体" w:cs="宋体"/>
          <w:sz w:val="24"/>
          <w:lang w:val="en-US" w:eastAsia="zh-CN"/>
        </w:rPr>
        <w:t xml:space="preserve">     </w:t>
      </w:r>
      <w:r>
        <w:rPr>
          <w:rFonts w:hint="eastAsia" w:ascii="宋体" w:hAnsi="宋体" w:cs="宋体"/>
          <w:sz w:val="24"/>
        </w:rPr>
        <w:t xml:space="preserve">真：</w:t>
      </w:r>
      <w:r/>
    </w:p>
    <w:p>
      <w:pPr>
        <w:ind w:firstLine="480"/>
        <w:jc w:val="left"/>
        <w:spacing w:line="500" w:lineRule="exact"/>
        <w:rPr>
          <w:rFonts w:ascii="宋体" w:hAnsi="宋体" w:cs="宋体"/>
          <w:sz w:val="24"/>
        </w:rPr>
      </w:pPr>
      <w:r>
        <w:rPr>
          <w:rFonts w:hint="eastAsia" w:ascii="宋体" w:hAnsi="宋体" w:cs="宋体"/>
          <w:sz w:val="24"/>
        </w:rPr>
        <w:t xml:space="preserve">投标人开户行：</w:t>
      </w:r>
      <w:r/>
    </w:p>
    <w:p>
      <w:pPr>
        <w:ind w:firstLine="480"/>
        <w:jc w:val="left"/>
        <w:spacing w:line="500" w:lineRule="exact"/>
        <w:rPr>
          <w:rFonts w:ascii="宋体" w:hAnsi="宋体" w:cs="宋体"/>
          <w:sz w:val="24"/>
        </w:rPr>
      </w:pPr>
      <w:r>
        <w:rPr>
          <w:rFonts w:hint="eastAsia" w:ascii="宋体" w:hAnsi="宋体" w:cs="宋体"/>
          <w:sz w:val="24"/>
        </w:rPr>
        <w:t xml:space="preserve">账        号： </w:t>
      </w:r>
      <w:r/>
    </w:p>
    <w:p>
      <w:pPr>
        <w:ind w:firstLine="480"/>
        <w:jc w:val="left"/>
        <w:spacing w:line="500" w:lineRule="exact"/>
      </w:pPr>
      <w:r>
        <w:rPr>
          <w:rFonts w:hint="eastAsia" w:ascii="宋体" w:hAnsi="宋体" w:cs="宋体"/>
          <w:sz w:val="24"/>
        </w:rPr>
        <w:t xml:space="preserve">日        期：______年____月____日</w:t>
      </w:r>
      <w:r>
        <w:t xml:space="preserve"> </w:t>
      </w:r>
      <w:r/>
    </w:p>
    <w:p>
      <w:pPr>
        <w:pStyle w:val="868"/>
        <w:ind w:firstLine="240"/>
        <w:jc w:val="center"/>
        <w:spacing w:beforeAutospacing="0" w:afterAutospacing="0" w:line="0" w:lineRule="atLeast"/>
      </w:pPr>
      <w:r>
        <w:t xml:space="preserve"> </w:t>
      </w:r>
      <w:r/>
    </w:p>
    <w:p>
      <w:pPr>
        <w:pStyle w:val="868"/>
        <w:ind w:firstLine="240"/>
        <w:jc w:val="center"/>
        <w:spacing w:beforeAutospacing="0" w:afterAutospacing="0" w:line="0" w:lineRule="atLeast"/>
      </w:pPr>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 九、中小企业声明函（服务）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rPr>
        <w:t xml:space="preserve">盐城市数据局</w:t>
      </w:r>
      <w:r>
        <w:rPr>
          <w:rFonts w:hint="eastAsia" w:ascii="宋体" w:hAnsi="宋体" w:cs="宋体"/>
          <w:sz w:val="24"/>
        </w:rPr>
        <w:t xml:space="preserve">，</w:t>
      </w:r>
      <w:r>
        <w:rPr>
          <w:rFonts w:ascii="宋体" w:hAnsi="宋体" w:cs="宋体"/>
          <w:sz w:val="24"/>
        </w:rPr>
        <w:t xml:space="preserve">采购编号</w:t>
      </w:r>
      <w:r>
        <w:rPr>
          <w:rFonts w:hint="eastAsia" w:ascii="宋体" w:hAnsi="宋体" w:cs="宋体"/>
          <w:sz w:val="24"/>
        </w:rPr>
        <w:t xml:space="preserve">为</w:t>
      </w:r>
      <w:r>
        <w:rPr>
          <w:rFonts w:hint="eastAsia" w:ascii="宋体" w:hAnsi="宋体" w:cs="宋体"/>
          <w:sz w:val="24"/>
          <w:u w:val="single"/>
          <w:lang w:eastAsia="zh-CN"/>
        </w:rPr>
        <w:t xml:space="preserve">JSZC-320900-JZCG-C2026-0050</w:t>
      </w:r>
      <w:r>
        <w:rPr>
          <w:rFonts w:ascii="宋体" w:hAnsi="宋体" w:cs="宋体"/>
          <w:sz w:val="24"/>
        </w:rPr>
        <w:t xml:space="preserve">，</w:t>
      </w:r>
      <w:r>
        <w:rPr>
          <w:rFonts w:hint="eastAsia" w:ascii="宋体" w:hAnsi="宋体" w:eastAsia="宋体" w:cs="宋体"/>
          <w:sz w:val="24"/>
          <w:szCs w:val="20"/>
          <w:u w:val="single"/>
        </w:rPr>
        <w:t xml:space="preserve">盐城市12345平台呼叫中心服务项目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jc w:val="center"/>
        <w:widowControl/>
        <w:rPr>
          <w:rFonts w:ascii="黑体" w:hAnsi="黑体" w:eastAsia="黑体" w:cs="黑体"/>
          <w:i/>
          <w:sz w:val="32"/>
          <w:szCs w:val="32"/>
          <w:u w:val="single"/>
        </w:rPr>
      </w:pPr>
      <w:r>
        <w:rPr>
          <w:rFonts w:ascii="黑体" w:hAnsi="黑体" w:eastAsia="黑体" w:cs="黑体"/>
          <w:i/>
          <w:sz w:val="32"/>
          <w:szCs w:val="32"/>
        </w:rPr>
        <w:br w:type="page" w:clear="all"/>
      </w:r>
      <w:r>
        <w:rPr>
          <w:rFonts w:hint="eastAsia" w:ascii="黑体" w:hAnsi="黑体" w:eastAsia="黑体" w:cs="黑体"/>
          <w:i/>
          <w:sz w:val="32"/>
          <w:szCs w:val="32"/>
          <w:u w:val="single"/>
        </w:rPr>
        <w:t xml:space="preserve">十、残疾人福利性单位声明函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盐城市数据局</w:t>
      </w:r>
      <w:r>
        <w:rPr>
          <w:rFonts w:hint="eastAsia" w:ascii="宋体" w:hAnsi="宋体" w:cs="宋体"/>
          <w:sz w:val="24"/>
        </w:rPr>
        <w:t xml:space="preserve">的采购文件编号为</w:t>
      </w:r>
      <w:r>
        <w:rPr>
          <w:rFonts w:hint="eastAsia" w:ascii="宋体" w:hAnsi="宋体" w:cs="宋体"/>
          <w:sz w:val="24"/>
          <w:u w:val="single"/>
          <w:lang w:eastAsia="zh-CN"/>
        </w:rPr>
        <w:t xml:space="preserve">JSZC-320900-JZCG-C2026-0050</w:t>
      </w:r>
      <w:r>
        <w:rPr>
          <w:rFonts w:hint="eastAsia" w:ascii="宋体" w:hAnsi="宋体" w:cs="宋体"/>
          <w:sz w:val="24"/>
        </w:rPr>
        <w:t xml:space="preserve">的</w:t>
      </w:r>
      <w:r>
        <w:rPr>
          <w:rFonts w:hint="eastAsia" w:ascii="宋体" w:hAnsi="宋体" w:eastAsia="宋体" w:cs="宋体"/>
          <w:sz w:val="24"/>
          <w:szCs w:val="20"/>
          <w:u w:val="single"/>
        </w:rPr>
        <w:t xml:space="preserve">盐城市12345平台呼叫中心服务项目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2"/>
        <w:jc w:val="left"/>
        <w:spacing w:line="500" w:lineRule="exact"/>
        <w:rPr>
          <w:rFonts w:ascii="宋体" w:hAnsi="宋体" w:cs="宋体"/>
          <w:sz w:val="24"/>
        </w:rPr>
      </w:pPr>
      <w:r>
        <w:rPr>
          <w:rFonts w:ascii="宋体" w:hAnsi="宋体" w:cs="宋体"/>
          <w:sz w:val="24"/>
        </w:rPr>
      </w:r>
      <w:r/>
    </w:p>
    <w:p>
      <w:pPr>
        <w:ind w:firstLine="482"/>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ascii="宋体" w:hAnsi="宋体" w:cs="宋体"/>
          <w:sz w:val="24"/>
        </w:rPr>
      </w:pPr>
      <w:r>
        <w:rPr>
          <w:rFonts w:ascii="宋体" w:hAnsi="宋体" w:cs="宋体"/>
          <w:sz w:val="24"/>
        </w:rPr>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right="480" w:firstLine="480"/>
        <w:jc w:val="right"/>
        <w:spacing w:line="520" w:lineRule="exact"/>
        <w:rPr>
          <w:rFonts w:ascii="宋体" w:hAnsi="宋体" w:cs="宋体"/>
          <w:sz w:val="24"/>
        </w:rPr>
      </w:pPr>
      <w:r>
        <w:rPr>
          <w:rFonts w:hint="eastAsia" w:ascii="宋体" w:hAnsi="宋体" w:cs="宋体"/>
          <w:sz w:val="24"/>
        </w:rPr>
        <w:t xml:space="preserve">企业名称（加盖CA电子公章）：        </w:t>
      </w:r>
      <w:r/>
    </w:p>
    <w:p>
      <w:pPr>
        <w:ind w:right="480" w:firstLine="480"/>
        <w:jc w:val="right"/>
        <w:spacing w:line="520" w:lineRule="exact"/>
        <w:rPr>
          <w:rFonts w:ascii="宋体" w:hAnsi="宋体" w:cs="宋体"/>
          <w:sz w:val="24"/>
        </w:rPr>
      </w:pPr>
      <w:r>
        <w:rPr>
          <w:rFonts w:hint="eastAsia" w:ascii="宋体" w:hAnsi="宋体" w:cs="宋体"/>
          <w:sz w:val="24"/>
        </w:rPr>
        <w:t xml:space="preserve">日  期：        </w:t>
      </w:r>
      <w:r/>
    </w:p>
    <w:p>
      <w:pPr>
        <w:ind w:right="480" w:firstLine="480"/>
        <w:spacing w:line="520" w:lineRule="exact"/>
      </w:pPr>
      <w:r>
        <w:t xml:space="preserve"> </w:t>
      </w:r>
      <w:r/>
    </w:p>
    <w:p>
      <w:pPr>
        <w:jc w:val="center"/>
        <w:rPr>
          <w:rFonts w:ascii="黑体" w:hAnsi="黑体" w:eastAsia="黑体" w:cs="黑体"/>
          <w:i/>
          <w:sz w:val="32"/>
          <w:szCs w:val="32"/>
          <w:u w:val="single"/>
        </w:rPr>
      </w:pPr>
      <w:r>
        <w:rPr>
          <w:rFonts w:ascii="方正小标宋_GBK" w:hAnsi="宋体" w:eastAsia="方正小标宋_GBK" w:cs="黑体"/>
          <w:iCs/>
          <w:sz w:val="30"/>
          <w:szCs w:val="30"/>
        </w:rPr>
        <w:br w:type="page" w:clear="all"/>
      </w:r>
      <w:r>
        <w:rPr>
          <w:rFonts w:hint="eastAsia" w:ascii="黑体" w:hAnsi="黑体" w:eastAsia="黑体" w:cs="黑体"/>
          <w:i/>
          <w:sz w:val="32"/>
          <w:szCs w:val="32"/>
          <w:u w:val="single"/>
        </w:rPr>
        <w:t xml:space="preserve">十一、投标分项报价表</w:t>
      </w:r>
      <w:r/>
    </w:p>
    <w:tbl>
      <w:tblPr>
        <w:tblStyle w:val="860"/>
        <w:tblW w:w="0" w:type="auto"/>
        <w:tblCellSpacing w:w="0"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11"/>
        <w:gridCol w:w="1296"/>
        <w:gridCol w:w="1244"/>
        <w:gridCol w:w="1214"/>
        <w:gridCol w:w="1319"/>
        <w:gridCol w:w="1497"/>
      </w:tblGrid>
      <w:tr>
        <w:trPr>
          <w:tblCellSpacing w:w="0" w:type="dxa"/>
          <w:trHeight w:val="691"/>
        </w:trPr>
        <w:tc>
          <w:tcPr>
            <w:tcW w:w="839" w:type="dxa"/>
            <w:vAlign w:val="center"/>
            <w:vMerge w:val="restart"/>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311"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296"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244"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214"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4</w:t>
            </w:r>
            <w:r/>
          </w:p>
        </w:tc>
        <w:tc>
          <w:tcPr>
            <w:tcW w:w="1319"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5</w:t>
            </w:r>
            <w:r/>
          </w:p>
        </w:tc>
        <w:tc>
          <w:tcPr>
            <w:tcW w:w="1497"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6</w:t>
            </w:r>
            <w:r/>
          </w:p>
        </w:tc>
      </w:tr>
      <w:tr>
        <w:trPr>
          <w:tblCellSpacing w:w="0" w:type="dxa"/>
          <w:trHeight w:val="1198"/>
        </w:trPr>
        <w:tc>
          <w:tcPr>
            <w:tcW w:w="839" w:type="dxa"/>
            <w:vAlign w:val="center"/>
            <w:vMerge w:val="continue"/>
            <w:textDirection w:val="lrTb"/>
            <w:noWrap/>
          </w:tcPr>
          <w:p>
            <w:pPr>
              <w:rPr>
                <w:rFonts w:ascii="宋体" w:hAnsi="宋体" w:cs="宋体"/>
                <w:sz w:val="24"/>
              </w:rPr>
            </w:pPr>
            <w:r>
              <w:rPr>
                <w:rFonts w:ascii="宋体" w:hAnsi="宋体" w:cs="宋体"/>
                <w:sz w:val="24"/>
              </w:rPr>
            </w:r>
            <w:r/>
          </w:p>
        </w:tc>
        <w:tc>
          <w:tcPr>
            <w:tcW w:w="1311"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分项服务名称</w:t>
            </w:r>
            <w:r/>
          </w:p>
        </w:tc>
        <w:tc>
          <w:tcPr>
            <w:tcW w:w="1296"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交付期</w:t>
            </w:r>
            <w:r/>
          </w:p>
        </w:tc>
        <w:tc>
          <w:tcPr>
            <w:tcW w:w="1244"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分项单位</w:t>
            </w:r>
            <w:r/>
          </w:p>
        </w:tc>
        <w:tc>
          <w:tcPr>
            <w:tcW w:w="1214"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数量</w:t>
            </w:r>
            <w:r/>
          </w:p>
        </w:tc>
        <w:tc>
          <w:tcPr>
            <w:tcW w:w="1319"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分项</w:t>
            </w:r>
            <w:r/>
          </w:p>
          <w:p>
            <w:pPr>
              <w:pStyle w:val="881"/>
              <w:jc w:val="center"/>
              <w:rPr>
                <w:rFonts w:ascii="宋体" w:hAnsi="宋体" w:eastAsia="宋体" w:cs="宋体"/>
                <w:sz w:val="24"/>
                <w:szCs w:val="24"/>
              </w:rPr>
            </w:pPr>
            <w:r>
              <w:rPr>
                <w:rFonts w:hint="eastAsia" w:ascii="宋体" w:hAnsi="宋体" w:eastAsia="宋体" w:cs="宋体"/>
                <w:sz w:val="24"/>
                <w:szCs w:val="24"/>
              </w:rPr>
              <w:t xml:space="preserve">单价</w:t>
            </w:r>
            <w:r/>
          </w:p>
        </w:tc>
        <w:tc>
          <w:tcPr>
            <w:tcW w:w="1497"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分项</w:t>
            </w:r>
            <w:r/>
          </w:p>
          <w:p>
            <w:pPr>
              <w:pStyle w:val="881"/>
              <w:jc w:val="center"/>
              <w:rPr>
                <w:rFonts w:ascii="宋体" w:hAnsi="宋体" w:eastAsia="宋体" w:cs="宋体"/>
                <w:sz w:val="24"/>
                <w:szCs w:val="24"/>
              </w:rPr>
            </w:pPr>
            <w:r>
              <w:rPr>
                <w:rFonts w:hint="eastAsia" w:ascii="宋体" w:hAnsi="宋体" w:eastAsia="宋体" w:cs="宋体"/>
                <w:sz w:val="24"/>
                <w:szCs w:val="24"/>
              </w:rPr>
              <w:t xml:space="preserve">总价</w:t>
            </w:r>
            <w:r/>
          </w:p>
        </w:tc>
      </w:tr>
      <w:tr>
        <w:trPr>
          <w:tblCellSpacing w:w="0" w:type="dxa"/>
          <w:trHeight w:val="812"/>
        </w:trPr>
        <w:tc>
          <w:tcPr>
            <w:tcW w:w="839"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311"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96"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44"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14"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319"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497"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812"/>
        </w:trPr>
        <w:tc>
          <w:tcPr>
            <w:tcW w:w="839"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311"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96"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44"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14"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319"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497"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812"/>
        </w:trPr>
        <w:tc>
          <w:tcPr>
            <w:tcW w:w="839"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311"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96"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44"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14"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319"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497"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812"/>
        </w:trPr>
        <w:tc>
          <w:tcPr>
            <w:tcW w:w="839"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w:t>
            </w:r>
            <w:r/>
          </w:p>
        </w:tc>
        <w:tc>
          <w:tcPr>
            <w:tcW w:w="1311"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w:t>
            </w:r>
            <w:r/>
          </w:p>
        </w:tc>
        <w:tc>
          <w:tcPr>
            <w:tcW w:w="1296"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44"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214"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319"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c>
          <w:tcPr>
            <w:tcW w:w="1497"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91"/>
        </w:trPr>
        <w:tc>
          <w:tcPr>
            <w:gridSpan w:val="6"/>
            <w:tcW w:w="7223"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总投标报价（人民币：元）</w:t>
            </w:r>
            <w:r/>
          </w:p>
        </w:tc>
        <w:tc>
          <w:tcPr>
            <w:tcW w:w="1497" w:type="dxa"/>
            <w:vAlign w:val="center"/>
            <w:textDirection w:val="lrTb"/>
            <w:noWrap/>
          </w:tcPr>
          <w:p>
            <w:pPr>
              <w:pStyle w:val="881"/>
              <w:jc w:val="center"/>
              <w:rPr>
                <w:rFonts w:ascii="宋体" w:hAnsi="宋体" w:eastAsia="宋体" w:cs="宋体"/>
                <w:sz w:val="24"/>
                <w:szCs w:val="24"/>
              </w:rPr>
            </w:pPr>
            <w:r>
              <w:rPr>
                <w:rFonts w:hint="eastAsia" w:ascii="宋体" w:hAnsi="宋体" w:eastAsia="宋体" w:cs="宋体"/>
                <w:sz w:val="24"/>
                <w:szCs w:val="24"/>
              </w:rPr>
              <w:t xml:space="preserve"> </w:t>
            </w:r>
            <w:r/>
          </w:p>
        </w:tc>
      </w:tr>
    </w:tbl>
    <w:p>
      <w:pPr>
        <w:pStyle w:val="881"/>
        <w:jc w:val="both"/>
        <w:spacing w:line="560" w:lineRule="exact"/>
        <w:rPr>
          <w:rFonts w:ascii="宋体" w:hAnsi="宋体" w:eastAsia="宋体" w:cs="宋体"/>
          <w:sz w:val="24"/>
          <w:szCs w:val="24"/>
        </w:rPr>
      </w:pPr>
      <w:r>
        <w:rPr>
          <w:rFonts w:hint="eastAsia" w:ascii="宋体" w:hAnsi="宋体" w:eastAsia="宋体" w:cs="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2.“投标分项报价表”中“投标总报价”数额应当与“开标一览表”中“投标总报价”数额一致。</w:t>
      </w:r>
      <w:r/>
    </w:p>
    <w:p>
      <w:pPr>
        <w:pStyle w:val="881"/>
        <w:widowControl/>
        <w:rPr>
          <w:rFonts w:ascii="宋体" w:hAnsi="宋体" w:eastAsia="宋体"/>
          <w:sz w:val="28"/>
          <w:szCs w:val="28"/>
        </w:rPr>
      </w:pPr>
      <w:r>
        <w:rPr>
          <w:rFonts w:ascii="宋体" w:hAnsi="宋体" w:eastAsia="宋体"/>
          <w:sz w:val="28"/>
          <w:szCs w:val="28"/>
        </w:rPr>
      </w:r>
      <w:r/>
    </w:p>
    <w:p>
      <w:pPr>
        <w:jc w:val="center"/>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十二、技术要求响应及偏离表</w:t>
      </w:r>
      <w:r/>
    </w:p>
    <w:tbl>
      <w:tblPr>
        <w:tblStyle w:val="860"/>
        <w:tblpPr w:horzAnchor="page" w:tblpX="1630" w:vertAnchor="text" w:tblpY="39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75"/>
      </w:tblGrid>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序号</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lang w:val="en-US" w:eastAsia="zh-CN"/>
              </w:rPr>
              <w:t xml:space="preserve">磋商</w:t>
            </w:r>
            <w:r>
              <w:rPr>
                <w:rFonts w:hint="eastAsia" w:ascii="宋体" w:hAnsi="宋体" w:cs="宋体"/>
                <w:sz w:val="24"/>
              </w:rPr>
              <w:t xml:space="preserve">文件要求</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响应情况</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超出、符合或偏离</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证明材料</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2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75"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bl>
    <w:p>
      <w:pPr>
        <w:pStyle w:val="881"/>
        <w:widowControl/>
        <w:rPr>
          <w:rFonts w:ascii="宋体" w:hAnsi="宋体" w:eastAsia="宋体" w:cs="宋体"/>
          <w:sz w:val="24"/>
          <w:szCs w:val="24"/>
        </w:rPr>
      </w:pPr>
      <w:r>
        <w:rPr>
          <w:rFonts w:hint="eastAsia" w:ascii="宋体" w:hAnsi="宋体" w:eastAsia="宋体" w:cs="宋体"/>
          <w:sz w:val="24"/>
          <w:szCs w:val="24"/>
        </w:rPr>
        <w:t xml:space="preserve">注：行数不够，可自行添加。</w:t>
      </w:r>
      <w:r/>
    </w:p>
    <w:p>
      <w:pPr>
        <w:pStyle w:val="881"/>
        <w:widowControl/>
        <w:rPr>
          <w:rFonts w:ascii="宋体" w:hAnsi="宋体" w:eastAsia="宋体"/>
        </w:rPr>
      </w:pPr>
      <w:r>
        <w:rPr>
          <w:rFonts w:ascii="宋体" w:hAnsi="宋体" w:eastAsia="宋体"/>
        </w:rPr>
      </w:r>
      <w:r/>
    </w:p>
    <w:p>
      <w:pPr>
        <w:jc w:val="center"/>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十三、商务要求响应及偏离表</w:t>
      </w:r>
      <w:r/>
    </w:p>
    <w:tbl>
      <w:tblPr>
        <w:tblStyle w:val="860"/>
        <w:tblpPr w:horzAnchor="page" w:tblpX="1738" w:vertAnchor="text" w:tblpY="39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02"/>
      </w:tblGrid>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序号</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lang w:val="en-US" w:eastAsia="zh-CN"/>
              </w:rPr>
              <w:t xml:space="preserve">磋商</w:t>
            </w:r>
            <w:r>
              <w:rPr>
                <w:rFonts w:hint="eastAsia" w:ascii="宋体" w:hAnsi="宋体" w:cs="宋体"/>
                <w:sz w:val="24"/>
              </w:rPr>
              <w:t xml:space="preserve">文件要求</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响应情况</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超出、符合或偏离</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证明材料</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1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r>
        <w:trPr>
          <w:trHeight w:val="820"/>
        </w:trPr>
        <w:tc>
          <w:tcPr>
            <w:tcW w:w="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900"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w:t>
            </w:r>
            <w:r/>
          </w:p>
        </w:tc>
        <w:tc>
          <w:tcPr>
            <w:tcW w:w="2006"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2304"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c>
          <w:tcPr>
            <w:tcW w:w="1502"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　</w:t>
            </w:r>
            <w:r/>
          </w:p>
        </w:tc>
      </w:tr>
    </w:tbl>
    <w:p>
      <w:pPr>
        <w:pStyle w:val="881"/>
        <w:widowControl/>
        <w:rPr>
          <w:rFonts w:ascii="宋体" w:hAnsi="宋体" w:eastAsia="宋体" w:cs="宋体"/>
          <w:sz w:val="24"/>
          <w:szCs w:val="24"/>
        </w:rPr>
      </w:pPr>
      <w:r>
        <w:rPr>
          <w:rFonts w:hint="eastAsia" w:ascii="宋体" w:hAnsi="宋体" w:eastAsia="宋体" w:cs="宋体"/>
          <w:sz w:val="24"/>
          <w:szCs w:val="24"/>
        </w:rPr>
        <w:t xml:space="preserve">注：行数不够，可自行添加。</w:t>
      </w:r>
      <w:r/>
    </w:p>
    <w:p>
      <w:pPr>
        <w:pStyle w:val="881"/>
        <w:jc w:val="center"/>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jc w:val="center"/>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szCs w:val="32"/>
          <w:u w:val="single"/>
        </w:rPr>
        <w:br w:type="page" w:clear="all"/>
      </w:r>
      <w:r/>
    </w:p>
    <w:p>
      <w:pPr>
        <w:pStyle w:val="868"/>
        <w:ind w:left="0" w:right="0" w:firstLine="2570"/>
        <w:jc w:val="both"/>
        <w:keepLines w:val="0"/>
        <w:keepNext w:val="0"/>
        <w:spacing w:before="120" w:beforeAutospacing="0" w:after="120" w:afterAutospacing="0" w:line="0" w:lineRule="atLeast"/>
        <w:widowControl w:val="off"/>
        <w:rPr>
          <w:rFonts w:hint="eastAsia" w:ascii="黑体" w:hAnsi="黑体" w:eastAsia="黑体" w:cs="黑体"/>
          <w:i/>
          <w:sz w:val="32"/>
          <w:szCs w:val="32"/>
          <w:u w:val="single"/>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黑体" w:hAnsi="黑体" w:eastAsia="黑体" w:cs="黑体"/>
          <w:i/>
          <w:sz w:val="32"/>
          <w:szCs w:val="32"/>
          <w:u w:val="single"/>
          <w:lang w:val="en-US" w:eastAsia="zh-CN" w:bidi="ar-SA"/>
        </w:rPr>
        <w:t xml:space="preserve">十四、</w:t>
      </w:r>
      <w:r>
        <w:rPr>
          <w:rFonts w:hint="default" w:ascii="黑体" w:hAnsi="黑体" w:eastAsia="黑体" w:cs="黑体"/>
          <w:i/>
          <w:sz w:val="32"/>
          <w:szCs w:val="32"/>
          <w:u w:val="single"/>
          <w:lang w:val="en-US" w:eastAsia="zh-CN" w:bidi="ar-SA"/>
        </w:rPr>
        <w:t xml:space="preserve">磋商报价表</w:t>
      </w:r>
      <w:r/>
    </w:p>
    <w:p>
      <w:pPr>
        <w:pStyle w:val="868"/>
        <w:jc w:val="both"/>
        <w:keepLines w:val="0"/>
        <w:keepNext w:val="0"/>
        <w:spacing w:before="240" w:beforeAutospacing="0" w:after="24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highlight w:val="none"/>
        </w:rPr>
        <w:t xml:space="preserve">本次为首次报价                                  </w:t>
      </w:r>
      <w:r>
        <w:rPr>
          <w:rFonts w:hint="eastAsia" w:ascii="Arial" w:hAnsi="Arial" w:cs="Arial"/>
          <w:color w:val="auto"/>
          <w:sz w:val="24"/>
          <w:szCs w:val="24"/>
          <w:highlight w:val="none"/>
          <w:lang w:val="en-US" w:eastAsia="zh-CN"/>
        </w:rPr>
        <w:t xml:space="preserve">             </w:t>
      </w:r>
      <w:r>
        <w:rPr>
          <w:rFonts w:ascii="Arial" w:hAnsi="Arial" w:cs="Arial"/>
          <w:color w:val="auto"/>
          <w:sz w:val="24"/>
          <w:szCs w:val="24"/>
          <w:highlight w:val="none"/>
        </w:rPr>
        <w:t xml:space="preserve">货币单位：人民币元</w:t>
      </w:r>
      <w:r/>
    </w:p>
    <w:p>
      <w:pPr>
        <w:pStyle w:val="868"/>
        <w:jc w:val="both"/>
        <w:keepLines w:val="0"/>
        <w:keepNext w:val="0"/>
        <w:spacing w:before="240" w:beforeAutospacing="0" w:after="240" w:afterAutospacing="0"/>
        <w:widowControl w:val="off"/>
        <w:rPr>
          <w:rFonts w:hint="eastAsia" w:eastAsiaTheme="minorEastAsia"/>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auto"/>
          <w:sz w:val="24"/>
          <w:szCs w:val="24"/>
          <w:highlight w:val="none"/>
        </w:rPr>
        <w:t xml:space="preserve">项目编号：</w:t>
      </w:r>
      <w:r>
        <w:rPr>
          <w:rFonts w:hint="eastAsia" w:ascii="宋体" w:hAnsi="宋体" w:eastAsia="宋体" w:cs="宋体"/>
          <w:color w:val="000000"/>
          <w:sz w:val="24"/>
          <w:lang w:eastAsia="zh-CN"/>
        </w:rPr>
        <w:t xml:space="preserve">JSZC-320900-JZCG-C2026-0050</w:t>
      </w:r>
      <w:r/>
    </w:p>
    <w:tbl>
      <w:tblPr>
        <w:tblStyle w:val="860"/>
        <w:tblW w:w="8727" w:type="dxa"/>
        <w:tblCellSpacing w:w="0" w:type="dxa"/>
        <w:tblInd w:w="30" w:type="dxa"/>
        <w:tblLayout w:type="fixed"/>
        <w:tblCellMar>
          <w:left w:w="108" w:type="dxa"/>
          <w:top w:w="0" w:type="dxa"/>
          <w:right w:w="108" w:type="dxa"/>
          <w:bottom w:w="0" w:type="dxa"/>
        </w:tblCellMar>
        <w:tblLook w:val="04A0" w:firstRow="1" w:lastRow="0" w:firstColumn="1" w:lastColumn="0" w:noHBand="0" w:noVBand="1"/>
      </w:tblPr>
      <w:tblGrid>
        <w:gridCol w:w="2844"/>
        <w:gridCol w:w="3116"/>
        <w:gridCol w:w="2767"/>
      </w:tblGrid>
      <w:tr>
        <w:trPr>
          <w:tblCellSpacing w:w="0" w:type="dxa"/>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44" w:type="dxa"/>
            <w:vAlign w:val="center"/>
            <w:textDirection w:val="lrTb"/>
            <w:noWrap w:val="false"/>
          </w:tcPr>
          <w:p>
            <w:pPr>
              <w:pStyle w:val="868"/>
              <w:jc w:val="center"/>
              <w:keepLines w:val="0"/>
              <w:keepNext w:val="0"/>
              <w:spacing w:before="240" w:beforeAutospacing="0" w:after="240" w:afterAutospacing="0"/>
              <w:widowControl w:val="off"/>
              <w:rPr>
                <w:rFonts w:ascii="Calibri" w:hAnsi="Calibri" w:eastAsia="Arial"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eastAsia="Arial" w:cs="Arial"/>
                <w:color w:val="auto"/>
                <w:sz w:val="24"/>
                <w:szCs w:val="24"/>
                <w:highlight w:val="none"/>
                <w:lang w:val="en-US" w:eastAsia="zh-CN" w:bidi="ar-SA"/>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116" w:type="dxa"/>
            <w:vAlign w:val="center"/>
            <w:textDirection w:val="lrTb"/>
            <w:noWrap w:val="false"/>
          </w:tcPr>
          <w:p>
            <w:pPr>
              <w:pStyle w:val="868"/>
              <w:jc w:val="center"/>
              <w:keepLines w:val="0"/>
              <w:keepNext w:val="0"/>
              <w:spacing w:before="240" w:beforeAutospacing="0" w:after="240" w:afterAutospacing="0"/>
              <w:widowControl w:val="off"/>
              <w:rPr>
                <w:rFonts w:ascii="Calibri" w:hAnsi="Calibri" w:eastAsia="Arial"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eastAsia="Arial" w:cs="Arial"/>
                <w:color w:val="auto"/>
                <w:sz w:val="24"/>
                <w:szCs w:val="24"/>
                <w:highlight w:val="none"/>
                <w:lang w:val="en-US" w:eastAsia="zh-CN" w:bidi="ar-SA"/>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67" w:type="dxa"/>
            <w:vAlign w:val="center"/>
            <w:textDirection w:val="lrTb"/>
            <w:noWrap w:val="false"/>
          </w:tcPr>
          <w:p>
            <w:pPr>
              <w:pStyle w:val="868"/>
              <w:jc w:val="center"/>
              <w:keepLines w:val="0"/>
              <w:keepNext w:val="0"/>
              <w:spacing w:before="240" w:beforeAutospacing="0" w:after="240" w:afterAutospacing="0"/>
              <w:widowControl w:val="off"/>
              <w:rPr>
                <w:rFonts w:ascii="Calibri" w:hAnsi="Calibri" w:eastAsia="Arial"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eastAsia="Arial" w:cs="Arial"/>
                <w:color w:val="auto"/>
                <w:sz w:val="24"/>
                <w:szCs w:val="24"/>
                <w:highlight w:val="none"/>
                <w:lang w:val="en-US" w:eastAsia="zh-CN" w:bidi="ar-SA"/>
              </w:rPr>
              <w:t xml:space="preserve">总价（小写）</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44" w:type="dxa"/>
            <w:vAlign w:val="center"/>
            <w:textDirection w:val="lrTb"/>
            <w:noWrap w:val="false"/>
          </w:tcPr>
          <w:p>
            <w:pPr>
              <w:pStyle w:val="868"/>
              <w:jc w:val="center"/>
              <w:keepLines w:val="0"/>
              <w:keepNext w:val="0"/>
              <w:spacing w:before="240" w:beforeAutospacing="0" w:after="240" w:afterAutospacing="0"/>
              <w:widowControl w:val="off"/>
              <w:rPr>
                <w:rFonts w:ascii="Calibri" w:hAnsi="Calibri" w:eastAsia="Arial"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0"/>
              </w:rPr>
              <w:t xml:space="preserve">盐城市12345平台呼叫中心服务项目</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116" w:type="dxa"/>
            <w:vAlign w:val="center"/>
            <w:textDirection w:val="lrTb"/>
            <w:noWrap w:val="false"/>
          </w:tcPr>
          <w:p>
            <w:pPr>
              <w:pStyle w:val="868"/>
              <w:jc w:val="center"/>
              <w:keepLines w:val="0"/>
              <w:keepNext w:val="0"/>
              <w:spacing w:before="240" w:beforeAutospacing="0" w:after="240" w:afterAutospacing="0"/>
              <w:widowControl w:val="off"/>
              <w:rPr>
                <w:rFonts w:ascii="Calibri" w:hAnsi="Calibri" w:eastAsia="Arial"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eastAsia="Arial" w:cs="Arial"/>
                <w:color w:val="auto"/>
                <w:sz w:val="24"/>
                <w:szCs w:val="24"/>
                <w:highlight w:val="none"/>
                <w:lang w:val="en-US" w:eastAsia="zh-CN" w:bidi="ar-SA"/>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67" w:type="dxa"/>
            <w:vAlign w:val="center"/>
            <w:textDirection w:val="lrTb"/>
            <w:noWrap w:val="false"/>
          </w:tcPr>
          <w:p>
            <w:pPr>
              <w:pStyle w:val="868"/>
              <w:jc w:val="center"/>
              <w:keepLines w:val="0"/>
              <w:keepNext w:val="0"/>
              <w:spacing w:before="240" w:beforeAutospacing="0" w:after="240" w:afterAutospacing="0"/>
              <w:widowControl w:val="off"/>
              <w:rPr>
                <w:rFonts w:ascii="Calibri" w:hAnsi="Calibri" w:eastAsia="Arial"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eastAsia="Arial" w:cs="Arial"/>
                <w:color w:val="auto"/>
                <w:sz w:val="24"/>
                <w:szCs w:val="24"/>
                <w:highlight w:val="none"/>
                <w:lang w:val="en-US" w:eastAsia="zh-CN" w:bidi="ar-SA"/>
              </w:rPr>
              <w:t xml:space="preserve">元</w:t>
            </w:r>
            <w:r/>
          </w:p>
        </w:tc>
      </w:tr>
      <w:tr>
        <w:trPr>
          <w:tblCellSpacing w:w="0" w:type="dxa"/>
          <w:trHeight w:val="101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44" w:type="dxa"/>
            <w:vAlign w:val="center"/>
            <w:textDirection w:val="lrTb"/>
            <w:noWrap w:val="false"/>
          </w:tcPr>
          <w:p>
            <w:pPr>
              <w:pStyle w:val="868"/>
              <w:jc w:val="center"/>
              <w:keepLines w:val="0"/>
              <w:keepNext w:val="0"/>
              <w:spacing w:before="240" w:beforeAutospacing="0" w:after="240" w:afterAutospacing="0"/>
              <w:widowControl w:val="off"/>
              <w:rPr>
                <w:rFonts w:ascii="Calibri" w:hAnsi="Calibri" w:eastAsia="Arial"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eastAsia="Arial" w:cs="Arial"/>
                <w:color w:val="auto"/>
                <w:sz w:val="24"/>
                <w:szCs w:val="24"/>
                <w:highlight w:val="none"/>
                <w:lang w:val="en-US" w:eastAsia="zh-CN" w:bidi="ar-SA"/>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883" w:type="dxa"/>
            <w:vAlign w:val="center"/>
            <w:textDirection w:val="lrTb"/>
            <w:noWrap w:val="false"/>
          </w:tcPr>
          <w:p>
            <w:pPr>
              <w:pStyle w:val="868"/>
              <w:jc w:val="center"/>
              <w:keepLines w:val="0"/>
              <w:keepNext w:val="0"/>
              <w:spacing w:before="240" w:beforeAutospacing="0" w:after="240" w:afterAutospacing="0"/>
              <w:widowControl w:val="off"/>
              <w:rPr>
                <w:rFonts w:ascii="Calibri" w:hAnsi="Calibri" w:eastAsia="Arial"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eastAsia="Arial" w:cs="Arial"/>
                <w:color w:val="auto"/>
                <w:sz w:val="24"/>
                <w:szCs w:val="24"/>
                <w:highlight w:val="none"/>
                <w:lang w:val="en-US" w:eastAsia="zh-CN" w:bidi="ar-SA"/>
              </w:rPr>
              <w:t xml:space="preserve">金额大写</w:t>
            </w:r>
            <w:r/>
          </w:p>
        </w:tc>
      </w:tr>
    </w:tbl>
    <w:p>
      <w:pPr>
        <w:pStyle w:val="868"/>
        <w:keepLines w:val="0"/>
        <w:keepNext w:val="0"/>
        <w:spacing w:before="240" w:beforeAutospacing="0" w:after="24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auto"/>
          <w:sz w:val="24"/>
          <w:szCs w:val="24"/>
          <w:highlight w:val="none"/>
        </w:rPr>
        <w:t xml:space="preserve">报价说明:</w:t>
      </w:r>
      <w:r/>
    </w:p>
    <w:p>
      <w:pPr>
        <w:pStyle w:val="868"/>
        <w:keepLines w:val="0"/>
        <w:keepNext w:val="0"/>
        <w:spacing w:before="240" w:beforeAutospacing="0" w:after="24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pStyle w:val="868"/>
        <w:keepLines w:val="0"/>
        <w:keepNext w:val="0"/>
        <w:spacing w:before="240" w:beforeAutospacing="0" w:after="24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2、报价以总价为准，大小写不一致以大写为准。</w:t>
      </w:r>
      <w:r/>
    </w:p>
    <w:p>
      <w:pPr>
        <w:pStyle w:val="868"/>
        <w:keepLines w:val="0"/>
        <w:keepNext w:val="0"/>
        <w:spacing w:before="240" w:beforeAutospacing="0" w:after="24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3、偏离说明:详见《偏离表》。    </w:t>
      </w:r>
      <w:r>
        <w:rPr>
          <w:rFonts w:hint="default" w:ascii="Arial" w:hAnsi="Arial" w:cs="Arial"/>
          <w:color w:val="auto"/>
          <w:sz w:val="24"/>
          <w:szCs w:val="24"/>
          <w:highlight w:val="none"/>
        </w:rPr>
        <w:t xml:space="preserve">                                   </w:t>
      </w:r>
      <w:r/>
    </w:p>
    <w:p>
      <w:pPr>
        <w:pStyle w:val="868"/>
        <w:jc w:val="center"/>
        <w:keepLines w:val="0"/>
        <w:keepNext w:val="0"/>
        <w:spacing w:before="240" w:beforeAutospacing="0" w:after="24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868"/>
        <w:jc w:val="center"/>
        <w:keepLines w:val="0"/>
        <w:keepNext w:val="0"/>
        <w:spacing w:before="240" w:beforeAutospacing="0" w:after="24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868"/>
        <w:jc w:val="center"/>
        <w:keepLines w:val="0"/>
        <w:keepNext w:val="0"/>
        <w:spacing w:before="240" w:beforeAutospacing="0" w:after="24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auto"/>
          <w:sz w:val="24"/>
          <w:szCs w:val="24"/>
          <w:highlight w:val="none"/>
        </w:rPr>
        <w:t xml:space="preserve">                                     </w:t>
      </w:r>
      <w:r>
        <w:rPr>
          <w:rFonts w:hint="eastAsia"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   </w:t>
      </w:r>
      <w:r>
        <w:rPr>
          <w:rFonts w:hint="eastAsia"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供应商（电子签章）：</w:t>
      </w:r>
      <w:r/>
    </w:p>
    <w:p>
      <w:pPr>
        <w:pStyle w:val="868"/>
        <w:jc w:val="both"/>
        <w:keepLines w:val="0"/>
        <w:keepNext w:val="0"/>
        <w:spacing w:before="240" w:beforeAutospacing="0" w:after="24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auto"/>
          <w:sz w:val="24"/>
          <w:szCs w:val="24"/>
          <w:highlight w:val="none"/>
        </w:rPr>
        <w:t xml:space="preserve">                                         </w:t>
      </w:r>
      <w:r>
        <w:rPr>
          <w:rFonts w:hint="eastAsia" w:ascii="Arial" w:hAnsi="Arial" w:cs="Arial"/>
          <w:color w:val="auto"/>
          <w:sz w:val="24"/>
          <w:szCs w:val="24"/>
          <w:highlight w:val="none"/>
          <w:lang w:val="en-US" w:eastAsia="zh-CN"/>
        </w:rPr>
        <w:t xml:space="preserve">                           </w:t>
      </w:r>
      <w:r>
        <w:rPr>
          <w:rFonts w:hint="default" w:ascii="Arial" w:hAnsi="Arial" w:cs="Arial"/>
          <w:color w:val="auto"/>
          <w:sz w:val="24"/>
          <w:szCs w:val="24"/>
          <w:highlight w:val="none"/>
        </w:rPr>
        <w:t xml:space="preserve"> 日期：    年    月    日</w:t>
      </w:r>
      <w:r/>
    </w:p>
    <w:p>
      <w:pPr>
        <w:pStyle w:val="868"/>
        <w:jc w:val="both"/>
        <w:keepLines w:val="0"/>
        <w:keepNext w:val="0"/>
        <w:spacing w:before="240" w:beforeAutospacing="0" w:after="24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auto"/>
          <w:sz w:val="24"/>
          <w:szCs w:val="24"/>
          <w:highlight w:val="none"/>
        </w:rPr>
        <w:t xml:space="preserve"> </w:t>
      </w:r>
      <w:r/>
    </w:p>
    <w:p>
      <w:pPr>
        <w:pStyle w:val="868"/>
        <w:ind w:firstLine="480"/>
        <w:jc w:val="both"/>
        <w:keepLines w:val="0"/>
        <w:keepNext w:val="0"/>
        <w:pageBreakBefore w:val="0"/>
        <w:spacing w:beforeAutospacing="0" w:afterAutospacing="0" w:line="500" w:lineRule="exact"/>
        <w:widowControl w:val="off"/>
        <w:rPr>
          <w:color w:val="auto"/>
          <w:highlight w:val="none"/>
        </w:rPr>
      </w:pPr>
      <w:r>
        <w:rPr>
          <w:color w:val="auto"/>
          <w:highlight w:val="none"/>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83"/>
        <w:ind w:right="279" w:firstLine="480"/>
        <w:jc w:val="right"/>
        <w:spacing w:beforeAutospacing="0" w:afterAutospacing="0"/>
      </w:pPr>
      <w:r>
        <w:rPr>
          <w:rFonts w:hint="eastAsia"/>
        </w:rPr>
        <w:t xml:space="preserve">                                </w:t>
      </w:r>
      <w:r/>
    </w:p>
    <w:p>
      <w:pPr>
        <w:jc w:val="center"/>
        <w:rPr>
          <w:rFonts w:ascii="黑体" w:hAnsi="黑体" w:eastAsia="黑体" w:cs="黑体"/>
          <w:i/>
          <w:sz w:val="32"/>
          <w:szCs w:val="32"/>
          <w:u w:val="single"/>
        </w:rPr>
      </w:pPr>
      <w:r>
        <w:rPr>
          <w:rFonts w:ascii="黑体" w:hAnsi="黑体" w:eastAsia="黑体" w:cs="黑体"/>
          <w:i/>
          <w:sz w:val="32"/>
          <w:szCs w:val="32"/>
          <w:u w:val="single"/>
        </w:rPr>
        <w:br w:type="page" w:clear="all"/>
      </w:r>
      <w:r>
        <w:rPr>
          <w:rFonts w:hint="eastAsia" w:ascii="黑体" w:hAnsi="黑体" w:eastAsia="黑体" w:cs="黑体"/>
          <w:i/>
          <w:sz w:val="32"/>
          <w:szCs w:val="32"/>
          <w:u w:val="single"/>
        </w:rPr>
        <w:t xml:space="preserve">十五、技术方案、服务承诺、培训承诺等</w:t>
      </w:r>
      <w:r/>
    </w:p>
    <w:p>
      <w:pPr>
        <w:jc w:val="center"/>
        <w:spacing w:line="499" w:lineRule="atLeast"/>
        <w:widowControl/>
        <w:rPr>
          <w:rFonts w:ascii="宋体" w:hAnsi="宋体" w:cs="Times New Roman"/>
          <w:sz w:val="32"/>
          <w:szCs w:val="32"/>
        </w:rPr>
      </w:pPr>
      <w:r>
        <w:rPr>
          <w:rFonts w:ascii="宋体" w:hAnsi="宋体" w:cs="Times New Roman"/>
          <w:sz w:val="32"/>
          <w:szCs w:val="32"/>
        </w:rPr>
      </w:r>
      <w:r/>
    </w:p>
    <w:p>
      <w:pPr>
        <w:jc w:val="center"/>
        <w:spacing w:line="499" w:lineRule="atLeast"/>
        <w:widowControl/>
        <w:rPr>
          <w:rFonts w:ascii="宋体" w:hAnsi="宋体" w:cs="Times New Roman"/>
          <w:sz w:val="32"/>
          <w:szCs w:val="32"/>
        </w:rPr>
      </w:pPr>
      <w:r>
        <w:rPr>
          <w:rFonts w:ascii="宋体" w:hAnsi="宋体" w:cs="Times New Roman"/>
          <w:sz w:val="32"/>
          <w:szCs w:val="32"/>
        </w:rPr>
      </w:r>
      <w:r/>
    </w:p>
    <w:p>
      <w:pPr>
        <w:jc w:val="center"/>
        <w:spacing w:line="499" w:lineRule="atLeast"/>
        <w:widowControl/>
        <w:rPr>
          <w:rFonts w:ascii="宋体" w:hAnsi="宋体" w:cs="Times New Roman"/>
          <w:sz w:val="32"/>
          <w:szCs w:val="32"/>
        </w:rPr>
      </w:pPr>
      <w:r>
        <w:rPr>
          <w:rFonts w:ascii="宋体" w:hAnsi="宋体" w:cs="Times New Roman"/>
          <w:sz w:val="32"/>
          <w:szCs w:val="32"/>
        </w:rPr>
      </w:r>
      <w:r/>
    </w:p>
    <w:p>
      <w:pPr>
        <w:widowControl/>
        <w:rPr>
          <w:rFonts w:ascii="黑体" w:hAnsi="黑体" w:eastAsia="黑体" w:cs="黑体"/>
          <w:i/>
          <w:sz w:val="32"/>
          <w:szCs w:val="32"/>
          <w:u w:val="single"/>
        </w:rPr>
      </w:pPr>
      <w:r>
        <w:rPr>
          <w:rFonts w:ascii="黑体" w:hAnsi="黑体" w:eastAsia="黑体" w:cs="黑体"/>
          <w:i/>
          <w:sz w:val="32"/>
          <w:szCs w:val="32"/>
          <w:u w:val="single"/>
        </w:rPr>
      </w:r>
      <w:r/>
    </w:p>
    <w:p>
      <w:pPr>
        <w:jc w:val="center"/>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十六、盐城市政府采购事前信用承诺书</w:t>
      </w:r>
      <w:r/>
    </w:p>
    <w:p>
      <w:pPr>
        <w:ind w:firstLine="440"/>
        <w:spacing w:line="520" w:lineRule="exact"/>
        <w:widowControl/>
        <w:rPr>
          <w:sz w:val="24"/>
        </w:rPr>
      </w:pPr>
      <w:r>
        <w:rPr>
          <w:rFonts w:hint="eastAsia"/>
          <w:sz w:val="24"/>
        </w:rPr>
        <w:t xml:space="preserve">为营造我市公开、公平、公正、诚实守信的政府采购交易环境，树立诚信守法的投标人形象，本人代表本单位作出以下承诺：</w:t>
      </w:r>
      <w:r/>
    </w:p>
    <w:p>
      <w:pPr>
        <w:ind w:firstLine="440"/>
        <w:spacing w:line="520" w:lineRule="exact"/>
        <w:widowControl/>
        <w:rPr>
          <w:sz w:val="24"/>
        </w:rPr>
      </w:pPr>
      <w:r>
        <w:rPr>
          <w:rFonts w:hint="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sz w:val="24"/>
        </w:rPr>
      </w:pPr>
      <w:r>
        <w:rPr>
          <w:rFonts w:hint="eastAsia"/>
          <w:sz w:val="24"/>
        </w:rPr>
        <w:t xml:space="preserve">（三）严格依照国家和省、市关于政府采购的法律、法规、规章、规范性文件，参加政府采购投标活动；积极履行社会责任，促进廉政建设； </w:t>
      </w:r>
      <w:r/>
    </w:p>
    <w:p>
      <w:pPr>
        <w:ind w:firstLine="440"/>
        <w:spacing w:line="520" w:lineRule="exact"/>
        <w:widowControl/>
        <w:rPr>
          <w:sz w:val="24"/>
        </w:rPr>
      </w:pPr>
      <w:r>
        <w:rPr>
          <w:rFonts w:hint="eastAsia"/>
          <w:sz w:val="24"/>
        </w:rPr>
        <w:t xml:space="preserve">（四）严格遵守即时信息公示规定，及时维护和更新盐城市政府采购网中与本单位相关的信息；</w:t>
      </w:r>
      <w:r/>
    </w:p>
    <w:p>
      <w:pPr>
        <w:ind w:firstLine="440"/>
        <w:spacing w:line="520" w:lineRule="exact"/>
        <w:widowControl/>
        <w:rPr>
          <w:sz w:val="24"/>
        </w:rPr>
      </w:pPr>
      <w:r>
        <w:rPr>
          <w:rFonts w:hint="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sz w:val="24"/>
        </w:rPr>
        <w:outlineLvl w:val="2"/>
      </w:pPr>
      <w:r>
        <w:rPr>
          <w:rFonts w:hint="eastAsia"/>
          <w:sz w:val="24"/>
        </w:rPr>
        <w:t xml:space="preserve">（六）自觉接受政府、行业组织、社会公众、新闻舆论的监督；</w:t>
      </w:r>
      <w:r/>
    </w:p>
    <w:p>
      <w:pPr>
        <w:ind w:firstLine="440"/>
        <w:spacing w:line="520" w:lineRule="exact"/>
        <w:widowControl/>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sz w:val="24"/>
        </w:rPr>
        <w:outlineLvl w:val="2"/>
      </w:pPr>
      <w:r>
        <w:rPr>
          <w:rFonts w:hint="eastAsia"/>
          <w:sz w:val="24"/>
        </w:rPr>
        <w:t xml:space="preserve">（八）本人已认真阅读了上述承诺，并向本单位员工做了宣传教育。</w:t>
      </w:r>
      <w:r/>
    </w:p>
    <w:p>
      <w:pPr>
        <w:ind w:firstLine="440"/>
        <w:spacing w:line="520" w:lineRule="exact"/>
        <w:widowControl/>
        <w:rPr>
          <w:sz w:val="24"/>
        </w:rPr>
      </w:pPr>
      <w:r>
        <w:rPr>
          <w:sz w:val="24"/>
        </w:rPr>
      </w:r>
      <w:r/>
    </w:p>
    <w:p>
      <w:pPr>
        <w:ind w:firstLine="440"/>
        <w:jc w:val="right"/>
        <w:spacing w:line="520" w:lineRule="exact"/>
        <w:widowControl/>
        <w:rPr>
          <w:sz w:val="24"/>
        </w:rPr>
      </w:pPr>
      <w:r>
        <w:rPr>
          <w:rFonts w:hint="eastAsia"/>
          <w:sz w:val="24"/>
        </w:rPr>
        <w:t xml:space="preserve"> 法定代表人（签名）：          </w:t>
      </w:r>
      <w:r/>
    </w:p>
    <w:p>
      <w:pPr>
        <w:ind w:firstLine="440"/>
        <w:jc w:val="right"/>
        <w:spacing w:line="520" w:lineRule="exact"/>
        <w:widowControl/>
        <w:rPr>
          <w:sz w:val="24"/>
        </w:rPr>
      </w:pPr>
      <w:r>
        <w:rPr>
          <w:rFonts w:hint="eastAsia"/>
          <w:sz w:val="24"/>
        </w:rPr>
        <w:t xml:space="preserve">单位名称（盖章）：          </w:t>
      </w:r>
      <w:r/>
    </w:p>
    <w:p>
      <w:pPr>
        <w:ind w:firstLine="440"/>
        <w:spacing w:line="520" w:lineRule="exact"/>
        <w:widowControl/>
        <w:rPr>
          <w:sz w:val="24"/>
        </w:rPr>
      </w:pPr>
      <w:r>
        <w:rPr>
          <w:rFonts w:hint="eastAsia"/>
          <w:sz w:val="24"/>
        </w:rPr>
        <w:t xml:space="preserve">                                                       年   月   日</w:t>
      </w:r>
      <w:r/>
    </w:p>
    <w:p>
      <w:pPr>
        <w:ind w:firstLine="440"/>
        <w:jc w:val="center"/>
        <w:spacing w:line="52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881"/>
        <w:ind w:firstLine="482"/>
        <w:jc w:val="both"/>
        <w:spacing w:line="420" w:lineRule="exact"/>
        <w:widowControl/>
        <w:rPr>
          <w:rFonts w:ascii="宋体" w:hAnsi="宋体" w:eastAsia="宋体" w:cs="宋体"/>
          <w:b/>
          <w:bCs/>
          <w:sz w:val="24"/>
          <w:szCs w:val="24"/>
        </w:rPr>
        <w:outlineLvl w:val="1"/>
      </w:pPr>
      <w:r>
        <w:rPr>
          <w:rFonts w:hint="eastAsia" w:ascii="宋体" w:hAnsi="宋体" w:eastAsia="宋体" w:cs="宋体"/>
          <w:bCs/>
          <w:sz w:val="24"/>
          <w:szCs w:val="24"/>
        </w:rPr>
        <w:t xml:space="preserve">一、质疑供应商基本信息</w:t>
      </w:r>
      <w:r/>
    </w:p>
    <w:p>
      <w:pPr>
        <w:pStyle w:val="88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质疑供应商：</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p>
    <w:p>
      <w:pPr>
        <w:pStyle w:val="881"/>
        <w:ind w:firstLine="482"/>
        <w:jc w:val="both"/>
        <w:spacing w:line="420" w:lineRule="exact"/>
        <w:widowControl/>
        <w:rPr>
          <w:rFonts w:ascii="宋体" w:hAnsi="宋体" w:eastAsia="宋体" w:cs="宋体"/>
          <w:b/>
          <w:bCs/>
          <w:sz w:val="24"/>
          <w:szCs w:val="24"/>
          <w:u w:val="single"/>
        </w:rPr>
      </w:pPr>
      <w:r>
        <w:rPr>
          <w:rFonts w:hint="eastAsia" w:ascii="宋体" w:hAnsi="宋体" w:eastAsia="宋体" w:cs="宋体"/>
          <w:bCs/>
          <w:sz w:val="24"/>
          <w:szCs w:val="24"/>
        </w:rPr>
        <w:t xml:space="preserve">地址：</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p>
    <w:p>
      <w:pPr>
        <w:pStyle w:val="881"/>
        <w:ind w:firstLine="482"/>
        <w:jc w:val="both"/>
        <w:spacing w:line="420" w:lineRule="exact"/>
        <w:widowControl/>
        <w:rPr>
          <w:rFonts w:ascii="宋体" w:hAnsi="宋体" w:eastAsia="宋体" w:cs="宋体"/>
          <w:sz w:val="24"/>
          <w:szCs w:val="24"/>
        </w:rPr>
      </w:pPr>
      <w:r>
        <w:rPr>
          <w:rFonts w:hint="eastAsia" w:ascii="宋体" w:hAnsi="宋体" w:eastAsia="宋体" w:cs="宋体"/>
          <w:bCs/>
          <w:sz w:val="24"/>
          <w:szCs w:val="24"/>
        </w:rPr>
        <w:t xml:space="preserve">邮编：</w:t>
      </w:r>
      <w:r/>
    </w:p>
    <w:p>
      <w:pPr>
        <w:pStyle w:val="881"/>
        <w:ind w:firstLine="482"/>
        <w:jc w:val="both"/>
        <w:spacing w:line="420" w:lineRule="exact"/>
        <w:widowControl/>
        <w:rPr>
          <w:rFonts w:ascii="宋体" w:hAnsi="宋体" w:eastAsia="宋体" w:cs="宋体"/>
          <w:b/>
          <w:bCs/>
          <w:sz w:val="24"/>
          <w:szCs w:val="24"/>
          <w:u w:val="single"/>
        </w:rPr>
      </w:pPr>
      <w:r>
        <w:rPr>
          <w:rFonts w:hint="eastAsia" w:ascii="宋体" w:hAnsi="宋体" w:eastAsia="宋体" w:cs="宋体"/>
          <w:bCs/>
          <w:sz w:val="24"/>
          <w:szCs w:val="24"/>
        </w:rPr>
        <w:t xml:space="preserve">联系人：</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p>
    <w:p>
      <w:pPr>
        <w:pStyle w:val="88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联系电话：</w:t>
      </w:r>
      <w:r>
        <w:rPr>
          <w:rFonts w:hint="eastAsia" w:ascii="宋体" w:hAnsi="宋体" w:eastAsia="宋体" w:cs="宋体"/>
          <w:bCs/>
          <w:sz w:val="24"/>
          <w:szCs w:val="24"/>
          <w:u w:val="single"/>
        </w:rPr>
        <w:t xml:space="preserve">                            </w:t>
      </w:r>
      <w:r/>
    </w:p>
    <w:p>
      <w:pPr>
        <w:pStyle w:val="88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授权代表：</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p>
    <w:p>
      <w:pPr>
        <w:pStyle w:val="88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联系电话：</w:t>
      </w:r>
      <w:r/>
    </w:p>
    <w:p>
      <w:pPr>
        <w:pStyle w:val="881"/>
        <w:ind w:firstLine="482"/>
        <w:jc w:val="both"/>
        <w:spacing w:line="420" w:lineRule="exact"/>
        <w:widowControl/>
        <w:rPr>
          <w:rFonts w:ascii="宋体" w:hAnsi="宋体" w:eastAsia="宋体" w:cs="宋体"/>
          <w:b/>
          <w:bCs/>
          <w:sz w:val="24"/>
          <w:szCs w:val="24"/>
          <w:u w:val="single"/>
        </w:rPr>
      </w:pPr>
      <w:r>
        <w:rPr>
          <w:rFonts w:hint="eastAsia" w:ascii="宋体" w:hAnsi="宋体" w:eastAsia="宋体" w:cs="宋体"/>
          <w:bCs/>
          <w:sz w:val="24"/>
          <w:szCs w:val="24"/>
        </w:rPr>
        <w:t xml:space="preserve">地址：</w:t>
      </w:r>
      <w:r/>
    </w:p>
    <w:p>
      <w:pPr>
        <w:pStyle w:val="88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邮编：</w:t>
      </w:r>
      <w:r/>
    </w:p>
    <w:p>
      <w:pPr>
        <w:pStyle w:val="881"/>
        <w:ind w:firstLine="482"/>
        <w:jc w:val="both"/>
        <w:spacing w:line="420" w:lineRule="exact"/>
        <w:widowControl/>
        <w:rPr>
          <w:rFonts w:ascii="宋体" w:hAnsi="宋体" w:eastAsia="宋体" w:cs="宋体"/>
          <w:b/>
          <w:bCs/>
          <w:sz w:val="24"/>
          <w:szCs w:val="24"/>
        </w:rPr>
        <w:outlineLvl w:val="1"/>
      </w:pPr>
      <w:r>
        <w:rPr>
          <w:rFonts w:hint="eastAsia" w:ascii="宋体" w:hAnsi="宋体" w:eastAsia="宋体" w:cs="宋体"/>
          <w:bCs/>
          <w:sz w:val="24"/>
          <w:szCs w:val="24"/>
        </w:rPr>
        <w:t xml:space="preserve">二、质疑项目基本情况</w:t>
      </w:r>
      <w:r/>
    </w:p>
    <w:p>
      <w:pPr>
        <w:pStyle w:val="88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质疑项目的名称：</w:t>
      </w:r>
      <w:r/>
    </w:p>
    <w:p>
      <w:pPr>
        <w:pStyle w:val="881"/>
        <w:ind w:firstLine="482"/>
        <w:jc w:val="both"/>
        <w:spacing w:line="420" w:lineRule="exact"/>
        <w:widowControl/>
        <w:rPr>
          <w:rFonts w:ascii="宋体" w:hAnsi="宋体" w:eastAsia="宋体" w:cs="宋体"/>
          <w:b/>
          <w:bCs/>
          <w:sz w:val="24"/>
          <w:szCs w:val="24"/>
          <w:u w:val="single"/>
        </w:rPr>
      </w:pPr>
      <w:r>
        <w:rPr>
          <w:rFonts w:hint="eastAsia" w:ascii="宋体" w:hAnsi="宋体" w:eastAsia="宋体" w:cs="宋体"/>
          <w:bCs/>
          <w:sz w:val="24"/>
          <w:szCs w:val="24"/>
        </w:rPr>
        <w:t xml:space="preserve">质疑项目的编号：</w:t>
      </w:r>
      <w:r>
        <w:rPr>
          <w:rFonts w:hint="eastAsia" w:ascii="宋体" w:hAnsi="宋体" w:eastAsia="宋体" w:cs="宋体"/>
          <w:bCs/>
          <w:sz w:val="24"/>
          <w:szCs w:val="24"/>
          <w:u w:val="single"/>
        </w:rPr>
        <w:t xml:space="preserve">                        </w:t>
      </w:r>
      <w:r/>
    </w:p>
    <w:p>
      <w:pPr>
        <w:pStyle w:val="88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包号：</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rPr>
        <w:tab/>
      </w:r>
      <w:r>
        <w:rPr>
          <w:rFonts w:hint="eastAsia" w:ascii="宋体" w:hAnsi="宋体" w:eastAsia="宋体" w:cs="宋体"/>
          <w:bCs/>
          <w:sz w:val="24"/>
          <w:szCs w:val="24"/>
          <w:u w:val="single"/>
        </w:rPr>
        <w:tab/>
      </w:r>
      <w:r/>
    </w:p>
    <w:p>
      <w:pPr>
        <w:pStyle w:val="88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采购人名称：</w:t>
      </w:r>
      <w:r>
        <w:rPr>
          <w:rFonts w:hint="eastAsia" w:ascii="宋体" w:hAnsi="宋体" w:eastAsia="宋体" w:cs="宋体"/>
          <w:bCs/>
          <w:sz w:val="24"/>
          <w:szCs w:val="24"/>
          <w:u w:val="single"/>
        </w:rPr>
        <w:t xml:space="preserve">                              </w:t>
      </w:r>
      <w:r/>
    </w:p>
    <w:p>
      <w:pPr>
        <w:pStyle w:val="88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采购文件获取日期：</w:t>
      </w:r>
      <w:r>
        <w:rPr>
          <w:rFonts w:hint="eastAsia" w:ascii="宋体" w:hAnsi="宋体" w:eastAsia="宋体" w:cs="宋体"/>
          <w:bCs/>
          <w:sz w:val="24"/>
          <w:szCs w:val="24"/>
          <w:u w:val="single"/>
        </w:rPr>
        <w:t xml:space="preserve">                    </w:t>
      </w:r>
      <w:r/>
    </w:p>
    <w:p>
      <w:pPr>
        <w:pStyle w:val="881"/>
        <w:ind w:firstLine="482"/>
        <w:jc w:val="both"/>
        <w:spacing w:line="420" w:lineRule="exact"/>
        <w:widowControl/>
        <w:rPr>
          <w:rFonts w:ascii="宋体" w:hAnsi="宋体" w:eastAsia="宋体" w:cs="宋体"/>
          <w:b/>
          <w:bCs/>
          <w:sz w:val="24"/>
          <w:szCs w:val="24"/>
        </w:rPr>
        <w:outlineLvl w:val="1"/>
      </w:pPr>
      <w:r>
        <w:rPr>
          <w:rFonts w:hint="eastAsia" w:ascii="宋体" w:hAnsi="宋体" w:eastAsia="宋体" w:cs="宋体"/>
          <w:bCs/>
          <w:sz w:val="24"/>
          <w:szCs w:val="24"/>
        </w:rPr>
        <w:t xml:space="preserve">三、质疑事项具体内容</w:t>
      </w:r>
      <w:r/>
    </w:p>
    <w:p>
      <w:pPr>
        <w:pStyle w:val="88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质疑事项1：</w:t>
      </w:r>
      <w:r>
        <w:rPr>
          <w:rFonts w:hint="eastAsia" w:ascii="宋体" w:hAnsi="宋体" w:eastAsia="宋体" w:cs="宋体"/>
          <w:bCs/>
          <w:sz w:val="24"/>
          <w:szCs w:val="24"/>
          <w:u w:val="single"/>
        </w:rPr>
        <w:t xml:space="preserve">                              </w:t>
      </w:r>
      <w:r/>
    </w:p>
    <w:p>
      <w:pPr>
        <w:pStyle w:val="881"/>
        <w:ind w:firstLine="482"/>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事实依据：</w:t>
      </w:r>
      <w:r>
        <w:rPr>
          <w:rFonts w:hint="eastAsia" w:ascii="宋体" w:hAnsi="宋体" w:eastAsia="宋体" w:cs="宋体"/>
          <w:bCs/>
          <w:sz w:val="24"/>
          <w:szCs w:val="24"/>
          <w:u w:val="single"/>
        </w:rPr>
        <w:t xml:space="preserve">                                           </w:t>
      </w:r>
      <w:r/>
    </w:p>
    <w:p>
      <w:pPr>
        <w:pStyle w:val="88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法律依据：</w:t>
      </w:r>
      <w:r>
        <w:rPr>
          <w:rFonts w:hint="eastAsia" w:ascii="宋体" w:hAnsi="宋体" w:eastAsia="宋体" w:cs="宋体"/>
          <w:bCs/>
          <w:sz w:val="24"/>
          <w:szCs w:val="24"/>
          <w:u w:val="single"/>
        </w:rPr>
        <w:t xml:space="preserve">                                          </w:t>
      </w:r>
      <w:r/>
    </w:p>
    <w:p>
      <w:pPr>
        <w:pStyle w:val="88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质疑事项2</w:t>
      </w:r>
      <w:r/>
    </w:p>
    <w:p>
      <w:pPr>
        <w:pStyle w:val="88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w:t>
      </w:r>
      <w:r/>
    </w:p>
    <w:p>
      <w:pPr>
        <w:pStyle w:val="881"/>
        <w:ind w:firstLine="482"/>
        <w:jc w:val="both"/>
        <w:spacing w:line="420" w:lineRule="exact"/>
        <w:widowControl/>
        <w:rPr>
          <w:rFonts w:ascii="宋体" w:hAnsi="宋体" w:eastAsia="宋体" w:cs="宋体"/>
          <w:b/>
          <w:bCs/>
          <w:sz w:val="24"/>
          <w:szCs w:val="24"/>
        </w:rPr>
        <w:outlineLvl w:val="1"/>
      </w:pPr>
      <w:r>
        <w:rPr>
          <w:rFonts w:hint="eastAsia" w:ascii="宋体" w:hAnsi="宋体" w:eastAsia="宋体" w:cs="宋体"/>
          <w:bCs/>
          <w:sz w:val="24"/>
          <w:szCs w:val="24"/>
        </w:rPr>
        <w:t xml:space="preserve">四、与质疑事项相关的质疑请求</w:t>
      </w:r>
      <w:r/>
    </w:p>
    <w:p>
      <w:pPr>
        <w:pStyle w:val="88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请求：</w:t>
      </w:r>
      <w:r>
        <w:rPr>
          <w:rFonts w:hint="eastAsia" w:ascii="宋体" w:hAnsi="宋体" w:eastAsia="宋体" w:cs="宋体"/>
          <w:bCs/>
          <w:sz w:val="24"/>
          <w:szCs w:val="24"/>
          <w:u w:val="single"/>
        </w:rPr>
        <w:t xml:space="preserve">                                               </w:t>
      </w:r>
      <w:r/>
    </w:p>
    <w:p>
      <w:pPr>
        <w:pStyle w:val="88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签字（签章）：          公章：               日期：    </w:t>
      </w:r>
      <w:r/>
    </w:p>
    <w:p>
      <w:pPr>
        <w:pStyle w:val="881"/>
        <w:ind w:firstLine="482"/>
        <w:jc w:val="both"/>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质疑函制作说明：</w:t>
      </w:r>
      <w:r/>
    </w:p>
    <w:p>
      <w:pPr>
        <w:pStyle w:val="881"/>
        <w:ind w:firstLine="482"/>
        <w:spacing w:line="420" w:lineRule="exact"/>
        <w:widowControl/>
        <w:rPr>
          <w:rFonts w:ascii="宋体" w:hAnsi="宋体" w:eastAsia="宋体" w:cs="宋体"/>
          <w:b/>
          <w:bCs/>
          <w:sz w:val="24"/>
          <w:szCs w:val="24"/>
        </w:rPr>
        <w:outlineLvl w:val="2"/>
      </w:pPr>
      <w:r>
        <w:rPr>
          <w:rFonts w:hint="eastAsia" w:ascii="宋体" w:hAnsi="宋体" w:eastAsia="宋体" w:cs="宋体"/>
          <w:bCs/>
          <w:sz w:val="24"/>
          <w:szCs w:val="24"/>
        </w:rPr>
        <w:t xml:space="preserve">1. 供应商提出质疑时，应提交质疑函和必要的证明材料。</w:t>
      </w:r>
      <w:r/>
    </w:p>
    <w:p>
      <w:pPr>
        <w:pStyle w:val="881"/>
        <w:ind w:firstLine="482"/>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1"/>
        <w:ind w:firstLine="482"/>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3. 质疑供应商若对项目的某一分包进行质疑，质疑函中应列明具体分包号。</w:t>
      </w:r>
      <w:r/>
    </w:p>
    <w:p>
      <w:pPr>
        <w:pStyle w:val="881"/>
        <w:ind w:firstLine="482"/>
        <w:spacing w:line="420" w:lineRule="exact"/>
        <w:widowControl/>
        <w:rPr>
          <w:rFonts w:ascii="宋体" w:hAnsi="宋体" w:eastAsia="宋体" w:cs="宋体"/>
          <w:b/>
          <w:bCs/>
          <w:sz w:val="24"/>
          <w:szCs w:val="24"/>
        </w:rPr>
      </w:pPr>
      <w:r>
        <w:rPr>
          <w:rFonts w:hint="eastAsia" w:ascii="宋体" w:hAnsi="宋体" w:eastAsia="宋体" w:cs="宋体"/>
          <w:bCs/>
          <w:sz w:val="24"/>
          <w:szCs w:val="24"/>
        </w:rPr>
        <w:t xml:space="preserve">4. 质疑函的质疑事项应具体、明确，并有必要的事实依据和法律依据。</w:t>
      </w:r>
      <w:r/>
    </w:p>
    <w:p>
      <w:pPr>
        <w:pStyle w:val="881"/>
        <w:ind w:firstLine="482"/>
        <w:spacing w:line="420" w:lineRule="exact"/>
        <w:widowControl/>
        <w:rPr>
          <w:rFonts w:ascii="宋体" w:hAnsi="宋体" w:eastAsia="宋体" w:cs="宋体"/>
          <w:b/>
          <w:bCs/>
          <w:sz w:val="24"/>
          <w:szCs w:val="24"/>
        </w:rPr>
        <w:outlineLvl w:val="2"/>
      </w:pPr>
      <w:r>
        <w:rPr>
          <w:rFonts w:hint="eastAsia" w:ascii="宋体" w:hAnsi="宋体" w:eastAsia="宋体" w:cs="宋体"/>
          <w:bCs/>
          <w:sz w:val="24"/>
          <w:szCs w:val="24"/>
        </w:rPr>
        <w:t xml:space="preserve">5. 质疑函的质疑请求应与质疑事项相关。</w:t>
      </w:r>
      <w:r/>
    </w:p>
    <w:p>
      <w:pPr>
        <w:pStyle w:val="881"/>
        <w:ind w:firstLine="482"/>
        <w:spacing w:line="420" w:lineRule="exact"/>
        <w:widowControl/>
        <w:rPr>
          <w:rFonts w:ascii="宋体" w:hAnsi="宋体" w:eastAsia="宋体" w:cs="宋体"/>
          <w:bCs/>
          <w:sz w:val="24"/>
          <w:szCs w:val="24"/>
        </w:rPr>
      </w:pPr>
      <w:r>
        <w:rPr>
          <w:rFonts w:hint="eastAsia" w:ascii="宋体" w:hAnsi="宋体" w:eastAsia="宋体" w:cs="宋体"/>
          <w:bCs/>
          <w:sz w:val="24"/>
          <w:szCs w:val="24"/>
        </w:rPr>
        <w:t xml:space="preserve">6. 质疑供应商为自然人的，质疑函应由本人签字；质疑供应商为法人或者其他组织的，质疑函应由法定代表人、主要负责人，或者其授权代表签字或者盖章，并加盖公章。</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bookmarkEnd w:id="6"/>
      <w:r/>
      <w:bookmarkEnd w:id="40"/>
      <w:r/>
      <w:bookmarkEnd w:id="87"/>
      <w:r/>
      <w:bookmarkEnd w:id="88"/>
      <w:r/>
      <w:bookmarkEnd w:id="89"/>
      <w:r/>
      <w:bookmarkEnd w:id="90"/>
      <w:r/>
      <w:bookmarkEnd w:id="91"/>
      <w:r/>
      <w:bookmarkEnd w:id="92"/>
      <w:r/>
      <w:bookmarkEnd w:id="93"/>
      <w:r/>
      <w:bookmarkEnd w:id="94"/>
      <w:r/>
      <w:bookmarkEnd w:id="103"/>
      <w:r/>
      <w:bookmarkEnd w:id="104"/>
      <w:r/>
      <w:bookmarkEnd w:id="111"/>
      <w:r/>
      <w:bookmarkEnd w:id="160"/>
      <w:r/>
      <w:bookmarkEnd w:id="161"/>
      <w:r/>
      <w:bookmarkEnd w:id="167"/>
      <w:r/>
      <w:bookmarkEnd w:id="168"/>
      <w:r/>
      <w:bookmarkEnd w:id="169"/>
      <w:r/>
      <w:bookmarkEnd w:id="170"/>
      <w:r/>
      <w:bookmarkEnd w:id="171"/>
      <w:r/>
      <w:bookmarkEnd w:id="172"/>
      <w:r/>
      <w:bookmarkEnd w:id="173"/>
      <w:r/>
      <w:r/>
    </w:p>
    <w:p>
      <w:r/>
      <w:r/>
    </w:p>
    <w:sectPr>
      <w:footerReference w:type="default" r:id="rId10"/>
      <w:footnotePr/>
      <w:endnotePr/>
      <w:type w:val="nextPage"/>
      <w:pgSz w:w="11906" w:h="16838" w:orient="portrait"/>
      <w:pgMar w:top="1440" w:right="1633" w:bottom="1440" w:left="1633"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等线">
    <w:panose1 w:val="02010600030101010101"/>
  </w:font>
  <w:font w:name="Calibri">
    <w:panose1 w:val="020F0502020204030204"/>
  </w:font>
  <w:font w:name="楷体_GB2312">
    <w:panose1 w:val="02010609060101010101"/>
  </w:font>
  <w:font w:name="Courier New">
    <w:panose1 w:val="02070309020205020404"/>
  </w:font>
  <w:font w:name="黑体">
    <w:panose1 w:val="02010609060101010101"/>
  </w:font>
  <w:font w:name="Verdana">
    <w:panose1 w:val="020B0604030504040204"/>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4136" cy="207105"/>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84136" cy="207104"/>
                      </a:xfrm>
                      <a:prstGeom prst="rect">
                        <a:avLst/>
                      </a:prstGeom>
                      <a:noFill/>
                      <a:ln w="6350">
                        <a:noFill/>
                      </a:ln>
                      <a:effectLst/>
                    </wps:spPr>
                    <wps:txbx>
                      <w:txbxContent>
                        <w:p>
                          <w:pPr>
                            <w:pStyle w:val="866"/>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5pt;height:16.3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cs="宋体"/>
        <w:b/>
        <w:bCs/>
        <w:sz w:val="22"/>
        <w:szCs w:val="22"/>
        <w:lang w:eastAsia="zh-CN"/>
      </w:rPr>
      <w:t xml:space="preserve">JSZC-320900-JZCG-C2026-0050</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859"/>
    <w:link w:val="857"/>
    <w:uiPriority w:val="9"/>
    <w:rPr>
      <w:rFonts w:ascii="Arial" w:hAnsi="Arial" w:eastAsia="Arial" w:cs="Arial"/>
      <w:sz w:val="40"/>
      <w:szCs w:val="40"/>
    </w:rPr>
  </w:style>
  <w:style w:type="character" w:styleId="685">
    <w:name w:val="Heading 2 Char"/>
    <w:basedOn w:val="859"/>
    <w:link w:val="858"/>
    <w:uiPriority w:val="9"/>
    <w:rPr>
      <w:rFonts w:ascii="Arial" w:hAnsi="Arial" w:eastAsia="Arial" w:cs="Arial"/>
      <w:sz w:val="34"/>
    </w:rPr>
  </w:style>
  <w:style w:type="paragraph" w:styleId="686">
    <w:name w:val="Heading 3"/>
    <w:basedOn w:val="856"/>
    <w:next w:val="856"/>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basedOn w:val="859"/>
    <w:link w:val="686"/>
    <w:uiPriority w:val="9"/>
    <w:rPr>
      <w:rFonts w:ascii="Arial" w:hAnsi="Arial" w:eastAsia="Arial" w:cs="Arial"/>
      <w:sz w:val="30"/>
      <w:szCs w:val="30"/>
    </w:rPr>
  </w:style>
  <w:style w:type="paragraph" w:styleId="688">
    <w:name w:val="Heading 4"/>
    <w:basedOn w:val="856"/>
    <w:next w:val="856"/>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basedOn w:val="859"/>
    <w:link w:val="688"/>
    <w:uiPriority w:val="9"/>
    <w:rPr>
      <w:rFonts w:ascii="Arial" w:hAnsi="Arial" w:eastAsia="Arial" w:cs="Arial"/>
      <w:b/>
      <w:bCs/>
      <w:sz w:val="26"/>
      <w:szCs w:val="26"/>
    </w:rPr>
  </w:style>
  <w:style w:type="paragraph" w:styleId="690">
    <w:name w:val="Heading 5"/>
    <w:basedOn w:val="856"/>
    <w:next w:val="856"/>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basedOn w:val="859"/>
    <w:link w:val="690"/>
    <w:uiPriority w:val="9"/>
    <w:rPr>
      <w:rFonts w:ascii="Arial" w:hAnsi="Arial" w:eastAsia="Arial" w:cs="Arial"/>
      <w:b/>
      <w:bCs/>
      <w:sz w:val="24"/>
      <w:szCs w:val="24"/>
    </w:rPr>
  </w:style>
  <w:style w:type="paragraph" w:styleId="692">
    <w:name w:val="Heading 6"/>
    <w:basedOn w:val="856"/>
    <w:next w:val="856"/>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basedOn w:val="859"/>
    <w:link w:val="692"/>
    <w:uiPriority w:val="9"/>
    <w:rPr>
      <w:rFonts w:ascii="Arial" w:hAnsi="Arial" w:eastAsia="Arial" w:cs="Arial"/>
      <w:b/>
      <w:bCs/>
      <w:sz w:val="22"/>
      <w:szCs w:val="22"/>
    </w:rPr>
  </w:style>
  <w:style w:type="paragraph" w:styleId="694">
    <w:name w:val="Heading 7"/>
    <w:basedOn w:val="856"/>
    <w:next w:val="856"/>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59"/>
    <w:link w:val="694"/>
    <w:uiPriority w:val="9"/>
    <w:rPr>
      <w:rFonts w:ascii="Arial" w:hAnsi="Arial" w:eastAsia="Arial" w:cs="Arial"/>
      <w:b/>
      <w:bCs/>
      <w:i/>
      <w:iCs/>
      <w:sz w:val="22"/>
      <w:szCs w:val="22"/>
    </w:rPr>
  </w:style>
  <w:style w:type="paragraph" w:styleId="696">
    <w:name w:val="Heading 8"/>
    <w:basedOn w:val="856"/>
    <w:next w:val="856"/>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59"/>
    <w:link w:val="696"/>
    <w:uiPriority w:val="9"/>
    <w:rPr>
      <w:rFonts w:ascii="Arial" w:hAnsi="Arial" w:eastAsia="Arial" w:cs="Arial"/>
      <w:i/>
      <w:iCs/>
      <w:sz w:val="22"/>
      <w:szCs w:val="22"/>
    </w:rPr>
  </w:style>
  <w:style w:type="paragraph" w:styleId="698">
    <w:name w:val="Heading 9"/>
    <w:basedOn w:val="856"/>
    <w:next w:val="856"/>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59"/>
    <w:link w:val="698"/>
    <w:uiPriority w:val="9"/>
    <w:rPr>
      <w:rFonts w:ascii="Arial" w:hAnsi="Arial" w:eastAsia="Arial" w:cs="Arial"/>
      <w:i/>
      <w:iCs/>
      <w:sz w:val="21"/>
      <w:szCs w:val="21"/>
    </w:rPr>
  </w:style>
  <w:style w:type="paragraph" w:styleId="700">
    <w:name w:val="No Spacing"/>
    <w:uiPriority w:val="1"/>
    <w:qFormat/>
    <w:pPr>
      <w:spacing w:before="0" w:after="0" w:line="240" w:lineRule="auto"/>
    </w:pPr>
  </w:style>
  <w:style w:type="paragraph" w:styleId="701">
    <w:name w:val="Title"/>
    <w:basedOn w:val="856"/>
    <w:next w:val="856"/>
    <w:link w:val="702"/>
    <w:uiPriority w:val="10"/>
    <w:qFormat/>
    <w:pPr>
      <w:contextualSpacing/>
      <w:spacing w:before="300" w:after="200"/>
    </w:pPr>
    <w:rPr>
      <w:sz w:val="48"/>
      <w:szCs w:val="48"/>
    </w:rPr>
  </w:style>
  <w:style w:type="character" w:styleId="702">
    <w:name w:val="Title Char"/>
    <w:basedOn w:val="859"/>
    <w:link w:val="701"/>
    <w:uiPriority w:val="10"/>
    <w:rPr>
      <w:sz w:val="48"/>
      <w:szCs w:val="48"/>
    </w:rPr>
  </w:style>
  <w:style w:type="paragraph" w:styleId="703">
    <w:name w:val="Subtitle"/>
    <w:basedOn w:val="856"/>
    <w:next w:val="856"/>
    <w:link w:val="704"/>
    <w:uiPriority w:val="11"/>
    <w:qFormat/>
    <w:pPr>
      <w:spacing w:before="200" w:after="200"/>
    </w:pPr>
    <w:rPr>
      <w:sz w:val="24"/>
      <w:szCs w:val="24"/>
    </w:rPr>
  </w:style>
  <w:style w:type="character" w:styleId="704">
    <w:name w:val="Subtitle Char"/>
    <w:basedOn w:val="859"/>
    <w:link w:val="703"/>
    <w:uiPriority w:val="11"/>
    <w:rPr>
      <w:sz w:val="24"/>
      <w:szCs w:val="24"/>
    </w:rPr>
  </w:style>
  <w:style w:type="paragraph" w:styleId="705">
    <w:name w:val="Quote"/>
    <w:basedOn w:val="856"/>
    <w:next w:val="856"/>
    <w:link w:val="706"/>
    <w:uiPriority w:val="29"/>
    <w:qFormat/>
    <w:pPr>
      <w:ind w:left="720" w:right="720"/>
    </w:pPr>
    <w:rPr>
      <w:i/>
    </w:rPr>
  </w:style>
  <w:style w:type="character" w:styleId="706">
    <w:name w:val="Quote Char"/>
    <w:link w:val="705"/>
    <w:uiPriority w:val="29"/>
    <w:rPr>
      <w:i/>
    </w:rPr>
  </w:style>
  <w:style w:type="paragraph" w:styleId="707">
    <w:name w:val="Intense Quote"/>
    <w:basedOn w:val="856"/>
    <w:next w:val="856"/>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9"/>
    <w:link w:val="867"/>
    <w:uiPriority w:val="99"/>
  </w:style>
  <w:style w:type="character" w:styleId="710">
    <w:name w:val="Footer Char"/>
    <w:basedOn w:val="859"/>
    <w:link w:val="866"/>
    <w:uiPriority w:val="99"/>
  </w:style>
  <w:style w:type="paragraph" w:styleId="711">
    <w:name w:val="Caption"/>
    <w:basedOn w:val="856"/>
    <w:next w:val="856"/>
    <w:uiPriority w:val="35"/>
    <w:semiHidden/>
    <w:unhideWhenUsed/>
    <w:qFormat/>
    <w:pPr>
      <w:spacing w:line="276" w:lineRule="auto"/>
    </w:pPr>
    <w:rPr>
      <w:b/>
      <w:bCs/>
      <w:color w:val="4f81bd" w:themeColor="accent1"/>
      <w:sz w:val="18"/>
      <w:szCs w:val="18"/>
    </w:rPr>
  </w:style>
  <w:style w:type="character" w:styleId="712">
    <w:name w:val="Caption Char"/>
    <w:basedOn w:val="711"/>
    <w:link w:val="866"/>
    <w:uiPriority w:val="99"/>
  </w:style>
  <w:style w:type="table" w:styleId="713">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9">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0">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1">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2">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3">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4">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1">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4">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5">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6">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7">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8">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9">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1">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2">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3">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4">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5">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6">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5">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6">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7">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8">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9">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0">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2">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3">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4">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5">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6">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7">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9">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3">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6">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7">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8">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9">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0">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1">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59"/>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59"/>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7">
    <w:name w:val="Heading 1"/>
    <w:basedOn w:val="856"/>
    <w:next w:val="856"/>
    <w:uiPriority w:val="0"/>
    <w:qFormat/>
    <w:pPr>
      <w:jc w:val="left"/>
      <w:spacing w:beforeAutospacing="1" w:afterAutospacing="1"/>
      <w:outlineLvl w:val="0"/>
    </w:pPr>
    <w:rPr>
      <w:rFonts w:hint="eastAsia" w:ascii="宋体" w:hAnsi="宋体" w:eastAsia="宋体" w:cs="Times New Roman"/>
      <w:b/>
      <w:bCs/>
      <w:sz w:val="48"/>
      <w:szCs w:val="48"/>
    </w:rPr>
  </w:style>
  <w:style w:type="paragraph" w:styleId="858">
    <w:name w:val="Heading 2"/>
    <w:basedOn w:val="856"/>
    <w:next w:val="856"/>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Note Heading"/>
    <w:basedOn w:val="856"/>
    <w:next w:val="856"/>
    <w:uiPriority w:val="0"/>
    <w:qFormat/>
    <w:rPr>
      <w:rFonts w:ascii="Verdana" w:hAnsi="Verdana"/>
      <w:szCs w:val="20"/>
    </w:rPr>
  </w:style>
  <w:style w:type="paragraph" w:styleId="862">
    <w:name w:val="annotation text"/>
    <w:basedOn w:val="856"/>
    <w:link w:val="885"/>
    <w:uiPriority w:val="0"/>
    <w:qFormat/>
    <w:pPr>
      <w:jc w:val="left"/>
    </w:pPr>
  </w:style>
  <w:style w:type="paragraph" w:styleId="863">
    <w:name w:val="Block Text"/>
    <w:basedOn w:val="856"/>
    <w:uiPriority w:val="0"/>
    <w:qFormat/>
    <w:pPr>
      <w:ind w:left="1440" w:right="1440"/>
      <w:spacing w:after="120"/>
      <w:tabs>
        <w:tab w:val="left" w:pos="9000" w:leader="none"/>
      </w:tabs>
    </w:pPr>
  </w:style>
  <w:style w:type="paragraph" w:styleId="864">
    <w:name w:val="Plain Text"/>
    <w:basedOn w:val="856"/>
    <w:uiPriority w:val="0"/>
    <w:qFormat/>
    <w:pPr>
      <w:jc w:val="left"/>
      <w:widowControl/>
    </w:pPr>
    <w:rPr>
      <w:rFonts w:hAnsi="Courier New" w:eastAsia="楷体_GB2312"/>
      <w:sz w:val="26"/>
      <w:szCs w:val="20"/>
    </w:rPr>
  </w:style>
  <w:style w:type="paragraph" w:styleId="865">
    <w:name w:val="Balloon Text"/>
    <w:basedOn w:val="856"/>
    <w:link w:val="884"/>
    <w:uiPriority w:val="0"/>
    <w:qFormat/>
    <w:rPr>
      <w:sz w:val="18"/>
      <w:szCs w:val="18"/>
    </w:rPr>
  </w:style>
  <w:style w:type="paragraph" w:styleId="866">
    <w:name w:val="Footer"/>
    <w:basedOn w:val="856"/>
    <w:link w:val="875"/>
    <w:uiPriority w:val="0"/>
    <w:qFormat/>
    <w:pPr>
      <w:jc w:val="left"/>
      <w:tabs>
        <w:tab w:val="center" w:pos="4153" w:leader="none"/>
        <w:tab w:val="right" w:pos="8306" w:leader="none"/>
      </w:tabs>
    </w:pPr>
    <w:rPr>
      <w:sz w:val="18"/>
      <w:szCs w:val="18"/>
    </w:rPr>
  </w:style>
  <w:style w:type="paragraph" w:styleId="867">
    <w:name w:val="Header"/>
    <w:basedOn w:val="856"/>
    <w:link w:val="874"/>
    <w:uiPriority w:val="0"/>
    <w:qFormat/>
    <w:pPr>
      <w:jc w:val="center"/>
      <w:tabs>
        <w:tab w:val="center" w:pos="4153" w:leader="none"/>
        <w:tab w:val="right" w:pos="8306" w:leader="none"/>
      </w:tabs>
      <w:pBdr>
        <w:bottom w:val="single" w:color="auto" w:sz="6" w:space="1"/>
      </w:pBdr>
    </w:pPr>
    <w:rPr>
      <w:sz w:val="18"/>
      <w:szCs w:val="18"/>
    </w:rPr>
  </w:style>
  <w:style w:type="paragraph" w:styleId="868">
    <w:name w:val="Normal (Web)"/>
    <w:basedOn w:val="856"/>
    <w:uiPriority w:val="0"/>
    <w:qFormat/>
    <w:pPr>
      <w:jc w:val="left"/>
      <w:spacing w:beforeAutospacing="1" w:afterAutospacing="1"/>
    </w:pPr>
    <w:rPr>
      <w:rFonts w:cs="Times New Roman"/>
      <w:sz w:val="24"/>
    </w:rPr>
  </w:style>
  <w:style w:type="paragraph" w:styleId="869">
    <w:name w:val="annotation subject"/>
    <w:basedOn w:val="862"/>
    <w:next w:val="862"/>
    <w:link w:val="886"/>
    <w:uiPriority w:val="0"/>
    <w:qFormat/>
    <w:rPr>
      <w:b/>
      <w:bCs/>
    </w:rPr>
  </w:style>
  <w:style w:type="table" w:styleId="870">
    <w:name w:val="Table Grid"/>
    <w:basedOn w:val="8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Emphasis"/>
    <w:uiPriority w:val="0"/>
    <w:qFormat/>
    <w:rPr>
      <w:i/>
    </w:rPr>
  </w:style>
  <w:style w:type="character" w:styleId="872">
    <w:name w:val="annotation reference"/>
    <w:basedOn w:val="859"/>
    <w:uiPriority w:val="0"/>
    <w:qFormat/>
    <w:rPr>
      <w:sz w:val="21"/>
      <w:szCs w:val="21"/>
    </w:rPr>
  </w:style>
  <w:style w:type="paragraph" w:styleId="873" w:customStyle="1">
    <w:name w:val="Default"/>
    <w:basedOn w:val="856"/>
    <w:uiPriority w:val="0"/>
    <w:semiHidden/>
    <w:qFormat/>
    <w:pPr>
      <w:jc w:val="left"/>
    </w:pPr>
    <w:rPr>
      <w:rFonts w:ascii="宋体" w:hAnsi="Calibri" w:cs="宋体"/>
      <w:color w:val="000000"/>
      <w:sz w:val="24"/>
    </w:rPr>
  </w:style>
  <w:style w:type="character" w:styleId="874" w:customStyle="1">
    <w:name w:val="页眉 Char"/>
    <w:basedOn w:val="859"/>
    <w:link w:val="867"/>
    <w:uiPriority w:val="0"/>
    <w:qFormat/>
    <w:rPr>
      <w:rFonts w:asciiTheme="minorHAnsi" w:hAnsiTheme="minorHAnsi" w:eastAsiaTheme="minorEastAsia" w:cstheme="minorBidi"/>
      <w:sz w:val="18"/>
      <w:szCs w:val="18"/>
    </w:rPr>
  </w:style>
  <w:style w:type="character" w:styleId="875" w:customStyle="1">
    <w:name w:val="页脚 Char"/>
    <w:basedOn w:val="859"/>
    <w:link w:val="866"/>
    <w:uiPriority w:val="0"/>
    <w:qFormat/>
    <w:rPr>
      <w:rFonts w:asciiTheme="minorHAnsi" w:hAnsiTheme="minorHAnsi" w:eastAsiaTheme="minorEastAsia" w:cstheme="minorBidi"/>
      <w:sz w:val="18"/>
      <w:szCs w:val="18"/>
    </w:rPr>
  </w:style>
  <w:style w:type="paragraph" w:styleId="876" w:customStyle="1">
    <w:name w:val="普通正文"/>
    <w:basedOn w:val="856"/>
    <w:uiPriority w:val="0"/>
    <w:qFormat/>
    <w:pPr>
      <w:ind w:firstLine="480"/>
      <w:jc w:val="left"/>
      <w:spacing w:before="120" w:after="120" w:line="360" w:lineRule="auto"/>
    </w:pPr>
    <w:rPr>
      <w:rFonts w:ascii="Arial" w:hAnsi="Arial" w:eastAsia="等线" w:cs="Arial"/>
      <w:sz w:val="24"/>
    </w:rPr>
  </w:style>
  <w:style w:type="paragraph" w:styleId="877" w:customStyle="1">
    <w:name w:val="正文首行缩进 21"/>
    <w:basedOn w:val="878"/>
    <w:uiPriority w:val="0"/>
    <w:qFormat/>
    <w:pPr>
      <w:ind w:firstLine="420"/>
    </w:pPr>
  </w:style>
  <w:style w:type="paragraph" w:styleId="878" w:customStyle="1">
    <w:name w:val="正文文本缩进1"/>
    <w:basedOn w:val="856"/>
    <w:uiPriority w:val="0"/>
    <w:qFormat/>
    <w:pPr>
      <w:ind w:left="420"/>
      <w:spacing w:after="120"/>
    </w:pPr>
  </w:style>
  <w:style w:type="paragraph" w:styleId="879">
    <w:name w:val="List Paragraph"/>
    <w:basedOn w:val="856"/>
    <w:uiPriority w:val="34"/>
    <w:qFormat/>
    <w:pPr>
      <w:ind w:firstLine="420"/>
    </w:pPr>
  </w:style>
  <w:style w:type="paragraph" w:styleId="880" w:customStyle="1">
    <w:name w:val="页眉12"/>
    <w:basedOn w:val="856"/>
    <w:uiPriority w:val="0"/>
    <w:qFormat/>
    <w:pPr>
      <w:jc w:val="center"/>
      <w:tabs>
        <w:tab w:val="center" w:pos="4153" w:leader="none"/>
        <w:tab w:val="right" w:pos="8306" w:leader="none"/>
      </w:tabs>
      <w:pBdr>
        <w:bottom w:val="single" w:color="000000" w:sz="6" w:space="1"/>
      </w:pBdr>
    </w:pPr>
    <w:rPr>
      <w:sz w:val="18"/>
      <w:szCs w:val="18"/>
    </w:rPr>
  </w:style>
  <w:style w:type="paragraph" w:styleId="881" w:customStyle="1">
    <w:name w:val="普通(网站)12"/>
    <w:basedOn w:val="856"/>
    <w:uiPriority w:val="0"/>
    <w:qFormat/>
    <w:pPr>
      <w:jc w:val="left"/>
      <w:spacing w:before="120" w:after="120" w:line="0" w:lineRule="atLeast"/>
    </w:pPr>
    <w:rPr>
      <w:rFonts w:ascii="Times New Roman" w:hAnsi="Times New Roman" w:eastAsia="方正仿宋_GB2312" w:cs="Times New Roman"/>
      <w:sz w:val="32"/>
      <w:szCs w:val="32"/>
    </w:rPr>
  </w:style>
  <w:style w:type="paragraph" w:styleId="882" w:customStyle="1">
    <w:name w:val="页脚11"/>
    <w:basedOn w:val="856"/>
    <w:uiPriority w:val="99"/>
    <w:unhideWhenUsed/>
    <w:qFormat/>
    <w:pPr>
      <w:jc w:val="left"/>
      <w:tabs>
        <w:tab w:val="center" w:pos="4153" w:leader="none"/>
        <w:tab w:val="right" w:pos="8306" w:leader="none"/>
      </w:tabs>
    </w:pPr>
    <w:rPr>
      <w:sz w:val="18"/>
      <w:szCs w:val="18"/>
    </w:rPr>
  </w:style>
  <w:style w:type="paragraph" w:styleId="883" w:customStyle="1">
    <w:name w:val="普通(网站)1"/>
    <w:basedOn w:val="856"/>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character" w:styleId="884" w:customStyle="1">
    <w:name w:val="批注框文本 Char"/>
    <w:basedOn w:val="859"/>
    <w:link w:val="865"/>
    <w:uiPriority w:val="0"/>
    <w:qFormat/>
    <w:rPr>
      <w:rFonts w:asciiTheme="minorHAnsi" w:hAnsiTheme="minorHAnsi" w:eastAsiaTheme="minorEastAsia" w:cstheme="minorBidi"/>
      <w:sz w:val="18"/>
      <w:szCs w:val="18"/>
    </w:rPr>
  </w:style>
  <w:style w:type="character" w:styleId="885" w:customStyle="1">
    <w:name w:val="批注文字 Char"/>
    <w:basedOn w:val="859"/>
    <w:link w:val="862"/>
    <w:uiPriority w:val="0"/>
    <w:qFormat/>
    <w:rPr>
      <w:rFonts w:asciiTheme="minorHAnsi" w:hAnsiTheme="minorHAnsi" w:eastAsiaTheme="minorEastAsia" w:cstheme="minorBidi"/>
      <w:sz w:val="21"/>
      <w:szCs w:val="24"/>
    </w:rPr>
  </w:style>
  <w:style w:type="character" w:styleId="886" w:customStyle="1">
    <w:name w:val="批注主题 Char"/>
    <w:basedOn w:val="885"/>
    <w:link w:val="869"/>
    <w:uiPriority w:val="0"/>
    <w:qFormat/>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顾伟伟</cp:lastModifiedBy>
  <cp:revision>193</cp:revision>
  <dcterms:created xsi:type="dcterms:W3CDTF">2014-10-29T12:08:00Z</dcterms:created>
  <dcterms:modified xsi:type="dcterms:W3CDTF">2026-08-03T02:45:11Z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1FCC23C0828C42A5B64D08F46D195800_13</vt:lpwstr>
  </property>
  <property fmtid="{D5CDD505-2E9C-101B-9397-08002B2CF9AE}" pid="4" name="KSOTemplateDocerSaveRecord">
    <vt:lpwstr>eyJoZGlkIjoiODZkZDhiMGRhNjI0MjMyZGNiZjBmZTUwZmY4Yjk1MjEiLCJ1c2VySWQiOiIxNjcxNDc2OTEwIn0=</vt:lpwstr>
  </property>
</Properties>
</file>