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bookmarkStart w:id="0" w:name="_GoBack"/>
      <w:r/>
      <w:bookmarkEnd w:id="0"/>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hint="eastAsia" w:ascii="宋体" w:hAnsi="宋体" w:cs="宋体"/>
          <w:b/>
          <w:spacing w:val="-6"/>
          <w:sz w:val="32"/>
        </w:rPr>
        <w:t xml:space="preserve">采购编号：JSZC-320500-SZMK-C2026-0010</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采购内容：苏州工业职业技术学院职业教育精品在线课程建设技术服务</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采购单位：苏州工业职业技术学院</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项目类别：服务类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2729865" cy="2101850"/>
                <wp:effectExtent l="0" t="0" r="0" b="0"/>
                <wp:docPr id="5"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公司门牌02-04"/>
                        <pic:cNvPicPr>
                          <a:picLocks noChangeAspect="1"/>
                        </pic:cNvPicPr>
                        <pic:nvPr/>
                      </pic:nvPicPr>
                      <pic:blipFill>
                        <a:blip r:embed="rId19"/>
                        <a:stretch/>
                      </pic:blipFill>
                      <pic:spPr bwMode="auto">
                        <a:xfrm>
                          <a:off x="0" y="0"/>
                          <a:ext cx="2729865" cy="21018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4.9pt;height:165.5pt;mso-wrap-distance-left:0.0pt;mso-wrap-distance-top:0.0pt;mso-wrap-distance-right:0.0pt;mso-wrap-distance-bottom:0.0pt;" stroked="f" strokeweight="0.75pt">
                <v:path textboxrect="0,0,0,0"/>
                <v:imagedata r:id="rId19" o:title=""/>
              </v:shape>
            </w:pict>
          </mc:Fallback>
        </mc:AlternateContent>
      </w:r>
      <w:r/>
    </w:p>
    <w:p>
      <w:pPr>
        <w:pStyle w:val="855"/>
      </w:pPr>
      <w:r/>
      <w:r/>
    </w:p>
    <w:p>
      <w:pPr>
        <w:jc w:val="center"/>
        <w:spacing w:line="360" w:lineRule="auto"/>
        <w:rPr>
          <w:rFonts w:hAnsi="宋体" w:cs="宋体"/>
          <w:b/>
          <w:bCs/>
          <w:sz w:val="30"/>
          <w:szCs w:val="30"/>
          <w:lang w:val="zh-CN"/>
        </w:rPr>
      </w:pPr>
      <w:r>
        <w:rPr>
          <w:rFonts w:hint="eastAsia" w:hAnsi="宋体" w:cs="宋体"/>
          <w:b/>
          <w:bCs/>
          <w:sz w:val="30"/>
          <w:szCs w:val="30"/>
          <w:lang w:val="zh-CN"/>
        </w:rPr>
        <w:t xml:space="preserve">苏州铭坤招投标咨询服务有限公司</w:t>
      </w:r>
      <w:r/>
    </w:p>
    <w:p>
      <w:pPr>
        <w:jc w:val="center"/>
        <w:spacing w:line="360" w:lineRule="auto"/>
        <w:rPr>
          <w:rFonts w:hAnsi="宋体" w:cs="宋体"/>
          <w:b/>
          <w:bCs/>
          <w:sz w:val="30"/>
          <w:szCs w:val="30"/>
        </w:rPr>
      </w:pPr>
      <w:r>
        <w:rPr>
          <w:rFonts w:hint="eastAsia" w:hAnsi="宋体" w:cs="宋体"/>
          <w:b/>
          <w:bCs/>
          <w:sz w:val="30"/>
          <w:szCs w:val="30"/>
        </w:rPr>
        <w:t xml:space="preserve">二○二六年八月</w:t>
      </w:r>
      <w:r/>
    </w:p>
    <w:p>
      <w:pPr>
        <w:jc w:val="center"/>
        <w:spacing w:line="360" w:lineRule="auto"/>
        <w:rPr>
          <w:rFonts w:ascii="宋体" w:hAnsi="宋体" w:cs="宋体"/>
          <w:b/>
          <w:sz w:val="36"/>
        </w:rPr>
        <w:sectPr>
          <w:headerReference w:type="default" r:id="rId9"/>
          <w:headerReference w:type="first" r:id="rId10"/>
          <w:footerReference w:type="default" r:id="rId11"/>
          <w:footerReference w:type="even" r:id="rId12"/>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b/>
          <w:sz w:val="36"/>
        </w:rPr>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9639" w:type="dxa"/>
        <w:tblInd w:w="108" w:type="dxa"/>
        <w:tblLayout w:type="fixed"/>
        <w:tblCellMar>
          <w:left w:w="0" w:type="dxa"/>
          <w:right w:w="0" w:type="dxa"/>
        </w:tblCellMar>
        <w:tblLook w:val="04A0" w:firstRow="1" w:lastRow="0" w:firstColumn="1" w:lastColumn="0" w:noHBand="0" w:noVBand="1"/>
      </w:tblPr>
      <w:tblGrid>
        <w:gridCol w:w="675"/>
        <w:gridCol w:w="1764"/>
        <w:gridCol w:w="720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内               容</w:t>
            </w:r>
            <w:r/>
          </w:p>
        </w:tc>
      </w:tr>
      <w:tr>
        <w:trPr>
          <w:trHeight w:val="3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JSZC-320500-SZMK-C2026-0010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苏州工业职业技术学院职业教育精品在线课程建设技术服务</w:t>
            </w:r>
            <w:r/>
          </w:p>
        </w:tc>
      </w:tr>
      <w:tr>
        <w:trPr>
          <w:trHeight w:val="11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采购代理机构</w:t>
            </w:r>
            <w:r/>
          </w:p>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名称：苏州铭坤招投标咨询服务有限公司</w:t>
            </w:r>
            <w:r/>
          </w:p>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地址：苏州高新区塔园路379号盛运大厦1幢10楼东侧</w:t>
            </w:r>
            <w:r/>
          </w:p>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联系人：</w:t>
            </w:r>
            <w:r>
              <w:rPr>
                <w:rFonts w:hint="eastAsia" w:cs="宋体" w:asciiTheme="minorEastAsia" w:hAnsiTheme="minorEastAsia" w:eastAsiaTheme="minorEastAsia"/>
                <w:szCs w:val="21"/>
              </w:rPr>
              <w:t xml:space="preserve">马燕</w:t>
            </w:r>
            <w:r/>
          </w:p>
          <w:p>
            <w:pPr>
              <w:pStyle w:val="855"/>
              <w:ind w:left="0" w:firstLine="0"/>
              <w:rPr>
                <w:rFonts w:asciiTheme="minorEastAsia" w:hAnsiTheme="minorEastAsia" w:eastAsiaTheme="minorEastAsia"/>
                <w:szCs w:val="21"/>
              </w:rPr>
            </w:pPr>
            <w:r>
              <w:rPr>
                <w:rFonts w:hint="eastAsia" w:asciiTheme="minorEastAsia" w:hAnsiTheme="minorEastAsia" w:eastAsiaTheme="minorEastAsia"/>
                <w:szCs w:val="21"/>
              </w:rPr>
              <w:t xml:space="preserve">联系电话：0512-65615552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名称：苏州工业职业技术学院</w:t>
            </w:r>
            <w:r/>
          </w:p>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地址：苏州市吴中区吴中大道(越湖路)国际教育园致能大道1号</w:t>
            </w:r>
            <w:r/>
          </w:p>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联 系 人：吴振英</w:t>
            </w:r>
            <w:r/>
          </w:p>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联系电话：13451730468</w:t>
            </w:r>
            <w:r/>
          </w:p>
        </w:tc>
      </w:tr>
      <w:tr>
        <w:trPr>
          <w:trHeight w:val="5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详见采购文件第二章</w:t>
            </w:r>
            <w:r/>
          </w:p>
        </w:tc>
      </w:tr>
      <w:tr>
        <w:trPr>
          <w:trHeight w:val="56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本项目不收取磋商保证金</w:t>
            </w:r>
            <w:r/>
          </w:p>
        </w:tc>
      </w:tr>
      <w:tr>
        <w:trPr>
          <w:trHeight w:val="5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获取采购文件</w:t>
            </w:r>
            <w:r/>
          </w:p>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cs="仿宋" w:asciiTheme="minorEastAsia" w:hAnsiTheme="minorEastAsia" w:eastAsiaTheme="minorEastAsia"/>
                <w:szCs w:val="21"/>
              </w:rPr>
            </w:pPr>
            <w:r>
              <w:rPr>
                <w:rFonts w:hint="eastAsia" w:asciiTheme="minorEastAsia" w:hAnsiTheme="minorEastAsia" w:eastAsiaTheme="minorEastAsia"/>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asciiTheme="minorEastAsia" w:hAnsiTheme="minorEastAsia" w:eastAsiaTheme="minorEastAsia"/>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响应文件网上</w:t>
            </w:r>
            <w:r/>
          </w:p>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asciiTheme="minorEastAsia" w:hAnsiTheme="minorEastAsia" w:eastAsiaTheme="minorEastAsia"/>
                <w:szCs w:val="21"/>
              </w:rPr>
            </w:pPr>
            <w:r>
              <w:rPr>
                <w:rFonts w:hint="eastAsia" w:cs="宋体" w:asciiTheme="minorEastAsia" w:hAnsiTheme="minorEastAsia" w:eastAsiaTheme="minorEastAsia"/>
                <w:color w:val="000000" w:themeColor="text1"/>
                <w:szCs w:val="21"/>
              </w:rPr>
              <w:t xml:space="preserve">2026年8月19日</w:t>
            </w:r>
            <w:r>
              <w:rPr>
                <w:rFonts w:hint="eastAsia" w:cs="宋体" w:asciiTheme="minorEastAsia" w:hAnsiTheme="minorEastAsia" w:eastAsiaTheme="minorEastAsia"/>
                <w:szCs w:val="21"/>
              </w:rPr>
              <w:t xml:space="preserve">09点30分</w:t>
            </w:r>
            <w:r>
              <w:rPr>
                <w:rFonts w:hint="eastAsia" w:asciiTheme="minorEastAsia" w:hAnsiTheme="minorEastAsia" w:eastAsiaTheme="minorEastAsia"/>
                <w:szCs w:val="21"/>
              </w:rPr>
              <w:t xml:space="preserve">（北京时间）</w:t>
            </w:r>
            <w:r/>
          </w:p>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开启时间</w:t>
            </w:r>
            <w:r/>
          </w:p>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asciiTheme="minorEastAsia" w:hAnsiTheme="minorEastAsia" w:eastAsiaTheme="minorEastAsia"/>
                <w:szCs w:val="21"/>
              </w:rPr>
            </w:pPr>
            <w:r>
              <w:rPr>
                <w:rFonts w:hint="eastAsia" w:cs="宋体" w:asciiTheme="minorEastAsia" w:hAnsiTheme="minorEastAsia" w:eastAsiaTheme="minorEastAsia"/>
                <w:color w:val="ff0000"/>
                <w:szCs w:val="21"/>
              </w:rPr>
            </w:r>
            <w:r>
              <w:rPr>
                <w:rFonts w:hint="eastAsia" w:cs="宋体" w:asciiTheme="minorEastAsia" w:hAnsiTheme="minorEastAsia" w:eastAsiaTheme="minorEastAsia"/>
                <w:color w:val="000000" w:themeColor="text1"/>
                <w:szCs w:val="21"/>
              </w:rPr>
              <w:t xml:space="preserve">2026年8月19日</w:t>
            </w:r>
            <w:r/>
            <w:r>
              <w:rPr>
                <w:rFonts w:hint="eastAsia" w:cs="宋体" w:asciiTheme="minorEastAsia" w:hAnsiTheme="minorEastAsia" w:eastAsiaTheme="minorEastAsia"/>
                <w:color w:val="ff0000"/>
                <w:szCs w:val="21"/>
              </w:rPr>
            </w:r>
            <w:r>
              <w:rPr>
                <w:rFonts w:hint="eastAsia" w:cs="宋体" w:asciiTheme="minorEastAsia" w:hAnsiTheme="minorEastAsia" w:eastAsiaTheme="minorEastAsia"/>
                <w:szCs w:val="21"/>
              </w:rPr>
              <w:t xml:space="preserve">09点30分</w:t>
            </w:r>
            <w:r>
              <w:rPr>
                <w:rFonts w:hint="eastAsia" w:asciiTheme="minorEastAsia" w:hAnsiTheme="minorEastAsia" w:eastAsiaTheme="minorEastAsia"/>
                <w:szCs w:val="21"/>
              </w:rPr>
              <w:t xml:space="preserve">（北京时间）</w:t>
            </w:r>
            <w:r/>
          </w:p>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“苏采云”系统（网址：</w:t>
            </w:r>
            <w:hyperlink r:id="rId20" w:tooltip="http://jszfcg.jsczt.cn/" w:history="1">
              <w:r>
                <w:rPr>
                  <w:rFonts w:hint="eastAsia" w:asciiTheme="minorEastAsia" w:hAnsiTheme="minorEastAsia" w:eastAsiaTheme="minorEastAsia"/>
                  <w:szCs w:val="21"/>
                </w:rPr>
                <w:t xml:space="preserve">http://jszfcg.jsczt.cn/</w:t>
              </w:r>
            </w:hyperlink>
            <w:r>
              <w:rPr>
                <w:rFonts w:hint="eastAsia" w:asciiTheme="minorEastAsia" w:hAnsiTheme="minorEastAsia" w:eastAsiaTheme="minorEastAsia"/>
                <w:szCs w:val="21"/>
              </w:rPr>
              <w:t xml:space="preserve">）</w:t>
            </w:r>
            <w:r/>
          </w:p>
          <w:p>
            <w:pPr>
              <w:jc w:val="left"/>
              <w:spacing w:line="312" w:lineRule="auto"/>
              <w:rPr>
                <w:rFonts w:asciiTheme="minorEastAsia" w:hAnsiTheme="minorEastAsia" w:eastAsiaTheme="minorEastAsia"/>
                <w:szCs w:val="21"/>
              </w:rPr>
            </w:pPr>
            <w:r>
              <w:rPr>
                <w:rFonts w:hint="eastAsia" w:asciiTheme="minorEastAsia" w:hAnsiTheme="minorEastAsia" w:eastAsiaTheme="minorEastAsia"/>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asciiTheme="minorEastAsia" w:hAnsiTheme="minorEastAsia" w:eastAsiaTheme="minorEastAsia"/>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评审时间</w:t>
            </w:r>
            <w:r/>
          </w:p>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asciiTheme="minorEastAsia" w:hAnsiTheme="minorEastAsia" w:eastAsiaTheme="minorEastAsia"/>
                <w:szCs w:val="21"/>
              </w:rPr>
            </w:pPr>
            <w:r>
              <w:rPr>
                <w:rFonts w:hint="eastAsia" w:cs="宋体" w:asciiTheme="minorEastAsia" w:hAnsiTheme="minorEastAsia" w:eastAsiaTheme="minorEastAsia"/>
                <w:color w:val="ff0000"/>
                <w:szCs w:val="21"/>
              </w:rPr>
            </w:r>
            <w:r>
              <w:rPr>
                <w:rFonts w:hint="eastAsia" w:cs="宋体" w:asciiTheme="minorEastAsia" w:hAnsiTheme="minorEastAsia" w:eastAsiaTheme="minorEastAsia"/>
                <w:color w:val="000000" w:themeColor="text1"/>
                <w:szCs w:val="21"/>
              </w:rPr>
              <w:t xml:space="preserve">2026年8月19日</w:t>
            </w:r>
            <w:r/>
            <w:r>
              <w:rPr>
                <w:rFonts w:hint="eastAsia" w:cs="宋体" w:asciiTheme="minorEastAsia" w:hAnsiTheme="minorEastAsia" w:eastAsiaTheme="minorEastAsia"/>
                <w:color w:val="ff0000"/>
                <w:szCs w:val="21"/>
              </w:rPr>
            </w:r>
            <w:r>
              <w:rPr>
                <w:rFonts w:hint="eastAsia" w:cs="宋体" w:asciiTheme="minorEastAsia" w:hAnsiTheme="minorEastAsia" w:eastAsiaTheme="minorEastAsia"/>
                <w:szCs w:val="21"/>
              </w:rPr>
              <w:t xml:space="preserve">09点30分</w:t>
            </w:r>
            <w:r>
              <w:rPr>
                <w:rFonts w:hint="eastAsia" w:asciiTheme="minorEastAsia" w:hAnsiTheme="minorEastAsia" w:eastAsiaTheme="minorEastAsia"/>
                <w:szCs w:val="21"/>
              </w:rPr>
              <w:t xml:space="preserve">（北京时间）</w:t>
            </w:r>
            <w:r/>
          </w:p>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苏州市高新区邓尉路105号狮山科技馆8楼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asciiTheme="minorEastAsia" w:hAnsiTheme="minorEastAsia" w:eastAsiaTheme="minorEastAsia"/>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磋商响应</w:t>
            </w:r>
            <w:r/>
          </w:p>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本项目采用电子响应文件，供应商按照采购文件要求制作上传电子响应文件，投标时供应商无需提供纸质响应文件。</w:t>
            </w:r>
            <w:r/>
          </w:p>
          <w:p>
            <w:pPr>
              <w:spacing w:line="312"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asciiTheme="minorEastAsia" w:hAnsiTheme="minorEastAsia" w:eastAsiaTheme="minorEastAsia"/>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asciiTheme="minorEastAsia" w:hAnsiTheme="minorEastAsia" w:eastAsiaTheme="minorEastAsia"/>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cs="宋体" w:asciiTheme="minorEastAsia" w:hAnsiTheme="minorEastAsia" w:eastAsiaTheme="minorEastAsia"/>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jc w:val="left"/>
              <w:spacing w:line="312" w:lineRule="auto"/>
              <w:rPr>
                <w:rFonts w:asciiTheme="minorEastAsia" w:hAnsiTheme="minorEastAsia" w:eastAsiaTheme="minorEastAsia"/>
                <w:szCs w:val="21"/>
              </w:rPr>
            </w:pPr>
            <w:r>
              <w:rPr>
                <w:rFonts w:hint="eastAsia" w:asciiTheme="minorEastAsia" w:hAnsiTheme="minorEastAsia" w:eastAsiaTheme="minorEastAsia"/>
                <w:bCs/>
                <w:szCs w:val="21"/>
              </w:rPr>
              <w:t xml:space="preserve">成交金额的5%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Theme="minorEastAsia" w:hAnsiTheme="minorEastAsia" w:eastAsiaTheme="minorEastAsia"/>
                <w:szCs w:val="21"/>
              </w:rPr>
            </w:pPr>
            <w:r>
              <w:rPr>
                <w:rFonts w:asciiTheme="minorEastAsia" w:hAnsiTheme="minorEastAsia" w:eastAsiaTheme="minorEastAsia"/>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Theme="minorEastAsia" w:hAnsiTheme="minorEastAsia" w:eastAsiaTheme="minorEastAsia"/>
                <w:szCs w:val="21"/>
              </w:rPr>
            </w:pPr>
            <w:r>
              <w:rPr>
                <w:rFonts w:hint="eastAsia" w:asciiTheme="minorEastAsia" w:hAnsiTheme="minorEastAsia" w:eastAsiaTheme="minorEastAsia"/>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0" w:type="dxa"/>
            <w:vAlign w:val="center"/>
            <w:textDirection w:val="lrTb"/>
            <w:noWrap w:val="false"/>
          </w:tcPr>
          <w:p>
            <w:pPr>
              <w:pStyle w:val="1012"/>
              <w:ind w:firstLine="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确定出成交单位后，采购代理机构在法定时间内向成交单位发出成交通知书。成交通知书将成为合同的组成部分。</w:t>
            </w:r>
            <w:r>
              <w:rPr>
                <w:rFonts w:hint="eastAsia" w:cs="宋体" w:asciiTheme="minorEastAsia" w:hAnsiTheme="minorEastAsia" w:eastAsiaTheme="minorEastAsia"/>
                <w:b/>
                <w:sz w:val="21"/>
                <w:szCs w:val="21"/>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五、磋商响应文件格式</w:t>
      </w:r>
      <w:r/>
    </w:p>
    <w:p>
      <w:pPr>
        <w:pStyle w:val="865"/>
        <w:sectPr>
          <w:footerReference w:type="default" r:id="rId13"/>
          <w:footnotePr/>
          <w:endnotePr/>
          <w:type w:val="nextPage"/>
          <w:pgSz w:w="11906" w:h="16838" w:orient="portrait"/>
          <w:pgMar w:top="1134" w:right="1134" w:bottom="1134" w:left="1134" w:header="680" w:footer="680" w:gutter="0"/>
          <w:pgNumType w:start="1"/>
          <w:cols w:num="1" w:sep="0" w:space="720" w:equalWidth="1"/>
          <w:docGrid w:linePitch="360"/>
        </w:sectPr>
      </w:p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苏州工业职业技术学院职业教育精品在线课程建设技术服务项目的潜在供应商应在“苏采云”系统获取采购文件，并于</w:t>
      </w:r>
      <w:r>
        <w:rPr>
          <w:rFonts w:hint="eastAsia" w:cs="宋体" w:asciiTheme="minorEastAsia" w:hAnsiTheme="minorEastAsia" w:eastAsiaTheme="minorEastAsia"/>
          <w:color w:val="000000" w:themeColor="text1"/>
          <w:szCs w:val="21"/>
        </w:rPr>
        <w:t xml:space="preserve">2026年8月19日</w:t>
      </w:r>
      <w:r/>
      <w:r>
        <w:rPr>
          <w:rFonts w:hint="eastAsia" w:ascii="宋体" w:hAnsi="宋体" w:cs="宋体"/>
          <w:szCs w:val="21"/>
        </w:rPr>
      </w:r>
      <w:r>
        <w:rPr>
          <w:rFonts w:hint="eastAsia" w:ascii="宋体" w:hAnsi="宋体" w:cs="宋体"/>
          <w:szCs w:val="21"/>
        </w:rPr>
        <w:t xml:space="preserve">09点30分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项目编号：JSZC-320500-SZMK-C2026-0010</w:t>
      </w:r>
      <w:r/>
    </w:p>
    <w:p>
      <w:pPr>
        <w:ind w:firstLine="420"/>
        <w:spacing w:line="360" w:lineRule="auto"/>
        <w:rPr>
          <w:rFonts w:ascii="宋体" w:hAnsi="宋体" w:cs="宋体"/>
          <w:szCs w:val="21"/>
        </w:rPr>
      </w:pPr>
      <w:r>
        <w:rPr>
          <w:rFonts w:hint="eastAsia" w:ascii="宋体" w:hAnsi="宋体" w:cs="宋体"/>
          <w:szCs w:val="21"/>
        </w:rPr>
        <w:t xml:space="preserve">项目名称：苏州工业职业技术学院职业教育精品在线课程建设技术服务</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预算金额（最高限价）：人民币壹佰万元整（小写：1000000.00元）</w:t>
      </w:r>
      <w:r/>
    </w:p>
    <w:p>
      <w:pPr>
        <w:ind w:firstLine="420"/>
        <w:spacing w:line="360" w:lineRule="auto"/>
        <w:rPr>
          <w:rFonts w:ascii="宋体" w:hAnsi="宋体" w:cs="宋体"/>
          <w:szCs w:val="21"/>
        </w:rPr>
      </w:pPr>
      <w:r>
        <w:rPr>
          <w:rFonts w:hint="eastAsia" w:ascii="宋体" w:hAnsi="宋体" w:cs="宋体"/>
          <w:szCs w:val="21"/>
        </w:rPr>
        <w:t xml:space="preserve">采购需求：</w:t>
      </w:r>
      <w:r>
        <w:rPr>
          <w:rFonts w:hint="eastAsia" w:asciiTheme="minorEastAsia" w:hAnsiTheme="minorEastAsia" w:eastAsiaTheme="minorEastAsia"/>
        </w:rPr>
        <w:t xml:space="preserve">为深入贯彻落实</w:t>
      </w:r>
      <w:r>
        <w:rPr>
          <w:rFonts w:asciiTheme="minorEastAsia" w:hAnsiTheme="minorEastAsia" w:eastAsiaTheme="minorEastAsia"/>
        </w:rPr>
        <w:t xml:space="preserve">教育部《关于深化职业教育教学关键要素改革的意见》（教职成〔2026〕1号）</w:t>
      </w:r>
      <w:r>
        <w:rPr>
          <w:rFonts w:hint="eastAsia" w:asciiTheme="minorEastAsia" w:hAnsiTheme="minorEastAsia" w:eastAsiaTheme="minorEastAsia"/>
        </w:rPr>
        <w:t xml:space="preserve">与高技能人才集群培养计划相关要求，紧扣新一代信息技术、半导体等国家战略产业人才急需，拟通过采购专业化课程开发服务。</w:t>
      </w:r>
      <w:r>
        <w:rPr>
          <w:rFonts w:hint="eastAsia" w:ascii="宋体" w:hAnsi="宋体" w:cs="宋体"/>
          <w:szCs w:val="21"/>
        </w:rPr>
        <w:t xml:space="preserve">内容包括产业岗位调研与需求分析、职业能力图谱构建、课程标准与教学文件开发、真实生产案例库建设、数字化教学资源开发、专家评审与质量把控、成果汇总、应用培训以及课程平台部署与使用指导。</w:t>
      </w:r>
      <w:r/>
    </w:p>
    <w:p>
      <w:pPr>
        <w:ind w:firstLine="420"/>
        <w:spacing w:line="360" w:lineRule="auto"/>
        <w:rPr>
          <w:rFonts w:ascii="宋体" w:hAnsi="宋体" w:cs="宋体"/>
          <w:szCs w:val="21"/>
        </w:rPr>
      </w:pPr>
      <w:r>
        <w:rPr>
          <w:rFonts w:hint="eastAsia" w:ascii="宋体" w:hAnsi="宋体" w:cs="宋体"/>
          <w:szCs w:val="21"/>
        </w:rPr>
        <w:t xml:space="preserve">合同履行期限：项目总</w:t>
      </w:r>
      <w:r>
        <w:rPr>
          <w:rFonts w:hint="eastAsia" w:ascii="宋体" w:hAnsi="宋体" w:cs="宋体"/>
          <w:szCs w:val="21"/>
        </w:rPr>
        <w:t xml:space="preserve">建设周期为5个月。</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w:t>
      </w:r>
      <w:r>
        <w:rPr>
          <w:rFonts w:hint="eastAsia" w:ascii="宋体" w:hAnsi="宋体" w:cs="宋体"/>
          <w:b/>
          <w:szCs w:val="21"/>
        </w:rPr>
        <w:t xml:space="preserve">本项目专门面向中小企业采购，所属行业为其他未列明行业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3、本项目的特定资格要求：无</w:t>
      </w:r>
      <w:r/>
    </w:p>
    <w:p>
      <w:pPr>
        <w:ind w:firstLine="420"/>
        <w:spacing w:line="360" w:lineRule="auto"/>
        <w:rPr>
          <w:rFonts w:ascii="宋体" w:hAnsi="宋体" w:cs="宋体"/>
          <w:szCs w:val="21"/>
        </w:rPr>
      </w:pPr>
      <w:r>
        <w:rPr>
          <w:rFonts w:hint="eastAsia" w:ascii="宋体" w:hAnsi="宋体" w:cs="宋体"/>
          <w:szCs w:val="21"/>
        </w:rPr>
        <w:t xml:space="preserve">注：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1" w:name="_Toc35393793"/>
      <w:r/>
      <w:bookmarkStart w:id="2" w:name="_Toc28359005"/>
      <w:r/>
      <w:bookmarkStart w:id="3" w:name="_Toc35393624"/>
      <w:r/>
      <w:bookmarkStart w:id="4" w:name="_Toc28359082"/>
      <w:r>
        <w:rPr>
          <w:rFonts w:hint="eastAsia" w:ascii="宋体" w:hAnsi="宋体" w:cs="宋体"/>
          <w:szCs w:val="21"/>
          <w:shd w:val="clear" w:color="auto" w:fill="ffffff"/>
        </w:rPr>
        <w:t xml:space="preserve">1、时间：自招标文件公告发布之日起5个工作日 </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 </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3、方式：自行下载 </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4、售价：0.00元 </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cs="宋体" w:asciiTheme="minorEastAsia" w:hAnsiTheme="minorEastAsia" w:eastAsiaTheme="minorEastAsia"/>
          <w:color w:val="000000" w:themeColor="text1"/>
          <w:szCs w:val="21"/>
        </w:rPr>
        <w:t xml:space="preserve">2026年8月19日</w:t>
      </w:r>
      <w:r/>
      <w:r>
        <w:rPr>
          <w:rFonts w:hint="eastAsia" w:ascii="宋体" w:hAnsi="宋体" w:cs="宋体"/>
          <w:szCs w:val="21"/>
        </w:rPr>
      </w:r>
      <w:r>
        <w:rPr>
          <w:rFonts w:hint="eastAsia" w:ascii="宋体" w:hAnsi="宋体" w:cs="宋体"/>
          <w:szCs w:val="21"/>
        </w:rPr>
        <w:t xml:space="preserve">09点30分（北京时间）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2、地点：苏采云系统。响应文件网上递交，不需要现场参加采购活动。</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w:t>
      </w:r>
      <w:r>
        <w:rPr>
          <w:rFonts w:hint="eastAsia" w:cs="宋体" w:asciiTheme="minorEastAsia" w:hAnsiTheme="minorEastAsia" w:eastAsiaTheme="minorEastAsia"/>
          <w:color w:val="000000" w:themeColor="text1"/>
          <w:szCs w:val="21"/>
        </w:rPr>
        <w:t xml:space="preserve">2026年8月19日</w:t>
      </w:r>
      <w:r/>
      <w:r>
        <w:rPr>
          <w:rFonts w:hint="eastAsia" w:ascii="宋体" w:hAnsi="宋体" w:cs="宋体"/>
          <w:szCs w:val="21"/>
        </w:rPr>
      </w:r>
      <w:r>
        <w:rPr>
          <w:rFonts w:hint="eastAsia" w:ascii="宋体" w:hAnsi="宋体" w:cs="宋体"/>
          <w:szCs w:val="21"/>
        </w:rPr>
        <w:t xml:space="preserve">09点30分（北京时间）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2、单位负责人为同一人或者存在直接控股、管理关系的不同供应商，不得参加同一合同项下的政府采购活动。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3、本次采购的有关信息将在中国政府采购网、江苏政府采购网、苏州市政府采购网上发布，敬请留意；有关该采购项目的澄清、修改及成交等信息亦在以上网站发布，敬请留意。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供应商通过江苏省政府采购一体化平台“苏采云”系统（以下简称“苏采云”系统，网址：http://js</w:t>
      </w:r>
      <w:r>
        <w:rPr>
          <w:rFonts w:hint="eastAsia" w:ascii="宋体" w:hAnsi="宋体" w:cs="宋体"/>
          <w:szCs w:val="21"/>
          <w:shd w:val="clear" w:color="auto" w:fill="ffffff"/>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5、本项目获取招标文件截止日期之后仍可以下载招标文件，但截止日期之后下载的招标文件，视为非有效方式且不作为供应商权益受到损害的证明材料和依据。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7、如不同投标（响应）文件制作机器码一致，则投标（响应）无效。</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8、制作电子投标（响应）文件：</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本项目采用电子招投标形式，请供应商按照《苏采云系统供应商操作手册》（链接：http://www.ccgp-jiangsu.gov.cn/jiangsu/zlxz/ee/ee3a4bc5a3454aa2b0d9312230633ce9.html）</w:t>
      </w:r>
      <w:r>
        <w:rPr>
          <w:rFonts w:hint="eastAsia" w:ascii="宋体" w:hAnsi="宋体" w:cs="宋体"/>
          <w:szCs w:val="21"/>
          <w:shd w:val="clear" w:color="auto" w:fill="ffffff"/>
        </w:rPr>
        <w:t xml:space="preserve">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11、技术支持：</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CA技术咨询服务电话：400-608-6099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电子签章技术咨询服务电话：15380932027、15371015030、13675197356、13675197221</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 “苏采云”平台技术咨询电话：0519-86722802、13914088964、18261002950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智能客服：登录苏采云系统后，联系系统右下方智能客服图标进行咨询。</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12、本项目支持政府采购合同信用融资。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13、苏州市财政局政府采购监管处电话：0512-68616651。</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称：苏州工业职业技术学院</w:t>
      </w:r>
      <w:r/>
    </w:p>
    <w:p>
      <w:pPr>
        <w:ind w:firstLine="420"/>
        <w:spacing w:line="360" w:lineRule="auto"/>
        <w:rPr>
          <w:rFonts w:ascii="宋体" w:hAnsi="宋体" w:cs="宋体"/>
          <w:szCs w:val="21"/>
        </w:rPr>
      </w:pPr>
      <w:r>
        <w:rPr>
          <w:rFonts w:hint="eastAsia" w:ascii="宋体" w:hAnsi="宋体" w:cs="宋体"/>
          <w:szCs w:val="21"/>
        </w:rPr>
        <w:t xml:space="preserve">地  址：苏州市吴中区吴中大道(越湖路)国际教育园致能大道1号</w:t>
      </w:r>
      <w:r/>
    </w:p>
    <w:p>
      <w:pPr>
        <w:ind w:firstLine="420"/>
        <w:spacing w:line="360" w:lineRule="auto"/>
        <w:rPr>
          <w:rFonts w:ascii="宋体" w:hAnsi="宋体" w:cs="宋体"/>
          <w:szCs w:val="21"/>
        </w:rPr>
      </w:pPr>
      <w:r>
        <w:rPr>
          <w:rFonts w:hint="eastAsia" w:ascii="宋体" w:hAnsi="宋体" w:cs="宋体"/>
          <w:szCs w:val="21"/>
        </w:rPr>
        <w:t xml:space="preserve">联 系 人：吴振英</w:t>
      </w:r>
      <w:r/>
    </w:p>
    <w:p>
      <w:pPr>
        <w:ind w:firstLine="420"/>
        <w:spacing w:line="360" w:lineRule="auto"/>
        <w:rPr>
          <w:rFonts w:ascii="宋体" w:hAnsi="宋体" w:cs="宋体"/>
          <w:szCs w:val="21"/>
        </w:rPr>
      </w:pPr>
      <w:r>
        <w:rPr>
          <w:rFonts w:hint="eastAsia" w:ascii="宋体" w:hAnsi="宋体" w:cs="宋体"/>
          <w:szCs w:val="21"/>
        </w:rPr>
        <w:t xml:space="preserve">联系电话：13451730468</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称：苏州铭坤招投标咨询服务有限公司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址：苏州高新区塔园路379号盛运大厦1幢10楼东侧</w:t>
      </w:r>
      <w:r/>
    </w:p>
    <w:p>
      <w:pPr>
        <w:ind w:firstLine="420"/>
        <w:spacing w:line="360" w:lineRule="auto"/>
        <w:rPr>
          <w:rFonts w:ascii="宋体" w:hAnsi="宋体" w:cs="宋体"/>
          <w:szCs w:val="21"/>
        </w:rPr>
      </w:pPr>
      <w:r>
        <w:rPr>
          <w:rFonts w:hint="eastAsia" w:ascii="宋体" w:hAnsi="宋体" w:cs="宋体"/>
          <w:szCs w:val="21"/>
        </w:rPr>
        <w:t xml:space="preserve">联 系 人：马燕、陈军、郁文华</w:t>
      </w:r>
      <w:r/>
    </w:p>
    <w:p>
      <w:pPr>
        <w:ind w:firstLine="420"/>
        <w:spacing w:line="360" w:lineRule="auto"/>
        <w:rPr>
          <w:rFonts w:ascii="宋体" w:hAnsi="宋体" w:cs="宋体"/>
          <w:szCs w:val="21"/>
        </w:rPr>
      </w:pPr>
      <w:r>
        <w:rPr>
          <w:rFonts w:hint="eastAsia" w:ascii="宋体" w:hAnsi="宋体" w:cs="宋体"/>
          <w:szCs w:val="21"/>
        </w:rPr>
        <w:t xml:space="preserve">联系方式：0512-65615552</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项目联系人：马燕、陈军、郁文华</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话：0512-65615552</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工业职业技术学院之委托，苏州铭坤招投标咨询服务有限公司对其需采购的苏州工业职业技术学院职业教育精品在线课程建设技术服务项目在国内组织竞争性磋商采购。欢迎符合资格条件的供应商前来报名参加磋商</w:t>
      </w:r>
      <w:r>
        <w:rPr>
          <w:rFonts w:hint="eastAsia" w:ascii="宋体" w:hAnsi="宋体" w:cs="宋体"/>
          <w:szCs w:val="21"/>
        </w:rPr>
        <w:t xml:space="preserve">。</w:t>
      </w:r>
      <w:r/>
    </w:p>
    <w:p>
      <w:pPr>
        <w:ind w:firstLine="422"/>
        <w:spacing w:line="360" w:lineRule="auto"/>
        <w:rPr>
          <w:rFonts w:cs="宋体" w:asciiTheme="minorEastAsia" w:hAnsiTheme="minorEastAsia" w:eastAsiaTheme="minorEastAsia"/>
          <w:b/>
          <w:color w:val="ff0000"/>
          <w:szCs w:val="21"/>
        </w:rPr>
      </w:pPr>
      <w:r>
        <w:rPr>
          <w:rFonts w:hint="eastAsia" w:cs="宋体" w:asciiTheme="minorEastAsia" w:hAnsiTheme="minorEastAsia" w:eastAsiaTheme="minorEastAsia"/>
          <w:b/>
          <w:szCs w:val="21"/>
        </w:rPr>
        <w:t xml:space="preserve">一、采购编号：</w:t>
      </w:r>
      <w:r>
        <w:rPr>
          <w:rFonts w:hint="eastAsia" w:cs="宋体" w:asciiTheme="minorEastAsia" w:hAnsiTheme="minorEastAsia" w:eastAsiaTheme="minorEastAsia"/>
          <w:bCs/>
          <w:szCs w:val="21"/>
        </w:rPr>
        <w:t xml:space="preserve">JSZC-320500-SZMK-C2026-0010</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二、项目名称：</w:t>
      </w:r>
      <w:r>
        <w:rPr>
          <w:rFonts w:hint="eastAsia" w:cs="宋体" w:asciiTheme="minorEastAsia" w:hAnsiTheme="minorEastAsia" w:eastAsiaTheme="minorEastAsia"/>
          <w:bCs/>
          <w:szCs w:val="21"/>
        </w:rPr>
        <w:t xml:space="preserve">苏州工业职业技术学院职业教育精品在线课程建设技术服务</w:t>
      </w:r>
      <w:r/>
    </w:p>
    <w:p>
      <w:pPr>
        <w:ind w:firstLine="422"/>
        <w:spacing w:line="360" w:lineRule="auto"/>
        <w:rPr>
          <w:rFonts w:cs="宋体" w:asciiTheme="minorEastAsia" w:hAnsiTheme="minorEastAsia" w:eastAsiaTheme="minorEastAsia"/>
          <w:szCs w:val="21"/>
        </w:rPr>
      </w:pPr>
      <w:r>
        <w:rPr>
          <w:rFonts w:hint="eastAsia" w:cs="宋体" w:asciiTheme="minorEastAsia" w:hAnsiTheme="minorEastAsia" w:eastAsiaTheme="minorEastAsia"/>
          <w:b/>
          <w:szCs w:val="21"/>
        </w:rPr>
        <w:t xml:space="preserve">三、预算金额（最高限价）：</w:t>
      </w:r>
      <w:r>
        <w:rPr>
          <w:rFonts w:hint="eastAsia" w:cs="宋体" w:asciiTheme="minorEastAsia" w:hAnsiTheme="minorEastAsia" w:eastAsiaTheme="minorEastAsia"/>
          <w:szCs w:val="21"/>
        </w:rPr>
        <w:t xml:space="preserve">人民币壹佰万元整（小写：1000000.00元）</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四、采购需求：</w:t>
      </w:r>
      <w:r/>
    </w:p>
    <w:p>
      <w:pPr>
        <w:ind w:firstLine="420"/>
        <w:jc w:val="left"/>
        <w:spacing w:line="360" w:lineRule="auto"/>
        <w:widowControl/>
        <w:rPr>
          <w:rFonts w:asciiTheme="minorEastAsia" w:hAnsiTheme="minorEastAsia" w:eastAsiaTheme="minorEastAsia"/>
        </w:rPr>
      </w:pPr>
      <w:r>
        <w:rPr>
          <w:rFonts w:hint="eastAsia" w:asciiTheme="minorEastAsia" w:hAnsiTheme="minorEastAsia" w:eastAsiaTheme="minorEastAsia"/>
        </w:rPr>
        <w:t xml:space="preserve">为深入贯彻落实</w:t>
      </w:r>
      <w:r>
        <w:rPr>
          <w:rFonts w:asciiTheme="minorEastAsia" w:hAnsiTheme="minorEastAsia" w:eastAsiaTheme="minorEastAsia"/>
        </w:rPr>
        <w:t xml:space="preserve">教育部《关于深化职业教育教学关键要素改革的意见》（教职成〔2026〕1号）</w:t>
      </w:r>
      <w:r>
        <w:rPr>
          <w:rFonts w:hint="eastAsia" w:asciiTheme="minorEastAsia" w:hAnsiTheme="minorEastAsia" w:eastAsiaTheme="minorEastAsia"/>
        </w:rPr>
        <w:t xml:space="preserve">与高技能人才集群培养计划相关要求，紧扣新一代信息技术、半导体等国家战略产业人才急需，我校拟通过采购专业化课程开发服务。总体思路：以产业真实场景→典型工作任务→职业能力图谱→模块化课程体系→数字资源为主线，联合行业头部企业与职教专家，构建基于能力图谱、对标岗位标准、融入最新工艺与项目案例的课程体系，实现人才培养与产业需求精准对接，助力我校高水平专业群建设与高质量技术技能人才培养。</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（一）</w:t>
      </w:r>
      <w:r>
        <w:rPr>
          <w:rFonts w:asciiTheme="minorEastAsia" w:hAnsiTheme="minorEastAsia" w:eastAsiaTheme="minorEastAsia"/>
        </w:rPr>
        <w:t xml:space="preserve">项目建设范围</w:t>
      </w:r>
      <w:r/>
    </w:p>
    <w:p>
      <w:pPr>
        <w:ind w:firstLine="420"/>
        <w:spacing w:line="360" w:lineRule="auto"/>
        <w:rPr>
          <w:rFonts w:cs="宋体" w:asciiTheme="minorEastAsia" w:hAnsiTheme="minorEastAsia" w:eastAsiaTheme="minorEastAsia"/>
          <w:b/>
          <w:szCs w:val="21"/>
        </w:rPr>
      </w:pPr>
      <w:r>
        <w:rPr>
          <w:rFonts w:asciiTheme="minorEastAsia" w:hAnsiTheme="minorEastAsia" w:eastAsiaTheme="minorEastAsia"/>
        </w:rPr>
        <w:t xml:space="preserve">本项目面向职业教育精品在线课程建设需求，对以下10门课程开展课程建设技术服务：</w:t>
      </w:r>
      <w:r/>
    </w:p>
    <w:tbl>
      <w:tblPr>
        <w:tblW w:w="7158" w:type="dxa"/>
        <w:tblInd w:w="4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hemeFill="background1"/>
        <w:tblLayout w:type="fixed"/>
        <w:tblCellMar>
          <w:left w:w="10" w:type="dxa"/>
          <w:right w:w="10" w:type="dxa"/>
        </w:tblCellMar>
        <w:tblLook w:val="04A0" w:firstRow="1" w:lastRow="0" w:firstColumn="1" w:lastColumn="0" w:noHBand="0" w:noVBand="1"/>
      </w:tblPr>
      <w:tblGrid>
        <w:gridCol w:w="754"/>
        <w:gridCol w:w="2718"/>
        <w:gridCol w:w="992"/>
        <w:gridCol w:w="2694"/>
      </w:tblGrid>
      <w:tr>
        <w:trPr>
          <w:cantSplit/>
          <w:tblHeader/>
        </w:trPr>
        <w:tc>
          <w:tcPr>
            <w:shd w:val="clear" w:color="auto" w:fill="ffffff" w:themeFill="background1"/>
            <w:tcMar>
              <w:left w:w="80" w:type="dxa"/>
              <w:top w:w="60" w:type="dxa"/>
              <w:right w:w="80" w:type="dxa"/>
              <w:bottom w:w="60" w:type="dxa"/>
            </w:tcMar>
            <w:tcW w:w="754"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序号</w:t>
            </w:r>
            <w:r/>
          </w:p>
        </w:tc>
        <w:tc>
          <w:tcPr>
            <w:shd w:val="clear" w:color="auto" w:fill="ffffff" w:themeFill="background1"/>
            <w:tcMar>
              <w:left w:w="80" w:type="dxa"/>
              <w:top w:w="60" w:type="dxa"/>
              <w:right w:w="80" w:type="dxa"/>
              <w:bottom w:w="60" w:type="dxa"/>
            </w:tcMar>
            <w:tcW w:w="2718"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课程名称</w:t>
            </w:r>
            <w:r/>
          </w:p>
        </w:tc>
        <w:tc>
          <w:tcPr>
            <w:shd w:val="clear" w:color="auto" w:fill="ffffff" w:themeFill="background1"/>
            <w:tcMar>
              <w:left w:w="80" w:type="dxa"/>
              <w:top w:w="60" w:type="dxa"/>
              <w:right w:w="80" w:type="dxa"/>
              <w:bottom w:w="60" w:type="dxa"/>
            </w:tcMar>
            <w:tcW w:w="992"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序号</w:t>
            </w:r>
            <w:r/>
          </w:p>
        </w:tc>
        <w:tc>
          <w:tcPr>
            <w:shd w:val="clear" w:color="auto" w:fill="ffffff" w:themeFill="background1"/>
            <w:tcMar>
              <w:left w:w="80" w:type="dxa"/>
              <w:top w:w="60" w:type="dxa"/>
              <w:right w:w="80" w:type="dxa"/>
              <w:bottom w:w="60" w:type="dxa"/>
            </w:tcMar>
            <w:tcW w:w="2694"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课程名称</w:t>
            </w:r>
            <w:r/>
          </w:p>
        </w:tc>
      </w:tr>
      <w:tr>
        <w:trPr>
          <w:cantSplit/>
        </w:trPr>
        <w:tc>
          <w:tcPr>
            <w:shd w:val="clear" w:color="auto" w:fill="ffffff" w:themeFill="background1"/>
            <w:tcMar>
              <w:left w:w="80" w:type="dxa"/>
              <w:top w:w="60" w:type="dxa"/>
              <w:right w:w="80" w:type="dxa"/>
              <w:bottom w:w="60" w:type="dxa"/>
            </w:tcMar>
            <w:tcW w:w="754"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1</w:t>
            </w:r>
            <w:r/>
          </w:p>
        </w:tc>
        <w:tc>
          <w:tcPr>
            <w:shd w:val="clear" w:color="auto" w:fill="ffffff" w:themeFill="background1"/>
            <w:tcMar>
              <w:left w:w="80" w:type="dxa"/>
              <w:top w:w="60" w:type="dxa"/>
              <w:right w:w="80" w:type="dxa"/>
              <w:bottom w:w="60" w:type="dxa"/>
            </w:tcMar>
            <w:tcW w:w="2718" w:type="dxa"/>
            <w:vAlign w:val="center"/>
            <w:textDirection w:val="lrTb"/>
            <w:noWrap w:val="false"/>
          </w:tcPr>
          <w:p>
            <w:pPr>
              <w:jc w:val="left"/>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半导体厂务项目工程管理</w:t>
            </w:r>
            <w:r/>
          </w:p>
        </w:tc>
        <w:tc>
          <w:tcPr>
            <w:shd w:val="clear" w:color="auto" w:fill="ffffff" w:themeFill="background1"/>
            <w:tcMar>
              <w:left w:w="80" w:type="dxa"/>
              <w:top w:w="60" w:type="dxa"/>
              <w:right w:w="80" w:type="dxa"/>
              <w:bottom w:w="60" w:type="dxa"/>
            </w:tcMar>
            <w:tcW w:w="992"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6</w:t>
            </w:r>
            <w:r/>
          </w:p>
        </w:tc>
        <w:tc>
          <w:tcPr>
            <w:shd w:val="clear" w:color="auto" w:fill="ffffff" w:themeFill="background1"/>
            <w:tcMar>
              <w:left w:w="80" w:type="dxa"/>
              <w:top w:w="60" w:type="dxa"/>
              <w:right w:w="80" w:type="dxa"/>
              <w:bottom w:w="60" w:type="dxa"/>
            </w:tcMar>
            <w:tcW w:w="2694" w:type="dxa"/>
            <w:vAlign w:val="center"/>
            <w:textDirection w:val="lrTb"/>
            <w:noWrap w:val="false"/>
          </w:tcPr>
          <w:p>
            <w:pPr>
              <w:jc w:val="left"/>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物联网系统测试技术</w:t>
            </w:r>
            <w:r/>
          </w:p>
        </w:tc>
      </w:tr>
      <w:tr>
        <w:trPr>
          <w:cantSplit/>
        </w:trPr>
        <w:tc>
          <w:tcPr>
            <w:shd w:val="clear" w:color="auto" w:fill="ffffff" w:themeFill="background1"/>
            <w:tcMar>
              <w:left w:w="80" w:type="dxa"/>
              <w:top w:w="60" w:type="dxa"/>
              <w:right w:w="80" w:type="dxa"/>
              <w:bottom w:w="60" w:type="dxa"/>
            </w:tcMar>
            <w:tcW w:w="754"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2</w:t>
            </w:r>
            <w:r/>
          </w:p>
        </w:tc>
        <w:tc>
          <w:tcPr>
            <w:shd w:val="clear" w:color="auto" w:fill="ffffff" w:themeFill="background1"/>
            <w:tcMar>
              <w:left w:w="80" w:type="dxa"/>
              <w:top w:w="60" w:type="dxa"/>
              <w:right w:w="80" w:type="dxa"/>
              <w:bottom w:w="60" w:type="dxa"/>
            </w:tcMar>
            <w:tcW w:w="2718" w:type="dxa"/>
            <w:vAlign w:val="center"/>
            <w:textDirection w:val="lrTb"/>
            <w:noWrap w:val="false"/>
          </w:tcPr>
          <w:p>
            <w:pPr>
              <w:jc w:val="left"/>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Verilog HDL与FPGA设计</w:t>
            </w:r>
            <w:r/>
          </w:p>
        </w:tc>
        <w:tc>
          <w:tcPr>
            <w:shd w:val="clear" w:color="auto" w:fill="ffffff" w:themeFill="background1"/>
            <w:tcMar>
              <w:left w:w="80" w:type="dxa"/>
              <w:top w:w="60" w:type="dxa"/>
              <w:right w:w="80" w:type="dxa"/>
              <w:bottom w:w="60" w:type="dxa"/>
            </w:tcMar>
            <w:tcW w:w="992"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7</w:t>
            </w:r>
            <w:r/>
          </w:p>
        </w:tc>
        <w:tc>
          <w:tcPr>
            <w:shd w:val="clear" w:color="auto" w:fill="ffffff" w:themeFill="background1"/>
            <w:tcMar>
              <w:left w:w="80" w:type="dxa"/>
              <w:top w:w="60" w:type="dxa"/>
              <w:right w:w="80" w:type="dxa"/>
              <w:bottom w:w="60" w:type="dxa"/>
            </w:tcMar>
            <w:tcW w:w="2694" w:type="dxa"/>
            <w:vAlign w:val="center"/>
            <w:textDirection w:val="lrTb"/>
            <w:noWrap w:val="false"/>
          </w:tcPr>
          <w:p>
            <w:pPr>
              <w:jc w:val="left"/>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移动通信设备运行与维护</w:t>
            </w:r>
            <w:r/>
          </w:p>
        </w:tc>
      </w:tr>
      <w:tr>
        <w:trPr>
          <w:cantSplit/>
        </w:trPr>
        <w:tc>
          <w:tcPr>
            <w:shd w:val="clear" w:color="auto" w:fill="ffffff" w:themeFill="background1"/>
            <w:tcMar>
              <w:left w:w="80" w:type="dxa"/>
              <w:top w:w="60" w:type="dxa"/>
              <w:right w:w="80" w:type="dxa"/>
              <w:bottom w:w="60" w:type="dxa"/>
            </w:tcMar>
            <w:tcW w:w="754"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3</w:t>
            </w:r>
            <w:r/>
          </w:p>
        </w:tc>
        <w:tc>
          <w:tcPr>
            <w:shd w:val="clear" w:color="auto" w:fill="ffffff" w:themeFill="background1"/>
            <w:tcMar>
              <w:left w:w="80" w:type="dxa"/>
              <w:top w:w="60" w:type="dxa"/>
              <w:right w:w="80" w:type="dxa"/>
              <w:bottom w:w="60" w:type="dxa"/>
            </w:tcMar>
            <w:tcW w:w="2718" w:type="dxa"/>
            <w:vAlign w:val="center"/>
            <w:textDirection w:val="lrTb"/>
            <w:noWrap w:val="false"/>
          </w:tcPr>
          <w:p>
            <w:pPr>
              <w:jc w:val="left"/>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PCB设计及应用</w:t>
            </w:r>
            <w:r/>
          </w:p>
        </w:tc>
        <w:tc>
          <w:tcPr>
            <w:shd w:val="clear" w:color="auto" w:fill="ffffff" w:themeFill="background1"/>
            <w:tcMar>
              <w:left w:w="80" w:type="dxa"/>
              <w:top w:w="60" w:type="dxa"/>
              <w:right w:w="80" w:type="dxa"/>
              <w:bottom w:w="60" w:type="dxa"/>
            </w:tcMar>
            <w:tcW w:w="992"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8</w:t>
            </w:r>
            <w:r/>
          </w:p>
        </w:tc>
        <w:tc>
          <w:tcPr>
            <w:shd w:val="clear" w:color="auto" w:fill="ffffff" w:themeFill="background1"/>
            <w:tcMar>
              <w:left w:w="80" w:type="dxa"/>
              <w:top w:w="60" w:type="dxa"/>
              <w:right w:w="80" w:type="dxa"/>
              <w:bottom w:w="60" w:type="dxa"/>
            </w:tcMar>
            <w:tcW w:w="2694" w:type="dxa"/>
            <w:vAlign w:val="center"/>
            <w:textDirection w:val="lrTb"/>
            <w:noWrap w:val="false"/>
          </w:tcPr>
          <w:p>
            <w:pPr>
              <w:jc w:val="left"/>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液压与气压传动控制技术</w:t>
            </w:r>
            <w:r/>
          </w:p>
        </w:tc>
      </w:tr>
      <w:tr>
        <w:trPr>
          <w:cantSplit/>
        </w:trPr>
        <w:tc>
          <w:tcPr>
            <w:shd w:val="clear" w:color="auto" w:fill="ffffff" w:themeFill="background1"/>
            <w:tcMar>
              <w:left w:w="80" w:type="dxa"/>
              <w:top w:w="60" w:type="dxa"/>
              <w:right w:w="80" w:type="dxa"/>
              <w:bottom w:w="60" w:type="dxa"/>
            </w:tcMar>
            <w:tcW w:w="754"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4</w:t>
            </w:r>
            <w:r/>
          </w:p>
        </w:tc>
        <w:tc>
          <w:tcPr>
            <w:shd w:val="clear" w:color="auto" w:fill="ffffff" w:themeFill="background1"/>
            <w:tcMar>
              <w:left w:w="80" w:type="dxa"/>
              <w:top w:w="60" w:type="dxa"/>
              <w:right w:w="80" w:type="dxa"/>
              <w:bottom w:w="60" w:type="dxa"/>
            </w:tcMar>
            <w:tcW w:w="2718" w:type="dxa"/>
            <w:vAlign w:val="center"/>
            <w:textDirection w:val="lrTb"/>
            <w:noWrap w:val="false"/>
          </w:tcPr>
          <w:p>
            <w:pPr>
              <w:jc w:val="left"/>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智能工厂传感网应用技术</w:t>
            </w:r>
            <w:r/>
          </w:p>
        </w:tc>
        <w:tc>
          <w:tcPr>
            <w:shd w:val="clear" w:color="auto" w:fill="ffffff" w:themeFill="background1"/>
            <w:tcMar>
              <w:left w:w="80" w:type="dxa"/>
              <w:top w:w="60" w:type="dxa"/>
              <w:right w:w="80" w:type="dxa"/>
              <w:bottom w:w="60" w:type="dxa"/>
            </w:tcMar>
            <w:tcW w:w="992"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9</w:t>
            </w:r>
            <w:r/>
          </w:p>
        </w:tc>
        <w:tc>
          <w:tcPr>
            <w:shd w:val="clear" w:color="auto" w:fill="ffffff" w:themeFill="background1"/>
            <w:tcMar>
              <w:left w:w="80" w:type="dxa"/>
              <w:top w:w="60" w:type="dxa"/>
              <w:right w:w="80" w:type="dxa"/>
              <w:bottom w:w="60" w:type="dxa"/>
            </w:tcMar>
            <w:tcW w:w="2694" w:type="dxa"/>
            <w:vAlign w:val="center"/>
            <w:textDirection w:val="lrTb"/>
            <w:noWrap w:val="false"/>
          </w:tcPr>
          <w:p>
            <w:pPr>
              <w:jc w:val="left"/>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自动化设备编程与控制</w:t>
            </w:r>
            <w:r/>
          </w:p>
        </w:tc>
      </w:tr>
      <w:tr>
        <w:trPr>
          <w:cantSplit/>
        </w:trPr>
        <w:tc>
          <w:tcPr>
            <w:shd w:val="clear" w:color="auto" w:fill="ffffff" w:themeFill="background1"/>
            <w:tcMar>
              <w:left w:w="80" w:type="dxa"/>
              <w:top w:w="60" w:type="dxa"/>
              <w:right w:w="80" w:type="dxa"/>
              <w:bottom w:w="60" w:type="dxa"/>
            </w:tcMar>
            <w:tcW w:w="754"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5</w:t>
            </w:r>
            <w:r/>
          </w:p>
        </w:tc>
        <w:tc>
          <w:tcPr>
            <w:shd w:val="clear" w:color="auto" w:fill="ffffff" w:themeFill="background1"/>
            <w:tcMar>
              <w:left w:w="80" w:type="dxa"/>
              <w:top w:w="60" w:type="dxa"/>
              <w:right w:w="80" w:type="dxa"/>
              <w:bottom w:w="60" w:type="dxa"/>
            </w:tcMar>
            <w:tcW w:w="2718" w:type="dxa"/>
            <w:vAlign w:val="center"/>
            <w:textDirection w:val="lrTb"/>
            <w:noWrap w:val="false"/>
          </w:tcPr>
          <w:p>
            <w:pPr>
              <w:jc w:val="left"/>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智能产品辅助设计与开发</w:t>
            </w:r>
            <w:r/>
          </w:p>
        </w:tc>
        <w:tc>
          <w:tcPr>
            <w:shd w:val="clear" w:color="auto" w:fill="ffffff" w:themeFill="background1"/>
            <w:tcMar>
              <w:left w:w="80" w:type="dxa"/>
              <w:top w:w="60" w:type="dxa"/>
              <w:right w:w="80" w:type="dxa"/>
              <w:bottom w:w="60" w:type="dxa"/>
            </w:tcMar>
            <w:tcW w:w="992" w:type="dxa"/>
            <w:vAlign w:val="center"/>
            <w:textDirection w:val="lrTb"/>
            <w:noWrap w:val="false"/>
          </w:tcPr>
          <w:p>
            <w:pPr>
              <w:jc w:val="center"/>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10</w:t>
            </w:r>
            <w:r/>
          </w:p>
        </w:tc>
        <w:tc>
          <w:tcPr>
            <w:shd w:val="clear" w:color="auto" w:fill="ffffff" w:themeFill="background1"/>
            <w:tcMar>
              <w:left w:w="80" w:type="dxa"/>
              <w:top w:w="60" w:type="dxa"/>
              <w:right w:w="80" w:type="dxa"/>
              <w:bottom w:w="60" w:type="dxa"/>
            </w:tcMar>
            <w:tcW w:w="2694" w:type="dxa"/>
            <w:vAlign w:val="center"/>
            <w:textDirection w:val="lrTb"/>
            <w:noWrap w:val="false"/>
          </w:tcPr>
          <w:p>
            <w:pPr>
              <w:jc w:val="left"/>
              <w:spacing w:line="288" w:lineRule="auto"/>
              <w:widowControl/>
              <w:rPr>
                <w:rFonts w:asciiTheme="minorEastAsia" w:hAnsiTheme="minorEastAsia" w:eastAsiaTheme="minorEastAsia"/>
                <w:szCs w:val="21"/>
              </w:rPr>
            </w:pPr>
            <w:r>
              <w:rPr>
                <w:rFonts w:asciiTheme="minorEastAsia" w:hAnsiTheme="minorEastAsia" w:eastAsiaTheme="minorEastAsia"/>
                <w:szCs w:val="21"/>
              </w:rPr>
              <w:t xml:space="preserve">计算机视觉应用开发</w:t>
            </w:r>
            <w:r/>
          </w:p>
        </w:tc>
      </w:tr>
    </w:tbl>
    <w:p>
      <w:pPr>
        <w:pStyle w:val="1068"/>
        <w:ind w:firstLine="420"/>
        <w:rPr>
          <w:rFonts w:asciiTheme="minorEastAsia" w:hAnsiTheme="minorEastAsia" w:eastAsiaTheme="minorEastAsia"/>
        </w:rPr>
      </w:pPr>
      <w:r>
        <w:rPr>
          <w:rFonts w:asciiTheme="minorEastAsia" w:hAnsiTheme="minorEastAsia" w:eastAsiaTheme="minorEastAsia"/>
        </w:rPr>
        <w:t xml:space="preserve">本项目服务内容包括产业岗位调研与需求分析、职业能力图谱构建、课程标准与教学文件开发、真实生产案例库建设、数字化教学资源开发、专家评审与质量把控、成果汇总、应用培训以及课程平台部署与使用指导。</w:t>
      </w:r>
      <w:r/>
    </w:p>
    <w:p>
      <w:pPr>
        <w:pStyle w:val="1067"/>
        <w:ind w:firstLine="420"/>
        <w:spacing w:before="0"/>
        <w:rPr>
          <w:rFonts w:asciiTheme="minorEastAsia" w:hAnsiTheme="minorEastAsia" w:eastAsiaTheme="minorEastAsia"/>
          <w:b w:val="0"/>
        </w:rPr>
      </w:pPr>
      <w:r>
        <w:rPr>
          <w:rFonts w:hint="eastAsia" w:asciiTheme="minorEastAsia" w:hAnsiTheme="minorEastAsia" w:eastAsiaTheme="minorEastAsia"/>
          <w:b w:val="0"/>
        </w:rPr>
        <w:t xml:space="preserve">（二）</w:t>
      </w:r>
      <w:r>
        <w:rPr>
          <w:rFonts w:asciiTheme="minorEastAsia" w:hAnsiTheme="minorEastAsia" w:eastAsiaTheme="minorEastAsia"/>
          <w:b w:val="0"/>
        </w:rPr>
        <w:t xml:space="preserve">课程调研与体系设计要求</w:t>
      </w:r>
      <w:r/>
    </w:p>
    <w:p>
      <w:pPr>
        <w:pStyle w:val="1069"/>
        <w:ind w:firstLine="420"/>
        <w:spacing w:before="0"/>
        <w:rPr>
          <w:rFonts w:asciiTheme="minorEastAsia" w:hAnsiTheme="minorEastAsia" w:eastAsiaTheme="minorEastAsia"/>
          <w:b w:val="0"/>
        </w:rPr>
      </w:pPr>
      <w:r>
        <w:rPr>
          <w:rFonts w:hint="eastAsia" w:asciiTheme="minorEastAsia" w:hAnsiTheme="minorEastAsia" w:eastAsiaTheme="minorEastAsia"/>
          <w:b w:val="0"/>
        </w:rPr>
        <w:t xml:space="preserve">1、</w:t>
      </w:r>
      <w:r>
        <w:rPr>
          <w:rFonts w:asciiTheme="minorEastAsia" w:hAnsiTheme="minorEastAsia" w:eastAsiaTheme="minorEastAsia"/>
          <w:b w:val="0"/>
        </w:rPr>
        <w:t xml:space="preserve">产业岗位调研与需求分析</w:t>
      </w:r>
      <w:r/>
    </w:p>
    <w:p>
      <w:pPr>
        <w:pStyle w:val="1068"/>
        <w:ind w:firstLine="420"/>
        <w:rPr>
          <w:rFonts w:asciiTheme="minorEastAsia" w:hAnsiTheme="minorEastAsia" w:eastAsiaTheme="minorEastAsia"/>
        </w:rPr>
      </w:pPr>
      <w:r>
        <w:rPr>
          <w:rFonts w:asciiTheme="minorEastAsia" w:hAnsiTheme="minorEastAsia" w:eastAsiaTheme="minorEastAsia"/>
        </w:rPr>
        <w:t xml:space="preserve">围绕10门课程的建设定位，面向长三角半导体制造、物联网、智能装备、新一代信息通信、软件与信息服务、智能制造等产业头部企业开展调研，重点完成以下工作：</w:t>
      </w:r>
      <w:r/>
    </w:p>
    <w:p>
      <w:pPr>
        <w:pStyle w:val="1068"/>
        <w:ind w:firstLine="420"/>
        <w:rPr>
          <w:rFonts w:asciiTheme="minorEastAsia" w:hAnsiTheme="minorEastAsia" w:eastAsiaTheme="minorEastAsia"/>
        </w:rPr>
      </w:pPr>
      <w:r>
        <w:rPr>
          <w:rFonts w:asciiTheme="minorEastAsia" w:hAnsiTheme="minorEastAsia" w:eastAsiaTheme="minorEastAsia"/>
        </w:rPr>
        <w:t xml:space="preserve">（1）梳理半导体厂务工程、FPGA及硬件开发、PCB硬件设计、智能工厂运维、物联网技术、移动通信、自动化控制、计算机视觉等八大类岗位的典型工作任务、新工艺、新项目及企业标准。</w:t>
      </w:r>
      <w:r/>
    </w:p>
    <w:p>
      <w:pPr>
        <w:pStyle w:val="1068"/>
        <w:ind w:firstLine="420"/>
        <w:rPr>
          <w:rFonts w:asciiTheme="minorEastAsia" w:hAnsiTheme="minorEastAsia" w:eastAsiaTheme="minorEastAsia"/>
        </w:rPr>
      </w:pPr>
      <w:r>
        <w:rPr>
          <w:rFonts w:asciiTheme="minorEastAsia" w:hAnsiTheme="minorEastAsia" w:eastAsiaTheme="minorEastAsia"/>
        </w:rPr>
        <w:t xml:space="preserve">（2）调研行业人才需求、岗位能力要求、技能等级标准和职业规范。</w:t>
      </w:r>
      <w:r/>
    </w:p>
    <w:p>
      <w:pPr>
        <w:pStyle w:val="1068"/>
        <w:ind w:firstLine="420"/>
        <w:rPr>
          <w:rFonts w:asciiTheme="minorEastAsia" w:hAnsiTheme="minorEastAsia" w:eastAsiaTheme="minorEastAsia"/>
        </w:rPr>
      </w:pPr>
      <w:r>
        <w:rPr>
          <w:rFonts w:asciiTheme="minorEastAsia" w:hAnsiTheme="minorEastAsia" w:eastAsiaTheme="minorEastAsia"/>
        </w:rPr>
        <w:t xml:space="preserve">（3）结合10门课程定位，建立岗位、任务、能力与课程之间的对应关系，明确课程建设依据。</w:t>
      </w:r>
      <w:r/>
    </w:p>
    <w:p>
      <w:pPr>
        <w:pStyle w:val="1068"/>
        <w:ind w:firstLine="420"/>
        <w:rPr>
          <w:rFonts w:asciiTheme="minorEastAsia" w:hAnsiTheme="minorEastAsia" w:eastAsiaTheme="minorEastAsia"/>
        </w:rPr>
      </w:pPr>
      <w:r>
        <w:rPr>
          <w:rFonts w:asciiTheme="minorEastAsia" w:hAnsiTheme="minorEastAsia" w:eastAsiaTheme="minorEastAsia"/>
        </w:rPr>
        <w:t xml:space="preserve">（4）完成课程建设背景、产业现状及同类院校建设情况的对比分析。</w:t>
      </w:r>
      <w:r/>
    </w:p>
    <w:p>
      <w:pPr>
        <w:pStyle w:val="1068"/>
        <w:ind w:firstLine="420"/>
        <w:rPr>
          <w:rFonts w:asciiTheme="minorEastAsia" w:hAnsiTheme="minorEastAsia" w:eastAsiaTheme="minorEastAsia"/>
        </w:rPr>
      </w:pPr>
      <w:r>
        <w:rPr>
          <w:rFonts w:asciiTheme="minorEastAsia" w:hAnsiTheme="minorEastAsia" w:eastAsiaTheme="minorEastAsia"/>
        </w:rPr>
        <w:t xml:space="preserve">交付成果：《产业岗位调研报告》（含岗位能力需求、技术规范、任务清单）、《课程建设背景与必要性分析报告》、《典型工作任务清单》、《真实生产案例清单》。</w:t>
      </w:r>
      <w:r/>
    </w:p>
    <w:p>
      <w:pPr>
        <w:pStyle w:val="1069"/>
        <w:ind w:firstLine="420"/>
        <w:spacing w:before="0"/>
        <w:rPr>
          <w:rFonts w:asciiTheme="minorEastAsia" w:hAnsiTheme="minorEastAsia" w:eastAsiaTheme="minorEastAsia"/>
          <w:b w:val="0"/>
        </w:rPr>
      </w:pPr>
      <w:r>
        <w:rPr>
          <w:rFonts w:hint="eastAsia" w:asciiTheme="minorEastAsia" w:hAnsiTheme="minorEastAsia" w:eastAsiaTheme="minorEastAsia"/>
          <w:b w:val="0"/>
        </w:rPr>
        <w:t xml:space="preserve">2、</w:t>
      </w:r>
      <w:r>
        <w:rPr>
          <w:rFonts w:asciiTheme="minorEastAsia" w:hAnsiTheme="minorEastAsia" w:eastAsiaTheme="minorEastAsia"/>
          <w:b w:val="0"/>
        </w:rPr>
        <w:t xml:space="preserve">职业能力图谱与课程体系构建</w:t>
      </w:r>
      <w:r/>
    </w:p>
    <w:p>
      <w:pPr>
        <w:pStyle w:val="1068"/>
        <w:ind w:firstLine="420"/>
        <w:rPr>
          <w:rFonts w:asciiTheme="minorEastAsia" w:hAnsiTheme="minorEastAsia" w:eastAsiaTheme="minorEastAsia"/>
        </w:rPr>
      </w:pPr>
      <w:r>
        <w:rPr>
          <w:rFonts w:asciiTheme="minorEastAsia" w:hAnsiTheme="minorEastAsia" w:eastAsiaTheme="minorEastAsia"/>
        </w:rPr>
        <w:t xml:space="preserve">（1）对10门课程对应岗位进行能力拆解，形成知识、技能、素养三个维度的能力单元。</w:t>
      </w:r>
      <w:r/>
    </w:p>
    <w:p>
      <w:pPr>
        <w:pStyle w:val="1068"/>
        <w:ind w:firstLine="420"/>
        <w:rPr>
          <w:rFonts w:asciiTheme="minorEastAsia" w:hAnsiTheme="minorEastAsia" w:eastAsiaTheme="minorEastAsia"/>
        </w:rPr>
      </w:pPr>
      <w:r>
        <w:rPr>
          <w:rFonts w:asciiTheme="minorEastAsia" w:hAnsiTheme="minorEastAsia" w:eastAsiaTheme="minorEastAsia"/>
        </w:rPr>
        <w:t xml:space="preserve">（2）建立职业能力图谱可视化模型，完成岗位能力与课程知识点、技能点的精准对标。</w:t>
      </w:r>
      <w:r/>
    </w:p>
    <w:p>
      <w:pPr>
        <w:pStyle w:val="1068"/>
        <w:ind w:firstLine="420"/>
        <w:rPr>
          <w:rFonts w:asciiTheme="minorEastAsia" w:hAnsiTheme="minorEastAsia" w:eastAsiaTheme="minorEastAsia"/>
        </w:rPr>
      </w:pPr>
      <w:r>
        <w:rPr>
          <w:rFonts w:asciiTheme="minorEastAsia" w:hAnsiTheme="minorEastAsia" w:eastAsiaTheme="minorEastAsia"/>
        </w:rPr>
        <w:t xml:space="preserve">（3）基于职业能力图谱重构课程体系，形成模块化、项目化的课程内容结构。</w:t>
      </w:r>
      <w:r/>
    </w:p>
    <w:p>
      <w:pPr>
        <w:pStyle w:val="1068"/>
        <w:ind w:firstLine="420"/>
        <w:rPr>
          <w:rFonts w:asciiTheme="minorEastAsia" w:hAnsiTheme="minorEastAsia" w:eastAsiaTheme="minorEastAsia"/>
        </w:rPr>
      </w:pPr>
      <w:r>
        <w:rPr>
          <w:rFonts w:asciiTheme="minorEastAsia" w:hAnsiTheme="minorEastAsia" w:eastAsiaTheme="minorEastAsia"/>
        </w:rPr>
        <w:t xml:space="preserve">（4）将最新技术工艺、企业真实项目及岗课赛证要求融入课程建设。</w:t>
      </w:r>
      <w:r/>
    </w:p>
    <w:p>
      <w:pPr>
        <w:pStyle w:val="1068"/>
        <w:ind w:firstLine="420"/>
        <w:rPr>
          <w:rFonts w:asciiTheme="minorEastAsia" w:hAnsiTheme="minorEastAsia" w:eastAsiaTheme="minorEastAsia"/>
        </w:rPr>
      </w:pPr>
      <w:r>
        <w:rPr>
          <w:rFonts w:asciiTheme="minorEastAsia" w:hAnsiTheme="minorEastAsia" w:eastAsiaTheme="minorEastAsia"/>
        </w:rPr>
        <w:t xml:space="preserve">交付成果：10门课程职业能力图谱（可视化图表）、10份能力矩阵表、《模块化课程体系设计方案》、《课程内容改革清单》。</w:t>
      </w:r>
      <w:r/>
    </w:p>
    <w:p>
      <w:pPr>
        <w:pStyle w:val="1069"/>
        <w:ind w:firstLine="420"/>
        <w:spacing w:before="0"/>
        <w:rPr>
          <w:rFonts w:asciiTheme="minorEastAsia" w:hAnsiTheme="minorEastAsia" w:eastAsiaTheme="minorEastAsia"/>
          <w:b w:val="0"/>
        </w:rPr>
      </w:pPr>
      <w:r>
        <w:rPr>
          <w:rFonts w:hint="eastAsia" w:asciiTheme="minorEastAsia" w:hAnsiTheme="minorEastAsia" w:eastAsiaTheme="minorEastAsia"/>
          <w:b w:val="0"/>
        </w:rPr>
        <w:t xml:space="preserve">3、</w:t>
      </w:r>
      <w:r>
        <w:rPr>
          <w:rFonts w:asciiTheme="minorEastAsia" w:hAnsiTheme="minorEastAsia" w:eastAsiaTheme="minorEastAsia"/>
          <w:b w:val="0"/>
        </w:rPr>
        <w:t xml:space="preserve">课程标准与教学文件开发</w:t>
      </w:r>
      <w:r/>
    </w:p>
    <w:p>
      <w:pPr>
        <w:pStyle w:val="1068"/>
        <w:ind w:firstLine="420"/>
        <w:rPr>
          <w:rFonts w:asciiTheme="minorEastAsia" w:hAnsiTheme="minorEastAsia" w:eastAsiaTheme="minorEastAsia"/>
        </w:rPr>
      </w:pPr>
      <w:r>
        <w:rPr>
          <w:rFonts w:asciiTheme="minorEastAsia" w:hAnsiTheme="minorEastAsia" w:eastAsiaTheme="minorEastAsia"/>
        </w:rPr>
        <w:t xml:space="preserve">（1）依据职业能力图谱编制课程标准，明确课程性质、课程目标、教学内容、学时安排和考核要求。</w:t>
      </w:r>
      <w:r/>
    </w:p>
    <w:p>
      <w:pPr>
        <w:pStyle w:val="1068"/>
        <w:ind w:firstLine="420"/>
        <w:rPr>
          <w:rFonts w:asciiTheme="minorEastAsia" w:hAnsiTheme="minorEastAsia" w:eastAsiaTheme="minorEastAsia"/>
        </w:rPr>
      </w:pPr>
      <w:r>
        <w:rPr>
          <w:rFonts w:asciiTheme="minorEastAsia" w:hAnsiTheme="minorEastAsia" w:eastAsiaTheme="minorEastAsia"/>
        </w:rPr>
        <w:t xml:space="preserve">（2）设计课程项目及任务结构，明确知识、技能和素质目标。</w:t>
      </w:r>
      <w:r/>
    </w:p>
    <w:p>
      <w:pPr>
        <w:pStyle w:val="1068"/>
        <w:ind w:firstLine="420"/>
        <w:rPr>
          <w:rFonts w:asciiTheme="minorEastAsia" w:hAnsiTheme="minorEastAsia" w:eastAsiaTheme="minorEastAsia"/>
        </w:rPr>
      </w:pPr>
      <w:r>
        <w:rPr>
          <w:rFonts w:asciiTheme="minorEastAsia" w:hAnsiTheme="minorEastAsia" w:eastAsiaTheme="minorEastAsia"/>
        </w:rPr>
        <w:t xml:space="preserve">（3）制定包括过程性评价、终结性评价和增值性评价在内的课程考核评价方案。</w:t>
      </w:r>
      <w:r/>
    </w:p>
    <w:p>
      <w:pPr>
        <w:pStyle w:val="1068"/>
        <w:ind w:firstLine="420"/>
        <w:rPr>
          <w:rFonts w:asciiTheme="minorEastAsia" w:hAnsiTheme="minorEastAsia" w:eastAsiaTheme="minorEastAsia"/>
        </w:rPr>
      </w:pPr>
      <w:r>
        <w:rPr>
          <w:rFonts w:asciiTheme="minorEastAsia" w:hAnsiTheme="minorEastAsia" w:eastAsiaTheme="minorEastAsia"/>
        </w:rPr>
        <w:t xml:space="preserve">交付成果：10门课程标准、课程考核评价方案与评分标准。</w:t>
      </w:r>
      <w:r/>
    </w:p>
    <w:p>
      <w:pPr>
        <w:pStyle w:val="1067"/>
        <w:ind w:firstLine="420"/>
        <w:spacing w:before="0"/>
        <w:rPr>
          <w:rFonts w:asciiTheme="minorEastAsia" w:hAnsiTheme="minorEastAsia" w:eastAsiaTheme="minorEastAsia"/>
          <w:b w:val="0"/>
        </w:rPr>
      </w:pPr>
      <w:r>
        <w:rPr>
          <w:rFonts w:hint="eastAsia" w:asciiTheme="minorEastAsia" w:hAnsiTheme="minorEastAsia" w:eastAsiaTheme="minorEastAsia"/>
          <w:b w:val="0"/>
        </w:rPr>
        <w:t xml:space="preserve">（三）</w:t>
      </w:r>
      <w:r>
        <w:rPr>
          <w:rFonts w:asciiTheme="minorEastAsia" w:hAnsiTheme="minorEastAsia" w:eastAsiaTheme="minorEastAsia"/>
          <w:b w:val="0"/>
        </w:rPr>
        <w:t xml:space="preserve">真实生产案例与数字化教学资源建设要求</w:t>
      </w:r>
      <w:r/>
    </w:p>
    <w:p>
      <w:pPr>
        <w:pStyle w:val="1069"/>
        <w:ind w:firstLine="420"/>
        <w:spacing w:before="0"/>
        <w:rPr>
          <w:rFonts w:asciiTheme="minorEastAsia" w:hAnsiTheme="minorEastAsia" w:eastAsiaTheme="minorEastAsia"/>
          <w:b w:val="0"/>
        </w:rPr>
      </w:pPr>
      <w:r>
        <w:rPr>
          <w:rFonts w:hint="eastAsia" w:asciiTheme="minorEastAsia" w:hAnsiTheme="minorEastAsia" w:eastAsiaTheme="minorEastAsia"/>
          <w:b w:val="0"/>
        </w:rPr>
        <w:t xml:space="preserve">1、</w:t>
      </w:r>
      <w:r>
        <w:rPr>
          <w:rFonts w:asciiTheme="minorEastAsia" w:hAnsiTheme="minorEastAsia" w:eastAsiaTheme="minorEastAsia"/>
          <w:b w:val="0"/>
        </w:rPr>
        <w:t xml:space="preserve">真实生产案例库建设</w:t>
      </w:r>
      <w:r/>
    </w:p>
    <w:p>
      <w:pPr>
        <w:pStyle w:val="1068"/>
        <w:ind w:firstLine="420"/>
        <w:rPr>
          <w:rFonts w:asciiTheme="minorEastAsia" w:hAnsiTheme="minorEastAsia" w:eastAsiaTheme="minorEastAsia"/>
        </w:rPr>
      </w:pPr>
      <w:r>
        <w:rPr>
          <w:rFonts w:asciiTheme="minorEastAsia" w:hAnsiTheme="minorEastAsia" w:eastAsiaTheme="minorEastAsia"/>
        </w:rPr>
        <w:t xml:space="preserve">（1）从合作企业采集真实工程案例、生产项目、技术改造项目及运维工单，并根据教学使用需要进行脱敏改编。</w:t>
      </w:r>
      <w:r/>
    </w:p>
    <w:p>
      <w:pPr>
        <w:pStyle w:val="1068"/>
        <w:ind w:firstLine="420"/>
        <w:rPr>
          <w:rFonts w:asciiTheme="minorEastAsia" w:hAnsiTheme="minorEastAsia" w:eastAsiaTheme="minorEastAsia"/>
        </w:rPr>
      </w:pPr>
      <w:r>
        <w:rPr>
          <w:rFonts w:asciiTheme="minorEastAsia" w:hAnsiTheme="minorEastAsia" w:eastAsiaTheme="minorEastAsia"/>
        </w:rPr>
        <w:t xml:space="preserve">（2）按照课程模块分类整理案例，形成可直接用于教学的教学案例。</w:t>
      </w:r>
      <w:r/>
    </w:p>
    <w:p>
      <w:pPr>
        <w:pStyle w:val="1068"/>
        <w:ind w:firstLine="420"/>
        <w:rPr>
          <w:rFonts w:asciiTheme="minorEastAsia" w:hAnsiTheme="minorEastAsia" w:eastAsiaTheme="minorEastAsia"/>
        </w:rPr>
      </w:pPr>
      <w:r>
        <w:rPr>
          <w:rFonts w:asciiTheme="minorEastAsia" w:hAnsiTheme="minorEastAsia" w:eastAsiaTheme="minorEastAsia"/>
        </w:rPr>
        <w:t xml:space="preserve">（3）每个案例配套任务描述、操作流程、技术要点、质量标准和安全规范。</w:t>
      </w:r>
      <w:r/>
    </w:p>
    <w:p>
      <w:pPr>
        <w:pStyle w:val="1068"/>
        <w:ind w:firstLine="420"/>
        <w:rPr>
          <w:rFonts w:asciiTheme="minorEastAsia" w:hAnsiTheme="minorEastAsia" w:eastAsiaTheme="minorEastAsia"/>
        </w:rPr>
      </w:pPr>
      <w:r>
        <w:rPr>
          <w:rFonts w:asciiTheme="minorEastAsia" w:hAnsiTheme="minorEastAsia" w:eastAsiaTheme="minorEastAsia"/>
        </w:rPr>
        <w:t xml:space="preserve">（4）案例方向覆盖半导体厂务、集成电路、智能制造、物联网等领域。</w:t>
      </w:r>
      <w:r/>
    </w:p>
    <w:p>
      <w:pPr>
        <w:pStyle w:val="1068"/>
        <w:ind w:firstLine="420"/>
        <w:rPr>
          <w:rFonts w:asciiTheme="minorEastAsia" w:hAnsiTheme="minorEastAsia" w:eastAsiaTheme="minorEastAsia"/>
        </w:rPr>
      </w:pPr>
      <w:r>
        <w:rPr>
          <w:rFonts w:asciiTheme="minorEastAsia" w:hAnsiTheme="minorEastAsia" w:eastAsiaTheme="minorEastAsia"/>
        </w:rPr>
        <w:t xml:space="preserve">交付成果：真实生产案例库（不少于40个案例）、案例使用说明与教学建议、企业脱敏工单或作业指导书（SOP）。</w:t>
      </w:r>
      <w:r/>
    </w:p>
    <w:p>
      <w:pPr>
        <w:pStyle w:val="1069"/>
        <w:ind w:firstLine="420"/>
        <w:spacing w:before="0"/>
        <w:rPr>
          <w:rFonts w:asciiTheme="minorEastAsia" w:hAnsiTheme="minorEastAsia" w:eastAsiaTheme="minorEastAsia"/>
          <w:b w:val="0"/>
        </w:rPr>
      </w:pPr>
      <w:r>
        <w:rPr>
          <w:rFonts w:hint="eastAsia" w:asciiTheme="minorEastAsia" w:hAnsiTheme="minorEastAsia" w:eastAsiaTheme="minorEastAsia"/>
          <w:b w:val="0"/>
        </w:rPr>
        <w:t xml:space="preserve">2、</w:t>
      </w:r>
      <w:r>
        <w:rPr>
          <w:rFonts w:asciiTheme="minorEastAsia" w:hAnsiTheme="minorEastAsia" w:eastAsiaTheme="minorEastAsia"/>
          <w:b w:val="0"/>
        </w:rPr>
        <w:t xml:space="preserve">数字化教学资源开发</w:t>
      </w:r>
      <w:r/>
    </w:p>
    <w:p>
      <w:pPr>
        <w:pStyle w:val="1068"/>
        <w:ind w:firstLine="420"/>
        <w:keepNext/>
        <w:rPr>
          <w:rFonts w:asciiTheme="minorEastAsia" w:hAnsiTheme="minorEastAsia" w:eastAsiaTheme="minorEastAsia"/>
        </w:rPr>
      </w:pPr>
      <w:r>
        <w:rPr>
          <w:rFonts w:asciiTheme="minorEastAsia" w:hAnsiTheme="minorEastAsia" w:eastAsiaTheme="minorEastAsia"/>
        </w:rPr>
        <w:t xml:space="preserve">围绕10门课程开发教学微课、实操视频、专业动画及课程配套数字资源，具体要求如下：</w:t>
      </w:r>
      <w:r/>
    </w:p>
    <w:tbl>
      <w:tblPr>
        <w:tblW w:w="864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hemeFill="background1"/>
        <w:tblLayout w:type="fixed"/>
        <w:tblCellMar>
          <w:left w:w="10" w:type="dxa"/>
          <w:right w:w="10" w:type="dxa"/>
        </w:tblCellMar>
        <w:tblLook w:val="04A0" w:firstRow="1" w:lastRow="0" w:firstColumn="1" w:lastColumn="0" w:noHBand="0" w:noVBand="1"/>
      </w:tblPr>
      <w:tblGrid>
        <w:gridCol w:w="1701"/>
        <w:gridCol w:w="1347"/>
        <w:gridCol w:w="5598"/>
      </w:tblGrid>
      <w:tr>
        <w:trPr>
          <w:cantSplit/>
          <w:jc w:val="center"/>
          <w:tblHeader/>
        </w:trPr>
        <w:tc>
          <w:tcPr>
            <w:shd w:val="clear" w:color="auto" w:fill="ffffff" w:themeFill="background1"/>
            <w:tcMar>
              <w:left w:w="80" w:type="dxa"/>
              <w:top w:w="60" w:type="dxa"/>
              <w:right w:w="80" w:type="dxa"/>
              <w:bottom w:w="60" w:type="dxa"/>
            </w:tcMar>
            <w:tcW w:w="1701" w:type="dxa"/>
            <w:vAlign w:val="center"/>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资源类别</w:t>
            </w:r>
            <w:r/>
          </w:p>
        </w:tc>
        <w:tc>
          <w:tcPr>
            <w:shd w:val="clear" w:color="auto" w:fill="ffffff" w:themeFill="background1"/>
            <w:tcMar>
              <w:left w:w="80" w:type="dxa"/>
              <w:top w:w="60" w:type="dxa"/>
              <w:right w:w="80" w:type="dxa"/>
              <w:bottom w:w="60" w:type="dxa"/>
            </w:tcMar>
            <w:tcW w:w="1347" w:type="dxa"/>
            <w:vAlign w:val="center"/>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指标项目</w:t>
            </w:r>
            <w:r/>
          </w:p>
        </w:tc>
        <w:tc>
          <w:tcPr>
            <w:shd w:val="clear" w:color="auto" w:fill="ffffff" w:themeFill="background1"/>
            <w:tcMar>
              <w:left w:w="80" w:type="dxa"/>
              <w:top w:w="60" w:type="dxa"/>
              <w:right w:w="80" w:type="dxa"/>
              <w:bottom w:w="60" w:type="dxa"/>
            </w:tcMar>
            <w:tcW w:w="5598" w:type="dxa"/>
            <w:vAlign w:val="center"/>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具体要求</w:t>
            </w:r>
            <w:r/>
          </w:p>
        </w:tc>
      </w:tr>
      <w:tr>
        <w:trPr>
          <w:cantSplit/>
          <w:jc w:val="center"/>
          <w:trHeight w:val="206"/>
        </w:trPr>
        <w:tc>
          <w:tcPr>
            <w:shd w:val="clear" w:color="auto" w:fill="ffffff" w:themeFill="background1"/>
            <w:tcMar>
              <w:left w:w="80" w:type="dxa"/>
              <w:top w:w="60" w:type="dxa"/>
              <w:right w:w="80" w:type="dxa"/>
              <w:bottom w:w="60" w:type="dxa"/>
            </w:tcMar>
            <w:tcW w:w="1701" w:type="dxa"/>
            <w:vAlign w:val="center"/>
            <w:vMerge w:val="restart"/>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教学微课和实操视频</w:t>
            </w:r>
            <w:r/>
          </w:p>
        </w:tc>
        <w:tc>
          <w:tcPr>
            <w:shd w:val="clear" w:color="auto" w:fill="ffffff" w:themeFill="background1"/>
            <w:tcMar>
              <w:left w:w="80" w:type="dxa"/>
              <w:top w:w="60" w:type="dxa"/>
              <w:right w:w="80" w:type="dxa"/>
              <w:bottom w:w="60" w:type="dxa"/>
            </w:tcMar>
            <w:tcW w:w="1347" w:type="dxa"/>
            <w:vAlign w:val="center"/>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资源数量</w:t>
            </w:r>
            <w:r/>
          </w:p>
        </w:tc>
        <w:tc>
          <w:tcPr>
            <w:shd w:val="clear" w:color="auto" w:fill="ffffff" w:themeFill="background1"/>
            <w:tcMar>
              <w:left w:w="80" w:type="dxa"/>
              <w:top w:w="60" w:type="dxa"/>
              <w:right w:w="80" w:type="dxa"/>
              <w:bottom w:w="60" w:type="dxa"/>
            </w:tcMar>
            <w:tcW w:w="5598" w:type="dxa"/>
            <w:vAlign w:val="center"/>
            <w:textDirection w:val="lrTb"/>
            <w:noWrap w:val="false"/>
          </w:tcPr>
          <w:p>
            <w:pPr>
              <w:jc w:val="left"/>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总时长不少于</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000分钟</w:t>
            </w:r>
            <w:r>
              <w:rPr>
                <w:rFonts w:hint="eastAsia" w:asciiTheme="minorEastAsia" w:hAnsiTheme="minorEastAsia" w:eastAsiaTheme="minorEastAsia"/>
                <w:szCs w:val="21"/>
              </w:rPr>
              <w:t xml:space="preserve">，不超过6000分钟</w:t>
            </w:r>
            <w:r>
              <w:rPr>
                <w:rFonts w:asciiTheme="minorEastAsia" w:hAnsiTheme="minorEastAsia" w:eastAsiaTheme="minorEastAsia"/>
                <w:szCs w:val="21"/>
              </w:rPr>
              <w:t xml:space="preserve">。</w:t>
            </w:r>
            <w:r/>
          </w:p>
        </w:tc>
      </w:tr>
      <w:tr>
        <w:trPr>
          <w:cantSplit/>
          <w:jc w:val="center"/>
        </w:trPr>
        <w:tc>
          <w:tcPr>
            <w:shd w:val="clear" w:color="auto" w:fill="ffffff" w:themeFill="background1"/>
            <w:tcMar>
              <w:left w:w="80" w:type="dxa"/>
              <w:top w:w="60" w:type="dxa"/>
              <w:right w:w="80" w:type="dxa"/>
              <w:bottom w:w="60" w:type="dxa"/>
            </w:tcMar>
            <w:tcW w:w="1701" w:type="dxa"/>
            <w:vAlign w:val="center"/>
            <w:vMerge w:val="continue"/>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ffffff" w:themeFill="background1"/>
            <w:tcMar>
              <w:left w:w="80" w:type="dxa"/>
              <w:top w:w="60" w:type="dxa"/>
              <w:right w:w="80" w:type="dxa"/>
              <w:bottom w:w="60" w:type="dxa"/>
            </w:tcMar>
            <w:tcW w:w="1347" w:type="dxa"/>
            <w:vAlign w:val="center"/>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画面与文件</w:t>
            </w:r>
            <w:r/>
          </w:p>
        </w:tc>
        <w:tc>
          <w:tcPr>
            <w:shd w:val="clear" w:color="auto" w:fill="ffffff" w:themeFill="background1"/>
            <w:tcMar>
              <w:left w:w="80" w:type="dxa"/>
              <w:top w:w="60" w:type="dxa"/>
              <w:right w:w="80" w:type="dxa"/>
              <w:bottom w:w="60" w:type="dxa"/>
            </w:tcMar>
            <w:tcW w:w="5598" w:type="dxa"/>
            <w:vAlign w:val="center"/>
            <w:textDirection w:val="lrTb"/>
            <w:noWrap w:val="false"/>
          </w:tcPr>
          <w:p>
            <w:pPr>
              <w:jc w:val="left"/>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视频宽高比为16:9；分辨率不低于1080p（16:9）；文件格式为MP4。</w:t>
            </w:r>
            <w:r/>
          </w:p>
        </w:tc>
      </w:tr>
      <w:tr>
        <w:trPr>
          <w:cantSplit/>
          <w:jc w:val="center"/>
        </w:trPr>
        <w:tc>
          <w:tcPr>
            <w:shd w:val="clear" w:color="auto" w:fill="ffffff" w:themeFill="background1"/>
            <w:tcMar>
              <w:left w:w="80" w:type="dxa"/>
              <w:top w:w="60" w:type="dxa"/>
              <w:right w:w="80" w:type="dxa"/>
              <w:bottom w:w="60" w:type="dxa"/>
            </w:tcMar>
            <w:tcW w:w="1701" w:type="dxa"/>
            <w:vAlign w:val="center"/>
            <w:vMerge w:val="continue"/>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ffffff" w:themeFill="background1"/>
            <w:tcMar>
              <w:left w:w="80" w:type="dxa"/>
              <w:top w:w="60" w:type="dxa"/>
              <w:right w:w="80" w:type="dxa"/>
              <w:bottom w:w="60" w:type="dxa"/>
            </w:tcMar>
            <w:tcW w:w="1347" w:type="dxa"/>
            <w:vAlign w:val="center"/>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编码与帧率</w:t>
            </w:r>
            <w:r/>
          </w:p>
        </w:tc>
        <w:tc>
          <w:tcPr>
            <w:shd w:val="clear" w:color="auto" w:fill="ffffff" w:themeFill="background1"/>
            <w:tcMar>
              <w:left w:w="80" w:type="dxa"/>
              <w:top w:w="60" w:type="dxa"/>
              <w:right w:w="80" w:type="dxa"/>
              <w:bottom w:w="60" w:type="dxa"/>
            </w:tcMar>
            <w:tcW w:w="5598" w:type="dxa"/>
            <w:vAlign w:val="center"/>
            <w:textDirection w:val="lrTb"/>
            <w:noWrap w:val="false"/>
          </w:tcPr>
          <w:p>
            <w:pPr>
              <w:jc w:val="left"/>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采用H.264（MPEG-4 Part 10：profile=main，level=3.0）及以上标准编码方式；帧率不低于25帧/秒。</w:t>
            </w:r>
            <w:r/>
          </w:p>
        </w:tc>
      </w:tr>
      <w:tr>
        <w:trPr>
          <w:cantSplit/>
          <w:jc w:val="center"/>
        </w:trPr>
        <w:tc>
          <w:tcPr>
            <w:shd w:val="clear" w:color="auto" w:fill="ffffff" w:themeFill="background1"/>
            <w:tcMar>
              <w:left w:w="80" w:type="dxa"/>
              <w:top w:w="60" w:type="dxa"/>
              <w:right w:w="80" w:type="dxa"/>
              <w:bottom w:w="60" w:type="dxa"/>
            </w:tcMar>
            <w:tcW w:w="1701" w:type="dxa"/>
            <w:vAlign w:val="center"/>
            <w:vMerge w:val="continue"/>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ffffff" w:themeFill="background1"/>
            <w:tcMar>
              <w:left w:w="80" w:type="dxa"/>
              <w:top w:w="60" w:type="dxa"/>
              <w:right w:w="80" w:type="dxa"/>
              <w:bottom w:w="60" w:type="dxa"/>
            </w:tcMar>
            <w:tcW w:w="1347" w:type="dxa"/>
            <w:vAlign w:val="center"/>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码流速率</w:t>
            </w:r>
            <w:r/>
          </w:p>
        </w:tc>
        <w:tc>
          <w:tcPr>
            <w:shd w:val="clear" w:color="auto" w:fill="ffffff" w:themeFill="background1"/>
            <w:tcMar>
              <w:left w:w="80" w:type="dxa"/>
              <w:top w:w="60" w:type="dxa"/>
              <w:right w:w="80" w:type="dxa"/>
              <w:bottom w:w="60" w:type="dxa"/>
            </w:tcMar>
            <w:tcW w:w="5598" w:type="dxa"/>
            <w:vAlign w:val="center"/>
            <w:textDirection w:val="lrTb"/>
            <w:noWrap w:val="false"/>
          </w:tcPr>
          <w:p>
            <w:pPr>
              <w:jc w:val="left"/>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码流速率10M以上，同时根据使用需求提供码流速率低于10M的视频文件。</w:t>
            </w:r>
            <w:r/>
          </w:p>
        </w:tc>
      </w:tr>
      <w:tr>
        <w:trPr>
          <w:cantSplit/>
          <w:jc w:val="center"/>
        </w:trPr>
        <w:tc>
          <w:tcPr>
            <w:shd w:val="clear" w:color="auto" w:fill="ffffff" w:themeFill="background1"/>
            <w:tcMar>
              <w:left w:w="80" w:type="dxa"/>
              <w:top w:w="60" w:type="dxa"/>
              <w:right w:w="80" w:type="dxa"/>
              <w:bottom w:w="60" w:type="dxa"/>
            </w:tcMar>
            <w:tcW w:w="1701" w:type="dxa"/>
            <w:vAlign w:val="center"/>
            <w:vMerge w:val="continue"/>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ffffff" w:themeFill="background1"/>
            <w:tcMar>
              <w:left w:w="80" w:type="dxa"/>
              <w:top w:w="60" w:type="dxa"/>
              <w:right w:w="80" w:type="dxa"/>
              <w:bottom w:w="60" w:type="dxa"/>
            </w:tcMar>
            <w:tcW w:w="1347" w:type="dxa"/>
            <w:vAlign w:val="center"/>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音频与字幕</w:t>
            </w:r>
            <w:r/>
          </w:p>
        </w:tc>
        <w:tc>
          <w:tcPr>
            <w:shd w:val="clear" w:color="auto" w:fill="ffffff" w:themeFill="background1"/>
            <w:tcMar>
              <w:left w:w="80" w:type="dxa"/>
              <w:top w:w="60" w:type="dxa"/>
              <w:right w:w="80" w:type="dxa"/>
              <w:bottom w:w="60" w:type="dxa"/>
            </w:tcMar>
            <w:tcW w:w="5598" w:type="dxa"/>
            <w:vAlign w:val="center"/>
            <w:textDirection w:val="lrTb"/>
            <w:noWrap w:val="false"/>
          </w:tcPr>
          <w:p>
            <w:pPr>
              <w:jc w:val="left"/>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声音和画面同步；音频信噪比不低于48dB；字幕标准规范，出入方式与其他要素配合适当。</w:t>
            </w:r>
            <w:r/>
          </w:p>
        </w:tc>
      </w:tr>
      <w:tr>
        <w:trPr>
          <w:cantSplit/>
          <w:jc w:val="center"/>
        </w:trPr>
        <w:tc>
          <w:tcPr>
            <w:shd w:val="clear" w:color="auto" w:fill="ffffff" w:themeFill="background1"/>
            <w:tcMar>
              <w:left w:w="80" w:type="dxa"/>
              <w:top w:w="60" w:type="dxa"/>
              <w:right w:w="80" w:type="dxa"/>
              <w:bottom w:w="60" w:type="dxa"/>
            </w:tcMar>
            <w:tcW w:w="1701" w:type="dxa"/>
            <w:vAlign w:val="center"/>
            <w:vMerge w:val="restart"/>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专业动画资源</w:t>
            </w:r>
            <w:r/>
          </w:p>
        </w:tc>
        <w:tc>
          <w:tcPr>
            <w:shd w:val="clear" w:color="auto" w:fill="ffffff" w:themeFill="background1"/>
            <w:tcMar>
              <w:left w:w="80" w:type="dxa"/>
              <w:top w:w="60" w:type="dxa"/>
              <w:right w:w="80" w:type="dxa"/>
              <w:bottom w:w="60" w:type="dxa"/>
            </w:tcMar>
            <w:tcW w:w="1347" w:type="dxa"/>
            <w:vAlign w:val="center"/>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资源数量</w:t>
            </w:r>
            <w:r/>
          </w:p>
        </w:tc>
        <w:tc>
          <w:tcPr>
            <w:shd w:val="clear" w:color="auto" w:fill="ffffff" w:themeFill="background1"/>
            <w:tcMar>
              <w:left w:w="80" w:type="dxa"/>
              <w:top w:w="60" w:type="dxa"/>
              <w:right w:w="80" w:type="dxa"/>
              <w:bottom w:w="60" w:type="dxa"/>
            </w:tcMar>
            <w:tcW w:w="5598" w:type="dxa"/>
            <w:vAlign w:val="center"/>
            <w:textDirection w:val="lrTb"/>
            <w:noWrap w:val="false"/>
          </w:tcPr>
          <w:p>
            <w:pPr>
              <w:jc w:val="left"/>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总时长不低于1800秒。</w:t>
            </w:r>
            <w:r/>
          </w:p>
        </w:tc>
      </w:tr>
      <w:tr>
        <w:trPr>
          <w:cantSplit/>
          <w:jc w:val="center"/>
        </w:trPr>
        <w:tc>
          <w:tcPr>
            <w:shd w:val="clear" w:color="auto" w:fill="ffffff" w:themeFill="background1"/>
            <w:tcMar>
              <w:left w:w="80" w:type="dxa"/>
              <w:top w:w="60" w:type="dxa"/>
              <w:right w:w="80" w:type="dxa"/>
              <w:bottom w:w="60" w:type="dxa"/>
            </w:tcMar>
            <w:tcW w:w="1701" w:type="dxa"/>
            <w:vAlign w:val="center"/>
            <w:vMerge w:val="continue"/>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ffffff" w:themeFill="background1"/>
            <w:tcMar>
              <w:left w:w="80" w:type="dxa"/>
              <w:top w:w="60" w:type="dxa"/>
              <w:right w:w="80" w:type="dxa"/>
              <w:bottom w:w="60" w:type="dxa"/>
            </w:tcMar>
            <w:tcW w:w="1347" w:type="dxa"/>
            <w:vAlign w:val="center"/>
            <w:textDirection w:val="lrTb"/>
            <w:noWrap w:val="false"/>
          </w:tcPr>
          <w:p>
            <w:pPr>
              <w:jc w:val="center"/>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开发软件</w:t>
            </w:r>
            <w:r/>
          </w:p>
        </w:tc>
        <w:tc>
          <w:tcPr>
            <w:shd w:val="clear" w:color="auto" w:fill="ffffff" w:themeFill="background1"/>
            <w:tcMar>
              <w:left w:w="80" w:type="dxa"/>
              <w:top w:w="60" w:type="dxa"/>
              <w:right w:w="80" w:type="dxa"/>
              <w:bottom w:w="60" w:type="dxa"/>
            </w:tcMar>
            <w:tcW w:w="5598" w:type="dxa"/>
            <w:vAlign w:val="center"/>
            <w:textDirection w:val="lrTb"/>
            <w:noWrap w:val="false"/>
          </w:tcPr>
          <w:p>
            <w:pPr>
              <w:jc w:val="left"/>
              <w:spacing w:line="360" w:lineRule="exact"/>
              <w:widowControl/>
              <w:rPr>
                <w:rFonts w:asciiTheme="minorEastAsia" w:hAnsiTheme="minorEastAsia" w:eastAsiaTheme="minorEastAsia"/>
                <w:szCs w:val="21"/>
              </w:rPr>
            </w:pPr>
            <w:r>
              <w:rPr>
                <w:rFonts w:asciiTheme="minorEastAsia" w:hAnsiTheme="minorEastAsia" w:eastAsiaTheme="minorEastAsia"/>
                <w:szCs w:val="21"/>
              </w:rPr>
              <w:t xml:space="preserve">Adobe Photoshop、Flash、3D Max、Adobe After Effects、Unity等。</w:t>
            </w:r>
            <w:r/>
          </w:p>
        </w:tc>
      </w:tr>
    </w:tbl>
    <w:p>
      <w:pPr>
        <w:pStyle w:val="1068"/>
        <w:ind w:firstLine="420"/>
        <w:rPr>
          <w:rFonts w:ascii="宋体" w:hAnsi="宋体"/>
        </w:rPr>
      </w:pPr>
      <w:r>
        <w:rPr>
          <w:rFonts w:ascii="宋体" w:hAnsi="宋体"/>
        </w:rPr>
        <w:t xml:space="preserve">交付成果：教学微课和实操视频不少于3000分钟、专业动画资源不低于1800秒、《数字化资源开发清单》及课程配套数字资源包。</w:t>
      </w:r>
      <w:r/>
    </w:p>
    <w:p>
      <w:pPr>
        <w:pStyle w:val="1067"/>
        <w:ind w:firstLine="420"/>
        <w:spacing w:before="0"/>
        <w:rPr>
          <w:rFonts w:ascii="宋体" w:hAnsi="宋体" w:eastAsia="宋体"/>
          <w:b w:val="0"/>
        </w:rPr>
      </w:pPr>
      <w:r>
        <w:rPr>
          <w:rFonts w:hint="eastAsia" w:ascii="宋体" w:hAnsi="宋体" w:eastAsia="宋体"/>
          <w:b w:val="0"/>
        </w:rPr>
        <w:t xml:space="preserve">（四）</w:t>
      </w:r>
      <w:r>
        <w:rPr>
          <w:rFonts w:ascii="宋体" w:hAnsi="宋体" w:eastAsia="宋体"/>
          <w:b w:val="0"/>
        </w:rPr>
        <w:t xml:space="preserve">专家评审、成果交付与应用服务要求</w:t>
      </w:r>
      <w:r/>
    </w:p>
    <w:p>
      <w:pPr>
        <w:pStyle w:val="1069"/>
        <w:ind w:firstLine="420"/>
        <w:spacing w:before="0"/>
        <w:rPr>
          <w:rFonts w:ascii="宋体" w:hAnsi="宋体" w:eastAsia="宋体"/>
          <w:b w:val="0"/>
        </w:rPr>
      </w:pPr>
      <w:r>
        <w:rPr>
          <w:rFonts w:hint="eastAsia" w:ascii="宋体" w:hAnsi="宋体" w:eastAsia="宋体"/>
          <w:b w:val="0"/>
        </w:rPr>
        <w:t xml:space="preserve">1、</w:t>
      </w:r>
      <w:r>
        <w:rPr>
          <w:rFonts w:ascii="宋体" w:hAnsi="宋体" w:eastAsia="宋体"/>
          <w:b w:val="0"/>
        </w:rPr>
        <w:t xml:space="preserve">专家评审与质量把控</w:t>
      </w:r>
      <w:r/>
    </w:p>
    <w:p>
      <w:pPr>
        <w:pStyle w:val="1068"/>
        <w:ind w:firstLine="420"/>
        <w:rPr>
          <w:rFonts w:ascii="宋体" w:hAnsi="宋体"/>
        </w:rPr>
      </w:pPr>
      <w:r>
        <w:rPr>
          <w:rFonts w:ascii="宋体" w:hAnsi="宋体"/>
        </w:rPr>
        <w:t xml:space="preserve">（1）邀请行业专家、职业教育专家和企业技术骨干开展方案论证。</w:t>
      </w:r>
      <w:r/>
    </w:p>
    <w:p>
      <w:pPr>
        <w:pStyle w:val="1068"/>
        <w:ind w:firstLine="420"/>
        <w:rPr>
          <w:rFonts w:ascii="宋体" w:hAnsi="宋体"/>
        </w:rPr>
      </w:pPr>
      <w:r>
        <w:rPr>
          <w:rFonts w:ascii="宋体" w:hAnsi="宋体"/>
        </w:rPr>
        <w:t xml:space="preserve">（2）开展中期评审，对课程体系、职业能力图谱及数字资源质量进行审核。</w:t>
      </w:r>
      <w:r/>
    </w:p>
    <w:p>
      <w:pPr>
        <w:pStyle w:val="1068"/>
        <w:ind w:firstLine="420"/>
        <w:rPr>
          <w:rFonts w:ascii="宋体" w:hAnsi="宋体"/>
        </w:rPr>
      </w:pPr>
      <w:r>
        <w:rPr>
          <w:rFonts w:ascii="宋体" w:hAnsi="宋体"/>
        </w:rPr>
        <w:t xml:space="preserve">（3）开展终期验收，对项目成果的完整性、适用性和规范性进行评审。</w:t>
      </w:r>
      <w:r/>
    </w:p>
    <w:p>
      <w:pPr>
        <w:pStyle w:val="1068"/>
        <w:ind w:firstLine="420"/>
        <w:rPr>
          <w:rFonts w:ascii="宋体" w:hAnsi="宋体"/>
        </w:rPr>
      </w:pPr>
      <w:r>
        <w:rPr>
          <w:rFonts w:ascii="宋体" w:hAnsi="宋体"/>
        </w:rPr>
        <w:t xml:space="preserve">（4）按照评审意见修改完善全部成果。</w:t>
      </w:r>
      <w:r/>
    </w:p>
    <w:p>
      <w:pPr>
        <w:pStyle w:val="1068"/>
        <w:ind w:firstLine="420"/>
        <w:rPr>
          <w:rFonts w:ascii="宋体" w:hAnsi="宋体"/>
        </w:rPr>
      </w:pPr>
      <w:r>
        <w:rPr>
          <w:rFonts w:ascii="宋体" w:hAnsi="宋体"/>
        </w:rPr>
        <w:t xml:space="preserve">交付成果：专家论证意见与会议纪要、中期评审报告、终期评审报告、成果修改说明、项目验收报告。</w:t>
      </w:r>
      <w:r/>
    </w:p>
    <w:p>
      <w:pPr>
        <w:pStyle w:val="1069"/>
        <w:ind w:firstLine="420"/>
        <w:spacing w:before="0"/>
        <w:rPr>
          <w:rFonts w:ascii="宋体" w:hAnsi="宋体" w:eastAsia="宋体"/>
          <w:b w:val="0"/>
        </w:rPr>
      </w:pPr>
      <w:r>
        <w:rPr>
          <w:rFonts w:hint="eastAsia" w:ascii="宋体" w:hAnsi="宋体" w:eastAsia="宋体"/>
          <w:b w:val="0"/>
        </w:rPr>
        <w:t xml:space="preserve">2、</w:t>
      </w:r>
      <w:r>
        <w:rPr>
          <w:rFonts w:ascii="宋体" w:hAnsi="宋体" w:eastAsia="宋体"/>
          <w:b w:val="0"/>
        </w:rPr>
        <w:t xml:space="preserve">成果汇总与应用培训</w:t>
      </w:r>
      <w:r/>
    </w:p>
    <w:p>
      <w:pPr>
        <w:pStyle w:val="1068"/>
        <w:ind w:firstLine="420"/>
        <w:rPr>
          <w:rFonts w:ascii="宋体" w:hAnsi="宋体"/>
        </w:rPr>
      </w:pPr>
      <w:r>
        <w:rPr>
          <w:rFonts w:ascii="宋体" w:hAnsi="宋体"/>
        </w:rPr>
        <w:t xml:space="preserve">（1）汇总全部课程建设成果，形成标准化成果包。</w:t>
      </w:r>
      <w:r/>
    </w:p>
    <w:p>
      <w:pPr>
        <w:pStyle w:val="1068"/>
        <w:ind w:firstLine="420"/>
        <w:rPr>
          <w:rFonts w:ascii="宋体" w:hAnsi="宋体"/>
        </w:rPr>
      </w:pPr>
      <w:r>
        <w:rPr>
          <w:rFonts w:ascii="宋体" w:hAnsi="宋体"/>
        </w:rPr>
        <w:t xml:space="preserve">（2）围绕资源使用、教学设计、课堂组织和评价实施等内容开展课程应用培训。</w:t>
      </w:r>
      <w:r/>
    </w:p>
    <w:p>
      <w:pPr>
        <w:pStyle w:val="1068"/>
        <w:ind w:firstLine="420"/>
        <w:rPr>
          <w:rFonts w:ascii="宋体" w:hAnsi="宋体"/>
        </w:rPr>
      </w:pPr>
      <w:r>
        <w:rPr>
          <w:rFonts w:ascii="宋体" w:hAnsi="宋体"/>
        </w:rPr>
        <w:t xml:space="preserve">（3）完成课程平台部署与使用指导。</w:t>
      </w:r>
      <w:r/>
    </w:p>
    <w:p>
      <w:pPr>
        <w:pStyle w:val="1068"/>
        <w:ind w:firstLine="420"/>
        <w:rPr>
          <w:rFonts w:ascii="宋体" w:hAnsi="宋体"/>
        </w:rPr>
      </w:pPr>
      <w:r>
        <w:rPr>
          <w:rFonts w:ascii="宋体" w:hAnsi="宋体"/>
        </w:rPr>
        <w:t xml:space="preserve">交付成果：全套建设成果包、培训课件与培训记录。</w:t>
      </w:r>
      <w:r/>
    </w:p>
    <w:p>
      <w:pPr>
        <w:pStyle w:val="1067"/>
        <w:ind w:firstLine="420"/>
        <w:spacing w:before="0"/>
        <w:rPr>
          <w:rFonts w:ascii="宋体" w:hAnsi="宋体" w:eastAsia="宋体"/>
          <w:b w:val="0"/>
        </w:rPr>
      </w:pPr>
      <w:r>
        <w:rPr>
          <w:rFonts w:hint="eastAsia" w:ascii="宋体" w:hAnsi="宋体" w:eastAsia="宋体"/>
          <w:b w:val="0"/>
        </w:rPr>
        <w:t xml:space="preserve">（五）</w:t>
      </w:r>
      <w:r>
        <w:rPr>
          <w:rFonts w:ascii="宋体" w:hAnsi="宋体" w:eastAsia="宋体"/>
          <w:b w:val="0"/>
        </w:rPr>
        <w:t xml:space="preserve">项目实施周期</w:t>
      </w:r>
      <w:r/>
    </w:p>
    <w:p>
      <w:pPr>
        <w:ind w:firstLine="420"/>
        <w:spacing w:line="360" w:lineRule="auto"/>
        <w:rPr>
          <w:rFonts w:ascii="宋体" w:hAnsi="宋体"/>
        </w:rPr>
      </w:pPr>
      <w:r>
        <w:rPr>
          <w:rFonts w:ascii="宋体" w:hAnsi="宋体"/>
        </w:rPr>
        <w:t xml:space="preserve">项目总建设周期为5个月</w:t>
      </w:r>
      <w:r/>
    </w:p>
    <w:p>
      <w:pPr>
        <w:ind w:firstLine="422"/>
        <w:spacing w:line="360" w:lineRule="auto"/>
        <w:rPr>
          <w:rFonts w:ascii="宋体" w:hAnsi="宋体" w:cs="宋体"/>
          <w:b/>
          <w:szCs w:val="21"/>
        </w:rPr>
      </w:pPr>
      <w:r>
        <w:rPr>
          <w:rFonts w:hint="eastAsia" w:ascii="宋体" w:hAnsi="宋体" w:cs="宋体"/>
          <w:b/>
          <w:szCs w:val="21"/>
        </w:rPr>
        <w:t xml:space="preserve">五、综合说明：</w:t>
      </w:r>
      <w:r/>
    </w:p>
    <w:p>
      <w:pPr>
        <w:ind w:firstLine="420"/>
        <w:spacing w:line="360" w:lineRule="auto"/>
        <w:rPr>
          <w:rFonts w:ascii="宋体" w:hAnsi="宋体" w:cs="宋体"/>
          <w:szCs w:val="21"/>
        </w:rPr>
      </w:pPr>
      <w:r>
        <w:rPr>
          <w:rFonts w:hint="eastAsia" w:ascii="宋体" w:hAnsi="宋体" w:cs="宋体"/>
          <w:szCs w:val="21"/>
        </w:rPr>
        <w:t xml:space="preserve">（一）磋商供应商需在响应文件中明确服务内容和服务方案。</w:t>
      </w:r>
      <w:r/>
    </w:p>
    <w:p>
      <w:pPr>
        <w:ind w:firstLine="420"/>
        <w:spacing w:line="360" w:lineRule="auto"/>
        <w:rPr>
          <w:rFonts w:ascii="宋体" w:hAnsi="宋体" w:cs="宋体"/>
          <w:szCs w:val="21"/>
        </w:rPr>
      </w:pPr>
      <w:r>
        <w:rPr>
          <w:rFonts w:hint="eastAsia" w:ascii="宋体" w:hAnsi="宋体" w:cs="宋体"/>
          <w:szCs w:val="21"/>
        </w:rPr>
        <w:t xml:space="preserve">（二）磋商供应商必须承诺文件中提出的全部要求，如果其中某些条款不响应时，应在文件中逐条列出，未列出的视同响应。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（三）磋商供应商应对所投项目的全部内容进行报价，只投其中部分内容者或出现选择性报价的，其响应文件将被拒绝。</w:t>
      </w:r>
      <w:r/>
    </w:p>
    <w:p>
      <w:pPr>
        <w:ind w:firstLine="420"/>
        <w:spacing w:line="360" w:lineRule="auto"/>
        <w:rPr>
          <w:rFonts w:ascii="宋体" w:hAnsi="宋体" w:cs="宋体"/>
          <w:szCs w:val="21"/>
        </w:rPr>
      </w:pPr>
      <w:r>
        <w:rPr>
          <w:rFonts w:hint="eastAsia" w:ascii="宋体" w:hAnsi="宋体" w:cs="宋体"/>
          <w:szCs w:val="21"/>
        </w:rPr>
        <w:t xml:space="preserve">（四）响应价格采取二次报价，以最终第二次价格为准，包含了本项目所有服务期间所需费用及标的物。二次报价不得超过第一次报价，否则视为无效响应。</w:t>
      </w:r>
      <w:r/>
    </w:p>
    <w:p>
      <w:pPr>
        <w:ind w:firstLine="420"/>
        <w:spacing w:line="360" w:lineRule="auto"/>
        <w:rPr>
          <w:rFonts w:ascii="宋体" w:hAnsi="宋体" w:cs="宋体"/>
          <w:szCs w:val="21"/>
        </w:rPr>
      </w:pPr>
      <w:r>
        <w:rPr>
          <w:rFonts w:hint="eastAsia" w:ascii="宋体" w:hAnsi="宋体" w:cs="宋体"/>
          <w:szCs w:val="21"/>
        </w:rPr>
        <w:t xml:space="preserve">（五）其他要求：</w:t>
      </w:r>
      <w:r/>
    </w:p>
    <w:p>
      <w:pPr>
        <w:ind w:firstLine="420"/>
        <w:spacing w:line="360" w:lineRule="auto"/>
        <w:rPr>
          <w:rFonts w:ascii="宋体" w:hAnsi="宋体" w:cs="宋体"/>
          <w:szCs w:val="21"/>
        </w:rPr>
      </w:pPr>
      <w:r>
        <w:rPr>
          <w:rFonts w:hint="eastAsia" w:ascii="宋体" w:hAnsi="宋体" w:cs="宋体"/>
          <w:szCs w:val="21"/>
        </w:rPr>
        <w:t xml:space="preserve">1、供应商在项目进行过程中产生的任何安全、损坏等责任事故一律由供应商自行承担。如遇突发情况，供应商需协助采购人完成需要配合的服务。</w:t>
      </w:r>
      <w:r/>
    </w:p>
    <w:p>
      <w:pPr>
        <w:ind w:firstLine="420"/>
        <w:spacing w:line="360" w:lineRule="auto"/>
        <w:rPr>
          <w:rFonts w:ascii="宋体" w:hAnsi="宋体" w:cs="宋体"/>
          <w:szCs w:val="21"/>
        </w:rPr>
      </w:pPr>
      <w:r>
        <w:rPr>
          <w:rFonts w:hint="eastAsia" w:ascii="宋体" w:hAnsi="宋体" w:cs="宋体"/>
          <w:szCs w:val="21"/>
        </w:rPr>
        <w:t xml:space="preserve">2、供应商需严格按采购文件中规定的时间完成项目全部工作内容，如在实施的过程中出现错误、误差的，供应商需及时更正至采购人确认并经主管部门验收合格。</w:t>
      </w:r>
      <w:r/>
    </w:p>
    <w:p>
      <w:pPr>
        <w:ind w:firstLine="420"/>
        <w:spacing w:line="360" w:lineRule="auto"/>
        <w:rPr>
          <w:rFonts w:ascii="宋体" w:hAnsi="宋体" w:cs="宋体"/>
          <w:szCs w:val="21"/>
        </w:rPr>
      </w:pPr>
      <w:r>
        <w:rPr>
          <w:rFonts w:hint="eastAsia" w:ascii="宋体" w:hAnsi="宋体" w:cs="宋体"/>
          <w:szCs w:val="21"/>
        </w:rPr>
        <w:t xml:space="preserve">3、本项目不允许转包、分包，发现查实者一律解除合同。</w:t>
      </w:r>
      <w:r/>
    </w:p>
    <w:p>
      <w:pPr>
        <w:ind w:firstLine="420"/>
        <w:spacing w:line="360" w:lineRule="auto"/>
        <w:rPr>
          <w:rFonts w:ascii="宋体" w:hAnsi="宋体" w:cs="宋体"/>
          <w:szCs w:val="21"/>
        </w:rPr>
      </w:pPr>
      <w:r>
        <w:rPr>
          <w:rFonts w:hint="eastAsia" w:ascii="宋体" w:hAnsi="宋体" w:cs="宋体"/>
          <w:szCs w:val="21"/>
        </w:rPr>
        <w:t xml:space="preserve">4、供应商应对服务危险性、潜在危险认真考虑周全，对所有项目安全负责，并承担由此可能产生的一切费用，采购人不承担任何责任；如需采购人配合的工作，供应商需及时通知采购方。</w:t>
      </w:r>
      <w:r/>
    </w:p>
    <w:p>
      <w:pPr>
        <w:ind w:firstLine="420"/>
        <w:spacing w:line="360" w:lineRule="auto"/>
        <w:rPr>
          <w:rFonts w:ascii="宋体" w:hAnsi="宋体" w:cs="宋体"/>
          <w:szCs w:val="21"/>
        </w:rPr>
      </w:pPr>
      <w:r>
        <w:rPr>
          <w:rFonts w:hint="eastAsia" w:ascii="宋体" w:hAnsi="宋体" w:cs="宋体"/>
          <w:szCs w:val="21"/>
        </w:rPr>
        <w:t xml:space="preserve">（六）本项目的报价包括完成该项目所需的课程、人工、设备、验收、交通、食宿、劳务、管理、各种税费、保险、利润、税金、代理服务费、政策性文件规定及合同包含的所有风险、责任等各项应有费用。</w:t>
      </w:r>
      <w:r/>
    </w:p>
    <w:p>
      <w:pPr>
        <w:ind w:firstLine="420"/>
        <w:spacing w:line="360" w:lineRule="auto"/>
        <w:rPr>
          <w:rFonts w:ascii="宋体" w:hAnsi="宋体" w:cs="宋体"/>
          <w:szCs w:val="21"/>
        </w:rPr>
      </w:pPr>
      <w:r>
        <w:rPr>
          <w:rFonts w:hint="eastAsia" w:ascii="宋体" w:hAnsi="宋体" w:cs="宋体"/>
          <w:szCs w:val="21"/>
        </w:rPr>
        <w:t xml:space="preserve">（七）验收：</w:t>
      </w:r>
      <w:r/>
    </w:p>
    <w:p>
      <w:pPr>
        <w:ind w:firstLine="420"/>
        <w:spacing w:line="360" w:lineRule="auto"/>
        <w:rPr>
          <w:rFonts w:ascii="宋体" w:hAnsi="宋体" w:cs="宋体"/>
          <w:szCs w:val="21"/>
        </w:rPr>
      </w:pPr>
      <w:r>
        <w:rPr>
          <w:rFonts w:hint="eastAsia" w:ascii="宋体" w:hAnsi="宋体" w:cs="宋体"/>
          <w:szCs w:val="21"/>
        </w:rPr>
        <w:t xml:space="preserve">1、验收时间：根据采购方要求进行阶段验收。</w:t>
      </w:r>
      <w:r/>
    </w:p>
    <w:p>
      <w:pPr>
        <w:ind w:firstLine="420"/>
        <w:spacing w:line="360" w:lineRule="auto"/>
        <w:rPr>
          <w:rFonts w:ascii="宋体" w:hAnsi="宋体" w:cs="宋体"/>
          <w:szCs w:val="21"/>
        </w:rPr>
      </w:pPr>
      <w:r>
        <w:rPr>
          <w:rFonts w:hint="eastAsia" w:ascii="宋体" w:hAnsi="宋体" w:cs="宋体"/>
          <w:szCs w:val="21"/>
        </w:rPr>
        <w:t xml:space="preserve">2、验收标准：按国家相关法律法规、行业相关标准及采购文件要求和成交单位的承诺进行验收。</w:t>
      </w:r>
      <w:r/>
    </w:p>
    <w:p>
      <w:pPr>
        <w:ind w:firstLine="420"/>
        <w:spacing w:line="360" w:lineRule="auto"/>
        <w:rPr>
          <w:rFonts w:ascii="宋体" w:hAnsi="宋体" w:cs="宋体"/>
          <w:szCs w:val="21"/>
        </w:rPr>
      </w:pPr>
      <w:r>
        <w:rPr>
          <w:rFonts w:hint="eastAsia" w:ascii="宋体" w:hAnsi="宋体" w:cs="宋体"/>
          <w:szCs w:val="21"/>
        </w:rPr>
        <w:t xml:space="preserve">（八）售后服务：提供至少一年免费质保服务。成交供应商应提供7*24小时服务支持，服务期内出现问题，成交供应商必须30分钟内响应，1.5小时到达现场，2小时内解决问题。其他未尽事宜按其响应人所提供的相应承诺执行。</w:t>
      </w:r>
      <w:r/>
    </w:p>
    <w:p>
      <w:pPr>
        <w:ind w:firstLine="420"/>
        <w:spacing w:line="360" w:lineRule="auto"/>
        <w:rPr>
          <w:rFonts w:ascii="宋体" w:hAnsi="宋体" w:cs="宋体"/>
          <w:szCs w:val="21"/>
        </w:rPr>
      </w:pPr>
      <w:r>
        <w:rPr>
          <w:rFonts w:hint="eastAsia" w:ascii="宋体" w:hAnsi="宋体" w:cs="宋体"/>
          <w:szCs w:val="21"/>
        </w:rPr>
        <w:t xml:space="preserve">（九）凡涉及采购文件的补充说明和修改，均以苏州市政府采购网、江苏政府采购网上公示的补充通知为准。</w:t>
      </w:r>
      <w:r/>
    </w:p>
    <w:p>
      <w:pPr>
        <w:ind w:firstLine="422"/>
        <w:spacing w:line="360" w:lineRule="auto"/>
        <w:rPr>
          <w:rFonts w:ascii="宋体" w:hAnsi="宋体" w:cs="宋体"/>
          <w:szCs w:val="21"/>
        </w:rPr>
      </w:pPr>
      <w:r>
        <w:rPr>
          <w:rFonts w:hint="eastAsia" w:ascii="宋体" w:hAnsi="宋体" w:cs="宋体"/>
          <w:b/>
          <w:szCs w:val="21"/>
        </w:rPr>
        <w:t xml:space="preserve">六、响应文件的组成及要求</w:t>
      </w:r>
      <w:r/>
    </w:p>
    <w:p>
      <w:pPr>
        <w:ind w:firstLine="420"/>
        <w:jc w:val="left"/>
        <w:spacing w:line="360" w:lineRule="auto"/>
        <w:widowControl/>
        <w:rPr>
          <w:rFonts w:ascii="宋体" w:hAnsi="宋体" w:cs="宋体"/>
          <w:szCs w:val="21"/>
        </w:rPr>
      </w:pPr>
      <w:r>
        <w:rPr>
          <w:rFonts w:hint="eastAsia" w:ascii="宋体" w:hAnsi="宋体" w:cs="宋体"/>
          <w:szCs w:val="21"/>
        </w:rPr>
        <w:t xml:space="preserve">（一）文件组成（部分格式见附件）</w:t>
      </w:r>
      <w:r/>
    </w:p>
    <w:p>
      <w:pPr>
        <w:pStyle w:val="82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82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82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p>
    <w:p>
      <w:pPr>
        <w:pStyle w:val="825"/>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w:t>
      </w:r>
      <w:r/>
    </w:p>
    <w:p>
      <w:pPr>
        <w:pStyle w:val="825"/>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3.2磋商响应单位基本情况表；</w:t>
      </w:r>
      <w:r/>
    </w:p>
    <w:p>
      <w:pPr>
        <w:pStyle w:val="825"/>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p>
    <w:p>
      <w:pPr>
        <w:pStyle w:val="825"/>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w:t>
      </w:r>
      <w:r/>
    </w:p>
    <w:p>
      <w:pPr>
        <w:pStyle w:val="825"/>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p>
    <w:p>
      <w:pPr>
        <w:pStyle w:val="825"/>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p>
    <w:p>
      <w:pPr>
        <w:pStyle w:val="825"/>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3.6.1具有独立承担民事责任的能力。提供包括法人或者其他组织的营业执照等证明文件，自然人的身份证明；</w:t>
      </w:r>
      <w:r/>
    </w:p>
    <w:p>
      <w:pPr>
        <w:pStyle w:val="825"/>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3.6.2具有良好的商业信誉和健全的财务会计制度。提供包括但不限于最近一期财务审计报告或最近一期财务报表，其他组织、自然人及成立未满一年的法人应提供银行出具的资信证明；</w:t>
      </w:r>
      <w:r/>
    </w:p>
    <w:p>
      <w:pPr>
        <w:pStyle w:val="825"/>
        <w:spacing w:line="360" w:lineRule="auto"/>
        <w:rPr>
          <w:rFonts w:ascii="宋体" w:hAnsi="宋体" w:eastAsia="宋体" w:cs="宋体"/>
          <w:bCs/>
          <w:sz w:val="21"/>
          <w:szCs w:val="21"/>
        </w:rPr>
      </w:pPr>
      <w:r>
        <w:rPr>
          <w:rFonts w:hint="eastAsia" w:ascii="宋体" w:hAnsi="宋体" w:eastAsia="宋体" w:cs="宋体"/>
          <w:bCs/>
          <w:sz w:val="21"/>
          <w:szCs w:val="21"/>
        </w:rPr>
        <w:t xml:space="preserve">3.6.3具有履行合同所必需的设备和专业技术能力。提供证明材料或承诺；</w:t>
      </w:r>
      <w:r/>
    </w:p>
    <w:p>
      <w:pPr>
        <w:pStyle w:val="825"/>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pStyle w:val="825"/>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3.6.5参加政府采购活动前三年内在经营活动中没有重大违法记录。提供书面声明函；</w:t>
      </w:r>
      <w:r/>
    </w:p>
    <w:p>
      <w:pPr>
        <w:pStyle w:val="825"/>
        <w:spacing w:line="360" w:lineRule="auto"/>
        <w:rPr>
          <w:rFonts w:ascii="宋体" w:hAnsi="宋体" w:eastAsia="宋体" w:cs="宋体"/>
          <w:bCs/>
          <w:sz w:val="21"/>
          <w:szCs w:val="21"/>
        </w:rPr>
      </w:pPr>
      <w:r>
        <w:rPr>
          <w:rFonts w:hint="eastAsia" w:ascii="宋体" w:hAnsi="宋体" w:eastAsia="宋体" w:cs="宋体"/>
          <w:sz w:val="21"/>
          <w:szCs w:val="21"/>
        </w:rPr>
        <w:t xml:space="preserve">3.7</w:t>
      </w:r>
      <w:r>
        <w:rPr>
          <w:rFonts w:hint="eastAsia" w:ascii="宋体" w:hAnsi="宋体" w:eastAsia="宋体" w:cs="宋体"/>
          <w:bCs/>
          <w:sz w:val="21"/>
          <w:szCs w:val="21"/>
        </w:rPr>
        <w:t xml:space="preserve">其它有关资格证明的文件；</w:t>
      </w:r>
      <w:r/>
    </w:p>
    <w:p>
      <w:pPr>
        <w:pStyle w:val="82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4.1磋商响应函；</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4.2磋商报价分析表；</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4.3服务偏离表；</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4.4商务条款偏离表；</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4.5投标（响应）保证承诺书；</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4.6</w:t>
      </w:r>
      <w:bookmarkStart w:id="5" w:name="OLE_LINK4"/>
      <w:r>
        <w:rPr>
          <w:rFonts w:hint="eastAsia" w:ascii="宋体" w:hAnsi="宋体" w:eastAsia="宋体" w:cs="宋体"/>
          <w:sz w:val="21"/>
          <w:szCs w:val="21"/>
        </w:rPr>
        <w:t xml:space="preserve">其他有关符合性证明的文件</w:t>
      </w:r>
      <w:bookmarkEnd w:id="5"/>
      <w:r>
        <w:rPr>
          <w:rFonts w:hint="eastAsia" w:ascii="宋体" w:hAnsi="宋体" w:eastAsia="宋体" w:cs="宋体"/>
          <w:sz w:val="21"/>
          <w:szCs w:val="21"/>
        </w:rPr>
        <w:t xml:space="preserve">；</w:t>
      </w:r>
      <w:r/>
    </w:p>
    <w:p>
      <w:pPr>
        <w:pStyle w:val="825"/>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5.1评分标准中要求提供的材料；</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5.2与本次采购相关的其他证明材料；</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5.3《中小企业声明函》或《残疾人福利性单位声明函》或</w:t>
      </w:r>
      <w:r>
        <w:rPr>
          <w:rFonts w:hint="eastAsia" w:ascii="宋体" w:hAnsi="宋体" w:eastAsia="宋体" w:cs="宋体"/>
          <w:sz w:val="21"/>
          <w:szCs w:val="21"/>
          <w:lang w:val="zh-CN"/>
        </w:rPr>
        <w:t xml:space="preserve">省级以上监狱管理局、戒毒管理局（含新疆生产建设兵团）出具的属于监狱企业的证明文件（</w:t>
      </w:r>
      <w:r>
        <w:rPr>
          <w:rFonts w:hint="eastAsia" w:ascii="宋体" w:hAnsi="宋体" w:eastAsia="宋体" w:cs="宋体"/>
          <w:sz w:val="21"/>
          <w:szCs w:val="21"/>
        </w:rPr>
        <w:t xml:space="preserve">如为小微企业或残疾人福利性单位或监狱企业提供</w:t>
      </w:r>
      <w:r>
        <w:rPr>
          <w:rFonts w:hint="eastAsia" w:ascii="宋体" w:hAnsi="宋体" w:eastAsia="宋体" w:cs="宋体"/>
          <w:sz w:val="21"/>
          <w:szCs w:val="21"/>
          <w:lang w:val="zh-CN"/>
        </w:rPr>
        <w:t xml:space="preserve">）。</w:t>
      </w:r>
      <w:r/>
    </w:p>
    <w:p>
      <w:pPr>
        <w:pStyle w:val="825"/>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（1）以上3.1-3.7为资格审查要求提供的材料，是作为对供应商资格审查、质疑身份认定的依据，响应供应商必须提供并加盖电子公章。否则，磋商响应文件将被认定为不符合资格审查要求。</w:t>
      </w:r>
      <w:r/>
    </w:p>
    <w:p>
      <w:pPr>
        <w:pStyle w:val="825"/>
        <w:spacing w:line="360" w:lineRule="auto"/>
        <w:rPr>
          <w:rFonts w:ascii="宋体" w:hAnsi="宋体" w:eastAsia="宋体" w:cs="宋体"/>
          <w:sz w:val="21"/>
          <w:szCs w:val="21"/>
        </w:rPr>
      </w:pPr>
      <w:r>
        <w:rPr>
          <w:rFonts w:hint="eastAsia" w:ascii="宋体" w:hAnsi="宋体" w:eastAsia="宋体" w:cs="宋体"/>
          <w:b/>
          <w:bCs/>
          <w:sz w:val="21"/>
          <w:szCs w:val="21"/>
        </w:rPr>
        <w:t xml:space="preserve">（2）以上4.1-4.6为符合性审查须提供的资料，响应供应商必须提供并加盖电子公章。否则，磋商响应文件将被认定为未实质性响应。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825"/>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ascii="宋体" w:hAnsi="宋体" w:cs="宋体"/>
          <w:szCs w:val="21"/>
        </w:rPr>
      </w:pPr>
      <w:r>
        <w:rPr>
          <w:rFonts w:hint="eastAsia" w:ascii="宋体" w:hAnsi="宋体" w:cs="宋体"/>
          <w:b/>
          <w:szCs w:val="21"/>
        </w:rPr>
        <w:t xml:space="preserve">（5）磋商过程中如有问题采购代理机构工作人员会及时通《投标供应商确认函》留存的手机号与供应商联系。请供应商确保该手机号磋商当日通讯畅通，否则导致的对供应商不利的后果由供</w:t>
      </w:r>
      <w:r>
        <w:rPr>
          <w:rFonts w:hint="eastAsia" w:ascii="宋体" w:hAnsi="宋体" w:cs="宋体"/>
          <w:b/>
          <w:szCs w:val="21"/>
        </w:rPr>
        <w:t xml:space="preserve">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七、磋商程序</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p>
    <w:p>
      <w:pPr>
        <w:pStyle w:val="1012"/>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7、对于通过资格审查和符合性审查的供应商，磋商小组所有成员集中与单一供应商分别进行磋商，并给予所有参加磋商的供应商平等的磋商机会。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25"/>
        <w:spacing w:line="360" w:lineRule="auto"/>
        <w:rPr>
          <w:rFonts w:ascii="宋体" w:hAnsi="宋体" w:eastAsia="宋体" w:cs="宋体"/>
          <w:b/>
          <w:sz w:val="21"/>
          <w:szCs w:val="21"/>
        </w:rPr>
      </w:pPr>
      <w:r>
        <w:rPr>
          <w:rFonts w:hint="eastAsia" w:ascii="宋体" w:hAnsi="宋体" w:eastAsia="宋体" w:cs="宋体"/>
          <w:sz w:val="21"/>
          <w:szCs w:val="21"/>
        </w:rPr>
        <w:t xml:space="preserve">9、</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82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10、供应商未在磋商小组规定的时间内在“苏采云”系统中提交最后报价的视为放弃磋商，其响应文件按无效响应处理，最后报价格式表须加盖CA电子公章,否则视为未提交最后报价。（此处</w:t>
      </w:r>
      <w:r>
        <w:rPr>
          <w:rFonts w:hint="eastAsia" w:ascii="宋体" w:hAnsi="宋体" w:eastAsia="宋体" w:cs="宋体"/>
          <w:b/>
          <w:sz w:val="21"/>
          <w:szCs w:val="21"/>
        </w:rPr>
        <w:t xml:space="preserve">规定时间的计算以系统中的倒计时间为准，系统中的线上最后报价只有一次机会，提交后无法撤回，请供应商慎重提交）</w:t>
      </w:r>
      <w:r/>
    </w:p>
    <w:p>
      <w:pPr>
        <w:pStyle w:val="82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82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11、经磋商确定最终采购需求和提交最后报价的供应商后，由磋商小组采用综合评分法对提交最后报价的供应商的响应文件和最后报价进行综合评分。</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12、磋商小组根据磋商成交原则确定成交供应商，并将结果通知所有参加磋商的供应商。</w:t>
      </w:r>
      <w:r/>
    </w:p>
    <w:p>
      <w:pPr>
        <w:pStyle w:val="825"/>
        <w:spacing w:line="360" w:lineRule="auto"/>
        <w:rPr>
          <w:rFonts w:ascii="宋体" w:hAnsi="宋体" w:eastAsia="宋体" w:cs="宋体"/>
          <w:b/>
          <w:sz w:val="21"/>
          <w:szCs w:val="21"/>
        </w:rPr>
      </w:pPr>
      <w:r>
        <w:rPr>
          <w:rFonts w:ascii="宋体" w:hAnsi="宋体" w:eastAsia="宋体" w:cs="宋体"/>
          <w:b/>
          <w:sz w:val="21"/>
          <w:szCs w:val="21"/>
        </w:rPr>
        <w:t xml:space="preserve">13、如磋商过程中出现本采购文件未尽事宜，由磋商小组根据政府采购有关法律、法规讨论决定。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八、其他说明</w:t>
      </w:r>
      <w:r/>
    </w:p>
    <w:p>
      <w:pPr>
        <w:ind w:firstLine="420"/>
        <w:spacing w:line="360" w:lineRule="auto"/>
        <w:rPr>
          <w:rFonts w:ascii="宋体" w:hAnsi="宋体" w:cs="宋体"/>
          <w:szCs w:val="21"/>
        </w:rPr>
      </w:pPr>
      <w:r>
        <w:rPr>
          <w:rFonts w:hint="eastAsia" w:ascii="宋体" w:hAnsi="宋体" w:cs="宋体"/>
          <w:szCs w:val="21"/>
        </w:rPr>
        <w:t xml:space="preserve">1、磋商保证金：</w:t>
      </w:r>
      <w:r/>
    </w:p>
    <w:p>
      <w:pPr>
        <w:ind w:firstLine="422"/>
        <w:spacing w:line="360" w:lineRule="auto"/>
        <w:rPr>
          <w:rStyle w:val="1059"/>
          <w:rFonts w:ascii="宋体" w:hAnsi="宋体" w:cs="宋体"/>
          <w:b/>
          <w:szCs w:val="21"/>
        </w:rPr>
      </w:pPr>
      <w:r>
        <w:rPr>
          <w:rStyle w:val="1059"/>
          <w:rFonts w:ascii="Wingdings" w:hAnsi="Wingdings" w:eastAsia="Wingdings" w:cs="Wingdings"/>
          <w:b/>
          <w:szCs w:val="21"/>
        </w:rPr>
        <w:t xml:space="preserve"></w:t>
      </w:r>
      <w:r>
        <w:rPr>
          <w:rStyle w:val="1059"/>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bCs/>
          <w:szCs w:val="21"/>
        </w:rPr>
      </w:pPr>
      <w:r>
        <w:rPr>
          <w:rFonts w:hint="eastAsia" w:ascii="宋体" w:hAnsi="宋体" w:cs="宋体"/>
          <w:bCs/>
          <w:szCs w:val="21"/>
        </w:rPr>
        <w:t xml:space="preserve">2、成交服务费：本项目代理服务费采购单位已考虑在采购预算范围内，由成交单位支付，该费用综合含在投标报价中，具体收费以如下比例按差额定率累进法计算并支付中标服务费：</w:t>
      </w:r>
      <w:r/>
    </w:p>
    <w:p>
      <w:pPr>
        <w:ind w:firstLine="420"/>
        <w:spacing w:line="360" w:lineRule="auto"/>
      </w:pPr>
      <w:r>
        <w:rPr>
          <w:rStyle w:val="1059"/>
          <w:rFonts w:hint="eastAsia" w:ascii="宋体" w:hAnsi="宋体" w:cs="宋体"/>
          <w:szCs w:val="21"/>
        </w:rPr>
        <w:t xml:space="preserve">100万元以内1.5%、100万元～500万元以内1.1%差额定率累进法计算并支付成交服务费，该费用应在领取成交通知书时付清。本项目服务费金额为</w:t>
      </w:r>
      <w:r>
        <w:rPr>
          <w:rFonts w:hint="eastAsia" w:ascii="宋体" w:hAnsi="宋体" w:cs="宋体"/>
          <w:szCs w:val="21"/>
        </w:rPr>
        <w:t xml:space="preserve">人</w:t>
      </w:r>
      <w:r>
        <w:rPr>
          <w:rStyle w:val="1059"/>
          <w:rFonts w:hint="eastAsia" w:ascii="宋体" w:hAnsi="宋体" w:cs="宋体"/>
          <w:szCs w:val="21"/>
        </w:rPr>
        <w:t xml:space="preserve">民币壹万伍仟元整（15000.00元）。</w:t>
      </w:r>
      <w:r/>
    </w:p>
    <w:p>
      <w:pPr>
        <w:ind w:firstLine="420"/>
        <w:spacing w:line="360" w:lineRule="auto"/>
        <w:rPr>
          <w:rFonts w:ascii="宋体" w:hAnsi="宋体" w:cs="宋体"/>
          <w:szCs w:val="21"/>
        </w:rPr>
      </w:pPr>
      <w:r>
        <w:rPr>
          <w:rFonts w:hint="eastAsia" w:ascii="宋体" w:hAnsi="宋体" w:cs="宋体"/>
          <w:szCs w:val="21"/>
        </w:rPr>
        <w:t xml:space="preserve">服务费交纳账户：苏州铭坤招投标咨询服务有限公司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开户银行：中国银行苏州沧浪支行 </w:t>
      </w:r>
      <w:r/>
    </w:p>
    <w:p>
      <w:pPr>
        <w:ind w:firstLine="420"/>
        <w:spacing w:line="360" w:lineRule="auto"/>
        <w:rPr>
          <w:rFonts w:ascii="宋体" w:hAnsi="宋体" w:cs="宋体"/>
          <w:szCs w:val="21"/>
        </w:rPr>
      </w:pPr>
      <w:r>
        <w:rPr>
          <w:rFonts w:hint="eastAsia" w:ascii="宋体" w:hAnsi="宋体" w:cs="宋体"/>
          <w:szCs w:val="21"/>
        </w:rPr>
        <w:t xml:space="preserve">账    号：504070117536</w:t>
      </w:r>
      <w:r/>
    </w:p>
    <w:p>
      <w:pPr>
        <w:ind w:firstLine="420"/>
        <w:spacing w:line="360" w:lineRule="auto"/>
        <w:rPr>
          <w:rFonts w:ascii="宋体" w:hAnsi="宋体" w:cs="宋体"/>
          <w:bCs/>
          <w:szCs w:val="21"/>
        </w:rPr>
      </w:pPr>
      <w:r>
        <w:rPr>
          <w:rFonts w:hint="eastAsia" w:ascii="宋体" w:hAnsi="宋体" w:cs="宋体"/>
          <w:bCs/>
          <w:szCs w:val="21"/>
        </w:rPr>
        <w:t xml:space="preserve">2、磋商说明：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057"/>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w:t>
      </w:r>
      <w:r>
        <w:rPr>
          <w:rFonts w:hint="eastAsia" w:ascii="宋体" w:hAnsi="宋体" w:cs="宋体"/>
          <w:szCs w:val="21"/>
          <w:lang w:val="zh-CN"/>
        </w:rPr>
        <w:t xml:space="preserve">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57"/>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057"/>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057"/>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szCs w:val="21"/>
        </w:rPr>
      </w:pPr>
      <w:r>
        <w:rPr>
          <w:rFonts w:hint="eastAsia" w:ascii="宋体" w:hAnsi="宋体" w:cs="宋体"/>
          <w:bCs/>
          <w:szCs w:val="21"/>
        </w:rPr>
        <w:t xml:space="preserve">4、</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w:t>
      </w:r>
      <w:r>
        <w:rPr>
          <w:rFonts w:hint="eastAsia" w:ascii="宋体" w:hAnsi="宋体" w:cs="宋体"/>
          <w:szCs w:val="21"/>
        </w:rPr>
        <w:t xml:space="preserve">和</w:t>
      </w:r>
      <w:r>
        <w:rPr>
          <w:rFonts w:hint="eastAsia" w:ascii="宋体" w:hAnsi="宋体"/>
          <w:szCs w:val="21"/>
        </w:rPr>
        <w:t xml:space="preserve">中国政府采购网（</w:t>
      </w:r>
      <w:r>
        <w:rPr>
          <w:rFonts w:ascii="宋体" w:hAnsi="宋体"/>
          <w:szCs w:val="21"/>
        </w:rPr>
        <w:t xml:space="preserve">www.ccgp.gov.cn/</w:t>
      </w:r>
      <w:r>
        <w:rPr>
          <w:rFonts w:hint="eastAsia" w:ascii="宋体" w:hAnsi="宋体"/>
          <w:szCs w:val="21"/>
        </w:rPr>
        <w:t xml:space="preserve">）</w:t>
      </w:r>
      <w:r>
        <w:rPr>
          <w:rFonts w:ascii="宋体" w:hAnsi="宋体" w:cs="宋体"/>
          <w:szCs w:val="21"/>
        </w:rPr>
        <w:t xml:space="preserve">查询供应商的信用记录，并将查询结果递交</w:t>
      </w:r>
      <w:r>
        <w:rPr>
          <w:rFonts w:hint="eastAsia" w:ascii="宋体" w:hAnsi="宋体" w:cs="宋体"/>
          <w:szCs w:val="21"/>
        </w:rPr>
        <w:t xml:space="preserve">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5、告知成交结果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6" w:name="_Hlk132385599"/>
      <w:r/>
      <w:bookmarkStart w:id="7" w:name="_Hlk132385577"/>
      <w:r/>
      <w:bookmarkStart w:id="8" w:name="_Hlk132389804"/>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6"/>
      <w:r/>
      <w:bookmarkEnd w:id="7"/>
      <w:r/>
      <w:bookmarkEnd w:id="8"/>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6、成交供应商除发生法律规定的不能预见、不能避免并不能克服的客观情况外不得放弃或拒绝签订合同的。放弃或拒绝签订合同的，采购人视情将其通报给财政部门。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7、采购合同履行中，采购人需追加与合同标的相同的服务的，在不改变合同其他条款的前提下，可以与成交供应商协商签订补充合同，但所有补充合同的项目金额不得超过原合同项目金额的百分之十。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8、成交供应商拒绝签订采购合同的，或因不可抗力或者自身原因不能履行采购合同的，采购人可以视情与排位在成交供应商之后第一位的成交候选供应商签订采购合同，也可以重新开展招标活动。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9、质疑处理</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9.2本次采购文件要求供应商在法定质疑期内一次性提出针对同一采购程序环节的质疑。</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9.3供应商提出质疑应当提交质疑函和必要的证明材料，质疑函应当包括下列内容：</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82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825"/>
        <w:spacing w:line="360" w:lineRule="auto"/>
        <w:rPr>
          <w:rFonts w:ascii="宋体" w:hAnsi="宋体" w:eastAsia="宋体" w:cs="宋体"/>
          <w:b/>
          <w:sz w:val="21"/>
          <w:szCs w:val="21"/>
        </w:rPr>
      </w:pPr>
      <w:r>
        <w:rPr>
          <w:rFonts w:hint="eastAsia" w:ascii="宋体" w:hAnsi="宋体" w:eastAsia="宋体" w:cs="宋体"/>
          <w:sz w:val="21"/>
          <w:szCs w:val="21"/>
        </w:rPr>
        <w:t xml:space="preserve">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9.5接收质疑函的方式：书面形式（当场送达或邮寄方式）</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质疑联系人：马燕</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联系电话：0512-65615552</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现场递交地址:苏州高新区塔园路379号盛运大厦1幢10楼东侧</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邮寄收取地址:苏州高新区塔园路379号盛运大厦1幢10楼东侧（不接受到付件）</w:t>
      </w:r>
      <w:r/>
    </w:p>
    <w:p>
      <w:pPr>
        <w:ind w:firstLine="420"/>
        <w:spacing w:line="360" w:lineRule="auto"/>
        <w:rPr>
          <w:rFonts w:ascii="宋体" w:hAnsi="宋体" w:cs="宋体"/>
          <w:szCs w:val="21"/>
        </w:rPr>
      </w:pPr>
      <w:r>
        <w:rPr>
          <w:rFonts w:hint="eastAsia" w:ascii="宋体" w:hAnsi="宋体" w:cs="宋体"/>
          <w:szCs w:val="21"/>
        </w:rPr>
        <w:t xml:space="preserve">10、相关政策（如涉及）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（2）小、微企业</w:t>
      </w:r>
      <w:r/>
    </w:p>
    <w:p>
      <w:pPr>
        <w:ind w:firstLine="420"/>
        <w:spacing w:line="360" w:lineRule="auto"/>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szCs w:val="21"/>
        </w:rPr>
      </w:pPr>
      <w:r>
        <w:rPr>
          <w:rFonts w:hint="eastAsia"/>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szCs w:val="21"/>
        </w:rPr>
      </w:pPr>
      <w:r>
        <w:rPr>
          <w:rFonts w:hint="eastAsia" w:asciiTheme="minorEastAsia" w:hAnsiTheme="minorEastAsia" w:eastAsiaTheme="minorEastAsia"/>
          <w:szCs w:val="21"/>
        </w:rPr>
        <w:t xml:space="preserve">（3）残</w:t>
      </w:r>
      <w:r>
        <w:rPr>
          <w:rFonts w:hint="eastAsia"/>
          <w:szCs w:val="21"/>
        </w:rPr>
        <w:t xml:space="preserve">疾人福利性单位</w:t>
      </w:r>
      <w:r/>
    </w:p>
    <w:p>
      <w:pPr>
        <w:ind w:firstLine="420"/>
        <w:spacing w:line="360" w:lineRule="auto"/>
        <w:tabs>
          <w:tab w:val="left" w:pos="567" w:leader="none"/>
        </w:tabs>
        <w:rPr>
          <w:szCs w:val="21"/>
        </w:rPr>
      </w:pPr>
      <w:r>
        <w:rPr>
          <w:rFonts w:hint="eastAsia"/>
          <w:szCs w:val="21"/>
        </w:rPr>
        <w:t xml:space="preserve">根据《关于促进残疾人就业政府采购政策的通知》（财库〔</w:t>
      </w:r>
      <w:r>
        <w:rPr>
          <w:rFonts w:hint="eastAsia"/>
          <w:szCs w:val="21"/>
        </w:rPr>
        <w:t xml:space="preserve">2017</w:t>
      </w:r>
      <w:r>
        <w:rPr>
          <w:rFonts w:hint="eastAsia"/>
          <w:szCs w:val="21"/>
        </w:rPr>
        <w:t xml:space="preserve">〕</w:t>
      </w:r>
      <w:r>
        <w:rPr>
          <w:rFonts w:hint="eastAsia"/>
          <w:szCs w:val="21"/>
        </w:rPr>
        <w:t xml:space="preserve">141</w:t>
      </w:r>
      <w:r>
        <w:rPr>
          <w:rFonts w:hint="eastAsia"/>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Theme="minorEastAsia" w:hAnsiTheme="minorEastAsia" w:eastAsiaTheme="minorEastAsia"/>
          <w:szCs w:val="21"/>
        </w:rPr>
      </w:pPr>
      <w:r>
        <w:rPr>
          <w:rFonts w:hint="eastAsia" w:asciiTheme="minorEastAsia" w:hAnsiTheme="minorEastAsia" w:eastAsiaTheme="minorEastAsia"/>
          <w:szCs w:val="21"/>
        </w:rPr>
        <w:t xml:space="preserve">（4）监狱企业</w:t>
      </w:r>
      <w:r/>
    </w:p>
    <w:p>
      <w:pPr>
        <w:ind w:firstLine="420"/>
        <w:spacing w:line="360" w:lineRule="auto"/>
        <w:tabs>
          <w:tab w:val="left" w:pos="567" w:leader="none"/>
        </w:tabs>
        <w:rPr>
          <w:szCs w:val="21"/>
        </w:rPr>
      </w:pPr>
      <w:r>
        <w:rPr>
          <w:rFonts w:hint="eastAsia"/>
          <w:szCs w:val="21"/>
        </w:rPr>
        <w:t xml:space="preserve">根据《关于政府采购支持监狱企业发展有关问题的通知》（财库〔</w:t>
      </w:r>
      <w:r>
        <w:rPr>
          <w:rFonts w:hint="eastAsia"/>
          <w:szCs w:val="21"/>
        </w:rPr>
        <w:t xml:space="preserve">2014</w:t>
      </w:r>
      <w:r>
        <w:rPr>
          <w:rFonts w:hint="eastAsia"/>
          <w:szCs w:val="21"/>
        </w:rPr>
        <w:t xml:space="preserve">〕</w:t>
      </w:r>
      <w:r>
        <w:rPr>
          <w:rFonts w:hint="eastAsia"/>
          <w:szCs w:val="21"/>
        </w:rPr>
        <w:t xml:space="preserve">68</w:t>
      </w:r>
      <w:r>
        <w:rPr>
          <w:rFonts w:hint="eastAsia"/>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25"/>
        <w:ind w:firstLine="422"/>
        <w:spacing w:line="360" w:lineRule="auto"/>
        <w:rPr>
          <w:rFonts w:ascii="宋体" w:hAnsi="宋体" w:eastAsia="宋体" w:cs="宋体"/>
          <w:sz w:val="21"/>
          <w:szCs w:val="21"/>
        </w:rPr>
      </w:pPr>
      <w:r>
        <w:rPr>
          <w:rFonts w:hint="eastAsia" w:ascii="宋体" w:hAnsi="宋体" w:eastAsia="宋体" w:cs="宋体"/>
          <w:bCs/>
          <w:sz w:val="21"/>
          <w:szCs w:val="21"/>
        </w:rPr>
        <w:t xml:space="preserve">11、</w:t>
      </w:r>
      <w:r>
        <w:rPr>
          <w:rFonts w:hint="eastAsia" w:ascii="宋体" w:hAnsi="宋体" w:eastAsia="宋体" w:cs="宋体"/>
          <w:sz w:val="21"/>
          <w:szCs w:val="21"/>
        </w:rPr>
        <w:t xml:space="preserve">项目的终止</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pStyle w:val="825"/>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注：采用竞争性磋商采购方式采购的政府购买服务项目，在采购过程中符合要求的供应商只有2家的，竞争性磋商采购活动可以继续进行。</w:t>
      </w:r>
      <w:r/>
    </w:p>
    <w:p>
      <w:pPr>
        <w:ind w:firstLine="422"/>
        <w:spacing w:line="360" w:lineRule="auto"/>
        <w:rPr>
          <w:rFonts w:ascii="宋体" w:hAnsi="宋体" w:cs="宋体"/>
          <w:bCs/>
          <w:szCs w:val="21"/>
        </w:rPr>
      </w:pPr>
      <w:r>
        <w:rPr>
          <w:rFonts w:hint="eastAsia" w:ascii="宋体" w:hAnsi="宋体" w:cs="宋体"/>
          <w:bCs/>
          <w:szCs w:val="21"/>
        </w:rPr>
        <w:t xml:space="preserve">12、导致无效投标因素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pPr>
      <w:r>
        <w:rPr>
          <w:rFonts w:hint="eastAsia" w:ascii="宋体" w:hAnsi="宋体" w:cs="宋体"/>
          <w:szCs w:val="21"/>
        </w:rPr>
        <w:t xml:space="preserve">（6）法律、法规和招标（采购）文件规定的其他无效情形。</w:t>
      </w:r>
      <w:r/>
    </w:p>
    <w:p>
      <w:pPr>
        <w:ind w:firstLine="422"/>
        <w:spacing w:line="360" w:lineRule="auto"/>
        <w:rPr>
          <w:rFonts w:ascii="宋体" w:hAnsi="宋体" w:cs="宋体"/>
          <w:bCs/>
          <w:szCs w:val="21"/>
        </w:rPr>
      </w:pPr>
      <w:r>
        <w:rPr>
          <w:rFonts w:hint="eastAsia" w:ascii="宋体" w:hAnsi="宋体" w:cs="宋体"/>
          <w:bCs/>
          <w:szCs w:val="21"/>
        </w:rPr>
        <w:t xml:space="preserve">13、成交通知书</w:t>
      </w:r>
      <w:r/>
    </w:p>
    <w:p>
      <w:pPr>
        <w:ind w:firstLine="420"/>
        <w:spacing w:line="360" w:lineRule="auto"/>
        <w:rPr>
          <w:rFonts w:ascii="宋体" w:hAnsi="宋体" w:cs="宋体"/>
          <w:szCs w:val="21"/>
          <w:lang w:val="zh-CN"/>
        </w:rPr>
      </w:pPr>
      <w:r>
        <w:rPr>
          <w:rFonts w:hint="eastAsia" w:ascii="宋体" w:hAnsi="宋体" w:cs="宋体"/>
          <w:szCs w:val="21"/>
          <w:lang w:val="zh-CN"/>
        </w:rPr>
        <w:t xml:space="preserve">（1）确定出成交单位后，采购代理机构在法定时间内向成交单位发出成交通知书。</w:t>
      </w:r>
      <w:r/>
    </w:p>
    <w:p>
      <w:pPr>
        <w:ind w:firstLine="420"/>
        <w:spacing w:line="360" w:lineRule="auto"/>
        <w:rPr>
          <w:rFonts w:ascii="宋体" w:hAnsi="宋体" w:cs="宋体"/>
          <w:szCs w:val="21"/>
          <w:lang w:val="zh-CN"/>
        </w:rPr>
      </w:pPr>
      <w:r>
        <w:rPr>
          <w:rFonts w:hint="eastAsia" w:ascii="宋体" w:hAnsi="宋体" w:cs="宋体"/>
          <w:szCs w:val="21"/>
          <w:lang w:val="zh-CN"/>
        </w:rPr>
        <w:t xml:space="preserve">（2）成交通知书将成为合同的组成部分。</w:t>
      </w:r>
      <w:r/>
    </w:p>
    <w:p>
      <w:pPr>
        <w:ind w:firstLine="420"/>
        <w:spacing w:line="360" w:lineRule="auto"/>
        <w:rPr>
          <w:rFonts w:ascii="宋体" w:hAnsi="宋体" w:cs="宋体"/>
          <w:szCs w:val="21"/>
          <w:lang w:val="zh-CN"/>
        </w:rPr>
      </w:pPr>
      <w:r>
        <w:rPr>
          <w:rFonts w:hint="eastAsia" w:ascii="宋体" w:hAnsi="宋体" w:cs="宋体"/>
          <w:szCs w:val="21"/>
          <w:lang w:val="zh-CN"/>
        </w:rPr>
        <w:t xml:space="preserve">（3）采购单位或采购代理机构对未成交单位不承担解释未成交原因的义务。</w:t>
      </w:r>
      <w:r/>
    </w:p>
    <w:p>
      <w:pPr>
        <w:ind w:firstLine="420"/>
        <w:spacing w:line="360" w:lineRule="auto"/>
      </w:pPr>
      <w:r>
        <w:rPr>
          <w:rFonts w:hint="eastAsia" w:ascii="宋体" w:hAnsi="宋体" w:cs="宋体"/>
          <w:szCs w:val="21"/>
          <w:lang w:val="zh-CN"/>
        </w:rPr>
        <w:t xml:space="preserve">（4）请成交单位在成交结果公告届满之日起</w:t>
      </w:r>
      <w:r>
        <w:rPr>
          <w:rFonts w:ascii="宋体" w:hAnsi="宋体" w:cs="宋体"/>
          <w:szCs w:val="21"/>
          <w:lang w:val="zh-CN"/>
        </w:rPr>
        <w:t xml:space="preserve">30</w:t>
      </w:r>
      <w:r>
        <w:rPr>
          <w:rFonts w:hint="eastAsia" w:ascii="宋体" w:hAnsi="宋体" w:cs="宋体"/>
          <w:szCs w:val="21"/>
          <w:lang w:val="zh-CN"/>
        </w:rPr>
        <w:t xml:space="preserve">日内</w:t>
      </w:r>
      <w:r>
        <w:rPr>
          <w:rFonts w:ascii="宋体" w:hAnsi="宋体" w:cs="宋体"/>
          <w:szCs w:val="21"/>
          <w:lang w:val="zh-CN"/>
        </w:rPr>
        <w:t xml:space="preserve">,</w:t>
      </w:r>
      <w:r>
        <w:rPr>
          <w:rFonts w:hint="eastAsia" w:ascii="宋体" w:hAnsi="宋体" w:cs="宋体"/>
          <w:szCs w:val="21"/>
          <w:lang w:val="zh-CN"/>
        </w:rPr>
        <w:t xml:space="preserve">使用</w:t>
      </w:r>
      <w:r>
        <w:rPr>
          <w:rFonts w:ascii="宋体" w:hAnsi="宋体" w:cs="宋体"/>
          <w:szCs w:val="21"/>
          <w:lang w:val="zh-CN"/>
        </w:rPr>
        <w:t xml:space="preserve">CA</w:t>
      </w:r>
      <w:r>
        <w:rPr>
          <w:rFonts w:hint="eastAsia" w:ascii="宋体" w:hAnsi="宋体" w:cs="宋体"/>
          <w:szCs w:val="21"/>
          <w:lang w:val="zh-CN"/>
        </w:rPr>
        <w:t xml:space="preserve">证书登录</w:t>
      </w:r>
      <w:r>
        <w:rPr>
          <w:rFonts w:hint="cs" w:ascii="宋体" w:hAnsi="宋体" w:cs="宋体"/>
          <w:szCs w:val="21"/>
          <w:cs/>
          <w:lang w:val="zh-CN"/>
        </w:rPr>
        <w:t xml:space="preserve">“</w:t>
      </w:r>
      <w:r>
        <w:rPr>
          <w:rFonts w:hint="eastAsia" w:ascii="宋体" w:hAnsi="宋体" w:cs="宋体"/>
          <w:szCs w:val="21"/>
          <w:lang w:val="zh-CN"/>
        </w:rPr>
        <w:t xml:space="preserve">苏采云</w:t>
      </w:r>
      <w:r>
        <w:rPr>
          <w:rFonts w:hint="cs" w:ascii="宋体" w:hAnsi="宋体" w:cs="宋体"/>
          <w:szCs w:val="21"/>
          <w:cs/>
          <w:lang w:val="zh-CN"/>
        </w:rPr>
        <w:t xml:space="preserve">”</w:t>
      </w:r>
      <w:r>
        <w:rPr>
          <w:rFonts w:hint="eastAsia" w:ascii="宋体" w:hAnsi="宋体" w:cs="宋体"/>
          <w:szCs w:val="21"/>
          <w:lang w:val="zh-CN"/>
        </w:rPr>
        <w:t xml:space="preserve">系统及时下载成交通知书。因系统存储空间有限，自成交结果公告届满之日起</w:t>
      </w:r>
      <w:r>
        <w:rPr>
          <w:rFonts w:ascii="宋体" w:hAnsi="宋体" w:cs="宋体"/>
          <w:szCs w:val="21"/>
          <w:lang w:val="zh-CN"/>
        </w:rPr>
        <w:t xml:space="preserve">30</w:t>
      </w:r>
      <w:r>
        <w:rPr>
          <w:rFonts w:hint="eastAsia" w:ascii="宋体" w:hAnsi="宋体" w:cs="宋体"/>
          <w:szCs w:val="21"/>
          <w:lang w:val="zh-CN"/>
        </w:rPr>
        <w:t xml:space="preserve">日后，</w:t>
      </w:r>
      <w:r>
        <w:rPr>
          <w:rFonts w:hint="cs" w:ascii="宋体" w:hAnsi="宋体" w:cs="宋体"/>
          <w:szCs w:val="21"/>
          <w:cs/>
          <w:lang w:val="zh-CN"/>
        </w:rPr>
        <w:t xml:space="preserve">“</w:t>
      </w:r>
      <w:r>
        <w:rPr>
          <w:rFonts w:hint="eastAsia" w:ascii="宋体" w:hAnsi="宋体" w:cs="宋体"/>
          <w:szCs w:val="21"/>
          <w:lang w:val="zh-CN"/>
        </w:rPr>
        <w:t xml:space="preserve">苏采云</w:t>
      </w:r>
      <w:r>
        <w:rPr>
          <w:rFonts w:hint="cs" w:ascii="宋体" w:hAnsi="宋体" w:cs="宋体"/>
          <w:szCs w:val="21"/>
          <w:cs/>
          <w:lang w:val="zh-CN"/>
        </w:rPr>
        <w:t xml:space="preserve">”</w:t>
      </w:r>
      <w:r>
        <w:rPr>
          <w:rFonts w:hint="eastAsia" w:ascii="宋体" w:hAnsi="宋体" w:cs="宋体"/>
          <w:szCs w:val="21"/>
          <w:lang w:val="zh-CN"/>
        </w:rPr>
        <w:t xml:space="preserve">系统不再保证提供下载中标通知书服务</w:t>
      </w:r>
      <w:r>
        <w:rPr>
          <w:rFonts w:ascii="宋体" w:hAnsi="宋体" w:cs="宋体"/>
          <w:szCs w:val="21"/>
          <w:lang w:val="zh-CN"/>
        </w:rPr>
        <w:t xml:space="preserve">,</w:t>
      </w:r>
      <w:r>
        <w:rPr>
          <w:rFonts w:hint="eastAsia" w:ascii="宋体" w:hAnsi="宋体" w:cs="宋体"/>
          <w:szCs w:val="21"/>
          <w:lang w:val="zh-CN"/>
        </w:rPr>
        <w:t xml:space="preserve">因未及时下载而造成的不利后果由中标人自行承担。</w:t>
      </w:r>
      <w:r/>
    </w:p>
    <w:p>
      <w:pPr>
        <w:pStyle w:val="865"/>
        <w:sectPr>
          <w:footnotePr/>
          <w:endnotePr/>
          <w:type w:val="nextPage"/>
          <w:pgSz w:w="11906" w:h="16838" w:orient="portrait"/>
          <w:pgMar w:top="1440" w:right="1417" w:bottom="1440" w:left="1417" w:header="850" w:footer="850" w:gutter="0"/>
          <w:cols w:num="1" w:sep="0" w:space="720" w:equalWidth="1"/>
          <w:docGrid w:linePitch="360"/>
        </w:sectPr>
      </w:pPr>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ind w:firstLine="422"/>
        <w:spacing w:line="360" w:lineRule="auto"/>
        <w:rPr>
          <w:rFonts w:ascii="宋体" w:hAnsi="宋体" w:cs="宋体"/>
          <w:szCs w:val="21"/>
          <w:shd w:val="clear" w:color="auto" w:fill="ffffff"/>
        </w:rPr>
      </w:pPr>
      <w:r>
        <w:rPr>
          <w:rFonts w:hint="eastAsia" w:ascii="宋体" w:hAnsi="宋体" w:cs="宋体"/>
          <w:b/>
          <w:bCs/>
          <w:szCs w:val="21"/>
        </w:rPr>
        <w:t xml:space="preserve">一、评标方法</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1、本次招标评标方法为综合评分法，即在最大限度地满足采购文件实质性要求前提下，按照采购文件中规定的评分标准和各项因素进行综合评审后，由</w:t>
      </w:r>
      <w:r>
        <w:rPr>
          <w:rFonts w:hint="eastAsia" w:ascii="宋体" w:hAnsi="宋体" w:cs="宋体"/>
          <w:szCs w:val="21"/>
          <w:shd w:val="clear" w:color="auto" w:fill="ffffff"/>
          <w:lang w:val="zh-CN"/>
        </w:rPr>
        <w:t xml:space="preserve">综合评分得分最高的磋商响应单位为</w:t>
      </w:r>
      <w:r>
        <w:rPr>
          <w:rFonts w:hint="eastAsia" w:ascii="宋体" w:hAnsi="宋体" w:cs="宋体"/>
          <w:szCs w:val="21"/>
          <w:shd w:val="clear" w:color="auto" w:fill="ffffff"/>
        </w:rPr>
        <w:t xml:space="preserve">成交候选单位。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szCs w:val="21"/>
        </w:rPr>
      </w:pPr>
      <w:r>
        <w:rPr>
          <w:rFonts w:hint="eastAsia" w:ascii="宋体" w:hAnsi="宋体"/>
          <w:szCs w:val="21"/>
        </w:rPr>
        <w:t xml:space="preserve">4、评标过程中出现下列情形之一的，评审委员会应当启动异常低价投标（响应）审查程序：</w:t>
      </w:r>
      <w:r/>
    </w:p>
    <w:p>
      <w:pPr>
        <w:ind w:firstLine="420"/>
        <w:spacing w:line="360" w:lineRule="auto"/>
        <w:rPr>
          <w:rFonts w:ascii="宋体" w:hAnsi="宋体"/>
          <w:szCs w:val="21"/>
        </w:rPr>
      </w:pPr>
      <w:r>
        <w:rPr>
          <w:rFonts w:hint="eastAsia" w:ascii="宋体" w:hAnsi="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szCs w:val="21"/>
        </w:rPr>
      </w:pPr>
      <w:r>
        <w:rPr>
          <w:rFonts w:hint="eastAsia" w:ascii="宋体" w:hAnsi="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szCs w:val="21"/>
        </w:rPr>
      </w:pPr>
      <w:r>
        <w:rPr>
          <w:rFonts w:hint="eastAsia" w:ascii="宋体" w:hAnsi="宋体"/>
          <w:szCs w:val="21"/>
        </w:rPr>
        <w:t xml:space="preserve">（3）投标（响应）报价低于采购预算（最高限价）45%的，即投标（响应）报价&lt;采购预算（最高限价）×45%；</w:t>
      </w:r>
      <w:r/>
    </w:p>
    <w:p>
      <w:pPr>
        <w:ind w:firstLine="420"/>
        <w:spacing w:line="360" w:lineRule="auto"/>
        <w:rPr>
          <w:rFonts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ind w:firstLine="420"/>
        <w:spacing w:line="360" w:lineRule="auto"/>
        <w:rPr>
          <w:rFonts w:ascii="宋体" w:hAnsi="宋体"/>
          <w:szCs w:val="21"/>
        </w:rPr>
      </w:pPr>
      <w:r>
        <w:rPr>
          <w:rFonts w:hint="eastAsia" w:ascii="宋体" w:hAnsi="宋体"/>
          <w:szCs w:val="21"/>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22"/>
        <w:spacing w:line="360" w:lineRule="auto"/>
        <w:rPr>
          <w:rFonts w:ascii="宋体" w:hAnsi="宋体" w:cs="宋体"/>
          <w:b/>
          <w:bCs/>
          <w:szCs w:val="21"/>
        </w:rPr>
      </w:pPr>
      <w:r>
        <w:rPr>
          <w:rFonts w:hint="eastAsia" w:ascii="宋体" w:hAnsi="宋体" w:cs="宋体"/>
          <w:b/>
          <w:bCs/>
          <w:szCs w:val="21"/>
        </w:rPr>
        <w:t xml:space="preserve">5、针对中小型企业的评审：</w:t>
      </w:r>
      <w:r/>
    </w:p>
    <w:p>
      <w:pPr>
        <w:ind w:firstLine="420"/>
        <w:spacing w:line="360" w:lineRule="auto"/>
        <w:rPr>
          <w:rFonts w:ascii="宋体" w:hAnsi="宋体" w:cs="宋体"/>
          <w:bCs/>
          <w:szCs w:val="21"/>
        </w:rPr>
      </w:pPr>
      <w:r>
        <w:rPr>
          <w:rFonts w:hint="eastAsia" w:ascii="宋体" w:hAnsi="宋体" w:cs="宋体"/>
          <w:bCs/>
          <w:szCs w:val="21"/>
        </w:rPr>
        <w:t xml:space="preserve">根据财政部、工业和信息化部关于印发意见“财库〔2020〕46号” 关于印发《政府采购促进中小企业发展管理办法》的通知规定，对属于小型、微型企业的投标人给予评审优惠：</w:t>
      </w:r>
      <w:r/>
    </w:p>
    <w:p>
      <w:pPr>
        <w:ind w:firstLine="420"/>
        <w:spacing w:line="360" w:lineRule="auto"/>
        <w:rPr>
          <w:rFonts w:ascii="宋体" w:hAnsi="宋体" w:cs="宋体"/>
          <w:b/>
          <w:bCs/>
          <w:szCs w:val="21"/>
        </w:rPr>
      </w:pPr>
      <w:r>
        <w:rPr>
          <w:rFonts w:hint="eastAsia" w:ascii="宋体" w:hAnsi="宋体" w:cs="宋体"/>
          <w:bCs/>
          <w:szCs w:val="21"/>
        </w:rPr>
        <w:t xml:space="preserve">（1）在服务采购项目中，服务由小型或微型企业承接，即提供服务的人员为按照《中华人民共和国劳动合同法》订立劳动合同的从业人员，对其报价给予20%的扣除，扣除后的价格参与价格评审。</w:t>
      </w:r>
      <w:r>
        <w:rPr>
          <w:rFonts w:hint="eastAsia" w:ascii="宋体" w:hAnsi="宋体" w:cs="宋体"/>
          <w:b/>
          <w:bCs/>
          <w:szCs w:val="21"/>
        </w:rPr>
        <w:t xml:space="preserve">服务类项目中</w:t>
      </w:r>
      <w:r>
        <w:rPr>
          <w:rFonts w:hint="eastAsia" w:cs="宋体"/>
          <w:b/>
          <w:bCs/>
          <w:szCs w:val="21"/>
        </w:rPr>
        <w:t xml:space="preserve">投入项目的服务人员如涉及使用</w:t>
      </w:r>
      <w:r>
        <w:rPr>
          <w:rFonts w:hint="eastAsia" w:ascii="宋体" w:hAnsi="宋体" w:cs="宋体"/>
          <w:b/>
          <w:bCs/>
          <w:szCs w:val="21"/>
        </w:rPr>
        <w:t xml:space="preserve">超龄人员</w:t>
      </w:r>
      <w:r>
        <w:rPr>
          <w:rFonts w:hint="eastAsia" w:cs="宋体"/>
          <w:b/>
          <w:bCs/>
          <w:szCs w:val="21"/>
        </w:rPr>
        <w:t xml:space="preserve">的</w:t>
      </w:r>
      <w:r>
        <w:rPr>
          <w:rFonts w:hint="eastAsia" w:ascii="宋体" w:hAnsi="宋体" w:cs="宋体"/>
          <w:b/>
          <w:bCs/>
          <w:szCs w:val="21"/>
        </w:rPr>
        <w:t xml:space="preserve">，将不享受价格扣除优惠政策。</w:t>
      </w:r>
      <w:r/>
    </w:p>
    <w:p>
      <w:pPr>
        <w:ind w:firstLine="420"/>
        <w:spacing w:line="360" w:lineRule="auto"/>
        <w:rPr>
          <w:rFonts w:ascii="宋体" w:hAnsi="宋体" w:cs="宋体"/>
          <w:bCs/>
          <w:szCs w:val="21"/>
        </w:rPr>
      </w:pPr>
      <w:r>
        <w:rPr>
          <w:rFonts w:hint="eastAsia" w:ascii="宋体" w:hAnsi="宋体" w:cs="宋体"/>
          <w:bCs/>
          <w:szCs w:val="21"/>
        </w:rPr>
        <w:t xml:space="preserve">（2）在货物采购项目中，货物由小微企业制造（货物由小微企业生产且使用该小微企业商号或者注</w:t>
      </w:r>
      <w:r>
        <w:rPr>
          <w:rFonts w:hint="eastAsia" w:ascii="宋体" w:hAnsi="宋体" w:cs="宋体"/>
          <w:bCs/>
          <w:szCs w:val="21"/>
        </w:rPr>
        <w:t xml:space="preserve">册商标）的，对其报价给予20%的扣除，扣除后的价格参与价格评审。如果一个采购项目或采购包含有多个采购标的的，每个采购标的均由小微企业制造，可享受小微企业价格扣除优惠。</w:t>
      </w:r>
      <w:r/>
    </w:p>
    <w:p>
      <w:pPr>
        <w:ind w:firstLine="420"/>
        <w:spacing w:line="360" w:lineRule="auto"/>
        <w:rPr>
          <w:rFonts w:ascii="宋体" w:hAnsi="宋体" w:cs="宋体"/>
          <w:bCs/>
          <w:szCs w:val="21"/>
        </w:rPr>
      </w:pPr>
      <w:r>
        <w:rPr>
          <w:rFonts w:hint="eastAsia" w:ascii="宋体" w:hAnsi="宋体" w:cs="宋体"/>
          <w:bCs/>
          <w:szCs w:val="21"/>
        </w:rPr>
        <w:t xml:space="preserve">（3）以联合体形式参加政府采购活动，联合体各方均为小微企业的，联合体视同小微企业。</w:t>
      </w:r>
      <w:r/>
    </w:p>
    <w:p>
      <w:pPr>
        <w:ind w:firstLine="420"/>
        <w:spacing w:line="360" w:lineRule="auto"/>
        <w:rPr>
          <w:rFonts w:ascii="宋体" w:hAnsi="宋体" w:cs="宋体"/>
          <w:bCs/>
          <w:szCs w:val="21"/>
        </w:rPr>
      </w:pPr>
      <w:r>
        <w:rPr>
          <w:rFonts w:hint="eastAsia" w:ascii="宋体" w:hAnsi="宋体" w:cs="宋体"/>
          <w:bCs/>
          <w:szCs w:val="21"/>
        </w:rPr>
        <w:t xml:space="preserve">（4）中小微企业在投标文件中提供签署的《中小企业声明函》。未按招标文件的规定在投标文件中提供《中小企业声明函》的，不享受促进中小微企业发展的相关政府采购政策。</w:t>
      </w:r>
      <w:r/>
    </w:p>
    <w:p>
      <w:pPr>
        <w:ind w:firstLine="420"/>
        <w:spacing w:line="360" w:lineRule="auto"/>
        <w:rPr>
          <w:rFonts w:ascii="宋体" w:hAnsi="宋体" w:cs="宋体"/>
          <w:bCs/>
          <w:szCs w:val="21"/>
        </w:rPr>
      </w:pPr>
      <w:r>
        <w:rPr>
          <w:rFonts w:hint="eastAsia" w:ascii="宋体" w:hAnsi="宋体" w:cs="宋体"/>
          <w:bCs/>
          <w:szCs w:val="21"/>
        </w:rPr>
        <w:t xml:space="preserve">（5）中小企业划分标准详见“工信部联企业〔2011〕300号通知”</w:t>
      </w:r>
      <w:r/>
    </w:p>
    <w:p>
      <w:pPr>
        <w:ind w:firstLine="420"/>
        <w:spacing w:line="360" w:lineRule="auto"/>
        <w:rPr>
          <w:rFonts w:ascii="宋体" w:hAnsi="宋体" w:cs="宋体"/>
          <w:bCs/>
          <w:szCs w:val="21"/>
        </w:rPr>
      </w:pPr>
      <w:r>
        <w:rPr>
          <w:rFonts w:hint="eastAsia" w:ascii="宋体" w:hAnsi="宋体" w:cs="宋体"/>
          <w:bCs/>
          <w:szCs w:val="21"/>
        </w:rPr>
        <w:t xml:space="preserve">（6）以上规定未尽事项，按《政府采购促进中小企业发展管理办法》等有关制度规定执行。</w:t>
      </w:r>
      <w:r/>
    </w:p>
    <w:p>
      <w:pPr>
        <w:ind w:firstLine="420"/>
        <w:spacing w:line="360" w:lineRule="auto"/>
        <w:rPr>
          <w:rFonts w:ascii="宋体" w:hAnsi="宋体" w:cs="宋体"/>
          <w:bCs/>
          <w:szCs w:val="21"/>
        </w:rPr>
      </w:pPr>
      <w:r>
        <w:rPr>
          <w:rFonts w:hint="eastAsia" w:ascii="宋体" w:hAnsi="宋体" w:cs="宋体"/>
          <w:bCs/>
          <w:szCs w:val="21"/>
        </w:rPr>
        <w:t xml:space="preserve">注：①填报“中小企业声明函”需严格按“工信部联企业〔2011〕300号通知”中的《中小企业划型标准规定》进行。</w:t>
      </w:r>
      <w:r/>
    </w:p>
    <w:p>
      <w:pPr>
        <w:ind w:firstLine="840"/>
        <w:spacing w:line="360" w:lineRule="auto"/>
        <w:rPr>
          <w:rFonts w:ascii="宋体" w:hAnsi="宋体" w:cs="宋体"/>
          <w:bCs/>
          <w:szCs w:val="21"/>
        </w:rPr>
      </w:pPr>
      <w:r>
        <w:rPr>
          <w:rFonts w:hint="eastAsia" w:ascii="宋体" w:hAnsi="宋体" w:cs="宋体"/>
          <w:bCs/>
          <w:szCs w:val="21"/>
        </w:rPr>
        <w:t xml:space="preserve">②若投标人提供的 “中小企业声明函”（见第三章格式）为虚假声明则视同提供虚假材料，按“政府采购法”相关规定处理并报请政府监管部门给予行政处罚。</w:t>
      </w:r>
      <w:r/>
    </w:p>
    <w:p>
      <w:pPr>
        <w:ind w:firstLine="840"/>
        <w:spacing w:line="360" w:lineRule="auto"/>
        <w:rPr>
          <w:rFonts w:ascii="宋体" w:hAnsi="宋体" w:cs="宋体"/>
          <w:b/>
          <w:bCs/>
          <w:szCs w:val="21"/>
        </w:rPr>
      </w:pPr>
      <w:r>
        <w:rPr>
          <w:rFonts w:hint="eastAsia" w:ascii="宋体" w:hAnsi="宋体" w:cs="宋体"/>
          <w:b/>
          <w:bCs/>
          <w:szCs w:val="21"/>
        </w:rPr>
        <w:t xml:space="preserve">③专门面向中小企业采购的项目或者采购包，不再执行价格评审优惠的扶持政策。</w:t>
      </w:r>
      <w:r/>
    </w:p>
    <w:p>
      <w:pPr>
        <w:ind w:firstLine="420"/>
        <w:spacing w:line="360" w:lineRule="auto"/>
        <w:rPr>
          <w:rFonts w:ascii="宋体" w:hAnsi="宋体" w:cs="宋体"/>
          <w:bCs/>
          <w:szCs w:val="21"/>
        </w:rPr>
      </w:pPr>
      <w:r>
        <w:rPr>
          <w:rFonts w:hint="eastAsia" w:ascii="宋体" w:hAnsi="宋体" w:cs="宋体"/>
          <w:bCs/>
          <w:szCs w:val="21"/>
        </w:rPr>
        <w:t xml:space="preserve">6、针对残疾人福利性单位的评审加分：</w:t>
      </w:r>
      <w:r/>
    </w:p>
    <w:p>
      <w:pPr>
        <w:ind w:firstLine="420"/>
        <w:spacing w:line="360" w:lineRule="auto"/>
        <w:rPr>
          <w:rFonts w:ascii="宋体" w:hAnsi="宋体" w:cs="宋体"/>
          <w:bCs/>
          <w:szCs w:val="21"/>
        </w:rPr>
      </w:pPr>
      <w:r>
        <w:rPr>
          <w:rFonts w:hint="eastAsia" w:ascii="宋体" w:hAnsi="宋体" w:cs="宋体"/>
          <w:bCs/>
          <w:szCs w:val="21"/>
        </w:rPr>
        <w:t xml:space="preserve">根据《关于促进残疾人就业政府采购政策的通知》（</w:t>
      </w:r>
      <w:bookmarkStart w:id="9" w:name="sendNo"/>
      <w:r>
        <w:rPr>
          <w:rFonts w:hint="eastAsia" w:ascii="宋体" w:hAnsi="宋体" w:cs="宋体"/>
          <w:bCs/>
          <w:szCs w:val="21"/>
        </w:rPr>
        <w:t xml:space="preserve">财库〔</w:t>
      </w:r>
      <w:bookmarkEnd w:id="9"/>
      <w:r>
        <w:rPr>
          <w:rFonts w:hint="eastAsia" w:ascii="宋体" w:hAnsi="宋体" w:cs="宋体"/>
          <w:bCs/>
          <w:szCs w:val="21"/>
        </w:rPr>
        <w:t xml:space="preserve">2017〕141号）的通知规定，对属于残疾人福利性单位的投标单位给予评审加分：</w:t>
      </w:r>
      <w:r/>
    </w:p>
    <w:p>
      <w:pPr>
        <w:ind w:firstLine="420"/>
        <w:spacing w:line="360" w:lineRule="auto"/>
        <w:rPr>
          <w:rFonts w:ascii="宋体" w:hAnsi="宋体" w:cs="宋体"/>
          <w:bCs/>
          <w:szCs w:val="21"/>
        </w:rPr>
      </w:pPr>
      <w:r>
        <w:rPr>
          <w:rFonts w:hint="eastAsia" w:ascii="宋体" w:hAnsi="宋体" w:cs="宋体"/>
          <w:bCs/>
          <w:szCs w:val="21"/>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bCs/>
          <w:szCs w:val="21"/>
        </w:rPr>
      </w:pPr>
      <w:r>
        <w:rPr>
          <w:rFonts w:hint="eastAsia" w:ascii="宋体" w:hAnsi="宋体" w:cs="宋体"/>
          <w:bCs/>
          <w:szCs w:val="21"/>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投标单位提供的《残疾人福利性单位声明函》与事实不符的，依照《政府采购法》第七十七条第一款的规定追究法律责任。</w:t>
      </w:r>
      <w:r/>
    </w:p>
    <w:p>
      <w:pPr>
        <w:ind w:firstLine="420"/>
        <w:spacing w:line="360" w:lineRule="auto"/>
        <w:rPr>
          <w:rFonts w:ascii="宋体" w:hAnsi="宋体" w:cs="宋体"/>
          <w:bCs/>
          <w:szCs w:val="21"/>
        </w:rPr>
      </w:pPr>
      <w:r>
        <w:rPr>
          <w:rFonts w:hint="eastAsia" w:ascii="宋体" w:hAnsi="宋体" w:cs="宋体"/>
          <w:bCs/>
          <w:szCs w:val="21"/>
        </w:rPr>
        <w:t xml:space="preserve">7.针对监狱企业的评审加分：</w:t>
      </w:r>
      <w:r/>
    </w:p>
    <w:p>
      <w:pPr>
        <w:ind w:firstLine="420"/>
        <w:spacing w:line="360" w:lineRule="auto"/>
        <w:rPr>
          <w:rFonts w:ascii="宋体" w:cs="宋体"/>
          <w:bCs/>
          <w:szCs w:val="21"/>
        </w:rPr>
      </w:pPr>
      <w:r>
        <w:rPr>
          <w:rFonts w:hint="eastAsia" w:ascii="宋体" w:hAnsi="宋体" w:cs="宋体"/>
          <w:bCs/>
          <w:szCs w:val="21"/>
        </w:rPr>
        <w:t xml:space="preserve">根据《关于政府采购支持监狱企业发展有关问题的通知》（财库〔</w:t>
      </w:r>
      <w:r>
        <w:rPr>
          <w:rFonts w:ascii="宋体" w:hAnsi="宋体" w:cs="宋体"/>
          <w:bCs/>
          <w:szCs w:val="21"/>
        </w:rPr>
        <w:t xml:space="preserve">2014</w:t>
      </w:r>
      <w:r>
        <w:rPr>
          <w:rFonts w:hint="eastAsia" w:ascii="宋体" w:hAnsi="宋体" w:cs="宋体"/>
          <w:bCs/>
          <w:szCs w:val="21"/>
        </w:rPr>
        <w:t xml:space="preserve">〕</w:t>
      </w:r>
      <w:r>
        <w:rPr>
          <w:rFonts w:ascii="宋体" w:hAnsi="宋体" w:cs="宋体"/>
          <w:bCs/>
          <w:szCs w:val="21"/>
        </w:rPr>
        <w:t xml:space="preserve">68</w:t>
      </w:r>
      <w:r>
        <w:rPr>
          <w:rFonts w:hint="eastAsia" w:ascii="宋体" w:hAnsi="宋体" w:cs="宋体"/>
          <w:bCs/>
          <w:szCs w:val="21"/>
        </w:rPr>
        <w:t xml:space="preserve">号）的通知规定，对属于监狱企业的投标单位给予评审加分：</w:t>
      </w:r>
      <w:r/>
    </w:p>
    <w:p>
      <w:pPr>
        <w:ind w:firstLine="420"/>
        <w:spacing w:line="360" w:lineRule="auto"/>
        <w:rPr>
          <w:rFonts w:ascii="宋体" w:hAnsi="宋体" w:cs="宋体"/>
          <w:bCs/>
          <w:szCs w:val="21"/>
        </w:rPr>
      </w:pPr>
      <w:r>
        <w:rPr>
          <w:rFonts w:hint="eastAsia" w:ascii="宋体" w:hAnsi="宋体" w:cs="宋体"/>
          <w:bCs/>
          <w:szCs w:val="21"/>
        </w:rPr>
        <w:t xml:space="preserve">监狱企业视同小型、微型企业，享受评审中价格扣除等政府采购促进中小企业发展的政府采购政。</w:t>
      </w:r>
      <w:r/>
    </w:p>
    <w:p>
      <w:pPr>
        <w:ind w:firstLine="420"/>
        <w:spacing w:line="360" w:lineRule="auto"/>
        <w:rPr>
          <w:rFonts w:ascii="宋体" w:cs="宋体"/>
          <w:bCs/>
          <w:szCs w:val="21"/>
        </w:rPr>
      </w:pPr>
      <w:r>
        <w:rPr>
          <w:rFonts w:hint="eastAsia" w:ascii="宋体" w:hAnsi="宋体" w:cs="宋体"/>
          <w:bCs/>
          <w:szCs w:val="21"/>
        </w:rPr>
        <w:t xml:space="preserve">符合条件的监狱企业参加投标时，应当提供省级以上监狱管理局、戒毒管理局（含新疆生产建设兵团）出具的属于监狱企业的证明文件。</w:t>
      </w:r>
      <w:r/>
    </w:p>
    <w:p>
      <w:pPr>
        <w:pStyle w:val="865"/>
        <w:ind w:firstLine="420"/>
        <w:spacing w:line="360" w:lineRule="auto"/>
      </w:pPr>
      <w:r>
        <w:rPr>
          <w:rFonts w:hint="eastAsia" w:hAnsi="宋体" w:cs="宋体"/>
          <w:bCs/>
          <w:szCs w:val="21"/>
        </w:rPr>
        <w:t xml:space="preserve">上述优惠政策不重复享受。</w:t>
      </w:r>
      <w:r/>
    </w:p>
    <w:p>
      <w:pPr>
        <w:ind w:firstLine="422"/>
        <w:spacing w:line="360" w:lineRule="auto"/>
        <w:rPr>
          <w:rFonts w:ascii="宋体" w:hAnsi="宋体" w:cs="宋体"/>
          <w:b/>
          <w:bCs/>
          <w:szCs w:val="21"/>
        </w:rPr>
      </w:pPr>
      <w:r>
        <w:rPr>
          <w:rFonts w:hint="eastAsia" w:ascii="宋体" w:hAnsi="宋体" w:cs="宋体"/>
          <w:b/>
          <w:bCs/>
          <w:szCs w:val="21"/>
        </w:rPr>
        <w:t xml:space="preserve">二、评分标准</w:t>
      </w:r>
      <w:r/>
    </w:p>
    <w:p>
      <w:pPr>
        <w:pStyle w:val="1066"/>
        <w:ind w:firstLine="422"/>
        <w:spacing w:line="360" w:lineRule="auto"/>
        <w:rPr>
          <w:rFonts w:hAnsi="宋体" w:cs="宋体"/>
          <w:b/>
          <w:szCs w:val="21"/>
        </w:rPr>
      </w:pPr>
      <w:r>
        <w:rPr>
          <w:rFonts w:hint="eastAsia" w:hAnsi="宋体" w:cs="宋体"/>
          <w:b/>
          <w:szCs w:val="21"/>
        </w:rPr>
        <w:t xml:space="preserve">（一）价格分：10分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第一步：磋商报价低于或等于财政预算价格的，为有效磋商报价。超财政预算的磋商报价文件为未实质性响应文件，不参与评审。</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第二步：在所有有效磋商报价中满足采购文件要求，且磋商报价最低的为评标基准价，其价格分为10分，其他磋商供应商的价格分按照下列公式计算（计算结果四舍五入保留两位小数）</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磋商报价得分＝（评标基准价/最终磋商报价）×10%×100</w:t>
      </w:r>
      <w:r/>
    </w:p>
    <w:p>
      <w:pPr>
        <w:pStyle w:val="1066"/>
        <w:ind w:firstLine="422"/>
        <w:spacing w:line="360" w:lineRule="auto"/>
        <w:rPr>
          <w:rFonts w:hAnsi="宋体" w:cs="宋体"/>
          <w:b/>
          <w:szCs w:val="21"/>
        </w:rPr>
      </w:pPr>
      <w:r>
        <w:rPr>
          <w:rFonts w:hint="eastAsia" w:hAnsi="宋体" w:cs="宋体"/>
          <w:b/>
          <w:szCs w:val="21"/>
        </w:rPr>
        <w:t xml:space="preserve">（二）技术方案：65分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1、项目总体实施方案（12分）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应针对本项目实际需求制定总体实施方案，围绕产业需求分析、企业调研、产业数据获取、典型生产场景提取、岗位能力分析及成果应用等方面开展整体设计。方案内容包括但不限于：（1）项目总体实施思路；（2）实施路径及阶段划分；（3）项目团队组织及职责分工；（4）工作计划及进度安排；（5）沟通协调机制；（6）阶段成果管理及质量控制机制。</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评分标准：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上述每项应逐条叙述，方案全面合理、可行性强、操作性强、贴合项目实际的得2分；方案合理性较弱、可行性有所欠缺、操作性不强、与项目实际贴合度不高的得1分；每项内容缺失、明显偏离采购需求或不具备可行性的，该项不得分。本项最高得12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2、产业图谱构建方案（20分）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应针对相关产业领域制定企业调研与产业图谱构建方案，通过企业调研、行业分析、产业数据采集等方式，系统获取产业发展、企业需求、技术应用和岗位结构等相关数据，形成产业需求分析基础。方案内容包括但不限于：（1）调研企业选择原则及组织方式；（2）区域产业发展趋势分析；（3）产业链结构及重点企业分析；（4）企业生产场景、技术应用情况分析；（5）岗位设置、人才需求及能力要求调研；（6）产业数据采集、整理、验证及更新机制；（7）产业链、企业、技术、岗位、能力等数据节点设计；（8）产业图谱构建方法及成果呈现方式。</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评分标准：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上述每项应逐条叙述，方案全面合理、可行性强、操作性强、贴合项目实际的得2.5分；方案合理性较弱、可行性有所欠缺、操作性不强、与项目实际贴合度不高的得1分；每项内容缺失、明显偏离采购需求或不具备可行性的，该项不得分。本项最高得20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3、典型生产案例提取、能力图谱构建及成果应用方案（24分）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供应商应基于产业调研和产业图谱分析结果，</w:t>
      </w:r>
      <w:r>
        <w:rPr>
          <w:rFonts w:hint="eastAsia" w:asciiTheme="minorEastAsia" w:hAnsiTheme="minorEastAsia" w:eastAsiaTheme="minorEastAsia" w:cstheme="minorEastAsia"/>
          <w:szCs w:val="21"/>
        </w:rPr>
        <w:t xml:space="preserve">从企业真实生产过程、技术应用过程或项目实施过程中提取典型生产案例，分析岗位工作任务和能力需求，构建岗位能力体系及能力图谱。方案内容包括但不限于：（1）典型生产案例来源及筛选标准；（2）企业生产背景、应用场景和业务流程分析；（3）典型工作任务、关键技术环节及岗位要求提取；（4）企业生产过程与岗位能力要素关联分析；（5）知识、技能、职业素质等能力要素提取；（6）能力图谱节点设计、层级划分及关联关系构建；（7）产业图谱、典型生产案例与能力体系之间的映射关系；（8）相关成果对本项目专业内容组织与后续应用的支撑方式。</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评分标准：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上述每项应逐条叙述，方案全面合理、可行性强、操作性强、贴合项目实际的得3分；方案合理性较弱、可行性有所欠缺、操作性不强、与项目实际贴合度不高的得1.5分；每项内容缺失、明显偏离采购需求或不具备可行性的，该项不得分。本项最高得24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4、质量保障及服务方案（9分）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供应商应针对项目实施全过程制定质量保障及服务方案。</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内容包括但不限于：（1）项目质量管理体系、产业数据真实性审核机制；（2）产业图谱、能力图谱及案例成果审核机制、阶段成果检查与反馈机制；（3）成果版本管理及资料归档、沟通响应机制、成果维护及持续更新服务。</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评分标准：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上述每项应逐条叙述，方案全面合理、可行性强、操作性强、贴合项目实际的得3分；方案合理性较弱、可行性有所欠缺、操作性不强、与项目实际贴合度不高的得1.5分；每项内容缺失、明显偏离采购需求或不具备可行性的，该项不得分。本项最高得9分。</w:t>
      </w:r>
      <w:r/>
    </w:p>
    <w:p>
      <w:pPr>
        <w:pStyle w:val="1066"/>
        <w:ind w:firstLine="422"/>
        <w:spacing w:line="360" w:lineRule="auto"/>
        <w:rPr>
          <w:rFonts w:hAnsi="宋体" w:cs="宋体"/>
          <w:b/>
          <w:szCs w:val="21"/>
        </w:rPr>
      </w:pPr>
      <w:r>
        <w:rPr>
          <w:rFonts w:hint="eastAsia" w:hAnsi="宋体" w:cs="宋体"/>
          <w:b/>
          <w:szCs w:val="21"/>
        </w:rPr>
        <w:t xml:space="preserve">（三）履约能力（25分）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1、相关软件支撑能力（3分）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供应商具有与数字化资源建设和数据分析等相关的软件著作权或合法软件使用证明。</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每提供1项符合要求的证明材料得1.5分，最高得3分。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供应商须提供软件著作权登记证书、软件产品证书、软件合法授权证明或其他能够证明相关软件支撑能力的材料复印件，并加盖供应商公章。同一软件的不同版本不重复计分。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2、调研组织与资源协调能力（4分）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供应商具备围绕产业发展、企业需求、岗位需求、技术应用或人才培养等内容开展调研的组织协调能力。</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供应商需提供具有高新技术企业资质的企业配合项目实施调研，每提供一个企业出具的同意调研盖章证明材料，得1分，最高得4分，未提供不得分。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证明材料应能够体现相关单位同意配合供应商开展产业、企业、岗位、技术或人才需求等与本项目相关的调研工作，并加盖出具单位公章。同一单位不重复计分。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3、项目团队相关经验（3分）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拟投入本项目的团队成员具有课程建设、教材建设、专业建设、产业调研、数字化教学资源开发、教学视频制作、平台技术服务或其他与本项目相关的工作经验。</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每提供一个证明材料得1分，最高得3分。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证明材料应能够体现团队成员姓名及其参与的相关工作内容，可提供项目委托单位证明、合同、验收材料等。未提供项目团队成员名单，或材料无法体现人员姓名及参与内容的，不得分。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4、相关实践案例（10分）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供应商提供近三年内形成或参与实施的，与本项目相关专业领域、课程内容、生产实践、技术应用、数字化转型、岗位能力分析或典型工作任务相关的实践案例。</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案例内容应能够包含以下内容：</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（1）企业生产、技术研发、系统实施、产品应用或工程服务情况；</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（2）真实生产场景或技术应用场景；</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（3）典型工作任务、关键技术环节或岗位能力要求；</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（4）案例在课程建设、教学资源开发、岗位分析或能力分析等方面的应用价值。</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每提供1份符合要求的实践案例得2分，最高得10分。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每份案例须提供案例材料，以及案例形成单位、应用单位、合作单位或相关项目委托单位出具的证明材料。案例材料与本项目无明显关联、内容不完整或无法证明其真实性的，对应案例不得分。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5、产业调研与数据分析能力（5分）</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供应商提供近三年内开展或参与产业调研、人才需求分析、岗位需求分析、技术需求分析、产业数据研究等相关工作的服务合同。</w:t>
      </w:r>
      <w:r/>
    </w:p>
    <w:p>
      <w:pPr>
        <w:pStyle w:val="1066"/>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提供1份符合要求的材料得5分，未提供不得分。</w:t>
      </w:r>
      <w:r/>
    </w:p>
    <w:p>
      <w:pPr>
        <w:pStyle w:val="1066"/>
        <w:ind w:firstLine="420"/>
        <w:spacing w:line="360" w:lineRule="auto"/>
        <w:rPr>
          <w:rFonts w:hAnsi="宋体" w:cs="宋体"/>
          <w:b/>
          <w:bCs/>
          <w:szCs w:val="21"/>
        </w:rPr>
      </w:pPr>
      <w:r>
        <w:rPr>
          <w:rFonts w:hint="eastAsia" w:asciiTheme="minorEastAsia" w:hAnsiTheme="minorEastAsia" w:eastAsiaTheme="minorEastAsia" w:cstheme="minorEastAsia"/>
          <w:szCs w:val="21"/>
        </w:rPr>
        <w:t xml:space="preserve">证明材料为项目服务合同。仅提供合同首页或签字盖章页，无法证明具体工作内容的，不得分。</w:t>
      </w:r>
      <w:r/>
    </w:p>
    <w:p>
      <w:pPr>
        <w:pStyle w:val="1066"/>
        <w:ind w:firstLine="422"/>
        <w:spacing w:line="360" w:lineRule="auto"/>
        <w:rPr>
          <w:rFonts w:hAnsi="宋体" w:cs="宋体"/>
          <w:b/>
          <w:bCs/>
          <w:szCs w:val="21"/>
        </w:rPr>
      </w:pPr>
      <w:r>
        <w:rPr>
          <w:rFonts w:hAnsi="宋体" w:cs="宋体"/>
          <w:b/>
          <w:bCs/>
          <w:szCs w:val="21"/>
        </w:rPr>
      </w:r>
      <w:r/>
    </w:p>
    <w:p>
      <w:pPr>
        <w:ind w:firstLine="422"/>
        <w:spacing w:line="360" w:lineRule="auto"/>
        <w:rPr>
          <w:rFonts w:ascii="宋体" w:hAnsi="宋体" w:cs="宋体"/>
          <w:b/>
          <w:szCs w:val="21"/>
        </w:rPr>
      </w:pPr>
      <w:r>
        <w:rPr>
          <w:rFonts w:hint="eastAsia" w:ascii="宋体" w:hAnsi="宋体" w:cs="宋体"/>
          <w:b/>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1、报价超过预算金额的将不进入综合评审程序，也不得成交。</w:t>
      </w:r>
      <w:r/>
    </w:p>
    <w:p>
      <w:pPr>
        <w:ind w:firstLine="420"/>
        <w:spacing w:line="360" w:lineRule="auto"/>
        <w:rPr>
          <w:rFonts w:ascii="宋体" w:hAnsi="宋体" w:cs="宋体"/>
          <w:szCs w:val="21"/>
        </w:rPr>
      </w:pPr>
      <w:r>
        <w:rPr>
          <w:rFonts w:hint="eastAsia" w:ascii="宋体" w:hAnsi="宋体" w:cs="宋体"/>
          <w:szCs w:val="21"/>
        </w:rPr>
        <w:t xml:space="preserve">2、付款步骤、服务期限如有负偏离的不得成交。</w:t>
      </w:r>
      <w:r/>
    </w:p>
    <w:p>
      <w:pPr>
        <w:ind w:firstLine="420"/>
        <w:spacing w:line="360" w:lineRule="auto"/>
        <w:rPr>
          <w:rFonts w:ascii="宋体" w:hAnsi="宋体" w:cs="宋体"/>
          <w:szCs w:val="21"/>
        </w:rPr>
      </w:pPr>
      <w:r>
        <w:rPr>
          <w:rFonts w:hint="eastAsia" w:ascii="宋体" w:hAnsi="宋体" w:cs="宋体"/>
          <w:szCs w:val="21"/>
        </w:rPr>
        <w:t xml:space="preserve">3、针对评分标准中评分的每一条，磋商响应单位均应提供相关资料并作出相应说明供评委评判，不提供相关资料的视为不具备该项得分的条件。</w:t>
      </w:r>
      <w:r/>
    </w:p>
    <w:p>
      <w:pPr>
        <w:ind w:firstLine="420"/>
        <w:spacing w:line="360" w:lineRule="auto"/>
        <w:rPr>
          <w:rFonts w:ascii="宋体" w:hAnsi="宋体" w:cs="宋体"/>
          <w:szCs w:val="21"/>
        </w:rPr>
      </w:pPr>
      <w:r>
        <w:rPr>
          <w:rFonts w:hint="eastAsia" w:ascii="宋体" w:hAnsi="宋体" w:cs="宋体"/>
          <w:szCs w:val="21"/>
        </w:rPr>
        <w:t xml:space="preserve">4、采购文件中要求加盖响应单位公章的，可用电子签章代替。</w:t>
      </w:r>
      <w:r/>
    </w:p>
    <w:p>
      <w:pPr>
        <w:ind w:firstLine="420"/>
        <w:jc w:val="left"/>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甲  方：苏州工业职业技术学院                         乙  方：</w:t>
      </w:r>
      <w:r/>
    </w:p>
    <w:p>
      <w:pPr>
        <w:ind w:firstLine="420"/>
        <w:spacing w:line="360" w:lineRule="auto"/>
        <w:rPr>
          <w:rFonts w:ascii="宋体" w:hAnsi="宋体"/>
          <w:szCs w:val="21"/>
        </w:rPr>
      </w:pPr>
      <w:r>
        <w:rPr>
          <w:rFonts w:hint="eastAsia" w:ascii="宋体" w:hAnsi="宋体"/>
          <w:szCs w:val="21"/>
        </w:rPr>
        <w:t xml:space="preserve">送达地址：苏州吴中越溪国际教育园致能大道1号         送达地址：</w:t>
      </w:r>
      <w:r/>
    </w:p>
    <w:p>
      <w:pPr>
        <w:ind w:firstLine="420"/>
        <w:spacing w:line="360" w:lineRule="auto"/>
        <w:rPr>
          <w:rFonts w:ascii="宋体" w:hAnsi="宋体"/>
          <w:szCs w:val="21"/>
        </w:rPr>
      </w:pPr>
      <w:r>
        <w:rPr>
          <w:rFonts w:hint="eastAsia" w:ascii="宋体" w:hAnsi="宋体"/>
          <w:szCs w:val="21"/>
        </w:rPr>
        <w:t xml:space="preserve">联系人：                                             联系人：</w:t>
      </w:r>
      <w:r/>
    </w:p>
    <w:p>
      <w:pPr>
        <w:ind w:firstLine="420"/>
        <w:spacing w:line="360" w:lineRule="auto"/>
        <w:rPr>
          <w:rFonts w:ascii="宋体" w:hAnsi="宋体"/>
          <w:szCs w:val="21"/>
        </w:rPr>
      </w:pPr>
      <w:r>
        <w:rPr>
          <w:rFonts w:hint="eastAsia" w:ascii="宋体" w:hAnsi="宋体"/>
          <w:szCs w:val="21"/>
        </w:rPr>
        <w:t xml:space="preserve">联系方式：                                           联系方式:</w:t>
      </w:r>
      <w:r/>
    </w:p>
    <w:p>
      <w:pPr>
        <w:ind w:firstLine="420"/>
        <w:spacing w:line="360" w:lineRule="auto"/>
        <w:rPr>
          <w:rFonts w:ascii="宋体" w:hAnsi="宋体"/>
          <w:szCs w:val="21"/>
        </w:rPr>
      </w:pPr>
      <w:r>
        <w:rPr>
          <w:rFonts w:hint="eastAsia" w:ascii="宋体" w:hAnsi="宋体"/>
          <w:szCs w:val="21"/>
        </w:rPr>
        <w:t xml:space="preserve">传  真：                                             传  真：</w:t>
      </w:r>
      <w:r/>
    </w:p>
    <w:p>
      <w:pPr>
        <w:ind w:firstLine="420"/>
        <w:spacing w:line="360" w:lineRule="auto"/>
        <w:rPr>
          <w:rFonts w:ascii="宋体" w:hAnsi="宋体"/>
          <w:szCs w:val="21"/>
        </w:rPr>
      </w:pPr>
      <w:r>
        <w:rPr>
          <w:rFonts w:hint="eastAsia" w:ascii="宋体" w:hAnsi="宋体"/>
          <w:szCs w:val="21"/>
        </w:rPr>
        <w:t xml:space="preserve">开户行：中国银行苏州分行营业部                       开户行： </w:t>
      </w:r>
      <w:r/>
    </w:p>
    <w:p>
      <w:pPr>
        <w:ind w:firstLine="420"/>
        <w:spacing w:line="360" w:lineRule="auto"/>
        <w:rPr>
          <w:rFonts w:ascii="宋体" w:hAnsi="宋体"/>
          <w:szCs w:val="21"/>
        </w:rPr>
      </w:pPr>
      <w:r>
        <w:rPr>
          <w:rFonts w:hint="eastAsia" w:ascii="宋体" w:hAnsi="宋体"/>
          <w:szCs w:val="21"/>
        </w:rPr>
        <w:t xml:space="preserve">账  号：</w:t>
      </w:r>
      <w:r>
        <w:rPr>
          <w:rFonts w:ascii="宋体" w:hAnsi="宋体"/>
          <w:szCs w:val="21"/>
        </w:rPr>
        <w:t xml:space="preserve">504058193068</w:t>
      </w:r>
      <w:r>
        <w:rPr>
          <w:rFonts w:hint="eastAsia" w:ascii="宋体" w:hAnsi="宋体"/>
          <w:szCs w:val="21"/>
        </w:rPr>
        <w:t xml:space="preserve">                                 账  号：</w:t>
      </w:r>
      <w:r/>
    </w:p>
    <w:p>
      <w:pPr>
        <w:ind w:firstLine="420"/>
        <w:spacing w:line="360" w:lineRule="auto"/>
        <w:rPr>
          <w:rFonts w:ascii="宋体" w:hAnsi="宋体"/>
          <w:szCs w:val="21"/>
        </w:rPr>
      </w:pPr>
      <w:r>
        <w:rPr>
          <w:rFonts w:hint="eastAsia" w:ascii="宋体" w:hAnsi="宋体"/>
          <w:szCs w:val="21"/>
        </w:rPr>
        <w:t xml:space="preserve">税  号：</w:t>
      </w:r>
      <w:r>
        <w:rPr>
          <w:rFonts w:ascii="宋体" w:hAnsi="宋体"/>
          <w:szCs w:val="21"/>
        </w:rPr>
        <w:t xml:space="preserve">12320500466949074Q</w:t>
      </w:r>
      <w:r>
        <w:rPr>
          <w:rFonts w:hint="eastAsia" w:ascii="宋体" w:hAnsi="宋体"/>
          <w:szCs w:val="21"/>
        </w:rPr>
        <w:t xml:space="preserve">                           税  号：</w:t>
      </w:r>
      <w:r/>
    </w:p>
    <w:p>
      <w:pPr>
        <w:pStyle w:val="834"/>
        <w:ind w:firstLine="420"/>
        <w:jc w:val="both"/>
        <w:spacing w:line="360" w:lineRule="auto"/>
        <w:widowControl w:val="off"/>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pStyle w:val="834"/>
        <w:ind w:firstLine="420"/>
        <w:jc w:val="both"/>
        <w:spacing w:line="360" w:lineRule="auto"/>
        <w:widowControl w:val="off"/>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苏州市政府采购招标编号JSZC-320500-SZMK-C2026-0010采购文件、乙方的响应文件和成交通知书，甲方（采购单位）乙方（成交单位）双方就此次成交的苏州工业职业技术学院职业教育精品在线课程建设技术服务事宜，签订本合同书。</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一、采购内容、总金额、交付期限及交付地点</w:t>
      </w:r>
      <w:r/>
    </w:p>
    <w:p>
      <w:pPr>
        <w:ind w:firstLine="420"/>
        <w:spacing w:line="360" w:lineRule="auto"/>
        <w:rPr>
          <w:rFonts w:asciiTheme="minorEastAsia" w:hAnsiTheme="minorEastAsia" w:eastAsiaTheme="minorEastAsia"/>
          <w:szCs w:val="21"/>
        </w:rPr>
      </w:pPr>
      <w:r>
        <w:rPr>
          <w:rFonts w:hint="eastAsia" w:cs="宋体" w:asciiTheme="minorEastAsia" w:hAnsiTheme="minorEastAsia" w:eastAsiaTheme="minorEastAsia"/>
          <w:szCs w:val="21"/>
          <w:lang w:val="zh-CN"/>
        </w:rPr>
        <w:t xml:space="preserve">（一）采购内容：</w:t>
      </w:r>
      <w:r/>
    </w:p>
    <w:p>
      <w:pPr>
        <w:ind w:firstLine="420"/>
        <w:spacing w:line="360" w:lineRule="auto"/>
        <w:rPr>
          <w:rFonts w:asciiTheme="minorEastAsia" w:hAnsiTheme="minorEastAsia" w:eastAsiaTheme="minorEastAsia"/>
          <w:szCs w:val="21"/>
        </w:rPr>
      </w:pPr>
      <w:r>
        <w:rPr>
          <w:rFonts w:hint="eastAsia" w:cs="宋体" w:asciiTheme="minorEastAsia" w:hAnsiTheme="minorEastAsia" w:eastAsiaTheme="minorEastAsia"/>
          <w:szCs w:val="21"/>
          <w:lang w:val="zh-CN"/>
        </w:rPr>
        <w:t xml:space="preserve">（二）合同总金额：￥元（大写：人民币元），本合同价格</w:t>
      </w:r>
      <w:r>
        <w:rPr>
          <w:rFonts w:hint="eastAsia" w:asciiTheme="minorEastAsia" w:hAnsiTheme="minorEastAsia" w:eastAsiaTheme="minorEastAsia"/>
          <w:szCs w:val="21"/>
          <w:lang w:val="zh-CN"/>
        </w:rPr>
        <w:t xml:space="preserve">包括全部课程资源、服务、人工、配合费用（含交通、住宿等）、培训、保险、各种税费、劳保及验收、专利技术、代理服务费等一切费用。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（三）交付期限：</w:t>
      </w:r>
      <w:r>
        <w:rPr>
          <w:rFonts w:hint="eastAsia" w:asciiTheme="minorEastAsia" w:hAnsiTheme="minorEastAsia" w:eastAsiaTheme="minorEastAsia"/>
          <w:szCs w:val="21"/>
        </w:rPr>
        <w:t xml:space="preserve">项目总建设周期为5个月。</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（四）交付地点：甲方指定地点。</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二、付款步骤</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（一）履约保证金:</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1、合同签订生效后，乙方收到甲方缴款通知单后的五个工作日内，乙方应向甲方交纳</w:t>
      </w:r>
      <w:r>
        <w:rPr>
          <w:rFonts w:hint="eastAsia" w:asciiTheme="minorEastAsia" w:hAnsiTheme="minorEastAsia" w:eastAsiaTheme="minorEastAsia"/>
          <w:bCs/>
          <w:szCs w:val="21"/>
        </w:rPr>
        <w:t xml:space="preserve">成交</w:t>
      </w:r>
      <w:r>
        <w:rPr>
          <w:rFonts w:hint="eastAsia" w:asciiTheme="minorEastAsia" w:hAnsiTheme="minorEastAsia" w:eastAsiaTheme="minorEastAsia"/>
          <w:bCs/>
          <w:szCs w:val="21"/>
        </w:rPr>
        <w:t xml:space="preserve">金额的5%作为履约保证金，待乙方履行完合同义务后，由乙方凭甲方的收款收据自行申请履约保证金无息退还，若乙方两年内仍未申请退还，则履约保证金归甲方所有，甲方不予退还。</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2、履约保证金递交方式：以支票、转账、汇票、本票或金融机构、担保机构出具的保函等非现金形式提交。</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二</w:t>
      </w:r>
      <w:r>
        <w:rPr>
          <w:rFonts w:hint="eastAsia" w:asciiTheme="minorEastAsia" w:hAnsiTheme="minorEastAsia" w:eastAsiaTheme="minorEastAsia"/>
          <w:bCs/>
          <w:szCs w:val="21"/>
        </w:rPr>
        <w:t xml:space="preserve">）付款:</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合同签订生效后的一个月内，甲方向乙方支付合同总金额的30%作为预付款，待乙方完成全部合同标的工作，所有课程交付并完成上传且通过甲方组织的履约验收合格后</w:t>
      </w:r>
      <w:r>
        <w:rPr>
          <w:rFonts w:hint="eastAsia" w:ascii="宋体" w:hAnsi="宋体"/>
          <w:bCs/>
          <w:szCs w:val="21"/>
        </w:rPr>
        <w:t xml:space="preserve">15天内</w:t>
      </w:r>
      <w:r>
        <w:rPr>
          <w:rFonts w:hint="eastAsia" w:asciiTheme="minorEastAsia" w:hAnsiTheme="minorEastAsia" w:eastAsiaTheme="minorEastAsia"/>
          <w:bCs/>
          <w:szCs w:val="21"/>
        </w:rPr>
        <w:t xml:space="preserve">，乙方向甲方提供下列(A、B)单据后，甲方支付剩余合同总金额。在签订合同时，乙方明确表示无需预付款或者主动要求降低预付款比例的，甲方可不适用上述关于预付款的规定。</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A、合法有效的增值税普通发票；</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B、验收合格的书面证明及质保单。</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三</w:t>
      </w:r>
      <w:r>
        <w:rPr>
          <w:rFonts w:hint="eastAsia" w:asciiTheme="minorEastAsia" w:hAnsiTheme="minorEastAsia" w:eastAsiaTheme="minorEastAsia"/>
          <w:bCs/>
          <w:szCs w:val="21"/>
        </w:rPr>
        <w:t xml:space="preserve">）付款方式：银行转账。</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若乙方向甲方提供的发票为虚假、违法、无效或过期的，甲方有权暂不支付该笔款</w:t>
      </w:r>
      <w:r>
        <w:rPr>
          <w:rFonts w:hint="eastAsia" w:asciiTheme="minorEastAsia" w:hAnsiTheme="minorEastAsia" w:eastAsiaTheme="minorEastAsia"/>
          <w:bCs/>
          <w:szCs w:val="21"/>
        </w:rPr>
        <w:t xml:space="preserve">项，并有权要求乙方提供合法有效的发票。此时甲方不承担任何逾期付款违约责任，一切损失由乙方自行承担。</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乙方账户信息：</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单位名称</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账户：</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开户银行：</w:t>
      </w:r>
      <w:r/>
    </w:p>
    <w:p>
      <w:pPr>
        <w:ind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三、项目验收方式</w:t>
      </w:r>
      <w:r/>
    </w:p>
    <w:p>
      <w:pPr>
        <w:ind w:firstLine="420"/>
        <w:spacing w:line="360" w:lineRule="auto"/>
        <w:tabs>
          <w:tab w:val="left" w:pos="540" w:leader="none"/>
        </w:tabs>
        <w:rPr>
          <w:rFonts w:ascii="宋体" w:hAnsi="宋体" w:cs="宋体"/>
          <w:color w:val="000000"/>
          <w:szCs w:val="21"/>
        </w:rPr>
      </w:pPr>
      <w:r>
        <w:rPr>
          <w:rFonts w:hint="eastAsia" w:ascii="宋体" w:hAnsi="宋体" w:cs="宋体"/>
          <w:color w:val="000000"/>
          <w:szCs w:val="21"/>
        </w:rPr>
        <w:t xml:space="preserve">（一）乙方提交的在线课程建设由甲方负责验收。 </w:t>
      </w:r>
      <w:r/>
    </w:p>
    <w:p>
      <w:pPr>
        <w:ind w:firstLine="420"/>
        <w:spacing w:line="360" w:lineRule="auto"/>
        <w:tabs>
          <w:tab w:val="left" w:pos="540" w:leader="none"/>
        </w:tabs>
        <w:rPr>
          <w:rFonts w:ascii="宋体" w:hAnsi="宋体" w:cs="宋体"/>
          <w:color w:val="000000"/>
          <w:szCs w:val="21"/>
        </w:rPr>
      </w:pPr>
      <w:r>
        <w:rPr>
          <w:rFonts w:hint="eastAsia" w:ascii="宋体" w:hAnsi="宋体" w:cs="宋体"/>
          <w:color w:val="000000"/>
          <w:szCs w:val="21"/>
        </w:rPr>
        <w:t xml:space="preserve">（二）甲方根据合同的规定接收，在接收时对标的物的设计、功能、成果等进行验收。甲方对标的物的规格技术指标如有异议，应从验收结束之日起十五日内以书面形式提出。</w:t>
      </w:r>
      <w:r/>
    </w:p>
    <w:p>
      <w:pPr>
        <w:ind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四、售后服务</w:t>
      </w:r>
      <w:r/>
    </w:p>
    <w:p>
      <w:pPr>
        <w:ind w:firstLine="420"/>
        <w:spacing w:line="360" w:lineRule="auto"/>
        <w:tabs>
          <w:tab w:val="left" w:pos="540" w:leader="none"/>
        </w:tabs>
        <w:rPr>
          <w:rFonts w:ascii="宋体" w:hAnsi="宋体" w:cs="仿宋_GB2312"/>
          <w:b/>
          <w:szCs w:val="21"/>
        </w:rPr>
      </w:pPr>
      <w:r>
        <w:rPr>
          <w:rFonts w:hint="eastAsia" w:ascii="宋体" w:hAnsi="宋体" w:cs="仿宋_GB2312"/>
          <w:szCs w:val="21"/>
        </w:rPr>
        <w:t xml:space="preserve">（一）项目全面验收合格之日起，提供</w:t>
      </w:r>
      <w:r>
        <w:rPr>
          <w:rFonts w:hint="eastAsia" w:ascii="宋体" w:hAnsi="宋体" w:cs="宋体"/>
          <w:szCs w:val="21"/>
        </w:rPr>
        <w:t xml:space="preserve">免费质保服务年</w:t>
      </w:r>
      <w:r>
        <w:rPr>
          <w:rFonts w:hint="eastAsia" w:ascii="宋体" w:hAnsi="宋体" w:cs="仿宋_GB2312"/>
          <w:szCs w:val="21"/>
        </w:rPr>
        <w:t xml:space="preserve">。</w:t>
      </w:r>
      <w:r/>
    </w:p>
    <w:p>
      <w:pPr>
        <w:ind w:firstLine="420"/>
        <w:spacing w:line="360" w:lineRule="auto"/>
        <w:tabs>
          <w:tab w:val="left" w:pos="540" w:leader="none"/>
        </w:tabs>
        <w:rPr>
          <w:rFonts w:ascii="宋体" w:hAnsi="宋体" w:cs="仿宋_GB2312"/>
          <w:szCs w:val="21"/>
        </w:rPr>
      </w:pPr>
      <w:r>
        <w:rPr>
          <w:rFonts w:hint="eastAsia" w:ascii="宋体" w:hAnsi="宋体" w:cs="仿宋_GB2312"/>
          <w:szCs w:val="21"/>
        </w:rPr>
        <w:t xml:space="preserve">（二）乙方需提供7*24小时服务支持，服务期内出现问题，乙方必须30分钟内响应，1.5小时到达现场，2小时内解决问题。其他未尽事宜按其乙方所提供的相应承诺执行。</w:t>
      </w:r>
      <w:r/>
    </w:p>
    <w:p>
      <w:pPr>
        <w:ind w:firstLine="420"/>
        <w:spacing w:line="360" w:lineRule="auto"/>
        <w:tabs>
          <w:tab w:val="left" w:pos="540" w:leader="none"/>
        </w:tabs>
        <w:rPr>
          <w:rFonts w:ascii="宋体" w:hAnsi="宋体" w:cs="仿宋_GB2312"/>
          <w:b/>
          <w:szCs w:val="21"/>
        </w:rPr>
      </w:pPr>
      <w:r>
        <w:rPr>
          <w:rFonts w:hint="eastAsia"/>
        </w:rPr>
        <w:t xml:space="preserve">（三）乙方可视自身能力在响应文件中提供更优、更合理的售后服务承诺。</w:t>
      </w:r>
      <w:r/>
    </w:p>
    <w:p>
      <w:pPr>
        <w:ind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五、违约责任</w:t>
      </w:r>
      <w:r/>
    </w:p>
    <w:p>
      <w:pPr>
        <w:ind w:firstLine="420"/>
        <w:spacing w:line="360" w:lineRule="auto"/>
        <w:tabs>
          <w:tab w:val="left" w:pos="540" w:leader="none"/>
        </w:tabs>
        <w:rPr>
          <w:rFonts w:ascii="宋体" w:hAnsi="宋体" w:cs="仿宋_GB2312"/>
          <w:szCs w:val="21"/>
          <w:highlight w:val="yellow"/>
        </w:rPr>
      </w:pPr>
      <w:r>
        <w:rPr>
          <w:rFonts w:hint="eastAsia" w:ascii="宋体" w:hAnsi="宋体" w:cs="仿宋_GB2312"/>
          <w:szCs w:val="21"/>
        </w:rPr>
        <w:t xml:space="preserve">（一）乙方未按照约定时间完成成果文件，则每逾期一日应当承担</w:t>
      </w:r>
      <w:r>
        <w:rPr>
          <w:rFonts w:hint="eastAsia" w:ascii="宋体" w:hAnsi="宋体" w:cs="仿宋_GB2312"/>
          <w:szCs w:val="21"/>
          <w:u w:val="single"/>
        </w:rPr>
        <w:t xml:space="preserve">1000</w:t>
      </w:r>
      <w:r>
        <w:rPr>
          <w:rFonts w:hint="eastAsia" w:ascii="宋体" w:hAnsi="宋体" w:cs="仿宋_GB2312"/>
          <w:szCs w:val="21"/>
        </w:rPr>
        <w:t xml:space="preserve">元，甲方有权自行从合同款中扣除。超过15日，甲方有权解除合同并追究乙方违约责任。</w:t>
      </w:r>
      <w:r/>
    </w:p>
    <w:p>
      <w:pPr>
        <w:ind w:firstLine="420"/>
        <w:spacing w:line="360" w:lineRule="auto"/>
        <w:tabs>
          <w:tab w:val="left" w:pos="540" w:leader="none"/>
        </w:tabs>
        <w:rPr>
          <w:rFonts w:ascii="宋体" w:hAnsi="宋体" w:cs="仿宋_GB2312"/>
          <w:szCs w:val="21"/>
        </w:rPr>
      </w:pPr>
      <w:r>
        <w:rPr>
          <w:rFonts w:hint="eastAsia" w:ascii="宋体" w:hAnsi="宋体" w:cs="仿宋_GB2312"/>
          <w:szCs w:val="21"/>
        </w:rPr>
        <w:t xml:space="preserve">（二）乙方保证所提供</w:t>
      </w:r>
      <w:r>
        <w:rPr>
          <w:rFonts w:hint="eastAsia" w:ascii="宋体" w:hAnsi="宋体"/>
          <w:bCs/>
          <w:szCs w:val="21"/>
        </w:rPr>
        <w:t xml:space="preserve">职业教育精品在线课程建设技术</w:t>
      </w:r>
      <w:r>
        <w:rPr>
          <w:rFonts w:hint="eastAsia" w:ascii="宋体" w:hAnsi="宋体" w:cs="仿宋_GB2312"/>
          <w:szCs w:val="21"/>
        </w:rPr>
        <w:t xml:space="preserve">涉及到的知识产权和所提供的技术资料是合法取得，并享有完整的知识产权，不会因为甲方的使用而被责令停止使用、追偿或要求赔偿损失，如出现此情况，一切经济和法律责任均由乙方承担。</w:t>
      </w:r>
      <w:r/>
    </w:p>
    <w:p>
      <w:pPr>
        <w:ind w:firstLine="420"/>
        <w:spacing w:line="360" w:lineRule="auto"/>
        <w:tabs>
          <w:tab w:val="left" w:pos="540" w:leader="none"/>
        </w:tabs>
        <w:rPr>
          <w:rFonts w:ascii="宋体" w:hAnsi="宋体" w:cs="仿宋_GB2312"/>
          <w:szCs w:val="21"/>
          <w:u w:val="single"/>
        </w:rPr>
      </w:pPr>
      <w:r>
        <w:rPr>
          <w:rFonts w:hint="eastAsia" w:ascii="宋体" w:hAnsi="宋体" w:cs="仿宋_GB2312"/>
          <w:szCs w:val="21"/>
        </w:rPr>
        <w:t xml:space="preserve">（三）乙方承诺按招标文件中提出的全部技术规范要求提供服务，必须严格按国家相关规定和投标文件中的有关内容（包括承诺）执行。</w:t>
      </w:r>
      <w:r/>
    </w:p>
    <w:p>
      <w:pPr>
        <w:ind w:firstLine="420"/>
        <w:spacing w:line="360" w:lineRule="auto"/>
        <w:tabs>
          <w:tab w:val="left" w:pos="540" w:leader="none"/>
        </w:tabs>
        <w:rPr>
          <w:rFonts w:ascii="宋体" w:hAnsi="宋体" w:cs="仿宋_GB2312"/>
          <w:szCs w:val="21"/>
        </w:rPr>
      </w:pPr>
      <w:r>
        <w:rPr>
          <w:rFonts w:hint="eastAsia" w:ascii="宋体" w:hAnsi="宋体" w:cs="仿宋_GB2312"/>
          <w:szCs w:val="21"/>
        </w:rPr>
        <w:t xml:space="preserve">（四）</w:t>
      </w:r>
      <w:r>
        <w:rPr>
          <w:rFonts w:ascii="宋体" w:hAnsi="宋体" w:cs="仿宋_GB2312"/>
          <w:szCs w:val="21"/>
        </w:rPr>
        <w:t xml:space="preserve">服务期间，乙方人员、财产安全责任由乙方自行负责。</w:t>
      </w:r>
      <w:r/>
    </w:p>
    <w:p>
      <w:pPr>
        <w:ind w:firstLine="420"/>
        <w:spacing w:line="360" w:lineRule="auto"/>
        <w:tabs>
          <w:tab w:val="left" w:pos="540" w:leader="none"/>
        </w:tabs>
        <w:rPr>
          <w:rFonts w:ascii="宋体" w:hAnsi="宋体" w:cs="仿宋_GB2312"/>
          <w:szCs w:val="21"/>
        </w:rPr>
      </w:pPr>
      <w:r>
        <w:rPr>
          <w:rFonts w:hint="eastAsia" w:ascii="宋体" w:hAnsi="宋体" w:cs="仿宋_GB2312"/>
          <w:szCs w:val="21"/>
        </w:rPr>
        <w:t xml:space="preserve">（五）</w:t>
      </w:r>
      <w:r>
        <w:rPr>
          <w:rFonts w:ascii="宋体" w:hAnsi="宋体" w:cs="仿宋_GB2312"/>
          <w:szCs w:val="21"/>
        </w:rPr>
        <w:t xml:space="preserve">如乙方派遣工作人员不称职或不能胜任，甲方有权要求乙方在规定期限内更换合格人员。</w:t>
      </w:r>
      <w:r/>
    </w:p>
    <w:p>
      <w:pPr>
        <w:ind w:firstLine="420"/>
        <w:spacing w:line="360" w:lineRule="auto"/>
        <w:tabs>
          <w:tab w:val="left" w:pos="540" w:leader="none"/>
        </w:tabs>
        <w:rPr>
          <w:rFonts w:ascii="宋体" w:hAnsi="宋体" w:cs="仿宋_GB2312"/>
          <w:szCs w:val="21"/>
        </w:rPr>
      </w:pPr>
      <w:r>
        <w:rPr>
          <w:rFonts w:hint="eastAsia" w:ascii="宋体" w:hAnsi="宋体" w:cs="仿宋_GB2312"/>
          <w:szCs w:val="21"/>
        </w:rPr>
        <w:t xml:space="preserve">（六）本合同范围的服务，应由乙方直接供应，不得转让他人供应；</w:t>
      </w:r>
      <w:r/>
    </w:p>
    <w:p>
      <w:pPr>
        <w:ind w:firstLine="420"/>
        <w:spacing w:line="360" w:lineRule="auto"/>
        <w:tabs>
          <w:tab w:val="left" w:pos="540" w:leader="none"/>
        </w:tabs>
        <w:rPr>
          <w:rFonts w:ascii="宋体" w:hAnsi="宋体" w:cs="仿宋_GB2312"/>
          <w:szCs w:val="21"/>
        </w:rPr>
      </w:pPr>
      <w:r>
        <w:rPr>
          <w:rFonts w:hint="eastAsia" w:ascii="宋体" w:hAnsi="宋体" w:cs="仿宋_GB2312"/>
          <w:szCs w:val="21"/>
        </w:rPr>
        <w:t xml:space="preserve">（七）如有转包和分包行为，甲方有权给予终止合同。</w:t>
      </w:r>
      <w:r/>
    </w:p>
    <w:p>
      <w:pPr>
        <w:ind w:firstLine="420"/>
        <w:spacing w:line="360" w:lineRule="auto"/>
        <w:tabs>
          <w:tab w:val="left" w:pos="540" w:leader="none"/>
        </w:tabs>
        <w:rPr>
          <w:rFonts w:ascii="宋体" w:hAnsi="宋体" w:cs="仿宋_GB2312"/>
          <w:szCs w:val="21"/>
        </w:rPr>
      </w:pPr>
      <w:r>
        <w:rPr>
          <w:rFonts w:hint="eastAsia" w:ascii="宋体" w:hAnsi="宋体" w:cs="仿宋_GB2312"/>
          <w:szCs w:val="21"/>
        </w:rPr>
        <w:t xml:space="preserve">（八）本合同执行中相关的一切税费均由乙方负担。</w:t>
      </w:r>
      <w:r/>
    </w:p>
    <w:p>
      <w:pPr>
        <w:ind w:firstLine="422"/>
        <w:spacing w:line="360" w:lineRule="auto"/>
        <w:tabs>
          <w:tab w:val="left" w:pos="540" w:leader="none"/>
        </w:tabs>
        <w:rPr>
          <w:rFonts w:ascii="宋体" w:hAnsi="宋体" w:cs="仿宋_GB2312"/>
          <w:b/>
          <w:szCs w:val="21"/>
        </w:rPr>
      </w:pPr>
      <w:r>
        <w:rPr>
          <w:rFonts w:hint="eastAsia" w:ascii="宋体" w:hAnsi="宋体" w:cs="仿宋_GB2312"/>
          <w:b/>
          <w:szCs w:val="21"/>
        </w:rPr>
        <w:t xml:space="preserve">六、不可抗力</w:t>
      </w:r>
      <w:r/>
    </w:p>
    <w:p>
      <w:pPr>
        <w:ind w:firstLine="420"/>
        <w:spacing w:line="360" w:lineRule="auto"/>
        <w:tabs>
          <w:tab w:val="left" w:pos="540" w:leader="none"/>
        </w:tabs>
        <w:rPr>
          <w:rFonts w:ascii="宋体" w:hAnsi="宋体" w:cs="仿宋_GB2312"/>
          <w:szCs w:val="21"/>
        </w:rPr>
      </w:pPr>
      <w:r>
        <w:rPr>
          <w:rFonts w:hint="eastAsia" w:ascii="宋体" w:hAnsi="宋体"/>
          <w:szCs w:val="21"/>
        </w:rPr>
        <w:t xml:space="preserve">（一）因不</w:t>
      </w:r>
      <w:r>
        <w:rPr>
          <w:rFonts w:hint="eastAsia" w:ascii="宋体" w:hAnsi="宋体" w:cs="仿宋_GB2312"/>
          <w:szCs w:val="21"/>
        </w:rPr>
        <w:t xml:space="preserve">可抗力不能履行合同的，根据不可抗力的影响，部分或者全部免除责任。但合同一方延迟履行后发生不可抗力的，不能免除责任。</w:t>
      </w:r>
      <w:r/>
    </w:p>
    <w:p>
      <w:pPr>
        <w:ind w:firstLine="420"/>
        <w:spacing w:line="360" w:lineRule="auto"/>
        <w:tabs>
          <w:tab w:val="left" w:pos="540" w:leader="none"/>
        </w:tabs>
        <w:rPr>
          <w:rFonts w:ascii="宋体" w:hAnsi="宋体" w:cs="仿宋_GB2312"/>
          <w:szCs w:val="21"/>
        </w:rPr>
      </w:pPr>
      <w:r>
        <w:rPr>
          <w:rFonts w:hint="eastAsia" w:ascii="宋体" w:hAnsi="宋体" w:cs="仿宋_GB2312"/>
          <w:szCs w:val="21"/>
        </w:rPr>
        <w:t xml:space="preserve">（二）合同一方因不可抗力不能履行合同的，应当及时通知对方，以减轻可能给对方造成的损失，并应当在合理期限内</w:t>
      </w:r>
      <w:r>
        <w:rPr>
          <w:rFonts w:hint="eastAsia" w:ascii="宋体" w:hAnsi="宋体"/>
          <w:szCs w:val="21"/>
        </w:rPr>
        <w:t xml:space="preserve">提供证明。</w:t>
      </w:r>
      <w:r/>
    </w:p>
    <w:p>
      <w:pPr>
        <w:ind w:firstLine="422"/>
        <w:spacing w:line="360" w:lineRule="auto"/>
        <w:rPr>
          <w:rFonts w:ascii="宋体" w:hAnsi="宋体"/>
          <w:bCs/>
          <w:szCs w:val="21"/>
        </w:rPr>
      </w:pPr>
      <w:r>
        <w:rPr>
          <w:rFonts w:hint="eastAsia" w:ascii="宋体" w:hAnsi="宋体"/>
          <w:b/>
          <w:bCs/>
          <w:szCs w:val="21"/>
        </w:rPr>
        <w:t xml:space="preserve">七</w:t>
      </w:r>
      <w:r>
        <w:rPr>
          <w:rFonts w:ascii="宋体" w:hAnsi="宋体"/>
          <w:b/>
          <w:bCs/>
          <w:szCs w:val="21"/>
        </w:rPr>
        <w:t xml:space="preserve">、</w:t>
      </w:r>
      <w:r>
        <w:rPr>
          <w:rFonts w:hint="eastAsia" w:ascii="宋体" w:hAnsi="宋体"/>
          <w:b/>
          <w:bCs/>
          <w:szCs w:val="21"/>
        </w:rPr>
        <w:t xml:space="preserve">合同的解除和转让</w:t>
      </w:r>
      <w:r/>
    </w:p>
    <w:p>
      <w:pPr>
        <w:ind w:firstLine="420"/>
        <w:spacing w:line="360" w:lineRule="auto"/>
        <w:tabs>
          <w:tab w:val="left" w:pos="540" w:leader="none"/>
          <w:tab w:val="left" w:pos="845" w:leader="none"/>
        </w:tabs>
        <w:rPr>
          <w:rFonts w:ascii="宋体" w:hAnsi="宋体"/>
          <w:szCs w:val="21"/>
        </w:rPr>
      </w:pPr>
      <w:r>
        <w:rPr>
          <w:rFonts w:hint="eastAsia" w:ascii="宋体" w:hAnsi="宋体"/>
          <w:szCs w:val="21"/>
        </w:rPr>
        <w:t xml:space="preserve">（一）甲方和乙方协商一致，可以解除合同。</w:t>
      </w:r>
      <w:r/>
    </w:p>
    <w:p>
      <w:pPr>
        <w:ind w:firstLine="420"/>
        <w:spacing w:line="360" w:lineRule="auto"/>
        <w:tabs>
          <w:tab w:val="left" w:pos="540" w:leader="none"/>
          <w:tab w:val="left" w:pos="845" w:leader="none"/>
        </w:tabs>
        <w:rPr>
          <w:rFonts w:ascii="宋体" w:hAnsi="宋体"/>
          <w:szCs w:val="21"/>
        </w:rPr>
      </w:pPr>
      <w:r>
        <w:rPr>
          <w:rFonts w:hint="eastAsia" w:ascii="宋体" w:hAnsi="宋体"/>
          <w:szCs w:val="21"/>
        </w:rPr>
        <w:t xml:space="preserve">（二）有下列情形之一，合同一方可以解除合同：</w:t>
      </w:r>
      <w:r/>
    </w:p>
    <w:p>
      <w:pPr>
        <w:ind w:firstLine="420"/>
        <w:spacing w:line="360" w:lineRule="auto"/>
        <w:tabs>
          <w:tab w:val="left" w:pos="540" w:leader="none"/>
          <w:tab w:val="left" w:pos="845" w:leader="none"/>
        </w:tabs>
        <w:rPr>
          <w:rFonts w:ascii="宋体" w:hAnsi="宋体"/>
          <w:szCs w:val="21"/>
        </w:rPr>
      </w:pPr>
      <w:r>
        <w:rPr>
          <w:rFonts w:hint="eastAsia" w:ascii="宋体" w:hAnsi="宋体"/>
          <w:szCs w:val="21"/>
        </w:rPr>
        <w:t xml:space="preserve">1.因不可抗力致使不能实现合同目的，未受不可抗力影响的一方有权解除合同；</w:t>
      </w:r>
      <w:r/>
    </w:p>
    <w:p>
      <w:pPr>
        <w:ind w:firstLine="420"/>
        <w:spacing w:line="360" w:lineRule="auto"/>
        <w:tabs>
          <w:tab w:val="left" w:pos="540" w:leader="none"/>
          <w:tab w:val="left" w:pos="845" w:leader="none"/>
        </w:tabs>
        <w:rPr>
          <w:rFonts w:ascii="宋体" w:hAnsi="宋体"/>
          <w:szCs w:val="21"/>
        </w:rPr>
      </w:pPr>
      <w:r>
        <w:rPr>
          <w:rFonts w:hint="eastAsia" w:ascii="宋体" w:hAnsi="宋体"/>
          <w:szCs w:val="21"/>
        </w:rPr>
        <w:t xml:space="preserve">2.因合同一方违约导致合同不能履行，另一方有权解除合同。</w:t>
      </w:r>
      <w:r/>
    </w:p>
    <w:p>
      <w:pPr>
        <w:ind w:firstLine="420"/>
        <w:spacing w:line="360" w:lineRule="auto"/>
        <w:tabs>
          <w:tab w:val="left" w:pos="540" w:leader="none"/>
          <w:tab w:val="left" w:pos="845" w:leader="none"/>
        </w:tabs>
        <w:rPr>
          <w:rFonts w:ascii="宋体" w:hAnsi="宋体"/>
          <w:szCs w:val="21"/>
        </w:rPr>
      </w:pPr>
      <w:r>
        <w:rPr>
          <w:rFonts w:hint="eastAsia" w:ascii="宋体" w:hAnsi="宋体"/>
          <w:szCs w:val="21"/>
        </w:rPr>
        <w:t xml:space="preserve">3.经甲方【2】次验收不合格的，甲方有权解除合同。</w:t>
      </w:r>
      <w:r/>
    </w:p>
    <w:p>
      <w:pPr>
        <w:ind w:firstLine="420"/>
        <w:spacing w:line="360" w:lineRule="auto"/>
        <w:tabs>
          <w:tab w:val="left" w:pos="540" w:leader="none"/>
          <w:tab w:val="left" w:pos="845" w:leader="none"/>
        </w:tabs>
        <w:rPr>
          <w:rFonts w:ascii="宋体" w:hAnsi="宋体"/>
          <w:szCs w:val="21"/>
        </w:rPr>
      </w:pPr>
      <w:r>
        <w:rPr>
          <w:rFonts w:hint="eastAsia" w:ascii="宋体" w:hAnsi="宋体"/>
          <w:szCs w:val="21"/>
        </w:rPr>
        <w:t xml:space="preserve">（三）有权解除合同的一方，应当在违约事实或不可抗力发生之后三十天内书面通知对方提出解除合同，合同在书面通知到达对方时解除。</w:t>
      </w:r>
      <w:r/>
    </w:p>
    <w:p>
      <w:pPr>
        <w:ind w:firstLine="420"/>
        <w:spacing w:line="360" w:lineRule="auto"/>
        <w:tabs>
          <w:tab w:val="left" w:pos="540" w:leader="none"/>
          <w:tab w:val="left" w:pos="845" w:leader="none"/>
        </w:tabs>
        <w:rPr>
          <w:rFonts w:ascii="宋体" w:hAnsi="宋体"/>
          <w:szCs w:val="21"/>
        </w:rPr>
      </w:pPr>
      <w:r>
        <w:rPr>
          <w:rFonts w:hint="eastAsia" w:ascii="宋体" w:hAnsi="宋体"/>
          <w:szCs w:val="21"/>
        </w:rPr>
        <w:t xml:space="preserve">（四）合同的部分和全部都不得转让。</w:t>
      </w:r>
      <w:r/>
    </w:p>
    <w:p>
      <w:pPr>
        <w:ind w:firstLine="422"/>
        <w:spacing w:line="360" w:lineRule="auto"/>
        <w:tabs>
          <w:tab w:val="left" w:pos="540" w:leader="none"/>
          <w:tab w:val="left" w:pos="845" w:leader="none"/>
        </w:tabs>
        <w:rPr>
          <w:rFonts w:ascii="宋体" w:hAnsi="宋体"/>
          <w:b/>
          <w:bCs/>
          <w:szCs w:val="21"/>
        </w:rPr>
      </w:pPr>
      <w:r>
        <w:rPr>
          <w:rFonts w:hint="eastAsia" w:ascii="宋体" w:hAnsi="宋体"/>
          <w:b/>
          <w:bCs/>
          <w:szCs w:val="21"/>
        </w:rPr>
        <w:t xml:space="preserve">八、争议解决方法</w:t>
      </w:r>
      <w:bookmarkStart w:id="10" w:name="_Hlk31709859"/>
      <w:r/>
      <w:bookmarkEnd w:id="10"/>
      <w:r/>
      <w:r/>
    </w:p>
    <w:p>
      <w:pPr>
        <w:ind w:firstLine="420"/>
        <w:spacing w:line="360" w:lineRule="auto"/>
        <w:tabs>
          <w:tab w:val="left" w:pos="540" w:leader="none"/>
          <w:tab w:val="left" w:pos="845" w:leader="none"/>
        </w:tabs>
        <w:rPr>
          <w:rFonts w:ascii="宋体" w:hAnsi="宋体"/>
          <w:bCs/>
          <w:szCs w:val="21"/>
        </w:rPr>
      </w:pPr>
      <w:r>
        <w:rPr>
          <w:rFonts w:hint="eastAsia" w:ascii="宋体" w:hAnsi="宋体"/>
          <w:bCs/>
          <w:szCs w:val="21"/>
        </w:rPr>
        <w:t xml:space="preserve">（一）</w:t>
      </w:r>
      <w:r>
        <w:rPr>
          <w:rFonts w:ascii="宋体" w:hAnsi="宋体"/>
          <w:bCs/>
          <w:szCs w:val="21"/>
        </w:rPr>
        <w:t xml:space="preserve">因本合同产生的或与其有关的任何争议或分歧，包括本合同的成立、解释、效力、终止或履行等有关的任何问题，均适用中国法律。</w:t>
      </w:r>
      <w:r/>
    </w:p>
    <w:p>
      <w:pPr>
        <w:ind w:firstLine="420"/>
        <w:spacing w:line="360" w:lineRule="auto"/>
        <w:tabs>
          <w:tab w:val="left" w:pos="540" w:leader="none"/>
          <w:tab w:val="left" w:pos="845" w:leader="none"/>
        </w:tabs>
        <w:rPr>
          <w:rFonts w:ascii="宋体" w:hAnsi="宋体"/>
          <w:bCs/>
          <w:szCs w:val="21"/>
        </w:rPr>
      </w:pPr>
      <w:r>
        <w:rPr>
          <w:rFonts w:hint="eastAsia" w:ascii="宋体" w:hAnsi="宋体"/>
          <w:bCs/>
          <w:szCs w:val="21"/>
        </w:rPr>
        <w:t xml:space="preserve">（二）</w:t>
      </w:r>
      <w:r>
        <w:rPr>
          <w:rFonts w:ascii="宋体" w:hAnsi="宋体"/>
          <w:bCs/>
          <w:szCs w:val="21"/>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p>
    <w:p>
      <w:pPr>
        <w:ind w:firstLine="422"/>
        <w:spacing w:line="360" w:lineRule="auto"/>
        <w:rPr>
          <w:rFonts w:ascii="宋体" w:hAnsi="宋体"/>
          <w:bCs/>
          <w:szCs w:val="21"/>
        </w:rPr>
      </w:pPr>
      <w:r>
        <w:rPr>
          <w:rFonts w:hint="eastAsia" w:ascii="宋体" w:hAnsi="宋体" w:cs="宋体"/>
          <w:b/>
          <w:szCs w:val="21"/>
          <w:lang w:val="zh-CN"/>
        </w:rPr>
        <w:t xml:space="preserve">九、其它</w:t>
      </w:r>
      <w:r/>
    </w:p>
    <w:p>
      <w:pPr>
        <w:ind w:firstLine="420"/>
        <w:spacing w:line="360" w:lineRule="auto"/>
        <w:rPr>
          <w:rFonts w:ascii="宋体" w:hAnsi="宋体" w:cs="宋体"/>
          <w:szCs w:val="21"/>
          <w:lang w:val="zh-CN"/>
        </w:rPr>
      </w:pPr>
      <w:r>
        <w:rPr>
          <w:rFonts w:hint="eastAsia" w:ascii="宋体" w:hAnsi="宋体" w:cs="宋体"/>
          <w:szCs w:val="21"/>
          <w:lang w:val="zh-CN"/>
        </w:rPr>
        <w:t xml:space="preserve">（一）合同经甲乙双方代表签字并加盖公章（或合同章）后即生效。 </w:t>
      </w:r>
      <w:r/>
    </w:p>
    <w:p>
      <w:pPr>
        <w:ind w:firstLine="420"/>
        <w:spacing w:line="360" w:lineRule="auto"/>
        <w:rPr>
          <w:rFonts w:ascii="宋体" w:hAnsi="宋体"/>
          <w:bCs/>
          <w:szCs w:val="21"/>
        </w:rPr>
      </w:pPr>
      <w:r>
        <w:rPr>
          <w:rFonts w:hint="eastAsia" w:ascii="宋体" w:hAnsi="宋体" w:cs="宋体"/>
          <w:szCs w:val="21"/>
          <w:lang w:val="zh-CN"/>
        </w:rPr>
        <w:t xml:space="preserve">（二）本合同一式五份，甲乙双方各执二份，招标代理机构执一份。</w:t>
      </w:r>
      <w:r/>
    </w:p>
    <w:p>
      <w:pPr>
        <w:ind w:firstLine="420"/>
        <w:spacing w:line="360" w:lineRule="auto"/>
        <w:tabs>
          <w:tab w:val="left" w:pos="540" w:leader="none"/>
        </w:tabs>
        <w:rPr>
          <w:rFonts w:ascii="宋体" w:hAnsi="宋体" w:cs="宋体"/>
          <w:szCs w:val="21"/>
        </w:rPr>
      </w:pPr>
      <w:r>
        <w:rPr>
          <w:rFonts w:hint="eastAsia" w:ascii="宋体" w:hAnsi="宋体" w:cs="宋体"/>
          <w:szCs w:val="21"/>
        </w:rPr>
        <w:t xml:space="preserve">（三）</w:t>
      </w:r>
      <w:r>
        <w:rPr>
          <w:rFonts w:ascii="宋体" w:hAnsi="宋体" w:cs="宋体"/>
          <w:szCs w:val="21"/>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p>
    <w:p>
      <w:pPr>
        <w:ind w:firstLine="420"/>
        <w:spacing w:line="360" w:lineRule="auto"/>
        <w:tabs>
          <w:tab w:val="left" w:pos="540" w:leader="none"/>
        </w:tabs>
        <w:rPr>
          <w:rFonts w:ascii="宋体" w:hAnsi="宋体" w:cs="宋体"/>
          <w:szCs w:val="21"/>
        </w:rPr>
      </w:pPr>
      <w:r>
        <w:rPr>
          <w:rFonts w:hint="eastAsia" w:ascii="宋体" w:hAnsi="宋体" w:cs="宋体"/>
          <w:szCs w:val="21"/>
        </w:rPr>
        <w:t xml:space="preserve">（四）</w:t>
      </w:r>
      <w:r>
        <w:rPr>
          <w:rFonts w:ascii="宋体" w:hAnsi="宋体" w:cs="宋体"/>
          <w:szCs w:val="21"/>
        </w:rPr>
        <w:t xml:space="preserve">下列文件为本合同不可分割部分：</w:t>
      </w:r>
      <w:r/>
    </w:p>
    <w:p>
      <w:pPr>
        <w:ind w:firstLine="420"/>
        <w:spacing w:line="360" w:lineRule="auto"/>
        <w:tabs>
          <w:tab w:val="left" w:pos="540" w:leader="none"/>
        </w:tabs>
        <w:rPr>
          <w:rFonts w:ascii="宋体" w:hAnsi="宋体" w:cs="宋体"/>
          <w:szCs w:val="21"/>
        </w:rPr>
      </w:pPr>
      <w:r>
        <w:rPr>
          <w:rFonts w:ascii="宋体" w:hAnsi="宋体" w:cs="宋体"/>
          <w:szCs w:val="21"/>
        </w:rPr>
        <w:t xml:space="preserve">① </w:t>
      </w:r>
      <w:r>
        <w:rPr>
          <w:rFonts w:hint="eastAsia" w:ascii="宋体" w:hAnsi="宋体" w:cs="宋体"/>
          <w:szCs w:val="21"/>
        </w:rPr>
        <w:t xml:space="preserve">成交</w:t>
      </w:r>
      <w:r>
        <w:rPr>
          <w:rFonts w:ascii="宋体" w:hAnsi="宋体" w:cs="宋体"/>
          <w:szCs w:val="21"/>
        </w:rPr>
        <w:t xml:space="preserve">通知书；              </w:t>
      </w:r>
      <w:r/>
    </w:p>
    <w:p>
      <w:pPr>
        <w:ind w:firstLine="420"/>
        <w:spacing w:line="360" w:lineRule="auto"/>
        <w:tabs>
          <w:tab w:val="left" w:pos="540" w:leader="none"/>
        </w:tabs>
        <w:rPr>
          <w:rFonts w:ascii="宋体" w:hAnsi="宋体" w:cs="宋体"/>
          <w:szCs w:val="21"/>
        </w:rPr>
      </w:pPr>
      <w:r>
        <w:rPr>
          <w:rFonts w:ascii="宋体" w:hAnsi="宋体" w:cs="宋体"/>
          <w:szCs w:val="21"/>
        </w:rPr>
        <w:t xml:space="preserve">② 乙方的</w:t>
      </w:r>
      <w:r>
        <w:rPr>
          <w:rFonts w:hint="eastAsia" w:ascii="宋体" w:hAnsi="宋体" w:cs="宋体"/>
          <w:szCs w:val="21"/>
        </w:rPr>
        <w:t xml:space="preserve">响应</w:t>
      </w:r>
      <w:r>
        <w:rPr>
          <w:rFonts w:ascii="宋体" w:hAnsi="宋体" w:cs="宋体"/>
          <w:szCs w:val="21"/>
        </w:rPr>
        <w:t xml:space="preserve">文件；</w:t>
      </w:r>
      <w:r/>
    </w:p>
    <w:p>
      <w:pPr>
        <w:ind w:firstLine="420"/>
        <w:spacing w:line="360" w:lineRule="auto"/>
        <w:tabs>
          <w:tab w:val="left" w:pos="540" w:leader="none"/>
        </w:tabs>
        <w:rPr>
          <w:rFonts w:ascii="宋体" w:hAnsi="宋体" w:cs="宋体"/>
          <w:szCs w:val="21"/>
        </w:rPr>
      </w:pPr>
      <w:r>
        <w:rPr>
          <w:rFonts w:ascii="宋体" w:hAnsi="宋体" w:cs="宋体"/>
          <w:szCs w:val="21"/>
        </w:rPr>
        <w:t xml:space="preserve">③ 乙方在</w:t>
      </w:r>
      <w:r>
        <w:rPr>
          <w:rFonts w:hint="eastAsia" w:ascii="宋体" w:hAnsi="宋体" w:cs="宋体"/>
          <w:szCs w:val="21"/>
        </w:rPr>
        <w:t xml:space="preserve">响应</w:t>
      </w:r>
      <w:r>
        <w:rPr>
          <w:rFonts w:ascii="宋体" w:hAnsi="宋体" w:cs="宋体"/>
          <w:szCs w:val="21"/>
        </w:rPr>
        <w:t xml:space="preserve">过程中所作的其它承诺、声明、书面澄清等；</w:t>
      </w:r>
      <w:r/>
    </w:p>
    <w:p>
      <w:pPr>
        <w:ind w:firstLine="420"/>
        <w:spacing w:line="360" w:lineRule="auto"/>
        <w:tabs>
          <w:tab w:val="left" w:pos="540" w:leader="none"/>
        </w:tabs>
        <w:rPr>
          <w:rFonts w:ascii="宋体" w:hAnsi="宋体" w:cs="宋体"/>
          <w:szCs w:val="21"/>
        </w:rPr>
      </w:pPr>
      <w:r>
        <w:rPr>
          <w:rFonts w:ascii="宋体" w:hAnsi="宋体" w:cs="宋体"/>
          <w:szCs w:val="21"/>
        </w:rPr>
        <w:t xml:space="preserve">④ </w:t>
      </w:r>
      <w:r>
        <w:rPr>
          <w:rFonts w:hint="eastAsia" w:ascii="宋体" w:hAnsi="宋体" w:cs="宋体"/>
          <w:szCs w:val="21"/>
        </w:rPr>
        <w:t xml:space="preserve">采购</w:t>
      </w:r>
      <w:r>
        <w:rPr>
          <w:rFonts w:ascii="宋体" w:hAnsi="宋体" w:cs="宋体"/>
          <w:szCs w:val="21"/>
        </w:rPr>
        <w:t xml:space="preserve">文件及其附件；        </w:t>
      </w:r>
      <w:r/>
    </w:p>
    <w:p>
      <w:pPr>
        <w:ind w:firstLine="420"/>
        <w:spacing w:line="360" w:lineRule="auto"/>
        <w:tabs>
          <w:tab w:val="left" w:pos="540" w:leader="none"/>
        </w:tabs>
        <w:rPr>
          <w:rFonts w:ascii="宋体" w:hAnsi="宋体" w:cs="宋体"/>
          <w:szCs w:val="21"/>
        </w:rPr>
      </w:pPr>
      <w:r>
        <w:rPr>
          <w:rFonts w:ascii="宋体" w:hAnsi="宋体" w:cs="宋体"/>
          <w:szCs w:val="21"/>
        </w:rPr>
        <w:t xml:space="preserve">⑤ 合同附件；      </w:t>
      </w:r>
      <w:r/>
    </w:p>
    <w:p>
      <w:pPr>
        <w:ind w:firstLine="420"/>
        <w:spacing w:line="360" w:lineRule="auto"/>
        <w:tabs>
          <w:tab w:val="left" w:pos="540" w:leader="none"/>
        </w:tabs>
        <w:rPr>
          <w:rFonts w:ascii="宋体" w:hAnsi="宋体" w:cs="宋体"/>
          <w:szCs w:val="21"/>
        </w:rPr>
      </w:pPr>
      <w:r>
        <w:rPr>
          <w:rFonts w:ascii="宋体" w:hAnsi="宋体" w:cs="宋体"/>
          <w:szCs w:val="21"/>
        </w:rPr>
        <w:t xml:space="preserve"> ⑥</w:t>
      </w:r>
      <w:r>
        <w:rPr>
          <w:rFonts w:hint="eastAsia" w:ascii="宋体" w:hAnsi="宋体" w:cs="宋体"/>
          <w:szCs w:val="21"/>
        </w:rPr>
        <w:t xml:space="preserve">补充协议</w:t>
      </w:r>
      <w:r/>
    </w:p>
    <w:p>
      <w:pPr>
        <w:ind w:firstLine="420"/>
        <w:spacing w:line="360" w:lineRule="auto"/>
        <w:tabs>
          <w:tab w:val="left" w:pos="540" w:leader="none"/>
        </w:tabs>
        <w:rPr>
          <w:rFonts w:ascii="宋体" w:hAnsi="宋体" w:cs="宋体"/>
          <w:szCs w:val="21"/>
        </w:rPr>
      </w:pPr>
      <w:r>
        <w:rPr>
          <w:rFonts w:ascii="宋体" w:hAnsi="宋体" w:cs="宋体"/>
          <w:szCs w:val="21"/>
        </w:rPr>
        <w:t xml:space="preserve">以上与本合同具有同等法律效力。</w:t>
      </w:r>
      <w:r/>
    </w:p>
    <w:p>
      <w:pPr>
        <w:pStyle w:val="830"/>
        <w:ind w:left="0" w:firstLine="420"/>
        <w:spacing w:after="0"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以下无正文</w:t>
      </w:r>
      <w:r>
        <w:rPr>
          <w:rFonts w:ascii="宋体" w:hAnsi="宋体" w:cs="宋体"/>
          <w:szCs w:val="21"/>
        </w:rPr>
        <w:t xml:space="preserve">）</w:t>
      </w:r>
      <w:r/>
    </w:p>
    <w:p>
      <w:pPr>
        <w:ind w:firstLine="559"/>
        <w:spacing w:line="50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ind w:firstLine="559"/>
        <w:spacing w:line="500" w:lineRule="exac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甲方（盖章）：                            乙方（盖章）：</w:t>
      </w:r>
      <w:r/>
    </w:p>
    <w:p>
      <w:pPr>
        <w:ind w:firstLine="559"/>
        <w:spacing w:line="500" w:lineRule="exac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甲方代表人</w:t>
      </w:r>
      <w:r>
        <w:rPr>
          <w:rFonts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签字</w:t>
      </w:r>
      <w:r>
        <w:rPr>
          <w:rFonts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                      乙方代表人</w:t>
      </w:r>
      <w:r>
        <w:rPr>
          <w:rFonts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签字</w:t>
      </w:r>
      <w:r>
        <w:rPr>
          <w:rFonts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w:t>
      </w:r>
      <w:r/>
    </w:p>
    <w:p>
      <w:pPr>
        <w:ind w:firstLine="559"/>
        <w:spacing w:line="500" w:lineRule="exac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年    月    日                             年    月    日</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440" w:lineRule="exact"/>
        <w:rPr>
          <w:rFonts w:ascii="宋体" w:hAnsi="宋体"/>
          <w:b/>
          <w:szCs w:val="21"/>
        </w:rPr>
      </w:pPr>
      <w:r>
        <w:rPr>
          <w:rFonts w:ascii="宋体" w:hAnsi="宋体"/>
          <w:b/>
          <w:szCs w:val="21"/>
        </w:rPr>
        <w:t xml:space="preserve">说明：</w:t>
      </w:r>
      <w:r/>
    </w:p>
    <w:p>
      <w:pPr>
        <w:pStyle w:val="1012"/>
        <w:ind w:firstLine="420"/>
        <w:rPr>
          <w:sz w:val="21"/>
          <w:szCs w:val="21"/>
        </w:rPr>
      </w:pPr>
      <w:r>
        <w:rPr>
          <w:sz w:val="21"/>
          <w:szCs w:val="21"/>
        </w:rPr>
        <w:t xml:space="preserve">对本章所有的格式，</w:t>
      </w:r>
      <w:r>
        <w:rPr>
          <w:rFonts w:hint="eastAsia"/>
          <w:sz w:val="21"/>
          <w:szCs w:val="21"/>
        </w:rPr>
        <w:t xml:space="preserve">供应商</w:t>
      </w:r>
      <w:r>
        <w:rPr>
          <w:sz w:val="21"/>
          <w:szCs w:val="21"/>
        </w:rPr>
        <w:t xml:space="preserve">可根据自身情况进行补充和修改，但补充和修改不得造成与本格式内容有实质性的违背。</w:t>
      </w:r>
      <w:r/>
    </w:p>
    <w:p>
      <w:pPr>
        <w:pStyle w:val="1012"/>
        <w:ind w:firstLine="420"/>
        <w:rPr>
          <w:sz w:val="21"/>
          <w:szCs w:val="21"/>
        </w:rPr>
      </w:pPr>
      <w:r>
        <w:rPr>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附件1：开标一览表按投标系统内统一格式</w:t>
      </w:r>
      <w:r/>
    </w:p>
    <w:p>
      <w:pPr>
        <w:pStyle w:val="1070"/>
        <w:ind w:left="0" w:firstLine="826"/>
        <w:spacing w:before="0" w:after="0" w:line="360" w:lineRule="auto"/>
        <w:rPr>
          <w:rFonts w:ascii="宋体" w:hAnsi="宋体"/>
          <w:b/>
          <w:sz w:val="21"/>
          <w:szCs w:val="21"/>
        </w:rPr>
      </w:pPr>
      <w:r>
        <w:rPr>
          <w:rFonts w:ascii="宋体" w:hAnsi="宋体"/>
          <w:b/>
          <w:sz w:val="21"/>
          <w:szCs w:val="21"/>
        </w:rPr>
      </w:r>
      <w:r/>
    </w:p>
    <w:p>
      <w:pPr>
        <w:pStyle w:val="1070"/>
        <w:ind w:left="0" w:firstLine="826"/>
        <w:spacing w:before="0" w:after="0" w:line="360" w:lineRule="auto"/>
        <w:rPr>
          <w:rFonts w:ascii="宋体" w:hAnsi="宋体"/>
          <w:b/>
          <w:sz w:val="21"/>
          <w:szCs w:val="21"/>
        </w:rPr>
      </w:pPr>
      <w:r>
        <w:rPr>
          <w:rFonts w:hint="eastAsia" w:ascii="宋体" w:hAnsi="宋体"/>
          <w:b/>
          <w:sz w:val="21"/>
          <w:szCs w:val="21"/>
        </w:rPr>
        <w:t xml:space="preserve">磋商报价分析表</w:t>
      </w:r>
      <w:r/>
    </w:p>
    <w:p>
      <w:pPr>
        <w:jc w:val="center"/>
        <w:rPr>
          <w:rFonts w:ascii="宋体" w:hAnsi="宋体"/>
          <w:b/>
          <w:szCs w:val="21"/>
        </w:rPr>
      </w:pPr>
      <w:r>
        <w:rPr>
          <w:rFonts w:hint="eastAsia" w:ascii="宋体" w:hAnsi="宋体"/>
          <w:b/>
          <w:szCs w:val="21"/>
        </w:rPr>
        <w:t xml:space="preserve">磋商报价分析表</w:t>
      </w:r>
      <w:r/>
    </w:p>
    <w:p>
      <w:pPr>
        <w:jc w:val="center"/>
        <w:rPr>
          <w:rFonts w:ascii="宋体" w:hAnsi="宋体"/>
          <w:szCs w:val="21"/>
          <w:u w:val="single"/>
        </w:rPr>
      </w:pPr>
      <w:r>
        <w:rPr>
          <w:rFonts w:ascii="宋体" w:hAnsi="宋体"/>
          <w:szCs w:val="21"/>
          <w:u w:val="single"/>
        </w:rPr>
      </w:r>
      <w:r/>
    </w:p>
    <w:tbl>
      <w:tblPr>
        <w:tblW w:w="7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2"/>
        <w:gridCol w:w="2268"/>
        <w:gridCol w:w="1560"/>
        <w:gridCol w:w="1482"/>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1342"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tcPr>
          <w:p>
            <w:pPr>
              <w:jc w:val="center"/>
              <w:spacing w:line="400" w:lineRule="exact"/>
              <w:rPr>
                <w:rFonts w:ascii="宋体" w:hAnsi="宋体"/>
                <w:szCs w:val="21"/>
              </w:rPr>
            </w:pPr>
            <w:r>
              <w:rPr>
                <w:rFonts w:ascii="宋体" w:hAnsi="宋体"/>
                <w:szCs w:val="21"/>
              </w:rPr>
              <w:t xml:space="preserve">单价</w:t>
            </w:r>
            <w:r>
              <w:rPr>
                <w:rFonts w:hint="eastAsia" w:ascii="宋体" w:hAnsi="宋体"/>
                <w:szCs w:val="21"/>
              </w:rPr>
              <w:t xml:space="preserve">（元）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342"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342"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342"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342"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342"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342" w:type="dxa"/>
            <w:vAlign w:val="center"/>
            <w:textDirection w:val="lrTb"/>
            <w:noWrap/>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34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
        </w:trPr>
        <w:tc>
          <w:tcPr>
            <w:tcBorders>
              <w:top w:val="single" w:color="auto" w:sz="4" w:space="0"/>
              <w:left w:val="single" w:color="auto" w:sz="4" w:space="0"/>
              <w:bottom w:val="single" w:color="auto" w:sz="4" w:space="0"/>
              <w:right w:val="single" w:color="auto" w:sz="4" w:space="0"/>
            </w:tcBorders>
            <w:tcW w:w="1342"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6444" w:type="dxa"/>
            <w:vAlign w:val="center"/>
            <w:textDirection w:val="lrTb"/>
            <w:noWrap/>
          </w:tcPr>
          <w:p>
            <w:pPr>
              <w:jc w:val="left"/>
              <w:spacing w:beforeAutospacing="1" w:afterAutospacing="1"/>
              <w:rPr>
                <w:rFonts w:ascii="宋体" w:hAnsi="宋体"/>
                <w:szCs w:val="21"/>
              </w:rPr>
            </w:pPr>
            <w:r>
              <w:rPr>
                <w:rFonts w:hint="eastAsia" w:ascii="宋体" w:hAnsi="宋体"/>
                <w:szCs w:val="21"/>
              </w:rPr>
              <w:t xml:space="preserve">人民币</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342" w:type="dxa"/>
            <w:vAlign w:val="center"/>
            <w:textDirection w:val="lrTb"/>
            <w:noWrap/>
          </w:tcPr>
          <w:p>
            <w:pPr>
              <w:jc w:val="center"/>
              <w:spacing w:line="400" w:lineRule="exact"/>
              <w:rPr>
                <w:rFonts w:ascii="宋体" w:hAnsi="宋体"/>
                <w:szCs w:val="21"/>
              </w:rPr>
            </w:pPr>
            <w:r>
              <w:rPr>
                <w:rFonts w:hint="eastAsia" w:ascii="宋体" w:hAnsi="宋体"/>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444" w:type="dxa"/>
            <w:vAlign w:val="center"/>
            <w:textDirection w:val="lrTb"/>
            <w:noWrap/>
          </w:tcPr>
          <w:p>
            <w:pPr>
              <w:jc w:val="center"/>
              <w:spacing w:line="400" w:lineRule="exact"/>
              <w:rPr>
                <w:rFonts w:ascii="宋体" w:hAnsi="宋体"/>
                <w:szCs w:val="21"/>
              </w:rPr>
            </w:pPr>
            <w:r>
              <w:rPr>
                <w:rFonts w:ascii="宋体" w:hAnsi="宋体"/>
                <w:szCs w:val="21"/>
              </w:rPr>
            </w:r>
            <w:r/>
          </w:p>
        </w:tc>
      </w:tr>
    </w:tbl>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pStyle w:val="825"/>
        <w:ind w:firstLine="5103"/>
        <w:jc w:val="both"/>
        <w:spacing w:line="360" w:lineRule="auto"/>
        <w:rPr>
          <w:rFonts w:ascii="宋体" w:hAnsi="宋体" w:eastAsia="宋体" w:cs="宋体"/>
          <w:sz w:val="21"/>
        </w:rPr>
      </w:pPr>
      <w:r>
        <w:rPr>
          <w:rFonts w:hint="eastAsia" w:ascii="宋体" w:hAnsi="宋体" w:eastAsia="宋体" w:cs="宋体"/>
          <w:sz w:val="21"/>
        </w:rPr>
        <w:t xml:space="preserve">磋商响应单位：（公章）</w:t>
      </w:r>
      <w:r/>
    </w:p>
    <w:p>
      <w:pPr>
        <w:pStyle w:val="825"/>
        <w:ind w:firstLine="5103"/>
        <w:jc w:val="both"/>
        <w:spacing w:line="360" w:lineRule="auto"/>
        <w:rPr>
          <w:rFonts w:ascii="宋体" w:hAnsi="宋体" w:eastAsia="宋体" w:cs="宋体"/>
          <w:sz w:val="21"/>
        </w:rPr>
      </w:pPr>
      <w:r>
        <w:rPr>
          <w:rFonts w:hint="eastAsia" w:ascii="宋体" w:hAnsi="宋体" w:eastAsia="宋体" w:cs="宋体"/>
          <w:sz w:val="21"/>
        </w:rPr>
        <w:t xml:space="preserve">法定代表人或委托代理人：（签字或盖章）</w:t>
      </w:r>
      <w:r/>
    </w:p>
    <w:p>
      <w:pPr>
        <w:pStyle w:val="825"/>
        <w:ind w:firstLine="5103"/>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ind w:firstLine="420"/>
        <w:spacing w:line="360" w:lineRule="auto"/>
        <w:rPr>
          <w:rFonts w:ascii="宋体" w:hAnsi="宋体"/>
          <w:szCs w:val="21"/>
        </w:rPr>
      </w:pPr>
      <w:r>
        <w:rPr>
          <w:rFonts w:ascii="宋体" w:hAnsi="宋体"/>
          <w:szCs w:val="21"/>
        </w:rPr>
      </w:r>
      <w:r/>
    </w:p>
    <w:p>
      <w:pPr>
        <w:ind w:firstLine="420"/>
        <w:spacing w:line="360" w:lineRule="auto"/>
        <w:tabs>
          <w:tab w:val="left" w:pos="1320" w:leader="none"/>
        </w:tabs>
      </w:pPr>
      <w:r>
        <w:rPr>
          <w:rFonts w:hint="eastAsia" w:ascii="宋体" w:hAnsi="宋体" w:cs="宋体"/>
          <w:szCs w:val="21"/>
        </w:rPr>
        <w:t xml:space="preserve">注：1.本表中的报价为综合报价，应综合考量在承包期内综合服务所涉及到的所有费用。</w:t>
      </w:r>
      <w:r/>
    </w:p>
    <w:p>
      <w:pPr>
        <w:ind w:firstLine="420"/>
        <w:spacing w:line="360" w:lineRule="auto"/>
        <w:tabs>
          <w:tab w:val="left" w:pos="1320" w:leader="none"/>
        </w:tabs>
        <w:rPr>
          <w:rFonts w:ascii="宋体" w:hAnsi="宋体"/>
          <w:szCs w:val="21"/>
        </w:rPr>
      </w:pPr>
      <w:r>
        <w:rPr>
          <w:rFonts w:hint="eastAsia" w:ascii="宋体" w:hAnsi="宋体"/>
          <w:szCs w:val="21"/>
        </w:rPr>
        <w:t xml:space="preserve">2.磋商报价分析表包含响应单位各项成本核算和投入的成本明细，合计金额应与开标一览表金额一致；否则，以开标一览表为准。</w:t>
      </w:r>
      <w:r/>
    </w:p>
    <w:p>
      <w:pPr>
        <w:ind w:firstLine="420"/>
        <w:spacing w:line="360" w:lineRule="auto"/>
        <w:tabs>
          <w:tab w:val="left" w:pos="1320" w:leader="none"/>
        </w:tabs>
      </w:pPr>
      <w:r>
        <w:rPr>
          <w:rFonts w:hint="eastAsia" w:ascii="宋体" w:hAnsi="宋体"/>
          <w:bCs/>
          <w:szCs w:val="21"/>
        </w:rPr>
        <w:t xml:space="preserve">3</w:t>
      </w:r>
      <w:r>
        <w:rPr>
          <w:rFonts w:hint="eastAsia" w:ascii="宋体" w:hAnsi="宋体"/>
          <w:szCs w:val="21"/>
        </w:rPr>
        <w:t xml:space="preserve">.</w:t>
      </w:r>
      <w:r>
        <w:rPr>
          <w:rFonts w:hint="eastAsia" w:ascii="宋体" w:hAnsi="宋体"/>
          <w:bCs/>
          <w:szCs w:val="21"/>
        </w:rPr>
        <w:t xml:space="preserve">若事</w:t>
      </w:r>
      <w:r>
        <w:rPr>
          <w:rFonts w:hint="eastAsia" w:ascii="宋体" w:hAnsi="宋体"/>
          <w:szCs w:val="21"/>
        </w:rPr>
        <w:t xml:space="preserve">项较多，供应商可根据实际情况另纸说明。</w:t>
      </w:r>
      <w:r/>
    </w:p>
    <w:p>
      <w:pPr>
        <w:pStyle w:val="865"/>
      </w:pPr>
      <w:r/>
      <w:r/>
    </w:p>
    <w:p>
      <w:pPr>
        <w:pStyle w:val="825"/>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附件2：关于资格文件的声明函</w:t>
      </w:r>
      <w:r/>
    </w:p>
    <w:p>
      <w:pPr>
        <w:pStyle w:val="825"/>
        <w:jc w:val="center"/>
        <w:spacing w:line="360" w:lineRule="auto"/>
        <w:rPr>
          <w:rFonts w:ascii="宋体" w:hAnsi="宋体" w:eastAsia="宋体" w:cs="宋体"/>
          <w:sz w:val="21"/>
        </w:rPr>
      </w:pPr>
      <w:r>
        <w:rPr>
          <w:rFonts w:ascii="宋体" w:hAnsi="宋体" w:eastAsia="宋体" w:cs="宋体"/>
          <w:sz w:val="21"/>
        </w:rPr>
      </w:r>
      <w:r/>
    </w:p>
    <w:p>
      <w:pPr>
        <w:pStyle w:val="825"/>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825"/>
        <w:ind w:firstLine="0"/>
        <w:spacing w:line="360" w:lineRule="auto"/>
        <w:rPr>
          <w:rFonts w:ascii="宋体" w:hAnsi="宋体" w:eastAsia="宋体" w:cs="宋体"/>
          <w:sz w:val="21"/>
          <w:u w:val="single"/>
        </w:rPr>
      </w:pPr>
      <w:r>
        <w:rPr>
          <w:rFonts w:ascii="宋体" w:hAnsi="宋体" w:eastAsia="宋体" w:cs="宋体"/>
          <w:sz w:val="21"/>
          <w:u w:val="single"/>
        </w:rPr>
      </w:r>
      <w:r/>
    </w:p>
    <w:p>
      <w:pPr>
        <w:pStyle w:val="825"/>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825"/>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 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825"/>
        <w:ind w:firstLine="0"/>
        <w:jc w:val="both"/>
        <w:spacing w:line="360" w:lineRule="auto"/>
        <w:rPr>
          <w:rFonts w:ascii="宋体" w:hAnsi="宋体" w:eastAsia="宋体" w:cs="宋体"/>
          <w:sz w:val="21"/>
        </w:rPr>
      </w:pPr>
      <w:r>
        <w:rPr>
          <w:rFonts w:ascii="宋体" w:hAnsi="宋体" w:eastAsia="宋体" w:cs="宋体"/>
          <w:sz w:val="21"/>
        </w:rPr>
      </w:r>
      <w:r/>
    </w:p>
    <w:p>
      <w:pPr>
        <w:pStyle w:val="825"/>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磋商响应单位：（公章）</w:t>
      </w:r>
      <w:r/>
    </w:p>
    <w:p>
      <w:pPr>
        <w:pStyle w:val="825"/>
        <w:ind w:firstLine="0"/>
        <w:jc w:val="both"/>
        <w:spacing w:line="360" w:lineRule="auto"/>
        <w:rPr>
          <w:rFonts w:ascii="宋体" w:hAnsi="宋体" w:eastAsia="宋体" w:cs="宋体"/>
          <w:sz w:val="21"/>
        </w:rPr>
      </w:pPr>
      <w:r>
        <w:rPr>
          <w:rFonts w:hint="eastAsia" w:ascii="宋体" w:hAnsi="宋体" w:eastAsia="宋体" w:cs="宋体"/>
          <w:sz w:val="21"/>
        </w:rPr>
        <w:t xml:space="preserve">法定代表人或委托代理人：（签字或盖章）</w:t>
      </w:r>
      <w:r/>
    </w:p>
    <w:p>
      <w:pPr>
        <w:pStyle w:val="82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rPr>
          <w:rFonts w:ascii="宋体" w:hAnsi="宋体" w:cs="宋体"/>
          <w:szCs w:val="21"/>
        </w:rPr>
      </w:pPr>
      <w:r>
        <w:rPr>
          <w:rFonts w:ascii="宋体" w:hAnsi="宋体" w:cs="宋体"/>
          <w:szCs w:val="21"/>
        </w:rPr>
      </w:r>
      <w:r/>
    </w:p>
    <w:p>
      <w:pPr>
        <w:pStyle w:val="825"/>
        <w:ind w:firstLine="0"/>
        <w:pageBreakBefore/>
        <w:spacing w:line="360" w:lineRule="auto"/>
        <w:rPr>
          <w:rFonts w:ascii="宋体" w:hAnsi="宋体" w:eastAsia="宋体" w:cs="宋体"/>
          <w:sz w:val="21"/>
          <w:szCs w:val="21"/>
        </w:rPr>
      </w:pPr>
      <w:r>
        <w:rPr>
          <w:rFonts w:hint="eastAsia" w:ascii="宋体" w:hAnsi="宋体" w:eastAsia="宋体" w:cs="宋体"/>
          <w:b/>
          <w:sz w:val="21"/>
          <w:szCs w:val="21"/>
        </w:rPr>
        <w:t xml:space="preserve">附件3：磋商响应单位基本情况表</w:t>
      </w:r>
      <w:r/>
    </w:p>
    <w:p>
      <w:pPr>
        <w:pStyle w:val="825"/>
        <w:jc w:val="center"/>
        <w:spacing w:line="360" w:lineRule="auto"/>
        <w:rPr>
          <w:rFonts w:ascii="宋体" w:hAnsi="宋体" w:eastAsia="宋体" w:cs="宋体"/>
          <w:sz w:val="21"/>
          <w:szCs w:val="21"/>
        </w:rPr>
      </w:pPr>
      <w:r>
        <w:rPr>
          <w:rFonts w:ascii="宋体" w:hAnsi="宋体" w:eastAsia="宋体" w:cs="宋体"/>
          <w:sz w:val="21"/>
          <w:szCs w:val="21"/>
        </w:rPr>
      </w:r>
      <w:r/>
    </w:p>
    <w:p>
      <w:pPr>
        <w:pStyle w:val="825"/>
        <w:jc w:val="center"/>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磋商响应单位基本情况表</w:t>
      </w:r>
      <w:r/>
    </w:p>
    <w:p>
      <w:pPr>
        <w:pStyle w:val="8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单位名称：（公章）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19"/>
        <w:gridCol w:w="1986"/>
        <w:gridCol w:w="1524"/>
        <w:gridCol w:w="2136"/>
        <w:gridCol w:w="1292"/>
      </w:tblGrid>
      <w:tr>
        <w:trPr>
          <w:cantSplit/>
          <w:jc w:val="center"/>
          <w:trHeight w:val="567"/>
        </w:trPr>
        <w:tc>
          <w:tcPr>
            <w:tcW w:w="2719"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825"/>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825"/>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825"/>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825"/>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825"/>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825"/>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825"/>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825"/>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825"/>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Height w:val="567"/>
        </w:trPr>
        <w:tc>
          <w:tcPr>
            <w:tcW w:w="2719"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2025年      万元</w:t>
            </w:r>
            <w:r/>
          </w:p>
        </w:tc>
        <w:tc>
          <w:tcPr>
            <w:tcW w:w="1524"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825"/>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p>
        </w:tc>
        <w:tc>
          <w:tcPr>
            <w:tcW w:w="1524"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825"/>
              <w:ind w:firstLine="0"/>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850"/>
        </w:trPr>
        <w:tc>
          <w:tcPr>
            <w:tcW w:w="2719"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p>
            <w:pPr>
              <w:pStyle w:val="825"/>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825"/>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p>
            <w:pPr>
              <w:pStyle w:val="825"/>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825"/>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38"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38"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825"/>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825"/>
              <w:ind w:firstLine="0"/>
              <w:rPr>
                <w:rFonts w:ascii="宋体" w:hAnsi="宋体" w:eastAsia="宋体" w:cs="宋体"/>
                <w:sz w:val="21"/>
                <w:szCs w:val="21"/>
              </w:rPr>
            </w:pPr>
            <w:r>
              <w:rPr>
                <w:rFonts w:ascii="宋体" w:hAnsi="宋体" w:eastAsia="宋体" w:cs="宋体"/>
                <w:sz w:val="21"/>
                <w:szCs w:val="21"/>
              </w:rPr>
            </w:r>
            <w:r/>
          </w:p>
        </w:tc>
      </w:tr>
    </w:tbl>
    <w:p>
      <w:pPr>
        <w:pStyle w:val="865"/>
        <w:sectPr>
          <w:footnotePr/>
          <w:endnotePr/>
          <w:type w:val="nextPage"/>
          <w:pgSz w:w="11906" w:h="16838" w:orient="portrait"/>
          <w:pgMar w:top="1134" w:right="1134" w:bottom="1134" w:left="1134" w:header="680" w:footer="680" w:gutter="0"/>
          <w:cols w:num="1" w:sep="0" w:space="720" w:equalWidth="1"/>
          <w:docGrid w:linePitch="360"/>
        </w:sectPr>
      </w:pPr>
      <w:r/>
      <w:r/>
    </w:p>
    <w:p>
      <w:pPr>
        <w:spacing w:line="360" w:lineRule="auto"/>
        <w:rPr>
          <w:rFonts w:ascii="宋体" w:hAnsi="宋体" w:cs="宋体"/>
          <w:b/>
          <w:szCs w:val="21"/>
        </w:rPr>
        <w:outlineLvl w:val="1"/>
      </w:pPr>
      <w:r>
        <w:rPr>
          <w:rFonts w:hint="eastAsia" w:ascii="宋体" w:hAnsi="宋体" w:cs="宋体"/>
          <w:b/>
          <w:szCs w:val="21"/>
        </w:rPr>
        <w:t xml:space="preserve">附件4：（磋商响应单位）法定代表人授权委托书</w:t>
      </w:r>
      <w:r/>
    </w:p>
    <w:p>
      <w:pPr>
        <w:pStyle w:val="82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825"/>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825"/>
        <w:spacing w:line="360" w:lineRule="auto"/>
        <w:rPr>
          <w:rFonts w:ascii="宋体" w:hAnsi="宋体" w:eastAsia="宋体" w:cs="宋体"/>
          <w:sz w:val="21"/>
          <w:szCs w:val="21"/>
        </w:rPr>
      </w:pPr>
      <w:r>
        <w:rPr>
          <w:rFonts w:ascii="宋体" w:hAnsi="宋体" w:eastAsia="宋体" w:cs="宋体"/>
          <w:sz w:val="21"/>
          <w:szCs w:val="21"/>
        </w:rPr>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（磋商响应单位名称）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    （姓名）</w:t>
      </w:r>
      <w:r>
        <w:rPr>
          <w:rFonts w:hint="eastAsia" w:ascii="宋体" w:hAnsi="宋体" w:eastAsia="宋体" w:cs="宋体"/>
          <w:sz w:val="21"/>
          <w:szCs w:val="21"/>
        </w:rPr>
        <w:t xml:space="preserve">为我公司委托代理人，以本公司的名义参加苏州铭坤招投标咨询服务有限公司组织实施的编号为   号的磋商采购活动。委托代理人在报名、制作磋商响应文件、磋商、评标、合同磋商过程中所签署的一切文件和处理与这有关的一切事务，我均予以承认。</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委托代理人在授权委托书有效期内签署的所有文件不因授权委托的撤销而失效，除非有撤销授权委托的书面通知，本授权委托书自签署之时起至合同履行完毕止。</w:t>
      </w:r>
      <w:r/>
    </w:p>
    <w:p>
      <w:pPr>
        <w:pStyle w:val="825"/>
        <w:spacing w:line="360" w:lineRule="auto"/>
        <w:rPr>
          <w:rFonts w:ascii="宋体" w:hAnsi="宋体" w:eastAsia="宋体" w:cs="宋体"/>
          <w:sz w:val="21"/>
          <w:szCs w:val="21"/>
        </w:rPr>
      </w:pPr>
      <w:r>
        <w:rPr>
          <w:rFonts w:hint="eastAsia" w:ascii="宋体" w:hAnsi="宋体" w:eastAsia="宋体" w:cs="宋体"/>
          <w:sz w:val="21"/>
          <w:szCs w:val="21"/>
        </w:rPr>
        <w:t xml:space="preserve">委托代理人无转委托权。特此委托。</w:t>
      </w:r>
      <w:r/>
    </w:p>
    <w:p>
      <w:pPr>
        <w:pStyle w:val="825"/>
        <w:ind w:firstLine="200"/>
        <w:spacing w:line="360" w:lineRule="auto"/>
        <w:rPr>
          <w:rFonts w:ascii="宋体" w:hAnsi="宋体" w:eastAsia="宋体" w:cs="宋体"/>
          <w:sz w:val="21"/>
          <w:szCs w:val="21"/>
        </w:rPr>
      </w:pPr>
      <w:r>
        <w:rPr>
          <w:rFonts w:ascii="宋体" w:hAnsi="宋体" w:eastAsia="宋体" w:cs="宋体"/>
          <w:sz w:val="21"/>
          <w:szCs w:val="21"/>
        </w:rPr>
      </w:r>
      <w:r/>
    </w:p>
    <w:p>
      <w:pPr>
        <w:pStyle w:val="825"/>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磋商响应单位：（公章）</w:t>
      </w:r>
      <w:r/>
    </w:p>
    <w:p>
      <w:pPr>
        <w:pStyle w:val="825"/>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法定代表人：（签字或盖章）</w:t>
      </w:r>
      <w:r/>
    </w:p>
    <w:p>
      <w:pPr>
        <w:pStyle w:val="825"/>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委托代理人：（签字或盖章）</w:t>
      </w:r>
      <w:r/>
    </w:p>
    <w:p>
      <w:pPr>
        <w:pStyle w:val="825"/>
        <w:ind w:firstLine="200"/>
        <w:spacing w:line="360" w:lineRule="auto"/>
        <w:rPr>
          <w:rFonts w:ascii="宋体" w:hAnsi="宋体" w:eastAsia="宋体" w:cs="宋体"/>
          <w:sz w:val="21"/>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eastAsia="宋体" w:cs="宋体"/>
          <w:sz w:val="21"/>
          <w:szCs w:val="21"/>
        </w:rPr>
        <w:t xml:space="preserve">日期： 年 月 日</w:t>
      </w:r>
      <w:r/>
    </w:p>
    <w:p>
      <w:pPr>
        <w:spacing w:line="360" w:lineRule="auto"/>
        <w:rPr>
          <w:rFonts w:ascii="宋体" w:hAnsi="宋体" w:cs="宋体"/>
          <w:b/>
          <w:szCs w:val="21"/>
        </w:rPr>
        <w:outlineLvl w:val="1"/>
      </w:pPr>
      <w:r>
        <w:rPr>
          <w:rFonts w:hint="eastAsia" w:ascii="宋体" w:hAnsi="宋体" w:cs="宋体"/>
          <w:b/>
          <w:szCs w:val="21"/>
        </w:rPr>
        <w:t xml:space="preserve">附件5：磋商响应函</w:t>
      </w:r>
      <w:r/>
    </w:p>
    <w:p>
      <w:pPr>
        <w:jc w:val="center"/>
        <w:spacing w:line="360" w:lineRule="auto"/>
        <w:rPr>
          <w:rFonts w:ascii="宋体" w:hAnsi="宋体" w:cs="宋体"/>
          <w:b/>
          <w:spacing w:val="20"/>
          <w:szCs w:val="21"/>
        </w:rPr>
      </w:pPr>
      <w:r>
        <w:rPr>
          <w:rFonts w:hint="eastAsia" w:ascii="宋体" w:hAnsi="宋体" w:cs="宋体"/>
          <w:b/>
          <w:spacing w:val="20"/>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苏州铭坤招投标咨询服务有限公司：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w:t>
      </w:r>
      <w:r>
        <w:rPr>
          <w:rFonts w:hint="eastAsia" w:ascii="宋体" w:hAnsi="宋体" w:cs="宋体"/>
          <w:szCs w:val="21"/>
        </w:rPr>
        <w:t xml:space="preserve">你们</w:t>
      </w:r>
      <w:r>
        <w:rPr>
          <w:rFonts w:hint="eastAsia" w:ascii="宋体" w:hAnsi="宋体" w:cs="宋体"/>
          <w:szCs w:val="21"/>
          <w:u w:val="single"/>
        </w:rPr>
        <w:t xml:space="preserve">JSZC-320500-SZMK-C2026-0010</w:t>
      </w:r>
      <w:r>
        <w:rPr>
          <w:rFonts w:hint="eastAsia" w:ascii="宋体" w:hAnsi="宋体" w:cs="宋体"/>
          <w:szCs w:val="21"/>
        </w:rPr>
        <w:t xml:space="preserve">磋商采购文</w:t>
      </w:r>
      <w:r>
        <w:rPr>
          <w:rFonts w:hint="eastAsia" w:ascii="宋体" w:hAnsi="宋体" w:cs="宋体"/>
          <w:szCs w:val="21"/>
        </w:rPr>
        <w:t xml:space="preserve">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7、我们愿意按磋商采购文件的规定交纳</w:t>
      </w:r>
      <w:r>
        <w:rPr>
          <w:rFonts w:hint="eastAsia" w:ascii="宋体" w:hAnsi="宋体" w:cs="宋体"/>
          <w:szCs w:val="21"/>
          <w:u w:val="single"/>
        </w:rPr>
        <w:t xml:space="preserve">   /   </w:t>
      </w:r>
      <w:r>
        <w:rPr>
          <w:rFonts w:hint="eastAsia" w:ascii="宋体" w:hAnsi="宋体" w:cs="宋体"/>
          <w:szCs w:val="21"/>
        </w:rPr>
        <w:t xml:space="preserve">元的磋商保证金。</w:t>
      </w:r>
      <w:r/>
    </w:p>
    <w:p>
      <w:pPr>
        <w:ind w:firstLine="420"/>
        <w:spacing w:line="360" w:lineRule="auto"/>
        <w:rPr>
          <w:rFonts w:ascii="宋体" w:hAnsi="宋体" w:cs="宋体"/>
          <w:szCs w:val="21"/>
        </w:rPr>
      </w:pPr>
      <w:r>
        <w:rPr>
          <w:rFonts w:hint="eastAsia" w:ascii="宋体" w:hAnsi="宋体" w:cs="宋体"/>
          <w:szCs w:val="21"/>
        </w:rPr>
        <w:t xml:space="preserve">8、如我方成为成交单位，我方愿意在领取成交通知书时按采购文件要求向代理机构支付成交服务费。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9、我们愿意按照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10、我们愿意按照贵公司磋商采购文件的要求提供电子响应文件（成交后5个工作日内提供两份纸质响应文件），并保证全部磋商响应文件内容真实有效，若有虚假，我公司愿意承担与此相关的一切责任。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11、综合说明：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w:t>
      </w:r>
      <w:r/>
    </w:p>
    <w:p>
      <w:pPr>
        <w:ind w:firstLine="420"/>
        <w:spacing w:line="360" w:lineRule="auto"/>
        <w:rPr>
          <w:rFonts w:ascii="宋体" w:hAnsi="宋体" w:cs="宋体"/>
          <w:szCs w:val="21"/>
        </w:rPr>
      </w:pPr>
      <w:r>
        <w:rPr>
          <w:rFonts w:hint="eastAsia" w:ascii="宋体" w:hAnsi="宋体" w:cs="宋体"/>
          <w:szCs w:val="21"/>
        </w:rPr>
        <w:t xml:space="preserve">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ind w:firstLine="420"/>
        <w:spacing w:line="360" w:lineRule="auto"/>
        <w:rPr>
          <w:rFonts w:ascii="宋体" w:hAnsi="宋体" w:cs="宋体"/>
          <w:szCs w:val="21"/>
        </w:rPr>
      </w:pPr>
      <w:r>
        <w:rPr>
          <w:rFonts w:hint="eastAsia" w:ascii="宋体" w:hAnsi="宋体" w:cs="宋体"/>
          <w:szCs w:val="21"/>
        </w:rPr>
        <w:t xml:space="preserve">开户银行：          传真：</w:t>
      </w:r>
      <w:r/>
    </w:p>
    <w:p>
      <w:pPr>
        <w:ind w:firstLine="420"/>
        <w:spacing w:line="360" w:lineRule="auto"/>
        <w:rPr>
          <w:rFonts w:ascii="宋体" w:hAnsi="宋体" w:cs="宋体"/>
          <w:szCs w:val="21"/>
        </w:rPr>
      </w:pPr>
      <w:r>
        <w:rPr>
          <w:rFonts w:hint="eastAsia" w:ascii="宋体" w:hAnsi="宋体" w:cs="宋体"/>
          <w:szCs w:val="21"/>
        </w:rPr>
        <w:t xml:space="preserve">开户账号：           邮箱地址：</w:t>
      </w:r>
      <w:r/>
    </w:p>
    <w:p>
      <w:pPr>
        <w:pStyle w:val="825"/>
        <w:ind w:firstLine="0"/>
        <w:jc w:val="both"/>
        <w:spacing w:line="360" w:lineRule="auto"/>
        <w:rPr>
          <w:rFonts w:ascii="宋体" w:hAnsi="宋体" w:eastAsia="宋体" w:cs="宋体"/>
          <w:sz w:val="21"/>
        </w:rPr>
      </w:pPr>
      <w:r>
        <w:rPr>
          <w:rFonts w:ascii="宋体" w:hAnsi="宋体" w:eastAsia="宋体" w:cs="宋体"/>
          <w:sz w:val="21"/>
        </w:rPr>
      </w:r>
      <w:r/>
    </w:p>
    <w:p>
      <w:pPr>
        <w:pStyle w:val="825"/>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磋商响应单位：（公章）</w:t>
      </w:r>
      <w:r/>
    </w:p>
    <w:p>
      <w:pPr>
        <w:pStyle w:val="825"/>
        <w:ind w:firstLine="0"/>
        <w:jc w:val="both"/>
        <w:spacing w:line="360" w:lineRule="auto"/>
        <w:rPr>
          <w:rFonts w:ascii="宋体" w:hAnsi="宋体" w:eastAsia="宋体" w:cs="宋体"/>
          <w:sz w:val="21"/>
        </w:rPr>
      </w:pPr>
      <w:r>
        <w:rPr>
          <w:rFonts w:hint="eastAsia" w:ascii="宋体" w:hAnsi="宋体" w:eastAsia="宋体" w:cs="宋体"/>
          <w:sz w:val="21"/>
        </w:rPr>
        <w:t xml:space="preserve">法定代表人或委托代理人：（签字或盖章）</w:t>
      </w:r>
      <w:r/>
    </w:p>
    <w:p>
      <w:pPr>
        <w:pStyle w:val="82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865"/>
        <w:ind w:firstLine="0"/>
        <w:sectPr>
          <w:footnotePr/>
          <w:endnotePr/>
          <w:type w:val="nextPage"/>
          <w:pgSz w:w="11906" w:h="16838" w:orient="portrait"/>
          <w:pgMar w:top="992" w:right="1134" w:bottom="1134" w:left="1134" w:header="680" w:footer="680" w:gutter="0"/>
          <w:cols w:num="1" w:sep="0" w:space="720" w:equalWidth="1"/>
          <w:docGrid w:linePitch="360"/>
        </w:sectPr>
      </w:pPr>
      <w:r/>
      <w:r/>
    </w:p>
    <w:p>
      <w:pPr>
        <w:jc w:val="left"/>
        <w:spacing w:line="360" w:lineRule="auto"/>
        <w:widowControl/>
        <w:rPr>
          <w:rFonts w:ascii="宋体" w:hAnsi="宋体" w:cs="宋体"/>
          <w:b/>
          <w:szCs w:val="21"/>
        </w:rPr>
      </w:pPr>
      <w:r>
        <w:rPr>
          <w:rFonts w:hint="eastAsia" w:ascii="宋体" w:hAnsi="宋体" w:cs="宋体"/>
          <w:b/>
          <w:szCs w:val="21"/>
        </w:rPr>
        <w:t xml:space="preserve">附件6：服务偏离表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4"/>
        <w:gridCol w:w="1901"/>
        <w:gridCol w:w="1711"/>
        <w:gridCol w:w="1521"/>
        <w:gridCol w:w="1795"/>
        <w:gridCol w:w="1855"/>
      </w:tblGrid>
      <w:tr>
        <w:trPr>
          <w:jc w:val="center"/>
          <w:trHeight w:val="680"/>
        </w:trPr>
        <w:tc>
          <w:tcPr>
            <w:tcW w:w="87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偏离/响应</w:t>
            </w:r>
            <w:r/>
          </w:p>
        </w:tc>
        <w:tc>
          <w:tcPr>
            <w:tcW w:w="1855"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磋商响应单位：（盖章）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7"/>
        <w:gridCol w:w="2028"/>
        <w:gridCol w:w="2535"/>
        <w:gridCol w:w="2535"/>
        <w:gridCol w:w="1812"/>
      </w:tblGrid>
      <w:tr>
        <w:trPr>
          <w:jc w:val="center"/>
          <w:trHeight w:val="680"/>
        </w:trPr>
        <w:tc>
          <w:tcP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磋商响应单位：（盖章）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jc w:val="left"/>
        <w:spacing w:line="360" w:lineRule="auto"/>
        <w:widowControl/>
        <w:rPr>
          <w:rFonts w:ascii="宋体" w:hAnsi="宋体" w:cs="宋体"/>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rPr>
        <w:outlineLvl w:val="1"/>
      </w:pPr>
      <w:r>
        <w:rPr>
          <w:rFonts w:hint="eastAsia" w:ascii="宋体" w:hAnsi="宋体" w:cs="宋体"/>
          <w:b/>
        </w:rPr>
        <w:t xml:space="preserve">附件8：投标（响应）保证承诺书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投标（响应）人（盖公章）：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法定代表人或委托代理人(签字或签章)：</w:t>
      </w:r>
      <w:r/>
    </w:p>
    <w:p>
      <w:pPr>
        <w:jc w:val="left"/>
        <w:spacing w:line="360" w:lineRule="auto"/>
        <w:widowControl/>
        <w:rPr>
          <w:rFonts w:ascii="宋体" w:hAnsi="宋体" w:cs="宋体"/>
          <w:szCs w:val="21"/>
        </w:rPr>
      </w:pPr>
      <w:r>
        <w:rPr>
          <w:rFonts w:hint="eastAsia" w:ascii="宋体" w:hAnsi="宋体" w:cs="宋体"/>
          <w:szCs w:val="21"/>
        </w:rPr>
        <w:t xml:space="preserve">日期：年 月 日</w:t>
      </w:r>
      <w:r/>
    </w:p>
    <w:p>
      <w:pPr>
        <w:pStyle w:val="855"/>
        <w:rPr>
          <w:rFonts w:ascii="宋体" w:hAnsi="宋体" w:cs="宋体"/>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附件9：针对本项目的人员配置表</w:t>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针对本项目的人员配置表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1652"/>
        <w:gridCol w:w="1059"/>
        <w:gridCol w:w="1034"/>
        <w:gridCol w:w="869"/>
        <w:gridCol w:w="1764"/>
        <w:gridCol w:w="1116"/>
        <w:gridCol w:w="1458"/>
      </w:tblGrid>
      <w:tr>
        <w:trPr>
          <w:jc w:val="center"/>
          <w:trHeight w:val="680"/>
        </w:trPr>
        <w:tc>
          <w:tcPr>
            <w:tcW w:w="70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序号</w:t>
            </w:r>
            <w:r/>
          </w:p>
        </w:tc>
        <w:tc>
          <w:tcPr>
            <w:tcW w:w="1652"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岗位</w:t>
            </w:r>
            <w:r/>
          </w:p>
        </w:tc>
        <w:tc>
          <w:tcPr>
            <w:tcW w:w="105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姓名</w:t>
            </w:r>
            <w:r/>
          </w:p>
        </w:tc>
        <w:tc>
          <w:tcPr>
            <w:tcW w:w="1034"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性别</w:t>
            </w:r>
            <w:r/>
          </w:p>
        </w:tc>
        <w:tc>
          <w:tcPr>
            <w:tcW w:w="8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年龄</w:t>
            </w:r>
            <w:r/>
          </w:p>
        </w:tc>
        <w:tc>
          <w:tcPr>
            <w:tcW w:w="1764"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学历</w:t>
            </w:r>
            <w:r/>
          </w:p>
        </w:tc>
        <w:tc>
          <w:tcPr>
            <w:tcW w:w="111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职称</w:t>
            </w:r>
            <w:r/>
          </w:p>
        </w:tc>
        <w:tc>
          <w:tcPr>
            <w:tcW w:w="1458" w:type="dxa"/>
            <w:vAlign w:val="center"/>
            <w:textDirection w:val="lrTb"/>
            <w:noWrap w:val="false"/>
          </w:tcPr>
          <w:p>
            <w:pPr>
              <w:jc w:val="center"/>
              <w:rPr>
                <w:rFonts w:ascii="宋体" w:hAnsi="宋体" w:cs="宋体"/>
                <w:szCs w:val="21"/>
              </w:rPr>
            </w:pPr>
            <w:r>
              <w:rPr>
                <w:rFonts w:hint="eastAsia" w:ascii="宋体" w:hAnsi="宋体" w:cs="宋体"/>
                <w:szCs w:val="21"/>
              </w:rPr>
              <w:t xml:space="preserve">专业/资格</w:t>
            </w:r>
            <w:r/>
          </w:p>
        </w:tc>
      </w:tr>
      <w:tr>
        <w:trPr>
          <w:cantSplit/>
          <w:jc w:val="center"/>
          <w:trHeight w:val="680"/>
        </w:trPr>
        <w:tc>
          <w:tcPr>
            <w:tcW w:w="705" w:type="dxa"/>
            <w:vAlign w:val="center"/>
            <w:textDirection w:val="lrTb"/>
            <w:noWrap w:val="false"/>
          </w:tcPr>
          <w:p>
            <w:pPr>
              <w:jc w:val="center"/>
              <w:rPr>
                <w:rFonts w:ascii="宋体" w:hAnsi="宋体" w:cs="宋体"/>
                <w:szCs w:val="21"/>
              </w:rPr>
            </w:pPr>
            <w:r>
              <w:rPr>
                <w:rFonts w:ascii="宋体" w:hAnsi="宋体" w:cs="宋体"/>
                <w:szCs w:val="21"/>
              </w:rPr>
            </w:r>
            <w:r/>
          </w:p>
        </w:tc>
        <w:tc>
          <w:tcPr>
            <w:tcW w:w="1652" w:type="dxa"/>
            <w:vAlign w:val="center"/>
            <w:textDirection w:val="lrTb"/>
            <w:noWrap w:val="false"/>
          </w:tcPr>
          <w:p>
            <w:pPr>
              <w:jc w:val="center"/>
              <w:rPr>
                <w:rFonts w:ascii="宋体" w:hAnsi="宋体" w:cs="宋体"/>
                <w:szCs w:val="21"/>
              </w:rPr>
            </w:pPr>
            <w:r>
              <w:rPr>
                <w:rFonts w:ascii="宋体" w:hAnsi="宋体" w:cs="宋体"/>
                <w:szCs w:val="21"/>
              </w:rPr>
            </w:r>
            <w:r/>
          </w:p>
        </w:tc>
        <w:tc>
          <w:tcPr>
            <w:tcW w:w="1059" w:type="dxa"/>
            <w:vAlign w:val="center"/>
            <w:textDirection w:val="lrTb"/>
            <w:noWrap w:val="false"/>
          </w:tcPr>
          <w:p>
            <w:pPr>
              <w:jc w:val="center"/>
              <w:rPr>
                <w:rFonts w:ascii="宋体" w:hAnsi="宋体" w:cs="宋体"/>
                <w:szCs w:val="21"/>
              </w:rPr>
            </w:pPr>
            <w:r>
              <w:rPr>
                <w:rFonts w:ascii="宋体" w:hAnsi="宋体" w:cs="宋体"/>
                <w:szCs w:val="21"/>
              </w:rPr>
            </w:r>
            <w:r/>
          </w:p>
        </w:tc>
        <w:tc>
          <w:tcPr>
            <w:tcW w:w="1034" w:type="dxa"/>
            <w:vAlign w:val="center"/>
            <w:textDirection w:val="lrTb"/>
            <w:noWrap w:val="false"/>
          </w:tcPr>
          <w:p>
            <w:pPr>
              <w:jc w:val="center"/>
              <w:rPr>
                <w:rFonts w:ascii="宋体" w:hAnsi="宋体" w:cs="宋体"/>
                <w:szCs w:val="21"/>
              </w:rPr>
            </w:pPr>
            <w:r>
              <w:rPr>
                <w:rFonts w:ascii="宋体" w:hAnsi="宋体" w:cs="宋体"/>
                <w:szCs w:val="21"/>
              </w:rPr>
            </w:r>
            <w:r/>
          </w:p>
        </w:tc>
        <w:tc>
          <w:tcPr>
            <w:tcW w:w="869" w:type="dxa"/>
            <w:vAlign w:val="center"/>
            <w:textDirection w:val="lrTb"/>
            <w:noWrap w:val="false"/>
          </w:tcPr>
          <w:p>
            <w:pPr>
              <w:jc w:val="center"/>
              <w:rPr>
                <w:rFonts w:ascii="宋体" w:hAnsi="宋体" w:cs="宋体"/>
                <w:szCs w:val="21"/>
              </w:rPr>
            </w:pPr>
            <w:r>
              <w:rPr>
                <w:rFonts w:ascii="宋体" w:hAnsi="宋体" w:cs="宋体"/>
                <w:szCs w:val="21"/>
              </w:rPr>
            </w:r>
            <w:r/>
          </w:p>
        </w:tc>
        <w:tc>
          <w:tcPr>
            <w:tcW w:w="1764" w:type="dxa"/>
            <w:vAlign w:val="center"/>
            <w:textDirection w:val="lrTb"/>
            <w:noWrap w:val="false"/>
          </w:tcPr>
          <w:p>
            <w:pPr>
              <w:jc w:val="center"/>
              <w:rPr>
                <w:rFonts w:ascii="宋体" w:hAnsi="宋体" w:cs="宋体"/>
                <w:szCs w:val="21"/>
              </w:rPr>
            </w:pPr>
            <w:r>
              <w:rPr>
                <w:rFonts w:ascii="宋体" w:hAnsi="宋体" w:cs="宋体"/>
                <w:szCs w:val="21"/>
              </w:rPr>
            </w:r>
            <w:r/>
          </w:p>
        </w:tc>
        <w:tc>
          <w:tcPr>
            <w:tcW w:w="1116" w:type="dxa"/>
            <w:vAlign w:val="center"/>
            <w:textDirection w:val="lrTb"/>
            <w:noWrap w:val="false"/>
          </w:tcPr>
          <w:p>
            <w:pPr>
              <w:jc w:val="center"/>
              <w:rPr>
                <w:rFonts w:ascii="宋体" w:hAnsi="宋体" w:cs="宋体"/>
                <w:szCs w:val="21"/>
              </w:rPr>
            </w:pPr>
            <w:r>
              <w:rPr>
                <w:rFonts w:ascii="宋体" w:hAnsi="宋体" w:cs="宋体"/>
                <w:szCs w:val="21"/>
              </w:rPr>
            </w:r>
            <w:r/>
          </w:p>
        </w:tc>
        <w:tc>
          <w:tcPr>
            <w:tcW w:w="145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val="false"/>
          </w:tcPr>
          <w:p>
            <w:pPr>
              <w:jc w:val="center"/>
              <w:rPr>
                <w:rFonts w:ascii="宋体" w:hAnsi="宋体" w:cs="宋体"/>
                <w:szCs w:val="21"/>
              </w:rPr>
            </w:pPr>
            <w:r>
              <w:rPr>
                <w:rFonts w:ascii="宋体" w:hAnsi="宋体" w:cs="宋体"/>
                <w:szCs w:val="21"/>
              </w:rPr>
            </w:r>
            <w:r/>
          </w:p>
        </w:tc>
        <w:tc>
          <w:tcPr>
            <w:tcW w:w="1652" w:type="dxa"/>
            <w:vAlign w:val="center"/>
            <w:textDirection w:val="lrTb"/>
            <w:noWrap w:val="false"/>
          </w:tcPr>
          <w:p>
            <w:pPr>
              <w:jc w:val="center"/>
              <w:rPr>
                <w:rFonts w:ascii="宋体" w:hAnsi="宋体" w:cs="宋体"/>
                <w:szCs w:val="21"/>
              </w:rPr>
            </w:pPr>
            <w:r>
              <w:rPr>
                <w:rFonts w:ascii="宋体" w:hAnsi="宋体" w:cs="宋体"/>
                <w:szCs w:val="21"/>
              </w:rPr>
            </w:r>
            <w:r/>
          </w:p>
        </w:tc>
        <w:tc>
          <w:tcPr>
            <w:tcW w:w="1059" w:type="dxa"/>
            <w:vAlign w:val="center"/>
            <w:textDirection w:val="lrTb"/>
            <w:noWrap w:val="false"/>
          </w:tcPr>
          <w:p>
            <w:pPr>
              <w:jc w:val="center"/>
              <w:rPr>
                <w:rFonts w:ascii="宋体" w:hAnsi="宋体" w:cs="宋体"/>
                <w:szCs w:val="21"/>
              </w:rPr>
            </w:pPr>
            <w:r>
              <w:rPr>
                <w:rFonts w:ascii="宋体" w:hAnsi="宋体" w:cs="宋体"/>
                <w:szCs w:val="21"/>
              </w:rPr>
            </w:r>
            <w:r/>
          </w:p>
        </w:tc>
        <w:tc>
          <w:tcPr>
            <w:tcW w:w="1034" w:type="dxa"/>
            <w:vAlign w:val="center"/>
            <w:textDirection w:val="lrTb"/>
            <w:noWrap w:val="false"/>
          </w:tcPr>
          <w:p>
            <w:pPr>
              <w:jc w:val="center"/>
              <w:rPr>
                <w:rFonts w:ascii="宋体" w:hAnsi="宋体" w:cs="宋体"/>
                <w:szCs w:val="21"/>
              </w:rPr>
            </w:pPr>
            <w:r>
              <w:rPr>
                <w:rFonts w:ascii="宋体" w:hAnsi="宋体" w:cs="宋体"/>
                <w:szCs w:val="21"/>
              </w:rPr>
            </w:r>
            <w:r/>
          </w:p>
        </w:tc>
        <w:tc>
          <w:tcPr>
            <w:tcW w:w="869" w:type="dxa"/>
            <w:vAlign w:val="center"/>
            <w:textDirection w:val="lrTb"/>
            <w:noWrap w:val="false"/>
          </w:tcPr>
          <w:p>
            <w:pPr>
              <w:jc w:val="center"/>
              <w:rPr>
                <w:rFonts w:ascii="宋体" w:hAnsi="宋体" w:cs="宋体"/>
                <w:szCs w:val="21"/>
              </w:rPr>
            </w:pPr>
            <w:r>
              <w:rPr>
                <w:rFonts w:ascii="宋体" w:hAnsi="宋体" w:cs="宋体"/>
                <w:szCs w:val="21"/>
              </w:rPr>
            </w:r>
            <w:r/>
          </w:p>
        </w:tc>
        <w:tc>
          <w:tcPr>
            <w:tcW w:w="1764" w:type="dxa"/>
            <w:vAlign w:val="center"/>
            <w:textDirection w:val="lrTb"/>
            <w:noWrap w:val="false"/>
          </w:tcPr>
          <w:p>
            <w:pPr>
              <w:jc w:val="center"/>
              <w:rPr>
                <w:rFonts w:ascii="宋体" w:hAnsi="宋体" w:cs="宋体"/>
                <w:szCs w:val="21"/>
              </w:rPr>
            </w:pPr>
            <w:r>
              <w:rPr>
                <w:rFonts w:ascii="宋体" w:hAnsi="宋体" w:cs="宋体"/>
                <w:szCs w:val="21"/>
              </w:rPr>
            </w:r>
            <w:r/>
          </w:p>
        </w:tc>
        <w:tc>
          <w:tcPr>
            <w:tcW w:w="1116" w:type="dxa"/>
            <w:vAlign w:val="center"/>
            <w:textDirection w:val="lrTb"/>
            <w:noWrap w:val="false"/>
          </w:tcPr>
          <w:p>
            <w:pPr>
              <w:jc w:val="center"/>
              <w:rPr>
                <w:rFonts w:ascii="宋体" w:hAnsi="宋体" w:cs="宋体"/>
                <w:szCs w:val="21"/>
              </w:rPr>
            </w:pPr>
            <w:r>
              <w:rPr>
                <w:rFonts w:ascii="宋体" w:hAnsi="宋体" w:cs="宋体"/>
                <w:szCs w:val="21"/>
              </w:rPr>
            </w:r>
            <w:r/>
          </w:p>
        </w:tc>
        <w:tc>
          <w:tcPr>
            <w:tcW w:w="145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val="false"/>
          </w:tcPr>
          <w:p>
            <w:pPr>
              <w:jc w:val="center"/>
              <w:rPr>
                <w:rFonts w:ascii="宋体" w:hAnsi="宋体" w:cs="宋体"/>
                <w:szCs w:val="21"/>
              </w:rPr>
            </w:pPr>
            <w:r>
              <w:rPr>
                <w:rFonts w:ascii="宋体" w:hAnsi="宋体" w:cs="宋体"/>
                <w:szCs w:val="21"/>
              </w:rPr>
            </w:r>
            <w:r/>
          </w:p>
        </w:tc>
        <w:tc>
          <w:tcPr>
            <w:tcW w:w="1652" w:type="dxa"/>
            <w:vAlign w:val="center"/>
            <w:textDirection w:val="lrTb"/>
            <w:noWrap w:val="false"/>
          </w:tcPr>
          <w:p>
            <w:pPr>
              <w:jc w:val="center"/>
              <w:rPr>
                <w:rFonts w:ascii="宋体" w:hAnsi="宋体" w:cs="宋体"/>
                <w:szCs w:val="21"/>
              </w:rPr>
            </w:pPr>
            <w:r>
              <w:rPr>
                <w:rFonts w:ascii="宋体" w:hAnsi="宋体" w:cs="宋体"/>
                <w:szCs w:val="21"/>
              </w:rPr>
            </w:r>
            <w:r/>
          </w:p>
        </w:tc>
        <w:tc>
          <w:tcPr>
            <w:tcW w:w="1059" w:type="dxa"/>
            <w:vAlign w:val="center"/>
            <w:textDirection w:val="lrTb"/>
            <w:noWrap w:val="false"/>
          </w:tcPr>
          <w:p>
            <w:pPr>
              <w:jc w:val="center"/>
              <w:rPr>
                <w:rFonts w:ascii="宋体" w:hAnsi="宋体" w:cs="宋体"/>
                <w:szCs w:val="21"/>
              </w:rPr>
            </w:pPr>
            <w:r>
              <w:rPr>
                <w:rFonts w:ascii="宋体" w:hAnsi="宋体" w:cs="宋体"/>
                <w:szCs w:val="21"/>
              </w:rPr>
            </w:r>
            <w:r/>
          </w:p>
        </w:tc>
        <w:tc>
          <w:tcPr>
            <w:tcW w:w="1034" w:type="dxa"/>
            <w:vAlign w:val="center"/>
            <w:textDirection w:val="lrTb"/>
            <w:noWrap w:val="false"/>
          </w:tcPr>
          <w:p>
            <w:pPr>
              <w:jc w:val="center"/>
              <w:rPr>
                <w:rFonts w:ascii="宋体" w:hAnsi="宋体" w:cs="宋体"/>
                <w:szCs w:val="21"/>
              </w:rPr>
            </w:pPr>
            <w:r>
              <w:rPr>
                <w:rFonts w:ascii="宋体" w:hAnsi="宋体" w:cs="宋体"/>
                <w:szCs w:val="21"/>
              </w:rPr>
            </w:r>
            <w:r/>
          </w:p>
        </w:tc>
        <w:tc>
          <w:tcPr>
            <w:tcW w:w="869" w:type="dxa"/>
            <w:vAlign w:val="center"/>
            <w:textDirection w:val="lrTb"/>
            <w:noWrap w:val="false"/>
          </w:tcPr>
          <w:p>
            <w:pPr>
              <w:jc w:val="center"/>
              <w:rPr>
                <w:rFonts w:ascii="宋体" w:hAnsi="宋体" w:cs="宋体"/>
                <w:szCs w:val="21"/>
              </w:rPr>
            </w:pPr>
            <w:r>
              <w:rPr>
                <w:rFonts w:ascii="宋体" w:hAnsi="宋体" w:cs="宋体"/>
                <w:szCs w:val="21"/>
              </w:rPr>
            </w:r>
            <w:r/>
          </w:p>
        </w:tc>
        <w:tc>
          <w:tcPr>
            <w:tcW w:w="1764" w:type="dxa"/>
            <w:vAlign w:val="center"/>
            <w:textDirection w:val="lrTb"/>
            <w:noWrap w:val="false"/>
          </w:tcPr>
          <w:p>
            <w:pPr>
              <w:jc w:val="center"/>
              <w:rPr>
                <w:rFonts w:ascii="宋体" w:hAnsi="宋体" w:cs="宋体"/>
                <w:szCs w:val="21"/>
              </w:rPr>
            </w:pPr>
            <w:r>
              <w:rPr>
                <w:rFonts w:ascii="宋体" w:hAnsi="宋体" w:cs="宋体"/>
                <w:szCs w:val="21"/>
              </w:rPr>
            </w:r>
            <w:r/>
          </w:p>
        </w:tc>
        <w:tc>
          <w:tcPr>
            <w:tcW w:w="1116" w:type="dxa"/>
            <w:vAlign w:val="center"/>
            <w:textDirection w:val="lrTb"/>
            <w:noWrap w:val="false"/>
          </w:tcPr>
          <w:p>
            <w:pPr>
              <w:jc w:val="center"/>
              <w:rPr>
                <w:rFonts w:ascii="宋体" w:hAnsi="宋体" w:cs="宋体"/>
                <w:szCs w:val="21"/>
              </w:rPr>
            </w:pPr>
            <w:r>
              <w:rPr>
                <w:rFonts w:ascii="宋体" w:hAnsi="宋体" w:cs="宋体"/>
                <w:szCs w:val="21"/>
              </w:rPr>
            </w:r>
            <w:r/>
          </w:p>
        </w:tc>
        <w:tc>
          <w:tcPr>
            <w:tcW w:w="145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val="false"/>
          </w:tcPr>
          <w:p>
            <w:pPr>
              <w:jc w:val="center"/>
              <w:rPr>
                <w:rFonts w:ascii="宋体" w:hAnsi="宋体" w:cs="宋体"/>
                <w:szCs w:val="21"/>
              </w:rPr>
            </w:pPr>
            <w:r>
              <w:rPr>
                <w:rFonts w:ascii="宋体" w:hAnsi="宋体" w:cs="宋体"/>
                <w:szCs w:val="21"/>
              </w:rPr>
            </w:r>
            <w:r/>
          </w:p>
        </w:tc>
        <w:tc>
          <w:tcPr>
            <w:tcW w:w="1652" w:type="dxa"/>
            <w:vAlign w:val="center"/>
            <w:textDirection w:val="lrTb"/>
            <w:noWrap w:val="false"/>
          </w:tcPr>
          <w:p>
            <w:pPr>
              <w:jc w:val="center"/>
              <w:rPr>
                <w:rFonts w:ascii="宋体" w:hAnsi="宋体" w:cs="宋体"/>
                <w:szCs w:val="21"/>
              </w:rPr>
            </w:pPr>
            <w:r>
              <w:rPr>
                <w:rFonts w:ascii="宋体" w:hAnsi="宋体" w:cs="宋体"/>
                <w:szCs w:val="21"/>
              </w:rPr>
            </w:r>
            <w:r/>
          </w:p>
        </w:tc>
        <w:tc>
          <w:tcPr>
            <w:tcW w:w="1059" w:type="dxa"/>
            <w:vAlign w:val="center"/>
            <w:textDirection w:val="lrTb"/>
            <w:noWrap w:val="false"/>
          </w:tcPr>
          <w:p>
            <w:pPr>
              <w:jc w:val="center"/>
              <w:rPr>
                <w:rFonts w:ascii="宋体" w:hAnsi="宋体" w:cs="宋体"/>
                <w:szCs w:val="21"/>
              </w:rPr>
            </w:pPr>
            <w:r>
              <w:rPr>
                <w:rFonts w:ascii="宋体" w:hAnsi="宋体" w:cs="宋体"/>
                <w:szCs w:val="21"/>
              </w:rPr>
            </w:r>
            <w:r/>
          </w:p>
        </w:tc>
        <w:tc>
          <w:tcPr>
            <w:tcW w:w="1034" w:type="dxa"/>
            <w:vAlign w:val="center"/>
            <w:textDirection w:val="lrTb"/>
            <w:noWrap w:val="false"/>
          </w:tcPr>
          <w:p>
            <w:pPr>
              <w:jc w:val="center"/>
              <w:rPr>
                <w:rFonts w:ascii="宋体" w:hAnsi="宋体" w:cs="宋体"/>
                <w:szCs w:val="21"/>
              </w:rPr>
            </w:pPr>
            <w:r>
              <w:rPr>
                <w:rFonts w:ascii="宋体" w:hAnsi="宋体" w:cs="宋体"/>
                <w:szCs w:val="21"/>
              </w:rPr>
            </w:r>
            <w:r/>
          </w:p>
        </w:tc>
        <w:tc>
          <w:tcPr>
            <w:tcW w:w="869" w:type="dxa"/>
            <w:vAlign w:val="center"/>
            <w:textDirection w:val="lrTb"/>
            <w:noWrap w:val="false"/>
          </w:tcPr>
          <w:p>
            <w:pPr>
              <w:jc w:val="center"/>
              <w:rPr>
                <w:rFonts w:ascii="宋体" w:hAnsi="宋体" w:cs="宋体"/>
                <w:szCs w:val="21"/>
              </w:rPr>
            </w:pPr>
            <w:r>
              <w:rPr>
                <w:rFonts w:ascii="宋体" w:hAnsi="宋体" w:cs="宋体"/>
                <w:szCs w:val="21"/>
              </w:rPr>
            </w:r>
            <w:r/>
          </w:p>
        </w:tc>
        <w:tc>
          <w:tcPr>
            <w:tcW w:w="1764" w:type="dxa"/>
            <w:vAlign w:val="center"/>
            <w:textDirection w:val="lrTb"/>
            <w:noWrap w:val="false"/>
          </w:tcPr>
          <w:p>
            <w:pPr>
              <w:jc w:val="center"/>
              <w:rPr>
                <w:rFonts w:ascii="宋体" w:hAnsi="宋体" w:cs="宋体"/>
                <w:szCs w:val="21"/>
              </w:rPr>
            </w:pPr>
            <w:r>
              <w:rPr>
                <w:rFonts w:ascii="宋体" w:hAnsi="宋体" w:cs="宋体"/>
                <w:szCs w:val="21"/>
              </w:rPr>
            </w:r>
            <w:r/>
          </w:p>
        </w:tc>
        <w:tc>
          <w:tcPr>
            <w:tcW w:w="1116" w:type="dxa"/>
            <w:vAlign w:val="center"/>
            <w:textDirection w:val="lrTb"/>
            <w:noWrap w:val="false"/>
          </w:tcPr>
          <w:p>
            <w:pPr>
              <w:jc w:val="center"/>
              <w:rPr>
                <w:rFonts w:ascii="宋体" w:hAnsi="宋体" w:cs="宋体"/>
                <w:szCs w:val="21"/>
              </w:rPr>
            </w:pPr>
            <w:r>
              <w:rPr>
                <w:rFonts w:ascii="宋体" w:hAnsi="宋体" w:cs="宋体"/>
                <w:szCs w:val="21"/>
              </w:rPr>
            </w:r>
            <w:r/>
          </w:p>
        </w:tc>
        <w:tc>
          <w:tcPr>
            <w:tcW w:w="145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val="false"/>
          </w:tcPr>
          <w:p>
            <w:pPr>
              <w:jc w:val="center"/>
              <w:rPr>
                <w:rFonts w:ascii="宋体" w:hAnsi="宋体" w:cs="宋体"/>
                <w:szCs w:val="21"/>
              </w:rPr>
            </w:pPr>
            <w:r>
              <w:rPr>
                <w:rFonts w:ascii="宋体" w:hAnsi="宋体" w:cs="宋体"/>
                <w:szCs w:val="21"/>
              </w:rPr>
            </w:r>
            <w:r/>
          </w:p>
        </w:tc>
        <w:tc>
          <w:tcPr>
            <w:tcW w:w="1652" w:type="dxa"/>
            <w:vAlign w:val="center"/>
            <w:textDirection w:val="lrTb"/>
            <w:noWrap w:val="false"/>
          </w:tcPr>
          <w:p>
            <w:pPr>
              <w:jc w:val="center"/>
              <w:rPr>
                <w:rFonts w:ascii="宋体" w:hAnsi="宋体" w:cs="宋体"/>
                <w:szCs w:val="21"/>
              </w:rPr>
            </w:pPr>
            <w:r>
              <w:rPr>
                <w:rFonts w:ascii="宋体" w:hAnsi="宋体" w:cs="宋体"/>
                <w:szCs w:val="21"/>
              </w:rPr>
            </w:r>
            <w:r/>
          </w:p>
        </w:tc>
        <w:tc>
          <w:tcPr>
            <w:tcW w:w="1059" w:type="dxa"/>
            <w:vAlign w:val="center"/>
            <w:textDirection w:val="lrTb"/>
            <w:noWrap w:val="false"/>
          </w:tcPr>
          <w:p>
            <w:pPr>
              <w:jc w:val="center"/>
              <w:rPr>
                <w:rFonts w:ascii="宋体" w:hAnsi="宋体" w:cs="宋体"/>
                <w:szCs w:val="21"/>
              </w:rPr>
            </w:pPr>
            <w:r>
              <w:rPr>
                <w:rFonts w:ascii="宋体" w:hAnsi="宋体" w:cs="宋体"/>
                <w:szCs w:val="21"/>
              </w:rPr>
            </w:r>
            <w:r/>
          </w:p>
        </w:tc>
        <w:tc>
          <w:tcPr>
            <w:tcW w:w="1034" w:type="dxa"/>
            <w:vAlign w:val="center"/>
            <w:textDirection w:val="lrTb"/>
            <w:noWrap w:val="false"/>
          </w:tcPr>
          <w:p>
            <w:pPr>
              <w:jc w:val="center"/>
              <w:rPr>
                <w:rFonts w:ascii="宋体" w:hAnsi="宋体" w:cs="宋体"/>
                <w:szCs w:val="21"/>
              </w:rPr>
            </w:pPr>
            <w:r>
              <w:rPr>
                <w:rFonts w:ascii="宋体" w:hAnsi="宋体" w:cs="宋体"/>
                <w:szCs w:val="21"/>
              </w:rPr>
            </w:r>
            <w:r/>
          </w:p>
        </w:tc>
        <w:tc>
          <w:tcPr>
            <w:tcW w:w="869" w:type="dxa"/>
            <w:vAlign w:val="center"/>
            <w:textDirection w:val="lrTb"/>
            <w:noWrap w:val="false"/>
          </w:tcPr>
          <w:p>
            <w:pPr>
              <w:jc w:val="center"/>
              <w:rPr>
                <w:rFonts w:ascii="宋体" w:hAnsi="宋体" w:cs="宋体"/>
                <w:szCs w:val="21"/>
              </w:rPr>
            </w:pPr>
            <w:r>
              <w:rPr>
                <w:rFonts w:ascii="宋体" w:hAnsi="宋体" w:cs="宋体"/>
                <w:szCs w:val="21"/>
              </w:rPr>
            </w:r>
            <w:r/>
          </w:p>
        </w:tc>
        <w:tc>
          <w:tcPr>
            <w:tcW w:w="1764" w:type="dxa"/>
            <w:vAlign w:val="center"/>
            <w:textDirection w:val="lrTb"/>
            <w:noWrap w:val="false"/>
          </w:tcPr>
          <w:p>
            <w:pPr>
              <w:jc w:val="center"/>
              <w:rPr>
                <w:rFonts w:ascii="宋体" w:hAnsi="宋体" w:cs="宋体"/>
                <w:szCs w:val="21"/>
              </w:rPr>
            </w:pPr>
            <w:r>
              <w:rPr>
                <w:rFonts w:ascii="宋体" w:hAnsi="宋体" w:cs="宋体"/>
                <w:szCs w:val="21"/>
              </w:rPr>
            </w:r>
            <w:r/>
          </w:p>
        </w:tc>
        <w:tc>
          <w:tcPr>
            <w:tcW w:w="1116" w:type="dxa"/>
            <w:vAlign w:val="center"/>
            <w:textDirection w:val="lrTb"/>
            <w:noWrap w:val="false"/>
          </w:tcPr>
          <w:p>
            <w:pPr>
              <w:jc w:val="center"/>
              <w:rPr>
                <w:rFonts w:ascii="宋体" w:hAnsi="宋体" w:cs="宋体"/>
                <w:szCs w:val="21"/>
              </w:rPr>
            </w:pPr>
            <w:r>
              <w:rPr>
                <w:rFonts w:ascii="宋体" w:hAnsi="宋体" w:cs="宋体"/>
                <w:szCs w:val="21"/>
              </w:rPr>
            </w:r>
            <w:r/>
          </w:p>
        </w:tc>
        <w:tc>
          <w:tcPr>
            <w:tcW w:w="145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val="false"/>
          </w:tcPr>
          <w:p>
            <w:pPr>
              <w:jc w:val="center"/>
              <w:rPr>
                <w:rFonts w:ascii="宋体" w:hAnsi="宋体" w:cs="宋体"/>
                <w:szCs w:val="21"/>
              </w:rPr>
            </w:pPr>
            <w:r>
              <w:rPr>
                <w:rFonts w:ascii="宋体" w:hAnsi="宋体" w:cs="宋体"/>
                <w:szCs w:val="21"/>
              </w:rPr>
            </w:r>
            <w:r/>
          </w:p>
        </w:tc>
        <w:tc>
          <w:tcPr>
            <w:tcW w:w="1652" w:type="dxa"/>
            <w:vAlign w:val="center"/>
            <w:textDirection w:val="lrTb"/>
            <w:noWrap w:val="false"/>
          </w:tcPr>
          <w:p>
            <w:pPr>
              <w:jc w:val="center"/>
              <w:rPr>
                <w:rFonts w:ascii="宋体" w:hAnsi="宋体" w:cs="宋体"/>
                <w:szCs w:val="21"/>
              </w:rPr>
            </w:pPr>
            <w:r>
              <w:rPr>
                <w:rFonts w:ascii="宋体" w:hAnsi="宋体" w:cs="宋体"/>
                <w:szCs w:val="21"/>
              </w:rPr>
            </w:r>
            <w:r/>
          </w:p>
        </w:tc>
        <w:tc>
          <w:tcPr>
            <w:tcW w:w="1059" w:type="dxa"/>
            <w:vAlign w:val="center"/>
            <w:textDirection w:val="lrTb"/>
            <w:noWrap w:val="false"/>
          </w:tcPr>
          <w:p>
            <w:pPr>
              <w:jc w:val="center"/>
              <w:rPr>
                <w:rFonts w:ascii="宋体" w:hAnsi="宋体" w:cs="宋体"/>
                <w:szCs w:val="21"/>
              </w:rPr>
            </w:pPr>
            <w:r>
              <w:rPr>
                <w:rFonts w:ascii="宋体" w:hAnsi="宋体" w:cs="宋体"/>
                <w:szCs w:val="21"/>
              </w:rPr>
            </w:r>
            <w:r/>
          </w:p>
        </w:tc>
        <w:tc>
          <w:tcPr>
            <w:tcW w:w="1034" w:type="dxa"/>
            <w:vAlign w:val="center"/>
            <w:textDirection w:val="lrTb"/>
            <w:noWrap w:val="false"/>
          </w:tcPr>
          <w:p>
            <w:pPr>
              <w:jc w:val="center"/>
              <w:rPr>
                <w:rFonts w:ascii="宋体" w:hAnsi="宋体" w:cs="宋体"/>
                <w:szCs w:val="21"/>
              </w:rPr>
            </w:pPr>
            <w:r>
              <w:rPr>
                <w:rFonts w:ascii="宋体" w:hAnsi="宋体" w:cs="宋体"/>
                <w:szCs w:val="21"/>
              </w:rPr>
            </w:r>
            <w:r/>
          </w:p>
        </w:tc>
        <w:tc>
          <w:tcPr>
            <w:tcW w:w="869" w:type="dxa"/>
            <w:vAlign w:val="center"/>
            <w:textDirection w:val="lrTb"/>
            <w:noWrap w:val="false"/>
          </w:tcPr>
          <w:p>
            <w:pPr>
              <w:jc w:val="center"/>
              <w:rPr>
                <w:rFonts w:ascii="宋体" w:hAnsi="宋体" w:cs="宋体"/>
                <w:szCs w:val="21"/>
              </w:rPr>
            </w:pPr>
            <w:r>
              <w:rPr>
                <w:rFonts w:ascii="宋体" w:hAnsi="宋体" w:cs="宋体"/>
                <w:szCs w:val="21"/>
              </w:rPr>
            </w:r>
            <w:r/>
          </w:p>
        </w:tc>
        <w:tc>
          <w:tcPr>
            <w:tcW w:w="1764" w:type="dxa"/>
            <w:vAlign w:val="center"/>
            <w:textDirection w:val="lrTb"/>
            <w:noWrap w:val="false"/>
          </w:tcPr>
          <w:p>
            <w:pPr>
              <w:jc w:val="center"/>
              <w:rPr>
                <w:rFonts w:ascii="宋体" w:hAnsi="宋体" w:cs="宋体"/>
                <w:szCs w:val="21"/>
              </w:rPr>
            </w:pPr>
            <w:r>
              <w:rPr>
                <w:rFonts w:ascii="宋体" w:hAnsi="宋体" w:cs="宋体"/>
                <w:szCs w:val="21"/>
              </w:rPr>
            </w:r>
            <w:r/>
          </w:p>
        </w:tc>
        <w:tc>
          <w:tcPr>
            <w:tcW w:w="1116" w:type="dxa"/>
            <w:vAlign w:val="center"/>
            <w:textDirection w:val="lrTb"/>
            <w:noWrap w:val="false"/>
          </w:tcPr>
          <w:p>
            <w:pPr>
              <w:jc w:val="center"/>
              <w:rPr>
                <w:rFonts w:ascii="宋体" w:hAnsi="宋体" w:cs="宋体"/>
                <w:szCs w:val="21"/>
              </w:rPr>
            </w:pPr>
            <w:r>
              <w:rPr>
                <w:rFonts w:ascii="宋体" w:hAnsi="宋体" w:cs="宋体"/>
                <w:szCs w:val="21"/>
              </w:rPr>
            </w:r>
            <w:r/>
          </w:p>
        </w:tc>
        <w:tc>
          <w:tcPr>
            <w:tcW w:w="145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val="false"/>
          </w:tcPr>
          <w:p>
            <w:pPr>
              <w:jc w:val="center"/>
              <w:rPr>
                <w:rFonts w:ascii="宋体" w:hAnsi="宋体" w:cs="宋体"/>
                <w:szCs w:val="21"/>
              </w:rPr>
            </w:pPr>
            <w:r>
              <w:rPr>
                <w:rFonts w:ascii="宋体" w:hAnsi="宋体" w:cs="宋体"/>
                <w:szCs w:val="21"/>
              </w:rPr>
            </w:r>
            <w:r/>
          </w:p>
        </w:tc>
        <w:tc>
          <w:tcPr>
            <w:tcW w:w="1652" w:type="dxa"/>
            <w:vAlign w:val="center"/>
            <w:textDirection w:val="lrTb"/>
            <w:noWrap w:val="false"/>
          </w:tcPr>
          <w:p>
            <w:pPr>
              <w:jc w:val="center"/>
              <w:rPr>
                <w:rFonts w:ascii="宋体" w:hAnsi="宋体" w:cs="宋体"/>
                <w:szCs w:val="21"/>
              </w:rPr>
            </w:pPr>
            <w:r>
              <w:rPr>
                <w:rFonts w:ascii="宋体" w:hAnsi="宋体" w:cs="宋体"/>
                <w:szCs w:val="21"/>
              </w:rPr>
            </w:r>
            <w:r/>
          </w:p>
        </w:tc>
        <w:tc>
          <w:tcPr>
            <w:tcW w:w="1059" w:type="dxa"/>
            <w:vAlign w:val="center"/>
            <w:textDirection w:val="lrTb"/>
            <w:noWrap w:val="false"/>
          </w:tcPr>
          <w:p>
            <w:pPr>
              <w:jc w:val="center"/>
              <w:rPr>
                <w:rFonts w:ascii="宋体" w:hAnsi="宋体" w:cs="宋体"/>
                <w:szCs w:val="21"/>
              </w:rPr>
            </w:pPr>
            <w:r>
              <w:rPr>
                <w:rFonts w:ascii="宋体" w:hAnsi="宋体" w:cs="宋体"/>
                <w:szCs w:val="21"/>
              </w:rPr>
            </w:r>
            <w:r/>
          </w:p>
        </w:tc>
        <w:tc>
          <w:tcPr>
            <w:tcW w:w="1034" w:type="dxa"/>
            <w:vAlign w:val="center"/>
            <w:textDirection w:val="lrTb"/>
            <w:noWrap w:val="false"/>
          </w:tcPr>
          <w:p>
            <w:pPr>
              <w:jc w:val="center"/>
              <w:rPr>
                <w:rFonts w:ascii="宋体" w:hAnsi="宋体" w:cs="宋体"/>
                <w:szCs w:val="21"/>
              </w:rPr>
            </w:pPr>
            <w:r>
              <w:rPr>
                <w:rFonts w:ascii="宋体" w:hAnsi="宋体" w:cs="宋体"/>
                <w:szCs w:val="21"/>
              </w:rPr>
            </w:r>
            <w:r/>
          </w:p>
        </w:tc>
        <w:tc>
          <w:tcPr>
            <w:tcW w:w="869" w:type="dxa"/>
            <w:vAlign w:val="center"/>
            <w:textDirection w:val="lrTb"/>
            <w:noWrap w:val="false"/>
          </w:tcPr>
          <w:p>
            <w:pPr>
              <w:jc w:val="center"/>
              <w:rPr>
                <w:rFonts w:ascii="宋体" w:hAnsi="宋体" w:cs="宋体"/>
                <w:szCs w:val="21"/>
              </w:rPr>
            </w:pPr>
            <w:r>
              <w:rPr>
                <w:rFonts w:ascii="宋体" w:hAnsi="宋体" w:cs="宋体"/>
                <w:szCs w:val="21"/>
              </w:rPr>
            </w:r>
            <w:r/>
          </w:p>
        </w:tc>
        <w:tc>
          <w:tcPr>
            <w:tcW w:w="1764" w:type="dxa"/>
            <w:vAlign w:val="center"/>
            <w:textDirection w:val="lrTb"/>
            <w:noWrap w:val="false"/>
          </w:tcPr>
          <w:p>
            <w:pPr>
              <w:jc w:val="center"/>
              <w:rPr>
                <w:rFonts w:ascii="宋体" w:hAnsi="宋体" w:cs="宋体"/>
                <w:szCs w:val="21"/>
              </w:rPr>
            </w:pPr>
            <w:r>
              <w:rPr>
                <w:rFonts w:ascii="宋体" w:hAnsi="宋体" w:cs="宋体"/>
                <w:szCs w:val="21"/>
              </w:rPr>
            </w:r>
            <w:r/>
          </w:p>
        </w:tc>
        <w:tc>
          <w:tcPr>
            <w:tcW w:w="1116" w:type="dxa"/>
            <w:vAlign w:val="center"/>
            <w:textDirection w:val="lrTb"/>
            <w:noWrap w:val="false"/>
          </w:tcPr>
          <w:p>
            <w:pPr>
              <w:jc w:val="center"/>
              <w:rPr>
                <w:rFonts w:ascii="宋体" w:hAnsi="宋体" w:cs="宋体"/>
                <w:szCs w:val="21"/>
              </w:rPr>
            </w:pPr>
            <w:r>
              <w:rPr>
                <w:rFonts w:ascii="宋体" w:hAnsi="宋体" w:cs="宋体"/>
                <w:szCs w:val="21"/>
              </w:rPr>
            </w:r>
            <w:r/>
          </w:p>
        </w:tc>
        <w:tc>
          <w:tcPr>
            <w:tcW w:w="145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val="false"/>
          </w:tcPr>
          <w:p>
            <w:pPr>
              <w:jc w:val="center"/>
              <w:rPr>
                <w:rFonts w:ascii="宋体" w:hAnsi="宋体" w:cs="宋体"/>
                <w:szCs w:val="21"/>
              </w:rPr>
            </w:pPr>
            <w:r>
              <w:rPr>
                <w:rFonts w:ascii="宋体" w:hAnsi="宋体" w:cs="宋体"/>
                <w:szCs w:val="21"/>
              </w:rPr>
            </w:r>
            <w:r/>
          </w:p>
        </w:tc>
        <w:tc>
          <w:tcPr>
            <w:tcW w:w="1652" w:type="dxa"/>
            <w:vAlign w:val="center"/>
            <w:textDirection w:val="lrTb"/>
            <w:noWrap w:val="false"/>
          </w:tcPr>
          <w:p>
            <w:pPr>
              <w:jc w:val="center"/>
              <w:rPr>
                <w:rFonts w:ascii="宋体" w:hAnsi="宋体" w:cs="宋体"/>
                <w:szCs w:val="21"/>
              </w:rPr>
            </w:pPr>
            <w:r>
              <w:rPr>
                <w:rFonts w:ascii="宋体" w:hAnsi="宋体" w:cs="宋体"/>
                <w:szCs w:val="21"/>
              </w:rPr>
            </w:r>
            <w:r/>
          </w:p>
        </w:tc>
        <w:tc>
          <w:tcPr>
            <w:tcW w:w="1059" w:type="dxa"/>
            <w:vAlign w:val="center"/>
            <w:textDirection w:val="lrTb"/>
            <w:noWrap w:val="false"/>
          </w:tcPr>
          <w:p>
            <w:pPr>
              <w:jc w:val="center"/>
              <w:rPr>
                <w:rFonts w:ascii="宋体" w:hAnsi="宋体" w:cs="宋体"/>
                <w:szCs w:val="21"/>
              </w:rPr>
            </w:pPr>
            <w:r>
              <w:rPr>
                <w:rFonts w:ascii="宋体" w:hAnsi="宋体" w:cs="宋体"/>
                <w:szCs w:val="21"/>
              </w:rPr>
            </w:r>
            <w:r/>
          </w:p>
        </w:tc>
        <w:tc>
          <w:tcPr>
            <w:tcW w:w="1034" w:type="dxa"/>
            <w:vAlign w:val="center"/>
            <w:textDirection w:val="lrTb"/>
            <w:noWrap w:val="false"/>
          </w:tcPr>
          <w:p>
            <w:pPr>
              <w:jc w:val="center"/>
              <w:rPr>
                <w:rFonts w:ascii="宋体" w:hAnsi="宋体" w:cs="宋体"/>
                <w:szCs w:val="21"/>
              </w:rPr>
            </w:pPr>
            <w:r>
              <w:rPr>
                <w:rFonts w:ascii="宋体" w:hAnsi="宋体" w:cs="宋体"/>
                <w:szCs w:val="21"/>
              </w:rPr>
            </w:r>
            <w:r/>
          </w:p>
        </w:tc>
        <w:tc>
          <w:tcPr>
            <w:tcW w:w="869" w:type="dxa"/>
            <w:vAlign w:val="center"/>
            <w:textDirection w:val="lrTb"/>
            <w:noWrap w:val="false"/>
          </w:tcPr>
          <w:p>
            <w:pPr>
              <w:jc w:val="center"/>
              <w:rPr>
                <w:rFonts w:ascii="宋体" w:hAnsi="宋体" w:cs="宋体"/>
                <w:szCs w:val="21"/>
              </w:rPr>
            </w:pPr>
            <w:r>
              <w:rPr>
                <w:rFonts w:ascii="宋体" w:hAnsi="宋体" w:cs="宋体"/>
                <w:szCs w:val="21"/>
              </w:rPr>
            </w:r>
            <w:r/>
          </w:p>
        </w:tc>
        <w:tc>
          <w:tcPr>
            <w:tcW w:w="1764" w:type="dxa"/>
            <w:vAlign w:val="center"/>
            <w:textDirection w:val="lrTb"/>
            <w:noWrap w:val="false"/>
          </w:tcPr>
          <w:p>
            <w:pPr>
              <w:jc w:val="center"/>
              <w:rPr>
                <w:rFonts w:ascii="宋体" w:hAnsi="宋体" w:cs="宋体"/>
                <w:szCs w:val="21"/>
              </w:rPr>
            </w:pPr>
            <w:r>
              <w:rPr>
                <w:rFonts w:ascii="宋体" w:hAnsi="宋体" w:cs="宋体"/>
                <w:szCs w:val="21"/>
              </w:rPr>
            </w:r>
            <w:r/>
          </w:p>
        </w:tc>
        <w:tc>
          <w:tcPr>
            <w:tcW w:w="1116" w:type="dxa"/>
            <w:vAlign w:val="center"/>
            <w:textDirection w:val="lrTb"/>
            <w:noWrap w:val="false"/>
          </w:tcPr>
          <w:p>
            <w:pPr>
              <w:jc w:val="center"/>
              <w:rPr>
                <w:rFonts w:ascii="宋体" w:hAnsi="宋体" w:cs="宋体"/>
                <w:szCs w:val="21"/>
              </w:rPr>
            </w:pPr>
            <w:r>
              <w:rPr>
                <w:rFonts w:ascii="宋体" w:hAnsi="宋体" w:cs="宋体"/>
                <w:szCs w:val="21"/>
              </w:rPr>
            </w:r>
            <w:r/>
          </w:p>
        </w:tc>
        <w:tc>
          <w:tcPr>
            <w:tcW w:w="145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val="false"/>
          </w:tcPr>
          <w:p>
            <w:pPr>
              <w:jc w:val="center"/>
              <w:rPr>
                <w:rFonts w:ascii="宋体" w:hAnsi="宋体" w:cs="宋体"/>
                <w:szCs w:val="21"/>
              </w:rPr>
            </w:pPr>
            <w:r>
              <w:rPr>
                <w:rFonts w:ascii="宋体" w:hAnsi="宋体" w:cs="宋体"/>
                <w:szCs w:val="21"/>
              </w:rPr>
            </w:r>
            <w:r/>
          </w:p>
        </w:tc>
        <w:tc>
          <w:tcPr>
            <w:tcW w:w="1652" w:type="dxa"/>
            <w:vAlign w:val="center"/>
            <w:textDirection w:val="lrTb"/>
            <w:noWrap w:val="false"/>
          </w:tcPr>
          <w:p>
            <w:pPr>
              <w:jc w:val="center"/>
              <w:rPr>
                <w:rFonts w:ascii="宋体" w:hAnsi="宋体" w:cs="宋体"/>
                <w:szCs w:val="21"/>
              </w:rPr>
            </w:pPr>
            <w:r>
              <w:rPr>
                <w:rFonts w:ascii="宋体" w:hAnsi="宋体" w:cs="宋体"/>
                <w:szCs w:val="21"/>
              </w:rPr>
            </w:r>
            <w:r/>
          </w:p>
        </w:tc>
        <w:tc>
          <w:tcPr>
            <w:tcW w:w="1059" w:type="dxa"/>
            <w:vAlign w:val="center"/>
            <w:textDirection w:val="lrTb"/>
            <w:noWrap w:val="false"/>
          </w:tcPr>
          <w:p>
            <w:pPr>
              <w:jc w:val="center"/>
              <w:rPr>
                <w:rFonts w:ascii="宋体" w:hAnsi="宋体" w:cs="宋体"/>
                <w:szCs w:val="21"/>
              </w:rPr>
            </w:pPr>
            <w:r>
              <w:rPr>
                <w:rFonts w:ascii="宋体" w:hAnsi="宋体" w:cs="宋体"/>
                <w:szCs w:val="21"/>
              </w:rPr>
            </w:r>
            <w:r/>
          </w:p>
        </w:tc>
        <w:tc>
          <w:tcPr>
            <w:tcW w:w="1034" w:type="dxa"/>
            <w:vAlign w:val="center"/>
            <w:textDirection w:val="lrTb"/>
            <w:noWrap w:val="false"/>
          </w:tcPr>
          <w:p>
            <w:pPr>
              <w:jc w:val="center"/>
              <w:rPr>
                <w:rFonts w:ascii="宋体" w:hAnsi="宋体" w:cs="宋体"/>
                <w:szCs w:val="21"/>
              </w:rPr>
            </w:pPr>
            <w:r>
              <w:rPr>
                <w:rFonts w:ascii="宋体" w:hAnsi="宋体" w:cs="宋体"/>
                <w:szCs w:val="21"/>
              </w:rPr>
            </w:r>
            <w:r/>
          </w:p>
        </w:tc>
        <w:tc>
          <w:tcPr>
            <w:tcW w:w="869" w:type="dxa"/>
            <w:vAlign w:val="center"/>
            <w:textDirection w:val="lrTb"/>
            <w:noWrap w:val="false"/>
          </w:tcPr>
          <w:p>
            <w:pPr>
              <w:jc w:val="center"/>
              <w:rPr>
                <w:rFonts w:ascii="宋体" w:hAnsi="宋体" w:cs="宋体"/>
                <w:szCs w:val="21"/>
              </w:rPr>
            </w:pPr>
            <w:r>
              <w:rPr>
                <w:rFonts w:ascii="宋体" w:hAnsi="宋体" w:cs="宋体"/>
                <w:szCs w:val="21"/>
              </w:rPr>
            </w:r>
            <w:r/>
          </w:p>
        </w:tc>
        <w:tc>
          <w:tcPr>
            <w:tcW w:w="1764" w:type="dxa"/>
            <w:vAlign w:val="center"/>
            <w:textDirection w:val="lrTb"/>
            <w:noWrap w:val="false"/>
          </w:tcPr>
          <w:p>
            <w:pPr>
              <w:jc w:val="center"/>
              <w:rPr>
                <w:rFonts w:ascii="宋体" w:hAnsi="宋体" w:cs="宋体"/>
                <w:szCs w:val="21"/>
              </w:rPr>
            </w:pPr>
            <w:r>
              <w:rPr>
                <w:rFonts w:ascii="宋体" w:hAnsi="宋体" w:cs="宋体"/>
                <w:szCs w:val="21"/>
              </w:rPr>
            </w:r>
            <w:r/>
          </w:p>
        </w:tc>
        <w:tc>
          <w:tcPr>
            <w:tcW w:w="1116" w:type="dxa"/>
            <w:vAlign w:val="center"/>
            <w:textDirection w:val="lrTb"/>
            <w:noWrap w:val="false"/>
          </w:tcPr>
          <w:p>
            <w:pPr>
              <w:jc w:val="center"/>
              <w:rPr>
                <w:rFonts w:ascii="宋体" w:hAnsi="宋体" w:cs="宋体"/>
                <w:szCs w:val="21"/>
              </w:rPr>
            </w:pPr>
            <w:r>
              <w:rPr>
                <w:rFonts w:ascii="宋体" w:hAnsi="宋体" w:cs="宋体"/>
                <w:szCs w:val="21"/>
              </w:rPr>
            </w:r>
            <w:r/>
          </w:p>
        </w:tc>
        <w:tc>
          <w:tcPr>
            <w:tcW w:w="1458"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磋商响应单位（盖章）：  </w:t>
      </w:r>
      <w:r/>
    </w:p>
    <w:p>
      <w:pPr>
        <w:spacing w:line="360" w:lineRule="auto"/>
        <w:rPr>
          <w:rFonts w:ascii="宋体" w:hAnsi="宋体" w:cs="宋体"/>
          <w:spacing w:val="20"/>
          <w:szCs w:val="21"/>
        </w:rPr>
      </w:pPr>
      <w:r>
        <w:rPr>
          <w:rFonts w:hint="eastAsia" w:ascii="宋体" w:hAnsi="宋体" w:cs="宋体"/>
          <w:spacing w:val="20"/>
          <w:szCs w:val="21"/>
        </w:rPr>
        <w:t xml:space="preserve">法定代表人或委托代理人：（签字或盖章）</w:t>
      </w:r>
      <w:r/>
    </w:p>
    <w:p>
      <w:pPr>
        <w:spacing w:line="360" w:lineRule="auto"/>
        <w:rPr>
          <w:rFonts w:ascii="宋体" w:hAnsi="宋体" w:cs="宋体"/>
          <w:spacing w:val="20"/>
          <w:szCs w:val="21"/>
        </w:rPr>
      </w:pPr>
      <w:r>
        <w:rPr>
          <w:rFonts w:hint="eastAsia" w:ascii="宋体" w:hAnsi="宋体" w:cs="宋体"/>
          <w:spacing w:val="20"/>
          <w:szCs w:val="21"/>
        </w:rPr>
        <w:t xml:space="preserve">日期：</w:t>
      </w:r>
      <w:r>
        <w:rPr>
          <w:rFonts w:hint="eastAsia" w:ascii="宋体" w:hAnsi="宋体" w:cs="宋体"/>
          <w:szCs w:val="21"/>
        </w:rPr>
        <w:t xml:space="preserve">年 月 日</w:t>
      </w:r>
      <w:r/>
    </w:p>
    <w:p>
      <w:pPr>
        <w:pageBreakBefore/>
        <w:spacing w:line="360" w:lineRule="auto"/>
        <w:rPr>
          <w:rFonts w:ascii="宋体" w:hAnsi="宋体" w:cs="宋体"/>
          <w:b/>
        </w:rPr>
      </w:pPr>
      <w:r>
        <w:rPr>
          <w:rFonts w:hint="eastAsia" w:ascii="宋体" w:hAnsi="宋体" w:cs="宋体"/>
          <w:b/>
        </w:rPr>
        <w:t xml:space="preserve">附件10：类似项目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02"/>
        <w:gridCol w:w="1785"/>
        <w:gridCol w:w="1785"/>
        <w:gridCol w:w="2122"/>
        <w:gridCol w:w="1868"/>
        <w:gridCol w:w="1032"/>
      </w:tblGrid>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6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right w:val="single" w:color="auto" w:sz="4" w:space="0"/>
            </w:tcBorders>
            <w:tcW w:w="195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1061"/>
        <w:spacing w:line="360" w:lineRule="auto"/>
        <w:rPr>
          <w:rFonts w:hAnsi="宋体" w:eastAsia="宋体" w:cs="宋体"/>
          <w:sz w:val="21"/>
          <w:szCs w:val="21"/>
        </w:rPr>
      </w:pPr>
      <w:r>
        <w:rPr>
          <w:rFonts w:hint="eastAsia" w:hAnsi="宋体" w:eastAsia="宋体" w:cs="宋体"/>
          <w:sz w:val="21"/>
          <w:szCs w:val="21"/>
        </w:rPr>
        <w:t xml:space="preserve">磋商响应单位（盖章）：</w:t>
      </w:r>
      <w:r/>
    </w:p>
    <w:p>
      <w:pPr>
        <w:pStyle w:val="1061"/>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1061"/>
        <w:spacing w:line="360" w:lineRule="auto"/>
        <w:rPr>
          <w:rFonts w:hAnsi="宋体" w:eastAsia="宋体" w:cs="宋体"/>
          <w:sz w:val="21"/>
          <w:szCs w:val="21"/>
        </w:rPr>
      </w:pPr>
      <w:r>
        <w:rPr>
          <w:rFonts w:hint="eastAsia" w:hAnsi="宋体" w:eastAsia="宋体" w:cs="宋体"/>
          <w:sz w:val="21"/>
          <w:szCs w:val="21"/>
        </w:rPr>
        <w:t xml:space="preserve">日期：年 月 日</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附件11：中小企业声明函（参考格式）</w:t>
      </w:r>
      <w:r/>
    </w:p>
    <w:p>
      <w:pPr>
        <w:jc w:val="center"/>
        <w:spacing w:line="400" w:lineRule="exact"/>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企业名称（盖章）：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846"/>
        <w:ind w:firstLine="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846"/>
        <w:ind w:firstLine="630"/>
        <w:spacing w:line="240" w:lineRule="auto"/>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846"/>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846"/>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34"/>
        <w:ind w:left="840" w:hanging="210"/>
        <w:spacing w:line="360" w:lineRule="auto"/>
        <w:rPr>
          <w:rFonts w:hAnsi="宋体" w:eastAsia="宋体" w:cs="宋体"/>
          <w:sz w:val="21"/>
          <w:szCs w:val="24"/>
          <w:lang w:val="zh-CN"/>
        </w:r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pStyle w:val="1034"/>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w:t>
      </w:r>
      <w:r>
        <w:rPr>
          <w:rFonts w:hint="eastAsia" w:ascii="宋体" w:hAnsi="宋体"/>
        </w:rPr>
        <w:t xml:space="preserve">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34"/>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pStyle w:val="1034"/>
        <w:ind w:left="840" w:hanging="210"/>
        <w:spacing w:line="360" w:lineRule="auto"/>
        <w:rPr>
          <w:rFonts w:hAnsi="宋体" w:eastAsia="宋体" w:cs="宋体"/>
          <w:sz w:val="21"/>
          <w:szCs w:val="21"/>
          <w:lang w:val="zh-CN"/>
        </w:rPr>
      </w:pPr>
      <w:r>
        <w:rPr>
          <w:rFonts w:hAnsi="宋体" w:eastAsia="宋体" w:cs="宋体"/>
          <w:sz w:val="21"/>
          <w:szCs w:val="21"/>
          <w:lang w:val="zh-CN"/>
        </w:rPr>
      </w:r>
      <w:r/>
    </w:p>
    <w:p>
      <w:pPr>
        <w:pStyle w:val="1034"/>
        <w:ind w:left="840" w:hanging="210"/>
        <w:spacing w:line="360" w:lineRule="auto"/>
        <w:rPr>
          <w:rFonts w:hAnsi="宋体" w:eastAsia="宋体" w:cs="宋体"/>
          <w:sz w:val="21"/>
          <w:szCs w:val="21"/>
          <w:lang w:val="zh-CN"/>
        </w:rPr>
      </w:pPr>
      <w:r>
        <w:rPr>
          <w:rFonts w:hAnsi="宋体" w:eastAsia="宋体" w:cs="宋体"/>
          <w:sz w:val="21"/>
          <w:szCs w:val="21"/>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附件12：</w:t>
      </w:r>
      <w:r>
        <w:rPr>
          <w:rFonts w:hint="eastAsia" w:ascii="宋体" w:hAnsi="宋体" w:cs="宋体"/>
          <w:b/>
          <w:szCs w:val="21"/>
        </w:rPr>
        <w:t xml:space="preserve">残疾人福利性单位声明函</w:t>
      </w:r>
      <w:r/>
    </w:p>
    <w:p>
      <w:pPr>
        <w:jc w:val="center"/>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pacing w:val="6"/>
          <w:szCs w:val="21"/>
        </w:rPr>
      </w:pPr>
      <w:r>
        <w:rPr>
          <w:rFonts w:hint="eastAsia" w:ascii="宋体" w:hAnsi="宋体" w:cs="宋体"/>
          <w:b/>
          <w:spacing w:val="6"/>
          <w:szCs w:val="21"/>
        </w:rPr>
        <w:t xml:space="preserve">残疾人福利性单位声明函</w:t>
      </w:r>
      <w:r/>
    </w:p>
    <w:p>
      <w:pPr>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left="4200"/>
        <w:spacing w:line="360" w:lineRule="auto"/>
        <w:rPr>
          <w:rFonts w:ascii="宋体" w:hAnsi="宋体" w:cs="宋体"/>
        </w:rPr>
      </w:pPr>
      <w:r>
        <w:rPr>
          <w:rFonts w:hint="eastAsia" w:ascii="宋体" w:hAnsi="宋体" w:cs="宋体"/>
        </w:rPr>
        <w:t xml:space="preserve">单位名称（盖章）：</w:t>
      </w:r>
      <w:r/>
    </w:p>
    <w:p>
      <w:pPr>
        <w:ind w:left="4200"/>
        <w:spacing w:line="360" w:lineRule="auto"/>
        <w:rPr>
          <w:rFonts w:ascii="宋体" w:hAnsi="宋体" w:cs="宋体"/>
        </w:rPr>
      </w:pPr>
      <w:r>
        <w:rPr>
          <w:rFonts w:hint="eastAsia" w:ascii="宋体" w:hAnsi="宋体" w:cs="宋体"/>
        </w:rPr>
        <w:t xml:space="preserve">日  期：</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spacing w:line="360" w:lineRule="auto"/>
        <w:rPr>
          <w:rFonts w:ascii="宋体" w:hAnsi="宋体" w:cs="宋体"/>
          <w:spacing w:val="6"/>
          <w:szCs w:val="21"/>
        </w:rPr>
      </w:pPr>
      <w:r>
        <w:rPr>
          <w:rFonts w:hint="eastAsia" w:ascii="宋体" w:hAnsi="宋体" w:cs="宋体"/>
          <w:spacing w:val="6"/>
          <w:szCs w:val="21"/>
        </w:rPr>
        <w:t xml:space="preserve">备注：1、</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p>
      <w:pPr>
        <w:jc w:val="center"/>
        <w:spacing w:line="360" w:lineRule="auto"/>
        <w:widowControl/>
        <w:rPr>
          <w:rFonts w:hAnsi="宋体"/>
          <w:b/>
          <w:szCs w:val="21"/>
        </w:rPr>
      </w:pPr>
      <w:r>
        <w:rPr>
          <w:rFonts w:hAnsi="宋体"/>
          <w:b/>
          <w:szCs w:val="21"/>
        </w:rPr>
        <w:t xml:space="preserve">政府采购合同信用融资政策告知函</w:t>
      </w:r>
      <w:r/>
    </w:p>
    <w:p>
      <w:pPr>
        <w:ind w:firstLine="480"/>
        <w:spacing w:line="360" w:lineRule="auto"/>
        <w:widowControl/>
        <w:rPr>
          <w:rFonts w:hAnsi="宋体"/>
          <w:szCs w:val="21"/>
        </w:rPr>
      </w:pPr>
      <w:r>
        <w:rPr>
          <w:rFonts w:hAnsi="宋体"/>
          <w:szCs w:val="21"/>
        </w:rPr>
      </w:r>
      <w:r/>
    </w:p>
    <w:p>
      <w:pPr>
        <w:spacing w:line="360" w:lineRule="auto"/>
        <w:widowControl/>
        <w:rPr>
          <w:rFonts w:hAnsi="宋体"/>
          <w:szCs w:val="21"/>
        </w:rPr>
      </w:pPr>
      <w:r>
        <w:rPr>
          <w:rFonts w:hAnsi="宋体"/>
          <w:szCs w:val="21"/>
        </w:rPr>
        <w:t xml:space="preserve">各政府采购供应商：</w:t>
      </w:r>
      <w:r/>
    </w:p>
    <w:p>
      <w:pPr>
        <w:ind w:firstLine="420"/>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欢迎贵公司参加苏州市政府采购活动！</w:t>
      </w:r>
      <w:r/>
    </w:p>
    <w:p>
      <w:pPr>
        <w:ind w:firstLine="420"/>
        <w:spacing w:line="360" w:lineRule="auto"/>
        <w:rPr>
          <w:rFonts w:cs="宋体" w:asciiTheme="minorEastAsia" w:hAnsiTheme="minorEastAsia" w:eastAsiaTheme="minorEastAsia"/>
          <w:b/>
          <w:szCs w:val="21"/>
        </w:rPr>
      </w:pPr>
      <w:r>
        <w:rPr>
          <w:rFonts w:hint="eastAsia" w:asciiTheme="minorEastAsia" w:hAnsiTheme="minorEastAsia" w:eastAsiaTheme="minorEastAsia"/>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34"/>
        <w:spacing w:line="360" w:lineRule="auto"/>
        <w:rPr>
          <w:rFonts w:hAnsi="宋体" w:eastAsia="宋体" w:cs="宋体"/>
          <w:b/>
          <w:sz w:val="21"/>
          <w:szCs w:val="21"/>
        </w:rPr>
      </w:pPr>
      <w:r>
        <w:rPr>
          <w:rFonts w:hAnsi="宋体" w:eastAsia="宋体" w:cs="宋体"/>
          <w:b/>
          <w:sz w:val="21"/>
          <w:szCs w:val="21"/>
        </w:rPr>
      </w:r>
      <w:r/>
    </w:p>
    <w:p>
      <w:pPr>
        <w:pStyle w:val="834"/>
        <w:jc w:val="right"/>
        <w:spacing w:line="360" w:lineRule="auto"/>
        <w:rPr>
          <w:rFonts w:hAnsi="宋体" w:eastAsia="宋体" w:cs="宋体"/>
          <w:b/>
          <w:sz w:val="21"/>
          <w:szCs w:val="21"/>
        </w:rPr>
      </w:pPr>
      <w:r>
        <w:rPr>
          <w:rFonts w:hint="eastAsia" w:hAnsi="宋体" w:eastAsia="宋体" w:cs="宋体"/>
          <w:b/>
          <w:sz w:val="21"/>
          <w:szCs w:val="21"/>
        </w:rPr>
        <w:t xml:space="preserve">（全文完）</w:t>
      </w:r>
      <w:r/>
    </w:p>
    <w:p>
      <w:pPr>
        <w:pStyle w:val="834"/>
        <w:spacing w:line="360" w:lineRule="auto"/>
        <w:rPr>
          <w:rFonts w:hAnsi="宋体" w:eastAsia="宋体" w:cs="宋体"/>
          <w:b/>
          <w:sz w:val="21"/>
          <w:szCs w:val="21"/>
        </w:rPr>
      </w:pPr>
      <w:r>
        <w:rPr>
          <w:rFonts w:hAnsi="宋体" w:eastAsia="宋体" w:cs="宋体"/>
          <w:b/>
          <w:sz w:val="21"/>
          <w:szCs w:val="21"/>
        </w:rPr>
      </w:r>
      <w:r/>
    </w:p>
    <w:p>
      <w:pPr>
        <w:pStyle w:val="834"/>
        <w:spacing w:line="360" w:lineRule="auto"/>
        <w:rPr>
          <w:rFonts w:hAnsi="宋体" w:eastAsia="宋体" w:cs="宋体"/>
          <w:b/>
          <w:sz w:val="21"/>
          <w:szCs w:val="21"/>
        </w:rPr>
      </w:pPr>
      <w:r>
        <w:rPr>
          <w:rFonts w:hAnsi="宋体" w:eastAsia="宋体" w:cs="宋体"/>
          <w:b/>
          <w:sz w:val="21"/>
          <w:szCs w:val="21"/>
        </w:rPr>
      </w:r>
      <w:r/>
    </w:p>
    <w:sectPr>
      <w:footnotePr/>
      <w:endnotePr/>
      <w:type w:val="nextPage"/>
      <w:pgSz w:w="11906" w:h="16838" w:orient="portrait"/>
      <w:pgMar w:top="1134" w:right="1134" w:bottom="1134" w:left="1134"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Tahoma">
    <w:panose1 w:val="020B0604030504040204"/>
  </w:font>
  <w:font w:name="仿宋">
    <w:panose1 w:val="0201060906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w="6350">
                        <a:noFill/>
                      </a:ln>
                    </wps:spPr>
                    <wps:txbx>
                      <w:txbxContent>
                        <w:p>
                          <w:pPr>
                            <w:pStyle w:val="840"/>
                            <w:rPr>
                              <w:rFonts w:ascii="宋体" w:hAnsi="宋体" w:cs="宋体"/>
                            </w:rPr>
                          </w:pPr>
                          <w:r>
                            <w:rPr>
                              <w:rFonts w:ascii="宋体" w:hAnsi="宋体" w:cs="宋体"/>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strokeweight="0.50pt">
              <v:textbox inset="0,0,0,0">
                <w:txbxContent>
                  <w:p>
                    <w:pPr>
                      <w:pStyle w:val="840"/>
                      <w:rPr>
                        <w:rFonts w:ascii="宋体" w:hAnsi="宋体" w:cs="宋体"/>
                      </w:rPr>
                    </w:pPr>
                    <w:r>
                      <w:rPr>
                        <w:rFonts w:ascii="宋体" w:hAnsi="宋体" w:cs="宋体"/>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59"/>
      </w:rPr>
      <w:framePr w:wrap="around" w:vAnchor="text" w:hAnchor="margin" w:xAlign="center" w:y="1"/>
    </w:pPr>
    <w:r>
      <w:fldChar w:fldCharType="begin"/>
    </w:r>
    <w:r>
      <w:rPr>
        <w:rStyle w:val="859"/>
      </w:rPr>
      <w:instrText xml:space="preserve">PAGE  </w:instrText>
    </w:r>
    <w:r>
      <w:fldChar w:fldCharType="end"/>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4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40"/>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w="6350">
                        <a:noFill/>
                      </a:ln>
                    </wps:spPr>
                    <wps:txbx>
                      <w:txbxContent>
                        <w:p>
                          <w:pPr>
                            <w:pStyle w:val="840"/>
                            <w:rPr>
                              <w:rFonts w:ascii="宋体" w:hAnsi="宋体" w:cs="宋体"/>
                            </w:rPr>
                          </w:pPr>
                          <w:r>
                            <w:rPr>
                              <w:rFonts w:ascii="宋体" w:hAnsi="宋体" w:cs="宋体"/>
                            </w:rPr>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strokeweight="0.50pt">
              <v:textbox inset="0,0,0,0">
                <w:txbxContent>
                  <w:p>
                    <w:pPr>
                      <w:pStyle w:val="840"/>
                      <w:rPr>
                        <w:rFonts w:ascii="宋体" w:hAnsi="宋体" w:cs="宋体"/>
                      </w:rPr>
                    </w:pPr>
                    <w:r>
                      <w:rPr>
                        <w:rFonts w:ascii="宋体" w:hAnsi="宋体" w:cs="宋体"/>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left"/>
      <w:tabs>
        <w:tab w:val="right" w:pos="8820" w:leader="none"/>
      </w:tabs>
      <w:rPr>
        <w:rFonts w:ascii="宋体" w:hAnsi="宋体"/>
      </w:rPr>
    </w:pPr>
    <w:r>
      <w:rPr>
        <w:rFonts w:hint="eastAsia"/>
      </w:rPr>
      <w:t xml:space="preserve">苏州铭坤招投标咨询服务有限公司</w:t>
    </w:r>
    <w:r>
      <w:rPr>
        <w:rFonts w:hint="eastAsia" w:ascii="宋体" w:hAnsi="宋体"/>
      </w:rPr>
      <w:t xml:space="preserve">                                 采购编号：JSZC-320500-SZMK-C2026-0010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苏州铭坤招投标咨询服务有限公司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pStyle w:val="853"/>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
    <w:multiLevelType w:val="hybridMultilevel"/>
    <w:lvl w:ilvl="0">
      <w:start w:val="1"/>
      <w:numFmt w:val="japaneseCounting"/>
      <w:pStyle w:val="1036"/>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6 Char"/>
    <w:basedOn w:val="821"/>
    <w:link w:val="817"/>
    <w:uiPriority w:val="9"/>
    <w:rPr>
      <w:rFonts w:ascii="Arial" w:hAnsi="Arial" w:eastAsia="Arial" w:cs="Arial"/>
      <w:b/>
      <w:bCs/>
      <w:sz w:val="22"/>
      <w:szCs w:val="22"/>
    </w:rPr>
  </w:style>
  <w:style w:type="character" w:styleId="783">
    <w:name w:val="Heading 7 Char"/>
    <w:basedOn w:val="821"/>
    <w:link w:val="818"/>
    <w:uiPriority w:val="9"/>
    <w:rPr>
      <w:rFonts w:ascii="Arial" w:hAnsi="Arial" w:eastAsia="Arial" w:cs="Arial"/>
      <w:b/>
      <w:bCs/>
      <w:i/>
      <w:iCs/>
      <w:sz w:val="22"/>
      <w:szCs w:val="22"/>
    </w:rPr>
  </w:style>
  <w:style w:type="character" w:styleId="784">
    <w:name w:val="Heading 8 Char"/>
    <w:basedOn w:val="821"/>
    <w:link w:val="819"/>
    <w:uiPriority w:val="9"/>
    <w:rPr>
      <w:rFonts w:ascii="Arial" w:hAnsi="Arial" w:eastAsia="Arial" w:cs="Arial"/>
      <w:i/>
      <w:iCs/>
      <w:sz w:val="22"/>
      <w:szCs w:val="22"/>
    </w:rPr>
  </w:style>
  <w:style w:type="character" w:styleId="785">
    <w:name w:val="Heading 9 Char"/>
    <w:basedOn w:val="821"/>
    <w:link w:val="820"/>
    <w:uiPriority w:val="9"/>
    <w:rPr>
      <w:rFonts w:ascii="Arial" w:hAnsi="Arial" w:eastAsia="Arial" w:cs="Arial"/>
      <w:i/>
      <w:iCs/>
      <w:sz w:val="21"/>
      <w:szCs w:val="21"/>
    </w:rPr>
  </w:style>
  <w:style w:type="character" w:styleId="786">
    <w:name w:val="Subtitle Char"/>
    <w:basedOn w:val="821"/>
    <w:link w:val="845"/>
    <w:uiPriority w:val="11"/>
    <w:rPr>
      <w:sz w:val="24"/>
      <w:szCs w:val="24"/>
    </w:rPr>
  </w:style>
  <w:style w:type="character" w:styleId="787">
    <w:name w:val="Quote Char"/>
    <w:link w:val="877"/>
    <w:uiPriority w:val="29"/>
    <w:rPr>
      <w:i/>
    </w:rPr>
  </w:style>
  <w:style w:type="character" w:styleId="788">
    <w:name w:val="Intense Quote Char"/>
    <w:link w:val="879"/>
    <w:uiPriority w:val="30"/>
    <w:rPr>
      <w:i/>
    </w:rPr>
  </w:style>
  <w:style w:type="table" w:styleId="789">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8">
    <w:name w:val="Footnote Text Char"/>
    <w:link w:val="846"/>
    <w:uiPriority w:val="99"/>
    <w:rPr>
      <w:sz w:val="18"/>
    </w:rPr>
  </w:style>
  <w:style w:type="character" w:styleId="809">
    <w:name w:val="Endnote Text Char"/>
    <w:link w:val="838"/>
    <w:uiPriority w:val="99"/>
    <w:rPr>
      <w:sz w:val="20"/>
    </w:rPr>
  </w:style>
  <w:style w:type="paragraph" w:styleId="810">
    <w:name w:val="TOC Heading"/>
    <w:uiPriority w:val="39"/>
    <w:unhideWhenUsed/>
  </w:style>
  <w:style w:type="paragraph" w:styleId="811" w:default="1">
    <w:name w:val="Normal"/>
    <w:qFormat/>
    <w:pPr>
      <w:jc w:val="both"/>
      <w:widowControl w:val="off"/>
    </w:pPr>
    <w:rPr>
      <w:sz w:val="21"/>
      <w:szCs w:val="24"/>
    </w:rPr>
  </w:style>
  <w:style w:type="paragraph" w:styleId="812">
    <w:name w:val="Heading 1"/>
    <w:basedOn w:val="811"/>
    <w:next w:val="811"/>
    <w:link w:val="1013"/>
    <w:qFormat/>
    <w:pPr>
      <w:keepLines/>
      <w:keepNext/>
      <w:spacing w:before="340" w:after="330" w:line="578" w:lineRule="auto"/>
      <w:outlineLvl w:val="0"/>
    </w:pPr>
    <w:rPr>
      <w:b/>
      <w:bCs/>
      <w:sz w:val="44"/>
      <w:szCs w:val="44"/>
    </w:rPr>
  </w:style>
  <w:style w:type="paragraph" w:styleId="813">
    <w:name w:val="Heading 2"/>
    <w:basedOn w:val="811"/>
    <w:next w:val="811"/>
    <w:link w:val="1014"/>
    <w:qFormat/>
    <w:pPr>
      <w:keepLines/>
      <w:keepNext/>
      <w:spacing w:before="260" w:after="260" w:line="416" w:lineRule="auto"/>
      <w:outlineLvl w:val="1"/>
    </w:pPr>
    <w:rPr>
      <w:rFonts w:ascii="Cambria" w:hAnsi="Cambria"/>
      <w:b/>
      <w:bCs/>
      <w:sz w:val="32"/>
      <w:szCs w:val="32"/>
    </w:rPr>
  </w:style>
  <w:style w:type="paragraph" w:styleId="814">
    <w:name w:val="Heading 3"/>
    <w:basedOn w:val="811"/>
    <w:next w:val="811"/>
    <w:link w:val="1015"/>
    <w:qFormat/>
    <w:pPr>
      <w:keepLines/>
      <w:keepNext/>
      <w:spacing w:before="260" w:after="260" w:line="416" w:lineRule="auto"/>
      <w:outlineLvl w:val="2"/>
    </w:pPr>
    <w:rPr>
      <w:b/>
      <w:bCs/>
      <w:sz w:val="32"/>
      <w:szCs w:val="32"/>
    </w:rPr>
  </w:style>
  <w:style w:type="paragraph" w:styleId="815">
    <w:name w:val="Heading 4"/>
    <w:basedOn w:val="811"/>
    <w:next w:val="811"/>
    <w:link w:val="1023"/>
    <w:qFormat/>
    <w:pPr>
      <w:keepNext/>
      <w:spacing w:before="240" w:after="60"/>
      <w:outlineLvl w:val="3"/>
    </w:pPr>
    <w:rPr>
      <w:b/>
      <w:bCs/>
      <w:sz w:val="28"/>
      <w:szCs w:val="28"/>
    </w:rPr>
  </w:style>
  <w:style w:type="paragraph" w:styleId="816">
    <w:name w:val="Heading 5"/>
    <w:basedOn w:val="811"/>
    <w:next w:val="811"/>
    <w:link w:val="1018"/>
    <w:qFormat/>
    <w:pPr>
      <w:spacing w:before="240" w:after="60"/>
      <w:outlineLvl w:val="4"/>
    </w:pPr>
    <w:rPr>
      <w:b/>
      <w:bCs/>
      <w:i/>
      <w:iCs/>
      <w:sz w:val="26"/>
      <w:szCs w:val="26"/>
    </w:rPr>
  </w:style>
  <w:style w:type="paragraph" w:styleId="817">
    <w:name w:val="Heading 6"/>
    <w:basedOn w:val="811"/>
    <w:next w:val="811"/>
    <w:link w:val="871"/>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873"/>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874"/>
    <w:uiPriority w:val="9"/>
    <w:unhideWhenUsed/>
    <w:qFormat/>
    <w:pPr>
      <w:keepLines/>
      <w:keepNext/>
      <w:spacing w:before="320" w:after="200"/>
      <w:outlineLvl w:val="8"/>
    </w:pPr>
    <w:rPr>
      <w:rFonts w:ascii="Arial" w:hAnsi="Arial" w:eastAsia="Arial" w:cs="Arial"/>
      <w:i/>
      <w:iCs/>
      <w:szCs w:val="21"/>
    </w:rPr>
  </w:style>
  <w:style w:type="character" w:styleId="821" w:default="1">
    <w:name w:val="Default Paragraph Font"/>
    <w:uiPriority w:val="1"/>
    <w:semiHidden/>
    <w:unhideWhenUsed/>
  </w:style>
  <w:style w:type="table" w:styleId="822" w:default="1">
    <w:name w:val="Normal Table"/>
    <w:uiPriority w:val="99"/>
    <w:semiHidden/>
    <w:unhideWhenUsed/>
    <w:qFormat/>
    <w:tblPr>
      <w:tblInd w:w="0" w:type="dxa"/>
      <w:tblCellMar>
        <w:left w:w="108" w:type="dxa"/>
        <w:top w:w="0" w:type="dxa"/>
        <w:right w:w="108" w:type="dxa"/>
        <w:bottom w:w="0" w:type="dxa"/>
      </w:tblCellMar>
    </w:tblPr>
  </w:style>
  <w:style w:type="numbering" w:styleId="823" w:default="1">
    <w:name w:val="No List"/>
    <w:uiPriority w:val="99"/>
    <w:semiHidden/>
    <w:unhideWhenUsed/>
  </w:style>
  <w:style w:type="paragraph" w:styleId="824">
    <w:name w:val="toc 7"/>
    <w:basedOn w:val="811"/>
    <w:next w:val="811"/>
    <w:uiPriority w:val="39"/>
    <w:unhideWhenUsed/>
    <w:qFormat/>
    <w:pPr>
      <w:ind w:left="1701"/>
      <w:spacing w:after="57"/>
    </w:pPr>
  </w:style>
  <w:style w:type="paragraph" w:styleId="825">
    <w:name w:val="Normal Indent"/>
    <w:basedOn w:val="811"/>
    <w:next w:val="811"/>
    <w:link w:val="1017"/>
    <w:qFormat/>
    <w:pPr>
      <w:ind w:firstLine="420"/>
      <w:jc w:val="left"/>
      <w:widowControl/>
    </w:pPr>
    <w:rPr>
      <w:rFonts w:eastAsia="楷体_GB2312"/>
      <w:sz w:val="24"/>
      <w:szCs w:val="20"/>
    </w:rPr>
  </w:style>
  <w:style w:type="paragraph" w:styleId="826">
    <w:name w:val="Caption"/>
    <w:basedOn w:val="811"/>
    <w:next w:val="811"/>
    <w:uiPriority w:val="35"/>
    <w:semiHidden/>
    <w:unhideWhenUsed/>
    <w:qFormat/>
    <w:pPr>
      <w:spacing w:line="276" w:lineRule="auto"/>
    </w:pPr>
    <w:rPr>
      <w:b/>
      <w:bCs/>
      <w:color w:val="4f81bd" w:themeColor="accent1"/>
      <w:sz w:val="18"/>
      <w:szCs w:val="18"/>
    </w:rPr>
  </w:style>
  <w:style w:type="paragraph" w:styleId="827">
    <w:name w:val="Document Map"/>
    <w:basedOn w:val="811"/>
    <w:semiHidden/>
    <w:qFormat/>
    <w:pPr>
      <w:shd w:val="clear" w:color="auto" w:fill="000080"/>
    </w:pPr>
  </w:style>
  <w:style w:type="paragraph" w:styleId="828">
    <w:name w:val="annotation text"/>
    <w:basedOn w:val="811"/>
    <w:link w:val="1031"/>
    <w:uiPriority w:val="99"/>
    <w:qFormat/>
    <w:pPr>
      <w:jc w:val="left"/>
    </w:pPr>
  </w:style>
  <w:style w:type="paragraph" w:styleId="829">
    <w:name w:val="Body Text"/>
    <w:basedOn w:val="811"/>
    <w:qFormat/>
    <w:pPr>
      <w:spacing w:after="120"/>
    </w:pPr>
  </w:style>
  <w:style w:type="paragraph" w:styleId="830">
    <w:name w:val="Body Text Indent"/>
    <w:basedOn w:val="811"/>
    <w:link w:val="1060"/>
    <w:qFormat/>
    <w:pPr>
      <w:ind w:left="420"/>
      <w:spacing w:after="120"/>
    </w:pPr>
  </w:style>
  <w:style w:type="paragraph" w:styleId="831">
    <w:name w:val="Block Text"/>
    <w:basedOn w:val="812"/>
    <w:next w:val="811"/>
    <w:qFormat/>
    <w:pPr>
      <w:ind w:left="630" w:right="-609" w:firstLine="420"/>
      <w:spacing w:line="360" w:lineRule="auto"/>
    </w:pPr>
    <w:rPr>
      <w:rFonts w:hint="eastAsia" w:ascii="仿宋_GB2312" w:eastAsia="仿宋_GB2312"/>
      <w:szCs w:val="20"/>
    </w:rPr>
  </w:style>
  <w:style w:type="paragraph" w:styleId="832">
    <w:name w:val="toc 5"/>
    <w:basedOn w:val="811"/>
    <w:next w:val="811"/>
    <w:uiPriority w:val="39"/>
    <w:unhideWhenUsed/>
    <w:qFormat/>
    <w:pPr>
      <w:ind w:left="1134"/>
      <w:spacing w:after="57"/>
    </w:pPr>
  </w:style>
  <w:style w:type="paragraph" w:styleId="833">
    <w:name w:val="toc 3"/>
    <w:basedOn w:val="811"/>
    <w:next w:val="811"/>
    <w:uiPriority w:val="39"/>
    <w:unhideWhenUsed/>
    <w:qFormat/>
    <w:pPr>
      <w:ind w:left="567"/>
      <w:spacing w:after="57"/>
    </w:pPr>
  </w:style>
  <w:style w:type="paragraph" w:styleId="834">
    <w:name w:val="Plain Text"/>
    <w:basedOn w:val="811"/>
    <w:link w:val="1016"/>
    <w:qFormat/>
    <w:pPr>
      <w:jc w:val="left"/>
      <w:widowControl/>
    </w:pPr>
    <w:rPr>
      <w:rFonts w:ascii="宋体" w:hAnsi="Courier New" w:eastAsia="楷体_GB2312"/>
      <w:sz w:val="26"/>
    </w:rPr>
  </w:style>
  <w:style w:type="paragraph" w:styleId="835">
    <w:name w:val="toc 8"/>
    <w:basedOn w:val="811"/>
    <w:next w:val="811"/>
    <w:uiPriority w:val="39"/>
    <w:unhideWhenUsed/>
    <w:qFormat/>
    <w:pPr>
      <w:ind w:left="1984"/>
      <w:spacing w:after="57"/>
    </w:pPr>
  </w:style>
  <w:style w:type="paragraph" w:styleId="836">
    <w:name w:val="Date"/>
    <w:basedOn w:val="811"/>
    <w:next w:val="811"/>
    <w:link w:val="1032"/>
    <w:qFormat/>
    <w:pPr>
      <w:ind w:left="100"/>
    </w:pPr>
    <w:rPr>
      <w:sz w:val="36"/>
      <w:szCs w:val="20"/>
    </w:rPr>
  </w:style>
  <w:style w:type="paragraph" w:styleId="837">
    <w:name w:val="Body Text Indent 2"/>
    <w:basedOn w:val="811"/>
    <w:qFormat/>
    <w:pPr>
      <w:ind w:left="420"/>
      <w:spacing w:after="120" w:line="480" w:lineRule="auto"/>
    </w:pPr>
  </w:style>
  <w:style w:type="paragraph" w:styleId="838">
    <w:name w:val="endnote text"/>
    <w:basedOn w:val="811"/>
    <w:link w:val="1010"/>
    <w:uiPriority w:val="99"/>
    <w:semiHidden/>
    <w:unhideWhenUsed/>
    <w:rPr>
      <w:sz w:val="20"/>
    </w:rPr>
  </w:style>
  <w:style w:type="paragraph" w:styleId="839">
    <w:name w:val="Balloon Text"/>
    <w:basedOn w:val="811"/>
    <w:semiHidden/>
    <w:qFormat/>
    <w:rPr>
      <w:sz w:val="18"/>
      <w:szCs w:val="18"/>
    </w:rPr>
  </w:style>
  <w:style w:type="paragraph" w:styleId="840">
    <w:name w:val="Footer"/>
    <w:basedOn w:val="811"/>
    <w:link w:val="1021"/>
    <w:qFormat/>
    <w:pPr>
      <w:jc w:val="left"/>
      <w:tabs>
        <w:tab w:val="center" w:pos="4153" w:leader="none"/>
        <w:tab w:val="right" w:pos="8306" w:leader="none"/>
      </w:tabs>
    </w:pPr>
    <w:rPr>
      <w:sz w:val="18"/>
      <w:szCs w:val="18"/>
    </w:rPr>
  </w:style>
  <w:style w:type="paragraph" w:styleId="841">
    <w:name w:val="envelope return"/>
    <w:basedOn w:val="811"/>
    <w:qFormat/>
    <w:rPr>
      <w:rFonts w:ascii="Arial" w:hAnsi="Arial" w:eastAsia="楷体_GB2312"/>
      <w:sz w:val="26"/>
      <w:szCs w:val="20"/>
    </w:rPr>
  </w:style>
  <w:style w:type="paragraph" w:styleId="842">
    <w:name w:val="Header"/>
    <w:basedOn w:val="811"/>
    <w:link w:val="1027"/>
    <w:uiPriority w:val="99"/>
    <w:qFormat/>
    <w:pPr>
      <w:jc w:val="center"/>
      <w:tabs>
        <w:tab w:val="center" w:pos="4153" w:leader="none"/>
        <w:tab w:val="right" w:pos="8306" w:leader="none"/>
      </w:tabs>
      <w:pBdr>
        <w:bottom w:val="single" w:color="auto" w:sz="6" w:space="1"/>
      </w:pBdr>
    </w:pPr>
    <w:rPr>
      <w:sz w:val="18"/>
      <w:szCs w:val="18"/>
    </w:rPr>
  </w:style>
  <w:style w:type="paragraph" w:styleId="843">
    <w:name w:val="toc 1"/>
    <w:basedOn w:val="811"/>
    <w:next w:val="811"/>
    <w:semiHidden/>
    <w:qFormat/>
    <w:pPr>
      <w:jc w:val="left"/>
    </w:pPr>
    <w:rPr>
      <w:rFonts w:eastAsia="楷体_GB2312"/>
      <w:sz w:val="24"/>
      <w:szCs w:val="20"/>
    </w:rPr>
  </w:style>
  <w:style w:type="paragraph" w:styleId="844">
    <w:name w:val="toc 4"/>
    <w:basedOn w:val="811"/>
    <w:next w:val="811"/>
    <w:uiPriority w:val="39"/>
    <w:unhideWhenUsed/>
    <w:qFormat/>
    <w:pPr>
      <w:ind w:left="850"/>
      <w:spacing w:after="57"/>
    </w:pPr>
  </w:style>
  <w:style w:type="paragraph" w:styleId="845">
    <w:name w:val="Subtitle"/>
    <w:basedOn w:val="811"/>
    <w:next w:val="811"/>
    <w:link w:val="876"/>
    <w:qFormat/>
    <w:pPr>
      <w:jc w:val="center"/>
      <w:spacing w:before="240" w:after="60" w:line="312" w:lineRule="auto"/>
      <w:outlineLvl w:val="1"/>
    </w:pPr>
    <w:rPr>
      <w:rFonts w:ascii="宋体" w:hAnsi="Courier New" w:eastAsia="楷体_GB2312"/>
      <w:sz w:val="26"/>
      <w:szCs w:val="20"/>
    </w:rPr>
  </w:style>
  <w:style w:type="paragraph" w:styleId="846">
    <w:name w:val="footnote text"/>
    <w:basedOn w:val="812"/>
    <w:next w:val="831"/>
    <w:link w:val="1009"/>
    <w:qFormat/>
    <w:pPr>
      <w:ind w:firstLine="3584"/>
      <w:spacing w:before="0" w:after="0" w:line="360" w:lineRule="auto"/>
    </w:pPr>
  </w:style>
  <w:style w:type="paragraph" w:styleId="847">
    <w:name w:val="toc 6"/>
    <w:basedOn w:val="811"/>
    <w:next w:val="811"/>
    <w:uiPriority w:val="39"/>
    <w:unhideWhenUsed/>
    <w:qFormat/>
    <w:pPr>
      <w:ind w:left="1417"/>
      <w:spacing w:after="57"/>
    </w:pPr>
  </w:style>
  <w:style w:type="paragraph" w:styleId="848">
    <w:name w:val="Body Text Indent 3"/>
    <w:basedOn w:val="811"/>
    <w:qFormat/>
    <w:pPr>
      <w:ind w:firstLine="480"/>
      <w:jc w:val="left"/>
      <w:spacing w:line="440" w:lineRule="atLeast"/>
    </w:pPr>
    <w:rPr>
      <w:sz w:val="24"/>
    </w:rPr>
  </w:style>
  <w:style w:type="paragraph" w:styleId="849">
    <w:name w:val="table of figures"/>
    <w:basedOn w:val="811"/>
    <w:next w:val="811"/>
    <w:uiPriority w:val="99"/>
    <w:unhideWhenUsed/>
    <w:qFormat/>
  </w:style>
  <w:style w:type="paragraph" w:styleId="850">
    <w:name w:val="toc 2"/>
    <w:basedOn w:val="811"/>
    <w:next w:val="811"/>
    <w:uiPriority w:val="39"/>
    <w:unhideWhenUsed/>
    <w:qFormat/>
    <w:pPr>
      <w:ind w:left="283"/>
      <w:spacing w:after="57"/>
    </w:pPr>
  </w:style>
  <w:style w:type="paragraph" w:styleId="851">
    <w:name w:val="toc 9"/>
    <w:basedOn w:val="811"/>
    <w:next w:val="811"/>
    <w:uiPriority w:val="39"/>
    <w:unhideWhenUsed/>
    <w:qFormat/>
    <w:pPr>
      <w:ind w:left="2268"/>
      <w:spacing w:after="57"/>
    </w:pPr>
  </w:style>
  <w:style w:type="paragraph" w:styleId="852">
    <w:name w:val="Normal (Web)"/>
    <w:basedOn w:val="811"/>
    <w:qFormat/>
    <w:pPr>
      <w:jc w:val="left"/>
      <w:spacing w:before="100" w:beforeAutospacing="1" w:after="100" w:afterAutospacing="1"/>
      <w:widowControl/>
    </w:pPr>
    <w:rPr>
      <w:rFonts w:ascii="宋体" w:hAnsi="宋体" w:cs="宋体"/>
      <w:sz w:val="24"/>
    </w:rPr>
  </w:style>
  <w:style w:type="paragraph" w:styleId="853">
    <w:name w:val="Title"/>
    <w:basedOn w:val="811"/>
    <w:link w:val="1024"/>
    <w:qFormat/>
    <w:pPr>
      <w:numPr>
        <w:numId w:val="1"/>
      </w:numPr>
      <w:jc w:val="center"/>
      <w:spacing w:before="240" w:after="60"/>
      <w:tabs>
        <w:tab w:val="left" w:pos="432" w:leader="none"/>
      </w:tabs>
      <w:outlineLvl w:val="0"/>
    </w:pPr>
    <w:rPr>
      <w:rFonts w:ascii="Arial" w:hAnsi="Arial"/>
      <w:b/>
      <w:bCs/>
      <w:sz w:val="32"/>
      <w:szCs w:val="32"/>
    </w:rPr>
  </w:style>
  <w:style w:type="paragraph" w:styleId="854">
    <w:name w:val="annotation subject"/>
    <w:basedOn w:val="828"/>
    <w:next w:val="828"/>
    <w:semiHidden/>
    <w:qFormat/>
    <w:rPr>
      <w:b/>
      <w:bCs/>
    </w:rPr>
  </w:style>
  <w:style w:type="paragraph" w:styleId="855">
    <w:name w:val="Body Text First Indent 2"/>
    <w:basedOn w:val="830"/>
    <w:qFormat/>
    <w:pPr>
      <w:ind w:firstLine="420"/>
    </w:pPr>
  </w:style>
  <w:style w:type="table" w:styleId="856">
    <w:name w:val="Table Grid"/>
    <w:basedOn w:val="82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7">
    <w:name w:val="Strong"/>
    <w:basedOn w:val="821"/>
    <w:qFormat/>
    <w:rPr>
      <w:b/>
      <w:bCs/>
    </w:rPr>
  </w:style>
  <w:style w:type="character" w:styleId="858">
    <w:name w:val="endnote reference"/>
    <w:basedOn w:val="821"/>
    <w:uiPriority w:val="99"/>
    <w:semiHidden/>
    <w:unhideWhenUsed/>
    <w:qFormat/>
    <w:rPr>
      <w:vertAlign w:val="superscript"/>
    </w:rPr>
  </w:style>
  <w:style w:type="character" w:styleId="859">
    <w:name w:val="page number"/>
    <w:basedOn w:val="821"/>
    <w:qFormat/>
  </w:style>
  <w:style w:type="character" w:styleId="860">
    <w:name w:val="FollowedHyperlink"/>
    <w:basedOn w:val="821"/>
    <w:semiHidden/>
    <w:unhideWhenUsed/>
    <w:qFormat/>
    <w:rPr>
      <w:color w:val="333333"/>
      <w:u w:val="none"/>
    </w:rPr>
  </w:style>
  <w:style w:type="character" w:styleId="861">
    <w:name w:val="Emphasis"/>
    <w:qFormat/>
    <w:rPr>
      <w:i/>
      <w:iCs/>
    </w:rPr>
  </w:style>
  <w:style w:type="character" w:styleId="862">
    <w:name w:val="Hyperlink"/>
    <w:qFormat/>
    <w:rPr>
      <w:color w:val="000000"/>
      <w:u w:val="none"/>
    </w:rPr>
  </w:style>
  <w:style w:type="character" w:styleId="863">
    <w:name w:val="annotation reference"/>
    <w:uiPriority w:val="99"/>
    <w:qFormat/>
    <w:rPr>
      <w:sz w:val="21"/>
      <w:szCs w:val="21"/>
    </w:rPr>
  </w:style>
  <w:style w:type="character" w:styleId="864">
    <w:name w:val="footnote reference"/>
    <w:basedOn w:val="821"/>
    <w:uiPriority w:val="99"/>
    <w:unhideWhenUsed/>
    <w:qFormat/>
    <w:rPr>
      <w:vertAlign w:val="superscript"/>
    </w:rPr>
  </w:style>
  <w:style w:type="paragraph" w:styleId="865" w:customStyle="1">
    <w:name w:val="段"/>
    <w:next w:val="811"/>
    <w:qFormat/>
    <w:pPr>
      <w:ind w:firstLine="200"/>
      <w:jc w:val="both"/>
    </w:pPr>
    <w:rPr>
      <w:rFonts w:ascii="宋体"/>
      <w:sz w:val="21"/>
    </w:rPr>
  </w:style>
  <w:style w:type="character" w:styleId="866" w:customStyle="1">
    <w:name w:val="Heading 1 Char"/>
    <w:basedOn w:val="821"/>
    <w:uiPriority w:val="9"/>
    <w:qFormat/>
    <w:rPr>
      <w:rFonts w:ascii="Arial" w:hAnsi="Arial" w:eastAsia="Arial" w:cs="Arial"/>
      <w:sz w:val="40"/>
      <w:szCs w:val="40"/>
    </w:rPr>
  </w:style>
  <w:style w:type="character" w:styleId="867" w:customStyle="1">
    <w:name w:val="Heading 2 Char"/>
    <w:basedOn w:val="821"/>
    <w:uiPriority w:val="9"/>
    <w:qFormat/>
    <w:rPr>
      <w:rFonts w:ascii="Arial" w:hAnsi="Arial" w:eastAsia="Arial" w:cs="Arial"/>
      <w:sz w:val="34"/>
    </w:rPr>
  </w:style>
  <w:style w:type="character" w:styleId="868" w:customStyle="1">
    <w:name w:val="Heading 3 Char"/>
    <w:basedOn w:val="821"/>
    <w:uiPriority w:val="9"/>
    <w:qFormat/>
    <w:rPr>
      <w:rFonts w:ascii="Arial" w:hAnsi="Arial" w:eastAsia="Arial" w:cs="Arial"/>
      <w:sz w:val="30"/>
      <w:szCs w:val="30"/>
    </w:rPr>
  </w:style>
  <w:style w:type="character" w:styleId="869" w:customStyle="1">
    <w:name w:val="Heading 4 Char"/>
    <w:basedOn w:val="821"/>
    <w:uiPriority w:val="9"/>
    <w:qFormat/>
    <w:rPr>
      <w:rFonts w:ascii="Arial" w:hAnsi="Arial" w:eastAsia="Arial" w:cs="Arial"/>
      <w:b/>
      <w:bCs/>
      <w:sz w:val="26"/>
      <w:szCs w:val="26"/>
    </w:rPr>
  </w:style>
  <w:style w:type="character" w:styleId="870" w:customStyle="1">
    <w:name w:val="Heading 5 Char"/>
    <w:basedOn w:val="821"/>
    <w:uiPriority w:val="9"/>
    <w:qFormat/>
    <w:rPr>
      <w:rFonts w:ascii="Arial" w:hAnsi="Arial" w:eastAsia="Arial" w:cs="Arial"/>
      <w:b/>
      <w:bCs/>
      <w:sz w:val="24"/>
      <w:szCs w:val="24"/>
    </w:rPr>
  </w:style>
  <w:style w:type="character" w:styleId="871" w:customStyle="1">
    <w:name w:val="标题 6 Char"/>
    <w:basedOn w:val="821"/>
    <w:link w:val="817"/>
    <w:uiPriority w:val="9"/>
    <w:qFormat/>
    <w:rPr>
      <w:rFonts w:ascii="Arial" w:hAnsi="Arial" w:eastAsia="Arial" w:cs="Arial"/>
      <w:b/>
      <w:bCs/>
      <w:sz w:val="22"/>
      <w:szCs w:val="22"/>
    </w:rPr>
  </w:style>
  <w:style w:type="character" w:styleId="872" w:customStyle="1">
    <w:name w:val="标题 7 Char"/>
    <w:basedOn w:val="821"/>
    <w:link w:val="818"/>
    <w:uiPriority w:val="9"/>
    <w:qFormat/>
    <w:rPr>
      <w:rFonts w:ascii="Arial" w:hAnsi="Arial" w:eastAsia="Arial" w:cs="Arial"/>
      <w:b/>
      <w:bCs/>
      <w:i/>
      <w:iCs/>
      <w:sz w:val="22"/>
      <w:szCs w:val="22"/>
    </w:rPr>
  </w:style>
  <w:style w:type="character" w:styleId="873" w:customStyle="1">
    <w:name w:val="标题 8 Char"/>
    <w:basedOn w:val="821"/>
    <w:link w:val="819"/>
    <w:uiPriority w:val="9"/>
    <w:qFormat/>
    <w:rPr>
      <w:rFonts w:ascii="Arial" w:hAnsi="Arial" w:eastAsia="Arial" w:cs="Arial"/>
      <w:i/>
      <w:iCs/>
      <w:sz w:val="22"/>
      <w:szCs w:val="22"/>
    </w:rPr>
  </w:style>
  <w:style w:type="character" w:styleId="874" w:customStyle="1">
    <w:name w:val="标题 9 Char"/>
    <w:basedOn w:val="821"/>
    <w:link w:val="820"/>
    <w:uiPriority w:val="9"/>
    <w:qFormat/>
    <w:rPr>
      <w:rFonts w:ascii="Arial" w:hAnsi="Arial" w:eastAsia="Arial" w:cs="Arial"/>
      <w:i/>
      <w:iCs/>
      <w:sz w:val="21"/>
      <w:szCs w:val="21"/>
    </w:rPr>
  </w:style>
  <w:style w:type="character" w:styleId="875" w:customStyle="1">
    <w:name w:val="Title Char"/>
    <w:basedOn w:val="821"/>
    <w:uiPriority w:val="10"/>
    <w:qFormat/>
    <w:rPr>
      <w:sz w:val="48"/>
      <w:szCs w:val="48"/>
    </w:rPr>
  </w:style>
  <w:style w:type="character" w:styleId="876" w:customStyle="1">
    <w:name w:val="副标题 Char"/>
    <w:basedOn w:val="821"/>
    <w:link w:val="845"/>
    <w:uiPriority w:val="11"/>
    <w:qFormat/>
    <w:rPr>
      <w:sz w:val="24"/>
      <w:szCs w:val="24"/>
    </w:rPr>
  </w:style>
  <w:style w:type="paragraph" w:styleId="877">
    <w:name w:val="Quote"/>
    <w:basedOn w:val="811"/>
    <w:next w:val="811"/>
    <w:link w:val="878"/>
    <w:uiPriority w:val="29"/>
    <w:qFormat/>
    <w:pPr>
      <w:ind w:left="720" w:right="720"/>
    </w:pPr>
    <w:rPr>
      <w:i/>
    </w:rPr>
  </w:style>
  <w:style w:type="character" w:styleId="878" w:customStyle="1">
    <w:name w:val="引用 Char"/>
    <w:link w:val="877"/>
    <w:uiPriority w:val="29"/>
    <w:qFormat/>
    <w:rPr>
      <w:i/>
    </w:rPr>
  </w:style>
  <w:style w:type="paragraph" w:styleId="879">
    <w:name w:val="Intense Quote"/>
    <w:basedOn w:val="811"/>
    <w:next w:val="811"/>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Char"/>
    <w:link w:val="879"/>
    <w:uiPriority w:val="30"/>
    <w:qFormat/>
    <w:rPr>
      <w:i/>
    </w:rPr>
  </w:style>
  <w:style w:type="character" w:styleId="881" w:customStyle="1">
    <w:name w:val="Header Char"/>
    <w:basedOn w:val="821"/>
    <w:uiPriority w:val="99"/>
    <w:qFormat/>
  </w:style>
  <w:style w:type="character" w:styleId="882" w:customStyle="1">
    <w:name w:val="Footer Char"/>
    <w:basedOn w:val="821"/>
    <w:uiPriority w:val="99"/>
    <w:qFormat/>
  </w:style>
  <w:style w:type="character" w:styleId="883" w:customStyle="1">
    <w:name w:val="Caption Char"/>
    <w:uiPriority w:val="99"/>
    <w:qFormat/>
  </w:style>
  <w:style w:type="table" w:styleId="884" w:customStyle="1">
    <w:name w:val="Table Grid Light"/>
    <w:basedOn w:val="82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85" w:customStyle="1">
    <w:name w:val="无格式表格 11"/>
    <w:basedOn w:val="82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21"/>
    <w:basedOn w:val="82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31"/>
    <w:basedOn w:val="8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无格式表格 41"/>
    <w:basedOn w:val="8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无格式表格 51"/>
    <w:basedOn w:val="8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网格表 1 浅色1"/>
    <w:basedOn w:val="82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basedOn w:val="822"/>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basedOn w:val="822"/>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basedOn w:val="822"/>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basedOn w:val="822"/>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basedOn w:val="822"/>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basedOn w:val="822"/>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网格表 21"/>
    <w:basedOn w:val="82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basedOn w:val="822"/>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basedOn w:val="822"/>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basedOn w:val="822"/>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basedOn w:val="822"/>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basedOn w:val="822"/>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basedOn w:val="822"/>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网格表 31"/>
    <w:basedOn w:val="82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basedOn w:val="822"/>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basedOn w:val="822"/>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basedOn w:val="822"/>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basedOn w:val="822"/>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basedOn w:val="822"/>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basedOn w:val="822"/>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网格表 41"/>
    <w:basedOn w:val="82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basedOn w:val="822"/>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3" w:customStyle="1">
    <w:name w:val="Grid Table 4 - Accent 2"/>
    <w:basedOn w:val="822"/>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4" w:customStyle="1">
    <w:name w:val="Grid Table 4 - Accent 3"/>
    <w:basedOn w:val="822"/>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5" w:customStyle="1">
    <w:name w:val="Grid Table 4 - Accent 4"/>
    <w:basedOn w:val="822"/>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basedOn w:val="822"/>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basedOn w:val="822"/>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网格表 5 深色1"/>
    <w:basedOn w:val="82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basedOn w:val="82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0" w:customStyle="1">
    <w:name w:val="Grid Table 5 Dark - Accent 2"/>
    <w:basedOn w:val="82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1" w:customStyle="1">
    <w:name w:val="Grid Table 5 Dark - Accent 3"/>
    <w:basedOn w:val="82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2" w:customStyle="1">
    <w:name w:val="Grid Table 5 Dark- Accent 4"/>
    <w:basedOn w:val="82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3" w:customStyle="1">
    <w:name w:val="Grid Table 5 Dark - Accent 5"/>
    <w:basedOn w:val="82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4" w:customStyle="1">
    <w:name w:val="Grid Table 5 Dark - Accent 6"/>
    <w:basedOn w:val="82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5" w:customStyle="1">
    <w:name w:val="网格表 6 彩色1"/>
    <w:basedOn w:val="82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6" w:customStyle="1">
    <w:name w:val="Grid Table 6 Colorful - Accent 1"/>
    <w:basedOn w:val="822"/>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7" w:customStyle="1">
    <w:name w:val="Grid Table 6 Colorful - Accent 2"/>
    <w:basedOn w:val="822"/>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8" w:customStyle="1">
    <w:name w:val="Grid Table 6 Colorful - Accent 3"/>
    <w:basedOn w:val="822"/>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9" w:customStyle="1">
    <w:name w:val="Grid Table 6 Colorful - Accent 4"/>
    <w:basedOn w:val="822"/>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0" w:customStyle="1">
    <w:name w:val="Grid Table 6 Colorful - Accent 5"/>
    <w:basedOn w:val="822"/>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1" w:customStyle="1">
    <w:name w:val="Grid Table 6 Colorful - Accent 6"/>
    <w:basedOn w:val="822"/>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2" w:customStyle="1">
    <w:name w:val="网格表 7 彩色1"/>
    <w:basedOn w:val="82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basedOn w:val="822"/>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basedOn w:val="822"/>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basedOn w:val="822"/>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basedOn w:val="822"/>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basedOn w:val="822"/>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basedOn w:val="822"/>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清单表 1 浅色1"/>
    <w:basedOn w:val="82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basedOn w:val="822"/>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basedOn w:val="822"/>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basedOn w:val="822"/>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basedOn w:val="822"/>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basedOn w:val="822"/>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basedOn w:val="822"/>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清单表 21"/>
    <w:basedOn w:val="82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7" w:customStyle="1">
    <w:name w:val="List Table 2 - Accent 1"/>
    <w:basedOn w:val="822"/>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basedOn w:val="822"/>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9" w:customStyle="1">
    <w:name w:val="List Table 2 - Accent 3"/>
    <w:basedOn w:val="822"/>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basedOn w:val="822"/>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basedOn w:val="822"/>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basedOn w:val="822"/>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清单表 31"/>
    <w:basedOn w:val="82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basedOn w:val="822"/>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basedOn w:val="822"/>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6" w:customStyle="1">
    <w:name w:val="List Table 3 - Accent 3"/>
    <w:basedOn w:val="822"/>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7" w:customStyle="1">
    <w:name w:val="List Table 3 - Accent 4"/>
    <w:basedOn w:val="822"/>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basedOn w:val="822"/>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basedOn w:val="822"/>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清单表 41"/>
    <w:basedOn w:val="82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basedOn w:val="822"/>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basedOn w:val="822"/>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basedOn w:val="822"/>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basedOn w:val="822"/>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basedOn w:val="822"/>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basedOn w:val="822"/>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清单表 5 深色1"/>
    <w:basedOn w:val="82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8" w:customStyle="1">
    <w:name w:val="List Table 5 Dark - Accent 1"/>
    <w:basedOn w:val="822"/>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9" w:customStyle="1">
    <w:name w:val="List Table 5 Dark - Accent 2"/>
    <w:basedOn w:val="822"/>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0" w:customStyle="1">
    <w:name w:val="List Table 5 Dark - Accent 3"/>
    <w:basedOn w:val="822"/>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1" w:customStyle="1">
    <w:name w:val="List Table 5 Dark - Accent 4"/>
    <w:basedOn w:val="822"/>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2" w:customStyle="1">
    <w:name w:val="List Table 5 Dark - Accent 5"/>
    <w:basedOn w:val="822"/>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3" w:customStyle="1">
    <w:name w:val="List Table 5 Dark - Accent 6"/>
    <w:basedOn w:val="822"/>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4" w:customStyle="1">
    <w:name w:val="清单表 6 彩色1"/>
    <w:basedOn w:val="82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5" w:customStyle="1">
    <w:name w:val="List Table 6 Colorful - Accent 1"/>
    <w:basedOn w:val="822"/>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6" w:customStyle="1">
    <w:name w:val="List Table 6 Colorful - Accent 2"/>
    <w:basedOn w:val="822"/>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7" w:customStyle="1">
    <w:name w:val="List Table 6 Colorful - Accent 3"/>
    <w:basedOn w:val="822"/>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8" w:customStyle="1">
    <w:name w:val="List Table 6 Colorful - Accent 4"/>
    <w:basedOn w:val="822"/>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9" w:customStyle="1">
    <w:name w:val="List Table 6 Colorful - Accent 5"/>
    <w:basedOn w:val="822"/>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0" w:customStyle="1">
    <w:name w:val="List Table 6 Colorful - Accent 6"/>
    <w:basedOn w:val="822"/>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1" w:customStyle="1">
    <w:name w:val="清单表 7 彩色1"/>
    <w:basedOn w:val="82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basedOn w:val="822"/>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822"/>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822"/>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822"/>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822"/>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822"/>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8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9" w:customStyle="1">
    <w:name w:val="Lined - Accent 1"/>
    <w:basedOn w:val="8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0" w:customStyle="1">
    <w:name w:val="Lined - Accent 2"/>
    <w:basedOn w:val="8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1" w:customStyle="1">
    <w:name w:val="Lined - Accent 3"/>
    <w:basedOn w:val="8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2" w:customStyle="1">
    <w:name w:val="Lined - Accent 4"/>
    <w:basedOn w:val="8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basedOn w:val="8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basedOn w:val="8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basedOn w:val="822"/>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6" w:customStyle="1">
    <w:name w:val="Bordered &amp; Lined - Accent 1"/>
    <w:basedOn w:val="822"/>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7" w:customStyle="1">
    <w:name w:val="Bordered &amp; Lined - Accent 2"/>
    <w:basedOn w:val="822"/>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8" w:customStyle="1">
    <w:name w:val="Bordered &amp; Lined - Accent 3"/>
    <w:basedOn w:val="822"/>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9" w:customStyle="1">
    <w:name w:val="Bordered &amp; Lined - Accent 4"/>
    <w:basedOn w:val="822"/>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basedOn w:val="822"/>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basedOn w:val="822"/>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basedOn w:val="822"/>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3" w:customStyle="1">
    <w:name w:val="Bordered - Accent 1"/>
    <w:basedOn w:val="822"/>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basedOn w:val="822"/>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5" w:customStyle="1">
    <w:name w:val="Bordered - Accent 3"/>
    <w:basedOn w:val="822"/>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6" w:customStyle="1">
    <w:name w:val="Bordered - Accent 4"/>
    <w:basedOn w:val="822"/>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basedOn w:val="822"/>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basedOn w:val="822"/>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脚注文本 Char"/>
    <w:link w:val="846"/>
    <w:uiPriority w:val="99"/>
    <w:qFormat/>
    <w:rPr>
      <w:sz w:val="18"/>
    </w:rPr>
  </w:style>
  <w:style w:type="character" w:styleId="1010" w:customStyle="1">
    <w:name w:val="尾注文本 Char"/>
    <w:link w:val="838"/>
    <w:uiPriority w:val="99"/>
    <w:qFormat/>
    <w:rPr>
      <w:sz w:val="20"/>
    </w:rPr>
  </w:style>
  <w:style w:type="paragraph" w:styleId="1011" w:customStyle="1">
    <w:name w:val="TOC 标题1"/>
    <w:uiPriority w:val="39"/>
    <w:unhideWhenUsed/>
    <w:qFormat/>
  </w:style>
  <w:style w:type="paragraph" w:styleId="1012" w:customStyle="1">
    <w:name w:val="首行缩进"/>
    <w:basedOn w:val="811"/>
    <w:qFormat/>
    <w:pPr>
      <w:ind w:firstLine="480"/>
      <w:jc w:val="left"/>
      <w:spacing w:line="360" w:lineRule="auto"/>
    </w:pPr>
    <w:rPr>
      <w:rFonts w:ascii="宋体" w:hAnsi="宋体"/>
      <w:sz w:val="24"/>
    </w:rPr>
  </w:style>
  <w:style w:type="character" w:styleId="1013" w:customStyle="1">
    <w:name w:val="标题 1 Char"/>
    <w:link w:val="812"/>
    <w:qFormat/>
    <w:rPr>
      <w:b/>
      <w:bCs/>
      <w:sz w:val="44"/>
      <w:szCs w:val="44"/>
    </w:rPr>
  </w:style>
  <w:style w:type="character" w:styleId="1014" w:customStyle="1">
    <w:name w:val="标题 2 Char"/>
    <w:link w:val="813"/>
    <w:qFormat/>
    <w:rPr>
      <w:rFonts w:ascii="Cambria" w:hAnsi="Cambria"/>
      <w:b/>
      <w:bCs/>
      <w:sz w:val="32"/>
      <w:szCs w:val="32"/>
    </w:rPr>
  </w:style>
  <w:style w:type="character" w:styleId="1015" w:customStyle="1">
    <w:name w:val="标题 3 Char"/>
    <w:link w:val="814"/>
    <w:qFormat/>
    <w:rPr>
      <w:b/>
      <w:bCs/>
      <w:sz w:val="32"/>
      <w:szCs w:val="32"/>
    </w:rPr>
  </w:style>
  <w:style w:type="character" w:styleId="1016" w:customStyle="1">
    <w:name w:val="纯文本 Char"/>
    <w:link w:val="834"/>
    <w:qFormat/>
    <w:rPr>
      <w:rFonts w:ascii="宋体" w:hAnsi="Courier New" w:eastAsia="楷体_GB2312"/>
      <w:sz w:val="26"/>
      <w:szCs w:val="24"/>
      <w:lang w:val="en-US" w:eastAsia="zh-CN" w:bidi="ar-SA"/>
    </w:rPr>
  </w:style>
  <w:style w:type="character" w:styleId="1017" w:customStyle="1">
    <w:name w:val="正文缩进 Char"/>
    <w:link w:val="825"/>
    <w:qFormat/>
    <w:rPr>
      <w:rFonts w:eastAsia="楷体_GB2312"/>
      <w:sz w:val="24"/>
      <w:lang w:val="en-US" w:eastAsia="zh-CN" w:bidi="ar-SA"/>
    </w:rPr>
  </w:style>
  <w:style w:type="character" w:styleId="1018" w:customStyle="1">
    <w:name w:val="标题 5 Char"/>
    <w:link w:val="816"/>
    <w:qFormat/>
    <w:rPr>
      <w:rFonts w:eastAsia="宋体"/>
      <w:b/>
      <w:bCs/>
      <w:i/>
      <w:iCs/>
      <w:sz w:val="26"/>
      <w:szCs w:val="26"/>
      <w:lang w:val="en-US" w:eastAsia="zh-CN" w:bidi="ar-SA"/>
    </w:rPr>
  </w:style>
  <w:style w:type="character" w:styleId="1019" w:customStyle="1">
    <w:name w:val="+正文 Char3"/>
    <w:link w:val="1020"/>
    <w:qFormat/>
    <w:rPr>
      <w:rFonts w:eastAsia="宋体"/>
      <w:sz w:val="24"/>
      <w:lang w:val="en-US" w:eastAsia="zh-CN" w:bidi="ar-SA"/>
    </w:rPr>
  </w:style>
  <w:style w:type="paragraph" w:styleId="1020" w:customStyle="1">
    <w:name w:val="+正文"/>
    <w:basedOn w:val="811"/>
    <w:link w:val="1019"/>
    <w:qFormat/>
    <w:pPr>
      <w:ind w:firstLine="200"/>
      <w:spacing w:line="360" w:lineRule="auto"/>
    </w:pPr>
    <w:rPr>
      <w:sz w:val="24"/>
      <w:szCs w:val="20"/>
    </w:rPr>
  </w:style>
  <w:style w:type="character" w:styleId="1021" w:customStyle="1">
    <w:name w:val="页脚 Char"/>
    <w:link w:val="840"/>
    <w:semiHidden/>
    <w:qFormat/>
    <w:rPr>
      <w:rFonts w:eastAsia="宋体"/>
      <w:sz w:val="18"/>
      <w:szCs w:val="18"/>
      <w:lang w:val="en-US" w:eastAsia="zh-CN" w:bidi="ar-SA"/>
    </w:rPr>
  </w:style>
  <w:style w:type="character" w:styleId="1022" w:customStyle="1">
    <w:name w:val="Char Char8"/>
    <w:qFormat/>
    <w:rPr>
      <w:sz w:val="18"/>
    </w:rPr>
  </w:style>
  <w:style w:type="character" w:styleId="1023" w:customStyle="1">
    <w:name w:val="标题 4 Char"/>
    <w:link w:val="815"/>
    <w:qFormat/>
    <w:rPr>
      <w:rFonts w:eastAsia="宋体"/>
      <w:b/>
      <w:bCs/>
      <w:sz w:val="28"/>
      <w:szCs w:val="28"/>
      <w:lang w:val="en-US" w:eastAsia="zh-CN" w:bidi="ar-SA"/>
    </w:rPr>
  </w:style>
  <w:style w:type="character" w:styleId="1024" w:customStyle="1">
    <w:name w:val="标题 Char"/>
    <w:link w:val="853"/>
    <w:qFormat/>
    <w:rPr>
      <w:rFonts w:ascii="Arial" w:hAnsi="Arial"/>
      <w:b/>
      <w:bCs/>
      <w:sz w:val="32"/>
      <w:szCs w:val="32"/>
      <w:lang w:bidi="ar-SA"/>
    </w:rPr>
  </w:style>
  <w:style w:type="character" w:styleId="1025" w:customStyle="1">
    <w:name w:val="文字正文主体 Char Char"/>
    <w:link w:val="1026"/>
    <w:qFormat/>
    <w:rPr>
      <w:rFonts w:ascii="仿宋" w:hAnsi="仿宋" w:eastAsia="仿宋"/>
      <w:color w:val="3a3a3a"/>
      <w:sz w:val="28"/>
      <w:lang w:val="en-US" w:eastAsia="zh-CN" w:bidi="ar-SA"/>
    </w:rPr>
  </w:style>
  <w:style w:type="paragraph" w:styleId="1026" w:customStyle="1">
    <w:name w:val="文字正文主体"/>
    <w:basedOn w:val="811"/>
    <w:link w:val="1025"/>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27" w:customStyle="1">
    <w:name w:val="页眉 Char"/>
    <w:link w:val="842"/>
    <w:uiPriority w:val="99"/>
    <w:qFormat/>
    <w:rPr>
      <w:rFonts w:eastAsia="宋体"/>
      <w:sz w:val="18"/>
      <w:szCs w:val="18"/>
      <w:lang w:val="en-US" w:eastAsia="zh-CN" w:bidi="ar-SA"/>
    </w:rPr>
  </w:style>
  <w:style w:type="character" w:styleId="1028" w:customStyle="1">
    <w:name w:val="Char Char5"/>
    <w:qFormat/>
    <w:rPr>
      <w:sz w:val="24"/>
      <w:lang w:val="en-US" w:eastAsia="zh-CN"/>
    </w:rPr>
  </w:style>
  <w:style w:type="character" w:styleId="1029" w:customStyle="1">
    <w:name w:val="Char Char11"/>
    <w:qFormat/>
    <w:rPr>
      <w:sz w:val="21"/>
    </w:rPr>
  </w:style>
  <w:style w:type="character" w:styleId="1030" w:customStyle="1">
    <w:name w:val="c lh15"/>
    <w:basedOn w:val="821"/>
    <w:qFormat/>
  </w:style>
  <w:style w:type="character" w:styleId="1031" w:customStyle="1">
    <w:name w:val="批注文字 Char"/>
    <w:link w:val="828"/>
    <w:qFormat/>
    <w:rPr>
      <w:rFonts w:eastAsia="宋体"/>
      <w:sz w:val="21"/>
      <w:szCs w:val="24"/>
      <w:lang w:val="en-US" w:eastAsia="zh-CN" w:bidi="ar-SA"/>
    </w:rPr>
  </w:style>
  <w:style w:type="character" w:styleId="1032" w:customStyle="1">
    <w:name w:val="日期 Char"/>
    <w:link w:val="836"/>
    <w:qFormat/>
    <w:rPr>
      <w:sz w:val="36"/>
      <w:lang w:bidi="ar-SA"/>
    </w:rPr>
  </w:style>
  <w:style w:type="character" w:styleId="1033" w:customStyle="1">
    <w:name w:val="Plain Text Char Char"/>
    <w:link w:val="1034"/>
    <w:qFormat/>
    <w:rPr>
      <w:rFonts w:ascii="宋体" w:hAnsi="Courier New" w:eastAsia="楷体_GB2312"/>
      <w:sz w:val="28"/>
    </w:rPr>
  </w:style>
  <w:style w:type="paragraph" w:styleId="1034" w:customStyle="1">
    <w:name w:val="纯文本1"/>
    <w:basedOn w:val="811"/>
    <w:link w:val="1033"/>
    <w:qFormat/>
    <w:rPr>
      <w:rFonts w:ascii="宋体" w:hAnsi="Courier New" w:eastAsia="楷体_GB2312"/>
      <w:sz w:val="28"/>
      <w:szCs w:val="20"/>
    </w:rPr>
  </w:style>
  <w:style w:type="paragraph" w:styleId="1035" w:customStyle="1">
    <w:name w:val="Char Char Char Char Char Char Char Char Char1 Char Char Char Char"/>
    <w:basedOn w:val="827"/>
    <w:qFormat/>
    <w:pPr>
      <w:spacing w:line="360" w:lineRule="auto"/>
    </w:pPr>
    <w:rPr>
      <w:rFonts w:eastAsia="楷体_GB2312"/>
      <w:sz w:val="26"/>
      <w:szCs w:val="20"/>
    </w:rPr>
  </w:style>
  <w:style w:type="paragraph" w:styleId="1036" w:customStyle="1">
    <w:name w:val="Char Char Char Char Char Char Char Char Char Char"/>
    <w:basedOn w:val="811"/>
    <w:qFormat/>
    <w:pPr>
      <w:numPr>
        <w:numId w:val="2"/>
      </w:numPr>
    </w:pPr>
    <w:rPr>
      <w:sz w:val="24"/>
    </w:rPr>
  </w:style>
  <w:style w:type="paragraph" w:styleId="1037" w:customStyle="1">
    <w:name w:val="Char Char Char Char Char Char Char Char Char1 Char"/>
    <w:basedOn w:val="827"/>
    <w:qFormat/>
    <w:pPr>
      <w:spacing w:line="360" w:lineRule="auto"/>
    </w:pPr>
    <w:rPr>
      <w:rFonts w:ascii="Tahoma" w:hAnsi="Tahoma"/>
      <w:sz w:val="24"/>
    </w:rPr>
  </w:style>
  <w:style w:type="paragraph" w:styleId="1038" w:customStyle="1">
    <w:name w:val="Char Char Char"/>
    <w:basedOn w:val="827"/>
    <w:qFormat/>
    <w:pPr>
      <w:spacing w:line="360" w:lineRule="auto"/>
    </w:pPr>
    <w:rPr>
      <w:rFonts w:ascii="Tahoma" w:hAnsi="Tahoma"/>
      <w:sz w:val="24"/>
    </w:rPr>
  </w:style>
  <w:style w:type="paragraph" w:styleId="1039" w:customStyle="1">
    <w:name w:val="Char Char Char Char"/>
    <w:basedOn w:val="827"/>
    <w:qFormat/>
    <w:pPr>
      <w:spacing w:line="360" w:lineRule="auto"/>
    </w:pPr>
    <w:rPr>
      <w:sz w:val="24"/>
      <w:szCs w:val="20"/>
    </w:rPr>
  </w:style>
  <w:style w:type="paragraph" w:styleId="1040" w:customStyle="1">
    <w:name w:val="Char1 Char Char Char"/>
    <w:basedOn w:val="811"/>
    <w:qFormat/>
    <w:rPr>
      <w:rFonts w:ascii="Tahoma" w:hAnsi="Tahoma"/>
      <w:sz w:val="24"/>
      <w:szCs w:val="20"/>
    </w:rPr>
  </w:style>
  <w:style w:type="paragraph" w:styleId="1041" w:customStyle="1">
    <w:name w:val="Char"/>
    <w:basedOn w:val="811"/>
    <w:qFormat/>
    <w:pPr>
      <w:ind w:left="420" w:hanging="420"/>
      <w:tabs>
        <w:tab w:val="left" w:pos="420" w:leader="none"/>
      </w:tabs>
    </w:pPr>
    <w:rPr>
      <w:sz w:val="24"/>
    </w:rPr>
  </w:style>
  <w:style w:type="paragraph" w:styleId="1042" w:customStyle="1">
    <w:name w:val="正文2"/>
    <w:basedOn w:val="811"/>
    <w:qFormat/>
    <w:pPr>
      <w:ind w:firstLine="200"/>
      <w:jc w:val="left"/>
      <w:spacing w:after="160" w:line="360" w:lineRule="auto"/>
      <w:widowControl/>
    </w:pPr>
    <w:rPr>
      <w:rFonts w:ascii="Verdana" w:hAnsi="Verdana" w:eastAsia="黑体"/>
      <w:szCs w:val="20"/>
      <w:lang w:eastAsia="en-US"/>
    </w:rPr>
  </w:style>
  <w:style w:type="paragraph" w:styleId="1043" w:customStyle="1">
    <w:name w:val="Char Char Char1 Char Char Char Char"/>
    <w:basedOn w:val="811"/>
    <w:qFormat/>
    <w:pPr>
      <w:jc w:val="left"/>
      <w:spacing w:after="160" w:line="240" w:lineRule="exact"/>
      <w:widowControl/>
    </w:pPr>
    <w:rPr>
      <w:sz w:val="24"/>
    </w:rPr>
  </w:style>
  <w:style w:type="paragraph" w:styleId="1044">
    <w:name w:val="No Spacing"/>
    <w:uiPriority w:val="1"/>
    <w:qFormat/>
    <w:pPr>
      <w:jc w:val="both"/>
      <w:widowControl w:val="off"/>
    </w:pPr>
    <w:rPr>
      <w:sz w:val="21"/>
      <w:szCs w:val="24"/>
    </w:rPr>
  </w:style>
  <w:style w:type="paragraph" w:styleId="1045" w:customStyle="1">
    <w:name w:val="纯文本11"/>
    <w:basedOn w:val="811"/>
    <w:qFormat/>
    <w:rPr>
      <w:rFonts w:ascii="宋体" w:hAnsi="Courier New" w:eastAsia="楷体_GB2312"/>
      <w:sz w:val="28"/>
      <w:szCs w:val="20"/>
    </w:rPr>
  </w:style>
  <w:style w:type="character" w:styleId="1046" w:customStyle="1">
    <w:name w:val="纯文本 Char1"/>
    <w:qFormat/>
    <w:rPr>
      <w:rFonts w:ascii="宋体" w:hAnsi="Courier New" w:eastAsia="楷体_GB2312"/>
      <w:sz w:val="24"/>
      <w:lang w:val="en-US" w:eastAsia="zh-CN" w:bidi="ar-SA"/>
    </w:rPr>
  </w:style>
  <w:style w:type="paragraph" w:styleId="1047" w:customStyle="1">
    <w:name w:val="纯文本2"/>
    <w:basedOn w:val="811"/>
    <w:qFormat/>
    <w:rPr>
      <w:rFonts w:ascii="宋体" w:hAnsi="Courier New" w:eastAsia="楷体_GB2312"/>
      <w:sz w:val="26"/>
      <w:szCs w:val="20"/>
    </w:rPr>
  </w:style>
  <w:style w:type="character" w:styleId="1048" w:customStyle="1">
    <w:name w:val="Plain Text Char"/>
    <w:qFormat/>
    <w:rPr>
      <w:rFonts w:ascii="宋体" w:hAnsi="Courier New" w:eastAsia="楷体_GB2312"/>
      <w:sz w:val="26"/>
      <w:lang w:val="en-US" w:eastAsia="zh-CN" w:bidi="ar-SA"/>
    </w:rPr>
  </w:style>
  <w:style w:type="paragraph" w:styleId="1049" w:customStyle="1">
    <w:name w:val="修订1"/>
    <w:hidden/>
    <w:uiPriority w:val="99"/>
    <w:semiHidden/>
    <w:unhideWhenUsed/>
    <w:qFormat/>
    <w:rPr>
      <w:sz w:val="21"/>
      <w:szCs w:val="24"/>
    </w:rPr>
  </w:style>
  <w:style w:type="character" w:styleId="1050" w:customStyle="1">
    <w:name w:val="apple-converted-space"/>
    <w:basedOn w:val="821"/>
    <w:qFormat/>
  </w:style>
  <w:style w:type="paragraph" w:styleId="1051" w:customStyle="1">
    <w:name w:val="p1"/>
    <w:basedOn w:val="811"/>
    <w:qFormat/>
    <w:pPr>
      <w:jc w:val="left"/>
      <w:spacing w:before="100" w:beforeAutospacing="1" w:after="100" w:afterAutospacing="1"/>
      <w:widowControl/>
    </w:pPr>
    <w:rPr>
      <w:rFonts w:ascii="宋体" w:hAnsi="宋体" w:cs="宋体"/>
      <w:sz w:val="24"/>
    </w:rPr>
  </w:style>
  <w:style w:type="paragraph" w:styleId="1052" w:customStyle="1">
    <w:name w:val="p3"/>
    <w:basedOn w:val="811"/>
    <w:qFormat/>
    <w:pPr>
      <w:jc w:val="left"/>
      <w:spacing w:before="100" w:beforeAutospacing="1" w:after="100" w:afterAutospacing="1"/>
      <w:widowControl/>
    </w:pPr>
    <w:rPr>
      <w:rFonts w:ascii="宋体" w:hAnsi="宋体" w:cs="宋体"/>
      <w:sz w:val="24"/>
    </w:rPr>
  </w:style>
  <w:style w:type="character" w:styleId="1053" w:customStyle="1">
    <w:name w:val="s6"/>
    <w:basedOn w:val="821"/>
    <w:qFormat/>
  </w:style>
  <w:style w:type="character" w:styleId="1054" w:customStyle="1">
    <w:name w:val="s1"/>
    <w:basedOn w:val="821"/>
    <w:qFormat/>
  </w:style>
  <w:style w:type="paragraph" w:styleId="1055" w:customStyle="1">
    <w:name w:val="列出段落1"/>
    <w:basedOn w:val="811"/>
    <w:uiPriority w:val="34"/>
    <w:qFormat/>
    <w:pPr>
      <w:ind w:firstLine="420"/>
    </w:pPr>
    <w:rPr>
      <w:lang w:val="zh-CN"/>
    </w:rPr>
  </w:style>
  <w:style w:type="character" w:styleId="1056" w:customStyle="1">
    <w:name w:val="批注文字 Char3"/>
    <w:qFormat/>
    <w:rPr>
      <w:rFonts w:eastAsia="宋体"/>
      <w:sz w:val="21"/>
      <w:szCs w:val="24"/>
      <w:lang w:val="en-US" w:eastAsia="zh-CN" w:bidi="ar-SA"/>
    </w:rPr>
  </w:style>
  <w:style w:type="paragraph" w:styleId="1057">
    <w:name w:val="List Paragraph"/>
    <w:basedOn w:val="811"/>
    <w:uiPriority w:val="99"/>
    <w:qFormat/>
    <w:pPr>
      <w:ind w:firstLine="420"/>
    </w:pPr>
  </w:style>
  <w:style w:type="paragraph" w:styleId="1058" w:customStyle="1">
    <w:name w:val="BodyText"/>
    <w:basedOn w:val="811"/>
    <w:uiPriority w:val="99"/>
    <w:qFormat/>
    <w:pPr>
      <w:spacing w:after="120"/>
    </w:pPr>
  </w:style>
  <w:style w:type="character" w:styleId="1059" w:customStyle="1">
    <w:name w:val="NormalCharacter"/>
    <w:semiHidden/>
    <w:qFormat/>
  </w:style>
  <w:style w:type="character" w:styleId="1060" w:customStyle="1">
    <w:name w:val="正文文本缩进 Char"/>
    <w:basedOn w:val="821"/>
    <w:link w:val="830"/>
    <w:qFormat/>
    <w:rPr>
      <w:rFonts w:ascii="Times New Roman" w:hAnsi="Times New Roman"/>
      <w:sz w:val="21"/>
      <w:szCs w:val="24"/>
    </w:rPr>
  </w:style>
  <w:style w:type="paragraph" w:styleId="1061" w:customStyle="1">
    <w:name w:val="纯文本3"/>
    <w:basedOn w:val="811"/>
    <w:qFormat/>
    <w:rPr>
      <w:rFonts w:ascii="宋体" w:hAnsi="Courier New" w:eastAsia="楷体_GB2312"/>
      <w:sz w:val="28"/>
      <w:szCs w:val="20"/>
    </w:rPr>
  </w:style>
  <w:style w:type="paragraph" w:styleId="1062" w:customStyle="1">
    <w:name w:val="修订2"/>
    <w:hidden/>
    <w:uiPriority w:val="99"/>
    <w:semiHidden/>
    <w:qFormat/>
    <w:rPr>
      <w:sz w:val="21"/>
      <w:szCs w:val="24"/>
    </w:rPr>
  </w:style>
  <w:style w:type="paragraph" w:styleId="1063" w:customStyle="1">
    <w:name w:val="修订3"/>
    <w:hidden/>
    <w:uiPriority w:val="99"/>
    <w:semiHidden/>
    <w:qFormat/>
    <w:rPr>
      <w:sz w:val="21"/>
      <w:szCs w:val="24"/>
    </w:rPr>
  </w:style>
  <w:style w:type="paragraph" w:styleId="1064" w:customStyle="1">
    <w:name w:val="修订4"/>
    <w:hidden/>
    <w:uiPriority w:val="99"/>
    <w:semiHidden/>
    <w:qFormat/>
    <w:rPr>
      <w:sz w:val="21"/>
      <w:szCs w:val="24"/>
    </w:rPr>
  </w:style>
  <w:style w:type="paragraph" w:styleId="1065" w:customStyle="1">
    <w:name w:val="列出段落2"/>
    <w:basedOn w:val="811"/>
    <w:uiPriority w:val="34"/>
    <w:qFormat/>
    <w:pPr>
      <w:ind w:firstLine="420"/>
    </w:pPr>
  </w:style>
  <w:style w:type="paragraph" w:styleId="1066" w:customStyle="1">
    <w:name w:val="纯文本21"/>
    <w:basedOn w:val="811"/>
    <w:qFormat/>
    <w:rPr>
      <w:rFonts w:ascii="宋体" w:hAnsi="Courier New"/>
    </w:rPr>
  </w:style>
  <w:style w:type="paragraph" w:styleId="1067" w:customStyle="1">
    <w:name w:val="采购需求一级标题"/>
    <w:qFormat/>
    <w:pPr>
      <w:jc w:val="both"/>
      <w:keepNext/>
      <w:spacing w:before="120" w:line="360" w:lineRule="auto"/>
    </w:pPr>
    <w:rPr>
      <w:rFonts w:eastAsia="黑体"/>
      <w:b/>
      <w:sz w:val="21"/>
      <w:szCs w:val="24"/>
    </w:rPr>
  </w:style>
  <w:style w:type="paragraph" w:styleId="1068" w:customStyle="1">
    <w:name w:val="采购需求正文"/>
    <w:qFormat/>
    <w:pPr>
      <w:jc w:val="both"/>
      <w:spacing w:line="360" w:lineRule="auto"/>
    </w:pPr>
    <w:rPr>
      <w:sz w:val="21"/>
      <w:szCs w:val="24"/>
    </w:rPr>
  </w:style>
  <w:style w:type="paragraph" w:styleId="1069" w:customStyle="1">
    <w:name w:val="采购需求二级标题"/>
    <w:qFormat/>
    <w:pPr>
      <w:jc w:val="both"/>
      <w:keepNext/>
      <w:spacing w:before="60" w:line="360" w:lineRule="auto"/>
    </w:pPr>
    <w:rPr>
      <w:rFonts w:eastAsia="黑体"/>
      <w:b/>
      <w:sz w:val="21"/>
      <w:szCs w:val="24"/>
    </w:rPr>
  </w:style>
  <w:style w:type="paragraph" w:styleId="1070" w:customStyle="1">
    <w:name w:val="标题 11"/>
    <w:qFormat/>
    <w:pPr>
      <w:ind w:left="432" w:firstLine="18"/>
      <w:spacing w:before="340" w:after="330" w:line="578" w:lineRule="auto"/>
      <w:outlineLvl w:val="0"/>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customXml" Target="../customXml/item5.xml" /><Relationship Id="rId19" Type="http://schemas.openxmlformats.org/officeDocument/2006/relationships/image" Target="media/image2.png"/><Relationship Id="rId2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3.xml><?xml version="1.0" encoding="utf-8"?>
<p:properties xmlns:xsi="http://www.w3.org/2001/XMLSchema-instance" xmlns:pc="http://schemas.microsoft.com/office/infopath/2007/PartnerControls" xmlns:p="http://schemas.microsoft.com/office/2006/metadata/propertie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ma="http://schemas.microsoft.com/office/2006/metadata/properties/metaAttributes" xmlns:ct="http://schemas.microsoft.com/office/2006/metadata/contentType" ma:versionID="352cb202d3638efee9a08bdea2044044" ma:contentTypeID="0x01010081C51C0CE0027140830352BF468F90BF" ma:contentTypeName="Document" ct:_="" ma:contentTypeScope="" ma:_="" ma:contentTypeVersion="0" ma:contentTypeDescription="Create a new document.">
  <xsd:schema xmlns:xs="http://www.w3.org/2001/XMLSchema" xmlns:xsd="http://www.w3.org/2001/XMLSchema" xmlns:p="http://schemas.microsoft.com/office/2006/metadata/properties" ma:root="true" ma:fieldsID="de205ab3393d435e4955146045209236" targetNamespace="http://schemas.microsoft.com/office/2006/metadata/properties">
    <xsd:element name="properties">
      <xsd:complexType>
        <xsd:sequence>
          <xsd:element name="documentManagement">
            <xsd:complexType>
              <xsd:all/>
            </xsd:complexType>
          </xsd:element>
        </xsd:sequence>
      </xsd:complexType>
    </xsd:element>
  </xsd:schema>
  <xsd:schema xmlns="http://schemas.openxmlformats.org/package/2006/metadata/core-properties" xmlns:xsi="http://www.w3.org/2001/XMLSchema-instance" xmlns:odoc="http://schemas.microsoft.com/internal/obd" xmlns:dcterms="http://purl.org/dc/terms/" xmlns:dc="http://purl.org/dc/elements/1.1/" xmlns:xsd="http://www.w3.org/2001/XMLSchema" elementFormDefault="qualified" targetNamespace="http://schemas.openxmlformats.org/package/2006/metadata/core-properties" blockDefault="#all" attributeFormDefault="unqualified">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xOccurs="1" minOccurs="0" name="contentType" ma:index="0" ma:displayName="Content Type" type="xsd:string"/>
        <xsd:element maxOccurs="1" minOccurs="0" ma:index="4" ref="dc:title" ma:displayName="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elementFormDefault="qualified" targetNamespace="http://schemas.microsoft.com/office/infopath/2007/PartnerControls" attributeFormDefault="unqualified">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CC5B0B-490C-49EB-9808-6A0F5008DB27}">
  <ds:schemaRefs>
    <ds:schemaRef ds:uri="http://schemas.microsoft.com/sharepoint/v3/contenttype/form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EC65B44-31B3-4D4C-95DA-9A3231759ADF}">
  <ds:schemaRefs>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FCDEAF49-F725-4D10-B94E-6D1099863452}">
  <ds:schemaRefs>
    <ds:schemaRef ds:uri="http://schemas.openxmlformats.org/officeDocument/2006/bibliography"/>
  </ds:schemaRefs>
</ds:datastoreItem>
</file>

<file path=customXml/itemProps5.xml><?xml version="1.0" encoding="utf-8"?>
<ds:datastoreItem xmlns:ds="http://schemas.openxmlformats.org/officeDocument/2006/customXml" ds:itemID="{8944238C-BCB3-4E3B-8B5C-550FC6B85101}">
  <ds:schemaRefs>
    <ds:schemaRef ds:uri="http://schemas.microsoft.com/office/2006/metadata/properties/metaAttributes"/>
    <ds:schemaRef ds:uri="http://schemas.microsoft.com/office/2006/metadata/contentType"/>
    <ds:schemaRef ds:uri="http://www.w3.org/2001/XMLSchema"/>
    <ds:schemaRef ds:uri="http://schemas.microsoft.com/office/2006/metadata/properties"/>
    <ds:schemaRef ds:uri="http://schemas.openxmlformats.org/package/2006/metadata/core-properties"/>
    <ds:schemaRef ds:uri="http://schemas.microsoft.com/internal/obd"/>
    <ds:schemaRef ds:uri="http://purl.org/dc/terms/"/>
    <ds:schemaRef ds:uri="http://purl.org/dc/elements/1.1/"/>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马燕</cp:lastModifiedBy>
  <cp:revision>8</cp:revision>
  <dcterms:created xsi:type="dcterms:W3CDTF">2026-07-28T05:28:00Z</dcterms:created>
  <dcterms:modified xsi:type="dcterms:W3CDTF">2026-07-30T03:27:57Z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2052-12.1.25895.25895</vt:lpwstr>
  </property>
  <property fmtid="{D5CDD505-2E9C-101B-9397-08002B2CF9AE}" pid="3" name="ICV">
    <vt:lpwstr>8890182B3D1776719B09686ADC5E03C8_43</vt:lpwstr>
  </property>
  <property fmtid="{D5CDD505-2E9C-101B-9397-08002B2CF9AE}" pid="4" name="ContentTypeId">
    <vt:lpwstr>0x01010081C51C0CE0027140830352BF468F90BF</vt:lpwstr>
  </property>
  <property fmtid="{D5CDD505-2E9C-101B-9397-08002B2CF9AE}" pid="5" name="KSOTemplateDocerSaveRecord">
    <vt:lpwstr>eyJoZGlkIjoiMGU4MjA0Mjc2ZDllNjg5NzFkN2YzYjdjNmVlMjA2NDQiLCJ1c2VySWQiOiI1MDk2NjE4OTMifQ==</vt:lpwstr>
  </property>
</Properties>
</file>