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cs="宋体"/>
          <w:bCs/>
          <w:color w:val="000000" w:themeColor="text1"/>
          <w:sz w:val="30"/>
          <w:highlight w:val="none"/>
        </w:rPr>
      </w:pPr>
      <w:r>
        <w:rPr>
          <w:rFonts w:ascii="宋体" w:hAnsi="宋体" w:cs="宋体"/>
          <w:bCs/>
          <w:color w:val="000000" w:themeColor="text1"/>
          <w:sz w:val="30"/>
          <w:highlight w:val="none"/>
        </w:rPr>
      </w:r>
      <w:r>
        <w:rPr>
          <w:color w:val="000000" w:themeColor="text1"/>
        </w:rPr>
      </w:r>
      <w:r/>
    </w:p>
    <w:p>
      <w:pPr>
        <w:ind w:left="660"/>
        <w:rPr>
          <w:rFonts w:ascii="楷体_GB2312" w:eastAsia="楷体_GB2312"/>
          <w:bCs/>
          <w:color w:val="000000" w:themeColor="text1"/>
          <w:sz w:val="30"/>
          <w:highlight w:val="none"/>
        </w:rPr>
      </w:pPr>
      <w:r>
        <w:rPr>
          <w:rFonts w:ascii="楷体_GB2312" w:eastAsia="楷体_GB2312"/>
          <w:bCs/>
          <w:color w:val="000000" w:themeColor="text1"/>
          <w:sz w:val="30"/>
          <w:highlight w:val="none"/>
        </w:rPr>
      </w:r>
      <w:r>
        <w:rPr>
          <w:color w:val="000000" w:themeColor="text1"/>
        </w:rPr>
      </w:r>
      <w:r/>
    </w:p>
    <w:p>
      <w:pPr>
        <w:jc w:val="center"/>
        <w:rPr>
          <w:rFonts w:ascii="黑体" w:hAnsi="华文中宋" w:eastAsia="黑体"/>
          <w:bCs/>
          <w:color w:val="000000" w:themeColor="text1"/>
          <w:spacing w:val="20"/>
          <w:sz w:val="72"/>
          <w:szCs w:val="72"/>
          <w:highlight w:val="none"/>
        </w:rPr>
      </w:pPr>
      <w:r>
        <w:rPr>
          <w:rFonts w:ascii="黑体" w:hAnsi="华文中宋" w:eastAsia="黑体"/>
          <w:bCs/>
          <w:color w:val="000000" w:themeColor="text1"/>
          <w:spacing w:val="20"/>
          <w:sz w:val="72"/>
          <w:szCs w:val="72"/>
          <w:highlight w:val="none"/>
        </w:rPr>
      </w:r>
      <w:r>
        <w:rPr>
          <w:color w:val="000000" w:themeColor="text1"/>
        </w:rPr>
      </w:r>
      <w:r/>
    </w:p>
    <w:p>
      <w:pPr>
        <w:jc w:val="center"/>
        <w:rPr>
          <w:rFonts w:ascii="黑体" w:hAnsi="华文中宋" w:eastAsia="黑体"/>
          <w:bCs/>
          <w:color w:val="000000" w:themeColor="text1"/>
          <w:spacing w:val="20"/>
          <w:sz w:val="72"/>
          <w:szCs w:val="72"/>
          <w:highlight w:val="none"/>
        </w:rPr>
      </w:pPr>
      <w:r>
        <w:rPr>
          <w:rFonts w:ascii="黑体" w:hAnsi="华文中宋" w:eastAsia="黑体"/>
          <w:bCs/>
          <w:color w:val="000000" w:themeColor="text1"/>
          <w:spacing w:val="20"/>
          <w:sz w:val="72"/>
          <w:szCs w:val="72"/>
          <w:highlight w:val="none"/>
        </w:rPr>
      </w:r>
      <w:r>
        <w:rPr>
          <w:color w:val="000000" w:themeColor="text1"/>
        </w:rPr>
      </w:r>
      <w:r/>
    </w:p>
    <w:p>
      <w:pPr>
        <w:jc w:val="center"/>
        <w:rPr>
          <w:rFonts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t xml:space="preserve">无锡市政府采购</w:t>
      </w:r>
      <w:r>
        <w:rPr>
          <w:color w:val="000000" w:themeColor="text1"/>
        </w:rPr>
      </w:r>
      <w:r/>
    </w:p>
    <w:p>
      <w:pPr>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rPr>
          <w:color w:val="000000" w:themeColor="text1"/>
        </w:rPr>
      </w:r>
      <w:r/>
    </w:p>
    <w:p>
      <w:pPr>
        <w:jc w:val="center"/>
        <w:tabs>
          <w:tab w:val="left" w:pos="9921" w:leader="none"/>
        </w:tabs>
        <w:rPr>
          <w:rFonts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t xml:space="preserve">（全流程电子化）</w:t>
      </w:r>
      <w:r>
        <w:rPr>
          <w:color w:val="000000" w:themeColor="text1"/>
        </w:rPr>
      </w:r>
      <w:r/>
    </w:p>
    <w:p>
      <w:pPr>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rPr>
          <w:color w:val="000000" w:themeColor="text1"/>
        </w:rPr>
      </w:r>
      <w:r/>
    </w:p>
    <w:p>
      <w:pPr>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rPr>
          <w:color w:val="000000" w:themeColor="text1"/>
        </w:rPr>
      </w:r>
      <w:r/>
    </w:p>
    <w:p>
      <w:pPr>
        <w:jc w:val="center"/>
        <w:rPr>
          <w:rFonts w:ascii="黑体" w:hAnsi="华文中宋" w:eastAsia="黑体"/>
          <w:bCs/>
          <w:color w:val="000000" w:themeColor="text1"/>
          <w:spacing w:val="20"/>
          <w:sz w:val="48"/>
          <w:szCs w:val="48"/>
          <w:highlight w:val="none"/>
        </w:rPr>
      </w:pPr>
      <w:r>
        <w:rPr>
          <w:rFonts w:hint="eastAsia" w:ascii="黑体" w:hAnsi="华文中宋" w:eastAsia="黑体"/>
          <w:bCs/>
          <w:color w:val="000000" w:themeColor="text1"/>
          <w:spacing w:val="20"/>
          <w:sz w:val="48"/>
          <w:szCs w:val="48"/>
          <w:highlight w:val="none"/>
        </w:rPr>
        <w:t xml:space="preserve">公开</w:t>
      </w:r>
      <w:r>
        <w:rPr>
          <w:color w:val="000000" w:themeColor="text1"/>
        </w:rPr>
      </w:r>
      <w:r/>
    </w:p>
    <w:p>
      <w:pPr>
        <w:jc w:val="center"/>
        <w:rPr>
          <w:rFonts w:ascii="黑体" w:hAnsi="华文中宋" w:eastAsia="黑体"/>
          <w:bCs/>
          <w:color w:val="000000" w:themeColor="text1"/>
          <w:spacing w:val="20"/>
          <w:sz w:val="52"/>
          <w:szCs w:val="52"/>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000000" w:themeColor="text1"/>
          <w:spacing w:val="20"/>
          <w:sz w:val="52"/>
          <w:szCs w:val="52"/>
          <w:highlight w:val="none"/>
        </w:rPr>
        <w:t xml:space="preserve">招标文件</w:t>
      </w:r>
      <w:r>
        <w:rPr>
          <w:color w:val="000000" w:themeColor="text1"/>
        </w:rPr>
      </w:r>
      <w:r/>
    </w:p>
    <w:p>
      <w:pPr>
        <w:rPr>
          <w:rFonts w:ascii="华文中宋" w:hAnsi="华文中宋" w:eastAsia="华文中宋"/>
          <w:bCs/>
          <w:color w:val="000000" w:themeColor="text1"/>
          <w:sz w:val="30"/>
          <w:highlight w:val="none"/>
        </w:rPr>
      </w:pPr>
      <w:r>
        <w:rPr>
          <w:rFonts w:ascii="华文中宋" w:hAnsi="华文中宋" w:eastAsia="华文中宋"/>
          <w:bCs/>
          <w:color w:val="000000" w:themeColor="text1"/>
          <w:sz w:val="30"/>
          <w:highlight w:val="none"/>
        </w:rPr>
      </w:r>
      <w:r>
        <w:rPr>
          <w:color w:val="000000" w:themeColor="text1"/>
        </w:rPr>
      </w:r>
      <w:r/>
    </w:p>
    <w:p>
      <w:pPr>
        <w:ind w:firstLine="900"/>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rPr>
      </w:r>
      <w:r/>
    </w:p>
    <w:p>
      <w:pPr>
        <w:ind w:firstLine="900"/>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rPr>
      </w:r>
      <w:r/>
    </w:p>
    <w:p>
      <w:pPr>
        <w:pStyle w:val="713"/>
        <w:rPr>
          <w:rFonts w:ascii="黑体" w:hAnsi="华文中宋" w:eastAsia="黑体"/>
          <w:color w:val="000000" w:themeColor="text1"/>
          <w:sz w:val="30"/>
          <w:szCs w:val="30"/>
          <w:highlight w:val="none"/>
        </w:rPr>
      </w:pPr>
      <w:r>
        <w:rPr>
          <w:rFonts w:ascii="黑体" w:hAnsi="华文中宋" w:eastAsia="黑体"/>
          <w:color w:val="000000" w:themeColor="text1"/>
          <w:sz w:val="30"/>
          <w:szCs w:val="30"/>
          <w:highlight w:val="none"/>
        </w:rPr>
      </w:r>
      <w:r>
        <w:rPr>
          <w:color w:val="000000" w:themeColor="text1"/>
        </w:rPr>
      </w:r>
      <w:r/>
    </w:p>
    <w:p>
      <w:pPr>
        <w:pStyle w:val="713"/>
        <w:rPr>
          <w:rFonts w:ascii="黑体" w:hAnsi="华文中宋" w:eastAsia="黑体"/>
          <w:color w:val="000000" w:themeColor="text1"/>
          <w:sz w:val="30"/>
          <w:szCs w:val="30"/>
          <w:highlight w:val="none"/>
        </w:rPr>
      </w:pPr>
      <w:r>
        <w:rPr>
          <w:rFonts w:ascii="黑体" w:hAnsi="华文中宋" w:eastAsia="黑体"/>
          <w:color w:val="000000" w:themeColor="text1"/>
          <w:sz w:val="30"/>
          <w:szCs w:val="30"/>
          <w:highlight w:val="none"/>
        </w:rPr>
      </w:r>
      <w:r>
        <w:rPr>
          <w:color w:val="000000" w:themeColor="text1"/>
        </w:rPr>
      </w:r>
      <w:r/>
    </w:p>
    <w:p>
      <w:pPr>
        <w:pStyle w:val="713"/>
        <w:rPr>
          <w:rFonts w:ascii="黑体" w:hAnsi="华文中宋" w:eastAsia="黑体"/>
          <w:color w:val="000000" w:themeColor="text1"/>
          <w:sz w:val="30"/>
          <w:szCs w:val="30"/>
          <w:highlight w:val="none"/>
        </w:rPr>
      </w:pPr>
      <w:r>
        <w:rPr>
          <w:rFonts w:ascii="黑体" w:hAnsi="华文中宋" w:eastAsia="黑体"/>
          <w:color w:val="000000" w:themeColor="text1"/>
          <w:sz w:val="30"/>
          <w:szCs w:val="30"/>
          <w:highlight w:val="none"/>
        </w:rPr>
      </w:r>
      <w:r>
        <w:rPr>
          <w:color w:val="000000" w:themeColor="text1"/>
        </w:rPr>
      </w:r>
      <w:r/>
    </w:p>
    <w:p>
      <w:pPr>
        <w:pStyle w:val="713"/>
        <w:rPr>
          <w:rFonts w:ascii="黑体" w:hAnsi="华文中宋" w:eastAsia="黑体"/>
          <w:color w:val="000000" w:themeColor="text1"/>
          <w:sz w:val="30"/>
          <w:szCs w:val="30"/>
          <w:highlight w:val="none"/>
        </w:rPr>
      </w:pPr>
      <w:r>
        <w:rPr>
          <w:rFonts w:ascii="黑体" w:hAnsi="华文中宋" w:eastAsia="黑体"/>
          <w:color w:val="000000" w:themeColor="text1"/>
          <w:sz w:val="30"/>
          <w:szCs w:val="30"/>
          <w:highlight w:val="none"/>
        </w:rPr>
      </w:r>
      <w:r>
        <w:rPr>
          <w:color w:val="000000" w:themeColor="text1"/>
        </w:rPr>
      </w:r>
      <w:r/>
    </w:p>
    <w:p>
      <w:pPr>
        <w:pStyle w:val="723"/>
        <w:rPr>
          <w:rFonts w:ascii="黑体" w:hAnsi="华文中宋" w:eastAsia="黑体"/>
          <w:color w:val="000000" w:themeColor="text1"/>
          <w:sz w:val="30"/>
          <w:szCs w:val="30"/>
          <w:highlight w:val="none"/>
        </w:rPr>
      </w:pPr>
      <w:r>
        <w:rPr>
          <w:rFonts w:ascii="黑体" w:hAnsi="华文中宋" w:eastAsia="黑体"/>
          <w:color w:val="000000" w:themeColor="text1"/>
          <w:sz w:val="30"/>
          <w:szCs w:val="30"/>
          <w:highlight w:val="none"/>
        </w:rPr>
      </w:r>
      <w:r>
        <w:rPr>
          <w:color w:val="000000" w:themeColor="text1"/>
        </w:rPr>
      </w:r>
      <w:r/>
    </w:p>
    <w:p>
      <w:pPr>
        <w:ind w:firstLine="600"/>
        <w:jc w:val="left"/>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rPr>
      </w:r>
      <w:r/>
    </w:p>
    <w:p>
      <w:pPr>
        <w:ind w:firstLine="600"/>
        <w:jc w:val="left"/>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采购项目编号：</w:t>
      </w:r>
      <w:r>
        <w:rPr>
          <w:rFonts w:hint="eastAsia" w:ascii="黑体" w:hAnsi="华文中宋" w:eastAsia="黑体"/>
          <w:bCs/>
          <w:color w:val="000000" w:themeColor="text1"/>
          <w:sz w:val="30"/>
          <w:szCs w:val="30"/>
          <w:highlight w:val="none"/>
          <w:lang w:eastAsia="zh-CN"/>
        </w:rPr>
        <w:t xml:space="preserve">JSZC-320200-JSZH-G2026-0068</w:t>
      </w:r>
      <w:r>
        <w:rPr>
          <w:color w:val="000000" w:themeColor="text1"/>
        </w:rPr>
      </w:r>
      <w:r/>
    </w:p>
    <w:p>
      <w:pPr>
        <w:ind w:firstLine="600"/>
        <w:jc w:val="left"/>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rPr>
      </w:r>
      <w:r/>
    </w:p>
    <w:p>
      <w:pPr>
        <w:ind w:firstLine="600"/>
        <w:jc w:val="left"/>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采购项目名称：</w:t>
      </w:r>
      <w:r>
        <w:rPr>
          <w:rFonts w:hint="eastAsia" w:ascii="黑体" w:hAnsi="华文中宋" w:eastAsia="黑体"/>
          <w:bCs/>
          <w:color w:val="000000" w:themeColor="text1"/>
          <w:sz w:val="30"/>
          <w:szCs w:val="30"/>
          <w:highlight w:val="none"/>
          <w:lang w:eastAsia="zh-CN"/>
        </w:rPr>
        <w:t xml:space="preserve">太湖局元荡水质站提档升级项目</w:t>
      </w:r>
      <w:r>
        <w:rPr>
          <w:color w:val="000000" w:themeColor="text1"/>
        </w:rPr>
      </w:r>
      <w:r/>
    </w:p>
    <w:p>
      <w:pPr>
        <w:ind w:firstLine="600"/>
        <w:jc w:val="left"/>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rPr>
      </w:r>
      <w:r/>
    </w:p>
    <w:p>
      <w:pPr>
        <w:ind w:firstLine="600"/>
        <w:jc w:val="left"/>
        <w:rPr>
          <w:rFonts w:ascii="华文中宋" w:hAnsi="华文中宋" w:eastAsia="华文中宋"/>
          <w:bCs/>
          <w:color w:val="000000" w:themeColor="text1"/>
          <w:sz w:val="32"/>
          <w:highlight w:val="none"/>
        </w:rPr>
      </w:pPr>
      <w:r>
        <w:rPr>
          <w:rFonts w:hint="eastAsia" w:ascii="黑体" w:hAnsi="华文中宋" w:eastAsia="黑体"/>
          <w:bCs/>
          <w:color w:val="000000" w:themeColor="text1"/>
          <w:sz w:val="30"/>
          <w:szCs w:val="30"/>
          <w:highlight w:val="none"/>
        </w:rPr>
        <w:t xml:space="preserve">采购代理机构：江苏智汇锡建工程项目管理有限公司</w:t>
      </w:r>
      <w:r>
        <w:rPr>
          <w:color w:val="000000" w:themeColor="text1"/>
        </w:rPr>
      </w:r>
      <w:r/>
    </w:p>
    <w:p>
      <w:pPr>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rPr>
      </w:r>
      <w:r/>
    </w:p>
    <w:p>
      <w:pPr>
        <w:jc w:val="center"/>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二〇二六年</w:t>
      </w:r>
      <w:r>
        <w:rPr>
          <w:rFonts w:hint="eastAsia" w:ascii="黑体" w:hAnsi="华文中宋" w:eastAsia="黑体"/>
          <w:bCs/>
          <w:color w:val="000000" w:themeColor="text1"/>
          <w:sz w:val="30"/>
          <w:szCs w:val="30"/>
          <w:highlight w:val="none"/>
          <w:lang w:val="en-US" w:eastAsia="zh-CN"/>
        </w:rPr>
        <w:t xml:space="preserve">八</w:t>
      </w:r>
      <w:r>
        <w:rPr>
          <w:rFonts w:hint="eastAsia" w:ascii="黑体" w:hAnsi="华文中宋" w:eastAsia="黑体"/>
          <w:bCs/>
          <w:color w:val="000000" w:themeColor="text1"/>
          <w:sz w:val="30"/>
          <w:szCs w:val="30"/>
          <w:highlight w:val="none"/>
        </w:rPr>
        <w:t xml:space="preserve">月</w:t>
      </w:r>
      <w:r>
        <w:rPr>
          <w:color w:val="000000" w:themeColor="text1"/>
        </w:rPr>
      </w:r>
      <w:r/>
    </w:p>
    <w:p>
      <w:pPr>
        <w:jc w:val="center"/>
        <w:rPr>
          <w:rStyle w:val="755"/>
          <w:rFonts w:eastAsia="黑体"/>
          <w:bCs/>
          <w:color w:val="000000" w:themeColor="text1"/>
          <w:sz w:val="48"/>
          <w:highlight w:val="none"/>
        </w:rPr>
      </w:pPr>
      <w:r>
        <w:rPr>
          <w:rStyle w:val="755"/>
          <w:rFonts w:eastAsia="黑体"/>
          <w:bCs/>
          <w:color w:val="000000" w:themeColor="text1"/>
          <w:sz w:val="48"/>
          <w:highlight w:val="none"/>
        </w:rPr>
        <w:br w:type="page" w:clear="all"/>
      </w:r>
      <w:r>
        <w:rPr>
          <w:rStyle w:val="755"/>
          <w:rFonts w:hint="eastAsia" w:eastAsia="黑体"/>
          <w:bCs/>
          <w:color w:val="000000" w:themeColor="text1"/>
          <w:sz w:val="48"/>
          <w:highlight w:val="none"/>
        </w:rPr>
        <w:t xml:space="preserve">目录</w:t>
      </w:r>
      <w:r>
        <w:rPr>
          <w:color w:val="000000" w:themeColor="text1"/>
        </w:rPr>
      </w:r>
      <w:r/>
    </w:p>
    <w:p>
      <w:pPr>
        <w:jc w:val="center"/>
        <w:rPr>
          <w:rFonts w:ascii="宋体" w:hAnsi="宋体" w:cs="宋体"/>
          <w:bCs/>
          <w:color w:val="000000" w:themeColor="text1"/>
          <w:sz w:val="30"/>
          <w:highlight w:val="none"/>
        </w:rPr>
      </w:pPr>
      <w:r>
        <w:rPr>
          <w:rFonts w:ascii="宋体" w:hAnsi="宋体" w:cs="宋体"/>
          <w:bCs/>
          <w:color w:val="000000" w:themeColor="text1"/>
          <w:sz w:val="30"/>
          <w:highlight w:val="none"/>
        </w:rPr>
      </w:r>
      <w:r>
        <w:rPr>
          <w:color w:val="000000" w:themeColor="text1"/>
        </w:rPr>
      </w:r>
      <w:r/>
    </w:p>
    <w:p>
      <w:pPr>
        <w:pStyle w:val="736"/>
        <w:spacing w:line="480" w:lineRule="auto"/>
        <w:tabs>
          <w:tab w:val="right" w:pos="9746" w:leader="dot"/>
        </w:tabs>
        <w:rPr>
          <w:rFonts w:ascii="宋体" w:hAnsi="宋体" w:cs="宋体"/>
          <w:b/>
          <w:bCs/>
          <w:color w:val="000000" w:themeColor="text1"/>
          <w:sz w:val="32"/>
          <w:szCs w:val="28"/>
          <w:highlight w:val="none"/>
        </w:rPr>
      </w:pPr>
      <w:r>
        <w:rPr>
          <w:rFonts w:hint="eastAsia" w:ascii="宋体" w:hAnsi="宋体" w:cs="宋体"/>
          <w:b/>
          <w:bCs/>
          <w:color w:val="000000" w:themeColor="text1"/>
          <w:sz w:val="48"/>
          <w:szCs w:val="28"/>
          <w:highlight w:val="none"/>
        </w:rPr>
        <w:fldChar w:fldCharType="begin"/>
      </w:r>
      <w:r>
        <w:rPr>
          <w:rFonts w:hint="eastAsia" w:ascii="宋体" w:hAnsi="宋体" w:cs="宋体"/>
          <w:b/>
          <w:bCs/>
          <w:color w:val="000000" w:themeColor="text1"/>
          <w:sz w:val="48"/>
          <w:szCs w:val="28"/>
          <w:highlight w:val="none"/>
        </w:rPr>
        <w:instrText xml:space="preserve">TOC \o "1-1" \h \u </w:instrText>
      </w:r>
      <w:r>
        <w:rPr>
          <w:rFonts w:hint="eastAsia" w:ascii="宋体" w:hAnsi="宋体" w:cs="宋体"/>
          <w:b/>
          <w:bCs/>
          <w:color w:val="000000" w:themeColor="text1"/>
          <w:sz w:val="48"/>
          <w:szCs w:val="28"/>
          <w:highlight w:val="none"/>
        </w:rPr>
        <w:fldChar w:fldCharType="separate"/>
      </w:r>
      <w:r>
        <w:rPr>
          <w:color w:val="000000" w:themeColor="text1"/>
          <w:highlight w:val="none"/>
        </w:rPr>
        <w:fldChar w:fldCharType="begin"/>
      </w:r>
      <w:r>
        <w:rPr>
          <w:color w:val="000000" w:themeColor="text1"/>
          <w:highlight w:val="none"/>
        </w:rPr>
        <w:instrText xml:space="preserve"> HYPERLINK \l "_Toc4231" \o "#_Toc4231" </w:instrText>
      </w:r>
      <w:r>
        <w:rPr>
          <w:color w:val="000000" w:themeColor="text1"/>
          <w:highlight w:val="none"/>
        </w:rPr>
        <w:fldChar w:fldCharType="separate"/>
      </w:r>
      <w:r>
        <w:rPr>
          <w:rFonts w:hint="eastAsia" w:ascii="宋体" w:hAnsi="宋体" w:cs="宋体"/>
          <w:b/>
          <w:bCs/>
          <w:color w:val="000000" w:themeColor="text1"/>
          <w:sz w:val="32"/>
          <w:szCs w:val="44"/>
          <w:highlight w:val="none"/>
        </w:rPr>
        <w:t xml:space="preserve">一、投标邀请函</w:t>
      </w:r>
      <w:r>
        <w:rPr>
          <w:rFonts w:hint="eastAsia" w:ascii="宋体" w:hAnsi="宋体" w:cs="宋体"/>
          <w:b/>
          <w:bCs/>
          <w:color w:val="000000" w:themeColor="text1"/>
          <w:sz w:val="32"/>
          <w:szCs w:val="28"/>
          <w:highlight w:val="none"/>
        </w:rPr>
        <w:tab/>
      </w:r>
      <w:r>
        <w:rPr>
          <w:rFonts w:hint="eastAsia" w:ascii="宋体" w:hAnsi="宋体" w:cs="宋体"/>
          <w:b/>
          <w:bCs/>
          <w:color w:val="000000" w:themeColor="text1"/>
          <w:sz w:val="32"/>
          <w:szCs w:val="28"/>
          <w:highlight w:val="none"/>
        </w:rPr>
        <w:fldChar w:fldCharType="begin"/>
      </w:r>
      <w:r>
        <w:rPr>
          <w:rFonts w:hint="eastAsia" w:ascii="宋体" w:hAnsi="宋体" w:cs="宋体"/>
          <w:b/>
          <w:bCs/>
          <w:color w:val="000000" w:themeColor="text1"/>
          <w:sz w:val="32"/>
          <w:szCs w:val="28"/>
          <w:highlight w:val="none"/>
        </w:rPr>
        <w:instrText xml:space="preserve"> PAGEREF _Toc4231 \h </w:instrText>
      </w:r>
      <w:r>
        <w:rPr>
          <w:rFonts w:hint="eastAsia" w:ascii="宋体" w:hAnsi="宋体" w:cs="宋体"/>
          <w:b/>
          <w:bCs/>
          <w:color w:val="000000" w:themeColor="text1"/>
          <w:sz w:val="32"/>
          <w:szCs w:val="28"/>
          <w:highlight w:val="none"/>
        </w:rPr>
        <w:fldChar w:fldCharType="separate"/>
      </w:r>
      <w:r>
        <w:rPr>
          <w:rFonts w:hint="eastAsia" w:ascii="宋体" w:hAnsi="宋体" w:cs="宋体"/>
          <w:b/>
          <w:bCs/>
          <w:color w:val="000000" w:themeColor="text1"/>
          <w:sz w:val="32"/>
          <w:szCs w:val="28"/>
          <w:highlight w:val="none"/>
        </w:rPr>
        <w:t xml:space="preserve">3</w:t>
      </w:r>
      <w:r>
        <w:rPr>
          <w:rFonts w:hint="eastAsia" w:ascii="宋体" w:hAnsi="宋体" w:cs="宋体"/>
          <w:b/>
          <w:bCs/>
          <w:color w:val="000000" w:themeColor="text1"/>
          <w:sz w:val="32"/>
          <w:szCs w:val="28"/>
          <w:highlight w:val="none"/>
        </w:rPr>
        <w:fldChar w:fldCharType="end"/>
      </w:r>
      <w:r>
        <w:rPr>
          <w:rFonts w:hint="eastAsia" w:ascii="宋体" w:hAnsi="宋体" w:cs="宋体"/>
          <w:b/>
          <w:bCs/>
          <w:color w:val="000000" w:themeColor="text1"/>
          <w:sz w:val="32"/>
          <w:szCs w:val="28"/>
          <w:highlight w:val="none"/>
        </w:rPr>
        <w:fldChar w:fldCharType="end"/>
      </w:r>
      <w:r>
        <w:rPr>
          <w:color w:val="000000" w:themeColor="text1"/>
        </w:rPr>
      </w:r>
      <w:r/>
    </w:p>
    <w:p>
      <w:pPr>
        <w:pStyle w:val="736"/>
        <w:spacing w:line="480" w:lineRule="auto"/>
        <w:tabs>
          <w:tab w:val="right" w:pos="9746" w:leader="dot"/>
        </w:tabs>
        <w:rPr>
          <w:rFonts w:ascii="宋体" w:hAnsi="宋体" w:cs="宋体"/>
          <w:b/>
          <w:bCs/>
          <w:color w:val="000000" w:themeColor="text1"/>
          <w:sz w:val="32"/>
          <w:szCs w:val="28"/>
          <w:highlight w:val="none"/>
        </w:rPr>
      </w:pPr>
      <w:r>
        <w:rPr>
          <w:color w:val="000000" w:themeColor="text1"/>
          <w:highlight w:val="none"/>
        </w:rPr>
        <w:fldChar w:fldCharType="begin"/>
      </w:r>
      <w:r>
        <w:rPr>
          <w:color w:val="000000" w:themeColor="text1"/>
          <w:highlight w:val="none"/>
        </w:rPr>
        <w:instrText xml:space="preserve"> HYPERLINK \l "_Toc26349" \o "#_Toc26349" </w:instrText>
      </w:r>
      <w:r>
        <w:rPr>
          <w:color w:val="000000" w:themeColor="text1"/>
          <w:highlight w:val="none"/>
        </w:rPr>
        <w:fldChar w:fldCharType="separate"/>
      </w:r>
      <w:r>
        <w:rPr>
          <w:rFonts w:hint="eastAsia" w:ascii="宋体" w:hAnsi="宋体" w:cs="宋体"/>
          <w:b/>
          <w:bCs/>
          <w:color w:val="000000" w:themeColor="text1"/>
          <w:sz w:val="32"/>
          <w:szCs w:val="44"/>
          <w:highlight w:val="none"/>
        </w:rPr>
        <w:t xml:space="preserve">二、投标人须知</w:t>
      </w:r>
      <w:r>
        <w:rPr>
          <w:rFonts w:hint="eastAsia" w:ascii="宋体" w:hAnsi="宋体" w:cs="宋体"/>
          <w:b/>
          <w:bCs/>
          <w:color w:val="000000" w:themeColor="text1"/>
          <w:sz w:val="32"/>
          <w:szCs w:val="28"/>
          <w:highlight w:val="none"/>
        </w:rPr>
        <w:tab/>
      </w:r>
      <w:r>
        <w:rPr>
          <w:rFonts w:hint="eastAsia" w:ascii="宋体" w:hAnsi="宋体" w:cs="宋体"/>
          <w:b/>
          <w:bCs/>
          <w:color w:val="000000" w:themeColor="text1"/>
          <w:sz w:val="32"/>
          <w:szCs w:val="28"/>
          <w:highlight w:val="none"/>
        </w:rPr>
        <w:fldChar w:fldCharType="begin"/>
      </w:r>
      <w:r>
        <w:rPr>
          <w:rFonts w:hint="eastAsia" w:ascii="宋体" w:hAnsi="宋体" w:cs="宋体"/>
          <w:b/>
          <w:bCs/>
          <w:color w:val="000000" w:themeColor="text1"/>
          <w:sz w:val="32"/>
          <w:szCs w:val="28"/>
          <w:highlight w:val="none"/>
        </w:rPr>
        <w:instrText xml:space="preserve"> PAGEREF _Toc26349 \h </w:instrText>
      </w:r>
      <w:r>
        <w:rPr>
          <w:rFonts w:hint="eastAsia" w:ascii="宋体" w:hAnsi="宋体" w:cs="宋体"/>
          <w:b/>
          <w:bCs/>
          <w:color w:val="000000" w:themeColor="text1"/>
          <w:sz w:val="32"/>
          <w:szCs w:val="28"/>
          <w:highlight w:val="none"/>
        </w:rPr>
        <w:fldChar w:fldCharType="separate"/>
      </w:r>
      <w:r>
        <w:rPr>
          <w:rFonts w:hint="eastAsia" w:ascii="宋体" w:hAnsi="宋体" w:cs="宋体"/>
          <w:b/>
          <w:bCs/>
          <w:color w:val="000000" w:themeColor="text1"/>
          <w:sz w:val="32"/>
          <w:szCs w:val="28"/>
          <w:highlight w:val="none"/>
        </w:rPr>
        <w:t xml:space="preserve">7</w:t>
      </w:r>
      <w:r>
        <w:rPr>
          <w:rFonts w:hint="eastAsia" w:ascii="宋体" w:hAnsi="宋体" w:cs="宋体"/>
          <w:b/>
          <w:bCs/>
          <w:color w:val="000000" w:themeColor="text1"/>
          <w:sz w:val="32"/>
          <w:szCs w:val="28"/>
          <w:highlight w:val="none"/>
        </w:rPr>
        <w:fldChar w:fldCharType="end"/>
      </w:r>
      <w:r>
        <w:rPr>
          <w:rFonts w:hint="eastAsia" w:ascii="宋体" w:hAnsi="宋体" w:cs="宋体"/>
          <w:b/>
          <w:bCs/>
          <w:color w:val="000000" w:themeColor="text1"/>
          <w:sz w:val="32"/>
          <w:szCs w:val="28"/>
          <w:highlight w:val="none"/>
        </w:rPr>
        <w:fldChar w:fldCharType="end"/>
      </w:r>
      <w:r>
        <w:rPr>
          <w:color w:val="000000" w:themeColor="text1"/>
        </w:rPr>
      </w:r>
      <w:r/>
    </w:p>
    <w:p>
      <w:pPr>
        <w:pStyle w:val="736"/>
        <w:spacing w:line="480" w:lineRule="auto"/>
        <w:tabs>
          <w:tab w:val="right" w:pos="9746" w:leader="dot"/>
        </w:tabs>
        <w:rPr>
          <w:rFonts w:ascii="宋体" w:hAnsi="宋体" w:cs="宋体"/>
          <w:b/>
          <w:bCs/>
          <w:color w:val="000000" w:themeColor="text1"/>
          <w:sz w:val="32"/>
          <w:szCs w:val="28"/>
          <w:highlight w:val="none"/>
        </w:rPr>
      </w:pPr>
      <w:r>
        <w:rPr>
          <w:color w:val="000000" w:themeColor="text1"/>
          <w:highlight w:val="none"/>
        </w:rPr>
        <w:fldChar w:fldCharType="begin"/>
      </w:r>
      <w:r>
        <w:rPr>
          <w:color w:val="000000" w:themeColor="text1"/>
          <w:highlight w:val="none"/>
        </w:rPr>
        <w:instrText xml:space="preserve"> HYPERLINK \l "_Toc24404" \o "#_Toc24404" </w:instrText>
      </w:r>
      <w:r>
        <w:rPr>
          <w:color w:val="000000" w:themeColor="text1"/>
          <w:highlight w:val="none"/>
        </w:rPr>
        <w:fldChar w:fldCharType="separate"/>
      </w:r>
      <w:r>
        <w:rPr>
          <w:rFonts w:hint="eastAsia" w:ascii="宋体" w:hAnsi="宋体" w:cs="宋体"/>
          <w:b/>
          <w:bCs/>
          <w:color w:val="000000" w:themeColor="text1"/>
          <w:sz w:val="32"/>
          <w:szCs w:val="52"/>
          <w:highlight w:val="none"/>
        </w:rPr>
        <w:t xml:space="preserve">三、项目技术要求和有关说明</w:t>
      </w:r>
      <w:r>
        <w:rPr>
          <w:rFonts w:hint="eastAsia" w:ascii="宋体" w:hAnsi="宋体" w:cs="宋体"/>
          <w:b/>
          <w:bCs/>
          <w:color w:val="000000" w:themeColor="text1"/>
          <w:sz w:val="32"/>
          <w:szCs w:val="28"/>
          <w:highlight w:val="none"/>
        </w:rPr>
        <w:tab/>
      </w:r>
      <w:r>
        <w:rPr>
          <w:rFonts w:hint="eastAsia" w:ascii="宋体" w:hAnsi="宋体" w:cs="宋体"/>
          <w:b/>
          <w:bCs/>
          <w:color w:val="000000" w:themeColor="text1"/>
          <w:sz w:val="32"/>
          <w:szCs w:val="28"/>
          <w:highlight w:val="none"/>
        </w:rPr>
        <w:fldChar w:fldCharType="begin"/>
      </w:r>
      <w:r>
        <w:rPr>
          <w:rFonts w:hint="eastAsia" w:ascii="宋体" w:hAnsi="宋体" w:cs="宋体"/>
          <w:b/>
          <w:bCs/>
          <w:color w:val="000000" w:themeColor="text1"/>
          <w:sz w:val="32"/>
          <w:szCs w:val="28"/>
          <w:highlight w:val="none"/>
        </w:rPr>
        <w:instrText xml:space="preserve"> PAGEREF _Toc24404 \h </w:instrText>
      </w:r>
      <w:r>
        <w:rPr>
          <w:rFonts w:hint="eastAsia" w:ascii="宋体" w:hAnsi="宋体" w:cs="宋体"/>
          <w:b/>
          <w:bCs/>
          <w:color w:val="000000" w:themeColor="text1"/>
          <w:sz w:val="32"/>
          <w:szCs w:val="28"/>
          <w:highlight w:val="none"/>
        </w:rPr>
        <w:fldChar w:fldCharType="separate"/>
      </w:r>
      <w:r>
        <w:rPr>
          <w:rFonts w:hint="eastAsia" w:ascii="宋体" w:hAnsi="宋体" w:cs="宋体"/>
          <w:b/>
          <w:bCs/>
          <w:color w:val="000000" w:themeColor="text1"/>
          <w:sz w:val="32"/>
          <w:szCs w:val="28"/>
          <w:highlight w:val="none"/>
        </w:rPr>
        <w:t xml:space="preserve">18</w:t>
      </w:r>
      <w:r>
        <w:rPr>
          <w:rFonts w:hint="eastAsia" w:ascii="宋体" w:hAnsi="宋体" w:cs="宋体"/>
          <w:b/>
          <w:bCs/>
          <w:color w:val="000000" w:themeColor="text1"/>
          <w:sz w:val="32"/>
          <w:szCs w:val="28"/>
          <w:highlight w:val="none"/>
        </w:rPr>
        <w:fldChar w:fldCharType="end"/>
      </w:r>
      <w:r>
        <w:rPr>
          <w:rFonts w:hint="eastAsia" w:ascii="宋体" w:hAnsi="宋体" w:cs="宋体"/>
          <w:b/>
          <w:bCs/>
          <w:color w:val="000000" w:themeColor="text1"/>
          <w:sz w:val="32"/>
          <w:szCs w:val="28"/>
          <w:highlight w:val="none"/>
        </w:rPr>
        <w:fldChar w:fldCharType="end"/>
      </w:r>
      <w:r>
        <w:rPr>
          <w:color w:val="000000" w:themeColor="text1"/>
        </w:rPr>
      </w:r>
      <w:r/>
    </w:p>
    <w:p>
      <w:pPr>
        <w:pStyle w:val="736"/>
        <w:spacing w:line="480" w:lineRule="auto"/>
        <w:tabs>
          <w:tab w:val="right" w:pos="9746" w:leader="dot"/>
        </w:tabs>
        <w:rPr>
          <w:rFonts w:ascii="宋体" w:hAnsi="宋体" w:cs="宋体"/>
          <w:b/>
          <w:bCs/>
          <w:color w:val="000000" w:themeColor="text1"/>
          <w:sz w:val="32"/>
          <w:szCs w:val="28"/>
          <w:highlight w:val="none"/>
        </w:rPr>
      </w:pPr>
      <w:r>
        <w:rPr>
          <w:color w:val="000000" w:themeColor="text1"/>
          <w:highlight w:val="none"/>
        </w:rPr>
        <w:fldChar w:fldCharType="begin"/>
      </w:r>
      <w:r>
        <w:rPr>
          <w:color w:val="000000" w:themeColor="text1"/>
          <w:highlight w:val="none"/>
        </w:rPr>
        <w:instrText xml:space="preserve"> HYPERLINK \l "_Toc29447" \o "#_Toc29447" </w:instrText>
      </w:r>
      <w:r>
        <w:rPr>
          <w:color w:val="000000" w:themeColor="text1"/>
          <w:highlight w:val="none"/>
        </w:rPr>
        <w:fldChar w:fldCharType="separate"/>
      </w:r>
      <w:r>
        <w:rPr>
          <w:rFonts w:hint="eastAsia" w:ascii="宋体" w:hAnsi="宋体" w:cs="宋体"/>
          <w:b/>
          <w:bCs/>
          <w:color w:val="000000" w:themeColor="text1"/>
          <w:sz w:val="32"/>
          <w:szCs w:val="52"/>
          <w:highlight w:val="none"/>
        </w:rPr>
        <w:t xml:space="preserve">四、合同书（格式）</w:t>
      </w:r>
      <w:r>
        <w:rPr>
          <w:rFonts w:hint="eastAsia" w:ascii="宋体" w:hAnsi="宋体" w:cs="宋体"/>
          <w:b/>
          <w:bCs/>
          <w:color w:val="000000" w:themeColor="text1"/>
          <w:sz w:val="32"/>
          <w:szCs w:val="28"/>
          <w:highlight w:val="none"/>
        </w:rPr>
        <w:tab/>
      </w:r>
      <w:r>
        <w:rPr>
          <w:rFonts w:hint="eastAsia" w:ascii="宋体" w:hAnsi="宋体" w:cs="宋体"/>
          <w:b/>
          <w:bCs/>
          <w:color w:val="000000" w:themeColor="text1"/>
          <w:sz w:val="32"/>
          <w:szCs w:val="28"/>
          <w:highlight w:val="none"/>
        </w:rPr>
        <w:t xml:space="preserve">28</w:t>
      </w:r>
      <w:r>
        <w:rPr>
          <w:rFonts w:hint="eastAsia" w:ascii="宋体" w:hAnsi="宋体" w:cs="宋体"/>
          <w:b/>
          <w:bCs/>
          <w:color w:val="000000" w:themeColor="text1"/>
          <w:sz w:val="32"/>
          <w:szCs w:val="28"/>
          <w:highlight w:val="none"/>
        </w:rPr>
        <w:fldChar w:fldCharType="end"/>
      </w:r>
      <w:r>
        <w:rPr>
          <w:color w:val="000000" w:themeColor="text1"/>
        </w:rPr>
      </w:r>
      <w:r/>
    </w:p>
    <w:p>
      <w:pPr>
        <w:pStyle w:val="736"/>
        <w:spacing w:line="480" w:lineRule="auto"/>
        <w:tabs>
          <w:tab w:val="right" w:pos="9746" w:leader="dot"/>
        </w:tabs>
        <w:rPr>
          <w:rFonts w:ascii="宋体" w:hAnsi="宋体" w:cs="宋体"/>
          <w:b/>
          <w:bCs/>
          <w:color w:val="000000" w:themeColor="text1"/>
          <w:sz w:val="32"/>
          <w:szCs w:val="28"/>
          <w:highlight w:val="none"/>
        </w:rPr>
      </w:pPr>
      <w:r>
        <w:rPr>
          <w:color w:val="000000" w:themeColor="text1"/>
          <w:highlight w:val="none"/>
        </w:rPr>
        <w:fldChar w:fldCharType="begin"/>
      </w:r>
      <w:r>
        <w:rPr>
          <w:color w:val="000000" w:themeColor="text1"/>
          <w:highlight w:val="none"/>
        </w:rPr>
        <w:instrText xml:space="preserve"> HYPERLINK \l "_Toc12839" \o "#_Toc12839" </w:instrText>
      </w:r>
      <w:r>
        <w:rPr>
          <w:color w:val="000000" w:themeColor="text1"/>
          <w:highlight w:val="none"/>
        </w:rPr>
        <w:fldChar w:fldCharType="separate"/>
      </w:r>
      <w:r>
        <w:rPr>
          <w:rFonts w:hint="eastAsia" w:ascii="宋体" w:hAnsi="宋体" w:cs="宋体"/>
          <w:b/>
          <w:bCs/>
          <w:color w:val="000000" w:themeColor="text1"/>
          <w:sz w:val="32"/>
          <w:szCs w:val="52"/>
          <w:highlight w:val="none"/>
        </w:rPr>
        <w:t xml:space="preserve">五、附件</w:t>
      </w:r>
      <w:r>
        <w:rPr>
          <w:rFonts w:hint="eastAsia" w:ascii="宋体" w:hAnsi="宋体" w:cs="宋体"/>
          <w:b/>
          <w:bCs/>
          <w:color w:val="000000" w:themeColor="text1"/>
          <w:sz w:val="32"/>
          <w:szCs w:val="28"/>
          <w:highlight w:val="none"/>
        </w:rPr>
        <w:tab/>
      </w:r>
      <w:r>
        <w:rPr>
          <w:rFonts w:hint="eastAsia" w:ascii="宋体" w:hAnsi="宋体" w:cs="宋体"/>
          <w:b/>
          <w:bCs/>
          <w:color w:val="000000" w:themeColor="text1"/>
          <w:sz w:val="32"/>
          <w:szCs w:val="28"/>
          <w:highlight w:val="none"/>
        </w:rPr>
        <w:t xml:space="preserve">43</w:t>
      </w:r>
      <w:r>
        <w:rPr>
          <w:rFonts w:hint="eastAsia" w:ascii="宋体" w:hAnsi="宋体" w:cs="宋体"/>
          <w:b/>
          <w:bCs/>
          <w:color w:val="000000" w:themeColor="text1"/>
          <w:sz w:val="32"/>
          <w:szCs w:val="28"/>
          <w:highlight w:val="none"/>
        </w:rPr>
        <w:fldChar w:fldCharType="end"/>
      </w:r>
      <w:r>
        <w:rPr>
          <w:color w:val="000000" w:themeColor="text1"/>
        </w:rPr>
      </w:r>
      <w:r/>
    </w:p>
    <w:p>
      <w:pPr>
        <w:spacing w:line="480" w:lineRule="auto"/>
        <w:rPr>
          <w:rFonts w:ascii="宋体"/>
          <w:bCs/>
          <w:color w:val="000000" w:themeColor="text1"/>
          <w:sz w:val="32"/>
          <w:highlight w:val="none"/>
        </w:rPr>
      </w:pPr>
      <w:r>
        <w:rPr>
          <w:rFonts w:hint="eastAsia" w:ascii="宋体" w:hAnsi="宋体" w:cs="宋体"/>
          <w:b/>
          <w:bCs/>
          <w:color w:val="000000" w:themeColor="text1"/>
          <w:sz w:val="32"/>
          <w:szCs w:val="28"/>
          <w:highlight w:val="none"/>
        </w:rPr>
        <w:fldChar w:fldCharType="end"/>
      </w:r>
      <w:r>
        <w:rPr>
          <w:color w:val="000000" w:themeColor="text1"/>
        </w:rPr>
      </w:r>
      <w:r/>
    </w:p>
    <w:p>
      <w:pPr>
        <w:jc w:val="center"/>
        <w:spacing w:line="360" w:lineRule="auto"/>
        <w:rPr>
          <w:rFonts w:ascii="黑体" w:eastAsia="黑体"/>
          <w:bCs/>
          <w:color w:val="000000" w:themeColor="text1"/>
          <w:sz w:val="28"/>
          <w:szCs w:val="28"/>
          <w:highlight w:val="none"/>
        </w:rPr>
        <w:outlineLvl w:val="0"/>
      </w:pPr>
      <w:r>
        <w:rPr>
          <w:color w:val="000000" w:themeColor="text1"/>
        </w:rPr>
      </w:r>
      <w:bookmarkStart w:id="0" w:name="报价方须知前附表"/>
      <w:r>
        <w:rPr>
          <w:color w:val="000000" w:themeColor="text1"/>
        </w:rPr>
      </w:r>
      <w:bookmarkEnd w:id="0"/>
      <w:r>
        <w:rPr>
          <w:rFonts w:ascii="黑体" w:eastAsia="黑体"/>
          <w:bCs/>
          <w:color w:val="000000" w:themeColor="text1"/>
          <w:sz w:val="28"/>
          <w:szCs w:val="28"/>
          <w:highlight w:val="none"/>
        </w:rPr>
        <w:br w:type="page" w:clear="all"/>
      </w:r>
      <w:bookmarkStart w:id="1" w:name="_Toc4231"/>
      <w:r>
        <w:rPr>
          <w:rFonts w:hint="eastAsia" w:ascii="黑体" w:eastAsia="黑体"/>
          <w:bCs/>
          <w:color w:val="000000" w:themeColor="text1"/>
          <w:sz w:val="28"/>
          <w:szCs w:val="28"/>
          <w:highlight w:val="none"/>
        </w:rPr>
        <w:t xml:space="preserve">一、投标邀请函</w:t>
      </w:r>
      <w:bookmarkEnd w:id="1"/>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江苏智汇锡建工程项目管理有限公司受太湖流域水文水资源监测中心（太湖流域水环境监测中心）委托，对</w:t>
      </w:r>
      <w:r>
        <w:rPr>
          <w:rFonts w:hint="eastAsia" w:ascii="宋体" w:hAnsi="宋体"/>
          <w:bCs/>
          <w:color w:val="000000" w:themeColor="text1"/>
          <w:sz w:val="24"/>
          <w:szCs w:val="24"/>
          <w:highlight w:val="none"/>
          <w:lang w:eastAsia="zh-CN"/>
        </w:rPr>
        <w:t xml:space="preserve">太湖局元荡水质站提档升级项目</w:t>
      </w:r>
      <w:r>
        <w:rPr>
          <w:rFonts w:hint="eastAsia" w:ascii="宋体" w:hAnsi="宋体"/>
          <w:bCs/>
          <w:color w:val="000000" w:themeColor="text1"/>
          <w:sz w:val="24"/>
          <w:szCs w:val="24"/>
          <w:highlight w:val="none"/>
        </w:rPr>
        <w:t xml:space="preserve">进行公开招标采购，欢迎符合相关条件的供应商参加投标并提请注意下列相关事项：</w:t>
      </w:r>
      <w:r>
        <w:rPr>
          <w:color w:val="000000" w:themeColor="text1"/>
        </w:rPr>
      </w:r>
      <w:r/>
    </w:p>
    <w:p>
      <w:pPr>
        <w:ind w:firstLine="480"/>
        <w:spacing w:line="360" w:lineRule="auto"/>
        <w:rPr>
          <w:rFonts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（一）</w:t>
      </w:r>
      <w:r>
        <w:rPr>
          <w:rFonts w:hint="eastAsia" w:ascii="黑体" w:hAnsi="黑体" w:eastAsia="黑体" w:cs="宋体"/>
          <w:color w:val="000000" w:themeColor="text1"/>
          <w:sz w:val="24"/>
          <w:szCs w:val="24"/>
          <w:highlight w:val="none"/>
        </w:rPr>
        <w:t xml:space="preserve">招标项目信息</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1.项目名称：</w:t>
      </w:r>
      <w:r>
        <w:rPr>
          <w:rFonts w:hint="eastAsia" w:ascii="宋体" w:hAnsi="宋体" w:cs="宋体"/>
          <w:color w:val="000000" w:themeColor="text1"/>
          <w:sz w:val="24"/>
          <w:szCs w:val="24"/>
          <w:highlight w:val="none"/>
          <w:lang w:eastAsia="zh-CN"/>
        </w:rPr>
        <w:t xml:space="preserve">太湖局元荡水质站提档升级项目</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2.项目编号：</w:t>
      </w:r>
      <w:r>
        <w:rPr>
          <w:rFonts w:hint="eastAsia" w:ascii="宋体" w:hAnsi="宋体" w:cs="宋体"/>
          <w:color w:val="000000" w:themeColor="text1"/>
          <w:sz w:val="24"/>
          <w:szCs w:val="24"/>
          <w:highlight w:val="none"/>
          <w:lang w:eastAsia="zh-CN"/>
        </w:rPr>
        <w:t xml:space="preserve">JSZC-320200-JSZH-G2026-0068</w:t>
      </w:r>
      <w:r>
        <w:rPr>
          <w:color w:val="000000" w:themeColor="text1"/>
        </w:rPr>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3.合同履行期限：</w:t>
      </w:r>
      <w:r>
        <w:rPr>
          <w:rFonts w:hint="eastAsia" w:ascii="宋体" w:hAnsi="宋体" w:cs="宋体"/>
          <w:color w:val="000000" w:themeColor="text1"/>
          <w:sz w:val="24"/>
          <w:szCs w:val="24"/>
          <w:highlight w:val="none"/>
          <w:lang w:val="en-US" w:eastAsia="zh-CN"/>
        </w:rPr>
        <w:t xml:space="preserve">90日历天</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4.项目基本情况</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太湖局元荡水质站提档升级项目</w:t>
      </w:r>
      <w:r>
        <w:rPr>
          <w:rFonts w:hint="eastAsia" w:ascii="宋体" w:hAnsi="宋体" w:cs="宋体"/>
          <w:color w:val="000000" w:themeColor="text1"/>
          <w:sz w:val="24"/>
          <w:szCs w:val="24"/>
          <w:highlight w:val="none"/>
        </w:rPr>
        <w:t xml:space="preserve">，本项目共设1个标段。具体如下：</w:t>
      </w:r>
      <w:r>
        <w:rPr>
          <w:color w:val="000000" w:themeColor="text1"/>
        </w:rPr>
      </w:r>
      <w:r/>
    </w:p>
    <w:p>
      <w:pPr>
        <w:pStyle w:val="999"/>
        <w:ind w:firstLine="480"/>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建设规模：</w:t>
      </w:r>
      <w:r>
        <w:rPr>
          <w:rFonts w:hint="eastAsia" w:ascii="宋体" w:hAnsi="宋体" w:eastAsia="宋体" w:cs="宋体"/>
          <w:color w:val="000000" w:themeColor="text1"/>
          <w:sz w:val="24"/>
          <w:szCs w:val="24"/>
          <w:highlight w:val="none"/>
          <w:lang w:val="en-US" w:eastAsia="zh-CN"/>
        </w:rPr>
        <w:t xml:space="preserve">改建</w:t>
      </w:r>
      <w:r>
        <w:rPr>
          <w:rFonts w:hint="default" w:ascii="宋体" w:hAnsi="宋体" w:eastAsia="宋体" w:cs="宋体"/>
          <w:color w:val="000000" w:themeColor="text1"/>
          <w:sz w:val="24"/>
          <w:szCs w:val="24"/>
          <w:highlight w:val="none"/>
          <w:lang w:val="en-US" w:eastAsia="zh-CN"/>
        </w:rPr>
        <w:t xml:space="preserve">水质监测基础设施</w:t>
      </w:r>
      <w:r>
        <w:rPr>
          <w:rFonts w:hint="eastAsia" w:ascii="宋体" w:hAnsi="宋体" w:eastAsia="宋体" w:cs="宋体"/>
          <w:color w:val="000000" w:themeColor="text1"/>
          <w:sz w:val="24"/>
          <w:szCs w:val="24"/>
          <w:highlight w:val="none"/>
          <w:lang w:val="en-US" w:eastAsia="zh-CN"/>
        </w:rPr>
        <w:t xml:space="preserve">，</w:t>
      </w:r>
      <w:r>
        <w:rPr>
          <w:rFonts w:hint="default" w:ascii="宋体" w:hAnsi="宋体" w:eastAsia="宋体" w:cs="宋体"/>
          <w:color w:val="000000" w:themeColor="text1"/>
          <w:sz w:val="24"/>
          <w:szCs w:val="24"/>
          <w:highlight w:val="none"/>
          <w:lang w:val="en-US" w:eastAsia="zh-CN"/>
        </w:rPr>
        <w:t xml:space="preserve">配置五要素微型气象仪</w:t>
      </w:r>
      <w:r>
        <w:rPr>
          <w:rFonts w:hint="eastAsia" w:ascii="宋体" w:hAnsi="宋体" w:eastAsia="宋体" w:cs="宋体"/>
          <w:color w:val="000000" w:themeColor="text1"/>
          <w:sz w:val="24"/>
          <w:szCs w:val="24"/>
          <w:highlight w:val="none"/>
          <w:lang w:val="en-US" w:eastAsia="zh-CN"/>
        </w:rPr>
        <w:t xml:space="preserve">、常规六参数分析仪</w:t>
      </w:r>
      <w:r>
        <w:rPr>
          <w:rFonts w:hint="default" w:ascii="宋体" w:hAnsi="宋体" w:eastAsia="宋体" w:cs="宋体"/>
          <w:color w:val="000000" w:themeColor="text1"/>
          <w:sz w:val="24"/>
          <w:szCs w:val="24"/>
          <w:highlight w:val="none"/>
          <w:lang w:val="en-US" w:eastAsia="zh-CN"/>
        </w:rPr>
        <w:t xml:space="preserve">、氨氮总氮总磷分析仪、叶绿素a分析仪等</w:t>
      </w:r>
      <w:r>
        <w:rPr>
          <w:rFonts w:hint="eastAsia" w:ascii="宋体" w:hAnsi="宋体" w:eastAsia="宋体" w:cs="宋体"/>
          <w:color w:val="000000" w:themeColor="text1"/>
          <w:sz w:val="24"/>
          <w:szCs w:val="24"/>
          <w:highlight w:val="none"/>
          <w:lang w:val="en-US" w:eastAsia="zh-CN"/>
        </w:rPr>
        <w:t xml:space="preserve">水文在线</w:t>
      </w:r>
      <w:r>
        <w:rPr>
          <w:rFonts w:hint="default" w:ascii="宋体" w:hAnsi="宋体" w:eastAsia="宋体" w:cs="宋体"/>
          <w:color w:val="000000" w:themeColor="text1"/>
          <w:sz w:val="24"/>
          <w:szCs w:val="24"/>
          <w:highlight w:val="none"/>
          <w:lang w:val="en-US" w:eastAsia="zh-CN"/>
        </w:rPr>
        <w:t xml:space="preserve">监测设备</w:t>
      </w:r>
      <w:r>
        <w:rPr>
          <w:rFonts w:hint="eastAsia" w:ascii="宋体" w:hAnsi="宋体" w:eastAsia="宋体" w:cs="宋体"/>
          <w:color w:val="000000" w:themeColor="text1"/>
          <w:sz w:val="24"/>
          <w:szCs w:val="24"/>
          <w:highlight w:val="none"/>
          <w:lang w:val="en-US" w:eastAsia="zh-CN"/>
        </w:rPr>
        <w:t xml:space="preserve">各1台（套）及</w:t>
      </w:r>
      <w:r>
        <w:rPr>
          <w:rFonts w:hint="default" w:ascii="宋体" w:hAnsi="宋体" w:eastAsia="宋体" w:cs="宋体"/>
          <w:color w:val="000000" w:themeColor="text1"/>
          <w:sz w:val="24"/>
          <w:szCs w:val="24"/>
          <w:highlight w:val="none"/>
          <w:lang w:val="en-US" w:eastAsia="zh-CN"/>
        </w:rPr>
        <w:t xml:space="preserve">北斗通信终端</w:t>
      </w:r>
      <w:r>
        <w:rPr>
          <w:rFonts w:hint="eastAsia" w:ascii="宋体" w:hAnsi="宋体" w:eastAsia="宋体" w:cs="宋体"/>
          <w:color w:val="000000" w:themeColor="text1"/>
          <w:sz w:val="24"/>
          <w:szCs w:val="24"/>
          <w:highlight w:val="none"/>
          <w:lang w:val="en-US" w:eastAsia="zh-CN"/>
        </w:rPr>
        <w:t xml:space="preserve">1台</w:t>
      </w:r>
      <w:r>
        <w:rPr>
          <w:rFonts w:hint="default" w:ascii="宋体" w:hAnsi="宋体" w:eastAsia="宋体" w:cs="宋体"/>
          <w:color w:val="000000" w:themeColor="text1"/>
          <w:sz w:val="24"/>
          <w:szCs w:val="24"/>
          <w:highlight w:val="none"/>
          <w:lang w:val="en-US" w:eastAsia="zh-CN"/>
        </w:rPr>
        <w:t xml:space="preserve">等。</w:t>
      </w:r>
      <w:r>
        <w:rPr>
          <w:color w:val="000000" w:themeColor="text1"/>
        </w:rPr>
      </w:r>
      <w:r/>
    </w:p>
    <w:p>
      <w:pPr>
        <w:numPr>
          <w:ilvl w:val="0"/>
          <w:numId w:val="0"/>
        </w:numPr>
        <w:ind w:firstLine="480"/>
        <w:jc w:val="left"/>
        <w:spacing w:line="360" w:lineRule="auto"/>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项</w:t>
      </w:r>
      <w:r>
        <w:rPr>
          <w:rFonts w:hint="eastAsia" w:ascii="宋体" w:hAnsi="宋体" w:cs="宋体"/>
          <w:color w:val="000000" w:themeColor="text1"/>
          <w:sz w:val="24"/>
          <w:szCs w:val="24"/>
          <w:highlight w:val="none"/>
          <w:lang w:val="en-US" w:eastAsia="zh-CN"/>
        </w:rPr>
        <w:t xml:space="preserve">目预算：165.51万元</w:t>
      </w:r>
      <w:r>
        <w:rPr>
          <w:color w:val="000000" w:themeColor="text1"/>
        </w:rPr>
      </w:r>
      <w:r/>
    </w:p>
    <w:p>
      <w:pPr>
        <w:numPr>
          <w:ilvl w:val="0"/>
          <w:numId w:val="0"/>
        </w:num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6.最高限价：</w:t>
      </w:r>
      <w:r>
        <w:rPr>
          <w:rFonts w:hint="eastAsia" w:ascii="宋体" w:hAnsi="宋体" w:cs="宋体"/>
          <w:color w:val="000000" w:themeColor="text1"/>
          <w:sz w:val="24"/>
          <w:szCs w:val="24"/>
          <w:highlight w:val="none"/>
          <w:lang w:val="en-US" w:eastAsia="zh-CN"/>
        </w:rPr>
        <w:t xml:space="preserve">164.83万元（其中，建安工程最高限价36.73万元，仪器设备购置最高限价128.10万元)</w:t>
      </w:r>
      <w:r>
        <w:rPr>
          <w:rFonts w:hint="eastAsia" w:ascii="宋体" w:hAnsi="宋体" w:cs="宋体"/>
          <w:color w:val="000000" w:themeColor="text1"/>
          <w:sz w:val="24"/>
          <w:szCs w:val="24"/>
          <w:highlight w:val="none"/>
        </w:rPr>
        <w:t xml:space="preserve">，投标</w:t>
      </w:r>
      <w:r>
        <w:rPr>
          <w:rFonts w:hint="eastAsia" w:ascii="宋体" w:hAnsi="宋体" w:cs="宋体"/>
          <w:color w:val="000000" w:themeColor="text1"/>
          <w:sz w:val="24"/>
          <w:szCs w:val="24"/>
          <w:highlight w:val="none"/>
        </w:rPr>
        <w:t xml:space="preserve">报价高于最高限价的作为无效投标处理</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7.采购方式：公开招标</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8.采购人：太湖流域水文水资源监测中心（太湖流域水环境监测中心）</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9.本项目标的所属行业：工业；</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10.本项目是否专门面向中小企业：否；</w:t>
      </w:r>
      <w:r>
        <w:rPr>
          <w:color w:val="000000" w:themeColor="text1"/>
        </w:rPr>
      </w:r>
      <w:r/>
    </w:p>
    <w:p>
      <w:pPr>
        <w:ind w:firstLine="480"/>
        <w:jc w:val="left"/>
        <w:spacing w:line="360" w:lineRule="auto"/>
        <w:widowControl/>
        <w:rPr>
          <w:rFonts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（二）投标人资格要求</w:t>
      </w:r>
      <w:r>
        <w:rPr>
          <w:color w:val="000000" w:themeColor="text1"/>
        </w:rPr>
      </w:r>
      <w:r/>
    </w:p>
    <w:p>
      <w:pPr>
        <w:ind w:firstLine="480"/>
        <w:jc w:val="left"/>
        <w:spacing w:line="360" w:lineRule="auto"/>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1.满足《中华人民共和国政府采购法》第二十二条规定；</w:t>
      </w:r>
      <w:r>
        <w:rPr>
          <w:color w:val="000000" w:themeColor="text1"/>
        </w:rPr>
      </w:r>
      <w:r/>
    </w:p>
    <w:p>
      <w:pPr>
        <w:ind w:firstLine="480"/>
        <w:jc w:val="left"/>
        <w:spacing w:line="360" w:lineRule="auto"/>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2.落实政府采购政策需满足的资格要求：无；</w:t>
      </w:r>
      <w:r>
        <w:rPr>
          <w:color w:val="000000" w:themeColor="text1"/>
        </w:rPr>
      </w:r>
      <w:r/>
    </w:p>
    <w:p>
      <w:pPr>
        <w:ind w:firstLine="480"/>
        <w:jc w:val="left"/>
        <w:spacing w:line="360" w:lineRule="auto"/>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3.具备采购人根据招标项目的特殊要求规定的以下特定资质：</w:t>
      </w:r>
      <w:r>
        <w:rPr>
          <w:color w:val="000000" w:themeColor="text1"/>
        </w:rPr>
      </w:r>
      <w:r/>
    </w:p>
    <w:p>
      <w:pPr>
        <w:ind w:firstLine="480"/>
        <w:jc w:val="left"/>
        <w:spacing w:line="360" w:lineRule="auto"/>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供应商应为中国大陆境内合法注册的独立企（事）业法人单位；（2）未被“信用中国”（www.creditchina.gov.cn）、中国政府采购网（www.ccgp.gov.cn）列入失信被执行人、重大税收违法案件当事人名单、政府采购严重违法失信行为记录名单；（3）授权委托人应为投标供应商企业在职员工；（4）本项目不接受联合体投标。</w:t>
      </w:r>
      <w:r>
        <w:rPr>
          <w:color w:val="000000" w:themeColor="text1"/>
        </w:rPr>
      </w:r>
      <w:r/>
    </w:p>
    <w:p>
      <w:pPr>
        <w:ind w:firstLine="480"/>
        <w:jc w:val="left"/>
        <w:spacing w:line="360" w:lineRule="auto"/>
        <w:widowControl/>
        <w:rPr>
          <w:rFonts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（三）供应商主体信息库注册</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1.请有意参加本项目采购活动的供应商按以下流程进行操作：</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（1）访问“江苏政府采购网”点击“苏采云”进行账号注册，注册完成后需在系统中填写资质信息并提交审核。也可以直接通过http://jszfcg.jsczt.cn/进入注册界面。</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（2）办理“意源”CA数字证书和“方正”电子签章（办理地址：无锡市滨湖区观山路199号12号楼一楼窗口），办理指南链接：http://jsxcmm.com/help/help.html。</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（3）CA驱动下载：</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在“苏采云”账号登录页面，点击“驱动下载”链接中的“政务CA、方正签章控件驱动安装包及安装说明”可以直接下载驱动安装包，安装包中附有驱动安装手册。</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技术服务电话：0510-81827781（服务时间：工作日 9:00-11:30，13:00-17:00）</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2.完成苏采云注册的供应商方可在苏采云中进行CA绑定。登录“江苏省政府采购（苏采云）平台”，插入CA后，点击【账号设置】——【绑定CA】。</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3.供应商应按上述要求提供相关材料及注册登记信息，所提供的材料应均是真实的、准确的，若有违背，供应商自行承担由此而产生的一切后果。</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000000" w:themeColor="text1"/>
          <w:highlight w:val="none"/>
        </w:rPr>
        <w:fldChar w:fldCharType="begin"/>
      </w:r>
      <w:r>
        <w:rPr>
          <w:color w:val="000000" w:themeColor="text1"/>
          <w:highlight w:val="none"/>
        </w:rPr>
        <w:instrText xml:space="preserve"> HYPERLINK "http://cz.wuxi.gov.cn/doc/2023/10/11/4080287.shtml" \o "http://cz.wuxi.gov.cn/doc/2023/10/11/4080287.shtml" </w:instrText>
      </w:r>
      <w:r>
        <w:rPr>
          <w:color w:val="000000" w:themeColor="text1"/>
          <w:highlight w:val="none"/>
        </w:rPr>
        <w:fldChar w:fldCharType="separate"/>
      </w:r>
      <w:r>
        <w:rPr>
          <w:rFonts w:hint="eastAsia" w:ascii="宋体" w:hAnsi="宋体"/>
          <w:color w:val="000000" w:themeColor="text1"/>
          <w:sz w:val="24"/>
          <w:szCs w:val="24"/>
          <w:highlight w:val="none"/>
        </w:rPr>
        <w:t xml:space="preserve">“苏采云”系统供应商操作手册</w:t>
      </w:r>
      <w:r>
        <w:rPr>
          <w:rFonts w:hint="eastAsia"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color w:val="000000" w:themeColor="text1"/>
        </w:rPr>
      </w:r>
      <w:r/>
    </w:p>
    <w:p>
      <w:pPr>
        <w:ind w:firstLine="480"/>
        <w:spacing w:line="360" w:lineRule="auto"/>
        <w:rPr>
          <w:rFonts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（四）完成项目报名，获取采购文件</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1.潜在投标供应商可在项目招标公告附件中查看公开招标文件，如确定投标，必须在苏采云平台（http://jszfcg.jsczt.cn/j</w:t>
      </w:r>
      <w:r>
        <w:rPr>
          <w:rFonts w:hint="eastAsia" w:ascii="宋体" w:hAnsi="宋体"/>
          <w:bCs/>
          <w:color w:val="000000" w:themeColor="text1"/>
          <w:sz w:val="24"/>
          <w:szCs w:val="24"/>
          <w:highlight w:val="none"/>
        </w:rPr>
        <w:t xml:space="preserve">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2.招标文件（后缀名为“.kedt”）、“苏采云”系统供应商操作手册及政府采购客户端工具也可通过“苏采云”系统－－已参与项目－－报名详情页面内相应链接进行下载。</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color w:val="000000" w:themeColor="text1"/>
        </w:rPr>
      </w:r>
      <w:r/>
    </w:p>
    <w:p>
      <w:pPr>
        <w:ind w:firstLine="480"/>
        <w:spacing w:line="360" w:lineRule="auto"/>
        <w:rPr>
          <w:rFonts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（五）公开答疑时间、地点</w:t>
      </w:r>
      <w:r>
        <w:rPr>
          <w:color w:val="000000" w:themeColor="text1"/>
        </w:rPr>
      </w:r>
      <w:r/>
    </w:p>
    <w:p>
      <w:pPr>
        <w:ind w:firstLine="480"/>
        <w:jc w:val="left"/>
        <w:spacing w:line="360" w:lineRule="auto"/>
        <w:widowControl/>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采购人、</w:t>
      </w:r>
      <w:r>
        <w:rPr>
          <w:rFonts w:hint="eastAsia" w:ascii="宋体" w:hAnsi="宋体"/>
          <w:color w:val="000000" w:themeColor="text1"/>
          <w:sz w:val="24"/>
          <w:szCs w:val="24"/>
          <w:highlight w:val="none"/>
        </w:rPr>
        <w:t xml:space="preserve">江苏智汇锡建工程项目管理有限公司</w:t>
      </w:r>
      <w:r>
        <w:rPr>
          <w:rFonts w:hint="eastAsia" w:ascii="宋体" w:hAnsi="宋体"/>
          <w:bCs/>
          <w:color w:val="000000" w:themeColor="text1"/>
          <w:sz w:val="24"/>
          <w:szCs w:val="24"/>
          <w:highlight w:val="none"/>
        </w:rPr>
        <w:t xml:space="preserve">将以线上不见面、电话咨询、发邮件等方式开展线上答疑服务。截止至</w:t>
      </w:r>
      <w:r>
        <w:rPr>
          <w:rFonts w:hint="eastAsia" w:ascii="宋体" w:hAnsi="宋体" w:cs="宋体"/>
          <w:color w:val="000000" w:themeColor="text1"/>
          <w:sz w:val="24"/>
          <w:szCs w:val="24"/>
          <w:highlight w:val="none"/>
        </w:rPr>
        <w:t xml:space="preserve">2026年</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21</w:t>
      </w:r>
      <w:bookmarkStart w:id="76" w:name="_GoBack"/>
      <w:r>
        <w:rPr>
          <w:color w:val="000000" w:themeColor="text1"/>
        </w:rPr>
      </w:r>
      <w:bookmarkEnd w:id="76"/>
      <w:r>
        <w:rPr>
          <w:rFonts w:hint="eastAsia" w:ascii="宋体" w:hAnsi="宋体" w:cs="宋体"/>
          <w:color w:val="000000" w:themeColor="text1"/>
          <w:sz w:val="24"/>
          <w:szCs w:val="24"/>
          <w:highlight w:val="none"/>
        </w:rPr>
        <w:t xml:space="preserve">日17:00前，</w:t>
      </w:r>
      <w:r>
        <w:rPr>
          <w:rFonts w:hint="eastAsia" w:ascii="宋体" w:hAnsi="宋体"/>
          <w:bCs/>
          <w:color w:val="000000" w:themeColor="text1"/>
          <w:sz w:val="24"/>
          <w:szCs w:val="24"/>
          <w:highlight w:val="none"/>
        </w:rPr>
        <w:t xml:space="preserve">有关单位对于招标文件的相关事项如有疑问可通过上述方式咨询；</w:t>
      </w:r>
      <w:r>
        <w:rPr>
          <w:rFonts w:hint="eastAsia" w:ascii="宋体" w:hAnsi="宋体"/>
          <w:color w:val="000000" w:themeColor="text1"/>
          <w:sz w:val="24"/>
          <w:szCs w:val="24"/>
          <w:highlight w:val="none"/>
        </w:rPr>
        <w:t xml:space="preserve">投标人如有需要对招标文件要求澄清的问题，请以书面形式</w:t>
      </w:r>
      <w:r>
        <w:rPr>
          <w:rFonts w:hint="eastAsia" w:ascii="宋体" w:hAnsi="宋体"/>
          <w:b/>
          <w:bCs/>
          <w:color w:val="000000" w:themeColor="text1"/>
          <w:sz w:val="24"/>
          <w:szCs w:val="24"/>
          <w:highlight w:val="none"/>
        </w:rPr>
        <w:t xml:space="preserve">（必须加盖投标人公章，也请务必留下联系方式，以便回复）</w:t>
      </w:r>
      <w:r>
        <w:rPr>
          <w:rFonts w:hint="eastAsia" w:ascii="宋体" w:hAnsi="宋体"/>
          <w:color w:val="000000" w:themeColor="text1"/>
          <w:sz w:val="24"/>
          <w:szCs w:val="24"/>
          <w:highlight w:val="none"/>
        </w:rPr>
        <w:t xml:space="preserve">提出</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JSZC-320200-JSZH-G2026-0068</w:t>
      </w:r>
      <w:r>
        <w:rPr>
          <w:rFonts w:hint="eastAsia" w:ascii="宋体" w:hAnsi="宋体" w:cs="宋体"/>
          <w:color w:val="000000" w:themeColor="text1"/>
          <w:sz w:val="24"/>
          <w:szCs w:val="24"/>
          <w:highlight w:val="none"/>
        </w:rPr>
        <w:t xml:space="preserve">项目需澄清问题”</w:t>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并于答疑</w:t>
      </w:r>
      <w:r>
        <w:rPr>
          <w:rFonts w:hint="eastAsia" w:ascii="宋体" w:hAnsi="宋体" w:cs="宋体"/>
          <w:bCs/>
          <w:color w:val="000000" w:themeColor="text1"/>
          <w:sz w:val="24"/>
          <w:szCs w:val="24"/>
          <w:highlight w:val="none"/>
        </w:rPr>
        <w:t xml:space="preserve">截止时间前</w:t>
      </w:r>
      <w:r>
        <w:rPr>
          <w:rFonts w:hint="eastAsia" w:ascii="宋体" w:hAnsi="宋体" w:cs="宋体"/>
          <w:color w:val="000000" w:themeColor="text1"/>
          <w:sz w:val="24"/>
          <w:szCs w:val="24"/>
          <w:highlight w:val="none"/>
        </w:rPr>
        <w:t xml:space="preserve">发邮件给项目联</w:t>
      </w:r>
      <w:r>
        <w:rPr>
          <w:rFonts w:hint="eastAsia" w:ascii="宋体" w:hAnsi="宋体"/>
          <w:color w:val="000000" w:themeColor="text1"/>
          <w:sz w:val="24"/>
          <w:szCs w:val="24"/>
          <w:highlight w:val="none"/>
        </w:rPr>
        <w:t xml:space="preserve">系人</w:t>
      </w:r>
      <w:r>
        <w:rPr>
          <w:rFonts w:hint="eastAsia" w:ascii="宋体" w:hAnsi="宋体"/>
          <w:bCs/>
          <w:color w:val="000000" w:themeColor="text1"/>
          <w:sz w:val="24"/>
          <w:szCs w:val="24"/>
          <w:highlight w:val="none"/>
        </w:rPr>
        <w:t xml:space="preserve">。若未在法定时间内提出澄清，由此造成的损失及风险由投标人自行承担。</w:t>
      </w:r>
      <w:r>
        <w:rPr>
          <w:color w:val="000000" w:themeColor="text1"/>
        </w:rPr>
      </w:r>
      <w:r/>
    </w:p>
    <w:p>
      <w:pPr>
        <w:ind w:firstLine="480"/>
        <w:jc w:val="left"/>
        <w:spacing w:line="360" w:lineRule="auto"/>
        <w:widowControl/>
        <w:rPr>
          <w:rFonts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（六）网上投标及开标、定标时间、地点</w:t>
      </w:r>
      <w:r>
        <w:rPr>
          <w:color w:val="000000" w:themeColor="text1"/>
        </w:rPr>
      </w:r>
      <w:r/>
    </w:p>
    <w:p>
      <w:pPr>
        <w:ind w:firstLine="480"/>
        <w:jc w:val="left"/>
        <w:spacing w:line="360" w:lineRule="auto"/>
        <w:widowControl/>
        <w:rPr>
          <w:rFonts w:ascii="宋体" w:hAnsi="宋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color w:val="000000" w:themeColor="text1"/>
        </w:rPr>
      </w:r>
      <w:r/>
    </w:p>
    <w:p>
      <w:pPr>
        <w:ind w:firstLine="480"/>
        <w:jc w:val="left"/>
        <w:spacing w:line="360" w:lineRule="auto"/>
        <w:widowControl/>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网上投标截止时间：2026年</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14</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00</w:t>
      </w:r>
      <w:r>
        <w:rPr>
          <w:rFonts w:hint="eastAsia" w:ascii="宋体" w:hAnsi="宋体" w:cs="宋体"/>
          <w:color w:val="000000" w:themeColor="text1"/>
          <w:sz w:val="24"/>
          <w:szCs w:val="24"/>
          <w:highlight w:val="none"/>
        </w:rPr>
        <w:t xml:space="preserve">（投标</w:t>
      </w:r>
      <w:r>
        <w:rPr>
          <w:rFonts w:hint="eastAsia" w:ascii="宋体" w:hAnsi="宋体"/>
          <w:color w:val="000000" w:themeColor="text1"/>
          <w:sz w:val="24"/>
          <w:szCs w:val="24"/>
          <w:highlight w:val="none"/>
        </w:rPr>
        <w:t xml:space="preserve">截止时间后的投标文件恕不接受</w:t>
      </w:r>
      <w:r>
        <w:rPr>
          <w:rFonts w:hint="eastAsia" w:ascii="宋体" w:hAnsi="宋体" w:cs="宋体"/>
          <w:color w:val="000000" w:themeColor="text1"/>
          <w:sz w:val="24"/>
          <w:szCs w:val="24"/>
          <w:highlight w:val="none"/>
        </w:rPr>
        <w:t xml:space="preserve">）</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网上投标解密时间：2026年</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日开启解密后半小时。</w:t>
      </w:r>
      <w:r>
        <w:rPr>
          <w:color w:val="000000" w:themeColor="text1"/>
        </w:rPr>
      </w:r>
      <w:r/>
    </w:p>
    <w:p>
      <w:pPr>
        <w:ind w:firstLine="480"/>
        <w:jc w:val="left"/>
        <w:spacing w:line="360" w:lineRule="auto"/>
        <w:widowControl/>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投标及开标地点：</w:t>
      </w:r>
      <w:bookmarkStart w:id="2" w:name="_Toc28359007"/>
      <w:r>
        <w:rPr>
          <w:rFonts w:hint="eastAsia" w:ascii="宋体" w:hAnsi="宋体" w:cs="宋体"/>
          <w:color w:val="000000" w:themeColor="text1"/>
          <w:sz w:val="24"/>
          <w:szCs w:val="24"/>
          <w:highlight w:val="none"/>
        </w:rPr>
        <w:t xml:space="preserve">“苏采云”系统（网址：http://jszfcg.jsczt.cn/）</w:t>
      </w:r>
      <w:bookmarkEnd w:id="2"/>
      <w:r>
        <w:rPr>
          <w:color w:val="000000" w:themeColor="text1"/>
        </w:rPr>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定标时间：评标结束</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定标地点：</w:t>
      </w:r>
      <w:r>
        <w:rPr>
          <w:rFonts w:hint="eastAsia" w:ascii="宋体" w:hAnsi="宋体"/>
          <w:color w:val="000000" w:themeColor="text1"/>
          <w:sz w:val="24"/>
          <w:szCs w:val="24"/>
          <w:highlight w:val="none"/>
        </w:rPr>
        <w:t xml:space="preserve">江苏智汇锡建工程项目管理有限公司（无锡市新吴区和风路19号启迪协信中心6号楼9楼）会议室</w:t>
      </w:r>
      <w:r>
        <w:rPr>
          <w:color w:val="000000" w:themeColor="text1"/>
        </w:rPr>
      </w:r>
      <w:r/>
    </w:p>
    <w:p>
      <w:pPr>
        <w:ind w:firstLine="480"/>
        <w:spacing w:line="360" w:lineRule="auto"/>
        <w:rPr>
          <w:rFonts w:ascii="宋体"/>
          <w:bCs/>
          <w:color w:val="000000" w:themeColor="text1"/>
          <w:sz w:val="24"/>
          <w:szCs w:val="24"/>
          <w:highlight w:val="none"/>
        </w:rPr>
      </w:pPr>
      <w:r>
        <w:rPr>
          <w:rFonts w:hint="eastAsia" w:ascii="黑体" w:hAnsi="黑体" w:eastAsia="黑体"/>
          <w:bCs/>
          <w:color w:val="000000" w:themeColor="text1"/>
          <w:sz w:val="24"/>
          <w:szCs w:val="24"/>
          <w:highlight w:val="none"/>
        </w:rPr>
        <w:t xml:space="preserve">（七）投标有效期：</w:t>
      </w:r>
      <w:r>
        <w:rPr>
          <w:rFonts w:hint="eastAsia" w:ascii="宋体" w:hAnsi="宋体"/>
          <w:bCs/>
          <w:color w:val="000000" w:themeColor="text1"/>
          <w:sz w:val="24"/>
          <w:szCs w:val="24"/>
          <w:highlight w:val="none"/>
        </w:rPr>
        <w:t xml:space="preserve">开标之日起</w:t>
      </w:r>
      <w:r>
        <w:rPr>
          <w:rFonts w:ascii="宋体" w:hAnsi="宋体"/>
          <w:bCs/>
          <w:color w:val="000000" w:themeColor="text1"/>
          <w:sz w:val="24"/>
          <w:szCs w:val="24"/>
          <w:highlight w:val="none"/>
        </w:rPr>
        <w:t xml:space="preserve">90</w:t>
      </w:r>
      <w:r>
        <w:rPr>
          <w:rFonts w:hint="eastAsia" w:ascii="宋体" w:hAnsi="宋体"/>
          <w:bCs/>
          <w:color w:val="000000" w:themeColor="text1"/>
          <w:sz w:val="24"/>
          <w:szCs w:val="24"/>
          <w:highlight w:val="none"/>
        </w:rPr>
        <w:t xml:space="preserve">天</w:t>
      </w:r>
      <w:r>
        <w:rPr>
          <w:color w:val="000000" w:themeColor="text1"/>
        </w:rPr>
      </w:r>
      <w:r/>
    </w:p>
    <w:p>
      <w:pPr>
        <w:ind w:firstLine="480"/>
        <w:spacing w:line="360" w:lineRule="auto"/>
        <w:rPr>
          <w:rFonts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（八）采购方法：</w:t>
      </w:r>
      <w:r>
        <w:rPr>
          <w:color w:val="000000" w:themeColor="text1"/>
        </w:rPr>
      </w:r>
      <w:r/>
    </w:p>
    <w:p>
      <w:pPr>
        <w:ind w:firstLine="480"/>
        <w:spacing w:line="360" w:lineRule="auto"/>
        <w:rPr>
          <w:rFonts w:ascii="黑体" w:hAnsi="黑体" w:eastAsia="黑体"/>
          <w:bCs/>
          <w:color w:val="000000" w:themeColor="text1"/>
          <w:sz w:val="24"/>
          <w:szCs w:val="24"/>
          <w:highlight w:val="none"/>
        </w:rPr>
      </w:pPr>
      <w:r>
        <w:rPr>
          <w:rFonts w:hint="eastAsia" w:ascii="宋体" w:hAnsi="宋体"/>
          <w:color w:val="000000" w:themeColor="text1"/>
          <w:sz w:val="24"/>
          <w:szCs w:val="24"/>
          <w:highlight w:val="none"/>
        </w:rPr>
        <w:t xml:space="preserve">本次采购采用《江苏省政府采购（苏采云）平台》进行招标投标活动，招标、投标、评标和中标结果发布全程电子化。</w:t>
      </w:r>
      <w:r>
        <w:rPr>
          <w:color w:val="000000" w:themeColor="text1"/>
        </w:rPr>
      </w:r>
      <w:r/>
    </w:p>
    <w:p>
      <w:pPr>
        <w:ind w:firstLine="480"/>
        <w:spacing w:line="360" w:lineRule="auto"/>
        <w:rPr>
          <w:rFonts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（九）其他</w:t>
      </w:r>
      <w:r>
        <w:rPr>
          <w:color w:val="000000" w:themeColor="text1"/>
        </w:rPr>
      </w:r>
      <w:r/>
    </w:p>
    <w:p>
      <w:pPr>
        <w:pStyle w:val="747"/>
        <w:ind w:firstLine="480"/>
        <w:spacing w:before="0" w:beforeAutospacing="0" w:after="0" w:afterAutospacing="0" w:line="460" w:lineRule="exact"/>
        <w:tabs>
          <w:tab w:val="left" w:pos="0" w:leader="none"/>
        </w:tabs>
        <w:rPr>
          <w:rFonts w:cs="宋体"/>
          <w:color w:val="000000" w:themeColor="text1"/>
          <w:highlight w:val="none"/>
        </w:rPr>
      </w:pPr>
      <w:r>
        <w:rPr>
          <w:rFonts w:hint="eastAsia" w:cs="宋体"/>
          <w:color w:val="000000" w:themeColor="text1"/>
          <w:highlight w:val="none"/>
          <w:lang w:val="zh-CN"/>
        </w:rPr>
        <w:t xml:space="preserve">有关本次采购活动程序方面的问题，可来人、来函（传真）或电话联系。</w:t>
      </w:r>
      <w:r>
        <w:rPr>
          <w:color w:val="000000" w:themeColor="text1"/>
        </w:rPr>
      </w:r>
      <w:r/>
    </w:p>
    <w:p>
      <w:pPr>
        <w:pStyle w:val="747"/>
        <w:ind w:firstLine="480"/>
        <w:spacing w:before="0" w:beforeAutospacing="0" w:after="0" w:afterAutospacing="0" w:line="460" w:lineRule="exact"/>
        <w:tabs>
          <w:tab w:val="left" w:pos="0" w:leader="none"/>
        </w:tabs>
        <w:rPr>
          <w:rFonts w:cs="宋体"/>
          <w:color w:val="000000" w:themeColor="text1"/>
          <w:highlight w:val="none"/>
        </w:rPr>
      </w:pPr>
      <w:r>
        <w:rPr>
          <w:rFonts w:hint="eastAsia" w:cs="宋体"/>
          <w:color w:val="000000" w:themeColor="text1"/>
          <w:highlight w:val="none"/>
          <w:lang w:val="zh-CN"/>
        </w:rPr>
        <w:t xml:space="preserve">采购人：太湖流域水文水资源监测中心（太湖流域水环境监测中心）</w:t>
      </w:r>
      <w:r>
        <w:rPr>
          <w:color w:val="000000" w:themeColor="text1"/>
        </w:rPr>
      </w:r>
      <w:r/>
    </w:p>
    <w:p>
      <w:pPr>
        <w:pStyle w:val="747"/>
        <w:ind w:firstLine="480"/>
        <w:spacing w:before="0" w:beforeAutospacing="0" w:after="0" w:afterAutospacing="0" w:line="460" w:lineRule="exact"/>
        <w:tabs>
          <w:tab w:val="left" w:pos="0" w:leader="none"/>
        </w:tabs>
        <w:rPr>
          <w:rFonts w:cs="宋体"/>
          <w:color w:val="000000" w:themeColor="text1"/>
          <w:highlight w:val="none"/>
        </w:rPr>
      </w:pPr>
      <w:r>
        <w:rPr>
          <w:rFonts w:hint="eastAsia" w:cs="宋体"/>
          <w:color w:val="000000" w:themeColor="text1"/>
          <w:highlight w:val="none"/>
          <w:lang w:val="zh-CN"/>
        </w:rPr>
        <w:t xml:space="preserve">采购人地址：江苏省无锡市金城路835号</w:t>
      </w:r>
      <w:r>
        <w:rPr>
          <w:color w:val="000000" w:themeColor="text1"/>
        </w:rPr>
      </w:r>
      <w:r/>
    </w:p>
    <w:p>
      <w:pPr>
        <w:pStyle w:val="747"/>
        <w:ind w:firstLine="480"/>
        <w:spacing w:before="0" w:beforeAutospacing="0" w:after="0" w:afterAutospacing="0" w:line="460" w:lineRule="exact"/>
        <w:tabs>
          <w:tab w:val="left" w:pos="0" w:leader="none"/>
        </w:tabs>
        <w:rPr>
          <w:rFonts w:hint="default" w:eastAsia="宋体" w:cs="宋体"/>
          <w:color w:val="000000" w:themeColor="text1"/>
          <w:highlight w:val="none"/>
        </w:rPr>
      </w:pPr>
      <w:r>
        <w:rPr>
          <w:rFonts w:hint="eastAsia" w:cs="宋体"/>
          <w:color w:val="000000" w:themeColor="text1"/>
          <w:highlight w:val="none"/>
          <w:lang w:val="zh-CN"/>
        </w:rPr>
        <w:t xml:space="preserve">联系人：</w:t>
      </w:r>
      <w:r>
        <w:rPr>
          <w:rFonts w:hint="eastAsia" w:cs="宋体"/>
          <w:color w:val="000000" w:themeColor="text1"/>
          <w:highlight w:val="none"/>
          <w:lang w:val="en-US" w:eastAsia="zh-CN"/>
        </w:rPr>
        <w:t xml:space="preserve">袁先生</w:t>
      </w:r>
      <w:r>
        <w:rPr>
          <w:color w:val="000000" w:themeColor="text1"/>
        </w:rPr>
      </w:r>
      <w:r/>
    </w:p>
    <w:p>
      <w:pPr>
        <w:pStyle w:val="747"/>
        <w:ind w:firstLine="480"/>
        <w:spacing w:before="0" w:beforeAutospacing="0" w:after="0" w:afterAutospacing="0" w:line="460" w:lineRule="exact"/>
        <w:tabs>
          <w:tab w:val="left" w:pos="0" w:leader="none"/>
        </w:tabs>
        <w:rPr>
          <w:rFonts w:hint="default" w:cs="宋体"/>
          <w:color w:val="000000" w:themeColor="text1"/>
          <w:highlight w:val="none"/>
        </w:rPr>
      </w:pPr>
      <w:r>
        <w:rPr>
          <w:rFonts w:hint="eastAsia" w:cs="宋体"/>
          <w:color w:val="000000" w:themeColor="text1"/>
          <w:highlight w:val="none"/>
          <w:lang w:val="zh-CN"/>
        </w:rPr>
        <w:t xml:space="preserve">联系电话：</w:t>
      </w:r>
      <w:r>
        <w:rPr>
          <w:rFonts w:hint="eastAsia" w:cs="宋体"/>
          <w:color w:val="000000" w:themeColor="text1"/>
          <w:highlight w:val="none"/>
          <w:lang w:val="en-US" w:eastAsia="zh-CN"/>
        </w:rPr>
        <w:t xml:space="preserve"> 0510-85441917</w:t>
      </w:r>
      <w:r>
        <w:rPr>
          <w:color w:val="000000" w:themeColor="text1"/>
        </w:rPr>
      </w:r>
      <w:r/>
    </w:p>
    <w:p>
      <w:pPr>
        <w:pStyle w:val="747"/>
        <w:ind w:firstLine="480"/>
        <w:spacing w:before="0" w:beforeAutospacing="0" w:after="0" w:afterAutospacing="0" w:line="460" w:lineRule="exact"/>
        <w:tabs>
          <w:tab w:val="left" w:pos="0" w:leader="none"/>
        </w:tabs>
        <w:rPr>
          <w:rFonts w:cs="宋体"/>
          <w:color w:val="000000" w:themeColor="text1"/>
          <w:highlight w:val="none"/>
        </w:rPr>
      </w:pPr>
      <w:r>
        <w:rPr>
          <w:rFonts w:cs="宋体"/>
          <w:color w:val="000000" w:themeColor="text1"/>
          <w:highlight w:val="none"/>
          <w:lang w:val="zh-CN"/>
        </w:rPr>
      </w:r>
      <w:r>
        <w:rPr>
          <w:color w:val="000000" w:themeColor="text1"/>
        </w:rPr>
      </w:r>
      <w:r/>
    </w:p>
    <w:p>
      <w:pPr>
        <w:ind w:firstLine="480"/>
        <w:jc w:val="left"/>
        <w:spacing w:line="360" w:lineRule="auto"/>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采购代理机构：江苏智汇锡建工程项目管理有限公司</w:t>
      </w:r>
      <w:r>
        <w:rPr>
          <w:color w:val="000000" w:themeColor="text1"/>
        </w:rPr>
      </w:r>
      <w:r/>
    </w:p>
    <w:p>
      <w:pPr>
        <w:ind w:firstLine="480"/>
        <w:jc w:val="left"/>
        <w:spacing w:line="360" w:lineRule="auto"/>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联系地址：无锡市新吴区和风路19号启迪协信中心6号楼9楼</w:t>
      </w:r>
      <w:r>
        <w:rPr>
          <w:color w:val="000000" w:themeColor="text1"/>
        </w:rPr>
      </w:r>
      <w:r/>
    </w:p>
    <w:p>
      <w:pPr>
        <w:ind w:firstLine="480"/>
        <w:jc w:val="left"/>
        <w:spacing w:line="360" w:lineRule="auto"/>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联系电话：0510-82796055</w:t>
      </w:r>
      <w:r>
        <w:rPr>
          <w:color w:val="000000" w:themeColor="text1"/>
        </w:rPr>
      </w:r>
      <w:r/>
    </w:p>
    <w:p>
      <w:pPr>
        <w:ind w:firstLine="480"/>
        <w:jc w:val="left"/>
        <w:spacing w:line="360" w:lineRule="auto"/>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联系人：徐丽平、吴雨洁</w:t>
      </w:r>
      <w:r>
        <w:rPr>
          <w:color w:val="000000" w:themeColor="text1"/>
        </w:rPr>
      </w:r>
      <w:r/>
    </w:p>
    <w:p>
      <w:pPr>
        <w:ind w:firstLine="480"/>
        <w:jc w:val="left"/>
        <w:spacing w:line="360" w:lineRule="auto"/>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邮箱：jszh009@163.com</w:t>
      </w:r>
      <w:r>
        <w:rPr>
          <w:color w:val="000000" w:themeColor="text1"/>
        </w:rPr>
      </w:r>
      <w:r/>
    </w:p>
    <w:p>
      <w:pPr>
        <w:pStyle w:val="747"/>
        <w:ind w:firstLine="480"/>
        <w:spacing w:before="0" w:beforeAutospacing="0" w:after="0" w:afterAutospacing="0" w:line="460" w:lineRule="exact"/>
        <w:tabs>
          <w:tab w:val="left" w:pos="0" w:leader="none"/>
        </w:tabs>
        <w:rPr>
          <w:rFonts w:ascii="黑体" w:hAnsi="黑体" w:eastAsia="黑体"/>
          <w:bCs/>
          <w:color w:val="000000" w:themeColor="text1"/>
          <w:highlight w:val="none"/>
        </w:rPr>
      </w:pPr>
      <w:r>
        <w:rPr>
          <w:rFonts w:hint="eastAsia" w:ascii="黑体" w:hAnsi="黑体" w:eastAsia="黑体"/>
          <w:bCs/>
          <w:color w:val="000000" w:themeColor="text1"/>
          <w:highlight w:val="none"/>
        </w:rPr>
        <w:t xml:space="preserve">（十）其他</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本项目为不见面开标，仅需在任意地点登录苏采云平台参加开标会议，供应商无需到达开标现场。</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纸质投标文件：本项目为不见面开标，报价人无需递交纸质投标文件至现场，</w:t>
      </w:r>
      <w:r>
        <w:rPr>
          <w:rFonts w:hint="eastAsia" w:ascii="宋体" w:hAnsi="宋体" w:cs="宋体"/>
          <w:color w:val="000000" w:themeColor="text1"/>
          <w:sz w:val="24"/>
          <w:szCs w:val="24"/>
          <w:highlight w:val="none"/>
        </w:rPr>
        <w:t xml:space="preserve">中标</w:t>
      </w:r>
      <w:r>
        <w:rPr>
          <w:rFonts w:hint="eastAsia" w:ascii="宋体" w:hAnsi="宋体" w:cs="宋体"/>
          <w:color w:val="000000" w:themeColor="text1"/>
          <w:sz w:val="24"/>
          <w:szCs w:val="24"/>
          <w:highlight w:val="none"/>
          <w:lang w:val="zh-CN"/>
        </w:rPr>
        <w:t xml:space="preserve">后中标供应商向采购代理机构提供与电子投标文件完全一致的纸质投标文件（</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CN"/>
        </w:rPr>
        <w:t xml:space="preserve">份：一正、</w:t>
      </w: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szCs w:val="24"/>
          <w:highlight w:val="none"/>
          <w:lang w:val="zh-CN"/>
        </w:rPr>
        <w:t xml:space="preserve">副）。</w:t>
      </w:r>
      <w:r>
        <w:rPr>
          <w:color w:val="000000" w:themeColor="text1"/>
        </w:rPr>
      </w: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供应商请仔细阅读供应商注册流程和招标文件中关于电子开评标等相关事项，如有问题可发送邮件或电话咨询。</w:t>
      </w:r>
      <w:r>
        <w:rPr>
          <w:rFonts w:hint="eastAsia" w:ascii="宋体" w:hAnsi="宋体" w:cs="宋体"/>
          <w:color w:val="000000" w:themeColor="text1"/>
          <w:sz w:val="24"/>
          <w:szCs w:val="24"/>
          <w:highlight w:val="none"/>
          <w:lang w:val="zh-CN"/>
        </w:rPr>
        <w:br w:type="page" w:clear="all"/>
      </w:r>
      <w:r>
        <w:rPr>
          <w:color w:val="000000" w:themeColor="text1"/>
        </w:rPr>
      </w:r>
      <w:r/>
    </w:p>
    <w:p>
      <w:pPr>
        <w:jc w:val="center"/>
        <w:spacing w:line="360" w:lineRule="auto"/>
        <w:rPr>
          <w:rFonts w:ascii="黑体" w:eastAsia="黑体"/>
          <w:bCs/>
          <w:color w:val="000000" w:themeColor="text1"/>
          <w:sz w:val="28"/>
          <w:szCs w:val="28"/>
          <w:highlight w:val="none"/>
        </w:rPr>
        <w:outlineLvl w:val="0"/>
      </w:pPr>
      <w:r>
        <w:rPr>
          <w:color w:val="000000" w:themeColor="text1"/>
        </w:rPr>
      </w:r>
      <w:bookmarkStart w:id="3" w:name="_Toc26349"/>
      <w:r>
        <w:rPr>
          <w:rFonts w:hint="eastAsia" w:ascii="黑体" w:eastAsia="黑体"/>
          <w:bCs/>
          <w:color w:val="000000" w:themeColor="text1"/>
          <w:sz w:val="28"/>
          <w:szCs w:val="28"/>
          <w:highlight w:val="none"/>
        </w:rPr>
        <w:t xml:space="preserve">二、投标人须知</w:t>
      </w:r>
      <w:bookmarkEnd w:id="3"/>
      <w:r>
        <w:rPr>
          <w:color w:val="000000" w:themeColor="text1"/>
        </w:rPr>
      </w:r>
      <w:r/>
    </w:p>
    <w:p>
      <w:pPr>
        <w:ind w:firstLine="480"/>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（一）遵循原则：</w:t>
      </w:r>
      <w:r>
        <w:rPr>
          <w:color w:val="000000" w:themeColor="text1"/>
        </w:rPr>
      </w:r>
      <w:r/>
    </w:p>
    <w:p>
      <w:pPr>
        <w:ind w:firstLine="480"/>
        <w:spacing w:line="360" w:lineRule="auto"/>
        <w:rPr>
          <w:rFonts w:ascii="黑体" w:hAnsi="宋体" w:eastAsia="黑体"/>
          <w:bCs/>
          <w:color w:val="000000" w:themeColor="text1"/>
          <w:sz w:val="24"/>
          <w:szCs w:val="24"/>
          <w:highlight w:val="none"/>
        </w:rPr>
      </w:pPr>
      <w:r>
        <w:rPr>
          <w:rFonts w:hint="eastAsia" w:ascii="宋体" w:hAnsi="宋体"/>
          <w:bCs/>
          <w:color w:val="000000" w:themeColor="text1"/>
          <w:sz w:val="24"/>
          <w:szCs w:val="24"/>
          <w:highlight w:val="none"/>
        </w:rPr>
        <w:t xml:space="preserve">公开透明原则、公平竞争原则、公正原则和诚实信用原则。</w:t>
      </w:r>
      <w:r>
        <w:rPr>
          <w:color w:val="000000" w:themeColor="text1"/>
        </w:rPr>
      </w:r>
      <w:r/>
    </w:p>
    <w:p>
      <w:pPr>
        <w:ind w:left="1200" w:hanging="720"/>
        <w:spacing w:line="360" w:lineRule="auto"/>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t xml:space="preserve">（二） </w:t>
      </w:r>
      <w:r>
        <w:rPr>
          <w:rFonts w:hint="eastAsia" w:ascii="黑体" w:hAnsi="宋体" w:eastAsia="黑体"/>
          <w:bCs/>
          <w:color w:val="000000" w:themeColor="text1"/>
          <w:sz w:val="24"/>
          <w:szCs w:val="24"/>
          <w:highlight w:val="none"/>
        </w:rPr>
        <w:t xml:space="preserve">招标文件：</w:t>
      </w:r>
      <w:r>
        <w:rPr>
          <w:color w:val="000000" w:themeColor="text1"/>
        </w:rPr>
      </w:r>
      <w:r/>
    </w:p>
    <w:p>
      <w:pPr>
        <w:numPr>
          <w:ilvl w:val="0"/>
          <w:numId w:val="3"/>
        </w:numPr>
        <w:ind w:left="0" w:firstLine="523"/>
        <w:spacing w:line="360" w:lineRule="auto"/>
        <w:tabs>
          <w:tab w:val="left" w:pos="-1260" w:leader="none"/>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招标文件包括本文件目录所列全部内容，投标人应仔细阅读，并在投标文件中充分响应招标文件的所有要求。</w:t>
      </w:r>
      <w:r>
        <w:rPr>
          <w:color w:val="000000" w:themeColor="text1"/>
        </w:rPr>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招标文件中的“法定代表人”是指投标人的营业执照的“法定代表人”或相关部门的登记证明文件中的“负责人”。</w:t>
      </w:r>
      <w:r>
        <w:rPr>
          <w:color w:val="000000" w:themeColor="text1"/>
        </w:rPr>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投标供应商应在苏采云平台（http://jszfcg.jsczt.cn/jszc/login）下载招标文件及有关资料，按要求制作、上传投标文件，对招标文件各项内容做出实质性响应，否则投标无效。</w:t>
      </w:r>
      <w:r>
        <w:rPr>
          <w:color w:val="000000" w:themeColor="text1"/>
        </w:rPr>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招标文件仅作为本次采购使用。</w:t>
      </w:r>
      <w:r>
        <w:rPr>
          <w:color w:val="000000" w:themeColor="text1"/>
        </w:rPr>
      </w:r>
      <w:r/>
    </w:p>
    <w:p>
      <w:pPr>
        <w:ind w:firstLine="480"/>
        <w:spacing w:line="360" w:lineRule="auto"/>
        <w:tabs>
          <w:tab w:val="left" w:pos="630"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（三）招标文件的解释：</w:t>
      </w:r>
      <w:r>
        <w:rPr>
          <w:color w:val="000000" w:themeColor="text1"/>
        </w:rPr>
      </w:r>
      <w:r/>
    </w:p>
    <w:p>
      <w:pPr>
        <w:ind w:left="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本文件的最终解释权归采购人。</w:t>
      </w:r>
      <w:r>
        <w:rPr>
          <w:color w:val="000000" w:themeColor="text1"/>
        </w:rPr>
      </w:r>
      <w:r/>
    </w:p>
    <w:p>
      <w:pPr>
        <w:ind w:left="1200" w:hanging="720"/>
        <w:spacing w:line="360" w:lineRule="auto"/>
        <w:tabs>
          <w:tab w:val="left" w:pos="945" w:leader="none"/>
        </w:tabs>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t xml:space="preserve">（</w:t>
      </w:r>
      <w:r>
        <w:rPr>
          <w:rFonts w:hint="eastAsia" w:ascii="黑体" w:hAnsi="宋体" w:eastAsia="黑体"/>
          <w:bCs/>
          <w:color w:val="000000" w:themeColor="text1"/>
          <w:sz w:val="24"/>
          <w:szCs w:val="24"/>
          <w:highlight w:val="none"/>
        </w:rPr>
        <w:t xml:space="preserve">四</w:t>
      </w:r>
      <w:r>
        <w:rPr>
          <w:rFonts w:ascii="黑体" w:hAnsi="宋体" w:eastAsia="黑体"/>
          <w:bCs/>
          <w:color w:val="000000" w:themeColor="text1"/>
          <w:sz w:val="24"/>
          <w:szCs w:val="24"/>
          <w:highlight w:val="none"/>
        </w:rPr>
        <w:t xml:space="preserve">） </w:t>
      </w:r>
      <w:r>
        <w:rPr>
          <w:rFonts w:hint="eastAsia" w:ascii="黑体" w:hAnsi="宋体" w:eastAsia="黑体"/>
          <w:bCs/>
          <w:color w:val="000000" w:themeColor="text1"/>
          <w:sz w:val="24"/>
          <w:szCs w:val="24"/>
          <w:highlight w:val="none"/>
        </w:rPr>
        <w:t xml:space="preserve">招标文件的补充或修正：</w:t>
      </w:r>
      <w:r>
        <w:rPr>
          <w:color w:val="000000" w:themeColor="text1"/>
        </w:rPr>
      </w:r>
      <w:r/>
    </w:p>
    <w:p>
      <w:pPr>
        <w:ind w:firstLine="480"/>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1.江苏智汇锡建工程项目管理有限公司可在投标截止时间十五日前对招标文件进行必要的澄清或者修改，不足15日的，将顺延提交投标文件的截止时间。</w:t>
      </w:r>
      <w:r>
        <w:rPr>
          <w:color w:val="000000" w:themeColor="text1"/>
        </w:rPr>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2.如需对招标文件进行澄清或修正，江苏智汇锡建工程项目管理有限公司将在江苏政府采购网发布更正公告，该澄清或修正的内容为招标文件的组成部分。投标人应在投标截止时间前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投标客户端</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关注原招标公告媒体上发布的相关更正公告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全面地关注更正公告导致其提交的投标材料不符合招标文件要求，而造成的损失及风险（包括但不限于未中标）由投标人自行承担。</w:t>
      </w:r>
      <w:r>
        <w:rPr>
          <w:color w:val="000000" w:themeColor="text1"/>
        </w:rPr>
      </w:r>
      <w:r/>
    </w:p>
    <w:p>
      <w:pPr>
        <w:ind w:firstLine="480"/>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供应商认为</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文件使自己的权益受到损害的，可以自获取</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文件之日或者</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rPr>
        <w:t xml:space="preserve">采购人、采购代理机构提出质疑。</w:t>
      </w:r>
      <w:r>
        <w:rPr>
          <w:rFonts w:ascii="宋体" w:hAnsi="宋体"/>
          <w:bCs/>
          <w:color w:val="000000" w:themeColor="text1"/>
          <w:sz w:val="24"/>
          <w:szCs w:val="24"/>
          <w:highlight w:val="none"/>
        </w:rPr>
        <w:t xml:space="preserve">针对同一采购程序环节的质疑</w:t>
      </w:r>
      <w:r>
        <w:rPr>
          <w:rFonts w:hint="eastAsia" w:ascii="宋体" w:hAnsi="宋体"/>
          <w:bCs/>
          <w:color w:val="000000" w:themeColor="text1"/>
          <w:sz w:val="24"/>
          <w:szCs w:val="24"/>
          <w:highlight w:val="none"/>
        </w:rPr>
        <w:t xml:space="preserve">，须</w:t>
      </w:r>
      <w:r>
        <w:rPr>
          <w:rFonts w:ascii="宋体" w:hAnsi="宋体"/>
          <w:bCs/>
          <w:color w:val="000000" w:themeColor="text1"/>
          <w:sz w:val="24"/>
          <w:szCs w:val="24"/>
          <w:highlight w:val="none"/>
        </w:rPr>
        <w:t xml:space="preserve">在法定质疑期内一次性提出</w:t>
      </w:r>
      <w:r>
        <w:rPr>
          <w:rFonts w:hint="eastAsia" w:ascii="宋体" w:hAnsi="宋体"/>
          <w:bCs/>
          <w:color w:val="000000" w:themeColor="text1"/>
          <w:sz w:val="24"/>
          <w:szCs w:val="24"/>
          <w:highlight w:val="none"/>
        </w:rPr>
        <w:t xml:space="preserve">。质疑函的质疑事项应具体、明确，并有必要的事实依据和法律依据（格式详见中国政府采购网《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\o "http://download.ccgp.gov.cn/2018/zhiyihanfanben.zip" </w:instrText>
      </w:r>
      <w:r>
        <w:rPr>
          <w:color w:val="000000" w:themeColor="text1"/>
          <w:highlight w:val="none"/>
        </w:rPr>
        <w:fldChar w:fldCharType="separate"/>
      </w:r>
      <w:r>
        <w:rPr>
          <w:rFonts w:hint="eastAsia" w:ascii="宋体" w:hAnsi="宋体"/>
          <w:bCs/>
          <w:color w:val="000000" w:themeColor="text1"/>
          <w:sz w:val="24"/>
          <w:szCs w:val="24"/>
          <w:highlight w:val="none"/>
        </w:rPr>
        <w:t xml:space="preserve">政府采购供应商质疑函范本</w:t>
      </w:r>
      <w:r>
        <w:rPr>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rPr>
          <w:color w:val="000000" w:themeColor="text1"/>
        </w:rPr>
      </w:r>
      <w:r/>
    </w:p>
    <w:p>
      <w:pPr>
        <w:ind w:left="1200" w:hanging="72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（五）质疑与投诉</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质疑的提出和答复、投诉的提起和处理</w:t>
      </w:r>
      <w:r>
        <w:rPr>
          <w:rFonts w:hint="eastAsia" w:ascii="宋体" w:hAnsi="宋体"/>
          <w:bCs/>
          <w:color w:val="000000" w:themeColor="text1"/>
          <w:sz w:val="24"/>
          <w:szCs w:val="24"/>
          <w:highlight w:val="none"/>
        </w:rPr>
        <w:t xml:space="preserve">须按《</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）相关规定执行。</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2.质疑的提出</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.1提出质疑的供应商应当是参与所质疑项目采购活动的供应商。</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潜在供应商已依法获取其可质疑的</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的，可以对该文件提出质疑。对</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提出质疑的，应当在获取</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或者</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公告期限届满之日起7个工作日内</w:t>
      </w:r>
      <w:r>
        <w:rPr>
          <w:rFonts w:hint="eastAsia" w:ascii="宋体" w:hAnsi="宋体"/>
          <w:bCs/>
          <w:color w:val="000000" w:themeColor="text1"/>
          <w:sz w:val="24"/>
          <w:szCs w:val="24"/>
          <w:highlight w:val="none"/>
        </w:rPr>
        <w:t xml:space="preserve">以书面形式</w:t>
      </w:r>
      <w:r>
        <w:rPr>
          <w:rFonts w:ascii="宋体" w:hAnsi="宋体"/>
          <w:bCs/>
          <w:color w:val="000000" w:themeColor="text1"/>
          <w:sz w:val="24"/>
          <w:szCs w:val="24"/>
          <w:highlight w:val="none"/>
        </w:rPr>
        <w:t xml:space="preserve">提出。</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供应商认为</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个工作日内，以书面形式向采购人提出质疑。供应商</w:t>
      </w:r>
      <w:r>
        <w:rPr>
          <w:rFonts w:hint="eastAsia" w:ascii="宋体" w:hAnsi="宋体"/>
          <w:bCs/>
          <w:color w:val="000000" w:themeColor="text1"/>
          <w:sz w:val="24"/>
          <w:szCs w:val="24"/>
          <w:highlight w:val="none"/>
        </w:rPr>
        <w:t xml:space="preserve">须在</w:t>
      </w:r>
      <w:r>
        <w:rPr>
          <w:rFonts w:ascii="宋体" w:hAnsi="宋体"/>
          <w:bCs/>
          <w:color w:val="000000" w:themeColor="text1"/>
          <w:sz w:val="24"/>
          <w:szCs w:val="24"/>
          <w:highlight w:val="none"/>
        </w:rPr>
        <w:t xml:space="preserve">法定质疑期内一次性提出针对同一采购程序环节的质疑。</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供应商提出质疑应当提交质疑函和必要的证明材料。质疑函应当包括下列内容：</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）供应商的姓名或者名称、地址、邮编、联系人及联系电话；</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）质疑项目的名称、编号；</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）具体、明确的质疑事项和与质疑事项相关的请求；</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）事实依据；</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）必要的法律依据；</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）提出质疑的日期。</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供应商为自然人的，</w:t>
      </w:r>
      <w:r>
        <w:rPr>
          <w:rFonts w:hint="eastAsia" w:ascii="宋体" w:hAnsi="宋体"/>
          <w:bCs/>
          <w:color w:val="000000" w:themeColor="text1"/>
          <w:sz w:val="24"/>
          <w:szCs w:val="24"/>
          <w:highlight w:val="none"/>
        </w:rPr>
        <w:t xml:space="preserve">质疑函</w:t>
      </w:r>
      <w:r>
        <w:rPr>
          <w:rFonts w:ascii="宋体" w:hAnsi="宋体"/>
          <w:bCs/>
          <w:color w:val="000000" w:themeColor="text1"/>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rPr>
        <w:t xml:space="preserve">质疑函须原件递交。</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rPr>
        <w:t xml:space="preserve">质疑函</w:t>
      </w:r>
      <w:r>
        <w:rPr>
          <w:rFonts w:ascii="宋体" w:hAnsi="宋体"/>
          <w:bCs/>
          <w:color w:val="000000" w:themeColor="text1"/>
          <w:sz w:val="24"/>
          <w:szCs w:val="24"/>
          <w:highlight w:val="none"/>
        </w:rPr>
        <w:t xml:space="preserve">应当由本人签字；供应商为法人或者其他组织的，应当由法定代表人、主要负责人签字或者盖章，并加盖公章。</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以联合体形式参加政府采购活动的，其投诉应当由组成联合体的所有供应商共同提出。</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3、质疑的受理与答复</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.1采购人负责供应商质疑答复。</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2质疑函由采购人办理签收手续。</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3质疑函接收单位信息：</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接收单位：江苏智汇锡建工程项目管理有限公司</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地址：江苏智汇锡建工程项目管理有限公司（无锡市新吴区和风路19号启迪协信中心6号楼9楼）</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邮编：214000</w:t>
      </w:r>
      <w:r>
        <w:rPr>
          <w:color w:val="000000" w:themeColor="text1"/>
        </w:rPr>
      </w:r>
      <w:r/>
    </w:p>
    <w:p>
      <w:pPr>
        <w:ind w:firstLine="480"/>
        <w:jc w:val="left"/>
        <w:spacing w:line="360" w:lineRule="auto"/>
        <w:shd w:val="clear" w:color="auto" w:fill="ffffff"/>
        <w:widowControl/>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联系人：</w:t>
      </w:r>
      <w:r>
        <w:rPr>
          <w:rFonts w:hint="eastAsia" w:ascii="宋体" w:hAnsi="宋体" w:cs="宋体"/>
          <w:color w:val="000000" w:themeColor="text1"/>
          <w:sz w:val="24"/>
          <w:szCs w:val="24"/>
          <w:highlight w:val="none"/>
        </w:rPr>
        <w:t xml:space="preserve">徐丽平、吴雨洁</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cs="宋体"/>
          <w:color w:val="000000" w:themeColor="text1"/>
          <w:sz w:val="24"/>
          <w:szCs w:val="24"/>
          <w:highlight w:val="none"/>
        </w:rPr>
        <w:t xml:space="preserve">0510-82796055</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采购人应当在收到质疑函后7个工作日内作出答复，并以书面形式通知质疑供应商和其他有关供应商。</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采购人</w:t>
      </w:r>
      <w:r>
        <w:rPr>
          <w:rFonts w:hint="eastAsia" w:ascii="宋体" w:hAnsi="宋体"/>
          <w:bCs/>
          <w:color w:val="000000" w:themeColor="text1"/>
          <w:sz w:val="24"/>
          <w:szCs w:val="24"/>
          <w:highlight w:val="none"/>
        </w:rPr>
        <w:t xml:space="preserve">处理的其他要求按《</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）相关规定执行。</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4、投诉的提起</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rPr>
        <w:t xml:space="preserve">15</w:t>
      </w:r>
      <w:r>
        <w:rPr>
          <w:rFonts w:ascii="宋体" w:hAnsi="宋体"/>
          <w:bCs/>
          <w:color w:val="000000" w:themeColor="text1"/>
          <w:sz w:val="24"/>
          <w:szCs w:val="24"/>
          <w:highlight w:val="none"/>
        </w:rPr>
        <w:t xml:space="preserve">个工作日内向采购人所属预算级次的财政部门提起投诉。</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2供应商</w:t>
      </w:r>
      <w:r>
        <w:rPr>
          <w:rFonts w:ascii="宋体" w:hAnsi="宋体"/>
          <w:bCs/>
          <w:color w:val="000000" w:themeColor="text1"/>
          <w:sz w:val="24"/>
          <w:szCs w:val="24"/>
          <w:highlight w:val="none"/>
        </w:rPr>
        <w:t xml:space="preserve">投诉时</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应当提交投诉书和必要的证明材料，并按照被投诉采购人（以下简称被投诉人）和与投诉事项有关的供应商数量提供投诉书的副本。投诉书应当包括下列内容：</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）投诉人和被投诉人的姓名或者名称、通讯地址、邮编、联系人及联系电话；</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）质疑和质疑答复情况说明及相关证明材料；</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）具体、明确的投诉事项和与投诉事项相关的投诉请求；</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）事实依据；</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）法律依据；</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）提起投诉的日期。</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投诉人为自然人的，投诉书应当由本人签字；投诉人为法人或者其他组织的，投诉书应当由法定代表人、主要负责人，或者其授权代表签字或者盖章，并加盖公章。</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投诉人提起投诉应当符合下列条件：</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）提起投诉前已依法进行质疑；</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）投诉书内容符合本办法的规定；</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）在投诉有效期限内提起投诉；</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）同一投诉事项未经财政部门投诉处理；</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）财政部规定的其他条件。</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供应商投诉的事项不得超出已质疑事项的范围，但基于质疑答复内容提出的投诉事项除外。</w:t>
      </w:r>
      <w:r>
        <w:rPr>
          <w:color w:val="000000" w:themeColor="text1"/>
        </w:rPr>
      </w:r>
      <w:r/>
    </w:p>
    <w:p>
      <w:pPr>
        <w:ind w:firstLine="480"/>
        <w:spacing w:line="360" w:lineRule="auto"/>
        <w:tabs>
          <w:tab w:val="left" w:pos="0"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5、由</w:t>
      </w:r>
      <w:r>
        <w:rPr>
          <w:rFonts w:ascii="宋体" w:hAnsi="宋体"/>
          <w:bCs/>
          <w:color w:val="000000" w:themeColor="text1"/>
          <w:sz w:val="24"/>
          <w:szCs w:val="24"/>
          <w:highlight w:val="none"/>
        </w:rPr>
        <w:t xml:space="preserve">采购人所属预算级次的财政部门</w:t>
      </w:r>
      <w:r>
        <w:rPr>
          <w:rFonts w:hint="eastAsia" w:ascii="宋体" w:hAnsi="宋体"/>
          <w:bCs/>
          <w:color w:val="000000" w:themeColor="text1"/>
          <w:sz w:val="24"/>
          <w:szCs w:val="24"/>
          <w:highlight w:val="none"/>
        </w:rPr>
        <w:t xml:space="preserve">根据《</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）相关规定进行</w:t>
      </w:r>
      <w:r>
        <w:rPr>
          <w:rFonts w:ascii="宋体" w:hAnsi="宋体"/>
          <w:bCs/>
          <w:color w:val="000000" w:themeColor="text1"/>
          <w:sz w:val="24"/>
          <w:szCs w:val="24"/>
          <w:highlight w:val="none"/>
        </w:rPr>
        <w:t xml:space="preserve">投诉处理</w:t>
      </w:r>
      <w:r>
        <w:rPr>
          <w:rFonts w:hint="eastAsia" w:ascii="宋体" w:hAnsi="宋体"/>
          <w:bCs/>
          <w:color w:val="000000" w:themeColor="text1"/>
          <w:sz w:val="24"/>
          <w:szCs w:val="24"/>
          <w:highlight w:val="none"/>
        </w:rPr>
        <w:t xml:space="preserve">。</w:t>
      </w:r>
      <w:r>
        <w:rPr>
          <w:color w:val="000000" w:themeColor="text1"/>
        </w:rPr>
      </w:r>
      <w:r/>
    </w:p>
    <w:p>
      <w:pPr>
        <w:ind w:firstLine="480"/>
        <w:spacing w:line="360" w:lineRule="auto"/>
        <w:rPr>
          <w:rFonts w:ascii="宋体"/>
          <w:bCs/>
          <w:color w:val="000000" w:themeColor="text1"/>
          <w:sz w:val="24"/>
          <w:szCs w:val="24"/>
          <w:highlight w:val="none"/>
        </w:rPr>
      </w:pPr>
      <w:r>
        <w:rPr>
          <w:rFonts w:hint="eastAsia" w:ascii="黑体" w:hAnsi="宋体" w:eastAsia="黑体"/>
          <w:bCs/>
          <w:color w:val="000000" w:themeColor="text1"/>
          <w:sz w:val="24"/>
          <w:szCs w:val="24"/>
          <w:highlight w:val="none"/>
        </w:rPr>
        <w:t xml:space="preserve">（六）投标文件的组成</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相应内容上传至投标客户端</w:t>
      </w:r>
      <w:r>
        <w:rPr>
          <w:rFonts w:hint="eastAsia" w:ascii="宋体" w:hAnsi="宋体"/>
          <w:bCs/>
          <w:color w:val="000000" w:themeColor="text1"/>
          <w:sz w:val="24"/>
          <w:szCs w:val="24"/>
          <w:highlight w:val="none"/>
        </w:rPr>
        <w:t xml:space="preserve">）</w:t>
      </w:r>
      <w:r>
        <w:rPr>
          <w:rFonts w:hint="eastAsia" w:ascii="黑体" w:hAnsi="宋体" w:eastAsia="黑体"/>
          <w:bCs/>
          <w:color w:val="000000" w:themeColor="text1"/>
          <w:sz w:val="24"/>
          <w:szCs w:val="24"/>
          <w:highlight w:val="none"/>
        </w:rPr>
        <w:t xml:space="preserve">：</w:t>
      </w:r>
      <w:r>
        <w:rPr>
          <w:color w:val="000000" w:themeColor="text1"/>
        </w:rPr>
      </w:r>
      <w:r/>
    </w:p>
    <w:p>
      <w:pPr>
        <w:numPr>
          <w:ilvl w:val="0"/>
          <w:numId w:val="4"/>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投标函（</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numPr>
          <w:ilvl w:val="0"/>
          <w:numId w:val="4"/>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资格、资信证明文件（</w:t>
      </w:r>
      <w:r>
        <w:rPr>
          <w:rFonts w:hint="eastAsia" w:ascii="宋体" w:hAnsi="宋体"/>
          <w:b/>
          <w:bCs/>
          <w:color w:val="000000" w:themeColor="text1"/>
          <w:sz w:val="24"/>
          <w:szCs w:val="24"/>
          <w:highlight w:val="none"/>
        </w:rPr>
        <w:t xml:space="preserve">扫描后上传，身份证应为正、反面</w:t>
      </w:r>
      <w:r>
        <w:rPr>
          <w:rFonts w:hint="eastAsia" w:ascii="宋体" w:hAnsi="宋体"/>
          <w:bCs/>
          <w:color w:val="000000" w:themeColor="text1"/>
          <w:sz w:val="24"/>
          <w:szCs w:val="24"/>
          <w:highlight w:val="none"/>
        </w:rPr>
        <w:t xml:space="preserve">）：</w:t>
      </w:r>
      <w:r>
        <w:rPr>
          <w:color w:val="000000" w:themeColor="text1"/>
        </w:rPr>
      </w:r>
      <w:r/>
    </w:p>
    <w:p>
      <w:pPr>
        <w:numPr>
          <w:ilvl w:val="1"/>
          <w:numId w:val="4"/>
        </w:numPr>
        <w:ind w:left="0" w:firstLine="567"/>
        <w:spacing w:line="360" w:lineRule="auto"/>
        <w:tabs>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关于资格的声明函（</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numPr>
          <w:ilvl w:val="1"/>
          <w:numId w:val="4"/>
        </w:numPr>
        <w:ind w:left="0" w:firstLine="567"/>
        <w:spacing w:line="360" w:lineRule="auto"/>
        <w:tabs>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具有独立承担民事责任能力的投标人营业执照或相关部门的登记证明文件（投标人如</w:t>
      </w:r>
      <w:r>
        <w:rPr>
          <w:rFonts w:hint="eastAsia" w:ascii="宋体" w:hAnsi="宋体" w:cs="宋体"/>
          <w:color w:val="000000" w:themeColor="text1"/>
          <w:sz w:val="24"/>
          <w:szCs w:val="24"/>
          <w:highlight w:val="none"/>
        </w:rPr>
        <w:t xml:space="preserve">允许以分支机构身份参加投标的，提供投标人分支机构的营业执照</w:t>
      </w:r>
      <w:r>
        <w:rPr>
          <w:rFonts w:hint="eastAsia" w:ascii="宋体" w:hAnsi="宋体"/>
          <w:bCs/>
          <w:color w:val="000000" w:themeColor="text1"/>
          <w:sz w:val="24"/>
          <w:szCs w:val="24"/>
          <w:highlight w:val="none"/>
        </w:rPr>
        <w:t xml:space="preserve">）；</w:t>
      </w:r>
      <w:r>
        <w:rPr>
          <w:color w:val="000000" w:themeColor="text1"/>
        </w:rPr>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投标人法定代表人授权委托书</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格式见附件，法定代表人亲自参加投标的除外</w:t>
      </w:r>
      <w:r>
        <w:rPr>
          <w:rFonts w:hint="eastAsia" w:ascii="宋体" w:hAnsi="宋体"/>
          <w:color w:val="000000" w:themeColor="text1"/>
          <w:sz w:val="24"/>
          <w:szCs w:val="24"/>
          <w:highlight w:val="none"/>
        </w:rPr>
        <w:t xml:space="preserve">）（投标人如</w:t>
      </w:r>
      <w:r>
        <w:rPr>
          <w:rFonts w:hint="eastAsia" w:ascii="宋体" w:hAnsi="宋体" w:cs="宋体"/>
          <w:color w:val="000000" w:themeColor="text1"/>
          <w:sz w:val="24"/>
          <w:szCs w:val="24"/>
          <w:highlight w:val="none"/>
        </w:rPr>
        <w:t xml:space="preserve">允许以分支机构身份参加投标的，请自行</w:t>
      </w:r>
      <w:r>
        <w:rPr>
          <w:rFonts w:ascii="宋体" w:hAnsi="宋体" w:cs="宋体"/>
          <w:color w:val="000000" w:themeColor="text1"/>
          <w:sz w:val="24"/>
          <w:szCs w:val="24"/>
          <w:highlight w:val="none"/>
        </w:rPr>
        <w:t xml:space="preserve">将“</w:t>
      </w:r>
      <w:r>
        <w:rPr>
          <w:rFonts w:hint="eastAsia" w:ascii="宋体" w:hAnsi="宋体" w:cs="宋体"/>
          <w:color w:val="000000" w:themeColor="text1"/>
          <w:sz w:val="24"/>
          <w:szCs w:val="24"/>
          <w:highlight w:val="none"/>
        </w:rPr>
        <w:t xml:space="preserve">法定代表人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更改为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负责人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，分支机构投标</w:t>
      </w:r>
      <w:r>
        <w:rPr>
          <w:rFonts w:ascii="宋体" w:hAnsi="宋体" w:cs="宋体"/>
          <w:color w:val="000000" w:themeColor="text1"/>
          <w:sz w:val="24"/>
          <w:szCs w:val="24"/>
          <w:highlight w:val="none"/>
        </w:rPr>
        <w:t xml:space="preserve">时</w:t>
      </w:r>
      <w:r>
        <w:rPr>
          <w:rFonts w:hint="eastAsia" w:ascii="宋体" w:hAnsi="宋体" w:cs="宋体"/>
          <w:color w:val="000000" w:themeColor="text1"/>
          <w:sz w:val="24"/>
          <w:szCs w:val="24"/>
          <w:highlight w:val="none"/>
        </w:rPr>
        <w:t xml:space="preserve">涉及采购文件</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法定代表人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要求的部分</w:t>
      </w:r>
      <w:r>
        <w:rPr>
          <w:rFonts w:ascii="宋体" w:hAnsi="宋体" w:cs="宋体"/>
          <w:color w:val="000000" w:themeColor="text1"/>
          <w:sz w:val="24"/>
          <w:szCs w:val="24"/>
          <w:highlight w:val="none"/>
        </w:rPr>
        <w:t xml:space="preserve">，其</w:t>
      </w:r>
      <w:r>
        <w:rPr>
          <w:rFonts w:hint="eastAsia" w:ascii="宋体" w:hAnsi="宋体" w:cs="宋体"/>
          <w:color w:val="000000" w:themeColor="text1"/>
          <w:sz w:val="24"/>
          <w:szCs w:val="24"/>
          <w:highlight w:val="none"/>
        </w:rPr>
        <w:t xml:space="preserve">具体要求</w:t>
      </w:r>
      <w:r>
        <w:rPr>
          <w:rFonts w:ascii="宋体" w:hAnsi="宋体" w:cs="宋体"/>
          <w:color w:val="000000" w:themeColor="text1"/>
          <w:sz w:val="24"/>
          <w:szCs w:val="24"/>
          <w:highlight w:val="none"/>
        </w:rPr>
        <w:t xml:space="preserve">视同本条规定</w:t>
      </w:r>
      <w:r>
        <w:rPr>
          <w:rFonts w:hint="eastAsia" w:ascii="宋体" w:hAnsi="宋体"/>
          <w:color w:val="000000" w:themeColor="text1"/>
          <w:sz w:val="24"/>
          <w:szCs w:val="24"/>
          <w:highlight w:val="none"/>
        </w:rPr>
        <w:t xml:space="preserve">）；</w:t>
      </w:r>
      <w:r>
        <w:rPr>
          <w:color w:val="000000" w:themeColor="text1"/>
        </w:rPr>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投标人法定代表人身份证；</w:t>
      </w:r>
      <w:r>
        <w:rPr>
          <w:color w:val="000000" w:themeColor="text1"/>
        </w:rPr>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投标人法定代表人授权代表身份证（</w:t>
      </w:r>
      <w:r>
        <w:rPr>
          <w:rFonts w:hint="eastAsia" w:ascii="宋体" w:hAnsi="宋体"/>
          <w:b/>
          <w:bCs/>
          <w:color w:val="000000" w:themeColor="text1"/>
          <w:sz w:val="24"/>
          <w:szCs w:val="24"/>
          <w:highlight w:val="none"/>
        </w:rPr>
        <w:t xml:space="preserve">法定代表人亲自参加投标的除外</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color w:val="000000" w:themeColor="text1"/>
        </w:rPr>
      </w:r>
      <w:r/>
    </w:p>
    <w:p>
      <w:pPr>
        <w:numPr>
          <w:ilvl w:val="1"/>
          <w:numId w:val="4"/>
        </w:numPr>
        <w:ind w:left="0" w:firstLine="523"/>
        <w:spacing w:line="360" w:lineRule="auto"/>
        <w:tabs>
          <w:tab w:val="left" w:pos="945" w:leader="none"/>
          <w:tab w:val="left" w:pos="1276"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投标人近一年中任意一个月份（不含投标当月）为其法定代表人授权代表缴纳社保的证明（</w:t>
      </w:r>
      <w:r>
        <w:rPr>
          <w:rFonts w:hint="eastAsia" w:ascii="宋体" w:hAnsi="宋体"/>
          <w:b/>
          <w:bCs/>
          <w:color w:val="000000" w:themeColor="text1"/>
          <w:sz w:val="24"/>
          <w:szCs w:val="24"/>
          <w:highlight w:val="none"/>
        </w:rPr>
        <w:t xml:space="preserve">由相关主管部门出具，新成立公司除外、法定代表人亲自参加投标的除外</w:t>
      </w:r>
      <w:r>
        <w:rPr>
          <w:rFonts w:hint="eastAsia" w:ascii="宋体" w:hAnsi="宋体"/>
          <w:bCs/>
          <w:color w:val="000000" w:themeColor="text1"/>
          <w:sz w:val="24"/>
          <w:szCs w:val="24"/>
          <w:highlight w:val="none"/>
        </w:rPr>
        <w:t xml:space="preserve">）；</w:t>
      </w:r>
      <w:r>
        <w:rPr>
          <w:color w:val="000000" w:themeColor="text1"/>
        </w:rPr>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投标人近一年中任意一个月份（不含投标当月）的财务状况报告（资产负债表和利润表）或由会计师事务所出具的近两年中（2024年或2025年）任意一个年度的审计报告和所附已审财务报告；</w:t>
      </w:r>
      <w:r>
        <w:rPr>
          <w:color w:val="000000" w:themeColor="text1"/>
        </w:rPr>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投标人近一年中任意一个月份（不含投标当月）的依法缴纳税收的相关材料（提供相关主管部门证明或银行代扣证明）；</w:t>
      </w:r>
      <w:r>
        <w:rPr>
          <w:color w:val="000000" w:themeColor="text1"/>
        </w:rPr>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投标人近一年中任意一个月份（不含投标当月）的依法缴纳社会保障资金的相关材料（提供相关主管部门证明或银行代扣证明）；</w:t>
      </w:r>
      <w:r>
        <w:rPr>
          <w:color w:val="000000" w:themeColor="text1"/>
        </w:rPr>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承诺书</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采购人要求的特定资质证明扫描件（</w:t>
      </w:r>
      <w:r>
        <w:rPr>
          <w:rFonts w:hint="eastAsia" w:ascii="宋体" w:hAnsi="宋体"/>
          <w:b/>
          <w:bCs/>
          <w:color w:val="000000" w:themeColor="text1"/>
          <w:sz w:val="24"/>
          <w:szCs w:val="24"/>
          <w:highlight w:val="none"/>
        </w:rPr>
        <w:t xml:space="preserve">详见“投标邀请函”－“投标人资格要求”之3中要求）</w:t>
      </w:r>
      <w:r>
        <w:rPr>
          <w:rFonts w:hint="eastAsia" w:ascii="宋体" w:hAnsi="宋体"/>
          <w:bCs/>
          <w:color w:val="000000" w:themeColor="text1"/>
          <w:sz w:val="24"/>
          <w:szCs w:val="24"/>
          <w:highlight w:val="none"/>
        </w:rPr>
        <w:t xml:space="preserve">。</w:t>
      </w:r>
      <w:r>
        <w:rPr>
          <w:color w:val="000000" w:themeColor="text1"/>
        </w:rPr>
      </w:r>
      <w:r/>
    </w:p>
    <w:p>
      <w:pPr>
        <w:ind w:firstLine="480"/>
        <w:spacing w:line="360" w:lineRule="auto"/>
        <w:tabs>
          <w:tab w:val="left" w:pos="945"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注：按照《政府采购法实施条例释义》，法人的分支机构由于其不能独立承担民事责任，</w:t>
      </w:r>
      <w:r>
        <w:rPr>
          <w:rFonts w:hint="eastAsia" w:ascii="宋体" w:hAnsi="宋体" w:cs="宋体"/>
          <w:color w:val="000000" w:themeColor="text1"/>
          <w:sz w:val="24"/>
          <w:szCs w:val="24"/>
          <w:highlight w:val="none"/>
        </w:rPr>
        <w:t xml:space="preserve">不能以分支机构的身份参加政府采购，只能以法人身份参加。但银行、保险、石油石化、电力、电信等有行业特殊情况的，可以分支机构参加政府采购和签订合同。</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3、开标一览表（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4、报价明细表（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5、投标偏离表（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ind w:firstLine="480"/>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6、售后服务承诺</w:t>
      </w:r>
      <w:r>
        <w:rPr>
          <w:rFonts w:hint="eastAsia" w:ascii="宋体" w:hAnsi="宋体" w:eastAsia="宋体" w:cs="Times New Roman"/>
          <w:b/>
          <w:color w:val="000000" w:themeColor="text1"/>
          <w:sz w:val="24"/>
          <w:szCs w:val="24"/>
          <w:highlight w:val="none"/>
        </w:rPr>
        <w:t xml:space="preserve">（格式见附件）</w:t>
      </w:r>
      <w:r>
        <w:rPr>
          <w:color w:val="000000" w:themeColor="text1"/>
        </w:rPr>
      </w:r>
      <w:r/>
    </w:p>
    <w:p>
      <w:pPr>
        <w:ind w:firstLine="480"/>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7、投标人基本情况声明</w:t>
      </w:r>
      <w:r>
        <w:rPr>
          <w:rFonts w:hint="eastAsia" w:ascii="宋体" w:hAnsi="宋体" w:eastAsia="宋体" w:cs="Times New Roman"/>
          <w:b/>
          <w:color w:val="000000" w:themeColor="text1"/>
          <w:sz w:val="24"/>
          <w:szCs w:val="24"/>
          <w:highlight w:val="none"/>
        </w:rPr>
        <w:t xml:space="preserve">（格式见附件）</w:t>
      </w:r>
      <w:r>
        <w:rPr>
          <w:color w:val="000000" w:themeColor="text1"/>
        </w:rPr>
      </w:r>
      <w:r/>
    </w:p>
    <w:p>
      <w:pPr>
        <w:ind w:firstLine="482"/>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8、项目人员配置清单（</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ind w:firstLine="482"/>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9、关于符合本国产品标准的声明函（</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rPr>
      </w:r>
      <w:r/>
    </w:p>
    <w:p>
      <w:pPr>
        <w:ind w:firstLine="482"/>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10、技术文件</w:t>
      </w:r>
      <w:r>
        <w:rPr>
          <w:rFonts w:hint="eastAsia" w:ascii="宋体" w:hAnsi="宋体"/>
          <w:b/>
          <w:color w:val="000000" w:themeColor="text1"/>
          <w:sz w:val="24"/>
          <w:szCs w:val="24"/>
          <w:highlight w:val="none"/>
        </w:rPr>
        <w:t xml:space="preserve">（内容参照评标办法，格式自拟）</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11、评分标准中对应的其他所需证明材料（如有自行添加）</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w:t>
      </w:r>
      <w:r>
        <w:rPr>
          <w:rFonts w:hint="eastAsia" w:ascii="宋体"/>
          <w:bCs/>
          <w:color w:val="000000" w:themeColor="text1"/>
          <w:sz w:val="24"/>
          <w:szCs w:val="24"/>
          <w:highlight w:val="none"/>
        </w:rPr>
        <w:t xml:space="preserve">中小企业声明函（</w:t>
      </w:r>
      <w:r>
        <w:rPr>
          <w:rFonts w:hint="eastAsia" w:ascii="宋体"/>
          <w:b/>
          <w:color w:val="000000" w:themeColor="text1"/>
          <w:sz w:val="24"/>
          <w:szCs w:val="24"/>
          <w:highlight w:val="none"/>
        </w:rPr>
        <w:t xml:space="preserve">格式见附件</w:t>
      </w:r>
      <w:r>
        <w:rPr>
          <w:rFonts w:hint="eastAsia" w:ascii="宋体"/>
          <w:bCs/>
          <w:color w:val="000000" w:themeColor="text1"/>
          <w:sz w:val="24"/>
          <w:szCs w:val="24"/>
          <w:highlight w:val="none"/>
        </w:rPr>
        <w:t xml:space="preserve">）；</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13、要求采购人提供的配合（如有自拟并自行添加）</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14、其他（报价人认为有必要提供的声明和文件，如有自拟并自行添加）</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上述1-10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rPr>
          <w:color w:val="000000" w:themeColor="text1"/>
        </w:rPr>
      </w:r>
      <w:r/>
    </w:p>
    <w:p>
      <w:pPr>
        <w:ind w:firstLine="480"/>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（七）投标文件的制作：</w:t>
      </w:r>
      <w:r>
        <w:rPr>
          <w:color w:val="000000" w:themeColor="text1"/>
        </w:rPr>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所有文件、往来函件均应使用简体中文（规格、型号辅助符号例外）。</w:t>
      </w:r>
      <w:r>
        <w:rPr>
          <w:color w:val="000000" w:themeColor="text1"/>
        </w:rPr>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投标文件由投标人按要求如实填写，须有投标人（签章）、法定代表人或法定代表人授权代表签章，方为有效，未尽事宜可自行补充。</w:t>
      </w:r>
      <w:r>
        <w:rPr>
          <w:color w:val="000000" w:themeColor="text1"/>
        </w:rPr>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color w:val="000000" w:themeColor="text1"/>
          <w:sz w:val="24"/>
          <w:szCs w:val="24"/>
          <w:highlight w:val="none"/>
          <w:lang w:val="zh-CN"/>
        </w:rPr>
        <w:t xml:space="preserve">如无特别说明，</w:t>
      </w:r>
      <w:r>
        <w:rPr>
          <w:rFonts w:hint="eastAsia" w:ascii="宋体" w:hAnsi="宋体"/>
          <w:bCs/>
          <w:color w:val="000000" w:themeColor="text1"/>
          <w:sz w:val="24"/>
          <w:szCs w:val="24"/>
          <w:highlight w:val="none"/>
        </w:rPr>
        <w:t xml:space="preserve">投标人报价一律以人民币为投标结算货币，结算单位为“元”。</w:t>
      </w:r>
      <w:r>
        <w:rPr>
          <w:color w:val="000000" w:themeColor="text1"/>
        </w:rPr>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响应及投标费用自理。</w:t>
      </w:r>
      <w:r>
        <w:rPr>
          <w:color w:val="000000" w:themeColor="text1"/>
        </w:rPr>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（八）网上投标</w:t>
      </w:r>
      <w:r>
        <w:rPr>
          <w:color w:val="000000" w:themeColor="text1"/>
        </w:rPr>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rPr>
          <w:color w:val="000000" w:themeColor="text1"/>
        </w:rPr>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投标供应商应对CA数字证书妥善保管，如被他人盗用投标，后果自负。</w:t>
      </w:r>
      <w:r>
        <w:rPr>
          <w:color w:val="000000" w:themeColor="text1"/>
        </w:rPr>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投标供应商按招标文件规定的网上解密时间进行解密，如未按时解密后果自负。</w:t>
      </w:r>
      <w:r>
        <w:rPr>
          <w:color w:val="000000" w:themeColor="text1"/>
        </w:rPr>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投标供应商应当对招标文件提出的要求和条件作出实质性响应，并在电子投标系统逐条应答。</w:t>
      </w:r>
      <w:r>
        <w:rPr>
          <w:color w:val="000000" w:themeColor="text1"/>
        </w:rPr>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投标供应商应对要求提供的资格证明文件（如资质证书、资格证书）、技术资料（如白皮书、彩页、手册、检测报告等）扫描上传至投标系统。</w:t>
      </w:r>
      <w:r>
        <w:rPr>
          <w:color w:val="000000" w:themeColor="text1"/>
        </w:rPr>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投标供应商进行网上投标请参照《政府采购项目电子交易管理操作指南－供应商》。</w:t>
      </w:r>
      <w:r>
        <w:rPr>
          <w:color w:val="000000" w:themeColor="text1"/>
        </w:rPr>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因投标供应商原因造成投标文件未解密的，视为撤销其投标文件，部分投标文件未解密的，其他投标文件的开标可以继续进行。</w:t>
      </w:r>
      <w:r>
        <w:rPr>
          <w:color w:val="000000" w:themeColor="text1"/>
        </w:rPr>
      </w:r>
      <w:r/>
    </w:p>
    <w:p>
      <w:pPr>
        <w:numPr>
          <w:ilvl w:val="0"/>
          <w:numId w:val="6"/>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请投标人实时关注评标过程，一旦发现有询标函，请按时回复。请投标人密切关注评标过程，因投标人未尽注意义务，而造成的损失及风险（包括但不限于未中标）由投标人自行承担。</w:t>
      </w:r>
      <w:r>
        <w:rPr>
          <w:color w:val="000000" w:themeColor="text1"/>
        </w:rPr>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（九）无效投标文件的确认：</w:t>
      </w:r>
      <w:r>
        <w:rPr>
          <w:color w:val="000000" w:themeColor="text1"/>
        </w:rPr>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宋体" w:hAnsi="宋体"/>
          <w:bCs/>
          <w:color w:val="000000" w:themeColor="text1"/>
          <w:sz w:val="24"/>
          <w:szCs w:val="24"/>
          <w:highlight w:val="none"/>
        </w:rPr>
        <w:t xml:space="preserve">投标人有下列情况之一者，投标文件无效：</w:t>
      </w:r>
      <w:r>
        <w:rPr>
          <w:color w:val="000000" w:themeColor="text1"/>
        </w:rPr>
      </w:r>
      <w:r/>
    </w:p>
    <w:p>
      <w:pPr>
        <w:numPr>
          <w:ilvl w:val="0"/>
          <w:numId w:val="7"/>
        </w:numPr>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未按规定在江苏省政府采购（苏采云）平台注册的；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电子投标文件未按招标文件要求签章的；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投标人未按招标文件要求解密电子投标文件的；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投标人的法定代表人授权代表，无法定代表人授权委托书的；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不具备招标文件中规定的资格要求或未按招标文件规定的要求提供资格、资信证明文件的；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被“信用中国”网站（</w:t>
      </w:r>
      <w:r>
        <w:rPr>
          <w:color w:val="000000" w:themeColor="text1"/>
          <w:highlight w:val="none"/>
        </w:rPr>
        <w:fldChar w:fldCharType="begin"/>
      </w:r>
      <w:r>
        <w:rPr>
          <w:color w:val="000000" w:themeColor="text1"/>
          <w:highlight w:val="none"/>
        </w:rPr>
        <w:instrText xml:space="preserve"> HYPERLINK "http://www.creditchina.gov.cn" \o "http://www.creditchina.gov.cn" </w:instrText>
      </w:r>
      <w:r>
        <w:rPr>
          <w:color w:val="000000" w:themeColor="text1"/>
          <w:highlight w:val="none"/>
        </w:rPr>
        <w:fldChar w:fldCharType="separate"/>
      </w:r>
      <w:r>
        <w:rPr>
          <w:rFonts w:hint="eastAsia" w:ascii="宋体" w:hAnsi="宋体"/>
          <w:color w:val="000000" w:themeColor="text1"/>
          <w:sz w:val="24"/>
          <w:szCs w:val="24"/>
          <w:highlight w:val="none"/>
        </w:rPr>
        <w:t xml:space="preserve">www.creditchina.gov.cn</w:t>
      </w:r>
      <w:r>
        <w:rPr>
          <w:rFonts w:hint="eastAsia"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）、中国政府采购网（www.ccgp.gov.cn）列入失信被执行人、重大税收违法案件当事人名单、政府采购严重违法失信行为记录名单的；</w:t>
      </w:r>
      <w:r>
        <w:rPr>
          <w:color w:val="000000" w:themeColor="text1"/>
        </w:rPr>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投标文件未按招标文件规定的内容和要求填写的；没有在投标系统指定位置上传对应文件、材料的；</w:t>
      </w:r>
      <w:r>
        <w:rPr>
          <w:color w:val="000000" w:themeColor="text1"/>
        </w:rPr>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电子投标文件图片、字迹模糊不清、无法辨认的；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电子投标文件中技术文件部分未按要求编制，编制粗糙、缺漏项、格式混乱、条理不清的；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投标文件中有招标文件未允许提供的选择性内容；</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不同投标人委托同一单位或者个人办理投标事宜的；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不同投标人的单位负责人为同一人或者存在直接控股、管理关系的；</w:t>
      </w:r>
      <w:r>
        <w:rPr>
          <w:color w:val="000000" w:themeColor="text1"/>
        </w:rPr>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不同投标人的投标文件的上传形式、目录序号、排版格式、文字风格等存在明显的相似性或一致性，特征显示由同一单位或者同一个人编制的；</w:t>
      </w:r>
      <w:r>
        <w:rPr>
          <w:color w:val="000000" w:themeColor="text1"/>
        </w:rPr>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color w:val="000000" w:themeColor="text1"/>
        </w:rPr>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项目（标段）投标总价超过本项目（标段）预算或最高限价的；</w:t>
      </w:r>
      <w:r>
        <w:rPr>
          <w:color w:val="000000" w:themeColor="text1"/>
        </w:rPr>
      </w:r>
      <w:r/>
    </w:p>
    <w:p>
      <w:pPr>
        <w:numPr>
          <w:ilvl w:val="0"/>
          <w:numId w:val="7"/>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提供虚假材料的（包括工商营业执照、财务报表、资格证明文件等）；</w:t>
      </w:r>
      <w:r>
        <w:rPr>
          <w:color w:val="000000" w:themeColor="text1"/>
        </w:rPr>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投标文件含有采购人不能接受的附加条件的；</w:t>
      </w:r>
      <w:r>
        <w:rPr>
          <w:color w:val="000000" w:themeColor="text1"/>
        </w:rPr>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评标委员会认定投标人的报价明显低于其他通过符合性审查投标人的报价，有可能影响产品质量或者不能诚信履约的，</w:t>
      </w:r>
      <w:r>
        <w:rPr>
          <w:rFonts w:hint="eastAsia" w:ascii="宋体" w:hAnsi="宋体"/>
          <w:bCs/>
          <w:color w:val="000000" w:themeColor="text1"/>
          <w:sz w:val="24"/>
          <w:szCs w:val="24"/>
          <w:highlight w:val="none"/>
        </w:rPr>
        <w:t xml:space="preserve">应当按照《关于推动解决政府采购异常低价问题相关工作的通知》（苏财购〔20</w:t>
      </w:r>
      <w:r>
        <w:rPr>
          <w:rFonts w:hint="eastAsia" w:ascii="宋体" w:hAnsi="宋体"/>
          <w:bCs/>
          <w:color w:val="000000" w:themeColor="text1"/>
          <w:sz w:val="24"/>
          <w:szCs w:val="24"/>
          <w:highlight w:val="none"/>
          <w:lang w:val="en-US" w:eastAsia="zh-CN"/>
        </w:rPr>
        <w:t xml:space="preserve">26</w:t>
      </w:r>
      <w:r>
        <w:rPr>
          <w:rFonts w:hint="eastAsia" w:ascii="宋体" w:hAnsi="宋体"/>
          <w:bCs/>
          <w:color w:val="000000" w:themeColor="text1"/>
          <w:sz w:val="24"/>
          <w:szCs w:val="24"/>
          <w:highlight w:val="none"/>
        </w:rPr>
        <w:t xml:space="preserve">〕2号）要求</w:t>
      </w:r>
      <w:r>
        <w:rPr>
          <w:rFonts w:hint="eastAsia" w:ascii="宋体" w:hAnsi="宋体"/>
          <w:bCs/>
          <w:color w:val="000000" w:themeColor="text1"/>
          <w:sz w:val="24"/>
          <w:szCs w:val="24"/>
          <w:highlight w:val="none"/>
        </w:rPr>
        <w:t xml:space="preserve">，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color w:val="000000" w:themeColor="text1"/>
        </w:rPr>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评标委员会启动异常低价投标（响应）审查的情形和具体要求，包括：</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bCs/>
          <w:i w:val="0"/>
          <w:iCs w:val="0"/>
          <w:color w:val="000000" w:themeColor="text1"/>
          <w:sz w:val="24"/>
          <w:szCs w:val="24"/>
          <w:highlight w:val="none"/>
        </w:rPr>
      </w:pPr>
      <w:r>
        <w:rPr>
          <w:rFonts w:hint="eastAsia" w:ascii="宋体" w:hAnsi="宋体" w:eastAsia="宋体" w:cs="Times New Roman"/>
          <w:bCs/>
          <w:i w:val="0"/>
          <w:iCs w:val="0"/>
          <w:color w:val="000000" w:themeColor="text1"/>
          <w:sz w:val="24"/>
          <w:szCs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bCs/>
          <w:i w:val="0"/>
          <w:iCs w:val="0"/>
          <w:color w:val="000000" w:themeColor="text1"/>
          <w:sz w:val="24"/>
          <w:szCs w:val="24"/>
          <w:highlight w:val="none"/>
        </w:rPr>
      </w:pPr>
      <w:r>
        <w:rPr>
          <w:rFonts w:hint="eastAsia" w:ascii="宋体" w:hAnsi="宋体" w:eastAsia="宋体" w:cs="Times New Roman"/>
          <w:bCs/>
          <w:i w:val="0"/>
          <w:iCs w:val="0"/>
          <w:color w:val="000000" w:themeColor="text1"/>
          <w:sz w:val="24"/>
          <w:szCs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bCs/>
          <w:i w:val="0"/>
          <w:iCs w:val="0"/>
          <w:color w:val="000000" w:themeColor="text1"/>
          <w:sz w:val="24"/>
          <w:szCs w:val="24"/>
          <w:highlight w:val="none"/>
        </w:rPr>
      </w:pPr>
      <w:r>
        <w:rPr>
          <w:rFonts w:hint="eastAsia" w:ascii="宋体" w:hAnsi="宋体" w:eastAsia="宋体" w:cs="Times New Roman"/>
          <w:bCs/>
          <w:i w:val="0"/>
          <w:iCs w:val="0"/>
          <w:color w:val="000000" w:themeColor="text1"/>
          <w:sz w:val="24"/>
          <w:szCs w:val="24"/>
          <w:highlight w:val="none"/>
          <w:lang w:val="en-US" w:eastAsia="zh-CN" w:bidi="ar-SA"/>
        </w:rPr>
        <w:t xml:space="preserve">（3）投标（响应）报价低于采购项目最高限价45%的，即投标（响应）报价＜采购项目最高限价×45%；</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bCs/>
          <w:i w:val="0"/>
          <w:iCs w:val="0"/>
          <w:color w:val="000000" w:themeColor="text1"/>
          <w:sz w:val="24"/>
          <w:szCs w:val="24"/>
          <w:highlight w:val="none"/>
        </w:rPr>
      </w:pPr>
      <w:r>
        <w:rPr>
          <w:rFonts w:hint="eastAsia" w:ascii="宋体" w:hAnsi="宋体" w:eastAsia="宋体" w:cs="Times New Roman"/>
          <w:bCs/>
          <w:i w:val="0"/>
          <w:iCs w:val="0"/>
          <w:color w:val="000000" w:themeColor="text1"/>
          <w:sz w:val="24"/>
          <w:szCs w:val="24"/>
          <w:highlight w:val="none"/>
          <w:lang w:val="en-US" w:eastAsia="zh-CN" w:bidi="ar-SA"/>
        </w:rPr>
        <w:t xml:space="preserve">（4）评审委员会基于专业判断，认为供应商报价过低，有可能影响产品质量或者不能诚信履约的其他情形。</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bCs/>
          <w:i w:val="0"/>
          <w:iCs w:val="0"/>
          <w:color w:val="000000" w:themeColor="text1"/>
          <w:sz w:val="24"/>
          <w:szCs w:val="24"/>
          <w:highlight w:val="none"/>
        </w:rPr>
      </w:pPr>
      <w:r>
        <w:rPr>
          <w:rFonts w:hint="eastAsia" w:ascii="宋体" w:hAnsi="宋体" w:eastAsia="宋体" w:cs="Times New Roman"/>
          <w:bCs/>
          <w:i w:val="0"/>
          <w:iCs w:val="0"/>
          <w:color w:val="000000" w:themeColor="text1"/>
          <w:sz w:val="24"/>
          <w:szCs w:val="24"/>
          <w:highlight w:val="none"/>
          <w:lang w:val="en-US" w:eastAsia="zh-CN" w:bidi="ar-SA"/>
        </w:rPr>
        <w:t xml:space="preserve">采购人可以结合具体项目实际情况，提高上述第1项至第3项中启动异常低价投标（响应）审查的数值标准，但是最高不得超过65%。</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bCs/>
          <w:i w:val="0"/>
          <w:iCs w:val="0"/>
          <w:color w:val="000000" w:themeColor="text1"/>
          <w:sz w:val="24"/>
          <w:szCs w:val="24"/>
          <w:highlight w:val="none"/>
        </w:rPr>
      </w:pPr>
      <w:r>
        <w:rPr>
          <w:rFonts w:hint="eastAsia" w:ascii="宋体" w:hAnsi="宋体" w:eastAsia="宋体" w:cs="Times New Roman"/>
          <w:bCs/>
          <w:i w:val="0"/>
          <w:iCs w:val="0"/>
          <w:color w:val="000000" w:themeColor="text1"/>
          <w:sz w:val="24"/>
          <w:szCs w:val="24"/>
          <w:highlight w:val="none"/>
          <w:lang w:val="en-US" w:eastAsia="zh-CN" w:bidi="ar-SA"/>
        </w:rPr>
        <w:t xml:space="preserve">相关法律法规对供应商报价有规定的，从其规定。</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bCs/>
          <w:i w:val="0"/>
          <w:iCs w:val="0"/>
          <w:color w:val="000000" w:themeColor="text1"/>
          <w:sz w:val="24"/>
          <w:szCs w:val="24"/>
          <w:highlight w:val="none"/>
        </w:rPr>
      </w:pPr>
      <w:r>
        <w:rPr>
          <w:rFonts w:hint="eastAsia" w:ascii="宋体" w:hAnsi="宋体" w:eastAsia="宋体" w:cs="Times New Roman"/>
          <w:bCs/>
          <w:i w:val="0"/>
          <w:iCs w:val="0"/>
          <w:color w:val="000000" w:themeColor="text1"/>
          <w:sz w:val="24"/>
          <w:szCs w:val="24"/>
          <w:highlight w:val="none"/>
          <w:lang w:val="en-US" w:eastAsia="zh-CN" w:bidi="ar-SA"/>
        </w:rPr>
        <w:t xml:space="preserve">如果项目或采购包存在有分项价格最高限价要求或单价最高限价（最高限制单价）要求时，有上述情形的，应当启动异常低价投标（响应）审查程序。</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bCs/>
          <w:i w:val="0"/>
          <w:iCs w:val="0"/>
          <w:color w:val="000000" w:themeColor="text1"/>
          <w:sz w:val="24"/>
          <w:szCs w:val="24"/>
          <w:highlight w:val="none"/>
        </w:rPr>
      </w:pPr>
      <w:r>
        <w:rPr>
          <w:rFonts w:hint="eastAsia" w:ascii="宋体" w:hAnsi="宋体" w:eastAsia="宋体" w:cs="Times New Roman"/>
          <w:bCs/>
          <w:i w:val="0"/>
          <w:iCs w:val="0"/>
          <w:color w:val="000000" w:themeColor="text1"/>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bCs/>
          <w:i w:val="0"/>
          <w:iCs w:val="0"/>
          <w:color w:val="000000" w:themeColor="text1"/>
          <w:sz w:val="24"/>
          <w:szCs w:val="24"/>
          <w:highlight w:val="none"/>
        </w:rPr>
      </w:pPr>
      <w:r>
        <w:rPr>
          <w:rFonts w:hint="eastAsia" w:ascii="宋体" w:hAnsi="宋体" w:eastAsia="宋体" w:cs="Times New Roman"/>
          <w:bCs/>
          <w:i w:val="0"/>
          <w:iCs w:val="0"/>
          <w:color w:val="000000" w:themeColor="text1"/>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left="0" w:firstLine="480"/>
        <w:keepLines w:val="0"/>
        <w:keepNext w:val="0"/>
        <w:pageBreakBefore w:val="0"/>
        <w:spacing w:line="360" w:lineRule="auto"/>
        <w:widowControl w:val="off"/>
        <w:rPr>
          <w:rFonts w:hint="eastAsia" w:ascii="宋体" w:hAnsi="宋体" w:eastAsia="宋体" w:cs="Times New Roman"/>
          <w:bCs/>
          <w:i w:val="0"/>
          <w:iCs w:val="0"/>
          <w:color w:val="000000" w:themeColor="text1"/>
          <w:sz w:val="24"/>
          <w:szCs w:val="24"/>
          <w:highlight w:val="none"/>
        </w:rPr>
      </w:pPr>
      <w:r>
        <w:rPr>
          <w:rFonts w:hint="eastAsia" w:ascii="宋体" w:hAnsi="宋体" w:eastAsia="宋体" w:cs="Times New Roman"/>
          <w:bCs/>
          <w:i w:val="0"/>
          <w:iCs w:val="0"/>
          <w:color w:val="000000" w:themeColor="text1"/>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themeColor="text1"/>
          <w:sz w:val="24"/>
          <w:szCs w:val="24"/>
        </w:rPr>
      </w:pPr>
      <w:r>
        <w:rPr>
          <w:rFonts w:hint="eastAsia" w:ascii="Times New Roman" w:hAnsi="Times New Roman" w:eastAsia="宋体" w:cs="Times New Roman"/>
          <w:color w:val="000000" w:themeColor="text1"/>
          <w:sz w:val="24"/>
          <w:szCs w:val="24"/>
          <w:highlight w:val="none"/>
          <w:lang w:val="en-US" w:eastAsia="zh-CN" w:bidi="ar-SA"/>
        </w:rPr>
        <w:t xml:space="preserve">财政部门在投诉处理、监督检查中发现评审委员会未按规定对异常低价开展审查的，依法予以纠正并追究评审专家的法律责任。</w:t>
      </w:r>
      <w:r>
        <w:rPr>
          <w:color w:val="000000" w:themeColor="text1"/>
        </w:rPr>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rPr>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投标文件内容不全或不符合招标文件中规定的其他实质性要求的；</w:t>
      </w:r>
      <w:r>
        <w:rPr>
          <w:color w:val="000000" w:themeColor="text1"/>
        </w:rPr>
      </w:r>
      <w:r/>
    </w:p>
    <w:p>
      <w:pPr>
        <w:numPr>
          <w:ilvl w:val="0"/>
          <w:numId w:val="7"/>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法律法规和招标文件规定的其他无效情形。</w:t>
      </w:r>
      <w:r>
        <w:rPr>
          <w:color w:val="000000" w:themeColor="text1"/>
        </w:rPr>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（十）开标、评标：</w:t>
      </w:r>
      <w:r>
        <w:rPr>
          <w:color w:val="000000" w:themeColor="text1"/>
        </w:rPr>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所有投标单位在招标文件规定的时间内解密各自投标文件；</w:t>
      </w:r>
      <w:r>
        <w:rPr>
          <w:color w:val="000000" w:themeColor="text1"/>
        </w:rPr>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2．投标截止时间后参加投标的供应商或解密投标文件的供应商不足三家的，不开标；开标后，所有投标供应商可在线上开标大厅中看到所有投标人的投标报价；</w:t>
      </w:r>
      <w:r>
        <w:rPr>
          <w:color w:val="000000" w:themeColor="text1"/>
        </w:rPr>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开标时，投标文件</w:t>
      </w:r>
      <w:r>
        <w:rPr>
          <w:rFonts w:ascii="宋体" w:hAnsi="宋体"/>
          <w:bCs/>
          <w:color w:val="000000" w:themeColor="text1"/>
          <w:sz w:val="24"/>
          <w:szCs w:val="24"/>
          <w:highlight w:val="none"/>
        </w:rPr>
        <w:t xml:space="preserve">报价出现前后不一致的，按照下列规定修正：</w:t>
      </w:r>
      <w:r>
        <w:rPr>
          <w:color w:val="000000" w:themeColor="text1"/>
        </w:rPr>
      </w:r>
      <w:r/>
    </w:p>
    <w:p>
      <w:pPr>
        <w:ind w:firstLine="480"/>
        <w:spacing w:line="360" w:lineRule="auto"/>
        <w:tabs>
          <w:tab w:val="left" w:pos="630" w:leader="none"/>
          <w:tab w:val="left" w:pos="945" w:leader="none"/>
          <w:tab w:val="left" w:pos="1155" w:leader="none"/>
          <w:tab w:val="left" w:pos="1554"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w:t>
      </w:r>
      <w:r>
        <w:rPr>
          <w:rFonts w:ascii="宋体" w:hAnsi="宋体"/>
          <w:bCs/>
          <w:color w:val="000000" w:themeColor="text1"/>
          <w:sz w:val="24"/>
          <w:szCs w:val="24"/>
          <w:highlight w:val="none"/>
        </w:rPr>
        <w:t xml:space="preserve">投标文件中开标一览表（报价表）内容与投标文件中相应内容不一致的，以开标一览表（报价表）为准；</w:t>
      </w:r>
      <w:r>
        <w:rPr>
          <w:color w:val="000000" w:themeColor="text1"/>
        </w:rPr>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w:t>
      </w:r>
      <w:r>
        <w:rPr>
          <w:rFonts w:ascii="宋体" w:hAnsi="宋体"/>
          <w:bCs/>
          <w:color w:val="000000" w:themeColor="text1"/>
          <w:sz w:val="24"/>
          <w:szCs w:val="24"/>
          <w:highlight w:val="none"/>
        </w:rPr>
        <w:t xml:space="preserve">大写金额和小写金额不一致的，以大写金额为准；</w:t>
      </w:r>
      <w:r>
        <w:rPr>
          <w:color w:val="000000" w:themeColor="text1"/>
        </w:rPr>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w:t>
      </w:r>
      <w:r>
        <w:rPr>
          <w:rFonts w:ascii="宋体" w:hAnsi="宋体"/>
          <w:bCs/>
          <w:color w:val="000000" w:themeColor="text1"/>
          <w:sz w:val="24"/>
          <w:szCs w:val="24"/>
          <w:highlight w:val="none"/>
        </w:rPr>
        <w:t xml:space="preserve">单价金额小数点或者百分比有明显错位的，以开标一览表的总价为准，并修改单价；</w:t>
      </w:r>
      <w:r>
        <w:rPr>
          <w:color w:val="000000" w:themeColor="text1"/>
        </w:rPr>
      </w:r>
      <w:r/>
    </w:p>
    <w:p>
      <w:pPr>
        <w:ind w:firstLine="480"/>
        <w:spacing w:line="360" w:lineRule="auto"/>
        <w:tabs>
          <w:tab w:val="left" w:pos="630" w:leader="none"/>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w:t>
      </w:r>
      <w:r>
        <w:rPr>
          <w:rFonts w:ascii="宋体" w:hAnsi="宋体"/>
          <w:bCs/>
          <w:color w:val="000000" w:themeColor="text1"/>
          <w:sz w:val="24"/>
          <w:szCs w:val="24"/>
          <w:highlight w:val="none"/>
        </w:rPr>
        <w:t xml:space="preserve">总价金额与按单价汇总金额不一致的，以单价金额计算结果为准。</w:t>
      </w:r>
      <w:r>
        <w:rPr>
          <w:color w:val="000000" w:themeColor="text1"/>
        </w:rPr>
      </w:r>
      <w:r/>
    </w:p>
    <w:p>
      <w:pPr>
        <w:ind w:firstLine="480"/>
        <w:spacing w:line="360" w:lineRule="auto"/>
        <w:tabs>
          <w:tab w:val="left" w:pos="94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同时出现两种以上不一致的，按照前款规定的顺序修正。修正后的报价</w:t>
      </w:r>
      <w:r>
        <w:rPr>
          <w:rFonts w:hint="eastAsia" w:ascii="宋体" w:hAnsi="宋体"/>
          <w:bCs/>
          <w:color w:val="000000" w:themeColor="text1"/>
          <w:sz w:val="24"/>
          <w:szCs w:val="24"/>
          <w:highlight w:val="none"/>
        </w:rPr>
        <w:t xml:space="preserve">评标委员会</w:t>
      </w:r>
      <w:r>
        <w:rPr>
          <w:rFonts w:ascii="宋体" w:hAnsi="宋体"/>
          <w:bCs/>
          <w:color w:val="000000" w:themeColor="text1"/>
          <w:sz w:val="24"/>
          <w:szCs w:val="24"/>
          <w:highlight w:val="none"/>
        </w:rPr>
        <w:t xml:space="preserve">应当以书面形式要求</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人作出必要的澄清、说明或者补正</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经投标人确认后产生约束力，投标人不确认的，其投标无效</w:t>
      </w:r>
      <w:r>
        <w:rPr>
          <w:rFonts w:hint="eastAsia" w:ascii="宋体" w:hAnsi="宋体"/>
          <w:bCs/>
          <w:color w:val="000000" w:themeColor="text1"/>
          <w:sz w:val="24"/>
          <w:szCs w:val="24"/>
          <w:highlight w:val="none"/>
        </w:rPr>
        <w:t xml:space="preserve">。</w:t>
      </w:r>
      <w:r>
        <w:rPr>
          <w:color w:val="000000" w:themeColor="text1"/>
        </w:rPr>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4．电子投标文件与纸质投标文件（如有）不符的，以电子投标文件为准。</w:t>
      </w:r>
      <w:r>
        <w:rPr>
          <w:color w:val="000000" w:themeColor="text1"/>
        </w:rPr>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5．投标人未参加开标的，视同认可开标结果。</w:t>
      </w:r>
      <w:r>
        <w:rPr>
          <w:color w:val="000000" w:themeColor="text1"/>
        </w:rPr>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评标程序</w:t>
      </w:r>
      <w:r>
        <w:rPr>
          <w:color w:val="000000" w:themeColor="text1"/>
        </w:rPr>
      </w:r>
      <w:r/>
    </w:p>
    <w:p>
      <w:pPr>
        <w:ind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评标工作由江苏智汇锡建工程项目管理有限公司负责组织，具体评标事务由依法组建的评标委员会负责。</w:t>
      </w:r>
      <w:r>
        <w:rPr>
          <w:color w:val="000000" w:themeColor="text1"/>
        </w:rPr>
      </w:r>
      <w:r/>
    </w:p>
    <w:p>
      <w:pPr>
        <w:numPr>
          <w:ilvl w:val="0"/>
          <w:numId w:val="8"/>
        </w:numPr>
        <w:ind w:left="0" w:firstLine="523"/>
        <w:spacing w:line="360" w:lineRule="auto"/>
        <w:tabs>
          <w:tab w:val="left" w:pos="630" w:leader="none"/>
          <w:tab w:val="left" w:pos="945" w:leader="none"/>
          <w:tab w:val="left" w:pos="115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投标文件初审。初审分为资格性检查和符合性检查。</w:t>
      </w:r>
      <w:r>
        <w:rPr>
          <w:color w:val="000000" w:themeColor="text1"/>
        </w:rPr>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资格性检查。采购人和代理机构依据法律法规和招标文件的规定，对投标文件中的资格证明、投标（报价）承诺函等进行审查；通过“信用中国”网站（</w:t>
      </w:r>
      <w:r>
        <w:rPr>
          <w:color w:val="000000" w:themeColor="text1"/>
          <w:highlight w:val="none"/>
        </w:rPr>
        <w:fldChar w:fldCharType="begin"/>
      </w:r>
      <w:r>
        <w:rPr>
          <w:color w:val="000000" w:themeColor="text1"/>
          <w:highlight w:val="none"/>
        </w:rPr>
        <w:instrText xml:space="preserve"> HYPERLINK "http://www.creditchina.gov.cn" \o "http://www.creditchina.gov.cn" </w:instrText>
      </w:r>
      <w:r>
        <w:rPr>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rPr>
        <w:t xml:space="preserve">以确定投标供应商是否具备投标资格。信用</w:t>
      </w:r>
      <w:r>
        <w:rPr>
          <w:rFonts w:hint="eastAsia" w:ascii="宋体" w:hAnsi="宋体" w:cs="宋体"/>
          <w:color w:val="000000" w:themeColor="text1"/>
          <w:sz w:val="24"/>
          <w:szCs w:val="24"/>
          <w:highlight w:val="none"/>
        </w:rPr>
        <w:t xml:space="preserve">查询结果以网页打印的形式留存并归档。</w:t>
      </w:r>
      <w:r>
        <w:rPr>
          <w:color w:val="000000" w:themeColor="text1"/>
        </w:rPr>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color w:val="000000" w:themeColor="text1"/>
        </w:rPr>
      </w:r>
      <w:r/>
    </w:p>
    <w:p>
      <w:pPr>
        <w:numPr>
          <w:ilvl w:val="0"/>
          <w:numId w:val="8"/>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themeColor="text1"/>
          <w:sz w:val="24"/>
          <w:szCs w:val="24"/>
          <w:highlight w:val="none"/>
        </w:rPr>
        <w:t xml:space="preserve">者补正应当</w:t>
      </w:r>
      <w:r>
        <w:rPr>
          <w:rFonts w:hint="eastAsia" w:ascii="宋体" w:hAnsi="宋体"/>
          <w:bCs/>
          <w:color w:val="000000" w:themeColor="text1"/>
          <w:sz w:val="24"/>
          <w:szCs w:val="24"/>
          <w:highlight w:val="none"/>
        </w:rPr>
        <w:t xml:space="preserve">通过政府采购交易管理一体化系统</w:t>
      </w:r>
      <w:r>
        <w:rPr>
          <w:rFonts w:ascii="宋体" w:hAnsi="宋体"/>
          <w:bCs/>
          <w:color w:val="000000" w:themeColor="text1"/>
          <w:sz w:val="24"/>
          <w:szCs w:val="24"/>
          <w:highlight w:val="none"/>
        </w:rPr>
        <w:t xml:space="preserve">，由其授权的代表</w:t>
      </w:r>
      <w:r>
        <w:rPr>
          <w:rFonts w:hint="eastAsia" w:ascii="宋体" w:hAnsi="宋体"/>
          <w:bCs/>
          <w:color w:val="000000" w:themeColor="text1"/>
          <w:sz w:val="24"/>
          <w:szCs w:val="24"/>
          <w:highlight w:val="none"/>
        </w:rPr>
        <w:t xml:space="preserve">应答并加盖电子公章，且不得超出投标文件的范围或者改变投标文件的实质性内容。</w:t>
      </w:r>
      <w:r>
        <w:rPr>
          <w:color w:val="000000" w:themeColor="text1"/>
        </w:rPr>
      </w:r>
      <w:r/>
    </w:p>
    <w:p>
      <w:pPr>
        <w:numPr>
          <w:ilvl w:val="0"/>
          <w:numId w:val="8"/>
        </w:numPr>
        <w:ind w:left="0" w:firstLine="523"/>
        <w:spacing w:line="360" w:lineRule="auto"/>
        <w:tabs>
          <w:tab w:val="left" w:pos="945" w:leader="none"/>
          <w:tab w:val="left" w:pos="1155" w:leader="none"/>
          <w:tab w:val="left" w:pos="136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rPr>
        <w:t xml:space="preserve">。</w:t>
      </w:r>
      <w:r>
        <w:rPr>
          <w:color w:val="000000" w:themeColor="text1"/>
        </w:rPr>
      </w:r>
      <w:r/>
    </w:p>
    <w:p>
      <w:pPr>
        <w:numPr>
          <w:ilvl w:val="1"/>
          <w:numId w:val="0"/>
        </w:numPr>
        <w:ind w:left="1" w:firstLine="523"/>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7．</w:t>
      </w:r>
      <w:r>
        <w:rPr>
          <w:rFonts w:hint="eastAsia" w:ascii="宋体" w:hAnsi="宋体"/>
          <w:bCs/>
          <w:color w:val="000000" w:themeColor="text1"/>
          <w:sz w:val="24"/>
          <w:szCs w:val="24"/>
          <w:highlight w:val="none"/>
        </w:rPr>
        <w:t xml:space="preserve">评标方法</w:t>
      </w:r>
      <w:r>
        <w:rPr>
          <w:color w:val="000000" w:themeColor="text1"/>
        </w:rPr>
      </w:r>
      <w:r/>
    </w:p>
    <w:p>
      <w:pPr>
        <w:ind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投标人通过初审的，方可进入</w:t>
      </w:r>
      <w:r>
        <w:rPr>
          <w:rFonts w:hint="eastAsia" w:ascii="宋体" w:hAnsi="宋体"/>
          <w:bCs/>
          <w:color w:val="000000" w:themeColor="text1"/>
          <w:sz w:val="24"/>
          <w:highlight w:val="none"/>
        </w:rPr>
        <w:t xml:space="preserve">比较与评价程序</w:t>
      </w:r>
      <w:r>
        <w:rPr>
          <w:rFonts w:hint="eastAsia" w:ascii="宋体" w:hAnsi="宋体"/>
          <w:bCs/>
          <w:color w:val="000000" w:themeColor="text1"/>
          <w:sz w:val="24"/>
          <w:szCs w:val="24"/>
          <w:highlight w:val="none"/>
        </w:rPr>
        <w:t xml:space="preserve">。</w:t>
      </w:r>
      <w:r>
        <w:rPr>
          <w:color w:val="000000" w:themeColor="text1"/>
        </w:rPr>
      </w:r>
      <w:r/>
    </w:p>
    <w:p>
      <w:pPr>
        <w:ind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比较与评价</w:t>
      </w:r>
      <w:r>
        <w:rPr>
          <w:rFonts w:hint="eastAsia" w:ascii="宋体" w:hAnsi="宋体"/>
          <w:bCs/>
          <w:color w:val="000000" w:themeColor="text1"/>
          <w:sz w:val="24"/>
          <w:szCs w:val="24"/>
          <w:highlight w:val="none"/>
        </w:rPr>
        <w:t xml:space="preserve">采用综合评分法。</w:t>
      </w:r>
      <w:r>
        <w:rPr>
          <w:color w:val="000000" w:themeColor="text1"/>
        </w:rPr>
      </w:r>
      <w:r/>
    </w:p>
    <w:p>
      <w:pPr>
        <w:ind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r/>
    </w:p>
    <w:p>
      <w:pPr>
        <w:numPr>
          <w:ilvl w:val="1"/>
          <w:numId w:val="0"/>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8．评分标准</w:t>
      </w:r>
      <w:r>
        <w:rPr>
          <w:color w:val="000000" w:themeColor="text1"/>
        </w:rPr>
      </w:r>
      <w:r/>
    </w:p>
    <w:p>
      <w:pPr>
        <w:ind w:left="524"/>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详见附件。</w:t>
      </w:r>
      <w:r>
        <w:rPr>
          <w:color w:val="000000" w:themeColor="text1"/>
        </w:rPr>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（十一）定标：</w:t>
      </w:r>
      <w:r>
        <w:rPr>
          <w:color w:val="000000" w:themeColor="text1"/>
        </w:rPr>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根据招标文件规定的评标方法和评标标准进行评审，按招标文件的要求依法确定中标供应商。江苏智汇锡建工程项目管理有限公司将在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\o "http://download.ccgp.gov.cn/2018/zhiyihanfanben.zip" </w:instrText>
      </w:r>
      <w:r>
        <w:rPr>
          <w:color w:val="000000" w:themeColor="text1"/>
          <w:highlight w:val="none"/>
        </w:rPr>
        <w:fldChar w:fldCharType="separate"/>
      </w:r>
      <w:r>
        <w:rPr>
          <w:rFonts w:hint="eastAsia" w:ascii="宋体" w:hAnsi="宋体"/>
          <w:bCs/>
          <w:color w:val="000000" w:themeColor="text1"/>
          <w:sz w:val="24"/>
          <w:szCs w:val="24"/>
          <w:highlight w:val="none"/>
        </w:rPr>
        <w:t xml:space="preserve">政府采购供应商质疑函范本</w:t>
      </w:r>
      <w:r>
        <w:rPr>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事宜的，将记入投标供应商在江苏省和无锡市的政府采购“供应商诚信记录”，并按相关规定处理。</w:t>
      </w:r>
      <w:r>
        <w:rPr>
          <w:color w:val="000000" w:themeColor="text1"/>
        </w:rPr>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江苏智汇锡建工程项目管理有限公司向中标供应商发出中标通知书。</w:t>
      </w:r>
      <w:r>
        <w:rPr>
          <w:color w:val="000000" w:themeColor="text1"/>
        </w:rPr>
      </w:r>
      <w:r/>
    </w:p>
    <w:p>
      <w:pPr>
        <w:numPr>
          <w:ilvl w:val="0"/>
          <w:numId w:val="10"/>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投标供应商电子投标文件将作为电子档案保存。</w:t>
      </w:r>
      <w:r>
        <w:rPr>
          <w:color w:val="000000" w:themeColor="text1"/>
        </w:rPr>
      </w:r>
      <w:r/>
    </w:p>
    <w:p>
      <w:pPr>
        <w:ind w:firstLine="480"/>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（十二）废标的确认：</w:t>
      </w:r>
      <w:r>
        <w:rPr>
          <w:color w:val="000000" w:themeColor="text1"/>
        </w:rPr>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在招标采购中，出现下列情况之一的，应予废标：</w:t>
      </w:r>
      <w:r>
        <w:rPr>
          <w:color w:val="000000" w:themeColor="text1"/>
        </w:rPr>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符合专业条件的投标人或者对招标文件作出实质性响应的投标人不足三家；</w:t>
      </w:r>
      <w:r>
        <w:rPr>
          <w:color w:val="000000" w:themeColor="text1"/>
        </w:rPr>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出现影响采购公正的违法、违规行为；</w:t>
      </w:r>
      <w:r>
        <w:rPr>
          <w:color w:val="000000" w:themeColor="text1"/>
        </w:rPr>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投标人的报价均超过采购预算，采购人不能支付的；</w:t>
      </w:r>
      <w:r>
        <w:rPr>
          <w:color w:val="000000" w:themeColor="text1"/>
        </w:rPr>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因重大变故，采购任务取消。</w:t>
      </w:r>
      <w:r>
        <w:rPr>
          <w:color w:val="000000" w:themeColor="text1"/>
        </w:rPr>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（十三）中标无效的确认：</w:t>
      </w:r>
      <w:r>
        <w:rPr>
          <w:color w:val="000000" w:themeColor="text1"/>
        </w:rPr>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提供虚假材料谋取中标的；</w:t>
      </w:r>
      <w:r>
        <w:rPr>
          <w:color w:val="000000" w:themeColor="text1"/>
        </w:rPr>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采取不正当手段诋毁、排挤其他投标人的；</w:t>
      </w:r>
      <w:r>
        <w:rPr>
          <w:color w:val="000000" w:themeColor="text1"/>
        </w:rPr>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与招标采购单位、其他投标人恶意串通的；</w:t>
      </w:r>
      <w:r>
        <w:rPr>
          <w:color w:val="000000" w:themeColor="text1"/>
        </w:rPr>
      </w:r>
      <w:r/>
    </w:p>
    <w:p>
      <w:pPr>
        <w:numPr>
          <w:ilvl w:val="2"/>
          <w:numId w:val="0"/>
        </w:numPr>
        <w:ind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向招标采购单位行贿或者提供其他不正当利益的；</w:t>
      </w:r>
      <w:r>
        <w:rPr>
          <w:color w:val="000000" w:themeColor="text1"/>
        </w:rPr>
      </w:r>
      <w:r/>
    </w:p>
    <w:p>
      <w:pPr>
        <w:numPr>
          <w:ilvl w:val="2"/>
          <w:numId w:val="0"/>
        </w:numPr>
        <w:ind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中标或者成交后无正当理由拒不与采购人签订政府采购合同，或者未按照采购文件确定的事项签订政府采购合同的；</w:t>
      </w:r>
      <w:r>
        <w:rPr>
          <w:color w:val="000000" w:themeColor="text1"/>
        </w:rPr>
      </w:r>
      <w:r/>
    </w:p>
    <w:p>
      <w:pPr>
        <w:numPr>
          <w:ilvl w:val="2"/>
          <w:numId w:val="0"/>
        </w:numPr>
        <w:ind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拒绝有关部门监督检查或者提供虚假情况的。</w:t>
      </w:r>
      <w:r>
        <w:rPr>
          <w:color w:val="000000" w:themeColor="text1"/>
        </w:rPr>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投标人有上述（</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）至（6）项情形之一的，中标无效。有上述（</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）至（</w:t>
      </w: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rPr>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（十四）签订</w:t>
      </w:r>
      <w:r>
        <w:rPr>
          <w:rFonts w:hint="eastAsia" w:ascii="黑体" w:hAnsi="宋体" w:eastAsia="黑体"/>
          <w:b/>
          <w:color w:val="000000" w:themeColor="text1"/>
          <w:sz w:val="24"/>
          <w:szCs w:val="24"/>
          <w:highlight w:val="none"/>
        </w:rPr>
        <w:t xml:space="preserve">、履行</w:t>
      </w:r>
      <w:r>
        <w:rPr>
          <w:rFonts w:hint="eastAsia" w:ascii="黑体" w:hAnsi="宋体" w:eastAsia="黑体"/>
          <w:bCs/>
          <w:color w:val="000000" w:themeColor="text1"/>
          <w:sz w:val="24"/>
          <w:szCs w:val="24"/>
          <w:highlight w:val="none"/>
        </w:rPr>
        <w:t xml:space="preserve">合同：</w:t>
      </w:r>
      <w:r>
        <w:rPr>
          <w:color w:val="000000" w:themeColor="text1"/>
        </w:rPr>
      </w:r>
      <w:r/>
    </w:p>
    <w:p>
      <w:pPr>
        <w:numPr>
          <w:ilvl w:val="0"/>
          <w:numId w:val="13"/>
        </w:numPr>
        <w:ind w:left="-105" w:firstLine="525"/>
        <w:spacing w:line="360" w:lineRule="auto"/>
        <w:tabs>
          <w:tab w:val="left" w:pos="525" w:leader="none"/>
          <w:tab w:val="left" w:pos="945" w:leader="none"/>
          <w:tab w:val="left" w:pos="1050"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采购人应当自中标通知书发出之日起三十日内，按照招标文件和中标供应商投标文件的约定，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bCs/>
          <w:color w:val="000000" w:themeColor="text1"/>
          <w:sz w:val="24"/>
          <w:szCs w:val="24"/>
          <w:highlight w:val="none"/>
        </w:rPr>
        <w:t xml:space="preserve">招标代理单位</w:t>
      </w:r>
      <w:r>
        <w:rPr>
          <w:rFonts w:ascii="宋体" w:hAnsi="宋体"/>
          <w:bCs/>
          <w:color w:val="000000" w:themeColor="text1"/>
          <w:sz w:val="24"/>
          <w:szCs w:val="24"/>
          <w:highlight w:val="none"/>
        </w:rPr>
        <w:t xml:space="preserve">见证部分详见招标文件合同书（格式</w:t>
      </w:r>
      <w:r>
        <w:rPr>
          <w:rFonts w:hint="eastAsia" w:ascii="宋体" w:hAnsi="宋体"/>
          <w:bCs/>
          <w:color w:val="000000" w:themeColor="text1"/>
          <w:sz w:val="24"/>
          <w:szCs w:val="24"/>
          <w:highlight w:val="none"/>
        </w:rPr>
        <w:t xml:space="preserve">条款</w:t>
      </w:r>
      <w:r>
        <w:rPr>
          <w:rFonts w:ascii="宋体" w:hAnsi="宋体"/>
          <w:bCs/>
          <w:color w:val="000000" w:themeColor="text1"/>
          <w:sz w:val="24"/>
          <w:szCs w:val="24"/>
          <w:highlight w:val="none"/>
        </w:rPr>
        <w:t xml:space="preserve">），见证后的格式</w:t>
      </w:r>
      <w:r>
        <w:rPr>
          <w:rFonts w:hint="eastAsia" w:ascii="宋体" w:hAnsi="宋体"/>
          <w:bCs/>
          <w:color w:val="000000" w:themeColor="text1"/>
          <w:sz w:val="24"/>
          <w:szCs w:val="24"/>
          <w:highlight w:val="none"/>
        </w:rPr>
        <w:t xml:space="preserve">条款</w:t>
      </w:r>
      <w:r>
        <w:rPr>
          <w:rFonts w:ascii="宋体" w:hAnsi="宋体"/>
          <w:bCs/>
          <w:color w:val="000000" w:themeColor="text1"/>
          <w:sz w:val="24"/>
          <w:szCs w:val="24"/>
          <w:highlight w:val="none"/>
        </w:rPr>
        <w:t xml:space="preserve">不得</w:t>
      </w:r>
      <w:r>
        <w:rPr>
          <w:rFonts w:hint="eastAsia" w:ascii="宋体" w:hAnsi="宋体"/>
          <w:bCs/>
          <w:color w:val="000000" w:themeColor="text1"/>
          <w:sz w:val="24"/>
          <w:szCs w:val="24"/>
          <w:highlight w:val="none"/>
        </w:rPr>
        <w:t xml:space="preserve">做</w:t>
      </w:r>
      <w:r>
        <w:rPr>
          <w:rFonts w:ascii="宋体" w:hAnsi="宋体"/>
          <w:bCs/>
          <w:color w:val="000000" w:themeColor="text1"/>
          <w:sz w:val="24"/>
          <w:szCs w:val="24"/>
          <w:highlight w:val="none"/>
        </w:rPr>
        <w:t xml:space="preserve">任何修改。</w:t>
      </w:r>
      <w:r>
        <w:rPr>
          <w:color w:val="000000" w:themeColor="text1"/>
        </w:rPr>
      </w:r>
      <w:r/>
    </w:p>
    <w:p>
      <w:pPr>
        <w:numPr>
          <w:ilvl w:val="0"/>
          <w:numId w:val="13"/>
        </w:numPr>
        <w:ind w:left="-105" w:firstLine="525"/>
        <w:spacing w:line="360" w:lineRule="auto"/>
        <w:tabs>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中标方非因不可抗力未履行招、投标文件和合同规定的义务，一经查实，</w:t>
      </w:r>
      <w:r>
        <w:rPr>
          <w:rFonts w:hint="eastAsia" w:ascii="宋体" w:hAnsi="宋体"/>
          <w:color w:val="000000" w:themeColor="text1"/>
          <w:sz w:val="24"/>
          <w:highlight w:val="none"/>
        </w:rPr>
        <w:t xml:space="preserve">江苏智汇锡建工程项目管理有限公司</w:t>
      </w:r>
      <w:r>
        <w:rPr>
          <w:rFonts w:hint="eastAsia" w:ascii="宋体" w:hAnsi="宋体"/>
          <w:bCs/>
          <w:color w:val="000000" w:themeColor="text1"/>
          <w:sz w:val="24"/>
          <w:szCs w:val="24"/>
          <w:highlight w:val="none"/>
        </w:rPr>
        <w:t xml:space="preserve">将根据具体情况提请政府采购管理部门作出相应处理。</w:t>
      </w:r>
      <w:r>
        <w:rPr>
          <w:color w:val="000000" w:themeColor="text1"/>
        </w:rPr>
      </w:r>
      <w:r/>
    </w:p>
    <w:p>
      <w:pPr>
        <w:ind w:firstLine="480"/>
        <w:spacing w:line="360" w:lineRule="auto"/>
        <w:tabs>
          <w:tab w:val="left" w:pos="945" w:leader="none"/>
        </w:tabs>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（十五）注意事项：</w:t>
      </w:r>
      <w:r>
        <w:rPr>
          <w:color w:val="000000" w:themeColor="text1"/>
        </w:rPr>
      </w:r>
      <w:r/>
    </w:p>
    <w:p>
      <w:pPr>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中标供应商有下列情形之一的，情节严重的，由财政部门将其列入不良行为记录名单，在一至三年内禁止参加政府采购活动，并予以通报：</w:t>
      </w:r>
      <w:r>
        <w:rPr>
          <w:color w:val="000000" w:themeColor="text1"/>
        </w:rPr>
      </w:r>
      <w:r/>
    </w:p>
    <w:p>
      <w:pPr>
        <w:numPr>
          <w:ilvl w:val="3"/>
          <w:numId w:val="0"/>
        </w:numPr>
        <w:ind w:firstLine="523"/>
        <w:spacing w:line="360" w:lineRule="auto"/>
        <w:tabs>
          <w:tab w:val="left" w:pos="735" w:leader="none"/>
          <w:tab w:val="left" w:pos="945" w:leader="none"/>
          <w:tab w:val="left" w:pos="115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中标后无正当理由不与采购人签订合同的；</w:t>
      </w:r>
      <w:r>
        <w:rPr>
          <w:color w:val="000000" w:themeColor="text1"/>
        </w:rPr>
      </w:r>
      <w:r/>
    </w:p>
    <w:p>
      <w:pPr>
        <w:numPr>
          <w:ilvl w:val="3"/>
          <w:numId w:val="0"/>
        </w:numPr>
        <w:ind w:firstLine="523"/>
        <w:spacing w:line="360" w:lineRule="auto"/>
        <w:tabs>
          <w:tab w:val="left" w:pos="735" w:leader="none"/>
          <w:tab w:val="left" w:pos="945" w:leader="none"/>
          <w:tab w:val="left" w:pos="115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将中标项目转让给他人，或者在投标文件中未说明，且未经过采购人同意，将中标项目分包给他人的；</w:t>
      </w:r>
      <w:r>
        <w:rPr>
          <w:color w:val="000000" w:themeColor="text1"/>
        </w:rPr>
      </w:r>
      <w:r/>
    </w:p>
    <w:p>
      <w:pPr>
        <w:numPr>
          <w:ilvl w:val="3"/>
          <w:numId w:val="0"/>
        </w:numPr>
        <w:ind w:firstLine="523"/>
        <w:spacing w:line="360" w:lineRule="auto"/>
        <w:tabs>
          <w:tab w:val="left" w:pos="735" w:leader="none"/>
          <w:tab w:val="left" w:pos="945" w:leader="none"/>
          <w:tab w:val="left" w:pos="115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拒绝履行合同义务的。</w:t>
      </w:r>
      <w:r>
        <w:rPr>
          <w:color w:val="000000" w:themeColor="text1"/>
        </w:rPr>
      </w:r>
      <w:r/>
    </w:p>
    <w:p>
      <w:pPr>
        <w:ind w:firstLine="480"/>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（十六）中标服务费：</w:t>
      </w:r>
      <w:r>
        <w:rPr>
          <w:color w:val="000000" w:themeColor="text1"/>
        </w:rPr>
      </w:r>
      <w:r/>
    </w:p>
    <w:p>
      <w:pPr>
        <w:ind w:firstLine="480"/>
        <w:spacing w:line="360" w:lineRule="auto"/>
        <w:tabs>
          <w:tab w:val="left" w:pos="525" w:leader="none"/>
          <w:tab w:val="left" w:pos="94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1.本项目代理服务费由</w:t>
      </w:r>
      <w:r>
        <w:rPr>
          <w:rFonts w:hint="eastAsia" w:ascii="宋体" w:hAnsi="宋体"/>
          <w:bCs/>
          <w:color w:val="000000" w:themeColor="text1"/>
          <w:sz w:val="24"/>
          <w:szCs w:val="24"/>
          <w:highlight w:val="none"/>
          <w:lang w:val="en-US" w:eastAsia="zh-CN"/>
        </w:rPr>
        <w:t xml:space="preserve">甲方</w:t>
      </w:r>
      <w:r>
        <w:rPr>
          <w:rFonts w:hint="eastAsia" w:ascii="宋体" w:hAnsi="宋体"/>
          <w:bCs/>
          <w:color w:val="000000" w:themeColor="text1"/>
          <w:sz w:val="24"/>
          <w:szCs w:val="24"/>
          <w:highlight w:val="none"/>
        </w:rPr>
        <w:t xml:space="preserve">支付，</w:t>
      </w:r>
      <w:r>
        <w:rPr>
          <w:rFonts w:hint="eastAsia" w:ascii="宋体" w:hAnsi="宋体"/>
          <w:bCs/>
          <w:color w:val="000000" w:themeColor="text1"/>
          <w:sz w:val="24"/>
          <w:szCs w:val="24"/>
          <w:highlight w:val="none"/>
          <w:lang w:val="en-US" w:eastAsia="zh-CN"/>
        </w:rPr>
        <w:t xml:space="preserve">代理服务费以成交金额为计费基础，按差额定率累进法计算：100万以下费率为1.5%，100万-500万费率为1.1%，500万-1000万费率为0.8%。</w:t>
      </w:r>
      <w:r>
        <w:rPr>
          <w:color w:val="000000" w:themeColor="text1"/>
        </w:rPr>
      </w:r>
      <w:r/>
    </w:p>
    <w:p>
      <w:pPr>
        <w:ind w:firstLine="480"/>
        <w:spacing w:line="360" w:lineRule="auto"/>
        <w:tabs>
          <w:tab w:val="left" w:pos="114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2.领取中标通知书时由中标供应商向采购代理机构一次性付清。</w:t>
      </w:r>
      <w:r>
        <w:rPr>
          <w:color w:val="000000" w:themeColor="text1"/>
        </w:rPr>
      </w:r>
      <w:r/>
    </w:p>
    <w:p>
      <w:pPr>
        <w:ind w:firstLine="480"/>
        <w:spacing w:line="360" w:lineRule="auto"/>
        <w:tabs>
          <w:tab w:val="left" w:pos="114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3.中标供应商如果未按规定缴纳采购代理服务费，采购代理机构将保留诉讼的权利。</w:t>
      </w:r>
      <w:r>
        <w:rPr>
          <w:color w:val="000000" w:themeColor="text1"/>
        </w:rPr>
      </w:r>
      <w:r/>
    </w:p>
    <w:p>
      <w:pPr>
        <w:ind w:firstLine="480"/>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（十七）合同融资、履约担保</w:t>
      </w:r>
      <w:r>
        <w:rPr>
          <w:color w:val="000000" w:themeColor="text1"/>
        </w:rPr>
      </w:r>
      <w:r/>
    </w:p>
    <w:p>
      <w:pPr>
        <w:numPr>
          <w:ilvl w:val="1"/>
          <w:numId w:val="14"/>
        </w:numPr>
        <w:ind w:left="0" w:firstLine="525"/>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中标供应商可采用合同融资形式，中标人可凭政府采购合同办理融资贷款，详见无锡市政府采购网“政采贷”专栏。</w:t>
      </w:r>
      <w:r>
        <w:rPr>
          <w:color w:val="000000" w:themeColor="text1"/>
        </w:rPr>
      </w:r>
      <w:r/>
    </w:p>
    <w:p>
      <w:pPr>
        <w:numPr>
          <w:ilvl w:val="1"/>
          <w:numId w:val="14"/>
        </w:numPr>
        <w:ind w:left="0" w:firstLine="525"/>
        <w:jc w:val="left"/>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担保，是指由专业担保机构为中标供应商支付履约保证金的义务向采购人提供的保函担保。专业担保机构根据中标供应商的中标（成交）通知书为凭据，进行资信审查后出具保函，中标供应商以保函形式缴纳履约保证金；供应商未按政府采购合同履行约定义务而应实际支付保证金的，由专业担保机构按照担保函约定履行担保责任。</w:t>
      </w:r>
      <w:r>
        <w:rPr>
          <w:color w:val="000000" w:themeColor="text1"/>
        </w:rPr>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中标供应商可以采用电子履约保函形式，具体操作可登录江苏政府采购网的保险保函模块进行办理，也可通过无锡市政府采购网、“苏采云”系统链接访问（首次使用需注册）。</w:t>
      </w:r>
      <w:r>
        <w:rPr>
          <w:color w:val="000000" w:themeColor="text1"/>
        </w:rPr>
      </w:r>
      <w:r/>
    </w:p>
    <w:p>
      <w:pPr>
        <w:ind w:firstLine="480"/>
        <w:jc w:val="center"/>
        <w:spacing w:line="360" w:lineRule="auto"/>
        <w:rPr>
          <w:rFonts w:ascii="黑体" w:eastAsia="黑体"/>
          <w:bCs/>
          <w:color w:val="000000" w:themeColor="text1"/>
          <w:sz w:val="30"/>
          <w:szCs w:val="30"/>
          <w:highlight w:val="none"/>
        </w:rPr>
        <w:outlineLvl w:val="0"/>
      </w:pPr>
      <w:r>
        <w:rPr>
          <w:rFonts w:hint="eastAsia" w:ascii="宋体" w:hAnsi="宋体"/>
          <w:bCs/>
          <w:color w:val="000000" w:themeColor="text1"/>
          <w:sz w:val="24"/>
          <w:szCs w:val="24"/>
          <w:highlight w:val="none"/>
        </w:rPr>
        <w:br w:type="page" w:clear="all"/>
      </w:r>
      <w:bookmarkStart w:id="4" w:name="_Toc24404"/>
      <w:r>
        <w:rPr>
          <w:rFonts w:hint="eastAsia" w:ascii="黑体" w:hAnsi="Cambria" w:eastAsia="黑体"/>
          <w:b/>
          <w:bCs/>
          <w:color w:val="000000" w:themeColor="text1"/>
          <w:sz w:val="36"/>
          <w:szCs w:val="36"/>
          <w:highlight w:val="none"/>
        </w:rPr>
        <w:t xml:space="preserve">三、项目技术要求和有关说明</w:t>
      </w:r>
      <w:bookmarkEnd w:id="4"/>
      <w:r>
        <w:rPr>
          <w:color w:val="000000" w:themeColor="text1"/>
        </w:rPr>
      </w:r>
      <w:r/>
    </w:p>
    <w:p>
      <w:pPr>
        <w:ind w:firstLine="482"/>
        <w:jc w:val="left"/>
        <w:spacing w:line="360" w:lineRule="auto"/>
        <w:rPr>
          <w:rFonts w:hint="eastAsia" w:ascii="宋体" w:hAnsi="宋体" w:cs="宋体"/>
          <w:b/>
          <w:bCs/>
          <w:color w:val="000000" w:themeColor="text1"/>
          <w:sz w:val="24"/>
          <w:szCs w:val="24"/>
          <w:highlight w:val="none"/>
        </w:rPr>
      </w:pPr>
      <w:r>
        <w:rPr>
          <w:color w:val="000000" w:themeColor="text1"/>
        </w:rPr>
      </w:r>
      <w:bookmarkStart w:id="5" w:name="_Toc18982"/>
      <w:r>
        <w:rPr>
          <w:rFonts w:hint="eastAsia" w:ascii="宋体" w:hAnsi="宋体" w:cs="宋体"/>
          <w:b/>
          <w:bCs/>
          <w:color w:val="000000" w:themeColor="text1"/>
          <w:sz w:val="24"/>
          <w:szCs w:val="24"/>
          <w:highlight w:val="none"/>
        </w:rPr>
        <w:t xml:space="preserve">本项目中的</w:t>
      </w:r>
      <w:r>
        <w:rPr>
          <w:rFonts w:hint="eastAsia" w:ascii="宋体" w:hAnsi="宋体" w:cs="宋体"/>
          <w:b/>
          <w:bCs/>
          <w:color w:val="000000" w:themeColor="text1"/>
          <w:sz w:val="24"/>
          <w:szCs w:val="24"/>
          <w:highlight w:val="none"/>
          <w:lang w:val="en-US" w:eastAsia="zh-CN"/>
        </w:rPr>
        <w:t xml:space="preserve">常规六参数分析仪</w:t>
      </w:r>
      <w:r>
        <w:rPr>
          <w:rFonts w:hint="eastAsia" w:ascii="宋体" w:hAnsi="宋体" w:cs="宋体"/>
          <w:b/>
          <w:bCs/>
          <w:color w:val="000000" w:themeColor="text1"/>
          <w:sz w:val="24"/>
          <w:szCs w:val="24"/>
          <w:highlight w:val="none"/>
        </w:rPr>
        <w:t xml:space="preserve">为核心产品。</w:t>
      </w:r>
      <w:r>
        <w:rPr>
          <w:color w:val="000000" w:themeColor="text1"/>
        </w:rPr>
      </w:r>
      <w:r/>
    </w:p>
    <w:p>
      <w:pPr>
        <w:jc w:val="left"/>
        <w:spacing w:line="360" w:lineRule="auto"/>
        <w:rPr>
          <w:rFonts w:asciiTheme="minorEastAsia" w:hAnsiTheme="minorEastAsia" w:eastAsiaTheme="minorEastAsia" w:cstheme="minorEastAsia"/>
          <w:b/>
          <w:bCs/>
          <w:color w:val="000000" w:themeColor="text1"/>
          <w:sz w:val="24"/>
          <w:szCs w:val="24"/>
          <w:highlight w:val="none"/>
        </w:rPr>
        <w:outlineLvl w:val="1"/>
      </w:pPr>
      <w:r>
        <w:rPr>
          <w:rFonts w:hint="eastAsia" w:asciiTheme="minorEastAsia" w:hAnsiTheme="minorEastAsia" w:eastAsiaTheme="minorEastAsia" w:cstheme="minorEastAsia"/>
          <w:b/>
          <w:bCs/>
          <w:color w:val="000000" w:themeColor="text1"/>
          <w:sz w:val="24"/>
          <w:szCs w:val="24"/>
          <w:highlight w:val="none"/>
          <w:lang w:bidi="ar"/>
        </w:rPr>
        <w:t xml:space="preserve">一、项目名称</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bidi="ar"/>
        </w:rPr>
        <w:t xml:space="preserve">太湖局元荡水质站提档升级项目</w:t>
      </w:r>
      <w:r>
        <w:rPr>
          <w:color w:val="000000" w:themeColor="text1"/>
        </w:rPr>
      </w:r>
      <w:r/>
    </w:p>
    <w:p>
      <w:pPr>
        <w:jc w:val="left"/>
        <w:spacing w:line="360" w:lineRule="auto"/>
        <w:rPr>
          <w:rFonts w:asciiTheme="minorEastAsia" w:hAnsiTheme="minorEastAsia" w:eastAsiaTheme="minorEastAsia" w:cstheme="minorEastAsia"/>
          <w:b/>
          <w:bCs/>
          <w:color w:val="000000" w:themeColor="text1"/>
          <w:sz w:val="24"/>
          <w:szCs w:val="24"/>
          <w:highlight w:val="none"/>
        </w:rPr>
        <w:outlineLvl w:val="1"/>
      </w:pPr>
      <w:r>
        <w:rPr>
          <w:rFonts w:hint="eastAsia" w:asciiTheme="minorEastAsia" w:hAnsiTheme="minorEastAsia" w:eastAsiaTheme="minorEastAsia" w:cstheme="minorEastAsia"/>
          <w:b/>
          <w:bCs/>
          <w:color w:val="000000" w:themeColor="text1"/>
          <w:sz w:val="24"/>
          <w:szCs w:val="24"/>
          <w:highlight w:val="none"/>
          <w:lang w:bidi="ar"/>
        </w:rPr>
        <w:t xml:space="preserve">二、采购需求</w:t>
      </w:r>
      <w:r>
        <w:rPr>
          <w:color w:val="000000" w:themeColor="text1"/>
        </w:rPr>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4"/>
          <w:szCs w:val="24"/>
          <w:highlight w:val="none"/>
        </w:rPr>
        <w:suppressLineNumbers w:val="0"/>
      </w:pPr>
      <w:r>
        <w:rPr>
          <w:color w:val="000000" w:themeColor="text1"/>
        </w:rPr>
      </w:r>
      <w:bookmarkStart w:id="6" w:name="_Hlk86394269"/>
      <w:r>
        <w:rPr>
          <w:rFonts w:hint="eastAsia" w:ascii="宋体" w:hAnsi="宋体" w:eastAsia="宋体" w:cs="宋体"/>
          <w:color w:val="000000" w:themeColor="text1"/>
          <w:sz w:val="24"/>
          <w:szCs w:val="24"/>
          <w:highlight w:val="none"/>
          <w:lang w:val="en-US" w:eastAsia="zh-CN" w:bidi="ar"/>
        </w:rPr>
        <w:t xml:space="preserve">（1）基础设施</w:t>
      </w:r>
      <w:r>
        <w:rPr>
          <w:color w:val="000000" w:themeColor="text1"/>
        </w:rPr>
      </w:r>
      <w:r/>
    </w:p>
    <w:p>
      <w:pPr>
        <w:ind w:firstLine="480"/>
        <w:jc w:val="both"/>
        <w:spacing w:line="44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水质监测设施包括测验平台1座，专用取水浮台支架1个。</w:t>
      </w:r>
      <w:r>
        <w:rPr>
          <w:color w:val="000000" w:themeColor="text1"/>
        </w:rPr>
      </w:r>
      <w:r/>
    </w:p>
    <w:p>
      <w:pPr>
        <w:ind w:firstLine="480"/>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测验基础设施包括测站标志1个，警示标志4个，原站点拆除外运1项，避雷设施1项，设备安装立杆1根。</w:t>
      </w:r>
      <w:r>
        <w:rPr>
          <w:color w:val="000000" w:themeColor="text1"/>
        </w:rPr>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（2）仪器设备</w:t>
      </w:r>
      <w:r>
        <w:rPr>
          <w:color w:val="000000" w:themeColor="text1"/>
        </w:rPr>
      </w:r>
      <w:r/>
    </w:p>
    <w:p>
      <w:pPr>
        <w:ind w:firstLine="480"/>
        <w:spacing w:line="44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气象监测设备包括</w:t>
      </w:r>
      <w:r>
        <w:rPr>
          <w:rFonts w:hint="eastAsia" w:ascii="宋体" w:hAnsi="宋体" w:eastAsia="宋体" w:cs="宋体"/>
          <w:color w:val="000000" w:themeColor="text1"/>
          <w:sz w:val="24"/>
          <w:szCs w:val="24"/>
          <w:highlight w:val="none"/>
          <w:lang w:val="en-US" w:eastAsia="zh-CN"/>
        </w:rPr>
        <w:t xml:space="preserve">五要素微型气象仪1套。</w:t>
      </w:r>
      <w:r>
        <w:rPr>
          <w:color w:val="000000" w:themeColor="text1"/>
        </w:rPr>
      </w:r>
      <w:r/>
    </w:p>
    <w:p>
      <w:pPr>
        <w:ind w:firstLine="480"/>
        <w:spacing w:line="44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水质监测设备中，取水单元包括专用取水浮台1套，取水泵2台，取水管路1套，警示灯6个，照明设施1套；预处理单元包括沉沙桶1套，常规多参数测量池1套，竖式过滤器1套，水样增压泵1套，进样罐1个，清洗管路1套，空压机1套，除藻热水器1套，电动球阀及附</w:t>
      </w:r>
      <w:r>
        <w:rPr>
          <w:rFonts w:hint="eastAsia" w:ascii="宋体" w:hAnsi="宋体" w:eastAsia="宋体" w:cs="宋体"/>
          <w:color w:val="000000" w:themeColor="text1"/>
          <w:sz w:val="24"/>
          <w:szCs w:val="24"/>
          <w:highlight w:val="none"/>
          <w:lang w:val="en-US" w:eastAsia="zh-CN" w:bidi="ar"/>
        </w:rPr>
        <w:t xml:space="preserve">件1套；运行环境支持单元包括不锈钢野外保温机箱1套，机架模块式蓄电池12组，太阳能电池板8块，MPPT充电控制器1个，逆变器1套，太阳能板支架1套，温湿度传感器1套；数据传输单元包括卫星通信终端1套，4G/5G通信终端1套；系统控制单元包括数据采集终端1套，触摸控制屏1套，PLC模块组件1套，控制电器组件1套，电源转换模块2套，直流电源避雷器1个，信号避雷器4个，测站控制软件1套，自动质量控制系统1套，信号及电源电缆1套；水质监测仪表单元包括常规六参数分析仪1台，氨氮总磷总氮分析仪1台，叶绿素a分析仪1台。</w:t>
      </w:r>
      <w:r>
        <w:rPr>
          <w:color w:val="000000" w:themeColor="text1"/>
        </w:rPr>
      </w:r>
      <w:r/>
    </w:p>
    <w:p>
      <w:pPr>
        <w:ind w:firstLine="480"/>
        <w:spacing w:line="44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安防监控设备包括视频监控系统1套。</w:t>
      </w:r>
      <w:bookmarkEnd w:id="6"/>
      <w:r>
        <w:rPr>
          <w:color w:val="000000" w:themeColor="text1"/>
        </w:rPr>
      </w:r>
      <w:r/>
    </w:p>
    <w:p>
      <w:pPr>
        <w:jc w:val="left"/>
        <w:spacing w:line="360" w:lineRule="auto"/>
        <w:rPr>
          <w:rFonts w:asciiTheme="minorEastAsia" w:hAnsiTheme="minorEastAsia" w:eastAsiaTheme="minorEastAsia" w:cstheme="minorEastAsia"/>
          <w:b/>
          <w:bCs/>
          <w:color w:val="000000" w:themeColor="text1"/>
          <w:sz w:val="24"/>
          <w:szCs w:val="24"/>
          <w:highlight w:val="none"/>
        </w:rPr>
        <w:outlineLvl w:val="1"/>
      </w:pPr>
      <w:r>
        <w:rPr>
          <w:rFonts w:hint="eastAsia" w:asciiTheme="minorEastAsia" w:hAnsiTheme="minorEastAsia" w:eastAsiaTheme="minorEastAsia" w:cstheme="minorEastAsia"/>
          <w:b/>
          <w:bCs/>
          <w:color w:val="000000" w:themeColor="text1"/>
          <w:sz w:val="24"/>
          <w:szCs w:val="24"/>
          <w:highlight w:val="none"/>
          <w:lang w:bidi="ar"/>
        </w:rPr>
        <w:t xml:space="preserve">三、技术要求</w:t>
      </w:r>
      <w:r>
        <w:rPr>
          <w:color w:val="000000" w:themeColor="text1"/>
        </w:rPr>
      </w:r>
      <w:r/>
    </w:p>
    <w:p>
      <w:pPr>
        <w:numPr>
          <w:ilvl w:val="1"/>
          <w:numId w:val="15"/>
        </w:numPr>
        <w:ind w:left="0" w:firstLine="0"/>
        <w:jc w:val="both"/>
        <w:spacing w:line="360" w:lineRule="auto"/>
        <w:widowControl w:val="off"/>
        <w:rPr>
          <w:rFonts w:hint="eastAsia" w:ascii="宋体" w:hAnsi="宋体" w:eastAsia="宋体" w:cs="宋体"/>
          <w:b/>
          <w:color w:val="000000" w:themeColor="text1"/>
          <w:sz w:val="24"/>
          <w:szCs w:val="24"/>
          <w:highlight w:val="none"/>
        </w:rPr>
        <w:outlineLvl w:val="1"/>
      </w:pPr>
      <w:r>
        <w:rPr>
          <w:color w:val="000000" w:themeColor="text1"/>
        </w:rPr>
      </w:r>
      <w:bookmarkStart w:id="7" w:name="_Toc23160"/>
      <w:r>
        <w:rPr>
          <w:color w:val="000000" w:themeColor="text1"/>
        </w:rPr>
      </w:r>
      <w:bookmarkEnd w:id="7"/>
      <w:r>
        <w:rPr>
          <w:color w:val="000000" w:themeColor="text1"/>
        </w:rPr>
      </w:r>
      <w:bookmarkStart w:id="8" w:name="_Toc21499"/>
      <w:r>
        <w:rPr>
          <w:color w:val="000000" w:themeColor="text1"/>
        </w:rPr>
      </w:r>
      <w:bookmarkEnd w:id="8"/>
      <w:r>
        <w:rPr>
          <w:color w:val="000000" w:themeColor="text1"/>
        </w:rPr>
      </w:r>
      <w:bookmarkStart w:id="9" w:name="_Toc18632"/>
      <w:r>
        <w:rPr>
          <w:color w:val="000000" w:themeColor="text1"/>
        </w:rPr>
      </w:r>
      <w:bookmarkEnd w:id="9"/>
      <w:r>
        <w:rPr>
          <w:color w:val="000000" w:themeColor="text1"/>
        </w:rPr>
      </w:r>
      <w:bookmarkStart w:id="10" w:name="_Toc17659"/>
      <w:r>
        <w:rPr>
          <w:color w:val="000000" w:themeColor="text1"/>
        </w:rPr>
      </w:r>
      <w:bookmarkEnd w:id="10"/>
      <w:r>
        <w:rPr>
          <w:color w:val="000000" w:themeColor="text1"/>
        </w:rPr>
      </w:r>
      <w:bookmarkStart w:id="11" w:name="_Toc23359"/>
      <w:r>
        <w:rPr>
          <w:color w:val="000000" w:themeColor="text1"/>
        </w:rPr>
      </w:r>
      <w:bookmarkEnd w:id="11"/>
      <w:r>
        <w:rPr>
          <w:color w:val="000000" w:themeColor="text1"/>
        </w:rPr>
      </w:r>
      <w:bookmarkStart w:id="12" w:name="_Toc23683"/>
      <w:r>
        <w:rPr>
          <w:color w:val="000000" w:themeColor="text1"/>
        </w:rPr>
      </w:r>
      <w:bookmarkEnd w:id="12"/>
      <w:r>
        <w:rPr>
          <w:color w:val="000000" w:themeColor="text1"/>
        </w:rPr>
      </w:r>
      <w:bookmarkStart w:id="13" w:name="_Toc18254"/>
      <w:r>
        <w:rPr>
          <w:color w:val="000000" w:themeColor="text1"/>
        </w:rPr>
      </w:r>
      <w:bookmarkEnd w:id="13"/>
      <w:r>
        <w:rPr>
          <w:color w:val="000000" w:themeColor="text1"/>
        </w:rPr>
      </w:r>
      <w:bookmarkStart w:id="14" w:name="_Hlk149159273"/>
      <w:r>
        <w:rPr>
          <w:color w:val="000000" w:themeColor="text1"/>
        </w:rPr>
      </w:r>
      <w:bookmarkEnd w:id="14"/>
      <w:r>
        <w:rPr>
          <w:color w:val="000000" w:themeColor="text1"/>
        </w:rPr>
      </w:r>
      <w:bookmarkStart w:id="15" w:name="_Toc8282"/>
      <w:r>
        <w:rPr>
          <w:color w:val="000000" w:themeColor="text1"/>
        </w:rPr>
      </w:r>
      <w:bookmarkEnd w:id="15"/>
      <w:r>
        <w:rPr>
          <w:color w:val="000000" w:themeColor="text1"/>
        </w:rPr>
      </w:r>
      <w:bookmarkStart w:id="16" w:name="_Toc18796"/>
      <w:r>
        <w:rPr>
          <w:color w:val="000000" w:themeColor="text1"/>
        </w:rPr>
      </w:r>
      <w:bookmarkEnd w:id="16"/>
      <w:r>
        <w:rPr>
          <w:color w:val="000000" w:themeColor="text1"/>
        </w:rPr>
      </w:r>
      <w:bookmarkStart w:id="17" w:name="_Toc24302"/>
      <w:r>
        <w:rPr>
          <w:color w:val="000000" w:themeColor="text1"/>
        </w:rPr>
      </w:r>
      <w:bookmarkEnd w:id="17"/>
      <w:r>
        <w:rPr>
          <w:color w:val="000000" w:themeColor="text1"/>
        </w:rPr>
      </w:r>
      <w:bookmarkStart w:id="18" w:name="_Toc18104"/>
      <w:r>
        <w:rPr>
          <w:color w:val="000000" w:themeColor="text1"/>
        </w:rPr>
      </w:r>
      <w:bookmarkEnd w:id="18"/>
      <w:r>
        <w:rPr>
          <w:color w:val="000000" w:themeColor="text1"/>
        </w:rPr>
      </w:r>
      <w:bookmarkStart w:id="19" w:name="_Toc30253"/>
      <w:r>
        <w:rPr>
          <w:color w:val="000000" w:themeColor="text1"/>
        </w:rPr>
      </w:r>
      <w:bookmarkEnd w:id="19"/>
      <w:r>
        <w:rPr>
          <w:color w:val="000000" w:themeColor="text1"/>
        </w:rPr>
      </w:r>
      <w:bookmarkStart w:id="20" w:name="_Toc31046"/>
      <w:r>
        <w:rPr>
          <w:color w:val="000000" w:themeColor="text1"/>
        </w:rPr>
      </w:r>
      <w:bookmarkEnd w:id="20"/>
      <w:r>
        <w:rPr>
          <w:color w:val="000000" w:themeColor="text1"/>
        </w:rPr>
      </w:r>
      <w:bookmarkStart w:id="21" w:name="_Toc19855"/>
      <w:r>
        <w:rPr>
          <w:color w:val="000000" w:themeColor="text1"/>
        </w:rPr>
      </w:r>
      <w:bookmarkEnd w:id="21"/>
      <w:r>
        <w:rPr>
          <w:color w:val="000000" w:themeColor="text1"/>
        </w:rPr>
      </w:r>
      <w:bookmarkStart w:id="22" w:name="_Toc4221"/>
      <w:r>
        <w:rPr>
          <w:color w:val="000000" w:themeColor="text1"/>
        </w:rPr>
      </w:r>
      <w:bookmarkEnd w:id="22"/>
      <w:r>
        <w:rPr>
          <w:color w:val="000000" w:themeColor="text1"/>
        </w:rPr>
      </w:r>
      <w:bookmarkStart w:id="23" w:name="_Toc19972"/>
      <w:r>
        <w:rPr>
          <w:color w:val="000000" w:themeColor="text1"/>
        </w:rPr>
      </w:r>
      <w:bookmarkEnd w:id="23"/>
      <w:r>
        <w:rPr>
          <w:color w:val="000000" w:themeColor="text1"/>
        </w:rPr>
      </w:r>
      <w:bookmarkStart w:id="24" w:name="_Toc16484"/>
      <w:r>
        <w:rPr>
          <w:color w:val="000000" w:themeColor="text1"/>
        </w:rPr>
      </w:r>
      <w:bookmarkEnd w:id="24"/>
      <w:r>
        <w:rPr>
          <w:color w:val="000000" w:themeColor="text1"/>
        </w:rPr>
      </w:r>
      <w:bookmarkStart w:id="25" w:name="_Toc26714"/>
      <w:r>
        <w:rPr>
          <w:color w:val="000000" w:themeColor="text1"/>
        </w:rPr>
      </w:r>
      <w:bookmarkStart w:id="26" w:name="_Toc15431"/>
      <w:r>
        <w:rPr>
          <w:color w:val="000000" w:themeColor="text1"/>
        </w:rPr>
      </w:r>
      <w:bookmarkStart w:id="27" w:name="_Toc607"/>
      <w:r>
        <w:rPr>
          <w:color w:val="000000" w:themeColor="text1"/>
        </w:rPr>
      </w:r>
      <w:bookmarkStart w:id="28" w:name="_Toc25734"/>
      <w:r>
        <w:rPr>
          <w:color w:val="000000" w:themeColor="text1"/>
        </w:rPr>
      </w:r>
      <w:bookmarkStart w:id="29" w:name="_Toc13861"/>
      <w:r>
        <w:rPr>
          <w:color w:val="000000" w:themeColor="text1"/>
        </w:rPr>
      </w:r>
      <w:bookmarkStart w:id="30" w:name="_Toc6776"/>
      <w:r>
        <w:rPr>
          <w:color w:val="000000" w:themeColor="text1"/>
        </w:rPr>
      </w:r>
      <w:bookmarkStart w:id="31" w:name="_Toc27282"/>
      <w:r>
        <w:rPr>
          <w:color w:val="000000" w:themeColor="text1"/>
        </w:rPr>
      </w:r>
      <w:bookmarkStart w:id="32" w:name="_Toc16888"/>
      <w:r>
        <w:rPr>
          <w:color w:val="000000" w:themeColor="text1"/>
        </w:rPr>
      </w:r>
      <w:bookmarkStart w:id="33" w:name="_Toc19056"/>
      <w:r>
        <w:rPr>
          <w:color w:val="000000" w:themeColor="text1"/>
        </w:rPr>
      </w:r>
      <w:bookmarkStart w:id="34" w:name="_Toc8792"/>
      <w:r>
        <w:rPr>
          <w:color w:val="000000" w:themeColor="text1"/>
        </w:rPr>
      </w:r>
      <w:bookmarkStart w:id="35" w:name="_Toc3824"/>
      <w:r>
        <w:rPr>
          <w:color w:val="000000" w:themeColor="text1"/>
        </w:rPr>
      </w:r>
      <w:bookmarkStart w:id="36" w:name="_Toc344"/>
      <w:r>
        <w:rPr>
          <w:color w:val="000000" w:themeColor="text1"/>
        </w:rPr>
      </w:r>
      <w:bookmarkStart w:id="37" w:name="_Toc29492"/>
      <w:r>
        <w:rPr>
          <w:color w:val="000000" w:themeColor="text1"/>
        </w:rPr>
      </w:r>
      <w:bookmarkStart w:id="38" w:name="_Toc4870"/>
      <w:r>
        <w:rPr>
          <w:color w:val="000000" w:themeColor="text1"/>
        </w:rPr>
      </w:r>
      <w:bookmarkStart w:id="39" w:name="_Toc22359"/>
      <w:r>
        <w:rPr>
          <w:color w:val="000000" w:themeColor="text1"/>
        </w:rPr>
      </w:r>
      <w:bookmarkStart w:id="40" w:name="_Toc6124"/>
      <w:r>
        <w:rPr>
          <w:color w:val="000000" w:themeColor="text1"/>
        </w:rPr>
      </w:r>
      <w:bookmarkStart w:id="41" w:name="_Toc18718"/>
      <w:r>
        <w:rPr>
          <w:color w:val="000000" w:themeColor="text1"/>
        </w:rPr>
      </w:r>
      <w:bookmarkStart w:id="42" w:name="_Toc31509"/>
      <w:r>
        <w:rPr>
          <w:color w:val="000000" w:themeColor="text1"/>
        </w:rPr>
      </w:r>
      <w:bookmarkStart w:id="43" w:name="_Toc27505"/>
      <w:r>
        <w:rPr>
          <w:rFonts w:hint="eastAsia" w:ascii="宋体" w:hAnsi="宋体" w:eastAsia="宋体" w:cs="宋体"/>
          <w:b/>
          <w:color w:val="000000" w:themeColor="text1"/>
          <w:sz w:val="24"/>
          <w:szCs w:val="24"/>
          <w:highlight w:val="none"/>
          <w:lang w:val="en-US" w:eastAsia="zh-CN" w:bidi="ar-SA"/>
        </w:rPr>
        <w:t xml:space="preserve">基础设施</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rFonts w:hint="eastAsia" w:ascii="宋体" w:hAnsi="宋体" w:cs="宋体"/>
          <w:b/>
          <w:color w:val="000000" w:themeColor="text1"/>
          <w:sz w:val="24"/>
          <w:szCs w:val="24"/>
          <w:highlight w:val="none"/>
          <w:lang w:val="en-US" w:eastAsia="zh-CN" w:bidi="ar-SA"/>
        </w:rPr>
        <w:t xml:space="preserve">建设</w:t>
      </w:r>
      <w:r>
        <w:rPr>
          <w:color w:val="000000" w:themeColor="text1"/>
        </w:rPr>
      </w:r>
      <w:r/>
    </w:p>
    <w:p>
      <w:pPr>
        <w:numPr>
          <w:ilvl w:val="-1"/>
          <w:numId w:val="0"/>
        </w:numPr>
        <w:ind w:left="0" w:firstLine="480"/>
        <w:jc w:val="left"/>
        <w:spacing w:line="440" w:lineRule="exact"/>
        <w:widowControl/>
        <w:rPr>
          <w:rFonts w:hint="eastAsia" w:ascii="宋体" w:hAnsi="宋体" w:eastAsia="宋体" w:cs="宋体"/>
          <w:color w:val="000000" w:themeColor="text1"/>
          <w:sz w:val="24"/>
          <w:szCs w:val="24"/>
          <w:highlight w:val="none"/>
        </w:rPr>
        <w:outlineLvl w:val="9"/>
      </w:pPr>
      <w:r>
        <w:rPr>
          <w:rFonts w:hint="eastAsia" w:ascii="宋体" w:hAnsi="宋体" w:cs="宋体"/>
          <w:b w:val="0"/>
          <w:color w:val="000000" w:themeColor="text1"/>
          <w:sz w:val="24"/>
          <w:szCs w:val="24"/>
          <w:highlight w:val="none"/>
          <w:lang w:val="en-US" w:eastAsia="zh-CN" w:bidi="ar"/>
        </w:rPr>
        <w:t xml:space="preserve">元荡水质站基础设施建设包括水质监测设施和测验基础设施</w:t>
      </w:r>
      <w:bookmarkEnd w:id="40"/>
      <w:r>
        <w:rPr>
          <w:color w:val="000000" w:themeColor="text1"/>
        </w:rPr>
      </w:r>
      <w:bookmarkEnd w:id="41"/>
      <w:r>
        <w:rPr>
          <w:color w:val="000000" w:themeColor="text1"/>
        </w:rPr>
      </w:r>
      <w:bookmarkEnd w:id="42"/>
      <w:r>
        <w:rPr>
          <w:color w:val="000000" w:themeColor="text1"/>
        </w:rPr>
      </w:r>
      <w:bookmarkEnd w:id="43"/>
      <w:r>
        <w:rPr>
          <w:rFonts w:hint="eastAsia" w:ascii="宋体" w:hAnsi="宋体" w:cs="宋体"/>
          <w:b w:val="0"/>
          <w:color w:val="000000" w:themeColor="text1"/>
          <w:sz w:val="24"/>
          <w:szCs w:val="24"/>
          <w:highlight w:val="none"/>
          <w:lang w:val="en-US" w:eastAsia="zh-CN" w:bidi="ar"/>
        </w:rPr>
        <w:t xml:space="preserve">。</w:t>
      </w:r>
      <w:r>
        <w:rPr>
          <w:rFonts w:hint="eastAsia" w:ascii="宋体" w:hAnsi="宋体" w:cs="宋体"/>
          <w:color w:val="000000" w:themeColor="text1"/>
          <w:sz w:val="24"/>
          <w:szCs w:val="24"/>
          <w:highlight w:val="none"/>
          <w:lang w:val="en-US" w:eastAsia="zh-CN" w:bidi="ar"/>
        </w:rPr>
        <w:t xml:space="preserve">测站</w:t>
      </w:r>
      <w:r>
        <w:rPr>
          <w:rFonts w:hint="eastAsia" w:ascii="宋体" w:hAnsi="宋体" w:eastAsia="宋体" w:cs="宋体"/>
          <w:color w:val="000000" w:themeColor="text1"/>
          <w:sz w:val="24"/>
          <w:szCs w:val="24"/>
          <w:highlight w:val="none"/>
          <w:lang w:val="en-US" w:eastAsia="zh-CN" w:bidi="ar"/>
        </w:rPr>
        <w:t xml:space="preserve">总体立面</w:t>
      </w:r>
      <w:r>
        <w:rPr>
          <w:rFonts w:hint="eastAsia" w:ascii="宋体" w:hAnsi="宋体" w:cs="宋体"/>
          <w:color w:val="000000" w:themeColor="text1"/>
          <w:sz w:val="24"/>
          <w:szCs w:val="24"/>
          <w:highlight w:val="none"/>
          <w:lang w:val="en-US" w:eastAsia="zh-CN" w:bidi="ar"/>
        </w:rPr>
        <w:t xml:space="preserve">效果图如下。</w:t>
      </w:r>
      <w:r>
        <w:rPr>
          <w:color w:val="000000" w:themeColor="text1"/>
        </w:rPr>
      </w:r>
      <w:r/>
    </w:p>
    <w:p>
      <w:pPr>
        <w:pStyle w:val="1011"/>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2502535" cy="3096260"/>
                <wp:effectExtent l="0" t="0" r="1905" b="1905"/>
                <wp:docPr id="2" name="图片 1" descr="元荡效果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descr="元荡效果图1"/>
                        <pic:cNvPicPr>
                          <a:picLocks noChangeAspect="1"/>
                        </pic:cNvPicPr>
                        <pic:nvPr/>
                      </pic:nvPicPr>
                      <pic:blipFill>
                        <a:blip r:embed="rId14"/>
                        <a:srcRect l="28069" t="0" r="24037" b="0"/>
                        <a:stretch/>
                      </pic:blipFill>
                      <pic:spPr bwMode="auto">
                        <a:xfrm>
                          <a:off x="0" y="0"/>
                          <a:ext cx="2502535" cy="3096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7.0pt;height:243.8pt;mso-wrap-distance-left:0.0pt;mso-wrap-distance-top:0.0pt;mso-wrap-distance-right:0.0pt;mso-wrap-distance-bottom:0.0pt;" stroked="f">
                <v:path textboxrect="0,0,0,0"/>
                <v:imagedata r:id="rId14" o:title=""/>
              </v:shape>
            </w:pict>
          </mc:Fallback>
        </mc:AlternateContent>
      </w:r>
      <w:r>
        <w:rPr>
          <w:rFonts w:hint="eastAsia"/>
          <w:color w:val="000000" w:themeColor="text1"/>
          <w:highlight w:val="none"/>
          <w:lang w:val="en-US" w:eastAsia="zh-CN"/>
        </w:rPr>
        <w:t xml:space="preserve"> </w:t>
      </w:r>
      <w:r>
        <w:rPr>
          <w:color w:val="000000" w:themeColor="text1"/>
          <w:highlight w:val="none"/>
        </w:rPr>
        <mc:AlternateContent>
          <mc:Choice Requires="wpg">
            <w:drawing>
              <wp:inline xmlns:wp="http://schemas.openxmlformats.org/drawingml/2006/wordprocessingDrawing" distT="0" distB="0" distL="0" distR="0">
                <wp:extent cx="2447925" cy="3096260"/>
                <wp:effectExtent l="0" t="0" r="2540" b="1905"/>
                <wp:docPr id="3" name="图片 2" descr="元荡效果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descr="元荡效果图2"/>
                        <pic:cNvPicPr>
                          <a:picLocks noChangeAspect="1"/>
                        </pic:cNvPicPr>
                        <pic:nvPr/>
                      </pic:nvPicPr>
                      <pic:blipFill>
                        <a:blip r:embed="rId15"/>
                        <a:srcRect l="22211" t="0" r="30936" b="0"/>
                        <a:stretch/>
                      </pic:blipFill>
                      <pic:spPr bwMode="auto">
                        <a:xfrm>
                          <a:off x="0" y="0"/>
                          <a:ext cx="2447925" cy="3096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2.8pt;height:243.8pt;mso-wrap-distance-left:0.0pt;mso-wrap-distance-top:0.0pt;mso-wrap-distance-right:0.0pt;mso-wrap-distance-bottom:0.0pt;" stroked="f">
                <v:path textboxrect="0,0,0,0"/>
                <v:imagedata r:id="rId15" o:title=""/>
              </v:shape>
            </w:pict>
          </mc:Fallback>
        </mc:AlternateContent>
      </w:r>
      <w:r>
        <w:rPr>
          <w:color w:val="000000" w:themeColor="text1"/>
        </w:rPr>
      </w:r>
      <w:r/>
    </w:p>
    <w:p>
      <w:pPr>
        <w:pStyle w:val="1011"/>
        <w:ind w:left="0"/>
        <w:jc w:val="center"/>
        <w:spacing w:line="360" w:lineRule="auto"/>
        <w:widowControl w:val="off"/>
        <w:rPr>
          <w:rFonts w:hint="eastAsia"/>
          <w:color w:val="000000" w:themeColor="text1"/>
          <w:highlight w:val="none"/>
        </w:rPr>
        <w:outlineLvl w:val="1"/>
      </w:pPr>
      <w:r>
        <w:rPr>
          <w:rFonts w:hint="eastAsia"/>
          <w:color w:val="000000" w:themeColor="text1"/>
          <w:highlight w:val="none"/>
        </w:rPr>
        <w:t xml:space="preserve">图</w:t>
      </w:r>
      <w:r>
        <w:rPr>
          <w:color w:val="000000" w:themeColor="text1"/>
          <w:highlight w:val="none"/>
        </w:rPr>
        <w:t xml:space="preserve"> </w:t>
      </w:r>
      <w:r>
        <w:rPr>
          <w:rFonts w:hint="eastAsia"/>
          <w:color w:val="000000" w:themeColor="text1"/>
          <w:highlight w:val="none"/>
          <w:lang w:val="en-US" w:eastAsia="zh-CN"/>
        </w:rPr>
        <w:t xml:space="preserve">1-1</w:t>
      </w:r>
      <w:r>
        <w:rPr>
          <w:color w:val="000000" w:themeColor="text1"/>
          <w:highlight w:val="none"/>
        </w:rPr>
        <w:t xml:space="preserve">  </w:t>
      </w:r>
      <w:r>
        <w:rPr>
          <w:rFonts w:hint="eastAsia"/>
          <w:color w:val="000000" w:themeColor="text1"/>
          <w:highlight w:val="none"/>
          <w:lang w:val="en-US" w:eastAsia="zh-CN"/>
        </w:rPr>
        <w:t xml:space="preserve">测站</w:t>
      </w:r>
      <w:r>
        <w:rPr>
          <w:rFonts w:ascii="宋体" w:hAnsi="宋体" w:eastAsia="宋体" w:cs="宋体"/>
          <w:color w:val="000000" w:themeColor="text1"/>
          <w:sz w:val="24"/>
          <w:szCs w:val="24"/>
          <w:highlight w:val="none"/>
        </w:rPr>
        <w:t xml:space="preserve">总体立面</w:t>
      </w:r>
      <w:r>
        <w:rPr>
          <w:rFonts w:hint="eastAsia"/>
          <w:color w:val="000000" w:themeColor="text1"/>
          <w:highlight w:val="none"/>
          <w:lang w:val="en-US" w:eastAsia="zh-CN"/>
        </w:rPr>
        <w:t xml:space="preserve">效果</w:t>
      </w:r>
      <w:r>
        <w:rPr>
          <w:rFonts w:hint="eastAsia"/>
          <w:color w:val="000000" w:themeColor="text1"/>
          <w:highlight w:val="none"/>
        </w:rPr>
        <w:t xml:space="preserve">图</w:t>
      </w:r>
      <w:r>
        <w:rPr>
          <w:color w:val="000000" w:themeColor="text1"/>
        </w:rPr>
      </w:r>
      <w:r/>
    </w:p>
    <w:p>
      <w:pPr>
        <w:numPr>
          <w:ilvl w:val="-1"/>
          <w:numId w:val="0"/>
        </w:numPr>
        <w:ind w:left="0" w:firstLine="0"/>
        <w:jc w:val="both"/>
        <w:keepLines/>
        <w:keepNext/>
        <w:spacing w:line="360" w:lineRule="auto"/>
        <w:widowControl w:val="off"/>
        <w:rPr>
          <w:rFonts w:hint="eastAsia" w:ascii="宋体" w:hAnsi="宋体" w:eastAsia="宋体" w:cs="宋体"/>
          <w:b/>
          <w:bCs/>
          <w:color w:val="000000" w:themeColor="text1"/>
          <w:sz w:val="24"/>
          <w:szCs w:val="24"/>
          <w:highlight w:val="none"/>
        </w:rPr>
        <w:outlineLvl w:val="3"/>
      </w:pPr>
      <w:r>
        <w:rPr>
          <w:rFonts w:hint="eastAsia" w:ascii="宋体" w:hAnsi="宋体" w:cs="宋体"/>
          <w:b/>
          <w:bCs/>
          <w:color w:val="000000" w:themeColor="text1"/>
          <w:sz w:val="24"/>
          <w:szCs w:val="24"/>
          <w:highlight w:val="none"/>
          <w:lang w:val="en-US" w:eastAsia="zh-CN" w:bidi="ar-SA"/>
        </w:rPr>
        <w:t xml:space="preserve">1.1.1 </w:t>
      </w:r>
      <w:r>
        <w:rPr>
          <w:rFonts w:hint="eastAsia" w:ascii="宋体" w:hAnsi="宋体" w:eastAsia="宋体" w:cs="宋体"/>
          <w:b/>
          <w:bCs/>
          <w:color w:val="000000" w:themeColor="text1"/>
          <w:sz w:val="24"/>
          <w:szCs w:val="24"/>
          <w:highlight w:val="none"/>
          <w:lang w:val="en-US" w:eastAsia="zh-CN" w:bidi="ar-SA"/>
        </w:rPr>
        <w:t xml:space="preserve">水质监测设施</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4"/>
      </w:pPr>
      <w:r>
        <w:rPr>
          <w:rFonts w:hint="eastAsia" w:ascii="宋体" w:hAnsi="宋体" w:eastAsia="宋体" w:cs="宋体"/>
          <w:color w:val="000000" w:themeColor="text1"/>
          <w:sz w:val="24"/>
          <w:szCs w:val="24"/>
          <w:highlight w:val="none"/>
          <w:lang w:val="en-US" w:eastAsia="zh-CN" w:bidi="ar-SA"/>
        </w:rPr>
        <w:t xml:space="preserve">（1）测验平台</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平台用于安装气象监测、水质监测和安防监控设备等。平台长×宽为4.3m×4.3m，采用钢结构型式，主要由基础、平台、楼梯、护栏和爬梯组成，平台非不锈钢构件需经热镀锌防腐处理（单面镀锌层厚度每面不小于80微米）。基础采用桩长16m的DN325*10无缝钢管，桩间距4.0m，内部灌入C30混凝土。一层（4.5m高程）、二层平台（6.85m高程）均采用型钢作为框架，一层平台表面铺设G305/30/100F栅格板，二层平台表面铺设6mm厚的花纹钢板。一二层平台采用楼梯相连，楼梯采</w:t>
      </w:r>
      <w:r>
        <w:rPr>
          <w:rFonts w:hint="eastAsia" w:ascii="宋体" w:hAnsi="宋体" w:eastAsia="宋体" w:cs="宋体"/>
          <w:color w:val="000000" w:themeColor="text1"/>
          <w:sz w:val="24"/>
          <w:szCs w:val="24"/>
          <w:highlight w:val="none"/>
          <w:lang w:val="en-US" w:eastAsia="zh-CN" w:bidi="ar-SA"/>
        </w:rPr>
        <w:t xml:space="preserve">用30a槽钢作为骨架，宽度0.96m，踏步采用6mm厚的花纹钢板；一、二层平台周边设置不锈钢护栏，高度为1.2m。爬梯采用28a槽钢作为骨架，宽度1.2m，踏步采用25a槽钢。在4.5m～6.5m层间斜撑，采用100×50×4.0mm热镀锌方管，三面布置，在常水位下设置四道304不锈钢连梁。高程4.20m以下钢构件镀锌表面涂装氯化橡胶漆总干膜80微米，4.20m以上钢构件镀锌表面涂刷氟碳漆干膜80微米。在5根DN325钢管桩上，各安装一套橡胶护舷，采用耐磨橡胶材质的半圆筒形结构，抱箍固定，外侧贴有反光胶条。</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5219700" cy="2597150"/>
                <wp:effectExtent l="0" t="0" r="0" b="12700"/>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pic:cNvPicPr>
                          <a:picLocks noChangeAspect="1"/>
                        </pic:cNvPicPr>
                        <pic:nvPr/>
                      </pic:nvPicPr>
                      <pic:blipFill>
                        <a:blip r:embed="rId16"/>
                        <a:stretch/>
                      </pic:blipFill>
                      <pic:spPr bwMode="auto">
                        <a:xfrm>
                          <a:off x="0" y="0"/>
                          <a:ext cx="5219700" cy="2597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1.0pt;height:204.5pt;mso-wrap-distance-left:0.0pt;mso-wrap-distance-top:0.0pt;mso-wrap-distance-right:0.0pt;mso-wrap-distance-bottom:0.0pt;" stroked="f">
                <v:path textboxrect="0,0,0,0"/>
                <v:imagedata r:id="rId16" o:title=""/>
              </v:shape>
            </w:pict>
          </mc:Fallback>
        </mc:AlternateConten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图 1</w:t>
      </w:r>
      <w:r>
        <w:rPr>
          <w:rFonts w:hint="eastAsia" w:ascii="宋体" w:hAnsi="宋体" w:eastAsia="宋体" w:cs="宋体"/>
          <w:b/>
          <w:bCs/>
          <w:color w:val="000000" w:themeColor="text1"/>
          <w:sz w:val="24"/>
          <w:szCs w:val="24"/>
          <w:highlight w:val="none"/>
          <w:lang w:val="en-US" w:eastAsia="zh-CN" w:bidi="ar-SA"/>
        </w:rPr>
        <w:noBreakHyphen/>
      </w:r>
      <w:r>
        <w:rPr>
          <w:rFonts w:hint="eastAsia" w:ascii="宋体" w:hAnsi="宋体" w:cs="宋体"/>
          <w:b/>
          <w:bCs/>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lang w:val="en-US" w:eastAsia="zh-CN" w:bidi="ar-SA"/>
        </w:rPr>
        <w:t xml:space="preserve">  平台立面图</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2592070" cy="2181225"/>
                <wp:effectExtent l="0" t="0" r="17780" b="9525"/>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pic:cNvPicPr>
                          <a:picLocks noChangeAspect="1"/>
                        </pic:cNvPicPr>
                        <pic:nvPr/>
                      </pic:nvPicPr>
                      <pic:blipFill>
                        <a:blip r:embed="rId17"/>
                        <a:stretch/>
                      </pic:blipFill>
                      <pic:spPr bwMode="auto">
                        <a:xfrm>
                          <a:off x="0" y="0"/>
                          <a:ext cx="2592070" cy="2181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04.1pt;height:171.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bCs/>
          <w:color w:val="000000" w:themeColor="text1"/>
          <w:sz w:val="24"/>
          <w:szCs w:val="24"/>
          <w:highlight w:val="none"/>
          <w:lang w:val="en-US" w:eastAsia="zh-CN" w:bidi="ar-SA"/>
        </w:rPr>
        <w:t xml:space="preserve"> </w:t>
      </w:r>
      <w:r>
        <w:rPr>
          <w:rFonts w:hint="eastAsia" w:ascii="宋体" w:hAnsi="宋体" w:eastAsia="宋体" w:cs="宋体"/>
          <w:b/>
          <w:bCs/>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2451735" cy="2232025"/>
                <wp:effectExtent l="0" t="0" r="5715" b="15875"/>
                <wp:docPr id="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pic:cNvPicPr>
                          <a:picLocks noChangeAspect="1"/>
                        </pic:cNvPicPr>
                        <pic:nvPr/>
                      </pic:nvPicPr>
                      <pic:blipFill>
                        <a:blip r:embed="rId18"/>
                        <a:stretch/>
                      </pic:blipFill>
                      <pic:spPr bwMode="auto">
                        <a:xfrm>
                          <a:off x="0" y="0"/>
                          <a:ext cx="2451735" cy="223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3.0pt;height:175.8pt;mso-wrap-distance-left:0.0pt;mso-wrap-distance-top:0.0pt;mso-wrap-distance-right:0.0pt;mso-wrap-distance-bottom:0.0pt;" stroked="f">
                <v:path textboxrect="0,0,0,0"/>
                <v:imagedata r:id="rId18" o:title=""/>
              </v:shape>
            </w:pict>
          </mc:Fallback>
        </mc:AlternateConten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图 1</w:t>
      </w:r>
      <w:r>
        <w:rPr>
          <w:rFonts w:hint="eastAsia" w:ascii="宋体" w:hAnsi="宋体" w:eastAsia="宋体" w:cs="宋体"/>
          <w:b/>
          <w:bCs/>
          <w:color w:val="000000" w:themeColor="text1"/>
          <w:sz w:val="24"/>
          <w:szCs w:val="24"/>
          <w:highlight w:val="none"/>
          <w:lang w:val="en-US" w:eastAsia="zh-CN" w:bidi="ar-SA"/>
        </w:rPr>
        <w:noBreakHyphen/>
      </w:r>
      <w:r>
        <w:rPr>
          <w:rFonts w:hint="eastAsia" w:ascii="宋体" w:hAnsi="宋体" w:cs="宋体"/>
          <w:b/>
          <w:bCs/>
          <w:color w:val="000000" w:themeColor="text1"/>
          <w:sz w:val="24"/>
          <w:szCs w:val="24"/>
          <w:highlight w:val="none"/>
          <w:lang w:val="en-US" w:eastAsia="zh-CN" w:bidi="ar-SA"/>
        </w:rPr>
        <w:t xml:space="preserve">3</w:t>
      </w:r>
      <w:r>
        <w:rPr>
          <w:rFonts w:hint="eastAsia" w:ascii="宋体" w:hAnsi="宋体" w:eastAsia="宋体" w:cs="宋体"/>
          <w:b/>
          <w:bCs/>
          <w:color w:val="000000" w:themeColor="text1"/>
          <w:sz w:val="24"/>
          <w:szCs w:val="24"/>
          <w:highlight w:val="none"/>
          <w:lang w:val="en-US" w:eastAsia="zh-CN" w:bidi="ar-SA"/>
        </w:rPr>
        <w:t xml:space="preserve">  6.85m高程和4.50m高程梁系结构图</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4"/>
      </w:pPr>
      <w:r>
        <w:rPr>
          <w:rFonts w:hint="eastAsia" w:ascii="宋体" w:hAnsi="宋体" w:eastAsia="宋体" w:cs="宋体"/>
          <w:color w:val="000000" w:themeColor="text1"/>
          <w:sz w:val="24"/>
          <w:szCs w:val="24"/>
          <w:highlight w:val="none"/>
          <w:lang w:val="en-US" w:eastAsia="zh-CN" w:bidi="ar-SA"/>
        </w:rPr>
        <w:t xml:space="preserve">（2）专用取水浮台支架</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新建专用取水浮台支架1个，专用取水浮台支架采用100×100mm的304不锈钢方管制成，下端直接插入河底，上端利用支架与测验平台固定连接。</w:t>
      </w:r>
      <w:r>
        <w:rPr>
          <w:color w:val="000000" w:themeColor="text1"/>
        </w:rPr>
      </w:r>
      <w:r/>
    </w:p>
    <w:p>
      <w:pPr>
        <w:numPr>
          <w:ilvl w:val="-1"/>
          <w:numId w:val="0"/>
        </w:numPr>
        <w:ind w:left="0" w:firstLine="0"/>
        <w:jc w:val="both"/>
        <w:spacing w:line="360" w:lineRule="auto"/>
        <w:widowControl w:val="off"/>
        <w:rPr>
          <w:rFonts w:hint="eastAsia" w:ascii="宋体" w:hAnsi="宋体" w:eastAsia="宋体" w:cs="宋体"/>
          <w:b/>
          <w:color w:val="000000" w:themeColor="text1"/>
          <w:sz w:val="24"/>
          <w:szCs w:val="24"/>
          <w:highlight w:val="none"/>
        </w:rPr>
        <w:outlineLvl w:val="2"/>
      </w:pPr>
      <w:r>
        <w:rPr>
          <w:rFonts w:hint="eastAsia" w:ascii="宋体" w:hAnsi="宋体" w:cs="宋体"/>
          <w:b/>
          <w:color w:val="000000" w:themeColor="text1"/>
          <w:sz w:val="24"/>
          <w:szCs w:val="24"/>
          <w:highlight w:val="none"/>
          <w:lang w:val="en-US" w:eastAsia="zh-CN" w:bidi="ar-SA"/>
        </w:rPr>
        <w:t xml:space="preserve">1.1.2 </w:t>
      </w:r>
      <w:r>
        <w:rPr>
          <w:rFonts w:hint="eastAsia" w:ascii="宋体" w:hAnsi="宋体" w:eastAsia="宋体" w:cs="宋体"/>
          <w:b/>
          <w:color w:val="000000" w:themeColor="text1"/>
          <w:sz w:val="24"/>
          <w:szCs w:val="24"/>
          <w:highlight w:val="none"/>
          <w:lang w:val="en-US" w:eastAsia="zh-CN" w:bidi="ar-SA"/>
        </w:rPr>
        <w:t xml:space="preserve">测验基础设施</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（1）测站标志</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新建测站标志1个，采用1.5mm304不锈钢钢板蚀刻填漆制作，尺寸600mm×400mm，内容包括测站属性、站名、设立单位等，安装在机柜上。</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5039995" cy="2073910"/>
                <wp:effectExtent l="0" t="0" r="8255" b="2540"/>
                <wp:docPr id="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19"/>
                        <a:stretch/>
                      </pic:blipFill>
                      <pic:spPr bwMode="auto">
                        <a:xfrm>
                          <a:off x="0" y="0"/>
                          <a:ext cx="5039995" cy="2073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6.8pt;height:163.3pt;mso-wrap-distance-left:0.0pt;mso-wrap-distance-top:0.0pt;mso-wrap-distance-right:0.0pt;mso-wrap-distance-bottom:0.0pt;" stroked="f">
                <v:path textboxrect="0,0,0,0"/>
                <v:imagedata r:id="rId19" o:title=""/>
              </v:shape>
            </w:pict>
          </mc:Fallback>
        </mc:AlternateConten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图 1-</w:t>
      </w:r>
      <w:r>
        <w:rPr>
          <w:rFonts w:hint="eastAsia" w:ascii="宋体" w:hAnsi="宋体" w:cs="宋体"/>
          <w:b/>
          <w:bCs/>
          <w:color w:val="000000" w:themeColor="text1"/>
          <w:sz w:val="24"/>
          <w:szCs w:val="24"/>
          <w:highlight w:val="none"/>
          <w:lang w:val="en-US" w:eastAsia="zh-CN" w:bidi="ar-SA"/>
        </w:rPr>
        <w:t xml:space="preserve">4</w:t>
      </w:r>
      <w:r>
        <w:rPr>
          <w:rFonts w:hint="eastAsia" w:ascii="宋体" w:hAnsi="宋体" w:eastAsia="宋体" w:cs="宋体"/>
          <w:b/>
          <w:bCs/>
          <w:color w:val="000000" w:themeColor="text1"/>
          <w:sz w:val="24"/>
          <w:szCs w:val="24"/>
          <w:highlight w:val="none"/>
          <w:lang w:val="en-US" w:eastAsia="zh-CN" w:bidi="ar-SA"/>
        </w:rPr>
        <w:t xml:space="preserve">  测站标志设计图</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（2）警示标志</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警示标志4个，采用1.5mm厚304不锈钢烤漆，尺寸900mm×600mm，内容为平台周围需禁止从事的具体事项，安装在平台四周侧面。</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5039995" cy="2656840"/>
                <wp:effectExtent l="0" t="0" r="8255" b="10160"/>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pic:cNvPicPr>
                          <a:picLocks noChangeAspect="1"/>
                        </pic:cNvPicPr>
                        <pic:nvPr/>
                      </pic:nvPicPr>
                      <pic:blipFill>
                        <a:blip r:embed="rId20"/>
                        <a:stretch/>
                      </pic:blipFill>
                      <pic:spPr bwMode="auto">
                        <a:xfrm>
                          <a:off x="0" y="0"/>
                          <a:ext cx="5039995" cy="2656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6.8pt;height:209.2pt;mso-wrap-distance-left:0.0pt;mso-wrap-distance-top:0.0pt;mso-wrap-distance-right:0.0pt;mso-wrap-distance-bottom:0.0pt;" stroked="f">
                <v:path textboxrect="0,0,0,0"/>
                <v:imagedata r:id="rId20" o:title=""/>
              </v:shape>
            </w:pict>
          </mc:Fallback>
        </mc:AlternateConten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图 1-</w:t>
      </w:r>
      <w:r>
        <w:rPr>
          <w:rFonts w:hint="eastAsia" w:ascii="宋体" w:hAnsi="宋体" w:eastAsia="宋体" w:cs="宋体"/>
          <w:b/>
          <w:bCs/>
          <w:color w:val="000000" w:themeColor="text1"/>
          <w:sz w:val="24"/>
          <w:szCs w:val="24"/>
          <w:highlight w:val="none"/>
          <w:lang w:val="en-US" w:eastAsia="zh-CN" w:bidi="ar-SA"/>
        </w:rPr>
        <w:fldChar w:fldCharType="begin"/>
      </w:r>
      <w:r>
        <w:rPr>
          <w:rFonts w:hint="eastAsia" w:ascii="宋体" w:hAnsi="宋体" w:eastAsia="宋体" w:cs="宋体"/>
          <w:b/>
          <w:bCs/>
          <w:color w:val="000000" w:themeColor="text1"/>
          <w:sz w:val="24"/>
          <w:szCs w:val="24"/>
          <w:highlight w:val="none"/>
          <w:lang w:val="en-US" w:eastAsia="zh-CN" w:bidi="ar-SA"/>
        </w:rPr>
        <w:instrText xml:space="preserve"> SEQ 图 \* ARABIC \s 1 </w:instrText>
      </w:r>
      <w:r>
        <w:rPr>
          <w:rFonts w:hint="eastAsia" w:ascii="宋体" w:hAnsi="宋体" w:eastAsia="宋体" w:cs="宋体"/>
          <w:b/>
          <w:bCs/>
          <w:color w:val="000000" w:themeColor="text1"/>
          <w:sz w:val="24"/>
          <w:szCs w:val="24"/>
          <w:highlight w:val="none"/>
          <w:lang w:val="en-US" w:eastAsia="zh-CN" w:bidi="ar-SA"/>
        </w:rPr>
        <w:fldChar w:fldCharType="separate"/>
      </w:r>
      <w:r>
        <w:rPr>
          <w:rFonts w:hint="eastAsia" w:ascii="宋体" w:hAnsi="宋体" w:eastAsia="宋体" w:cs="宋体"/>
          <w:b/>
          <w:bCs/>
          <w:color w:val="000000" w:themeColor="text1"/>
          <w:sz w:val="24"/>
          <w:szCs w:val="24"/>
          <w:highlight w:val="none"/>
          <w:lang w:val="en-US" w:eastAsia="zh-CN" w:bidi="ar-SA"/>
        </w:rPr>
        <w:fldChar w:fldCharType="end"/>
      </w:r>
      <w:r>
        <w:rPr>
          <w:rFonts w:hint="eastAsia" w:ascii="宋体" w:hAnsi="宋体" w:cs="宋体"/>
          <w:b/>
          <w:bCs/>
          <w:color w:val="000000" w:themeColor="text1"/>
          <w:sz w:val="24"/>
          <w:szCs w:val="24"/>
          <w:highlight w:val="none"/>
          <w:lang w:val="en-US" w:eastAsia="zh-CN" w:bidi="ar-SA"/>
        </w:rPr>
        <w:t xml:space="preserve">5</w:t>
      </w:r>
      <w:r>
        <w:rPr>
          <w:rFonts w:hint="eastAsia" w:ascii="宋体" w:hAnsi="宋体" w:eastAsia="宋体" w:cs="宋体"/>
          <w:b/>
          <w:bCs/>
          <w:color w:val="000000" w:themeColor="text1"/>
          <w:sz w:val="24"/>
          <w:szCs w:val="24"/>
          <w:highlight w:val="none"/>
          <w:lang w:val="en-US" w:eastAsia="zh-CN" w:bidi="ar-SA"/>
        </w:rPr>
        <w:t xml:space="preserve">  警示标志设计</w:t>
      </w:r>
      <w:r>
        <w:rPr>
          <w:rFonts w:hint="eastAsia" w:ascii="宋体" w:hAnsi="宋体" w:eastAsia="宋体" w:cs="宋体"/>
          <w:b/>
          <w:bCs/>
          <w:color w:val="000000" w:themeColor="text1"/>
          <w:sz w:val="24"/>
          <w:szCs w:val="24"/>
          <w:highlight w:val="none"/>
          <w:lang w:val="zh-CN" w:eastAsia="zh-CN" w:bidi="ar-SA"/>
        </w:rPr>
        <w:t xml:space="preserve">图</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（3）原站点拆除外运</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将现场浮标及附属设施原址拆除，将水文设备外运至水文巡测基地，建筑垃圾就近消纳。</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（4）避雷设施</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44" w:name="OLE_LINK2"/>
      <w:r>
        <w:rPr>
          <w:rFonts w:hint="eastAsia" w:ascii="宋体" w:hAnsi="宋体" w:eastAsia="宋体" w:cs="宋体"/>
          <w:color w:val="000000" w:themeColor="text1"/>
          <w:sz w:val="24"/>
          <w:szCs w:val="24"/>
          <w:highlight w:val="none"/>
          <w:lang w:val="en-US" w:eastAsia="zh-CN" w:bidi="ar-SA"/>
        </w:rPr>
        <w:t xml:space="preserve">电气设备需要可靠接地，</w:t>
      </w:r>
      <w:r>
        <w:rPr>
          <w:rFonts w:hint="eastAsia" w:ascii="宋体" w:hAnsi="宋体" w:eastAsia="宋体" w:cs="宋体"/>
          <w:color w:val="000000" w:themeColor="text1"/>
          <w:sz w:val="24"/>
          <w:szCs w:val="24"/>
          <w:highlight w:val="none"/>
          <w:lang w:val="zh-CN" w:eastAsia="zh-CN" w:bidi="ar-SA"/>
        </w:rPr>
        <w:t xml:space="preserve">沿平台</w:t>
      </w:r>
      <w:r>
        <w:rPr>
          <w:rFonts w:hint="eastAsia" w:ascii="宋体" w:hAnsi="宋体" w:eastAsia="宋体" w:cs="宋体"/>
          <w:color w:val="000000" w:themeColor="text1"/>
          <w:sz w:val="24"/>
          <w:szCs w:val="24"/>
          <w:highlight w:val="none"/>
          <w:lang w:val="en-US" w:eastAsia="zh-CN" w:bidi="ar-SA"/>
        </w:rPr>
        <w:t xml:space="preserve">四角</w:t>
      </w:r>
      <w:r>
        <w:rPr>
          <w:rFonts w:hint="eastAsia" w:ascii="宋体" w:hAnsi="宋体" w:eastAsia="宋体" w:cs="宋体"/>
          <w:color w:val="000000" w:themeColor="text1"/>
          <w:sz w:val="24"/>
          <w:szCs w:val="24"/>
          <w:highlight w:val="none"/>
          <w:lang w:val="zh-CN" w:eastAsia="zh-CN" w:bidi="ar-SA"/>
        </w:rPr>
        <w:t xml:space="preserve">每根</w:t>
      </w:r>
      <w:r>
        <w:rPr>
          <w:rFonts w:hint="eastAsia" w:ascii="宋体" w:hAnsi="宋体" w:eastAsia="宋体" w:cs="宋体"/>
          <w:color w:val="000000" w:themeColor="text1"/>
          <w:sz w:val="24"/>
          <w:szCs w:val="24"/>
          <w:highlight w:val="none"/>
          <w:lang w:val="en-US" w:eastAsia="zh-CN" w:bidi="ar-SA"/>
        </w:rPr>
        <w:t xml:space="preserve">固定桩各</w:t>
      </w:r>
      <w:r>
        <w:rPr>
          <w:rFonts w:hint="eastAsia" w:ascii="宋体" w:hAnsi="宋体" w:eastAsia="宋体" w:cs="宋体"/>
          <w:color w:val="000000" w:themeColor="text1"/>
          <w:sz w:val="24"/>
          <w:szCs w:val="24"/>
          <w:highlight w:val="none"/>
          <w:lang w:val="zh-CN" w:eastAsia="zh-CN" w:bidi="ar-SA"/>
        </w:rPr>
        <w:t xml:space="preserve">打1根热镀锌角钢，</w:t>
      </w:r>
      <w:r>
        <w:rPr>
          <w:rFonts w:hint="eastAsia" w:ascii="宋体" w:hAnsi="宋体" w:eastAsia="宋体" w:cs="宋体"/>
          <w:color w:val="000000" w:themeColor="text1"/>
          <w:sz w:val="24"/>
          <w:szCs w:val="24"/>
          <w:highlight w:val="none"/>
          <w:lang w:val="en-US" w:eastAsia="zh-CN" w:bidi="ar-SA"/>
        </w:rPr>
        <w:t xml:space="preserve">角钢入</w:t>
      </w:r>
      <w:r>
        <w:rPr>
          <w:rFonts w:hint="eastAsia" w:ascii="宋体" w:hAnsi="宋体" w:eastAsia="宋体" w:cs="宋体"/>
          <w:color w:val="000000" w:themeColor="text1"/>
          <w:sz w:val="24"/>
          <w:szCs w:val="24"/>
          <w:highlight w:val="none"/>
          <w:lang w:val="zh-CN" w:eastAsia="zh-CN" w:bidi="ar-SA"/>
        </w:rPr>
        <w:t xml:space="preserve">河床</w:t>
      </w:r>
      <w:r>
        <w:rPr>
          <w:rFonts w:hint="eastAsia" w:ascii="宋体" w:hAnsi="宋体" w:eastAsia="宋体" w:cs="宋体"/>
          <w:color w:val="000000" w:themeColor="text1"/>
          <w:sz w:val="24"/>
          <w:szCs w:val="24"/>
          <w:highlight w:val="none"/>
          <w:lang w:val="en-US" w:eastAsia="zh-CN" w:bidi="ar-SA"/>
        </w:rPr>
        <w:t xml:space="preserve">长度4m</w:t>
      </w:r>
      <w:r>
        <w:rPr>
          <w:rFonts w:hint="eastAsia" w:ascii="宋体" w:hAnsi="宋体" w:eastAsia="宋体" w:cs="宋体"/>
          <w:color w:val="000000" w:themeColor="text1"/>
          <w:sz w:val="24"/>
          <w:szCs w:val="24"/>
          <w:highlight w:val="none"/>
          <w:lang w:val="zh-CN" w:eastAsia="zh-CN" w:bidi="ar-SA"/>
        </w:rPr>
        <w:t xml:space="preserve">，角钢顶部与桩顶齐平，用热镀锌扁铁与角钢之间</w:t>
      </w:r>
      <w:r>
        <w:rPr>
          <w:rFonts w:hint="eastAsia" w:ascii="宋体" w:hAnsi="宋体" w:eastAsia="宋体" w:cs="宋体"/>
          <w:color w:val="000000" w:themeColor="text1"/>
          <w:sz w:val="24"/>
          <w:szCs w:val="24"/>
          <w:highlight w:val="none"/>
          <w:lang w:val="en-US" w:eastAsia="zh-CN" w:bidi="ar-SA"/>
        </w:rPr>
        <w:t xml:space="preserve">采</w:t>
      </w:r>
      <w:r>
        <w:rPr>
          <w:rFonts w:hint="eastAsia" w:ascii="宋体" w:hAnsi="宋体" w:eastAsia="宋体" w:cs="宋体"/>
          <w:color w:val="000000" w:themeColor="text1"/>
          <w:sz w:val="24"/>
          <w:szCs w:val="24"/>
          <w:highlight w:val="none"/>
          <w:lang w:val="zh-CN" w:eastAsia="zh-CN" w:bidi="ar-SA"/>
        </w:rPr>
        <w:t xml:space="preserve">用不锈钢螺丝固定，扁铁与平台横梁之间需绝缘连接，接地体需做到≤</w:t>
      </w:r>
      <w:r>
        <w:rPr>
          <w:rFonts w:hint="eastAsia" w:ascii="宋体" w:hAnsi="宋体" w:eastAsia="宋体" w:cs="宋体"/>
          <w:color w:val="000000" w:themeColor="text1"/>
          <w:sz w:val="24"/>
          <w:szCs w:val="24"/>
          <w:highlight w:val="none"/>
          <w:lang w:val="en-US" w:eastAsia="zh-CN" w:bidi="ar-SA"/>
        </w:rPr>
        <w:t xml:space="preserve">4Ω</w:t>
      </w:r>
      <w:r>
        <w:rPr>
          <w:rFonts w:hint="eastAsia" w:ascii="宋体" w:hAnsi="宋体" w:eastAsia="宋体" w:cs="宋体"/>
          <w:color w:val="000000" w:themeColor="text1"/>
          <w:sz w:val="24"/>
          <w:szCs w:val="24"/>
          <w:highlight w:val="none"/>
          <w:lang w:val="zh-CN" w:eastAsia="zh-CN" w:bidi="ar-SA"/>
        </w:rPr>
        <w:t xml:space="preserve">，每个连接部位需超过三个固定点，最后扁铁上引至立杆避雷针下引铜线。立杆避雷针与立杆主体需使用绝缘材料固定，下引铜线</w:t>
      </w:r>
      <w:r>
        <w:rPr>
          <w:rFonts w:hint="eastAsia" w:ascii="宋体" w:hAnsi="宋体" w:eastAsia="宋体" w:cs="宋体"/>
          <w:color w:val="000000" w:themeColor="text1"/>
          <w:sz w:val="24"/>
          <w:szCs w:val="24"/>
          <w:highlight w:val="none"/>
          <w:lang w:val="en-US" w:eastAsia="zh-CN" w:bidi="ar-SA"/>
        </w:rPr>
        <w:t xml:space="preserve">断面≥</w:t>
      </w:r>
      <w:r>
        <w:rPr>
          <w:rFonts w:hint="eastAsia" w:ascii="宋体" w:hAnsi="宋体" w:eastAsia="宋体" w:cs="宋体"/>
          <w:color w:val="000000" w:themeColor="text1"/>
          <w:sz w:val="24"/>
          <w:szCs w:val="24"/>
          <w:highlight w:val="none"/>
          <w:lang w:val="zh-CN" w:eastAsia="zh-CN" w:bidi="ar-SA"/>
        </w:rPr>
        <w:t xml:space="preserve">6mm</w:t>
      </w:r>
      <w:r>
        <w:rPr>
          <w:rFonts w:hint="eastAsia" w:ascii="宋体" w:hAnsi="宋体" w:eastAsia="宋体" w:cs="宋体"/>
          <w:color w:val="000000" w:themeColor="text1"/>
          <w:sz w:val="24"/>
          <w:szCs w:val="24"/>
          <w:highlight w:val="none"/>
          <w:vertAlign w:val="superscript"/>
          <w:lang w:val="zh-CN" w:eastAsia="zh-CN" w:bidi="ar-SA"/>
        </w:rPr>
        <w:t xml:space="preserve">2</w:t>
      </w:r>
      <w:r>
        <w:rPr>
          <w:rFonts w:hint="eastAsia" w:ascii="宋体" w:hAnsi="宋体" w:eastAsia="宋体" w:cs="宋体"/>
          <w:color w:val="000000" w:themeColor="text1"/>
          <w:sz w:val="24"/>
          <w:szCs w:val="24"/>
          <w:highlight w:val="none"/>
          <w:lang w:val="zh-CN" w:eastAsia="zh-CN" w:bidi="ar-SA"/>
        </w:rPr>
        <w:t xml:space="preserve">。</w:t>
      </w:r>
      <w:r>
        <w:rPr>
          <w:rFonts w:hint="eastAsia" w:ascii="宋体" w:hAnsi="宋体" w:eastAsia="宋体" w:cs="宋体"/>
          <w:color w:val="000000" w:themeColor="text1"/>
          <w:sz w:val="24"/>
          <w:szCs w:val="24"/>
          <w:highlight w:val="none"/>
          <w:lang w:val="en-US" w:eastAsia="zh-CN" w:bidi="ar-SA"/>
        </w:rPr>
        <w:t xml:space="preserve">接地体、避雷线及引下线的连接必须焊接，焊接搭接长度不小于100mm，焊接处应防腐处理。</w:t>
      </w:r>
      <w:bookmarkEnd w:id="44"/>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（5）设备安装立杆</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设备安装立杆用于安装五要素微型气象仪、摄像机、照明设施等。立杆高3m，壁厚不小于6mm，直径140mm，采用热镀锌钢管，装避雷针，底部采用边长500mm*500mm厚度不小于12mm的热镀锌安装板加304不锈钢螺栓固定在二层平台，并做防雷接地处理，接地电阻小于10欧姆。</w:t>
      </w:r>
      <w:r>
        <w:rPr>
          <w:color w:val="000000" w:themeColor="text1"/>
        </w:rPr>
      </w:r>
      <w:r/>
    </w:p>
    <w:p>
      <w:pPr>
        <w:numPr>
          <w:ilvl w:val="1"/>
          <w:numId w:val="15"/>
        </w:numPr>
        <w:ind w:firstLine="0"/>
        <w:jc w:val="both"/>
        <w:spacing w:line="360" w:lineRule="auto"/>
        <w:widowControl w:val="off"/>
        <w:rPr>
          <w:rFonts w:hint="eastAsia" w:ascii="宋体" w:hAnsi="宋体" w:eastAsia="宋体" w:cs="宋体"/>
          <w:color w:val="000000" w:themeColor="text1"/>
          <w:sz w:val="24"/>
          <w:szCs w:val="24"/>
          <w:highlight w:val="none"/>
        </w:rPr>
        <w:outlineLvl w:val="1"/>
      </w:pPr>
      <w:r>
        <w:rPr>
          <w:color w:val="000000" w:themeColor="text1"/>
        </w:rPr>
      </w:r>
      <w:bookmarkStart w:id="45" w:name="_Toc11988"/>
      <w:r>
        <w:rPr>
          <w:color w:val="000000" w:themeColor="text1"/>
        </w:rPr>
      </w:r>
      <w:bookmarkStart w:id="46" w:name="_Toc30411"/>
      <w:r>
        <w:rPr>
          <w:color w:val="000000" w:themeColor="text1"/>
        </w:rPr>
      </w:r>
      <w:bookmarkStart w:id="47" w:name="_Toc25159"/>
      <w:r>
        <w:rPr>
          <w:color w:val="000000" w:themeColor="text1"/>
        </w:rPr>
      </w:r>
      <w:bookmarkStart w:id="48" w:name="_Toc7118"/>
      <w:r>
        <w:rPr>
          <w:color w:val="000000" w:themeColor="text1"/>
        </w:rPr>
      </w:r>
      <w:bookmarkStart w:id="49" w:name="_Toc25241"/>
      <w:r>
        <w:rPr>
          <w:color w:val="000000" w:themeColor="text1"/>
        </w:rPr>
      </w:r>
      <w:bookmarkStart w:id="50" w:name="_Toc2040"/>
      <w:r>
        <w:rPr>
          <w:color w:val="000000" w:themeColor="text1"/>
        </w:rPr>
      </w:r>
      <w:bookmarkStart w:id="51" w:name="_Toc24240"/>
      <w:r>
        <w:rPr>
          <w:color w:val="000000" w:themeColor="text1"/>
        </w:rPr>
      </w:r>
      <w:bookmarkStart w:id="52" w:name="_Toc11029"/>
      <w:r>
        <w:rPr>
          <w:color w:val="000000" w:themeColor="text1"/>
        </w:rPr>
      </w:r>
      <w:bookmarkStart w:id="53" w:name="_Toc89065760"/>
      <w:r>
        <w:rPr>
          <w:color w:val="000000" w:themeColor="text1"/>
        </w:rPr>
      </w:r>
      <w:bookmarkStart w:id="54" w:name="_Toc1694"/>
      <w:r>
        <w:rPr>
          <w:color w:val="000000" w:themeColor="text1"/>
        </w:rPr>
      </w:r>
      <w:bookmarkStart w:id="55" w:name="_Toc31646"/>
      <w:r>
        <w:rPr>
          <w:color w:val="000000" w:themeColor="text1"/>
        </w:rPr>
      </w:r>
      <w:bookmarkStart w:id="56" w:name="_Toc23574"/>
      <w:r>
        <w:rPr>
          <w:color w:val="000000" w:themeColor="text1"/>
        </w:rPr>
      </w:r>
      <w:bookmarkStart w:id="57" w:name="_Toc12820"/>
      <w:r>
        <w:rPr>
          <w:color w:val="000000" w:themeColor="text1"/>
        </w:rPr>
      </w:r>
      <w:bookmarkStart w:id="58" w:name="_Toc9437"/>
      <w:r>
        <w:rPr>
          <w:color w:val="000000" w:themeColor="text1"/>
        </w:rPr>
      </w:r>
      <w:bookmarkStart w:id="59" w:name="_Toc7014406"/>
      <w:r>
        <w:rPr>
          <w:color w:val="000000" w:themeColor="text1"/>
        </w:rPr>
      </w:r>
      <w:bookmarkStart w:id="60" w:name="_Toc20431"/>
      <w:r>
        <w:rPr>
          <w:rFonts w:hint="eastAsia" w:ascii="宋体" w:hAnsi="宋体" w:eastAsia="宋体" w:cs="宋体"/>
          <w:b/>
          <w:color w:val="000000" w:themeColor="text1"/>
          <w:sz w:val="24"/>
          <w:szCs w:val="24"/>
          <w:highlight w:val="none"/>
          <w:lang w:val="en-US" w:eastAsia="zh-CN" w:bidi="ar-SA"/>
        </w:rPr>
        <w:t xml:space="preserve">仪器设备配置</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元荡站仪器设备包括气象监测设备、水质监测设备及安防监控设备等。</w:t>
      </w:r>
      <w:r>
        <w:rPr>
          <w:color w:val="000000" w:themeColor="text1"/>
        </w:rPr>
      </w:r>
      <w:r/>
    </w:p>
    <w:p>
      <w:pPr>
        <w:numPr>
          <w:ilvl w:val="2"/>
          <w:numId w:val="15"/>
        </w:numPr>
        <w:ind w:left="0" w:firstLine="0"/>
        <w:jc w:val="both"/>
        <w:spacing w:line="360" w:lineRule="auto"/>
        <w:widowControl w:val="off"/>
        <w:rPr>
          <w:rFonts w:hint="eastAsia" w:ascii="宋体" w:hAnsi="宋体" w:eastAsia="宋体" w:cs="宋体"/>
          <w:b/>
          <w:color w:val="000000" w:themeColor="text1"/>
          <w:sz w:val="24"/>
          <w:szCs w:val="24"/>
          <w:highlight w:val="none"/>
        </w:rPr>
        <w:outlineLvl w:val="2"/>
      </w:pPr>
      <w:r>
        <w:rPr>
          <w:rFonts w:hint="eastAsia" w:ascii="宋体" w:hAnsi="宋体" w:eastAsia="宋体" w:cs="宋体"/>
          <w:b/>
          <w:color w:val="000000" w:themeColor="text1"/>
          <w:sz w:val="24"/>
          <w:szCs w:val="24"/>
          <w:highlight w:val="none"/>
          <w:lang w:val="en-US" w:eastAsia="zh-CN" w:bidi="ar-SA"/>
        </w:rPr>
        <w:t xml:space="preserve">气象监测设备</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五要素微型气象仪：</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五要素微型气象仪用于实现风速、风向、气温、气压、湿度等气象数据的采集与处理功能。设备安装在平台上，采集气象数据，并将采集的数据通过通信线缆传输至测站的数据采集仪上。设备的主要技术参数要求如下：</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cs="宋体"/>
          <w:b/>
          <w:bCs/>
          <w:color w:val="000000" w:themeColor="text1"/>
          <w:sz w:val="24"/>
          <w:szCs w:val="24"/>
          <w:highlight w:val="none"/>
          <w:lang w:val="en-US" w:eastAsia="zh-CN" w:bidi="ar-SA"/>
        </w:rPr>
        <w:t xml:space="preserve">1</w:t>
      </w:r>
      <w:r>
        <w:rPr>
          <w:rFonts w:hint="eastAsia" w:ascii="宋体" w:hAnsi="宋体" w:eastAsia="宋体" w:cs="宋体"/>
          <w:b/>
          <w:bCs/>
          <w:color w:val="000000" w:themeColor="text1"/>
          <w:sz w:val="24"/>
          <w:szCs w:val="24"/>
          <w:highlight w:val="none"/>
          <w:lang w:val="en-US" w:eastAsia="zh-CN" w:bidi="ar-SA"/>
        </w:rPr>
        <w:t xml:space="preserve">  五要素微型气象仪主要技术指标</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2324"/>
        <w:gridCol w:w="2325"/>
        <w:gridCol w:w="2325"/>
      </w:tblGrid>
      <w:tr>
        <w:trPr>
          <w:jc w:val="center"/>
          <w:trHeight w:val="510"/>
          <w:tblHeader/>
        </w:trPr>
        <w:tc>
          <w:tcPr>
            <w:tcW w:w="153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传感器</w:t>
            </w:r>
            <w:r>
              <w:rPr>
                <w:color w:val="000000" w:themeColor="text1"/>
              </w:rPr>
            </w:r>
            <w:r/>
          </w:p>
        </w:tc>
        <w:tc>
          <w:tcPr>
            <w:tcW w:w="232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测量范围</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精度</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分辨率</w:t>
            </w:r>
            <w:r>
              <w:rPr>
                <w:color w:val="000000" w:themeColor="text1"/>
              </w:rPr>
            </w:r>
            <w:r/>
          </w:p>
        </w:tc>
      </w:tr>
      <w:tr>
        <w:trPr>
          <w:jc w:val="center"/>
          <w:trHeight w:val="510"/>
          <w:tblHeader/>
        </w:trPr>
        <w:tc>
          <w:tcPr>
            <w:tcW w:w="153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气温</w:t>
            </w:r>
            <w:r>
              <w:rPr>
                <w:color w:val="000000" w:themeColor="text1"/>
              </w:rPr>
            </w:r>
            <w:r/>
          </w:p>
        </w:tc>
        <w:tc>
          <w:tcPr>
            <w:tcW w:w="232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-40~+80℃</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±0.3℃</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0.1℃</w:t>
            </w:r>
            <w:r>
              <w:rPr>
                <w:color w:val="000000" w:themeColor="text1"/>
              </w:rPr>
            </w:r>
            <w:r/>
          </w:p>
        </w:tc>
      </w:tr>
      <w:tr>
        <w:trPr>
          <w:jc w:val="center"/>
          <w:trHeight w:val="510"/>
          <w:tblHeader/>
        </w:trPr>
        <w:tc>
          <w:tcPr>
            <w:tcW w:w="153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风向</w:t>
            </w:r>
            <w:r>
              <w:rPr>
                <w:color w:val="000000" w:themeColor="text1"/>
              </w:rPr>
            </w:r>
            <w:r/>
          </w:p>
        </w:tc>
        <w:tc>
          <w:tcPr>
            <w:tcW w:w="232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0~360°</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t xml:space="preserve">±3°</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0.1°</w:t>
            </w:r>
            <w:r>
              <w:rPr>
                <w:color w:val="000000" w:themeColor="text1"/>
              </w:rPr>
            </w:r>
            <w:r/>
          </w:p>
        </w:tc>
      </w:tr>
      <w:tr>
        <w:trPr>
          <w:jc w:val="center"/>
          <w:trHeight w:val="510"/>
          <w:tblHeader/>
        </w:trPr>
        <w:tc>
          <w:tcPr>
            <w:tcW w:w="153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风速</w:t>
            </w:r>
            <w:r>
              <w:rPr>
                <w:color w:val="000000" w:themeColor="text1"/>
              </w:rPr>
            </w:r>
            <w:r/>
          </w:p>
        </w:tc>
        <w:tc>
          <w:tcPr>
            <w:tcW w:w="232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t xml:space="preserve">0~60m/s</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t xml:space="preserve">±（0.3+0.03V）m/s，V是风速</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0.1m/s</w:t>
            </w:r>
            <w:r>
              <w:rPr>
                <w:color w:val="000000" w:themeColor="text1"/>
              </w:rPr>
            </w:r>
            <w:r/>
          </w:p>
        </w:tc>
      </w:tr>
      <w:tr>
        <w:trPr>
          <w:jc w:val="center"/>
          <w:trHeight w:val="510"/>
          <w:tblHeader/>
        </w:trPr>
        <w:tc>
          <w:tcPr>
            <w:tcW w:w="153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气压</w:t>
            </w:r>
            <w:r>
              <w:rPr>
                <w:color w:val="000000" w:themeColor="text1"/>
              </w:rPr>
            </w:r>
            <w:r/>
          </w:p>
        </w:tc>
        <w:tc>
          <w:tcPr>
            <w:tcW w:w="232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10hpa~1100hpa</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±0.3hpa</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0.1hpa</w:t>
            </w:r>
            <w:r>
              <w:rPr>
                <w:color w:val="000000" w:themeColor="text1"/>
              </w:rPr>
            </w:r>
            <w:r/>
          </w:p>
        </w:tc>
      </w:tr>
      <w:tr>
        <w:trPr>
          <w:jc w:val="center"/>
          <w:trHeight w:val="510"/>
          <w:tblHeader/>
        </w:trPr>
        <w:tc>
          <w:tcPr>
            <w:tcW w:w="153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湿度</w:t>
            </w:r>
            <w:r>
              <w:rPr>
                <w:color w:val="000000" w:themeColor="text1"/>
              </w:rPr>
            </w:r>
            <w:r/>
          </w:p>
        </w:tc>
        <w:tc>
          <w:tcPr>
            <w:tcW w:w="232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0~100%RH</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±2%RH</w:t>
            </w:r>
            <w:r>
              <w:rPr>
                <w:color w:val="000000" w:themeColor="text1"/>
              </w:rPr>
            </w:r>
            <w:r/>
          </w:p>
        </w:tc>
        <w:tc>
          <w:tcPr>
            <w:tcW w:w="23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±0.10%RH</w:t>
            </w:r>
            <w:r>
              <w:rPr>
                <w:color w:val="000000" w:themeColor="text1"/>
              </w:rPr>
            </w:r>
            <w:r/>
          </w:p>
        </w:tc>
      </w:tr>
    </w:tbl>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配置翻斗式雨量计模块1台，设备参数如下：</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①功能要求：用于观测液态降水量，满足雨量信息传输、处理、记录和显示的需要。</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②主要技术参数</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承雨口：Ф200+0.6mm；</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分辨力：0.5mm；</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降雨强度：≤4mm/min；</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测量范围：当自身排水量≤12.5mm时，允许误差为±0.5mm；当自身排水量＞12.5mm时，允许误差为±4%；</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环境温度：0～50°C；</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配置：雨量计主机（含翻斗）、筒盖、挡叶网。</w:t>
      </w:r>
      <w:r>
        <w:rPr>
          <w:color w:val="000000" w:themeColor="text1"/>
        </w:rPr>
      </w:r>
      <w:r/>
    </w:p>
    <w:p>
      <w:pPr>
        <w:numPr>
          <w:ilvl w:val="2"/>
          <w:numId w:val="15"/>
        </w:numPr>
        <w:ind w:left="0" w:firstLine="0"/>
        <w:jc w:val="both"/>
        <w:spacing w:line="360" w:lineRule="auto"/>
        <w:widowControl w:val="off"/>
        <w:rPr>
          <w:rFonts w:hint="eastAsia" w:ascii="宋体" w:hAnsi="宋体" w:eastAsia="宋体" w:cs="宋体"/>
          <w:b/>
          <w:color w:val="000000" w:themeColor="text1"/>
          <w:sz w:val="24"/>
          <w:szCs w:val="24"/>
          <w:highlight w:val="none"/>
        </w:rPr>
        <w:outlineLvl w:val="2"/>
      </w:pPr>
      <w:r>
        <w:rPr>
          <w:rFonts w:hint="eastAsia" w:ascii="宋体" w:hAnsi="宋体" w:eastAsia="宋体" w:cs="宋体"/>
          <w:b/>
          <w:color w:val="000000" w:themeColor="text1"/>
          <w:sz w:val="24"/>
          <w:szCs w:val="24"/>
          <w:highlight w:val="none"/>
          <w:lang w:val="en-US" w:eastAsia="zh-CN" w:bidi="ar-SA"/>
        </w:rPr>
        <w:t xml:space="preserve">水质监测设备</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（1）取水单元</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取水单元负责完成水样采集和输送。</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1）功能要求</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①采用专用浮台确保能取到水面以下固定深度处的水样，根据需要能采集水面以下0.5m、1.0m左右深度处水样，浮台能随水位的变化而变化，同时浮台水样采集深度处与水体底部保持不低于0.5m的距离，防止水体底部淤泥对采样水质的影响。</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②取水部分采用双泵双管方式，一主一备，满足实时不间断监测要求，具有通过PLC软件控制取0.5m或1.0m左右深度处水样的功能，并可实现自动诊断泵故障及自动切换泵工作功能。</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③水文监测平台配套的取水、储水与太阳能热水除藻系统，系统供水流程如图</w:t>
      </w: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lang w:val="en-US" w:eastAsia="zh-CN" w:bidi="ar-SA"/>
        </w:rPr>
        <w:t xml:space="preserve">6</w:t>
      </w:r>
      <w:r>
        <w:rPr>
          <w:rFonts w:hint="eastAsia" w:ascii="宋体" w:hAnsi="宋体" w:eastAsia="宋体" w:cs="宋体"/>
          <w:color w:val="000000" w:themeColor="text1"/>
          <w:sz w:val="24"/>
          <w:szCs w:val="24"/>
          <w:highlight w:val="none"/>
          <w:lang w:val="en-US" w:eastAsia="zh-CN" w:bidi="ar-SA"/>
        </w:rPr>
        <w:t xml:space="preserve">所示，用于为监测机柜及相关设备提供含热水冲洗功能的水源，防止水体及设备管路滋生藻类、附着生物，保障监测精度与设备运行稳定。</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取水与储水环节：清水由取水泵抽取至平台上的储水箱，完成水源供给与稳压储存。</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太阳能加热环节：储水箱出水经增压泵送入太阳能集热板回路，利用太阳能集热板加热水体后，将热水输送至热水器水箱储存，形成稳定的热水储备。</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热水除藻环节：热水器水箱内的热水由增压泵输送至监测机柜，用于定期冲洗采样管路、传感器及机柜内相关设备，通过高温热水杀灭藻类与附着微生物，冲洗后的废水不再循环，直接排放，避免二次污染与生物附着。</w:t>
      </w:r>
      <w:r>
        <w:rPr>
          <w:color w:val="000000" w:themeColor="text1"/>
        </w:rPr>
      </w:r>
      <w:r/>
    </w:p>
    <w:p>
      <w:pPr>
        <w:ind w:left="0" w:right="0" w:firstLine="0"/>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5039995" cy="3098165"/>
                <wp:effectExtent l="0" t="0" r="8255" b="6985"/>
                <wp:docPr id="9" name="图片 14" descr="风速26.8对应几级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 descr="风速26.8对应几级风"/>
                        <pic:cNvPicPr>
                          <a:picLocks noChangeAspect="1"/>
                        </pic:cNvPicPr>
                        <pic:nvPr/>
                      </pic:nvPicPr>
                      <pic:blipFill>
                        <a:blip r:embed="rId21"/>
                        <a:srcRect l="0" t="0" r="0" b="8346"/>
                        <a:stretch/>
                      </pic:blipFill>
                      <pic:spPr bwMode="auto">
                        <a:xfrm>
                          <a:off x="0" y="0"/>
                          <a:ext cx="5039995" cy="3098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96.8pt;height:243.9pt;mso-wrap-distance-left:0.0pt;mso-wrap-distance-top:0.0pt;mso-wrap-distance-right:0.0pt;mso-wrap-distance-bottom:0.0pt;" stroked="f">
                <v:path textboxrect="0,0,0,0"/>
                <v:imagedata r:id="rId21" o:title=""/>
              </v:shape>
            </w:pict>
          </mc:Fallback>
        </mc:AlternateContent>
      </w:r>
      <w:r>
        <w:rPr>
          <w:color w:val="000000" w:themeColor="text1"/>
        </w:rPr>
      </w:r>
      <w:r/>
    </w:p>
    <w:p>
      <w:pPr>
        <w:ind w:left="0" w:right="0" w:firstLine="0"/>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图 1-</w:t>
      </w:r>
      <w:r>
        <w:rPr>
          <w:rFonts w:hint="eastAsia" w:ascii="宋体" w:hAnsi="宋体" w:cs="宋体"/>
          <w:b/>
          <w:bCs/>
          <w:color w:val="000000" w:themeColor="text1"/>
          <w:sz w:val="24"/>
          <w:szCs w:val="24"/>
          <w:highlight w:val="none"/>
          <w:lang w:val="en-US" w:eastAsia="zh-CN" w:bidi="ar-SA"/>
        </w:rPr>
        <w:t xml:space="preserve">6</w:t>
      </w:r>
      <w:r>
        <w:rPr>
          <w:rFonts w:hint="eastAsia" w:ascii="宋体" w:hAnsi="宋体" w:eastAsia="宋体" w:cs="宋体"/>
          <w:b/>
          <w:bCs/>
          <w:color w:val="000000" w:themeColor="text1"/>
          <w:sz w:val="24"/>
          <w:szCs w:val="24"/>
          <w:highlight w:val="none"/>
          <w:lang w:val="en-US" w:eastAsia="zh-CN" w:bidi="ar-SA"/>
        </w:rPr>
        <w:t xml:space="preserve">  测站供水流程示意图</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2）设备构成</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取水单元由专用取水浮台、取水泵、取水管路、警示灯、照明设施等设备组成。</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3599180" cy="3702050"/>
                <wp:effectExtent l="0" t="0" r="1270" b="12700"/>
                <wp:docPr id="1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pic:cNvPicPr>
                          <a:picLocks noChangeAspect="1"/>
                        </pic:cNvPicPr>
                        <pic:nvPr/>
                      </pic:nvPicPr>
                      <pic:blipFill>
                        <a:blip r:embed="rId22"/>
                        <a:srcRect l="0" t="17851" r="0" b="0"/>
                        <a:stretch/>
                      </pic:blipFill>
                      <pic:spPr bwMode="auto">
                        <a:xfrm>
                          <a:off x="0" y="0"/>
                          <a:ext cx="3599180" cy="370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3.4pt;height:291.5pt;mso-wrap-distance-left:0.0pt;mso-wrap-distance-top:0.0pt;mso-wrap-distance-right:0.0pt;mso-wrap-distance-bottom:0.0pt;" stroked="f">
                <v:path textboxrect="0,0,0,0"/>
                <v:imagedata r:id="rId22" o:title=""/>
              </v:shape>
            </w:pict>
          </mc:Fallback>
        </mc:AlternateConten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图 1-</w:t>
      </w:r>
      <w:r>
        <w:rPr>
          <w:rFonts w:hint="eastAsia" w:ascii="宋体" w:hAnsi="宋体" w:cs="宋体"/>
          <w:b/>
          <w:bCs/>
          <w:color w:val="000000" w:themeColor="text1"/>
          <w:sz w:val="24"/>
          <w:szCs w:val="24"/>
          <w:highlight w:val="none"/>
          <w:lang w:val="en-US" w:eastAsia="zh-CN" w:bidi="ar-SA"/>
        </w:rPr>
        <w:t xml:space="preserve">7</w:t>
      </w:r>
      <w:r>
        <w:rPr>
          <w:rFonts w:hint="eastAsia" w:ascii="宋体" w:hAnsi="宋体" w:eastAsia="宋体" w:cs="宋体"/>
          <w:b/>
          <w:bCs/>
          <w:color w:val="000000" w:themeColor="text1"/>
          <w:sz w:val="24"/>
          <w:szCs w:val="24"/>
          <w:highlight w:val="none"/>
          <w:lang w:val="en-US" w:eastAsia="zh-CN" w:bidi="ar-SA"/>
        </w:rPr>
        <w:t xml:space="preserve">  取水装置示意图</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①取水浮台采用304不锈钢材料制成，表面喷塑，中间用不锈钢耳与竖井滑杆配合。取水浮台配备有防护网，采用双层防护措施，可有效避免水体垃圾、漂浮物等造成的堵塞。</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②取水泵安装在机箱内部，主、备用各安装一台，通过控制系统实现一主一备运行。</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③取水管路采用高品质钢丝软管，材质耐用、耐热、耐压、环保，不与水样中被测物产生物理和化学反应、避免对水样产生污染，为防止管道结冰及冻伤，配备保温层，配套304不锈钢350L储水箱及水箱取水泵。</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④警示灯安装在平台四角和平台顶部，用于夜间警示，包含航标警示灯1个，防爆警示灯4个。</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航标警示灯采用一体化LED航标灯，铝合金灯壳，侧面镶嵌六片单晶钢化玻璃板封装的太阳能电池板，航标灯透镜为沿圆周连续焦点专用LED光源透镜，防护等级不低于IP65。内置40AH/12V锂电池，确保航标灯在连续阴雨22天情况下能正常工作。</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防爆警示灯集成太阳能板和蓄电池一体，采用高亮LED灯，外壳PC，底部不锈钢架，可视距离≥1km，防护等级不低于IP65。</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⑤照明设施安装在设备安装立杆上，用于临时上站检修，功耗：50W，供电：直流电，白光，通过触摸屏开关控制。</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（2）预处理单元</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预处理单元负责完成水样的沉淀、过滤，提供适合水质分析仪表分析的水样。</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1）功能要求</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①多参数水质分析仪（常规六项：水温、pH、溶解氧、电导率、浊度、氧化还原电位）安装在水样预处理之前，水的流速满足溶解氧和浊度的测量要求；</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②水样进入氨氮总磷总氮在线分析仪表前须进行沉淀、过滤等预处理，水样沉淀时间可设置，沉淀池要求具备自动清洗功能；</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③供给各分析仪表水样的流速及用量需满足各仪表的不同需求，并留有人工取样接口；</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④水样的供水量大于一次分析过程的总用水量。</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2）单元组成</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预处理单元主要由沉沙桶、常规多参数测量池、竖式过滤器、水样增压泵、进样罐、清洗管路、空压机、除藻热水器、电动球阀及附件等组成。</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①沉沙桶具有自动清沙、排沙、清洗功能，也可以人工进行清沙、排沙、清洗等操作。采用沉沙桶沉淀大颗粒的泥沙和杂物，取沉沙桶上清液，经竖式过滤器过滤掉较小的颗粒，由增压泵泵送至进样罐，由进样罐给氨氮总磷总氮水质分析仪表供水。</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②常规多参数测量池用于安装常规六参数探头及叶绿素a分析仪，确保探头处于最佳监测位置。</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③竖式过滤器滤芯能方便拆下清洗再用，并具有自动清洗和反清洗功能。</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④水样增压泵用以泵送水样至进样罐。</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⑤进样罐用以调节各水质分析仪表的供水流量，满足水质分析仪表的供水要求。</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⑥空压机利用压缩空气反吹管路，排空残留水，防止泥沙沉淀，保持管路干燥。在系统不运行期间进行充气，反冲对象只针对竖式过滤器和取水管路。电压：直流48V，气缸容量：40-50升。</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⑦除藻热水器</w:t>
      </w:r>
      <w:r>
        <w:rPr>
          <w:rFonts w:hint="eastAsia" w:ascii="宋体" w:hAnsi="宋体" w:eastAsia="宋体" w:cs="宋体"/>
          <w:color w:val="000000" w:themeColor="text1"/>
          <w:sz w:val="24"/>
          <w:szCs w:val="24"/>
          <w:highlight w:val="none"/>
          <w:lang w:val="en-US" w:eastAsia="zh-CN" w:bidi="ar-SA"/>
        </w:rPr>
        <w:t xml:space="preserve">：采用高温除藻方式，使用全自动太阳能热水器提供热水，浸泡管路和多参数测量池，利用高温清除藻类，浸泡一定时间后，排空热水。加热方式：太阳能，容量：80L，能效：一级</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⑧电动球阀用于控制管路水流向。</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（3）运行环境支持单元</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运行环境监控单元提供系统运行所需要的各类设备保障，拟配备不锈钢野外保温机箱1套，太阳能供电系统1套，温湿度传感器1套。</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1）不锈钢野外保温机箱：机箱采用一体化、内外两层设计，尺寸为3600（宽）×724（深）×2100（高，含防雨顶）mm，防雨顶高100mm，前后伸出机柜300mm，形成排水坡度。</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机箱采用304不锈钢制成，钢板表面使用喷塑工艺处理，机箱内外夹层和防雨顶内部安装50m</w:t>
      </w:r>
      <w:r>
        <w:rPr>
          <w:rFonts w:hint="eastAsia" w:ascii="宋体" w:hAnsi="宋体" w:eastAsia="宋体" w:cs="宋体"/>
          <w:color w:val="000000" w:themeColor="text1"/>
          <w:sz w:val="24"/>
          <w:szCs w:val="24"/>
          <w:highlight w:val="none"/>
          <w:lang w:val="en-US" w:eastAsia="zh-CN" w:bidi="ar-SA"/>
        </w:rPr>
        <w:t xml:space="preserve">m厚保温石棉板，机箱为前后开门设计，中间为对开门，储水箱、热水箱、蓄电池箱为单开门，监测设备和配套设施安装在中间箱体内。箱体大小设计需满足所有监测设备摆放，同时兼顾预留后期维护操作空间。机箱上层为控制电器、通信和电源控制模块等设备的安装部位，机箱右侧整列用于安装测站蓄电池，机柜右侧面布置散热风扇上下两组，与温湿度传感器联动；机箱中部安装常六测量池、预处理沉沙桶、清水箱和进样桶，氨氮总磷总氮分析仪安装浸泡在清水箱内，用于仪表降温和恒定试剂存储温度。机箱下部安装取水泵、增压泵、水样管路，过滤器安装在进样桶侧面。</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机柜配置4kg悬挂式七氟丙烷消防装置和驱鸟器（雷达数量：2个，雷达探测范围：10m，超声波频率：3k-60kHz，声音分贝：120db，防护等级：IP55，电池DC12V5Ah）及废液桶和纯水桶各1个，废液桶容量≥23L、纯水桶容量≥15L。</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5039995" cy="2780665"/>
                <wp:effectExtent l="0" t="0" r="8255" b="635"/>
                <wp:docPr id="1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pic:cNvPicPr>
                        <pic:nvPr/>
                      </pic:nvPicPr>
                      <pic:blipFill>
                        <a:blip r:embed="rId23"/>
                        <a:stretch/>
                      </pic:blipFill>
                      <pic:spPr bwMode="auto">
                        <a:xfrm>
                          <a:off x="0" y="0"/>
                          <a:ext cx="5039995" cy="2780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96.8pt;height:218.9pt;mso-wrap-distance-left:0.0pt;mso-wrap-distance-top:0.0pt;mso-wrap-distance-right:0.0pt;mso-wrap-distance-bottom:0.0pt;" stroked="f">
                <v:path textboxrect="0,0,0,0"/>
                <v:imagedata r:id="rId23" o:title=""/>
              </v:shape>
            </w:pict>
          </mc:Fallback>
        </mc:AlternateConten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图 1-</w:t>
      </w:r>
      <w:r>
        <w:rPr>
          <w:rFonts w:hint="eastAsia" w:ascii="宋体" w:hAnsi="宋体" w:cs="宋体"/>
          <w:b/>
          <w:bCs/>
          <w:color w:val="000000" w:themeColor="text1"/>
          <w:sz w:val="24"/>
          <w:szCs w:val="24"/>
          <w:highlight w:val="none"/>
          <w:lang w:val="en-US" w:eastAsia="zh-CN" w:bidi="ar-SA"/>
        </w:rPr>
        <w:t xml:space="preserve">8</w:t>
      </w:r>
      <w:r>
        <w:rPr>
          <w:rFonts w:hint="eastAsia" w:ascii="宋体" w:hAnsi="宋体" w:eastAsia="宋体" w:cs="宋体"/>
          <w:b/>
          <w:bCs/>
          <w:color w:val="000000" w:themeColor="text1"/>
          <w:sz w:val="24"/>
          <w:szCs w:val="24"/>
          <w:highlight w:val="none"/>
          <w:lang w:val="en-US" w:eastAsia="zh-CN" w:bidi="ar-SA"/>
        </w:rPr>
        <w:t xml:space="preserve">  不锈钢野外保温机箱设计图</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2）太阳能供电系统</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系统主要由机架模块式蓄电池、太阳能电池板、MPPT充电控制器、逆变器、太阳能板支架等组成。</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5039995" cy="3499485"/>
                <wp:effectExtent l="0" t="0" r="8255" b="5715"/>
                <wp:docPr id="12" name="图片 17" descr="5734a6b9dfbffe0fa8358e7083662b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descr="5734a6b9dfbffe0fa8358e7083662be2"/>
                        <pic:cNvPicPr>
                          <a:picLocks noChangeAspect="1"/>
                        </pic:cNvPicPr>
                        <pic:nvPr/>
                      </pic:nvPicPr>
                      <pic:blipFill>
                        <a:blip r:embed="rId24"/>
                        <a:stretch/>
                      </pic:blipFill>
                      <pic:spPr bwMode="auto">
                        <a:xfrm>
                          <a:off x="0" y="0"/>
                          <a:ext cx="5039995" cy="34994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96.8pt;height:275.6pt;mso-wrap-distance-left:0.0pt;mso-wrap-distance-top:0.0pt;mso-wrap-distance-right:0.0pt;mso-wrap-distance-bottom:0.0pt;" stroked="f">
                <v:path textboxrect="0,0,0,0"/>
                <v:imagedata r:id="rId24" o:title=""/>
              </v:shape>
            </w:pict>
          </mc:Fallback>
        </mc:AlternateConten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图 1-</w:t>
      </w:r>
      <w:r>
        <w:rPr>
          <w:rFonts w:hint="eastAsia" w:ascii="宋体" w:hAnsi="宋体" w:cs="宋体"/>
          <w:b/>
          <w:bCs/>
          <w:color w:val="000000" w:themeColor="text1"/>
          <w:sz w:val="24"/>
          <w:szCs w:val="24"/>
          <w:highlight w:val="none"/>
          <w:lang w:val="en-US" w:eastAsia="zh-CN" w:bidi="ar-SA"/>
        </w:rPr>
        <w:t xml:space="preserve">9</w:t>
      </w:r>
      <w:r>
        <w:rPr>
          <w:rFonts w:hint="eastAsia" w:ascii="宋体" w:hAnsi="宋体" w:eastAsia="宋体" w:cs="宋体"/>
          <w:b/>
          <w:bCs/>
          <w:color w:val="000000" w:themeColor="text1"/>
          <w:sz w:val="24"/>
          <w:szCs w:val="24"/>
          <w:highlight w:val="none"/>
          <w:lang w:val="en-US" w:eastAsia="zh-CN" w:bidi="ar-SA"/>
        </w:rPr>
        <w:t xml:space="preserve">  太阳能系统供电示意图</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①机架模块式蓄电池：12组，尺寸：≥440mm×≥440mm×≥130mm，电池类别：磷酸铁锂，额定电压：51.2V，标称容量：100Ah。</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②太阳能电池板：8块，每4块串联，然后并联，电池片：单晶182×182mm，功率：240Wp，工作电压：19.89V，太阳能板效率≥19.0%。</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③MPPT充电控制器：1个，系统电压：自动识别，最大充电电流：60A，最大MPPT追踪效率：&gt;99.9%，最大充电转换效率：98%。</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④逆变器：AC输出额定功率1700W，输出电压220V，DC输入直流电压48V。</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⑤太阳能板支架：采用“主梁-立</w:t>
      </w:r>
      <w:r>
        <w:rPr>
          <w:rFonts w:hint="eastAsia" w:ascii="宋体" w:hAnsi="宋体" w:eastAsia="宋体" w:cs="宋体"/>
          <w:color w:val="000000" w:themeColor="text1"/>
          <w:sz w:val="24"/>
          <w:szCs w:val="24"/>
          <w:highlight w:val="none"/>
          <w:lang w:val="en-US" w:eastAsia="zh-CN" w:bidi="ar-SA"/>
        </w:rPr>
        <w:t xml:space="preserve">柱-次梁-斜撑”框架结构，整体呈25°倾斜布置，适配组件竖向安装需求。主梁横向跨度4025mm，主梁通长布置6根，分别作为前后排组件承重梁和支架结构梁；左右立柱各4根，沿主梁长度方向均匀布置（间距800mm），支撑主梁并传递荷载至平台主梁；次梁沿主梁垂直方向布置，用于承托太阳能组件；斜撑4根，分别布置在立柱与主梁之间，形成三角形稳定结构，增强支架抗侧风能力。光伏组件横向布置，满足安装、热胀冷缩及排水需求。主次梁形成的矩形空间内布设四角撑，加强稳定性，立柱和梁均为100*50*4的热镀锌方管，材质Q355B。</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太阳能板支架配套专用清洗排水装置，装置主要参数如下：</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控制方式：现场遥控及手动按键；</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支撑方式：上下双向刚性夹持；</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双面清洗能力：支持正反面同步或交替清洗；</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最大适应倾角：0°至55°自由调节；</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组件兼容性：兼容本项目太阳能板组件；</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抗风等级：≥12级（夹持状态下）；</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防跌落机制：双重传感器+机械锁止；</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清洗覆盖率：98%以上（含边缘区域）；</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维护更换：模块化快拆设计，更换&lt;15分钟；</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清洗喷淋模式：常规湿润模式、脉冲冲击模式；</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供水控制：自适应按需出水，可外接工业循环过滤水系统；</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喷淋覆盖特性：全覆盖刷盘工作面，无溅射、不渗入组件背板；</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安全监测：液位传感器、管路泄漏检测，缺水/漏液自动警报；</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防护等级：≥IP65；</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充电方式：无线感应充电、滑触线取电、车载太阳能辅助充电；</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低电量预警阈值：剩余电量 15% 自动返航充电并上传预警；</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电池管理系统：实时监测电芯电压、电流、温度，均衡充放电；</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电气安全保护：独立漏电检测回路，毫秒级切断动力输出。</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3）温湿度传感器：用于监测机箱内部的温度和湿度，带液晶显示，当监测到机箱内部温度异常时，联动机柜侧面风扇对机柜进行通风降温处理。</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（4）数据传输单元</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本项目拟配置卫星通信终端1套、4G/5G通信终端1套。</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1）卫星通信终端是利用卫星通信技术实现定位及报文收发通信功能的专业设备，可用于公网信息中断时，数据信息的传输。设备采用北斗三代通用一体机扩展协议，发射频率L波段。</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cs="宋体"/>
          <w:b/>
          <w:bCs/>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lang w:val="en-US" w:eastAsia="zh-CN" w:bidi="ar-SA"/>
        </w:rPr>
        <w:t xml:space="preserve">  卫星通信终端技术指标表</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6"/>
        <w:gridCol w:w="2020"/>
        <w:gridCol w:w="4484"/>
      </w:tblGrid>
      <w:tr>
        <w:trPr>
          <w:jc w:val="center"/>
          <w:trHeight w:val="510"/>
          <w:tblHeader/>
        </w:trPr>
        <w:tc>
          <w:tcPr>
            <w:gridSpan w:val="2"/>
            <w:tcW w:w="4036" w:type="dxa"/>
            <w:vAlign w:val="center"/>
            <w:textDirection w:val="lrTb"/>
            <w:noWrap w:val="false"/>
          </w:tcPr>
          <w:p>
            <w:pPr>
              <w:jc w:val="center"/>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指标</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参数</w:t>
            </w:r>
            <w:r>
              <w:rPr>
                <w:color w:val="000000" w:themeColor="text1"/>
              </w:rPr>
            </w:r>
            <w:r/>
          </w:p>
        </w:tc>
      </w:tr>
      <w:tr>
        <w:trPr>
          <w:jc w:val="center"/>
          <w:trHeight w:val="510"/>
        </w:trPr>
        <w:tc>
          <w:tcPr>
            <w:tcW w:w="2016" w:type="dxa"/>
            <w:vAlign w:val="center"/>
            <w:vMerge w:val="restart"/>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RDSS接收部分</w:t>
            </w:r>
            <w:r>
              <w:rPr>
                <w:color w:val="000000" w:themeColor="text1"/>
              </w:rPr>
            </w:r>
            <w:r/>
          </w:p>
        </w:tc>
        <w:tc>
          <w:tcPr>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射频输入频率</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S：2491.75±8.16MHz</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vMerge w:val="restart"/>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接收灵敏度</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≥-130dBm（8Kbps）</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≥-127.5dBm（16Kbps）</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≥-123.8dBm（24Kbps）</w:t>
            </w:r>
            <w:r>
              <w:rPr>
                <w:color w:val="000000" w:themeColor="text1"/>
              </w:rPr>
            </w:r>
            <w:r/>
          </w:p>
        </w:tc>
      </w:tr>
      <w:tr>
        <w:trPr>
          <w:jc w:val="center"/>
          <w:trHeight w:val="510"/>
        </w:trPr>
        <w:tc>
          <w:tcPr>
            <w:tcW w:w="2016" w:type="dxa"/>
            <w:vAlign w:val="center"/>
            <w:vMerge w:val="restart"/>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RDSS发射部分</w:t>
            </w:r>
            <w:r>
              <w:rPr>
                <w:color w:val="000000" w:themeColor="text1"/>
              </w:rPr>
            </w:r>
            <w:r/>
          </w:p>
        </w:tc>
        <w:tc>
          <w:tcPr>
            <w:tcW w:w="2020" w:type="dxa"/>
            <w:vAlign w:val="center"/>
            <w:vMerge w:val="restart"/>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射频输出频率</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Lf1：1614.26±4.08MHz</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Lf2：1618.34±4.08MHz</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发射功率</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37.0dBm±0.5dB（VCCPA=5.2V）</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调制相位误差</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≤3°</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载波抑制</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≥30dBc</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协议版本</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北斗用户机数据接口协议2.1版</w:t>
            </w:r>
            <w:r>
              <w:rPr>
                <w:color w:val="000000" w:themeColor="text1"/>
              </w:rPr>
            </w:r>
            <w:r/>
          </w:p>
        </w:tc>
      </w:tr>
      <w:tr>
        <w:trPr>
          <w:jc w:val="center"/>
          <w:trHeight w:val="510"/>
        </w:trPr>
        <w:tc>
          <w:tcPr>
            <w:tcW w:w="2016" w:type="dxa"/>
            <w:vAlign w:val="center"/>
            <w:vMerge w:val="restart"/>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RNSS部分</w:t>
            </w:r>
            <w:r>
              <w:rPr>
                <w:color w:val="000000" w:themeColor="text1"/>
              </w:rPr>
            </w:r>
            <w:r/>
          </w:p>
        </w:tc>
        <w:tc>
          <w:tcPr>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接收频率</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BDS B1和GPS L1，可拓展B2a</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协议版本</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NMEA0183，兼容北斗</w:t>
            </w:r>
            <w:r>
              <w:rPr>
                <w:color w:val="000000" w:themeColor="text1"/>
              </w:rPr>
            </w:r>
            <w:r/>
          </w:p>
        </w:tc>
      </w:tr>
      <w:tr>
        <w:trPr>
          <w:jc w:val="center"/>
          <w:trHeight w:val="510"/>
        </w:trPr>
        <w:tc>
          <w:tcPr>
            <w:tcW w:w="2016" w:type="dxa"/>
            <w:vAlign w:val="center"/>
            <w:vMerge w:val="restart"/>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蓝牙部分</w:t>
            </w:r>
            <w:r>
              <w:rPr>
                <w:color w:val="000000" w:themeColor="text1"/>
              </w:rPr>
            </w:r>
            <w:r/>
          </w:p>
        </w:tc>
        <w:tc>
          <w:tcPr>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固件版本</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4.0以上</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发射功率</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可调</w:t>
            </w:r>
            <w:r>
              <w:rPr>
                <w:color w:val="000000" w:themeColor="text1"/>
              </w:rPr>
            </w:r>
            <w:r/>
          </w:p>
        </w:tc>
      </w:tr>
      <w:tr>
        <w:trPr>
          <w:jc w:val="center"/>
          <w:trHeight w:val="510"/>
        </w:trPr>
        <w:tc>
          <w:tcPr>
            <w:tcW w:w="2016" w:type="dxa"/>
            <w:vAlign w:val="center"/>
            <w:vMerge w:val="restart"/>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4G部分</w:t>
            </w:r>
            <w:r>
              <w:rPr>
                <w:color w:val="000000" w:themeColor="text1"/>
              </w:rPr>
            </w:r>
            <w:r/>
          </w:p>
        </w:tc>
        <w:tc>
          <w:tcPr>
            <w:tcW w:w="2020" w:type="dxa"/>
            <w:vAlign w:val="center"/>
            <w:vMerge w:val="restart"/>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频段</w:t>
            </w:r>
            <w:r>
              <w:rPr>
                <w:color w:val="000000" w:themeColor="text1"/>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LTE FDD Band 1，3，5，8</w:t>
            </w:r>
            <w:r>
              <w:rPr>
                <w:color w:val="000000" w:themeColor="text1"/>
              </w:rPr>
            </w:r>
            <w:r/>
          </w:p>
        </w:tc>
      </w:tr>
      <w:tr>
        <w:trPr>
          <w:jc w:val="center"/>
          <w:trHeight w:val="510"/>
        </w:trPr>
        <w:tc>
          <w:tcPr>
            <w:tcW w:w="2016"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2020"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4484"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LTE TDD Band 34，39，40，41</w:t>
            </w:r>
            <w:r>
              <w:rPr>
                <w:color w:val="000000" w:themeColor="text1"/>
              </w:rPr>
            </w:r>
            <w:r/>
          </w:p>
        </w:tc>
      </w:tr>
    </w:tbl>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2）4G/5G通信终端</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G/5G通信终端是利用4G或5G移动通信技术实现高速数据传输、语音通话和多媒体服务的专业设备，可用于公网信息中断时，数据信息的传输。4G通信终端采用LTE技术，5G通信终端采用NR技术，以实现更高的数据传输速率和更低的延迟。</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cs="宋体"/>
          <w:b/>
          <w:bCs/>
          <w:color w:val="000000" w:themeColor="text1"/>
          <w:sz w:val="24"/>
          <w:szCs w:val="24"/>
          <w:highlight w:val="none"/>
          <w:lang w:val="en-US" w:eastAsia="zh-CN" w:bidi="ar-SA"/>
        </w:rPr>
        <w:t xml:space="preserve">3</w:t>
      </w:r>
      <w:r>
        <w:rPr>
          <w:rFonts w:hint="eastAsia" w:ascii="宋体" w:hAnsi="宋体" w:eastAsia="宋体" w:cs="宋体"/>
          <w:b/>
          <w:bCs/>
          <w:color w:val="000000" w:themeColor="text1"/>
          <w:sz w:val="24"/>
          <w:szCs w:val="24"/>
          <w:highlight w:val="none"/>
          <w:lang w:val="en-US" w:eastAsia="zh-CN" w:bidi="ar-SA"/>
        </w:rPr>
        <w:t xml:space="preserve">  4G/5G通信终端技术指标表</w:t>
      </w:r>
      <w:r>
        <w:rPr>
          <w:color w:val="000000" w:themeColor="text1"/>
        </w:rPr>
      </w:r>
      <w:r/>
    </w:p>
    <w:tbl>
      <w:tblPr>
        <w:tblStyle w:val="101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48"/>
        <w:gridCol w:w="1390"/>
        <w:gridCol w:w="6175"/>
      </w:tblGrid>
      <w:tr>
        <w:trPr>
          <w:jc w:val="center"/>
          <w:trHeight w:val="397"/>
          <w:tblHeader/>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after="0" w:line="240" w:lineRule="auto"/>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after="0" w:line="240" w:lineRule="auto"/>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参数名称</w:t>
            </w:r>
            <w:r>
              <w:rPr>
                <w:color w:val="000000" w:themeColor="text1"/>
              </w:rPr>
            </w:r>
            <w:r/>
          </w:p>
        </w:tc>
        <w:tc>
          <w:tcPr>
            <w:tcBorders>
              <w:top w:val="single" w:color="auto" w:sz="4" w:space="0"/>
              <w:left w:val="single" w:color="auto" w:sz="4" w:space="0"/>
              <w:bottom w:val="single" w:color="auto" w:sz="4" w:space="0"/>
              <w:right w:val="single" w:color="auto" w:sz="4" w:space="0"/>
            </w:tcBorders>
            <w:tcW w:w="6175" w:type="dxa"/>
            <w:vAlign w:val="center"/>
            <w:textDirection w:val="lrTb"/>
            <w:noWrap w:val="false"/>
          </w:tcPr>
          <w:p>
            <w:pPr>
              <w:jc w:val="center"/>
              <w:spacing w:after="0" w:line="240" w:lineRule="auto"/>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技术指标</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通信网络</w:t>
            </w:r>
            <w:r>
              <w:rPr>
                <w:color w:val="000000" w:themeColor="text1"/>
              </w:rPr>
            </w:r>
            <w:r/>
          </w:p>
        </w:tc>
        <w:tc>
          <w:tcPr>
            <w:tcBorders>
              <w:top w:val="single" w:color="auto" w:sz="4" w:space="0"/>
              <w:left w:val="single" w:color="auto" w:sz="4" w:space="0"/>
              <w:bottom w:val="single" w:color="auto" w:sz="4" w:space="0"/>
              <w:right w:val="single" w:color="auto" w:sz="4" w:space="0"/>
            </w:tcBorders>
            <w:tcW w:w="6175" w:type="dxa"/>
            <w:vAlign w:val="center"/>
            <w:textDirection w:val="lrTb"/>
            <w:noWrap w:val="false"/>
          </w:tcPr>
          <w:p>
            <w:pPr>
              <w:jc w:val="both"/>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支持4G/5G全网通</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基本功能</w:t>
            </w:r>
            <w:r>
              <w:rPr>
                <w:color w:val="000000" w:themeColor="text1"/>
              </w:rPr>
            </w:r>
            <w:r/>
          </w:p>
        </w:tc>
        <w:tc>
          <w:tcPr>
            <w:tcBorders>
              <w:top w:val="single" w:color="auto" w:sz="4" w:space="0"/>
              <w:left w:val="single" w:color="auto" w:sz="4" w:space="0"/>
              <w:bottom w:val="single" w:color="auto" w:sz="4" w:space="0"/>
              <w:right w:val="single" w:color="auto" w:sz="4" w:space="0"/>
            </w:tcBorders>
            <w:tcW w:w="6175" w:type="dxa"/>
            <w:vAlign w:val="center"/>
            <w:textDirection w:val="lrTb"/>
            <w:noWrap w:val="false"/>
          </w:tcPr>
          <w:p>
            <w:pPr>
              <w:jc w:val="both"/>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支持PPP、TCP/IP协议栈；支持透明TCP/UDP/SMS，</w:t>
            </w:r>
            <w:r>
              <w:rPr>
                <w:color w:val="000000" w:themeColor="text1"/>
              </w:rPr>
            </w:r>
            <w:r/>
          </w:p>
          <w:p>
            <w:pPr>
              <w:jc w:val="both"/>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DDP+TCP/UDP等多种通讯方式；支持运营商APN/VPDN专网；支持固定IP和动态域名数据中心；透明数据传输及协议转换</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串行数据口</w:t>
            </w:r>
            <w:r>
              <w:rPr>
                <w:color w:val="000000" w:themeColor="text1"/>
              </w:rPr>
            </w:r>
            <w:r/>
          </w:p>
        </w:tc>
        <w:tc>
          <w:tcPr>
            <w:tcBorders>
              <w:top w:val="single" w:color="auto" w:sz="4" w:space="0"/>
              <w:left w:val="single" w:color="auto" w:sz="4" w:space="0"/>
              <w:bottom w:val="single" w:color="auto" w:sz="4" w:space="0"/>
              <w:right w:val="single" w:color="auto" w:sz="4" w:space="0"/>
            </w:tcBorders>
            <w:tcW w:w="6175" w:type="dxa"/>
            <w:vAlign w:val="center"/>
            <w:textDirection w:val="lrTb"/>
            <w:noWrap w:val="false"/>
          </w:tcPr>
          <w:p>
            <w:pPr>
              <w:jc w:val="both"/>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RS-232/RS-485/RS-422/TTL （双串口）</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工作电压</w:t>
            </w:r>
            <w:r>
              <w:rPr>
                <w:color w:val="000000" w:themeColor="text1"/>
              </w:rPr>
            </w:r>
            <w:r/>
          </w:p>
        </w:tc>
        <w:tc>
          <w:tcPr>
            <w:tcBorders>
              <w:top w:val="single" w:color="auto" w:sz="4" w:space="0"/>
              <w:left w:val="single" w:color="auto" w:sz="4" w:space="0"/>
              <w:bottom w:val="single" w:color="auto" w:sz="4" w:space="0"/>
              <w:right w:val="single" w:color="auto" w:sz="4" w:space="0"/>
            </w:tcBorders>
            <w:tcW w:w="6175" w:type="dxa"/>
            <w:vAlign w:val="center"/>
            <w:textDirection w:val="lrTb"/>
            <w:noWrap w:val="false"/>
          </w:tcPr>
          <w:p>
            <w:pPr>
              <w:jc w:val="both"/>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+5V〜+35VDC</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功耗</w:t>
            </w:r>
            <w:r>
              <w:rPr>
                <w:color w:val="000000" w:themeColor="text1"/>
              </w:rPr>
            </w:r>
            <w:r/>
          </w:p>
        </w:tc>
        <w:tc>
          <w:tcPr>
            <w:tcBorders>
              <w:top w:val="single" w:color="auto" w:sz="4" w:space="0"/>
              <w:left w:val="single" w:color="auto" w:sz="4" w:space="0"/>
              <w:bottom w:val="single" w:color="auto" w:sz="4" w:space="0"/>
              <w:right w:val="single" w:color="auto" w:sz="4" w:space="0"/>
            </w:tcBorders>
            <w:tcW w:w="6175" w:type="dxa"/>
            <w:vAlign w:val="center"/>
            <w:textDirection w:val="lrTb"/>
            <w:noWrap w:val="false"/>
          </w:tcPr>
          <w:p>
            <w:pPr>
              <w:jc w:val="both"/>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通信时平均电流</w:t>
            </w:r>
            <w:r>
              <w:rPr>
                <w:rFonts w:hint="eastAsia" w:ascii="宋体" w:hAnsi="宋体" w:eastAsia="宋体" w:cs="宋体"/>
                <w:bCs/>
                <w:color w:val="000000" w:themeColor="text1"/>
                <w:sz w:val="24"/>
                <w:szCs w:val="24"/>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en-US" w:bidi="ar-SA"/>
              </w:rPr>
              <w:t xml:space="preserve">110mA@+12VDC</w:t>
            </w:r>
            <w:r>
              <w:rPr>
                <w:rFonts w:hint="eastAsia" w:ascii="宋体" w:hAnsi="宋体" w:eastAsia="宋体" w:cs="宋体"/>
                <w:bCs/>
                <w:color w:val="000000" w:themeColor="text1"/>
                <w:sz w:val="24"/>
                <w:szCs w:val="24"/>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en-US" w:bidi="ar-SA"/>
              </w:rPr>
              <w:t xml:space="preserve">待机电流</w:t>
            </w:r>
            <w:r>
              <w:rPr>
                <w:rFonts w:hint="eastAsia" w:ascii="宋体" w:hAnsi="宋体" w:eastAsia="宋体" w:cs="宋体"/>
                <w:bCs/>
                <w:color w:val="000000" w:themeColor="text1"/>
                <w:sz w:val="24"/>
                <w:szCs w:val="24"/>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en-US" w:bidi="ar-SA"/>
              </w:rPr>
              <w:t xml:space="preserve">20mA@+12VDC</w:t>
            </w:r>
            <w:r>
              <w:rPr>
                <w:color w:val="000000" w:themeColor="text1"/>
              </w:rPr>
            </w:r>
            <w:r/>
          </w:p>
        </w:tc>
      </w:tr>
      <w:tr>
        <w:trPr>
          <w:jc w:val="center"/>
          <w:trHeight w:val="397"/>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工作环境</w:t>
            </w:r>
            <w:r>
              <w:rPr>
                <w:color w:val="000000" w:themeColor="text1"/>
              </w:rPr>
            </w:r>
            <w:r/>
          </w:p>
        </w:tc>
        <w:tc>
          <w:tcPr>
            <w:tcBorders>
              <w:top w:val="single" w:color="auto" w:sz="4" w:space="0"/>
              <w:left w:val="single" w:color="auto" w:sz="4" w:space="0"/>
              <w:bottom w:val="single" w:color="auto" w:sz="4" w:space="0"/>
              <w:right w:val="single" w:color="auto" w:sz="4" w:space="0"/>
            </w:tcBorders>
            <w:tcW w:w="6175" w:type="dxa"/>
            <w:vAlign w:val="center"/>
            <w:textDirection w:val="lrTb"/>
            <w:noWrap w:val="false"/>
          </w:tcPr>
          <w:p>
            <w:pPr>
              <w:jc w:val="both"/>
              <w:spacing w:after="0" w:line="24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工作温度：-30~+60℃；相对湿度：95% （无凝结）</w:t>
            </w:r>
            <w:r>
              <w:rPr>
                <w:color w:val="000000" w:themeColor="text1"/>
              </w:rPr>
            </w:r>
            <w:r/>
          </w:p>
        </w:tc>
      </w:tr>
    </w:tbl>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（5）系统控制单元</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控制单元实现系统的取水、沉沙预处理、进样、启动各监测仪表监测分析、系统清洗整个监测过程的自动控制；实现数据采集、分析、处理、存储、传输、报警、配置等功能，并能响应远程指令实现相应操作。</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1）设备组成</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系统控制单元由数据采集终端、触摸控制屏、PLC模块组件、控制电器组件、电源转换模块、直流电源避雷器、信号避雷器、测站控制软件、自动质量控制系统、信号及电源电缆等组成。</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2）系统控制流程：</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①进行水质监测时，为了保证水温、pH、溶解氧、电导率、浊度、氧化还原电位测量的准确性，取水泵直接抽取源水至测量池和沉沙桶，测量池内常规六参数和叶绿素a测量完成后，系统读取监测数据；沉沙桶内源水经过沉淀过滤后，上清液使用增压泵传送到进样罐，供给氨氮总磷总氮水质分析仪器进行分析，分析完成后由数据采集终端采集数据，并由4G/5G、卫星通信终端发送数据。</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②水质分析完成后每次都需要对测量池进行清洗操作，测量池内源水排空，再使用源水将测量池内常规六参数传感器和叶绿素a分析仪浸泡，防止测量池内残液影响下一次的正确测量，这样能对测量传感器进行有效的保护，减少仪器的维护工作量。</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5039995" cy="3453765"/>
                <wp:effectExtent l="0" t="0" r="8255" b="13335"/>
                <wp:docPr id="13" name="图片 18" descr="af53a257814ac88422ceb0b88abcdc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af53a257814ac88422ceb0b88abcdc28"/>
                        <pic:cNvPicPr>
                          <a:picLocks noChangeAspect="1"/>
                        </pic:cNvPicPr>
                        <pic:nvPr/>
                      </pic:nvPicPr>
                      <pic:blipFill>
                        <a:blip r:embed="rId25"/>
                        <a:stretch/>
                      </pic:blipFill>
                      <pic:spPr bwMode="auto">
                        <a:xfrm>
                          <a:off x="0" y="0"/>
                          <a:ext cx="5039995" cy="3453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96.8pt;height:271.9pt;mso-wrap-distance-left:0.0pt;mso-wrap-distance-top:0.0pt;mso-wrap-distance-right:0.0pt;mso-wrap-distance-bottom:0.0pt;" stroked="f">
                <v:path textboxrect="0,0,0,0"/>
                <v:imagedata r:id="rId25" o:title=""/>
              </v:shape>
            </w:pict>
          </mc:Fallback>
        </mc:AlternateConten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图1-</w:t>
      </w:r>
      <w:r>
        <w:rPr>
          <w:rFonts w:hint="eastAsia" w:ascii="宋体" w:hAnsi="宋体" w:eastAsia="宋体" w:cs="宋体"/>
          <w:b/>
          <w:bCs/>
          <w:color w:val="000000" w:themeColor="text1"/>
          <w:sz w:val="24"/>
          <w:szCs w:val="24"/>
          <w:highlight w:val="none"/>
          <w:lang w:val="en-US" w:eastAsia="zh-CN" w:bidi="ar-SA"/>
        </w:rPr>
        <w:fldChar w:fldCharType="begin"/>
      </w:r>
      <w:r>
        <w:rPr>
          <w:rFonts w:hint="eastAsia" w:ascii="宋体" w:hAnsi="宋体" w:eastAsia="宋体" w:cs="宋体"/>
          <w:b/>
          <w:bCs/>
          <w:color w:val="000000" w:themeColor="text1"/>
          <w:sz w:val="24"/>
          <w:szCs w:val="24"/>
          <w:highlight w:val="none"/>
          <w:lang w:val="en-US" w:eastAsia="zh-CN" w:bidi="ar-SA"/>
        </w:rPr>
        <w:instrText xml:space="preserve"> SEQ 图 \* ARABIC \s 1 </w:instrText>
      </w:r>
      <w:r>
        <w:rPr>
          <w:rFonts w:hint="eastAsia" w:ascii="宋体" w:hAnsi="宋体" w:eastAsia="宋体" w:cs="宋体"/>
          <w:b/>
          <w:bCs/>
          <w:color w:val="000000" w:themeColor="text1"/>
          <w:sz w:val="24"/>
          <w:szCs w:val="24"/>
          <w:highlight w:val="none"/>
          <w:lang w:val="en-US" w:eastAsia="zh-CN" w:bidi="ar-SA"/>
        </w:rPr>
        <w:fldChar w:fldCharType="separate"/>
      </w:r>
      <w:r>
        <w:rPr>
          <w:rFonts w:hint="eastAsia" w:ascii="宋体" w:hAnsi="宋体" w:eastAsia="宋体" w:cs="宋体"/>
          <w:b/>
          <w:bCs/>
          <w:color w:val="000000" w:themeColor="text1"/>
          <w:sz w:val="24"/>
          <w:szCs w:val="24"/>
          <w:highlight w:val="none"/>
          <w:lang w:val="en-US" w:eastAsia="zh-CN" w:bidi="ar-SA"/>
        </w:rPr>
        <w:t xml:space="preserve">1</w:t>
      </w:r>
      <w:r>
        <w:rPr>
          <w:rFonts w:hint="eastAsia" w:ascii="宋体" w:hAnsi="宋体" w:eastAsia="宋体" w:cs="宋体"/>
          <w:b/>
          <w:bCs/>
          <w:color w:val="000000" w:themeColor="text1"/>
          <w:sz w:val="24"/>
          <w:szCs w:val="24"/>
          <w:highlight w:val="none"/>
          <w:lang w:val="en-US" w:eastAsia="zh-CN" w:bidi="ar-SA"/>
        </w:rPr>
        <w:fldChar w:fldCharType="end"/>
      </w:r>
      <w:r>
        <w:rPr>
          <w:rFonts w:hint="eastAsia" w:ascii="宋体" w:hAnsi="宋体" w:cs="宋体"/>
          <w:b/>
          <w:bCs/>
          <w:color w:val="000000" w:themeColor="text1"/>
          <w:sz w:val="24"/>
          <w:szCs w:val="24"/>
          <w:highlight w:val="none"/>
          <w:lang w:val="en-US" w:eastAsia="zh-CN" w:bidi="ar-SA"/>
        </w:rPr>
        <w:t xml:space="preserve">0</w:t>
      </w:r>
      <w:r>
        <w:rPr>
          <w:rFonts w:hint="eastAsia" w:ascii="宋体" w:hAnsi="宋体" w:eastAsia="宋体" w:cs="宋体"/>
          <w:b/>
          <w:bCs/>
          <w:color w:val="000000" w:themeColor="text1"/>
          <w:sz w:val="24"/>
          <w:szCs w:val="24"/>
          <w:highlight w:val="none"/>
          <w:lang w:val="en-US" w:eastAsia="zh-CN" w:bidi="ar-SA"/>
        </w:rPr>
        <w:t xml:space="preserve">  测站水质测定流程示意图</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3）主要设备参数如下：</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①数据采集终端</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数据采集终端集水质信息自动采集、处理、存储于一体，主要技术指标参数如下：</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（A）符合《水文自动测报系统设备遥测终端机》（SL180-2015）标准；</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（B）符合《水文监测数据通信规约》（SL 651-2014）、《水资源监测数据传输规约》（SZY 206-2016）；</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（C）具有CSTC中国软件评测中心出具的软件产品登记测试报告；</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（D）采集要素可单独设置采集间隔、存储间隔和报送间隔，并可根据用户需求灵活设置上述时间间隔。支持增量报、加报、定时报等不同组合的报送模式；</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（E）工作环境：温度-10℃~＋55℃，湿度≤95%（40℃）；</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（F）接口要求：具备RS485、RS232、4-20mA、开关量等多种接口，外部接口具有光电隔离装置；</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（G）时钟系统具有RTC掉电保护、与接收平台实时校准功能；</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（H）态存储芯片容量≥32MB，能保存测站不少于12个月的所有数据，具有数据掉电保护功能，具有远程查询历史数据和召测功能；</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（I）供电电源：直流供电（10.8V~14.4V）；</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（J）工作电流：≤5mA；（不含通信装置）；</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（K）待机电流：≤0.2mA；（不含通信装置）；</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（L）其他要求：具有本地/远程RTU参数（工作模式、报送频次、加报阈值、目的地地址等）查询修改功能；具有自动监测发送蓄电池电压等监测站状态信息功能，具有状态自检和定时自动复位、远程复位功能。</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②触摸控制屏</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用于现场手动控制球阀、水泵、照明灯控制元件，与</w:t>
      </w:r>
      <w:r>
        <w:rPr>
          <w:rFonts w:hint="eastAsia" w:ascii="宋体" w:hAnsi="宋体" w:cs="宋体"/>
          <w:color w:val="000000" w:themeColor="text1"/>
          <w:sz w:val="24"/>
          <w:szCs w:val="24"/>
          <w:highlight w:val="none"/>
          <w:lang w:val="en-US" w:eastAsia="zh-CN" w:bidi="ar-SA"/>
        </w:rPr>
        <w:t xml:space="preserve">PLC</w:t>
      </w:r>
      <w:r>
        <w:rPr>
          <w:rFonts w:hint="eastAsia" w:ascii="宋体" w:hAnsi="宋体" w:eastAsia="宋体" w:cs="宋体"/>
          <w:color w:val="000000" w:themeColor="text1"/>
          <w:sz w:val="24"/>
          <w:szCs w:val="24"/>
          <w:highlight w:val="none"/>
          <w:lang w:val="en-US" w:eastAsia="zh-CN" w:bidi="ar-SA"/>
        </w:rPr>
        <w:t xml:space="preserve">连接，配套手动按钮开关，控制屏幕的电源。</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类型：触摸屏；</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电压：DC24V；</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分辨率：≥800*480；</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尺寸：≥10英寸。</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③PLC模块组件</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AI输出单元：≥8点，4～20mA/-10V～+10V/0V～+10V/-5V～+5V/0～+5V/0～20mA输入；DI输入单元：≥32点，24VDC晶体管输出方式，具备保险丝保护、密码锁等功能及智能模块，实现自诊断故障重启功能；CPU主机程序和数据存储容量512KB，配备有双网口、内置2路RS485通讯接口，MODBUS主从规约，支持浮点数运算，支持MQTT协议，可集成4G通信板、可以实现对程序进行上下载功能，自带实时时钟，具有watchdog功能、带有断电保护。</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配置配备现场数据处理终端，设备参数如下：</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屏幕尺寸：14.2英寸；</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内存容量：32G；</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硬盘容量：2T；</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无线网卡：单天线WiFi 6；</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软件：OFD版式软件/办公软件/杀毒软件；</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桌面操作系统：鸿蒙；</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整机质保：3年。</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④电源转换模块：共计2套，1套48V转24V，输出直流电压：12V，额定电流：10A；1套24转12V，输出直流电压：12V；额定电流：10A。</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⑤直流电源避雷器：标称工作电压Un：48VDC；最大持续工作电压Uc：85VDC；响应时间：≤25 ns；安装方式：标准导轨安装。</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⑥信号避雷器：规格：导轨式12V；接口类型：接线端子；额定工作电压Un：12V；电压保护水平Upx-x（1.2/50μs）：40V，最大放电电流Imax（8/20μs）：10kA。</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⑦测站控制软件</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软件主要实现系统控制、数据的接收、存储、水质原始数据分析、数据查询展示、电量监控、环境监控等功能。具体包括：</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A）系统运行控制：实现系统的取水、沉沙预处理、进样、启动各监测仪表监测分析、系统清洗整个监测过程的自动控制。按配置定时启动系统，实现系统的自动运行功能；具备远程控制，响应中心站远程指令实时启动系统自动启停；实现系统的取水、水质参数监测分析、清洗等流程的控制，并能分别实现自动与手动控制。</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（B）实现对主要运行参数和控制流程的配置及修改功能，如系统流程设置、采样时间、监测频次等。</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（C）实时接收水质运行系统数据，包括常六、氨氮总氮总磷、叶绿素a，其中常六、叶绿素a实现分层采样数据接收处理，实现仪器设备监测分析数据以及系统状态信息的采集、处理、储存。</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（D）自动监控太阳能供电，根据太阳能供电情况判断是否启动水质自动监测系统。</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（E）自动监控测站环境温湿度信息，并判断是否异常，异常及时报警。</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（F）自动监控分析仪表运行状态及球阀、液位开关等辅助设备实时状态，更新测站运行状态信息，并判断是否正常，异常情况及时报警。</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（G）自动监控电池运行状态信息，包括输入电压、输出电压、电池容量以及设备故障报警信息等，出现异常时及时产生告警信息。</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H）支持北斗3通信协议水质数据、雨量数据传输，4G通信故障时水文数据自动切换至北斗3通信方式传输，需将监测站点采集的水质监测数据，依据太湖局水资源监测数据通信规约完成报文编报，通过北斗终端设备发送报文至太湖局指挥机统一接收、解析，最终在太湖局采集平台实现数据可视化展示。</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（I）采集的数据利用网络传输至数据处理中心，实现远程传输和实时监测。</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（J）水文数据展示方式以表格和二维图形式展现。</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（K）将测站的监测数据、实时工况、仪表及系统告警信息上传发送至后端监控平台。</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（L）在运维软件中加载和显示测站实时状态、运维信息和数据的合理性分析等。</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（M）消息队列服务：根据测站与中心站工况信息实时（秒级）上报、图像智能识别海量数据处理等业务需求，基于开源的消息队列（Message Queue）框架，构建消息队列服务模块，包括消息主题管理、消息发送与接收、消息可靠性保证、监控与管理、安全与权限等子模块。消息队列，是指一种存储和传递消息的机制。生产者负责向消息队列中发送消息，而消费者则从队列中接收和处理这些消息。消息队列服务指针对MQ、进行统一管理和集成，实现不同MQ之间的互联互通、统一管理和监控。</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⑧自动质量控制系统</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实现对氨氮、总氮、总磷等水质自动分析仪器进行自动标样核查。系统具备远程质控、超预警质控、定时质控等控制方式，由中心站远程发布质控操作指令、设备监测数据超过设定限制或者系统设定周期自动运行指令启动仪表标样核查。系统根据标样核查数据分析当前水质自动分析仪的工作状态以及数据偏差情况，从而进一步分析判断水质分析数据有效性。</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outlineLvl w:val="3"/>
      </w:pPr>
      <w:r>
        <w:rPr>
          <w:rFonts w:hint="eastAsia" w:ascii="宋体" w:hAnsi="宋体" w:eastAsia="宋体" w:cs="宋体"/>
          <w:color w:val="000000" w:themeColor="text1"/>
          <w:sz w:val="24"/>
          <w:szCs w:val="24"/>
          <w:highlight w:val="none"/>
          <w:lang w:val="en-US" w:eastAsia="zh-CN" w:bidi="ar-SA"/>
        </w:rPr>
        <w:t xml:space="preserve">（6）水质监测仪表单元</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水质分析单元由常规六参数分析仪、氨氮总磷总氮分析仪、叶绿素a分析仪组成。主要技术参数如下：</w:t>
      </w:r>
      <w:r>
        <w:rPr>
          <w:color w:val="000000" w:themeColor="text1"/>
        </w:rPr>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outlineLvl w:val="5"/>
      </w:pPr>
      <w:r>
        <w:rPr>
          <w:rFonts w:hint="eastAsia" w:ascii="宋体" w:hAnsi="宋体" w:eastAsia="宋体" w:cs="宋体"/>
          <w:b w:val="0"/>
          <w:bCs w:val="0"/>
          <w:color w:val="000000" w:themeColor="text1"/>
          <w:sz w:val="24"/>
          <w:szCs w:val="24"/>
          <w:highlight w:val="none"/>
          <w:lang w:val="en-US" w:eastAsia="zh-CN" w:bidi="ar-SA"/>
        </w:rPr>
        <w:t xml:space="preserve">①常规六参数分析仪</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常规六参数监测项目包括：水温、pH、溶解氧、电导率、氧化还原电位及浊度六项，应具备安装简单、使用方便、可靠实用的特点。对市场上常见的三款设备进行对比分析，对比分析表如下所示。</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仪器将监测数据存储在外置或内置的存储模块上，并可通过标准的RS232接口提取数据，实现在线监测。通过选用不同测量参数的传感探头组合而成，可以集成监测水温、pH、溶解氧（DO）、电导率、氧化还原电位（ORP）、浊度等参数，应具备安装简单、使用方便、可靠实用的特点。主要技术指标如下：</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cs="宋体"/>
          <w:b/>
          <w:bCs/>
          <w:color w:val="000000" w:themeColor="text1"/>
          <w:sz w:val="24"/>
          <w:szCs w:val="24"/>
          <w:highlight w:val="none"/>
          <w:lang w:val="en-US" w:eastAsia="zh-CN" w:bidi="ar-SA"/>
        </w:rPr>
        <w:t xml:space="preserve">4</w:t>
      </w:r>
      <w:r>
        <w:rPr>
          <w:rFonts w:hint="eastAsia" w:ascii="宋体" w:hAnsi="宋体" w:eastAsia="宋体" w:cs="宋体"/>
          <w:b/>
          <w:bCs/>
          <w:color w:val="000000" w:themeColor="text1"/>
          <w:sz w:val="24"/>
          <w:szCs w:val="24"/>
          <w:highlight w:val="none"/>
          <w:lang w:val="en-US" w:eastAsia="zh-CN" w:bidi="ar-SA"/>
        </w:rPr>
        <w:t xml:space="preserve">  水温主要技术指标</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97"/>
        <w:gridCol w:w="5125"/>
      </w:tblGrid>
      <w:tr>
        <w:trPr>
          <w:jc w:val="center"/>
          <w:trHeight w:val="510" w:hRule="exact"/>
          <w:tblHeader/>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技术指标</w:t>
            </w:r>
            <w:r>
              <w:rPr>
                <w:color w:val="000000" w:themeColor="text1"/>
              </w:rPr>
            </w:r>
            <w:r/>
          </w:p>
        </w:tc>
      </w:tr>
      <w:tr>
        <w:trPr>
          <w:jc w:val="center"/>
          <w:trHeight w:val="510" w:hRule="exact"/>
          <w:tblHeader/>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测量方法</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热敏电阻法</w:t>
            </w:r>
            <w:r>
              <w:rPr>
                <w:color w:val="000000" w:themeColor="text1"/>
              </w:rPr>
            </w:r>
            <w:r/>
          </w:p>
        </w:tc>
      </w:tr>
      <w:tr>
        <w:trPr>
          <w:jc w:val="center"/>
          <w:trHeight w:val="510" w:hRule="exact"/>
          <w:tblHeader/>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测定范围</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0～60.0℃</w:t>
            </w:r>
            <w:r>
              <w:rPr>
                <w:color w:val="000000" w:themeColor="text1"/>
              </w:rPr>
            </w:r>
            <w:r/>
          </w:p>
        </w:tc>
      </w:tr>
      <w:tr>
        <w:trPr>
          <w:jc w:val="center"/>
          <w:trHeight w:val="510" w:hRule="exact"/>
          <w:tblHeader/>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测量准确度</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±0.5℃</w:t>
            </w:r>
            <w:r>
              <w:rPr>
                <w:color w:val="000000" w:themeColor="text1"/>
              </w:rPr>
            </w:r>
            <w:r/>
          </w:p>
        </w:tc>
      </w:tr>
      <w:tr>
        <w:trPr>
          <w:jc w:val="center"/>
          <w:trHeight w:val="510" w:hRule="exact"/>
          <w:tblHeader/>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分辨率</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t xml:space="preserve">0.1℃</w:t>
            </w:r>
            <w:r>
              <w:rPr>
                <w:color w:val="000000" w:themeColor="text1"/>
              </w:rPr>
            </w:r>
            <w:r/>
          </w:p>
        </w:tc>
      </w:tr>
      <w:tr>
        <w:trPr>
          <w:jc w:val="center"/>
          <w:trHeight w:val="510" w:hRule="exact"/>
          <w:tblHeader/>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MTBF</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≥720H/次</w:t>
            </w:r>
            <w:r>
              <w:rPr>
                <w:color w:val="000000" w:themeColor="text1"/>
              </w:rPr>
            </w:r>
            <w:r/>
          </w:p>
        </w:tc>
      </w:tr>
      <w:tr>
        <w:trPr>
          <w:jc w:val="center"/>
          <w:trHeight w:val="510" w:hRule="exact"/>
          <w:tblHeader/>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通讯协议</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MODBUS或MODBUS/TCP</w:t>
            </w:r>
            <w:r>
              <w:rPr>
                <w:color w:val="000000" w:themeColor="text1"/>
              </w:rPr>
            </w:r>
            <w:r/>
          </w:p>
        </w:tc>
      </w:tr>
    </w:tbl>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cs="宋体"/>
          <w:b/>
          <w:bCs/>
          <w:color w:val="000000" w:themeColor="text1"/>
          <w:sz w:val="24"/>
          <w:szCs w:val="24"/>
          <w:highlight w:val="none"/>
          <w:lang w:val="en-US" w:eastAsia="zh-CN" w:bidi="ar-SA"/>
        </w:rPr>
        <w:t xml:space="preserve">5</w:t>
      </w:r>
      <w:r>
        <w:rPr>
          <w:rFonts w:hint="eastAsia" w:ascii="宋体" w:hAnsi="宋体" w:eastAsia="宋体" w:cs="宋体"/>
          <w:b/>
          <w:bCs/>
          <w:color w:val="000000" w:themeColor="text1"/>
          <w:sz w:val="24"/>
          <w:szCs w:val="24"/>
          <w:highlight w:val="none"/>
          <w:lang w:val="en-US" w:eastAsia="zh-CN" w:bidi="ar-SA"/>
        </w:rPr>
        <w:t xml:space="preserve">  pH主要技术指标</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97"/>
        <w:gridCol w:w="5125"/>
      </w:tblGrid>
      <w:tr>
        <w:trPr>
          <w:jc w:val="center"/>
          <w:trHeight w:val="454" w:hRule="exact"/>
          <w:tblHeader/>
        </w:trPr>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w:t>
            </w:r>
            <w:r>
              <w:rPr>
                <w:color w:val="000000" w:themeColor="text1"/>
              </w:rPr>
            </w:r>
            <w:r/>
          </w:p>
        </w:tc>
        <w:tc>
          <w:tcPr>
            <w:tcBorders>
              <w:top w:val="single" w:color="auto" w:sz="4" w:space="0"/>
              <w:left w:val="single" w:color="auto" w:sz="4" w:space="0"/>
              <w:bottom w:val="single" w:color="auto" w:sz="4" w:space="0"/>
              <w:right w:val="single" w:color="auto" w:sz="4" w:space="0"/>
            </w:tcBorders>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技术指标</w:t>
            </w:r>
            <w:r>
              <w:rPr>
                <w:color w:val="000000" w:themeColor="text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测量方法</w:t>
            </w:r>
            <w:r>
              <w:rPr>
                <w:color w:val="000000" w:themeColor="text1"/>
              </w:rPr>
            </w:r>
            <w:r/>
          </w:p>
        </w:tc>
        <w:tc>
          <w:tcPr>
            <w:tcBorders>
              <w:top w:val="single" w:color="auto" w:sz="4" w:space="0"/>
              <w:left w:val="single" w:color="auto" w:sz="4" w:space="0"/>
              <w:bottom w:val="single" w:color="auto" w:sz="4" w:space="0"/>
              <w:right w:val="single" w:color="auto" w:sz="4" w:space="0"/>
            </w:tcBorders>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玻璃电极法</w:t>
            </w:r>
            <w:r>
              <w:rPr>
                <w:color w:val="000000" w:themeColor="text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测定范围</w:t>
            </w:r>
            <w:r>
              <w:rPr>
                <w:color w:val="000000" w:themeColor="text1"/>
              </w:rPr>
            </w:r>
            <w:r/>
          </w:p>
        </w:tc>
        <w:tc>
          <w:tcPr>
            <w:tcBorders>
              <w:top w:val="single" w:color="auto" w:sz="4" w:space="0"/>
              <w:left w:val="single" w:color="auto" w:sz="4" w:space="0"/>
              <w:bottom w:val="single" w:color="auto" w:sz="4" w:space="0"/>
              <w:right w:val="single" w:color="auto" w:sz="4" w:space="0"/>
            </w:tcBorders>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0.00～14.00 pH</w:t>
            </w:r>
            <w:r>
              <w:rPr>
                <w:color w:val="000000" w:themeColor="text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重复性</w:t>
            </w:r>
            <w:r>
              <w:rPr>
                <w:color w:val="000000" w:themeColor="text1"/>
              </w:rPr>
            </w:r>
            <w:r/>
          </w:p>
        </w:tc>
        <w:tc>
          <w:tcPr>
            <w:tcBorders>
              <w:top w:val="single" w:color="auto" w:sz="4" w:space="0"/>
              <w:left w:val="single" w:color="auto" w:sz="4" w:space="0"/>
              <w:bottom w:val="single" w:color="auto" w:sz="4" w:space="0"/>
              <w:right w:val="single" w:color="auto" w:sz="4" w:space="0"/>
            </w:tcBorders>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±0.1 pH </w:t>
            </w:r>
            <w:r>
              <w:rPr>
                <w:color w:val="000000" w:themeColor="text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分辨率</w:t>
            </w:r>
            <w:r>
              <w:rPr>
                <w:color w:val="000000" w:themeColor="text1"/>
              </w:rPr>
            </w:r>
            <w:r/>
          </w:p>
        </w:tc>
        <w:tc>
          <w:tcPr>
            <w:tcBorders>
              <w:top w:val="single" w:color="auto" w:sz="4" w:space="0"/>
              <w:left w:val="single" w:color="auto" w:sz="4" w:space="0"/>
              <w:bottom w:val="single" w:color="auto" w:sz="4" w:space="0"/>
              <w:right w:val="single" w:color="auto" w:sz="4" w:space="0"/>
            </w:tcBorders>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0.01 pH</w:t>
            </w:r>
            <w:r>
              <w:rPr>
                <w:color w:val="000000" w:themeColor="text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温度补偿精度</w:t>
            </w:r>
            <w:r>
              <w:rPr>
                <w:color w:val="000000" w:themeColor="text1"/>
              </w:rPr>
            </w:r>
            <w:r/>
          </w:p>
        </w:tc>
        <w:tc>
          <w:tcPr>
            <w:tcBorders>
              <w:top w:val="single" w:color="auto" w:sz="4" w:space="0"/>
              <w:left w:val="single" w:color="auto" w:sz="4" w:space="0"/>
              <w:bottom w:val="single" w:color="auto" w:sz="4" w:space="0"/>
              <w:right w:val="single" w:color="auto" w:sz="4" w:space="0"/>
            </w:tcBorders>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±0.1 pH </w:t>
            </w:r>
            <w:r>
              <w:rPr>
                <w:color w:val="000000" w:themeColor="text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MTBF</w:t>
            </w:r>
            <w:r>
              <w:rPr>
                <w:color w:val="000000" w:themeColor="text1"/>
              </w:rPr>
            </w:r>
            <w:r/>
          </w:p>
        </w:tc>
        <w:tc>
          <w:tcPr>
            <w:tcBorders>
              <w:top w:val="single" w:color="auto" w:sz="4" w:space="0"/>
              <w:left w:val="single" w:color="auto" w:sz="4" w:space="0"/>
              <w:bottom w:val="single" w:color="auto" w:sz="4" w:space="0"/>
              <w:right w:val="single" w:color="auto" w:sz="4" w:space="0"/>
            </w:tcBorders>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≥720H/次</w:t>
            </w:r>
            <w:r>
              <w:rPr>
                <w:color w:val="000000" w:themeColor="text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自动检测功能</w:t>
            </w:r>
            <w:r>
              <w:rPr>
                <w:color w:val="000000" w:themeColor="text1"/>
              </w:rPr>
            </w:r>
            <w:r/>
          </w:p>
        </w:tc>
        <w:tc>
          <w:tcPr>
            <w:tcBorders>
              <w:top w:val="single" w:color="auto" w:sz="4" w:space="0"/>
              <w:left w:val="single" w:color="auto" w:sz="4" w:space="0"/>
              <w:bottom w:val="single" w:color="auto" w:sz="4" w:space="0"/>
              <w:right w:val="single" w:color="auto" w:sz="4" w:space="0"/>
            </w:tcBorders>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电极破损自监测功能，电极损坏报警</w:t>
            </w:r>
            <w:r>
              <w:rPr>
                <w:color w:val="000000" w:themeColor="text1"/>
              </w:rPr>
            </w:r>
            <w:r/>
          </w:p>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r>
            <w:r>
              <w:rPr>
                <w:color w:val="000000" w:themeColor="text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通讯协议</w:t>
            </w:r>
            <w:r>
              <w:rPr>
                <w:color w:val="000000" w:themeColor="text1"/>
              </w:rPr>
            </w:r>
            <w:r/>
          </w:p>
        </w:tc>
        <w:tc>
          <w:tcPr>
            <w:tcBorders>
              <w:top w:val="single" w:color="auto" w:sz="4" w:space="0"/>
              <w:left w:val="single" w:color="auto" w:sz="4" w:space="0"/>
              <w:bottom w:val="single" w:color="auto" w:sz="4" w:space="0"/>
              <w:right w:val="single" w:color="auto" w:sz="4" w:space="0"/>
            </w:tcBorders>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MODBUS或MODBUS/TCP</w:t>
            </w:r>
            <w:r>
              <w:rPr>
                <w:color w:val="000000" w:themeColor="text1"/>
              </w:rPr>
            </w:r>
            <w:r/>
          </w:p>
        </w:tc>
      </w:tr>
    </w:tbl>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表1-</w:t>
      </w:r>
      <w:r>
        <w:rPr>
          <w:rFonts w:hint="eastAsia" w:ascii="宋体" w:hAnsi="宋体" w:cs="宋体"/>
          <w:b/>
          <w:bCs/>
          <w:color w:val="000000" w:themeColor="text1"/>
          <w:sz w:val="24"/>
          <w:szCs w:val="24"/>
          <w:highlight w:val="none"/>
          <w:lang w:val="en-US" w:eastAsia="zh-CN" w:bidi="ar-SA"/>
        </w:rPr>
        <w:t xml:space="preserve">6</w:t>
      </w:r>
      <w:r>
        <w:rPr>
          <w:rFonts w:hint="eastAsia" w:ascii="宋体" w:hAnsi="宋体" w:eastAsia="宋体" w:cs="宋体"/>
          <w:b/>
          <w:bCs/>
          <w:color w:val="000000" w:themeColor="text1"/>
          <w:sz w:val="24"/>
          <w:szCs w:val="24"/>
          <w:highlight w:val="none"/>
          <w:lang w:val="en-US" w:eastAsia="zh-CN" w:bidi="ar-SA"/>
        </w:rPr>
        <w:t xml:space="preserve">  电导率值主要技术指标</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97"/>
        <w:gridCol w:w="5125"/>
      </w:tblGrid>
      <w:tr>
        <w:trPr>
          <w:jc w:val="center"/>
          <w:trHeight w:val="454" w:hRule="exact"/>
          <w:tblHeader/>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技术指标</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测量方法</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电极法</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测定范围</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t xml:space="preserve">0～200mS/cm</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重复性误差</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 </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分辨率</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0.01uS/cm~1ms/cm（根据量程范围确定）</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温度补偿精度</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MTBF</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≥720H/次</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通讯协议</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MODBUS或MODBUS/TCP</w:t>
            </w:r>
            <w:r>
              <w:rPr>
                <w:color w:val="000000" w:themeColor="text1"/>
              </w:rPr>
            </w:r>
            <w:r/>
          </w:p>
        </w:tc>
      </w:tr>
    </w:tbl>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cs="宋体"/>
          <w:b/>
          <w:bCs/>
          <w:color w:val="000000" w:themeColor="text1"/>
          <w:sz w:val="24"/>
          <w:szCs w:val="24"/>
          <w:highlight w:val="none"/>
          <w:lang w:val="en-US" w:eastAsia="zh-CN" w:bidi="ar-SA"/>
        </w:rPr>
        <w:t xml:space="preserve">7</w:t>
      </w:r>
      <w:r>
        <w:rPr>
          <w:rFonts w:hint="eastAsia" w:ascii="宋体" w:hAnsi="宋体" w:eastAsia="宋体" w:cs="宋体"/>
          <w:b/>
          <w:bCs/>
          <w:color w:val="000000" w:themeColor="text1"/>
          <w:sz w:val="24"/>
          <w:szCs w:val="24"/>
          <w:highlight w:val="none"/>
          <w:lang w:val="en-US" w:eastAsia="zh-CN" w:bidi="ar-SA"/>
        </w:rPr>
        <w:t xml:space="preserve">  溶解氧主要技术指标</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97"/>
        <w:gridCol w:w="5125"/>
      </w:tblGrid>
      <w:tr>
        <w:trPr>
          <w:jc w:val="center"/>
          <w:trHeight w:val="454" w:hRule="exact"/>
          <w:tblHeader/>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技术指标</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测量方法</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荧光法</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测定范围</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0.00～20.00mg/L</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准确度</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bCs/>
                <w:color w:val="000000" w:themeColor="text1"/>
                <w:sz w:val="24"/>
                <w:szCs w:val="24"/>
                <w:highlight w:val="none"/>
                <w:lang w:val="en-US" w:eastAsia="zh-CN" w:bidi="ar-SA"/>
              </w:rPr>
              <w:t xml:space="preserve">≤0.3 mg/L</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重复性</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≤0.3 mg/L</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分辨率</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0.01mg/L</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温度补偿</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自动进行温度补偿</w:t>
            </w:r>
            <w:r>
              <w:rPr>
                <w:color w:val="000000" w:themeColor="text1"/>
              </w:rPr>
            </w:r>
            <w:r/>
          </w:p>
        </w:tc>
      </w:tr>
      <w:tr>
        <w:trPr>
          <w:jc w:val="center"/>
          <w:trHeight w:val="454" w:hRule="exact"/>
        </w:trPr>
        <w:tc>
          <w:tcPr>
            <w:tcW w:w="33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通讯协议</w:t>
            </w:r>
            <w:r>
              <w:rPr>
                <w:color w:val="000000" w:themeColor="text1"/>
              </w:rPr>
            </w:r>
            <w:r/>
          </w:p>
        </w:tc>
        <w:tc>
          <w:tcPr>
            <w:tcW w:w="51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MODBUS或MODBUS/TCP</w:t>
            </w:r>
            <w:r>
              <w:rPr>
                <w:color w:val="000000" w:themeColor="text1"/>
              </w:rPr>
            </w:r>
            <w:r/>
          </w:p>
        </w:tc>
      </w:tr>
    </w:tbl>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cs="宋体"/>
          <w:b/>
          <w:bCs/>
          <w:color w:val="000000" w:themeColor="text1"/>
          <w:sz w:val="24"/>
          <w:szCs w:val="24"/>
          <w:highlight w:val="none"/>
          <w:lang w:val="en-US" w:eastAsia="zh-CN" w:bidi="ar-SA"/>
        </w:rPr>
        <w:t xml:space="preserve">8</w:t>
      </w:r>
      <w:r>
        <w:rPr>
          <w:rFonts w:hint="eastAsia" w:ascii="宋体" w:hAnsi="宋体" w:eastAsia="宋体" w:cs="宋体"/>
          <w:b/>
          <w:bCs/>
          <w:color w:val="000000" w:themeColor="text1"/>
          <w:sz w:val="24"/>
          <w:szCs w:val="24"/>
          <w:highlight w:val="none"/>
          <w:lang w:val="en-US" w:eastAsia="zh-CN" w:bidi="ar-SA"/>
        </w:rPr>
        <w:t xml:space="preserve">  浊度主要技术指标</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25"/>
        <w:gridCol w:w="5097"/>
      </w:tblGrid>
      <w:tr>
        <w:trPr>
          <w:jc w:val="center"/>
          <w:trHeight w:val="454"/>
          <w:tblHeader/>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技术指标</w:t>
            </w:r>
            <w:r>
              <w:rPr>
                <w:color w:val="000000" w:themeColor="text1"/>
              </w:rPr>
            </w:r>
            <w:r/>
          </w:p>
        </w:tc>
      </w:tr>
      <w:tr>
        <w:trPr>
          <w:jc w:val="center"/>
          <w:trHeight w:val="454"/>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测量方法</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光散射法</w:t>
            </w:r>
            <w:r>
              <w:rPr>
                <w:color w:val="000000" w:themeColor="text1"/>
              </w:rPr>
            </w:r>
            <w:r/>
          </w:p>
        </w:tc>
      </w:tr>
      <w:tr>
        <w:trPr>
          <w:jc w:val="center"/>
          <w:trHeight w:val="454"/>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测定范围</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t xml:space="preserve">0-4000 NTU/FNU</w:t>
            </w:r>
            <w:r>
              <w:rPr>
                <w:color w:val="000000" w:themeColor="text1"/>
              </w:rPr>
            </w:r>
            <w:r/>
          </w:p>
        </w:tc>
      </w:tr>
      <w:tr>
        <w:trPr>
          <w:jc w:val="center"/>
          <w:trHeight w:val="454"/>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重复性</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±1%FS</w:t>
            </w:r>
            <w:r>
              <w:rPr>
                <w:color w:val="000000" w:themeColor="text1"/>
              </w:rPr>
            </w:r>
            <w:r/>
          </w:p>
        </w:tc>
      </w:tr>
      <w:tr>
        <w:trPr>
          <w:jc w:val="center"/>
          <w:trHeight w:val="454"/>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分辨率</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0.001</w:t>
            </w:r>
            <w:r>
              <w:rPr>
                <w:color w:val="000000" w:themeColor="text1"/>
              </w:rPr>
            </w:r>
            <w:r/>
          </w:p>
        </w:tc>
      </w:tr>
      <w:tr>
        <w:trPr>
          <w:jc w:val="center"/>
          <w:trHeight w:val="454"/>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自动清洗</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自动清洗功能</w:t>
            </w:r>
            <w:r>
              <w:rPr>
                <w:color w:val="000000" w:themeColor="text1"/>
              </w:rPr>
            </w:r>
            <w:r/>
          </w:p>
        </w:tc>
      </w:tr>
      <w:tr>
        <w:trPr>
          <w:jc w:val="center"/>
          <w:trHeight w:val="454"/>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MTBF</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≥720H/次</w:t>
            </w:r>
            <w:r>
              <w:rPr>
                <w:color w:val="000000" w:themeColor="text1"/>
              </w:rPr>
            </w:r>
            <w:r/>
          </w:p>
        </w:tc>
      </w:tr>
      <w:tr>
        <w:trPr>
          <w:jc w:val="center"/>
          <w:trHeight w:val="454"/>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通讯协议</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MODBUS或MODBUS/TCP</w:t>
            </w:r>
            <w:r>
              <w:rPr>
                <w:color w:val="000000" w:themeColor="text1"/>
              </w:rPr>
            </w:r>
            <w:r/>
          </w:p>
        </w:tc>
      </w:tr>
    </w:tbl>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cs="宋体"/>
          <w:b/>
          <w:bCs/>
          <w:color w:val="000000" w:themeColor="text1"/>
          <w:sz w:val="24"/>
          <w:szCs w:val="24"/>
          <w:highlight w:val="none"/>
          <w:lang w:val="en-US" w:eastAsia="zh-CN" w:bidi="ar-SA"/>
        </w:rPr>
        <w:t xml:space="preserve">9</w:t>
      </w:r>
      <w:r>
        <w:rPr>
          <w:rFonts w:hint="eastAsia" w:ascii="宋体" w:hAnsi="宋体" w:eastAsia="宋体" w:cs="宋体"/>
          <w:b/>
          <w:bCs/>
          <w:color w:val="000000" w:themeColor="text1"/>
          <w:sz w:val="24"/>
          <w:szCs w:val="24"/>
          <w:highlight w:val="none"/>
          <w:lang w:val="en-US" w:eastAsia="zh-CN" w:bidi="ar-SA"/>
        </w:rPr>
        <w:t xml:space="preserve">  氧化还原电位主要技术指标</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25"/>
        <w:gridCol w:w="5097"/>
      </w:tblGrid>
      <w:tr>
        <w:trPr>
          <w:jc w:val="center"/>
          <w:trHeight w:val="510"/>
          <w:tblHeader/>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项目</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技术指标</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测量方法</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玻璃电极法</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测定范围</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t xml:space="preserve">-2000 mV～+2000 mV</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准确性</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 20 mV</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分辨率</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1mV</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仪器结构</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可单独更换测量电极 具备闪电防护功能</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通讯协议</w:t>
            </w:r>
            <w:r>
              <w:rPr>
                <w:color w:val="000000" w:themeColor="text1"/>
              </w:rPr>
            </w:r>
            <w:r/>
          </w:p>
        </w:tc>
        <w:tc>
          <w:tcPr>
            <w:tcBorders>
              <w:top w:val="single" w:color="auto" w:sz="4" w:space="0"/>
              <w:left w:val="single" w:color="auto" w:sz="4" w:space="0"/>
              <w:bottom w:val="single" w:color="auto" w:sz="4" w:space="0"/>
              <w:right w:val="single" w:color="auto" w:sz="4" w:space="0"/>
            </w:tcBorders>
            <w:tcW w:w="5097"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MODBUS或MODBUS/TCP</w:t>
            </w:r>
            <w:r>
              <w:rPr>
                <w:color w:val="000000" w:themeColor="text1"/>
              </w:rPr>
            </w:r>
            <w:r/>
          </w:p>
        </w:tc>
      </w:tr>
    </w:tbl>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outlineLvl w:val="5"/>
      </w:pPr>
      <w:r>
        <w:rPr>
          <w:rFonts w:hint="eastAsia" w:ascii="宋体" w:hAnsi="宋体" w:eastAsia="宋体" w:cs="宋体"/>
          <w:b w:val="0"/>
          <w:bCs w:val="0"/>
          <w:color w:val="000000" w:themeColor="text1"/>
          <w:sz w:val="24"/>
          <w:szCs w:val="24"/>
          <w:highlight w:val="none"/>
          <w:lang w:val="en-US" w:eastAsia="zh-CN" w:bidi="ar-SA"/>
        </w:rPr>
        <w:t xml:space="preserve">②氨氮总氮总磷分析仪</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适用于连续在线检测；具有数据自动存储功能；仪器应具备操作简便，运行维护简单、易于清洗、维护费用低、可靠耐用的特点；测试方法符合我国现行的标准和规范；输出信号RS232/RS485。主要技术指标如下：</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eastAsia="宋体" w:cs="宋体"/>
          <w:b/>
          <w:bCs/>
          <w:color w:val="000000" w:themeColor="text1"/>
          <w:sz w:val="24"/>
          <w:szCs w:val="24"/>
          <w:highlight w:val="none"/>
          <w:lang w:val="en-US" w:eastAsia="zh-CN" w:bidi="ar-SA"/>
        </w:rPr>
        <w:fldChar w:fldCharType="begin"/>
      </w:r>
      <w:r>
        <w:rPr>
          <w:rFonts w:hint="eastAsia" w:ascii="宋体" w:hAnsi="宋体" w:eastAsia="宋体" w:cs="宋体"/>
          <w:b/>
          <w:bCs/>
          <w:color w:val="000000" w:themeColor="text1"/>
          <w:sz w:val="24"/>
          <w:szCs w:val="24"/>
          <w:highlight w:val="none"/>
          <w:lang w:val="en-US" w:eastAsia="zh-CN" w:bidi="ar-SA"/>
        </w:rPr>
        <w:instrText xml:space="preserve"> SEQ 表 \* ARABIC \s 1 </w:instrText>
      </w:r>
      <w:r>
        <w:rPr>
          <w:rFonts w:hint="eastAsia" w:ascii="宋体" w:hAnsi="宋体" w:eastAsia="宋体" w:cs="宋体"/>
          <w:b/>
          <w:bCs/>
          <w:color w:val="000000" w:themeColor="text1"/>
          <w:sz w:val="24"/>
          <w:szCs w:val="24"/>
          <w:highlight w:val="none"/>
          <w:lang w:val="en-US" w:eastAsia="zh-CN" w:bidi="ar-SA"/>
        </w:rPr>
        <w:fldChar w:fldCharType="separate"/>
      </w:r>
      <w:r>
        <w:rPr>
          <w:rFonts w:hint="eastAsia" w:ascii="宋体" w:hAnsi="宋体" w:eastAsia="宋体" w:cs="宋体"/>
          <w:b/>
          <w:bCs/>
          <w:color w:val="000000" w:themeColor="text1"/>
          <w:sz w:val="24"/>
          <w:szCs w:val="24"/>
          <w:highlight w:val="none"/>
          <w:lang w:val="en-US" w:eastAsia="zh-CN" w:bidi="ar-SA"/>
        </w:rPr>
        <w:t xml:space="preserve">1</w:t>
      </w:r>
      <w:r>
        <w:rPr>
          <w:rFonts w:hint="eastAsia" w:ascii="宋体" w:hAnsi="宋体" w:eastAsia="宋体" w:cs="宋体"/>
          <w:b/>
          <w:bCs/>
          <w:color w:val="000000" w:themeColor="text1"/>
          <w:sz w:val="24"/>
          <w:szCs w:val="24"/>
          <w:highlight w:val="none"/>
          <w:lang w:val="en-US" w:eastAsia="zh-CN" w:bidi="ar-SA"/>
        </w:rPr>
        <w:fldChar w:fldCharType="end"/>
      </w:r>
      <w:r>
        <w:rPr>
          <w:rFonts w:hint="eastAsia" w:ascii="宋体" w:hAnsi="宋体" w:cs="宋体"/>
          <w:b/>
          <w:bCs/>
          <w:color w:val="000000" w:themeColor="text1"/>
          <w:sz w:val="24"/>
          <w:szCs w:val="24"/>
          <w:highlight w:val="none"/>
          <w:lang w:val="en-US" w:eastAsia="zh-CN" w:bidi="ar-SA"/>
        </w:rPr>
        <w:t xml:space="preserve">0</w:t>
      </w:r>
      <w:r>
        <w:rPr>
          <w:rFonts w:hint="eastAsia" w:ascii="宋体" w:hAnsi="宋体" w:eastAsia="宋体" w:cs="宋体"/>
          <w:b/>
          <w:bCs/>
          <w:color w:val="000000" w:themeColor="text1"/>
          <w:sz w:val="24"/>
          <w:szCs w:val="24"/>
          <w:highlight w:val="none"/>
          <w:lang w:val="en-US" w:eastAsia="zh-CN" w:bidi="ar-SA"/>
        </w:rPr>
        <w:t xml:space="preserve">  氨氮总氮总磷分析仪主要技术指标</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336"/>
        <w:gridCol w:w="2375"/>
        <w:gridCol w:w="2266"/>
        <w:gridCol w:w="2435"/>
      </w:tblGrid>
      <w:tr>
        <w:trPr>
          <w:jc w:val="center"/>
          <w:trHeight w:val="510"/>
          <w:tblHeader/>
        </w:trPr>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检测方法</w:t>
            </w:r>
            <w:r>
              <w:rPr>
                <w:color w:val="000000" w:themeColor="text1"/>
              </w:rPr>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氨氮—水杨酸分光光度法</w:t>
            </w:r>
            <w:r>
              <w:rPr>
                <w:color w:val="000000" w:themeColor="text1"/>
              </w:rPr>
            </w:r>
            <w:r/>
          </w:p>
        </w:tc>
        <w:tc>
          <w:tcPr>
            <w:tcBorders>
              <w:top w:val="single" w:color="auto" w:sz="4" w:space="0"/>
              <w:left w:val="single" w:color="auto" w:sz="4" w:space="0"/>
              <w:bottom w:val="single" w:color="auto" w:sz="4" w:space="0"/>
              <w:right w:val="single" w:color="auto" w:sz="4" w:space="0"/>
            </w:tcBorders>
            <w:tcW w:w="2266" w:type="dxa"/>
            <w:vAlign w:val="center"/>
            <w:textDirection w:val="lrTb"/>
            <w:noWrap w:val="false"/>
          </w:tcPr>
          <w:p>
            <w:pPr>
              <w:jc w:val="center"/>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总氮—碱性过硫酸钾消解紫外分光光度法</w:t>
            </w:r>
            <w:r>
              <w:rPr>
                <w:color w:val="000000" w:themeColor="text1"/>
              </w:rPr>
            </w:r>
            <w:r/>
          </w:p>
        </w:tc>
        <w:tc>
          <w:tcPr>
            <w:tcBorders>
              <w:top w:val="single" w:color="auto" w:sz="4" w:space="0"/>
              <w:left w:val="single" w:color="auto" w:sz="4" w:space="0"/>
              <w:bottom w:val="single" w:color="auto" w:sz="4" w:space="0"/>
              <w:right w:val="single" w:color="auto" w:sz="4" w:space="0"/>
            </w:tcBorders>
            <w:tcW w:w="2435" w:type="dxa"/>
            <w:vAlign w:val="center"/>
            <w:textDirection w:val="lrTb"/>
            <w:noWrap w:val="false"/>
          </w:tcPr>
          <w:p>
            <w:pPr>
              <w:jc w:val="center"/>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总磷—钼酸铵分光光度法</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量 程</w:t>
            </w:r>
            <w:r>
              <w:rPr>
                <w:color w:val="000000" w:themeColor="text1"/>
              </w:rPr>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0~0.5mg/L</w:t>
            </w:r>
            <w:r>
              <w:rPr>
                <w:rFonts w:hint="eastAsia" w:ascii="宋体" w:hAnsi="宋体" w:eastAsia="宋体" w:cs="宋体"/>
                <w:bCs/>
                <w:color w:val="000000" w:themeColor="text1"/>
                <w:sz w:val="24"/>
                <w:szCs w:val="24"/>
                <w:highlight w:val="none"/>
                <w:lang w:val="en-US" w:eastAsia="en-US" w:bidi="ar-SA"/>
              </w:rPr>
              <w:t xml:space="preserve">（</w:t>
            </w:r>
            <w:r>
              <w:rPr>
                <w:rFonts w:hint="eastAsia" w:ascii="宋体" w:hAnsi="宋体" w:eastAsia="宋体" w:cs="宋体"/>
                <w:bCs/>
                <w:color w:val="000000" w:themeColor="text1"/>
                <w:sz w:val="24"/>
                <w:szCs w:val="24"/>
                <w:highlight w:val="none"/>
                <w:lang w:val="en-US" w:eastAsia="zh-CN" w:bidi="ar-SA"/>
              </w:rPr>
              <w:t xml:space="preserve">可调可扩展</w:t>
            </w:r>
            <w:r>
              <w:rPr>
                <w:rFonts w:hint="eastAsia" w:ascii="宋体" w:hAnsi="宋体" w:eastAsia="宋体" w:cs="宋体"/>
                <w:bCs/>
                <w:color w:val="000000" w:themeColor="text1"/>
                <w:sz w:val="24"/>
                <w:szCs w:val="24"/>
                <w:highlight w:val="none"/>
                <w:lang w:val="en-US" w:eastAsia="en-US"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226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0~10mg/L</w:t>
            </w:r>
            <w:r>
              <w:rPr>
                <w:rFonts w:hint="eastAsia" w:ascii="宋体" w:hAnsi="宋体" w:eastAsia="宋体" w:cs="宋体"/>
                <w:bCs/>
                <w:color w:val="000000" w:themeColor="text1"/>
                <w:sz w:val="24"/>
                <w:szCs w:val="24"/>
                <w:highlight w:val="none"/>
                <w:lang w:val="en-US" w:eastAsia="en-US" w:bidi="ar-SA"/>
              </w:rPr>
              <w:t xml:space="preserve">（</w:t>
            </w:r>
            <w:r>
              <w:rPr>
                <w:rFonts w:hint="eastAsia" w:ascii="宋体" w:hAnsi="宋体" w:eastAsia="宋体" w:cs="宋体"/>
                <w:bCs/>
                <w:color w:val="000000" w:themeColor="text1"/>
                <w:sz w:val="24"/>
                <w:szCs w:val="24"/>
                <w:highlight w:val="none"/>
                <w:lang w:val="en-US" w:eastAsia="zh-CN" w:bidi="ar-SA"/>
              </w:rPr>
              <w:t xml:space="preserve">可调可扩展</w:t>
            </w:r>
            <w:r>
              <w:rPr>
                <w:rFonts w:hint="eastAsia" w:ascii="宋体" w:hAnsi="宋体" w:eastAsia="宋体" w:cs="宋体"/>
                <w:bCs/>
                <w:color w:val="000000" w:themeColor="text1"/>
                <w:sz w:val="24"/>
                <w:szCs w:val="24"/>
                <w:highlight w:val="none"/>
                <w:lang w:val="en-US" w:eastAsia="en-US"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243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0~2mg/L</w:t>
            </w:r>
            <w:r>
              <w:rPr>
                <w:rFonts w:hint="eastAsia" w:ascii="宋体" w:hAnsi="宋体" w:eastAsia="宋体" w:cs="宋体"/>
                <w:bCs/>
                <w:color w:val="000000" w:themeColor="text1"/>
                <w:sz w:val="24"/>
                <w:szCs w:val="24"/>
                <w:highlight w:val="none"/>
                <w:lang w:val="en-US" w:eastAsia="en-US" w:bidi="ar-SA"/>
              </w:rPr>
              <w:t xml:space="preserve">（</w:t>
            </w:r>
            <w:r>
              <w:rPr>
                <w:rFonts w:hint="eastAsia" w:ascii="宋体" w:hAnsi="宋体" w:eastAsia="宋体" w:cs="宋体"/>
                <w:bCs/>
                <w:color w:val="000000" w:themeColor="text1"/>
                <w:sz w:val="24"/>
                <w:szCs w:val="24"/>
                <w:highlight w:val="none"/>
                <w:lang w:val="en-US" w:eastAsia="zh-CN" w:bidi="ar-SA"/>
              </w:rPr>
              <w:t xml:space="preserve">可调可扩展</w:t>
            </w:r>
            <w:r>
              <w:rPr>
                <w:rFonts w:hint="eastAsia" w:ascii="宋体" w:hAnsi="宋体" w:eastAsia="宋体" w:cs="宋体"/>
                <w:bCs/>
                <w:color w:val="000000" w:themeColor="text1"/>
                <w:sz w:val="24"/>
                <w:szCs w:val="24"/>
                <w:highlight w:val="none"/>
                <w:lang w:val="en-US" w:eastAsia="en-US" w:bidi="ar-SA"/>
              </w:rPr>
              <w:t xml:space="preserve">）</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重复性</w:t>
            </w:r>
            <w:r>
              <w:rPr>
                <w:color w:val="000000" w:themeColor="text1"/>
              </w:rPr>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en-US" w:bidi="ar-SA"/>
              </w:rPr>
              <w:t xml:space="preserve">≤</w:t>
            </w:r>
            <w:r>
              <w:rPr>
                <w:rFonts w:hint="eastAsia" w:ascii="宋体" w:hAnsi="宋体" w:eastAsia="宋体" w:cs="宋体"/>
                <w:bCs/>
                <w:color w:val="000000" w:themeColor="text1"/>
                <w:sz w:val="24"/>
                <w:szCs w:val="24"/>
                <w:highlight w:val="none"/>
                <w:lang w:val="en-US" w:eastAsia="zh-CN" w:bidi="ar-SA"/>
              </w:rPr>
              <w:t xml:space="preserve">5</w:t>
            </w:r>
            <w:r>
              <w:rPr>
                <w:rFonts w:hint="eastAsia" w:ascii="宋体" w:hAnsi="宋体" w:eastAsia="宋体" w:cs="宋体"/>
                <w:bCs/>
                <w:color w:val="000000" w:themeColor="text1"/>
                <w:sz w:val="24"/>
                <w:szCs w:val="24"/>
                <w:highlight w:val="none"/>
                <w:lang w:val="en-US" w:eastAsia="en-US"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226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en-US" w:bidi="ar-SA"/>
              </w:rPr>
              <w:t xml:space="preserve">≤</w:t>
            </w:r>
            <w:r>
              <w:rPr>
                <w:rFonts w:hint="eastAsia" w:ascii="宋体" w:hAnsi="宋体" w:eastAsia="宋体" w:cs="宋体"/>
                <w:bCs/>
                <w:color w:val="000000" w:themeColor="text1"/>
                <w:sz w:val="24"/>
                <w:szCs w:val="24"/>
                <w:highlight w:val="none"/>
                <w:lang w:val="en-US" w:eastAsia="zh-CN" w:bidi="ar-SA"/>
              </w:rPr>
              <w:t xml:space="preserve">2</w:t>
            </w:r>
            <w:r>
              <w:rPr>
                <w:rFonts w:hint="eastAsia" w:ascii="宋体" w:hAnsi="宋体" w:eastAsia="宋体" w:cs="宋体"/>
                <w:bCs/>
                <w:color w:val="000000" w:themeColor="text1"/>
                <w:sz w:val="24"/>
                <w:szCs w:val="24"/>
                <w:highlight w:val="none"/>
                <w:lang w:val="en-US" w:eastAsia="en-US"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243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en-US" w:bidi="ar-SA"/>
              </w:rPr>
              <w:t xml:space="preserve">≤</w:t>
            </w:r>
            <w:r>
              <w:rPr>
                <w:rFonts w:hint="eastAsia" w:ascii="宋体" w:hAnsi="宋体" w:eastAsia="宋体" w:cs="宋体"/>
                <w:bCs/>
                <w:color w:val="000000" w:themeColor="text1"/>
                <w:sz w:val="24"/>
                <w:szCs w:val="24"/>
                <w:highlight w:val="none"/>
                <w:lang w:val="en-US" w:eastAsia="zh-CN" w:bidi="ar-SA"/>
              </w:rPr>
              <w:t xml:space="preserve">2</w:t>
            </w:r>
            <w:r>
              <w:rPr>
                <w:rFonts w:hint="eastAsia" w:ascii="宋体" w:hAnsi="宋体" w:eastAsia="宋体" w:cs="宋体"/>
                <w:bCs/>
                <w:color w:val="000000" w:themeColor="text1"/>
                <w:sz w:val="24"/>
                <w:szCs w:val="24"/>
                <w:highlight w:val="none"/>
                <w:lang w:val="en-US" w:eastAsia="en-US" w:bidi="ar-SA"/>
              </w:rPr>
              <w:t xml:space="preserve">%</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准确度</w:t>
            </w:r>
            <w:r>
              <w:rPr>
                <w:color w:val="000000" w:themeColor="text1"/>
              </w:rPr>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bCs/>
                <w:color w:val="000000" w:themeColor="text1"/>
                <w:sz w:val="24"/>
                <w:szCs w:val="24"/>
                <w:highlight w:val="none"/>
                <w:lang w:val="en-US" w:eastAsia="en-US" w:bidi="ar-SA"/>
              </w:rPr>
              <w:t xml:space="preserve">≤±</w:t>
            </w:r>
            <w:r>
              <w:rPr>
                <w:rFonts w:hint="eastAsia" w:ascii="宋体" w:hAnsi="宋体" w:eastAsia="宋体" w:cs="宋体"/>
                <w:bCs/>
                <w:color w:val="000000" w:themeColor="text1"/>
                <w:sz w:val="24"/>
                <w:szCs w:val="24"/>
                <w:highlight w:val="none"/>
                <w:lang w:val="en-US" w:eastAsia="zh-CN" w:bidi="ar-SA"/>
              </w:rPr>
              <w:t xml:space="preserve">10</w:t>
            </w:r>
            <w:r>
              <w:rPr>
                <w:rFonts w:hint="eastAsia" w:ascii="宋体" w:hAnsi="宋体" w:eastAsia="宋体" w:cs="宋体"/>
                <w:bCs/>
                <w:color w:val="000000" w:themeColor="text1"/>
                <w:sz w:val="24"/>
                <w:szCs w:val="24"/>
                <w:highlight w:val="none"/>
                <w:lang w:val="en-US" w:eastAsia="en-US"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226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en-US" w:bidi="ar-SA"/>
              </w:rPr>
              <w:t xml:space="preserve">≤±</w:t>
            </w:r>
            <w:r>
              <w:rPr>
                <w:rFonts w:hint="eastAsia" w:ascii="宋体" w:hAnsi="宋体" w:eastAsia="宋体" w:cs="宋体"/>
                <w:bCs/>
                <w:color w:val="000000" w:themeColor="text1"/>
                <w:sz w:val="24"/>
                <w:szCs w:val="24"/>
                <w:highlight w:val="none"/>
                <w:lang w:val="en-US" w:eastAsia="zh-CN" w:bidi="ar-SA"/>
              </w:rPr>
              <w:t xml:space="preserve">10</w:t>
            </w:r>
            <w:r>
              <w:rPr>
                <w:rFonts w:hint="eastAsia" w:ascii="宋体" w:hAnsi="宋体" w:eastAsia="宋体" w:cs="宋体"/>
                <w:bCs/>
                <w:color w:val="000000" w:themeColor="text1"/>
                <w:sz w:val="24"/>
                <w:szCs w:val="24"/>
                <w:highlight w:val="none"/>
                <w:lang w:val="en-US" w:eastAsia="en-US"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243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bCs/>
                <w:color w:val="000000" w:themeColor="text1"/>
                <w:sz w:val="24"/>
                <w:szCs w:val="24"/>
                <w:highlight w:val="none"/>
                <w:lang w:val="en-US" w:eastAsia="en-US" w:bidi="ar-SA"/>
              </w:rPr>
              <w:t xml:space="preserve">≤±</w:t>
            </w:r>
            <w:r>
              <w:rPr>
                <w:rFonts w:hint="eastAsia" w:ascii="宋体" w:hAnsi="宋体" w:eastAsia="宋体" w:cs="宋体"/>
                <w:bCs/>
                <w:color w:val="000000" w:themeColor="text1"/>
                <w:sz w:val="24"/>
                <w:szCs w:val="24"/>
                <w:highlight w:val="none"/>
                <w:lang w:val="en-US" w:eastAsia="zh-CN" w:bidi="ar-SA"/>
              </w:rPr>
              <w:t xml:space="preserve">10</w:t>
            </w:r>
            <w:r>
              <w:rPr>
                <w:rFonts w:hint="eastAsia" w:ascii="宋体" w:hAnsi="宋体" w:eastAsia="宋体" w:cs="宋体"/>
                <w:bCs/>
                <w:color w:val="000000" w:themeColor="text1"/>
                <w:sz w:val="24"/>
                <w:szCs w:val="24"/>
                <w:highlight w:val="none"/>
                <w:lang w:val="en-US" w:eastAsia="en-US" w:bidi="ar-SA"/>
              </w:rPr>
              <w:t xml:space="preserve">%</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最低检出限</w:t>
            </w:r>
            <w:r>
              <w:rPr>
                <w:color w:val="000000" w:themeColor="text1"/>
              </w:rPr>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≤0.0</w:t>
            </w:r>
            <w:r>
              <w:rPr>
                <w:rFonts w:hint="eastAsia" w:ascii="宋体" w:hAnsi="宋体" w:eastAsia="宋体" w:cs="宋体"/>
                <w:bCs/>
                <w:color w:val="000000" w:themeColor="text1"/>
                <w:sz w:val="24"/>
                <w:szCs w:val="24"/>
                <w:highlight w:val="none"/>
                <w:lang w:val="en-US" w:eastAsia="zh-CN" w:bidi="ar-SA"/>
              </w:rPr>
              <w:t xml:space="preserve">1</w:t>
            </w:r>
            <w:r>
              <w:rPr>
                <w:rFonts w:hint="eastAsia" w:ascii="宋体" w:hAnsi="宋体" w:eastAsia="宋体" w:cs="宋体"/>
                <w:bCs/>
                <w:color w:val="000000" w:themeColor="text1"/>
                <w:sz w:val="24"/>
                <w:szCs w:val="24"/>
                <w:highlight w:val="none"/>
                <w:lang w:val="en-US" w:eastAsia="en-US" w:bidi="ar-SA"/>
              </w:rPr>
              <w:t xml:space="preserve">mg/L（最小量程）</w:t>
            </w:r>
            <w:r>
              <w:rPr>
                <w:color w:val="000000" w:themeColor="text1"/>
              </w:rPr>
            </w:r>
            <w:r/>
          </w:p>
        </w:tc>
        <w:tc>
          <w:tcPr>
            <w:tcBorders>
              <w:top w:val="single" w:color="auto" w:sz="4" w:space="0"/>
              <w:left w:val="single" w:color="auto" w:sz="4" w:space="0"/>
              <w:bottom w:val="single" w:color="auto" w:sz="4" w:space="0"/>
              <w:right w:val="single" w:color="auto" w:sz="4" w:space="0"/>
            </w:tcBorders>
            <w:tcW w:w="226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w:t>
            </w:r>
            <w:r>
              <w:rPr>
                <w:rFonts w:hint="eastAsia" w:ascii="宋体" w:hAnsi="宋体" w:eastAsia="宋体" w:cs="宋体"/>
                <w:bCs/>
                <w:color w:val="000000" w:themeColor="text1"/>
                <w:sz w:val="24"/>
                <w:szCs w:val="24"/>
                <w:highlight w:val="none"/>
                <w:lang w:val="en-US" w:eastAsia="zh-CN" w:bidi="ar-SA"/>
              </w:rPr>
              <w:t xml:space="preserve">0.2</w:t>
            </w:r>
            <w:r>
              <w:rPr>
                <w:rFonts w:hint="eastAsia" w:ascii="宋体" w:hAnsi="宋体" w:eastAsia="宋体" w:cs="宋体"/>
                <w:bCs/>
                <w:color w:val="000000" w:themeColor="text1"/>
                <w:sz w:val="24"/>
                <w:szCs w:val="24"/>
                <w:highlight w:val="none"/>
                <w:lang w:val="en-US" w:eastAsia="en-US" w:bidi="ar-SA"/>
              </w:rPr>
              <w:t xml:space="preserve">mg/L</w:t>
            </w:r>
            <w:r>
              <w:rPr>
                <w:rFonts w:hint="eastAsia" w:ascii="宋体" w:hAnsi="宋体" w:eastAsia="宋体" w:cs="宋体"/>
                <w:bCs/>
                <w:color w:val="000000" w:themeColor="text1"/>
                <w:sz w:val="24"/>
                <w:szCs w:val="24"/>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en-US" w:bidi="ar-SA"/>
              </w:rPr>
              <w:t xml:space="preserve">最小量程</w:t>
            </w:r>
            <w:r>
              <w:rPr>
                <w:rFonts w:hint="eastAsia" w:ascii="宋体" w:hAnsi="宋体" w:eastAsia="宋体" w:cs="宋体"/>
                <w:bCs/>
                <w:color w:val="000000" w:themeColor="text1"/>
                <w:sz w:val="24"/>
                <w:szCs w:val="24"/>
                <w:highlight w:val="none"/>
                <w:lang w:val="en-US" w:eastAsia="zh-CN"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243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≤0.0</w:t>
            </w:r>
            <w:r>
              <w:rPr>
                <w:rFonts w:hint="eastAsia" w:ascii="宋体" w:hAnsi="宋体" w:eastAsia="宋体" w:cs="宋体"/>
                <w:bCs/>
                <w:color w:val="000000" w:themeColor="text1"/>
                <w:sz w:val="24"/>
                <w:szCs w:val="24"/>
                <w:highlight w:val="none"/>
                <w:lang w:val="en-US" w:eastAsia="zh-CN" w:bidi="ar-SA"/>
              </w:rPr>
              <w:t xml:space="preserve">05</w:t>
            </w:r>
            <w:r>
              <w:rPr>
                <w:rFonts w:hint="eastAsia" w:ascii="宋体" w:hAnsi="宋体" w:eastAsia="宋体" w:cs="宋体"/>
                <w:bCs/>
                <w:color w:val="000000" w:themeColor="text1"/>
                <w:sz w:val="24"/>
                <w:szCs w:val="24"/>
                <w:highlight w:val="none"/>
                <w:lang w:val="en-US" w:eastAsia="en-US" w:bidi="ar-SA"/>
              </w:rPr>
              <w:t xml:space="preserve">mg/L（最小量程）</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信号输出</w:t>
            </w:r>
            <w:r>
              <w:rPr>
                <w:color w:val="000000" w:themeColor="text1"/>
              </w:rPr>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RS232/RS485</w:t>
            </w:r>
            <w:r>
              <w:rPr>
                <w:color w:val="000000" w:themeColor="text1"/>
              </w:rPr>
            </w:r>
            <w:r/>
          </w:p>
        </w:tc>
        <w:tc>
          <w:tcPr>
            <w:tcBorders>
              <w:top w:val="single" w:color="auto" w:sz="4" w:space="0"/>
              <w:left w:val="single" w:color="auto" w:sz="4" w:space="0"/>
              <w:bottom w:val="single" w:color="auto" w:sz="4" w:space="0"/>
              <w:right w:val="single" w:color="auto" w:sz="4" w:space="0"/>
            </w:tcBorders>
            <w:tcW w:w="226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RS232/RS485</w:t>
            </w:r>
            <w:r>
              <w:rPr>
                <w:color w:val="000000" w:themeColor="text1"/>
              </w:rPr>
            </w:r>
            <w:r/>
          </w:p>
        </w:tc>
        <w:tc>
          <w:tcPr>
            <w:tcBorders>
              <w:top w:val="single" w:color="auto" w:sz="4" w:space="0"/>
              <w:left w:val="single" w:color="auto" w:sz="4" w:space="0"/>
              <w:bottom w:val="single" w:color="auto" w:sz="4" w:space="0"/>
              <w:right w:val="single" w:color="auto" w:sz="4" w:space="0"/>
            </w:tcBorders>
            <w:tcW w:w="243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RS232/RS485</w:t>
            </w:r>
            <w:r>
              <w:rPr>
                <w:color w:val="000000" w:themeColor="text1"/>
              </w:rPr>
            </w:r>
            <w:r/>
          </w:p>
        </w:tc>
      </w:tr>
      <w:tr>
        <w:trPr>
          <w:jc w:val="center"/>
          <w:trHeight w:val="510"/>
        </w:trPr>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en-US" w:bidi="ar-SA"/>
              </w:rPr>
              <w:t xml:space="preserve">单次测量时间</w:t>
            </w:r>
            <w:r>
              <w:rPr>
                <w:color w:val="000000" w:themeColor="text1"/>
              </w:rPr>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≤60</w:t>
            </w:r>
            <w:r>
              <w:rPr>
                <w:rFonts w:hint="eastAsia" w:ascii="宋体" w:hAnsi="宋体" w:eastAsia="宋体" w:cs="宋体"/>
                <w:bCs/>
                <w:color w:val="000000" w:themeColor="text1"/>
                <w:sz w:val="24"/>
                <w:szCs w:val="24"/>
                <w:highlight w:val="none"/>
                <w:lang w:val="en-US" w:eastAsia="en-US" w:bidi="ar-SA"/>
              </w:rPr>
              <w:t xml:space="preserve">分钟</w:t>
            </w:r>
            <w:r>
              <w:rPr>
                <w:color w:val="000000" w:themeColor="text1"/>
              </w:rPr>
            </w:r>
            <w:r/>
          </w:p>
        </w:tc>
        <w:tc>
          <w:tcPr>
            <w:tcBorders>
              <w:top w:val="single" w:color="auto" w:sz="4" w:space="0"/>
              <w:left w:val="single" w:color="auto" w:sz="4" w:space="0"/>
              <w:bottom w:val="single" w:color="auto" w:sz="4" w:space="0"/>
              <w:right w:val="single" w:color="auto" w:sz="4" w:space="0"/>
            </w:tcBorders>
            <w:tcW w:w="2266"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≤60</w:t>
            </w:r>
            <w:r>
              <w:rPr>
                <w:rFonts w:hint="eastAsia" w:ascii="宋体" w:hAnsi="宋体" w:eastAsia="宋体" w:cs="宋体"/>
                <w:bCs/>
                <w:color w:val="000000" w:themeColor="text1"/>
                <w:sz w:val="24"/>
                <w:szCs w:val="24"/>
                <w:highlight w:val="none"/>
                <w:lang w:val="en-US" w:eastAsia="en-US" w:bidi="ar-SA"/>
              </w:rPr>
              <w:t xml:space="preserve">分钟</w:t>
            </w:r>
            <w:r>
              <w:rPr>
                <w:color w:val="000000" w:themeColor="text1"/>
              </w:rPr>
            </w:r>
            <w:r/>
          </w:p>
        </w:tc>
        <w:tc>
          <w:tcPr>
            <w:tcBorders>
              <w:top w:val="single" w:color="auto" w:sz="4" w:space="0"/>
              <w:left w:val="single" w:color="auto" w:sz="4" w:space="0"/>
              <w:bottom w:val="single" w:color="auto" w:sz="4" w:space="0"/>
              <w:right w:val="single" w:color="auto" w:sz="4" w:space="0"/>
            </w:tcBorders>
            <w:tcW w:w="243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≤60</w:t>
            </w:r>
            <w:r>
              <w:rPr>
                <w:rFonts w:hint="eastAsia" w:ascii="宋体" w:hAnsi="宋体" w:eastAsia="宋体" w:cs="宋体"/>
                <w:bCs/>
                <w:color w:val="000000" w:themeColor="text1"/>
                <w:sz w:val="24"/>
                <w:szCs w:val="24"/>
                <w:highlight w:val="none"/>
                <w:lang w:val="en-US" w:eastAsia="en-US" w:bidi="ar-SA"/>
              </w:rPr>
              <w:t xml:space="preserve">分钟</w:t>
            </w:r>
            <w:r>
              <w:rPr>
                <w:color w:val="000000" w:themeColor="text1"/>
              </w:rPr>
            </w:r>
            <w:r/>
          </w:p>
        </w:tc>
      </w:tr>
    </w:tbl>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5"/>
      </w:pPr>
      <w:r>
        <w:rPr>
          <w:rFonts w:hint="eastAsia" w:ascii="宋体" w:hAnsi="宋体" w:eastAsia="宋体" w:cs="宋体"/>
          <w:color w:val="000000" w:themeColor="text1"/>
          <w:sz w:val="24"/>
          <w:szCs w:val="24"/>
          <w:highlight w:val="none"/>
          <w:lang w:val="en-US" w:eastAsia="zh-CN" w:bidi="ar-SA"/>
        </w:rPr>
        <w:t xml:space="preserve">③叶绿素a分析仪</w:t>
      </w:r>
      <w:r>
        <w:rPr>
          <w:color w:val="000000" w:themeColor="text1"/>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系统配备叶绿素a分析仪1套，</w:t>
      </w:r>
      <w:r>
        <w:rPr>
          <w:rFonts w:hint="eastAsia" w:ascii="宋体" w:hAnsi="宋体" w:cs="宋体"/>
          <w:color w:val="000000" w:themeColor="text1"/>
          <w:sz w:val="24"/>
          <w:szCs w:val="24"/>
          <w:highlight w:val="none"/>
          <w:lang w:val="en-US" w:eastAsia="zh-CN" w:bidi="ar-SA"/>
        </w:rPr>
        <w:t xml:space="preserve">监测</w:t>
      </w:r>
      <w:r>
        <w:rPr>
          <w:rFonts w:hint="eastAsia" w:ascii="宋体" w:hAnsi="宋体" w:eastAsia="宋体" w:cs="宋体"/>
          <w:color w:val="000000" w:themeColor="text1"/>
          <w:sz w:val="24"/>
          <w:szCs w:val="24"/>
          <w:highlight w:val="none"/>
          <w:lang w:val="en-US" w:eastAsia="zh-CN" w:bidi="ar-SA"/>
        </w:rPr>
        <w:t xml:space="preserve">水体中的蓝藻叶绿素浓度及总叶绿素浓度。设备基于藻类细胞中的自然荧光特性，依据藻类的特征光谱及其强度，对藻类进行定量分析，具备分析快速、操作简便、测量准确度高，在线实时监测，且无需制备样品等特点，设备主要技术参数见下表。</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eastAsia="宋体" w:cs="宋体"/>
          <w:b/>
          <w:bCs/>
          <w:color w:val="000000" w:themeColor="text1"/>
          <w:sz w:val="24"/>
          <w:szCs w:val="24"/>
          <w:highlight w:val="none"/>
          <w:lang w:val="en-US" w:eastAsia="zh-CN" w:bidi="ar-SA"/>
        </w:rPr>
        <w:noBreakHyphen/>
      </w:r>
      <w:r>
        <w:rPr>
          <w:rFonts w:hint="eastAsia" w:ascii="宋体" w:hAnsi="宋体" w:eastAsia="宋体" w:cs="宋体"/>
          <w:b/>
          <w:bCs/>
          <w:color w:val="000000" w:themeColor="text1"/>
          <w:sz w:val="24"/>
          <w:szCs w:val="24"/>
          <w:highlight w:val="none"/>
          <w:lang w:val="en-US" w:eastAsia="zh-CN" w:bidi="ar-SA"/>
        </w:rPr>
        <w:fldChar w:fldCharType="begin"/>
      </w:r>
      <w:r>
        <w:rPr>
          <w:rFonts w:hint="eastAsia" w:ascii="宋体" w:hAnsi="宋体" w:eastAsia="宋体" w:cs="宋体"/>
          <w:b/>
          <w:bCs/>
          <w:color w:val="000000" w:themeColor="text1"/>
          <w:sz w:val="24"/>
          <w:szCs w:val="24"/>
          <w:highlight w:val="none"/>
          <w:lang w:val="en-US" w:eastAsia="zh-CN" w:bidi="ar-SA"/>
        </w:rPr>
        <w:instrText xml:space="preserve"> SEQ 表 \* ARABIC \s 1 </w:instrText>
      </w:r>
      <w:r>
        <w:rPr>
          <w:rFonts w:hint="eastAsia" w:ascii="宋体" w:hAnsi="宋体" w:eastAsia="宋体" w:cs="宋体"/>
          <w:b/>
          <w:bCs/>
          <w:color w:val="000000" w:themeColor="text1"/>
          <w:sz w:val="24"/>
          <w:szCs w:val="24"/>
          <w:highlight w:val="none"/>
          <w:lang w:val="en-US" w:eastAsia="zh-CN" w:bidi="ar-SA"/>
        </w:rPr>
        <w:fldChar w:fldCharType="separate"/>
      </w:r>
      <w:r>
        <w:rPr>
          <w:rFonts w:hint="eastAsia" w:ascii="宋体" w:hAnsi="宋体" w:eastAsia="宋体" w:cs="宋体"/>
          <w:b/>
          <w:bCs/>
          <w:color w:val="000000" w:themeColor="text1"/>
          <w:sz w:val="24"/>
          <w:szCs w:val="24"/>
          <w:highlight w:val="none"/>
          <w:lang w:val="en-US" w:eastAsia="zh-CN" w:bidi="ar-SA"/>
        </w:rPr>
        <w:t xml:space="preserve">1</w:t>
      </w:r>
      <w:r>
        <w:rPr>
          <w:rFonts w:hint="eastAsia" w:ascii="宋体" w:hAnsi="宋体" w:eastAsia="宋体" w:cs="宋体"/>
          <w:b/>
          <w:bCs/>
          <w:color w:val="000000" w:themeColor="text1"/>
          <w:sz w:val="24"/>
          <w:szCs w:val="24"/>
          <w:highlight w:val="none"/>
          <w:lang w:val="en-US" w:eastAsia="zh-CN" w:bidi="ar-SA"/>
        </w:rPr>
        <w:fldChar w:fldCharType="end"/>
      </w:r>
      <w:r>
        <w:rPr>
          <w:rFonts w:hint="eastAsia" w:ascii="宋体" w:hAnsi="宋体" w:cs="宋体"/>
          <w:b/>
          <w:bCs/>
          <w:color w:val="000000" w:themeColor="text1"/>
          <w:sz w:val="24"/>
          <w:szCs w:val="24"/>
          <w:highlight w:val="none"/>
          <w:lang w:val="en-US" w:eastAsia="zh-CN" w:bidi="ar-SA"/>
        </w:rPr>
        <w:t xml:space="preserve">1</w:t>
      </w:r>
      <w:r>
        <w:rPr>
          <w:rFonts w:hint="eastAsia" w:ascii="宋体" w:hAnsi="宋体" w:eastAsia="宋体" w:cs="宋体"/>
          <w:b/>
          <w:bCs/>
          <w:color w:val="000000" w:themeColor="text1"/>
          <w:sz w:val="24"/>
          <w:szCs w:val="24"/>
          <w:highlight w:val="none"/>
          <w:lang w:val="en-US" w:eastAsia="zh-CN" w:bidi="ar-SA"/>
        </w:rPr>
        <w:t xml:space="preserve">  叶绿素a分析仪主要技术指标</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5"/>
        <w:gridCol w:w="6363"/>
      </w:tblGrid>
      <w:tr>
        <w:trPr>
          <w:jc w:val="center"/>
          <w:trHeight w:val="454"/>
        </w:trPr>
        <w:tc>
          <w:tcPr>
            <w:tcW w:w="218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测量参数</w:t>
            </w:r>
            <w:r>
              <w:rPr>
                <w:color w:val="000000" w:themeColor="text1"/>
              </w:rPr>
            </w:r>
            <w:r/>
          </w:p>
        </w:tc>
        <w:tc>
          <w:tcPr>
            <w:tcW w:w="6363"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叶绿素a浓度、蓝藻叶绿素a浓度</w:t>
            </w:r>
            <w:r>
              <w:rPr>
                <w:color w:val="000000" w:themeColor="text1"/>
              </w:rPr>
            </w:r>
            <w:r/>
          </w:p>
        </w:tc>
      </w:tr>
      <w:tr>
        <w:trPr>
          <w:jc w:val="center"/>
          <w:trHeight w:val="454"/>
        </w:trPr>
        <w:tc>
          <w:tcPr>
            <w:tcW w:w="218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测量原理</w:t>
            </w:r>
            <w:r>
              <w:rPr>
                <w:color w:val="000000" w:themeColor="text1"/>
              </w:rPr>
            </w:r>
            <w:r/>
          </w:p>
        </w:tc>
        <w:tc>
          <w:tcPr>
            <w:tcW w:w="6363"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荧光法</w:t>
            </w:r>
            <w:r>
              <w:rPr>
                <w:color w:val="000000" w:themeColor="text1"/>
              </w:rPr>
            </w:r>
            <w:r/>
          </w:p>
        </w:tc>
      </w:tr>
      <w:tr>
        <w:trPr>
          <w:jc w:val="center"/>
          <w:trHeight w:val="454"/>
        </w:trPr>
        <w:tc>
          <w:tcPr>
            <w:tcW w:w="218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测量范围</w:t>
            </w:r>
            <w:r>
              <w:rPr>
                <w:color w:val="000000" w:themeColor="text1"/>
              </w:rPr>
            </w:r>
            <w:r/>
          </w:p>
        </w:tc>
        <w:tc>
          <w:tcPr>
            <w:tcW w:w="6363"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0-500μg chl-a（纯藻标定）</w:t>
            </w:r>
            <w:r>
              <w:rPr>
                <w:color w:val="000000" w:themeColor="text1"/>
              </w:rPr>
            </w:r>
            <w:r/>
          </w:p>
        </w:tc>
      </w:tr>
      <w:tr>
        <w:trPr>
          <w:jc w:val="center"/>
          <w:trHeight w:val="454"/>
        </w:trPr>
        <w:tc>
          <w:tcPr>
            <w:tcW w:w="218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分 辨 率</w:t>
            </w:r>
            <w:r>
              <w:rPr>
                <w:color w:val="000000" w:themeColor="text1"/>
              </w:rPr>
            </w:r>
            <w:r/>
          </w:p>
        </w:tc>
        <w:tc>
          <w:tcPr>
            <w:tcW w:w="6363"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bCs/>
                <w:color w:val="000000" w:themeColor="text1"/>
                <w:sz w:val="24"/>
                <w:szCs w:val="24"/>
                <w:highlight w:val="none"/>
                <w:lang w:val="en-US" w:eastAsia="zh-CN" w:bidi="ar-SA"/>
              </w:rPr>
              <w:t xml:space="preserve">≥0.1μg/L chl-a</w:t>
            </w:r>
            <w:r>
              <w:rPr>
                <w:color w:val="000000" w:themeColor="text1"/>
              </w:rPr>
            </w:r>
            <w:r/>
          </w:p>
        </w:tc>
      </w:tr>
      <w:tr>
        <w:trPr>
          <w:jc w:val="center"/>
          <w:trHeight w:val="454"/>
        </w:trPr>
        <w:tc>
          <w:tcPr>
            <w:tcW w:w="218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波长</w:t>
            </w:r>
            <w:r>
              <w:rPr>
                <w:color w:val="000000" w:themeColor="text1"/>
              </w:rPr>
            </w:r>
            <w:r/>
          </w:p>
        </w:tc>
        <w:tc>
          <w:tcPr>
            <w:tcW w:w="6363"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≥3种，470nm/525nm/610nm</w:t>
            </w:r>
            <w:r>
              <w:rPr>
                <w:color w:val="000000" w:themeColor="text1"/>
              </w:rPr>
            </w:r>
            <w:r/>
          </w:p>
        </w:tc>
      </w:tr>
      <w:tr>
        <w:trPr>
          <w:jc w:val="center"/>
          <w:trHeight w:val="454"/>
        </w:trPr>
        <w:tc>
          <w:tcPr>
            <w:tcW w:w="218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浊度补偿</w:t>
            </w:r>
            <w:r>
              <w:rPr>
                <w:color w:val="000000" w:themeColor="text1"/>
              </w:rPr>
            </w:r>
            <w:r/>
          </w:p>
        </w:tc>
        <w:tc>
          <w:tcPr>
            <w:tcW w:w="6363"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具备浊度补偿功能</w:t>
            </w:r>
            <w:r>
              <w:rPr>
                <w:color w:val="000000" w:themeColor="text1"/>
              </w:rPr>
            </w:r>
            <w:r/>
          </w:p>
        </w:tc>
      </w:tr>
      <w:tr>
        <w:trPr>
          <w:jc w:val="center"/>
          <w:trHeight w:val="454"/>
        </w:trPr>
        <w:tc>
          <w:tcPr>
            <w:tcW w:w="218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数据传输</w:t>
            </w:r>
            <w:r>
              <w:rPr>
                <w:color w:val="000000" w:themeColor="text1"/>
              </w:rPr>
            </w:r>
            <w:r/>
          </w:p>
        </w:tc>
        <w:tc>
          <w:tcPr>
            <w:tcW w:w="6363"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RS232</w:t>
            </w:r>
            <w:r>
              <w:rPr>
                <w:color w:val="000000" w:themeColor="text1"/>
              </w:rPr>
            </w:r>
            <w:r/>
          </w:p>
        </w:tc>
      </w:tr>
      <w:tr>
        <w:trPr>
          <w:jc w:val="center"/>
          <w:trHeight w:val="454"/>
        </w:trPr>
        <w:tc>
          <w:tcPr>
            <w:tcW w:w="218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电源电压</w:t>
            </w:r>
            <w:r>
              <w:rPr>
                <w:color w:val="000000" w:themeColor="text1"/>
              </w:rPr>
            </w:r>
            <w:r/>
          </w:p>
        </w:tc>
        <w:tc>
          <w:tcPr>
            <w:tcW w:w="6363"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12V DC</w:t>
            </w:r>
            <w:r>
              <w:rPr>
                <w:color w:val="000000" w:themeColor="text1"/>
              </w:rPr>
            </w:r>
            <w:r/>
          </w:p>
        </w:tc>
      </w:tr>
      <w:tr>
        <w:trPr>
          <w:jc w:val="center"/>
          <w:trHeight w:val="454"/>
        </w:trPr>
        <w:tc>
          <w:tcPr>
            <w:tcW w:w="2185"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保护等级</w:t>
            </w:r>
            <w:r>
              <w:rPr>
                <w:color w:val="000000" w:themeColor="text1"/>
              </w:rPr>
            </w:r>
            <w:r/>
          </w:p>
        </w:tc>
        <w:tc>
          <w:tcPr>
            <w:tcW w:w="6363"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IP68</w:t>
            </w:r>
            <w:r>
              <w:rPr>
                <w:color w:val="000000" w:themeColor="text1"/>
              </w:rPr>
            </w:r>
            <w:r/>
          </w:p>
        </w:tc>
      </w:tr>
    </w:tbl>
    <w:p>
      <w:pPr>
        <w:numPr>
          <w:ilvl w:val="2"/>
          <w:numId w:val="15"/>
        </w:numPr>
        <w:ind w:left="0" w:firstLine="0"/>
        <w:jc w:val="both"/>
        <w:spacing w:line="360" w:lineRule="auto"/>
        <w:widowControl w:val="off"/>
        <w:rPr>
          <w:rFonts w:hint="eastAsia" w:ascii="宋体" w:hAnsi="宋体" w:eastAsia="宋体" w:cs="宋体"/>
          <w:b/>
          <w:color w:val="000000" w:themeColor="text1"/>
          <w:sz w:val="24"/>
          <w:szCs w:val="24"/>
          <w:highlight w:val="none"/>
        </w:rPr>
        <w:outlineLvl w:val="2"/>
      </w:pPr>
      <w:r>
        <w:rPr>
          <w:rFonts w:hint="eastAsia" w:ascii="宋体" w:hAnsi="宋体" w:eastAsia="宋体" w:cs="宋体"/>
          <w:b/>
          <w:color w:val="000000" w:themeColor="text1"/>
          <w:sz w:val="24"/>
          <w:szCs w:val="24"/>
          <w:highlight w:val="none"/>
          <w:lang w:val="en-US" w:eastAsia="zh-CN" w:bidi="ar-SA"/>
        </w:rPr>
        <w:t xml:space="preserve">安防监控设备</w:t>
      </w:r>
      <w:r>
        <w:rPr>
          <w:color w:val="000000" w:themeColor="text1"/>
        </w:rPr>
      </w:r>
      <w:r/>
    </w:p>
    <w:p>
      <w:pPr>
        <w:ind w:firstLine="48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配备视频监控系统1套，包括室外球形摄像机2套和硬盘录像机2套，1台对测站周边环境及取水口位置进行监测，并进行本地视频图像存储；1台对测站周边水葫芦进行监测。视频监控系统技术参数要求：</w:t>
      </w:r>
      <w:r>
        <w:rPr>
          <w:color w:val="000000" w:themeColor="text1"/>
        </w:rPr>
      </w:r>
      <w:r/>
    </w:p>
    <w:p>
      <w:pPr>
        <w:jc w:val="center"/>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表 1-</w:t>
      </w:r>
      <w:r>
        <w:rPr>
          <w:rFonts w:hint="eastAsia" w:ascii="宋体" w:hAnsi="宋体" w:eastAsia="宋体" w:cs="宋体"/>
          <w:b/>
          <w:bCs/>
          <w:color w:val="000000" w:themeColor="text1"/>
          <w:sz w:val="24"/>
          <w:szCs w:val="24"/>
          <w:highlight w:val="none"/>
          <w:lang w:val="en-US" w:eastAsia="zh-CN" w:bidi="ar-SA"/>
        </w:rPr>
        <w:fldChar w:fldCharType="begin"/>
      </w:r>
      <w:r>
        <w:rPr>
          <w:rFonts w:hint="eastAsia" w:ascii="宋体" w:hAnsi="宋体" w:eastAsia="宋体" w:cs="宋体"/>
          <w:b/>
          <w:bCs/>
          <w:color w:val="000000" w:themeColor="text1"/>
          <w:sz w:val="24"/>
          <w:szCs w:val="24"/>
          <w:highlight w:val="none"/>
          <w:lang w:val="en-US" w:eastAsia="zh-CN" w:bidi="ar-SA"/>
        </w:rPr>
        <w:instrText xml:space="preserve"> SEQ 表 \* ARABIC \s 1 </w:instrText>
      </w:r>
      <w:r>
        <w:rPr>
          <w:rFonts w:hint="eastAsia" w:ascii="宋体" w:hAnsi="宋体" w:eastAsia="宋体" w:cs="宋体"/>
          <w:b/>
          <w:bCs/>
          <w:color w:val="000000" w:themeColor="text1"/>
          <w:sz w:val="24"/>
          <w:szCs w:val="24"/>
          <w:highlight w:val="none"/>
          <w:lang w:val="en-US" w:eastAsia="zh-CN" w:bidi="ar-SA"/>
        </w:rPr>
        <w:fldChar w:fldCharType="separate"/>
      </w:r>
      <w:r>
        <w:rPr>
          <w:rFonts w:hint="eastAsia" w:ascii="宋体" w:hAnsi="宋体" w:eastAsia="宋体" w:cs="宋体"/>
          <w:b/>
          <w:bCs/>
          <w:color w:val="000000" w:themeColor="text1"/>
          <w:sz w:val="24"/>
          <w:szCs w:val="24"/>
          <w:highlight w:val="none"/>
          <w:lang w:val="en-US" w:eastAsia="zh-CN" w:bidi="ar-SA"/>
        </w:rPr>
        <w:t xml:space="preserve">1</w:t>
      </w:r>
      <w:r>
        <w:rPr>
          <w:rFonts w:hint="eastAsia" w:ascii="宋体" w:hAnsi="宋体" w:eastAsia="宋体" w:cs="宋体"/>
          <w:b/>
          <w:bCs/>
          <w:color w:val="000000" w:themeColor="text1"/>
          <w:sz w:val="24"/>
          <w:szCs w:val="24"/>
          <w:highlight w:val="none"/>
          <w:lang w:val="en-US" w:eastAsia="zh-CN" w:bidi="ar-SA"/>
        </w:rPr>
        <w:fldChar w:fldCharType="end"/>
      </w:r>
      <w:r>
        <w:rPr>
          <w:rFonts w:hint="eastAsia" w:ascii="宋体" w:hAnsi="宋体" w:cs="宋体"/>
          <w:b/>
          <w:bCs/>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lang w:val="en-US" w:eastAsia="zh-CN" w:bidi="ar-SA"/>
        </w:rPr>
        <w:t xml:space="preserve">  视频监控系统主要技术参数表</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702"/>
        <w:gridCol w:w="5719"/>
      </w:tblGrid>
      <w:tr>
        <w:trPr>
          <w:jc w:val="center"/>
          <w:trHeight w:val="454"/>
          <w:tblHeader/>
        </w:trPr>
        <w:tc>
          <w:tcPr>
            <w:tcW w:w="1101" w:type="dxa"/>
            <w:vAlign w:val="center"/>
            <w:textDirection w:val="lrTb"/>
            <w:noWrap w:val="false"/>
          </w:tcPr>
          <w:p>
            <w:pPr>
              <w:jc w:val="center"/>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指标类型</w:t>
            </w:r>
            <w:r>
              <w:rPr>
                <w:color w:val="000000" w:themeColor="text1"/>
              </w:rPr>
            </w:r>
            <w:r/>
          </w:p>
        </w:tc>
        <w:tc>
          <w:tcPr>
            <w:tcW w:w="1702" w:type="dxa"/>
            <w:vAlign w:val="center"/>
            <w:textDirection w:val="lrTb"/>
            <w:noWrap w:val="false"/>
          </w:tcPr>
          <w:p>
            <w:pPr>
              <w:jc w:val="center"/>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指标项目</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技术参数要求</w:t>
            </w:r>
            <w:r>
              <w:rPr>
                <w:color w:val="000000" w:themeColor="text1"/>
              </w:rPr>
            </w:r>
            <w:r/>
          </w:p>
        </w:tc>
      </w:tr>
      <w:tr>
        <w:trPr>
          <w:jc w:val="center"/>
          <w:trHeight w:val="454"/>
        </w:trPr>
        <w:tc>
          <w:tcPr>
            <w:tcW w:w="1101" w:type="dxa"/>
            <w:vAlign w:val="center"/>
            <w:vMerge w:val="restart"/>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摄像机基础性能指标</w:t>
            </w:r>
            <w:r>
              <w:rPr>
                <w:color w:val="000000" w:themeColor="text1"/>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分辨率</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宋体" w:hAnsi="宋体" w:eastAsia="宋体" w:cs="宋体"/>
                <w:bCs/>
                <w:color w:val="000000" w:themeColor="text1"/>
                <w:sz w:val="24"/>
                <w:szCs w:val="24"/>
                <w:highlight w:val="none"/>
                <w:lang w:val="en-US" w:eastAsia="zh-CN" w:bidi="ar-SA"/>
              </w:rPr>
              <w:t xml:space="preserve">具有400万像素 CMOS传感器；最大分辨率2688×1520。</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最小照度</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彩色：0.0005 Lux @ （F1.5，AGC ON）；黑白：0.0001 Lux @（F1.5，AGC ON）；0 Lux with light。</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镜头</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焦距：焦距：6.0-192mm，32倍光学变倍；视场角：58.7-2.7度（广角-望远）。</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范围</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水平范围：360°，垂直范围：-15°-90°（自动翻转）；水平速度：水平键控速度：0.1°-130°/s，速度可设；水平预置点速度：130°/s，垂直速度：垂直键控速度：0.1°-80°/s，速度可设；垂直预置点速度：80°/s。</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视频压缩标准</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H.265，H.264，MJPEG，Smart264，Smart265。</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存储</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内置2个SD卡槽，均支持最大512GB存储。</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工作温度和湿度</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-30℃-65℃；湿度小于95%。</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工作模式</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低功耗实时模式：4G保活，可通过平台唤醒进行实时预览，也可通过智能周界区域入侵等智能触发唤醒，抓图和回传报警给平台。</w:t>
            </w:r>
            <w:r>
              <w:rPr>
                <w:color w:val="000000" w:themeColor="text1"/>
              </w:rPr>
            </w:r>
            <w:r/>
          </w:p>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具备极低电休眠保护模式，当太阳能电池电量低于一定值时，球机会进入休眠模式，当太阳能电池电量回充部分后，设备会自动唤醒进入低功耗实时模式。</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电源</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DC：12 V，3.33 A。</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功耗</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低功耗本地录像场景：≤5.0W（4G保活、不预览、打开补光灯）；</w:t>
            </w:r>
            <w:r>
              <w:rPr>
                <w:color w:val="000000" w:themeColor="text1"/>
              </w:rPr>
            </w:r>
            <w:r/>
          </w:p>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低功耗4G预览实时回传场景：≤6.0W（4G预览、打开补光灯）。</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安全及防护等级</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支持GB35114A级安全加密；防护：IP66；6000V防雷、防浪涌、防突波，符合GB/T17626.2/3/4/5/6四级标准。</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地理位置信息</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支持卫星定位模块；支持电子罗盘。</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其他</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具备语音报警功能</w:t>
            </w:r>
            <w:r>
              <w:rPr>
                <w:color w:val="000000" w:themeColor="text1"/>
              </w:rPr>
            </w:r>
            <w:r/>
          </w:p>
        </w:tc>
      </w:tr>
      <w:tr>
        <w:trPr>
          <w:jc w:val="center"/>
          <w:trHeight w:val="454"/>
        </w:trPr>
        <w:tc>
          <w:tcPr>
            <w:tcW w:w="1101" w:type="dxa"/>
            <w:vAlign w:val="center"/>
            <w:vMerge w:val="continue"/>
            <w:textDirection w:val="lrTb"/>
            <w:noWrap w:val="false"/>
          </w:tcPr>
          <w:p>
            <w:pPr>
              <w:jc w:val="center"/>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1702"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水生态监测</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共计2台，其中1台具备水葫芦观测功能</w:t>
            </w:r>
            <w:r>
              <w:rPr>
                <w:color w:val="000000" w:themeColor="text1"/>
              </w:rPr>
            </w:r>
            <w:r/>
          </w:p>
        </w:tc>
      </w:tr>
      <w:tr>
        <w:trPr>
          <w:jc w:val="center"/>
          <w:trHeight w:val="454"/>
        </w:trPr>
        <w:tc>
          <w:tcPr>
            <w:gridSpan w:val="2"/>
            <w:tcW w:w="2803"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硬盘录像机</w:t>
            </w:r>
            <w:r>
              <w:rPr>
                <w:color w:val="000000" w:themeColor="text1"/>
              </w:rPr>
            </w:r>
            <w:r/>
          </w:p>
        </w:tc>
        <w:tc>
          <w:tcPr>
            <w:tcW w:w="5719" w:type="dxa"/>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8T</w:t>
            </w:r>
            <w:bookmarkEnd w:id="52"/>
            <w:r/>
            <w:bookmarkEnd w:id="53"/>
            <w:r/>
            <w:bookmarkEnd w:id="54"/>
            <w:r/>
            <w:bookmarkEnd w:id="55"/>
            <w:r/>
            <w:bookmarkEnd w:id="56"/>
            <w:r/>
            <w:bookmarkEnd w:id="57"/>
            <w:r/>
            <w:bookmarkEnd w:id="58"/>
            <w:r/>
            <w:bookmarkEnd w:id="59"/>
            <w:r/>
            <w:bookmarkEnd w:id="60"/>
            <w:r>
              <w:rPr>
                <w:color w:val="000000" w:themeColor="text1"/>
              </w:rPr>
            </w:r>
            <w:r/>
          </w:p>
        </w:tc>
      </w:tr>
    </w:tbl>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p>
      <w:pPr>
        <w:pStyle w:val="703"/>
        <w:ind w:firstLine="482"/>
        <w:jc w:val="left"/>
        <w:spacing w:line="360" w:lineRule="auto"/>
        <w:tabs>
          <w:tab w:val="left" w:pos="567" w:leader="none"/>
        </w:tabs>
        <w:rPr>
          <w:rFonts w:hint="default"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四、安装技术要求</w:t>
      </w:r>
      <w:r>
        <w:rPr>
          <w:color w:val="000000" w:themeColor="text1"/>
        </w:rPr>
      </w:r>
      <w:r/>
    </w:p>
    <w:p>
      <w:pPr>
        <w:ind w:firstLine="482"/>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u w:val="single"/>
        </w:rPr>
        <w:t xml:space="preserve">（1）所有基础设施建设及设备安装要求和执行标准，以设计交底要求为准；</w:t>
      </w:r>
      <w:r>
        <w:rPr>
          <w:rFonts w:hint="eastAsia" w:asciiTheme="minorEastAsia" w:hAnsiTheme="minorEastAsia" w:eastAsiaTheme="minorEastAsia" w:cstheme="minorEastAsia"/>
          <w:color w:val="000000" w:themeColor="text1"/>
          <w:sz w:val="24"/>
          <w:szCs w:val="24"/>
          <w:highlight w:val="none"/>
        </w:rPr>
        <w:t xml:space="preserve">当建设系统所需的设备已经配齐，则应进行安装调试。</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（2）安装调试开始前，应按下列要求进行检查：</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1）各种设备出厂前的测试记录及检测合格证明；</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2）电源系统、防雷接地系统的配置和检测合格证明或记录；</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3）各项功能检测记录。</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（3）安装工作应满足以下基本要求：</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1）已向采购人提供上述所列文件，并得到采购人的认可；</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2）按照使用手册和相关的国家或行业标准以及合同规定进行安装；</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3）对安装各种设备的主要技术指标和功能进行检查测试。</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（4）安装调试的内容</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1）中标供应商负责系统的安装，并有义务指导采购人指派的人员进行安装；</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2）中标供应商负责进行系统的整体运行，并详细记录系统运行情况。</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（5）安装调试应做好安装记录和调试的过程记录，提供安装调试工作总结。</w:t>
      </w:r>
      <w:r>
        <w:rPr>
          <w:color w:val="000000" w:themeColor="text1"/>
        </w:rPr>
      </w:r>
      <w:r/>
    </w:p>
    <w:p>
      <w:pPr>
        <w:pStyle w:val="703"/>
        <w:ind w:firstLine="482"/>
        <w:jc w:val="left"/>
        <w:spacing w:line="360" w:lineRule="auto"/>
        <w:tabs>
          <w:tab w:val="left" w:pos="567" w:leader="none"/>
        </w:tabs>
        <w:rPr>
          <w:rFonts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五、检验与验收</w:t>
      </w:r>
      <w:r>
        <w:rPr>
          <w:color w:val="000000" w:themeColor="text1"/>
        </w:rPr>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1、检验与验收依据</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（1）设备安装、调试和系统联调按本技术条款进行。</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（2）提供的各种设备、备品备件和专用工具按签订合同后的设备清单验收。</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（3）验收中有特殊要求的均在本技术规范有关章节提出。</w:t>
      </w:r>
      <w:r>
        <w:rPr>
          <w:color w:val="000000" w:themeColor="text1"/>
        </w:rPr>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2、现场开箱检验</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（1）设备到达存放地点后，由中标供应商组织人员进行检验，检验日期应在7天前通知采购人。</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（2）现场检验应按照合同清单详细检查设备的品牌、型号和数量等，并详细记录每件设备的开箱检验情况，报送采购人备案。</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（3）在检验中发现短缺或损坏，中标供应商应迅速采取措施补救，损坏设备必须更换后重新检验。</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（4）开箱检验合格后，中标供应商必须将设备供货商提供的设备相关文档全部移交给采购人。</w:t>
      </w:r>
      <w:r>
        <w:rPr>
          <w:color w:val="000000" w:themeColor="text1"/>
        </w:rPr>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3、安装调试检验</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（1）中标供应商负责配合甲方完成安装检验，除证明已满足本招标文件技术规范要求外，还要提供相应的文件和资料。</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（2）安装检验时发生问题，中标供应商应及时处理，处理后应补充检验，安装检验合格后才能进行下一步检验。</w:t>
      </w:r>
      <w:r>
        <w:rPr>
          <w:color w:val="000000" w:themeColor="text1"/>
        </w:rPr>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4、合同完工验收</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（1）中标供应商完成合同所规定的全部建设内容，质量符合要求，中标供应商向采购人提出验收申请，采购人同意后，申请</w:t>
      </w:r>
      <w:r>
        <w:rPr>
          <w:rFonts w:hint="eastAsia" w:asciiTheme="minorEastAsia" w:hAnsiTheme="minorEastAsia" w:eastAsiaTheme="minorEastAsia" w:cstheme="minorEastAsia"/>
          <w:color w:val="000000" w:themeColor="text1"/>
          <w:sz w:val="24"/>
          <w:szCs w:val="24"/>
          <w:highlight w:val="none"/>
          <w:lang w:eastAsia="zh-CN"/>
        </w:rPr>
        <w:t xml:space="preserve">合同完工验收</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（2）完工验收由采购人组织有关专家、管理单位、设计等单位人员组成验收委员会进行验收，中标供应商协助配合有关工作。</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（3）中标供应商应在验收前7天将施工管理工作报告、系统测试报告、安装调试报告等资料报采购人审核。</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（4）完工验收内容包括：对本工程进行全面检验，评定工程质量；提交合同完工验收报告，签发合同完工鉴定书；进行工程设备、备品备件、仪器仪表、工具、文件资料等交接工作。</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（5）完工验收时如发现问题，由采购人按实际情况分清责任，如需中标供应商处理解决的，应暂停验收，待中标供应商完成整改后，再进行验收。</w:t>
      </w:r>
      <w:r>
        <w:rPr>
          <w:color w:val="000000" w:themeColor="text1"/>
        </w:rPr>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5、试运行检验</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合同完工验收</w:t>
      </w:r>
      <w:r>
        <w:rPr>
          <w:rFonts w:hint="eastAsia" w:asciiTheme="minorEastAsia" w:hAnsiTheme="minorEastAsia" w:eastAsiaTheme="minorEastAsia" w:cstheme="minorEastAsia"/>
          <w:color w:val="000000" w:themeColor="text1"/>
          <w:sz w:val="24"/>
          <w:szCs w:val="24"/>
          <w:highlight w:val="none"/>
        </w:rPr>
        <w:t xml:space="preserve">后，进入为期3个月的试运行期，试运行检验由乙方负责，采购人监督并协助，最终提交试运行报告。</w:t>
      </w:r>
      <w:r>
        <w:rPr>
          <w:color w:val="000000" w:themeColor="text1"/>
        </w:rPr>
      </w:r>
      <w:r/>
    </w:p>
    <w:p>
      <w:pPr>
        <w:pStyle w:val="704"/>
        <w:ind w:firstLine="480"/>
        <w:jc w:val="left"/>
        <w:spacing w:line="360" w:lineRule="auto"/>
        <w:tabs>
          <w:tab w:val="left" w:pos="1080" w:leader="none"/>
        </w:tabs>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6、工程竣工验收</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由建设主管部门组织采购人、设</w:t>
      </w:r>
      <w:r>
        <w:rPr>
          <w:rFonts w:hint="eastAsia" w:asciiTheme="minorEastAsia" w:hAnsiTheme="minorEastAsia" w:eastAsiaTheme="minorEastAsia" w:cstheme="minorEastAsia"/>
          <w:color w:val="000000" w:themeColor="text1"/>
          <w:sz w:val="24"/>
          <w:szCs w:val="24"/>
          <w:highlight w:val="none"/>
          <w:lang w:val="en-US" w:eastAsia="zh-CN"/>
        </w:rPr>
        <w:t xml:space="preserve">计</w:t>
      </w:r>
      <w:r>
        <w:rPr>
          <w:rFonts w:hint="eastAsia" w:asciiTheme="minorEastAsia" w:hAnsiTheme="minorEastAsia" w:eastAsiaTheme="minorEastAsia" w:cstheme="minorEastAsia"/>
          <w:color w:val="000000" w:themeColor="text1"/>
          <w:sz w:val="24"/>
          <w:szCs w:val="24"/>
          <w:highlight w:val="none"/>
        </w:rPr>
        <w:t xml:space="preserve">及其他有关人员组成验收组，负责对本项目进行竣工验收，中标供应商按照竣工验收有关要求，协助做好相应工作。</w:t>
      </w:r>
      <w:r>
        <w:rPr>
          <w:color w:val="000000" w:themeColor="text1"/>
        </w:rPr>
      </w:r>
      <w:r/>
    </w:p>
    <w:p>
      <w:pPr>
        <w:pStyle w:val="703"/>
        <w:ind w:firstLine="482"/>
        <w:jc w:val="left"/>
        <w:spacing w:line="360" w:lineRule="auto"/>
        <w:tabs>
          <w:tab w:val="left" w:pos="567" w:leader="none"/>
        </w:tabs>
        <w:rPr>
          <w:rFonts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六、质保期与售后服务</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（1）质量保证期从试运行完成且试运行期出现的质量问题处置完成（以采购人确认为准）之日起，期限为</w:t>
      </w:r>
      <w:r>
        <w:rPr>
          <w:rFonts w:hint="eastAsia" w:asciiTheme="minorEastAsia" w:hAnsiTheme="minorEastAsia" w:eastAsiaTheme="minorEastAsia" w:cstheme="minorEastAsia"/>
          <w:color w:val="000000" w:themeColor="text1"/>
          <w:sz w:val="24"/>
          <w:szCs w:val="24"/>
          <w:highlight w:val="none"/>
          <w:lang w:val="en-US" w:eastAsia="zh-CN"/>
        </w:rPr>
        <w:t xml:space="preserve">24</w:t>
      </w:r>
      <w:r>
        <w:rPr>
          <w:rFonts w:hint="eastAsia" w:asciiTheme="minorEastAsia" w:hAnsiTheme="minorEastAsia" w:eastAsiaTheme="minorEastAsia" w:cstheme="minorEastAsia"/>
          <w:color w:val="000000" w:themeColor="text1"/>
          <w:sz w:val="24"/>
          <w:szCs w:val="24"/>
          <w:highlight w:val="none"/>
        </w:rPr>
        <w:t xml:space="preserve">个月。</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（2）保证期内，中标供应商负责整个系统设备的故障维修工作。系统发生非人为因素的故障，应由中标供应商负责免费维修。</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（3）如果一个月内系统严重故障时间超过48小时或月累计一般故障时间超过一周，则保证期相应延长一个月。</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（4）保证期内投标供应商因系统设备维修所发生的一切费用，包括工时费、交通费、住宿费、通讯费均由中标供应商承担。</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（5）在保证期后，投标供应商有义务在系统的使用维护、应用开发、备件供应等方面以优惠的价格继续向采购人提供技术支持。</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（6）中标供应商有义务向用户说明提供系统软件最新版本的方法及优惠条件。</w:t>
      </w:r>
      <w:r>
        <w:rPr>
          <w:color w:val="000000" w:themeColor="text1"/>
        </w:rPr>
      </w:r>
      <w:r/>
    </w:p>
    <w:p>
      <w:pPr>
        <w:pStyle w:val="703"/>
        <w:ind w:firstLine="482"/>
        <w:jc w:val="left"/>
        <w:spacing w:line="360" w:lineRule="auto"/>
        <w:tabs>
          <w:tab w:val="left" w:pos="567" w:leader="none"/>
        </w:tabs>
        <w:rPr>
          <w:rFonts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七、产权与保密</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中标供应商为采购人提供的并且已被支付的全部产品（包括设备、软件和文档）的所有权均属采购人所有。</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中标供应商应严守采购人的商业秘密，对采购人提供的所有资料和实施各任务过程中接触的资料均予以保密，并承诺为采购人完成开发任务时不抄袭任何他人产品或侵犯他方的知识产权。</w:t>
      </w:r>
      <w:r>
        <w:rPr>
          <w:color w:val="000000" w:themeColor="text1"/>
        </w:rPr>
      </w:r>
      <w:r/>
    </w:p>
    <w:p>
      <w:pPr>
        <w:pStyle w:val="703"/>
        <w:ind w:firstLine="482"/>
        <w:jc w:val="left"/>
        <w:spacing w:line="360" w:lineRule="auto"/>
        <w:tabs>
          <w:tab w:val="left" w:pos="567" w:leader="none"/>
        </w:tabs>
        <w:rPr>
          <w:rFonts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八、培训</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中标供应商需为用户免费培训使用设备的工作人员，培训内容包括设备的基本原理、安装、调试、操作使用和日常保养维修等。</w:t>
      </w:r>
      <w:r>
        <w:rPr>
          <w:color w:val="000000" w:themeColor="text1"/>
        </w:rPr>
      </w:r>
      <w:r/>
    </w:p>
    <w:p>
      <w:pPr>
        <w:ind w:firstLine="482"/>
        <w:jc w:val="left"/>
        <w:spacing w:line="360" w:lineRule="auto"/>
        <w:rPr>
          <w:rFonts w:asciiTheme="minorEastAsia" w:hAnsiTheme="minorEastAsia" w:eastAsiaTheme="minorEastAsia" w:cstheme="minorEastAsia"/>
          <w:b/>
          <w:bCs/>
          <w:color w:val="000000" w:themeColor="text1"/>
          <w:sz w:val="24"/>
          <w:szCs w:val="24"/>
          <w:highlight w:val="none"/>
        </w:rPr>
        <w:outlineLvl w:val="1"/>
      </w:pPr>
      <w:r>
        <w:rPr>
          <w:rFonts w:hint="eastAsia" w:asciiTheme="minorEastAsia" w:hAnsiTheme="minorEastAsia" w:eastAsiaTheme="minorEastAsia" w:cstheme="minorEastAsia"/>
          <w:b/>
          <w:bCs/>
          <w:color w:val="000000" w:themeColor="text1"/>
          <w:sz w:val="24"/>
          <w:szCs w:val="24"/>
          <w:highlight w:val="none"/>
        </w:rPr>
        <w:t xml:space="preserve">九、其他有关说明</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1、项目工期：</w:t>
      </w:r>
      <w:r>
        <w:rPr>
          <w:rFonts w:hint="eastAsia" w:asciiTheme="minorEastAsia" w:hAnsiTheme="minorEastAsia" w:eastAsiaTheme="minorEastAsia" w:cstheme="minorEastAsia"/>
          <w:color w:val="000000" w:themeColor="text1"/>
          <w:sz w:val="24"/>
          <w:szCs w:val="24"/>
          <w:highlight w:val="none"/>
          <w:lang w:val="en-US" w:eastAsia="zh-CN"/>
        </w:rPr>
        <w:t xml:space="preserve">90</w:t>
      </w:r>
      <w:r>
        <w:rPr>
          <w:rFonts w:hint="eastAsia" w:asciiTheme="minorEastAsia" w:hAnsiTheme="minorEastAsia" w:eastAsiaTheme="minorEastAsia" w:cstheme="minorEastAsia"/>
          <w:color w:val="000000" w:themeColor="text1"/>
          <w:sz w:val="24"/>
          <w:szCs w:val="24"/>
          <w:highlight w:val="none"/>
        </w:rPr>
        <w:t xml:space="preserve">日历天。</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2、质保及售后要求：保证产品为全新原厂设备，质保期内中标供应商须提供免费上门维修、更换非人为损坏零部件及技术咨询服务。</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服务响应：厂家提供快捷、周到、规范的技术服务，系统出现故障时，供货或服务商维修人员在接到通知后，2小时内作出应答，24小时内到达现场排除故障。终身提供免费的应用咨询以及技术帮助。</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3、服务地点：太湖流域水文水资源监测中心（太湖流域水环境监测中心）指定地点。</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4、付款方式：</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（1）预付款：中标供应商与采购人合同签订后，中标供应商提交合同总金额10%的履约保函并经采购人审核无误后，15个工作日内采购人向中标供应商支付合同总金额的30%作为预付款。</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工程进度款：第一期进度款为合同总金额的40%，根据设备到货情况分批支付第一期进度款，设备到货，完成开箱验收后，甲方向乙方支付的每批次费用为（到货设备投标合价/所有设备投标总价）×第一期进度款金额；第二期进度款为合同总金额的20%，完成所有测站基础设施建设以及设备安装调试合格，甲方支付第二期进度款；第三期进度款为</w:t>
      </w:r>
      <w:r>
        <w:rPr>
          <w:rFonts w:hint="eastAsia" w:asciiTheme="minorEastAsia" w:hAnsiTheme="minorEastAsia" w:eastAsiaTheme="minorEastAsia" w:cstheme="minorEastAsia"/>
          <w:color w:val="000000" w:themeColor="text1"/>
          <w:sz w:val="24"/>
          <w:szCs w:val="24"/>
          <w:highlight w:val="none"/>
          <w:lang w:val="en-US" w:eastAsia="zh-CN"/>
        </w:rPr>
        <w:t xml:space="preserve">合同</w:t>
      </w:r>
      <w:r>
        <w:rPr>
          <w:rFonts w:hint="eastAsia" w:asciiTheme="minorEastAsia" w:hAnsiTheme="minorEastAsia" w:eastAsiaTheme="minorEastAsia" w:cstheme="minorEastAsia"/>
          <w:color w:val="000000" w:themeColor="text1"/>
          <w:sz w:val="24"/>
          <w:szCs w:val="24"/>
          <w:highlight w:val="none"/>
        </w:rPr>
        <w:t xml:space="preserve">完工验收后，甲方向乙方支付至合同审定金额的100%。试运行完成，经甲方对试运行结果确认后，乙方向甲方提交合同审定金额3%的质量保函（质量保函期限为自试运行期完成之日起</w:t>
      </w:r>
      <w:r>
        <w:rPr>
          <w:rFonts w:hint="eastAsia" w:asciiTheme="minorEastAsia" w:hAnsiTheme="minorEastAsia" w:eastAsiaTheme="minorEastAsia" w:cstheme="minorEastAsia"/>
          <w:color w:val="000000" w:themeColor="text1"/>
          <w:sz w:val="24"/>
          <w:szCs w:val="24"/>
          <w:highlight w:val="none"/>
          <w:lang w:val="en-US" w:eastAsia="zh-CN"/>
        </w:rPr>
        <w:t xml:space="preserve">24</w:t>
      </w:r>
      <w:r>
        <w:rPr>
          <w:rFonts w:hint="eastAsia" w:asciiTheme="minorEastAsia" w:hAnsiTheme="minorEastAsia" w:eastAsiaTheme="minorEastAsia" w:cstheme="minorEastAsia"/>
          <w:color w:val="000000" w:themeColor="text1"/>
          <w:sz w:val="24"/>
          <w:szCs w:val="24"/>
          <w:highlight w:val="none"/>
        </w:rPr>
        <w:t xml:space="preserve">个月），甲方退还履约保函。</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工程款支付货币为人民币，所有工程款支付均需中标供应商出具发票。</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因本项目资金来源为中央预算内投资，中标供应商充分理解并承诺若中央预算内投资不能及时到位或到位资金无法满足当前实际需求时，自身的资金能力可以保证该项目的进度和质量，并不能因此影响工期。如本项目涉及农民工工资，中标供应商不得拖欠相应农民工工资结算和支付，对由此产生的一切后果，采购人不承担相关任何责任。</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5、报价要求</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（1）本项目最高限价为</w:t>
      </w:r>
      <w:r>
        <w:rPr>
          <w:rFonts w:hint="eastAsia" w:asciiTheme="minorEastAsia" w:hAnsiTheme="minorEastAsia" w:eastAsiaTheme="minorEastAsia" w:cstheme="minorEastAsia"/>
          <w:color w:val="000000" w:themeColor="text1"/>
          <w:sz w:val="24"/>
          <w:szCs w:val="24"/>
          <w:highlight w:val="none"/>
          <w:lang w:val="en-US" w:eastAsia="zh-CN"/>
        </w:rPr>
        <w:t xml:space="preserve">164.83</w:t>
      </w:r>
      <w:r>
        <w:rPr>
          <w:rFonts w:hint="eastAsia" w:asciiTheme="minorEastAsia" w:hAnsiTheme="minorEastAsia" w:eastAsiaTheme="minorEastAsia" w:cstheme="minorEastAsia"/>
          <w:color w:val="000000" w:themeColor="text1"/>
          <w:sz w:val="24"/>
          <w:szCs w:val="24"/>
          <w:highlight w:val="none"/>
        </w:rPr>
        <w:t xml:space="preserve">万元，投标报价超出最高限价按无效标书处理。</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投标报价应包括本次招标范围内全部设备、材料、随设备提供的备品配件及专用工具的价格、全部税、包装费、运杂费（运抵采购人指定地点）、装卸费、保险费、安装费、集成调试费、3个月试运行期巡检维护费（含耗材等费用）、采购人操作维护人员培训费、招标代理服务费等为完成该项目所需的全部费用，投标费用自理。</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在项目完成过程中，凡属中标供应商的所有缺陷（包括但不限于制造、安装、调试、验收等环节），中标供应商应无条件整改直至采购人满意为止，所发生的一切费用，视为已包含在中标供应商投标时的投标报价之中，且并不因此而影响合同履行期限。</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（4）在本招标文件第五章 附件“（三）投标报价明细表（格式）”中未列出而投标供应商认为要单独列出的报价项目，投标供应商可增加列出，并计入“价格合计”中。</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（5）投标供应商的报价应为完成该项目建设安装等全部费用。</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（6）投标报价，以人民币万元或元为单位报价。</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经评标委员会认定投标供应商的投标报价明显低于其他通过符合性审查投标供应商的报价，有可能影响产品质量或者不能诚信履约的，投标供应商必须在一小时内提供书面说明或相关证明材料以证明其报价合理性。投标供应商不能证明其报价合理性的，评标委员会应当将其作为无效投标处理。</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7、投标供应商必须在满足招标文件要求的基础上进行报价，如有技术偏离请于技术偏离表中说明。</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Theme="minorEastAsia" w:hAnsiTheme="minorEastAsia" w:eastAsiaTheme="minorEastAsia" w:cstheme="minorEastAsia"/>
          <w:color w:val="000000" w:themeColor="text1"/>
          <w:sz w:val="24"/>
          <w:szCs w:val="24"/>
          <w:highlight w:val="none"/>
        </w:rPr>
        <w:t xml:space="preserve">9、涉及招标文件补充说明或修正，均以更正公告为准。</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ascii="黑体" w:eastAsia="黑体"/>
          <w:bCs/>
          <w:color w:val="000000" w:themeColor="text1"/>
          <w:sz w:val="36"/>
          <w:szCs w:val="36"/>
          <w:highlight w:val="none"/>
        </w:rPr>
      </w:pPr>
      <w:r>
        <w:rPr>
          <w:color w:val="000000" w:themeColor="text1"/>
        </w:rPr>
      </w:r>
      <w:bookmarkStart w:id="61" w:name="_Toc29447"/>
      <w:r>
        <w:rPr>
          <w:rFonts w:hint="eastAsia" w:ascii="黑体" w:eastAsia="黑体"/>
          <w:bCs/>
          <w:color w:val="000000" w:themeColor="text1"/>
          <w:sz w:val="36"/>
          <w:szCs w:val="36"/>
          <w:highlight w:val="none"/>
        </w:rPr>
        <w:br w:type="page" w:clear="all"/>
      </w:r>
      <w:r>
        <w:rPr>
          <w:color w:val="000000" w:themeColor="text1"/>
        </w:rPr>
      </w:r>
      <w:r/>
    </w:p>
    <w:p>
      <w:pPr>
        <w:pStyle w:val="713"/>
        <w:ind w:left="0" w:firstLine="0"/>
        <w:jc w:val="center"/>
        <w:rPr>
          <w:rFonts w:ascii="黑体" w:eastAsia="黑体"/>
          <w:bCs/>
          <w:color w:val="000000" w:themeColor="text1"/>
          <w:sz w:val="36"/>
          <w:szCs w:val="36"/>
          <w:highlight w:val="none"/>
        </w:rPr>
      </w:pPr>
      <w:r>
        <w:rPr>
          <w:rFonts w:ascii="黑体" w:eastAsia="黑体"/>
          <w:bCs/>
          <w:color w:val="000000" w:themeColor="text1"/>
          <w:sz w:val="36"/>
          <w:szCs w:val="36"/>
          <w:highlight w:val="none"/>
        </w:rPr>
      </w:r>
      <w:r>
        <w:rPr>
          <w:color w:val="000000" w:themeColor="text1"/>
        </w:rPr>
      </w:r>
      <w:r/>
    </w:p>
    <w:p>
      <w:pPr>
        <w:pStyle w:val="713"/>
        <w:ind w:left="0" w:firstLine="0"/>
        <w:jc w:val="center"/>
        <w:rPr>
          <w:rFonts w:ascii="宋体" w:hAnsi="宋体"/>
          <w:color w:val="000000" w:themeColor="text1"/>
          <w:sz w:val="28"/>
          <w:highlight w:val="none"/>
        </w:rPr>
        <w:outlineLvl w:val="0"/>
      </w:pPr>
      <w:r>
        <w:rPr>
          <w:rFonts w:hint="eastAsia" w:ascii="黑体" w:eastAsia="黑体"/>
          <w:bCs/>
          <w:color w:val="000000" w:themeColor="text1"/>
          <w:sz w:val="36"/>
          <w:szCs w:val="36"/>
          <w:highlight w:val="none"/>
        </w:rPr>
        <w:t xml:space="preserve">四、合同书（格式）</w:t>
      </w:r>
      <w:bookmarkEnd w:id="5"/>
      <w:r>
        <w:rPr>
          <w:color w:val="000000" w:themeColor="text1"/>
        </w:rPr>
      </w:r>
      <w:bookmarkEnd w:id="61"/>
      <w:r>
        <w:rPr>
          <w:color w:val="000000" w:themeColor="text1"/>
        </w:rPr>
      </w:r>
      <w:r/>
    </w:p>
    <w:p>
      <w:pPr>
        <w:jc w:val="center"/>
        <w:spacing w:line="360" w:lineRule="auto"/>
        <w:rPr>
          <w:rFonts w:ascii="宋体" w:hAnsi="宋体" w:cs="宋体"/>
          <w:b/>
          <w:color w:val="000000" w:themeColor="text1"/>
          <w:sz w:val="52"/>
          <w:szCs w:val="52"/>
          <w:highlight w:val="none"/>
        </w:rPr>
      </w:pPr>
      <w:r>
        <w:rPr>
          <w:rFonts w:ascii="宋体" w:hAnsi="宋体" w:cs="宋体"/>
          <w:b/>
          <w:color w:val="000000" w:themeColor="text1"/>
          <w:sz w:val="52"/>
          <w:szCs w:val="52"/>
          <w:highlight w:val="none"/>
        </w:rPr>
      </w:r>
      <w:r>
        <w:rPr>
          <w:color w:val="000000" w:themeColor="text1"/>
        </w:rPr>
      </w:r>
      <w:r/>
    </w:p>
    <w:p>
      <w:pPr>
        <w:spacing w:before="156" w:line="312" w:lineRule="auto"/>
        <w:rPr>
          <w:rFonts w:ascii="黑体" w:eastAsia="黑体"/>
          <w:color w:val="000000" w:themeColor="text1"/>
          <w:highlight w:val="none"/>
        </w:rPr>
      </w:pPr>
      <w:r>
        <w:rPr>
          <w:rFonts w:ascii="黑体" w:eastAsia="黑体"/>
          <w:color w:val="000000" w:themeColor="text1"/>
          <w:highlight w:val="none"/>
        </w:rPr>
      </w:r>
      <w:r>
        <w:rPr>
          <w:color w:val="000000" w:themeColor="text1"/>
        </w:rPr>
      </w:r>
      <w:r/>
    </w:p>
    <w:p>
      <w:pPr>
        <w:pStyle w:val="722"/>
        <w:rPr>
          <w:rFonts w:ascii="宋体" w:hAnsi="宋体"/>
          <w:bCs w:val="0"/>
          <w:color w:val="000000" w:themeColor="text1"/>
          <w:sz w:val="44"/>
          <w:szCs w:val="44"/>
          <w:highlight w:val="none"/>
        </w:rPr>
      </w:pPr>
      <w:r>
        <w:rPr>
          <w:rFonts w:hint="eastAsia" w:ascii="仿宋_GB2312" w:hAnsi="宋体" w:eastAsia="仿宋_GB2312"/>
          <w:b w:val="0"/>
          <w:color w:val="000000" w:themeColor="text1"/>
          <w:sz w:val="44"/>
          <w:szCs w:val="44"/>
          <w:highlight w:val="none"/>
          <w:u w:val="single"/>
        </w:rPr>
        <w:t xml:space="preserve"> </w:t>
      </w:r>
      <w:r>
        <w:rPr>
          <w:rFonts w:ascii="仿宋_GB2312" w:hAnsi="宋体" w:eastAsia="仿宋_GB2312"/>
          <w:b w:val="0"/>
          <w:color w:val="000000" w:themeColor="text1"/>
          <w:sz w:val="44"/>
          <w:szCs w:val="44"/>
          <w:highlight w:val="none"/>
          <w:u w:val="single"/>
        </w:rPr>
        <w:t xml:space="preserve">                          </w:t>
      </w:r>
      <w:r>
        <w:rPr>
          <w:rFonts w:hint="eastAsia" w:ascii="仿宋_GB2312" w:hAnsi="宋体" w:eastAsia="仿宋_GB2312"/>
          <w:b w:val="0"/>
          <w:color w:val="000000" w:themeColor="text1"/>
          <w:sz w:val="44"/>
          <w:szCs w:val="44"/>
          <w:highlight w:val="none"/>
        </w:rPr>
        <w:t xml:space="preserve">项目</w:t>
      </w:r>
      <w:r>
        <w:rPr>
          <w:color w:val="000000" w:themeColor="text1"/>
        </w:rPr>
      </w:r>
      <w:r/>
    </w:p>
    <w:p>
      <w:pPr>
        <w:pStyle w:val="722"/>
        <w:ind w:left="2940" w:firstLine="880"/>
        <w:rPr>
          <w:rFonts w:ascii="宋体" w:hAnsi="宋体"/>
          <w:bCs w:val="0"/>
          <w:color w:val="000000" w:themeColor="text1"/>
          <w:sz w:val="44"/>
          <w:szCs w:val="44"/>
          <w:highlight w:val="none"/>
        </w:rPr>
      </w:pPr>
      <w:r>
        <w:rPr>
          <w:rFonts w:ascii="宋体" w:hAnsi="宋体"/>
          <w:bCs w:val="0"/>
          <w:color w:val="000000" w:themeColor="text1"/>
          <w:sz w:val="44"/>
          <w:szCs w:val="44"/>
          <w:highlight w:val="none"/>
        </w:rPr>
      </w:r>
      <w:r>
        <w:rPr>
          <w:color w:val="000000" w:themeColor="text1"/>
        </w:rPr>
      </w:r>
      <w:r/>
    </w:p>
    <w:p>
      <w:pPr>
        <w:pStyle w:val="722"/>
        <w:ind w:left="2940" w:firstLine="880"/>
        <w:rPr>
          <w:rFonts w:ascii="宋体" w:hAnsi="宋体"/>
          <w:bCs w:val="0"/>
          <w:color w:val="000000" w:themeColor="text1"/>
          <w:sz w:val="44"/>
          <w:szCs w:val="44"/>
          <w:highlight w:val="none"/>
        </w:rPr>
      </w:pPr>
      <w:r>
        <w:rPr>
          <w:rFonts w:ascii="宋体" w:hAnsi="宋体"/>
          <w:bCs w:val="0"/>
          <w:color w:val="000000" w:themeColor="text1"/>
          <w:sz w:val="44"/>
          <w:szCs w:val="44"/>
          <w:highlight w:val="none"/>
        </w:rPr>
      </w:r>
      <w:r>
        <w:rPr>
          <w:color w:val="000000" w:themeColor="text1"/>
        </w:rPr>
      </w:r>
      <w:r/>
    </w:p>
    <w:p>
      <w:pPr>
        <w:pStyle w:val="746"/>
        <w:ind w:right="-11" w:firstLine="182"/>
        <w:jc w:val="center"/>
        <w:spacing w:before="156"/>
        <w:rPr>
          <w:rFonts w:ascii="宋体" w:hAnsi="宋体"/>
          <w:b/>
          <w:color w:val="000000" w:themeColor="text1"/>
          <w:spacing w:val="12"/>
          <w:sz w:val="52"/>
          <w:highlight w:val="none"/>
        </w:rPr>
      </w:pPr>
      <w:r>
        <w:rPr>
          <w:rFonts w:hint="eastAsia" w:ascii="黑体" w:hAnsi="宋体"/>
          <w:bCs/>
          <w:color w:val="000000" w:themeColor="text1"/>
          <w:sz w:val="52"/>
          <w:szCs w:val="52"/>
          <w:highlight w:val="none"/>
        </w:rPr>
        <w:t xml:space="preserve">项 目 合 同</w:t>
      </w:r>
      <w:r>
        <w:rPr>
          <w:color w:val="000000" w:themeColor="text1"/>
        </w:rPr>
      </w:r>
      <w:r/>
    </w:p>
    <w:p>
      <w:pPr>
        <w:ind w:firstLine="360"/>
        <w:rPr>
          <w:rFonts w:ascii="宋体"/>
          <w:color w:val="000000" w:themeColor="text1"/>
          <w:sz w:val="18"/>
          <w:highlight w:val="none"/>
        </w:rPr>
      </w:pPr>
      <w:r>
        <w:rPr>
          <w:rFonts w:ascii="宋体"/>
          <w:color w:val="000000" w:themeColor="text1"/>
          <w:sz w:val="18"/>
          <w:highlight w:val="none"/>
        </w:rPr>
      </w:r>
      <w:r>
        <w:rPr>
          <w:color w:val="000000" w:themeColor="text1"/>
        </w:rPr>
      </w:r>
      <w:r/>
    </w:p>
    <w:p>
      <w:pPr>
        <w:ind w:firstLine="360"/>
        <w:rPr>
          <w:rFonts w:ascii="宋体"/>
          <w:color w:val="000000" w:themeColor="text1"/>
          <w:sz w:val="18"/>
          <w:highlight w:val="none"/>
        </w:rPr>
      </w:pPr>
      <w:r>
        <w:rPr>
          <w:rFonts w:ascii="宋体"/>
          <w:color w:val="000000" w:themeColor="text1"/>
          <w:sz w:val="18"/>
          <w:highlight w:val="none"/>
        </w:rPr>
      </w:r>
      <w:r>
        <w:rPr>
          <w:color w:val="000000" w:themeColor="text1"/>
        </w:rPr>
      </w:r>
      <w:r/>
    </w:p>
    <w:p>
      <w:pPr>
        <w:ind w:firstLine="480"/>
        <w:spacing w:before="156" w:line="312" w:lineRule="auto"/>
        <w:rPr>
          <w:rFonts w:ascii="宋体"/>
          <w:color w:val="000000" w:themeColor="text1"/>
          <w:highlight w:val="none"/>
        </w:rPr>
      </w:pPr>
      <w:r>
        <w:rPr>
          <w:rFonts w:ascii="宋体"/>
          <w:color w:val="000000" w:themeColor="text1"/>
          <w:highlight w:val="none"/>
        </w:rPr>
      </w:r>
      <w:r>
        <w:rPr>
          <w:color w:val="000000" w:themeColor="text1"/>
        </w:rPr>
      </w:r>
      <w:r/>
    </w:p>
    <w:p>
      <w:pPr>
        <w:ind w:left="945" w:firstLine="643"/>
        <w:rPr>
          <w:rFonts w:ascii="宋体" w:hAnsi="宋体"/>
          <w:b/>
          <w:color w:val="000000" w:themeColor="text1"/>
          <w:sz w:val="32"/>
          <w:highlight w:val="none"/>
          <w:u w:val="single"/>
        </w:rPr>
      </w:pPr>
      <w:r>
        <w:rPr>
          <w:rFonts w:hint="eastAsia" w:ascii="宋体"/>
          <w:b/>
          <w:color w:val="000000" w:themeColor="text1"/>
          <w:sz w:val="32"/>
          <w:highlight w:val="none"/>
        </w:rPr>
        <w:t xml:space="preserve">委托方： </w:t>
      </w:r>
      <w:r>
        <w:rPr>
          <w:rFonts w:ascii="宋体" w:hAnsi="宋体"/>
          <w:b/>
          <w:color w:val="000000" w:themeColor="text1"/>
          <w:sz w:val="32"/>
          <w:highlight w:val="none"/>
          <w:u w:val="single"/>
        </w:rPr>
        <w:t xml:space="preserve">太湖流域水文水资源监测中心</w:t>
      </w:r>
      <w:r>
        <w:rPr>
          <w:color w:val="000000" w:themeColor="text1"/>
        </w:rPr>
      </w:r>
      <w:r/>
    </w:p>
    <w:p>
      <w:pPr>
        <w:ind w:left="945" w:firstLine="1928"/>
        <w:rPr>
          <w:rFonts w:ascii="宋体"/>
          <w:b/>
          <w:color w:val="000000" w:themeColor="text1"/>
          <w:sz w:val="32"/>
          <w:highlight w:val="none"/>
        </w:rPr>
      </w:pPr>
      <w:r>
        <w:rPr>
          <w:rFonts w:ascii="宋体" w:hAnsi="宋体"/>
          <w:b/>
          <w:color w:val="000000" w:themeColor="text1"/>
          <w:sz w:val="32"/>
          <w:highlight w:val="none"/>
          <w:u w:val="single"/>
        </w:rPr>
        <w:t xml:space="preserve">（太湖流域水环境监测中心）</w:t>
      </w:r>
      <w:r>
        <w:rPr>
          <w:color w:val="000000" w:themeColor="text1"/>
        </w:rPr>
      </w:r>
      <w:r/>
    </w:p>
    <w:p>
      <w:pPr>
        <w:ind w:left="945" w:firstLine="643"/>
        <w:spacing w:line="360" w:lineRule="exact"/>
        <w:rPr>
          <w:rFonts w:ascii="宋体"/>
          <w:b/>
          <w:color w:val="000000" w:themeColor="text1"/>
          <w:sz w:val="32"/>
          <w:highlight w:val="none"/>
        </w:rPr>
      </w:pPr>
      <w:r>
        <w:rPr>
          <w:rFonts w:hint="eastAsia" w:ascii="宋体"/>
          <w:b/>
          <w:color w:val="000000" w:themeColor="text1"/>
          <w:sz w:val="32"/>
          <w:highlight w:val="none"/>
        </w:rPr>
        <w:t xml:space="preserve">（甲方）</w:t>
      </w:r>
      <w:r>
        <w:rPr>
          <w:color w:val="000000" w:themeColor="text1"/>
        </w:rPr>
      </w:r>
      <w:r/>
    </w:p>
    <w:p>
      <w:pPr>
        <w:ind w:left="945" w:firstLine="643"/>
        <w:spacing w:before="312"/>
        <w:rPr>
          <w:rFonts w:ascii="宋体"/>
          <w:bCs/>
          <w:color w:val="000000" w:themeColor="text1"/>
          <w:sz w:val="32"/>
          <w:highlight w:val="none"/>
          <w:u w:val="single"/>
        </w:rPr>
      </w:pPr>
      <w:r>
        <w:rPr>
          <w:rFonts w:hint="eastAsia" w:ascii="宋体"/>
          <w:b/>
          <w:color w:val="000000" w:themeColor="text1"/>
          <w:sz w:val="32"/>
          <w:highlight w:val="none"/>
        </w:rPr>
        <w:t xml:space="preserve">承包方：</w:t>
      </w:r>
      <w:r>
        <w:rPr>
          <w:rFonts w:hint="eastAsia" w:ascii="宋体"/>
          <w:b/>
          <w:color w:val="000000" w:themeColor="text1"/>
          <w:sz w:val="32"/>
          <w:highlight w:val="none"/>
          <w:u w:val="single"/>
        </w:rPr>
        <w:t xml:space="preserve">   </w:t>
      </w:r>
      <w:r>
        <w:rPr>
          <w:rFonts w:ascii="宋体"/>
          <w:b/>
          <w:color w:val="000000" w:themeColor="text1"/>
          <w:sz w:val="32"/>
          <w:highlight w:val="none"/>
          <w:u w:val="single"/>
        </w:rPr>
        <w:t xml:space="preserve">                  </w:t>
      </w:r>
      <w:r>
        <w:rPr>
          <w:rFonts w:hint="eastAsia" w:ascii="宋体"/>
          <w:b/>
          <w:bCs/>
          <w:color w:val="000000" w:themeColor="text1"/>
          <w:sz w:val="32"/>
          <w:highlight w:val="none"/>
          <w:u w:val="single"/>
        </w:rPr>
        <w:t xml:space="preserve">          </w:t>
      </w:r>
      <w:r>
        <w:rPr>
          <w:rFonts w:hint="eastAsia" w:ascii="宋体"/>
          <w:bCs/>
          <w:color w:val="000000" w:themeColor="text1"/>
          <w:sz w:val="32"/>
          <w:highlight w:val="none"/>
          <w:u w:val="single"/>
        </w:rPr>
        <w:t xml:space="preserve"> </w:t>
      </w:r>
      <w:r>
        <w:rPr>
          <w:color w:val="000000" w:themeColor="text1"/>
        </w:rPr>
      </w:r>
      <w:r/>
    </w:p>
    <w:p>
      <w:pPr>
        <w:ind w:left="945" w:firstLine="643"/>
        <w:spacing w:line="360" w:lineRule="exact"/>
        <w:rPr>
          <w:rFonts w:ascii="宋体"/>
          <w:b/>
          <w:color w:val="000000" w:themeColor="text1"/>
          <w:sz w:val="32"/>
          <w:highlight w:val="none"/>
        </w:rPr>
      </w:pPr>
      <w:r>
        <w:rPr>
          <w:rFonts w:hint="eastAsia" w:ascii="宋体"/>
          <w:b/>
          <w:color w:val="000000" w:themeColor="text1"/>
          <w:sz w:val="32"/>
          <w:highlight w:val="none"/>
        </w:rPr>
        <w:t xml:space="preserve">（乙方）</w:t>
      </w:r>
      <w:r>
        <w:rPr>
          <w:color w:val="000000" w:themeColor="text1"/>
        </w:rPr>
      </w:r>
      <w:r/>
    </w:p>
    <w:p>
      <w:pPr>
        <w:ind w:firstLine="904"/>
        <w:spacing w:line="700" w:lineRule="exact"/>
        <w:rPr>
          <w:b/>
          <w:bCs/>
          <w:color w:val="000000" w:themeColor="text1"/>
          <w:sz w:val="30"/>
          <w:highlight w:val="none"/>
        </w:rPr>
      </w:pPr>
      <w:r>
        <w:rPr>
          <w:b/>
          <w:bCs/>
          <w:color w:val="000000" w:themeColor="text1"/>
          <w:sz w:val="30"/>
          <w:highlight w:val="none"/>
        </w:rPr>
      </w:r>
      <w:r>
        <w:rPr>
          <w:color w:val="000000" w:themeColor="text1"/>
        </w:rPr>
      </w:r>
      <w:r/>
    </w:p>
    <w:p>
      <w:pPr>
        <w:ind w:firstLine="360"/>
        <w:jc w:val="center"/>
        <w:rPr>
          <w:rFonts w:ascii="宋体"/>
          <w:color w:val="000000" w:themeColor="text1"/>
          <w:sz w:val="18"/>
          <w:highlight w:val="none"/>
        </w:rPr>
      </w:pPr>
      <w:r>
        <w:rPr>
          <w:rFonts w:ascii="宋体"/>
          <w:color w:val="000000" w:themeColor="text1"/>
          <w:sz w:val="18"/>
          <w:highlight w:val="none"/>
        </w:rPr>
      </w:r>
      <w:r>
        <w:rPr>
          <w:color w:val="000000" w:themeColor="text1"/>
        </w:rPr>
      </w:r>
      <w:r/>
    </w:p>
    <w:p>
      <w:pPr>
        <w:ind w:firstLine="1506"/>
        <w:spacing w:line="700" w:lineRule="exact"/>
        <w:rPr>
          <w:rFonts w:eastAsia="楷体_GB2312"/>
          <w:color w:val="000000" w:themeColor="text1"/>
          <w:sz w:val="30"/>
          <w:highlight w:val="none"/>
        </w:rPr>
      </w:pPr>
      <w:r>
        <w:rPr>
          <w:rFonts w:hint="eastAsia"/>
          <w:b/>
          <w:bCs/>
          <w:color w:val="000000" w:themeColor="text1"/>
          <w:sz w:val="30"/>
          <w:highlight w:val="none"/>
        </w:rPr>
        <w:t xml:space="preserve">签订地点</w:t>
      </w:r>
      <w:r>
        <w:rPr>
          <w:rFonts w:hint="eastAsia" w:eastAsia="黑体"/>
          <w:color w:val="000000" w:themeColor="text1"/>
          <w:sz w:val="30"/>
          <w:highlight w:val="none"/>
        </w:rPr>
        <w:t xml:space="preserve">：</w:t>
      </w:r>
      <w:r>
        <w:rPr>
          <w:rFonts w:hint="eastAsia"/>
          <w:color w:val="000000" w:themeColor="text1"/>
          <w:sz w:val="30"/>
          <w:highlight w:val="none"/>
          <w:u w:val="single"/>
        </w:rPr>
        <w:t xml:space="preserve">          </w:t>
      </w:r>
      <w:r>
        <w:rPr>
          <w:rFonts w:hint="eastAsia"/>
          <w:color w:val="000000" w:themeColor="text1"/>
          <w:sz w:val="30"/>
          <w:highlight w:val="none"/>
        </w:rPr>
        <w:t xml:space="preserve"> 省 </w:t>
      </w:r>
      <w:r>
        <w:rPr>
          <w:rFonts w:hint="eastAsia"/>
          <w:color w:val="000000" w:themeColor="text1"/>
          <w:sz w:val="30"/>
          <w:highlight w:val="none"/>
          <w:u w:val="single"/>
        </w:rPr>
        <w:t xml:space="preserve">   </w:t>
      </w:r>
      <w:r>
        <w:rPr>
          <w:color w:val="000000" w:themeColor="text1"/>
          <w:sz w:val="30"/>
          <w:highlight w:val="none"/>
          <w:u w:val="single"/>
        </w:rPr>
        <w:t xml:space="preserve">  </w:t>
      </w:r>
      <w:r>
        <w:rPr>
          <w:rFonts w:hint="eastAsia"/>
          <w:color w:val="000000" w:themeColor="text1"/>
          <w:sz w:val="30"/>
          <w:highlight w:val="none"/>
          <w:u w:val="single"/>
        </w:rPr>
        <w:t xml:space="preserve">   </w:t>
      </w:r>
      <w:r>
        <w:rPr>
          <w:rFonts w:hint="eastAsia"/>
          <w:color w:val="000000" w:themeColor="text1"/>
          <w:sz w:val="30"/>
          <w:highlight w:val="none"/>
        </w:rPr>
        <w:t xml:space="preserve">市（县）</w:t>
      </w:r>
      <w:r>
        <w:rPr>
          <w:color w:val="000000" w:themeColor="text1"/>
        </w:rPr>
      </w:r>
      <w:r/>
    </w:p>
    <w:p>
      <w:pPr>
        <w:ind w:firstLine="1506"/>
        <w:rPr>
          <w:rFonts w:ascii="宋体" w:hAnsi="宋体"/>
          <w:color w:val="000000" w:themeColor="text1"/>
          <w:sz w:val="30"/>
          <w:highlight w:val="none"/>
        </w:rPr>
      </w:pPr>
      <w:r>
        <w:rPr>
          <w:rFonts w:hint="eastAsia"/>
          <w:b/>
          <w:bCs/>
          <w:color w:val="000000" w:themeColor="text1"/>
          <w:sz w:val="30"/>
          <w:highlight w:val="none"/>
        </w:rPr>
        <w:t xml:space="preserve">签订日期：</w:t>
      </w:r>
      <w:r>
        <w:rPr>
          <w:rFonts w:hint="eastAsia" w:ascii="宋体" w:hAnsi="宋体"/>
          <w:color w:val="000000" w:themeColor="text1"/>
          <w:sz w:val="30"/>
          <w:highlight w:val="none"/>
          <w:u w:val="single"/>
        </w:rPr>
        <w:t xml:space="preserve">  </w:t>
      </w:r>
      <w:r>
        <w:rPr>
          <w:rFonts w:ascii="宋体" w:hAnsi="宋体"/>
          <w:color w:val="000000" w:themeColor="text1"/>
          <w:sz w:val="30"/>
          <w:highlight w:val="none"/>
          <w:u w:val="single"/>
        </w:rPr>
        <w:t xml:space="preserve">    </w:t>
      </w:r>
      <w:r>
        <w:rPr>
          <w:rFonts w:hint="eastAsia" w:ascii="宋体" w:hAnsi="宋体"/>
          <w:color w:val="000000" w:themeColor="text1"/>
          <w:sz w:val="30"/>
          <w:highlight w:val="none"/>
          <w:u w:val="single"/>
        </w:rPr>
        <w:t xml:space="preserve"> </w:t>
      </w:r>
      <w:r>
        <w:rPr>
          <w:rFonts w:hint="eastAsia" w:ascii="宋体" w:hAnsi="宋体"/>
          <w:color w:val="000000" w:themeColor="text1"/>
          <w:sz w:val="30"/>
          <w:highlight w:val="none"/>
        </w:rPr>
        <w:t xml:space="preserve"> 年 </w:t>
      </w:r>
      <w:r>
        <w:rPr>
          <w:rFonts w:hint="eastAsia" w:ascii="宋体" w:hAnsi="宋体"/>
          <w:color w:val="000000" w:themeColor="text1"/>
          <w:sz w:val="30"/>
          <w:highlight w:val="none"/>
          <w:u w:val="single"/>
        </w:rPr>
        <w:t xml:space="preserve">  </w:t>
      </w:r>
      <w:r>
        <w:rPr>
          <w:rFonts w:ascii="宋体" w:hAnsi="宋体"/>
          <w:color w:val="000000" w:themeColor="text1"/>
          <w:sz w:val="30"/>
          <w:highlight w:val="none"/>
          <w:u w:val="single"/>
        </w:rPr>
        <w:t xml:space="preserve">    </w:t>
      </w:r>
      <w:r>
        <w:rPr>
          <w:rFonts w:hint="eastAsia" w:ascii="宋体" w:hAnsi="宋体"/>
          <w:color w:val="000000" w:themeColor="text1"/>
          <w:sz w:val="30"/>
          <w:highlight w:val="none"/>
          <w:u w:val="single"/>
        </w:rPr>
        <w:t xml:space="preserve">  </w:t>
      </w:r>
      <w:r>
        <w:rPr>
          <w:rFonts w:hint="eastAsia" w:ascii="宋体" w:hAnsi="宋体"/>
          <w:color w:val="000000" w:themeColor="text1"/>
          <w:sz w:val="30"/>
          <w:highlight w:val="none"/>
        </w:rPr>
        <w:t xml:space="preserve">月</w:t>
      </w:r>
      <w:r>
        <w:rPr>
          <w:rFonts w:hint="eastAsia" w:ascii="宋体" w:hAnsi="宋体"/>
          <w:color w:val="000000" w:themeColor="text1"/>
          <w:sz w:val="30"/>
          <w:highlight w:val="none"/>
          <w:u w:val="single"/>
        </w:rPr>
        <w:t xml:space="preserve"> </w:t>
      </w:r>
      <w:r>
        <w:rPr>
          <w:rFonts w:ascii="宋体" w:hAnsi="宋体"/>
          <w:color w:val="000000" w:themeColor="text1"/>
          <w:sz w:val="30"/>
          <w:highlight w:val="none"/>
          <w:u w:val="single"/>
        </w:rPr>
        <w:t xml:space="preserve">  </w:t>
      </w:r>
      <w:r>
        <w:rPr>
          <w:rFonts w:hint="eastAsia" w:ascii="宋体" w:hAnsi="宋体"/>
          <w:color w:val="000000" w:themeColor="text1"/>
          <w:sz w:val="30"/>
          <w:highlight w:val="none"/>
          <w:u w:val="single"/>
        </w:rPr>
        <w:t xml:space="preserve"> </w:t>
      </w:r>
      <w:r>
        <w:rPr>
          <w:rFonts w:hint="eastAsia" w:ascii="宋体" w:hAnsi="宋体"/>
          <w:color w:val="000000" w:themeColor="text1"/>
          <w:sz w:val="30"/>
          <w:highlight w:val="none"/>
        </w:rPr>
        <w:t xml:space="preserve">日</w:t>
      </w:r>
      <w:r>
        <w:rPr>
          <w:color w:val="000000" w:themeColor="text1"/>
        </w:rPr>
      </w:r>
      <w:r/>
    </w:p>
    <w:p>
      <w:pPr>
        <w:jc w:val="center"/>
        <w:rPr>
          <w:rFonts w:ascii="黑体" w:hAnsi="黑体" w:eastAsia="黑体"/>
          <w:b/>
          <w:color w:val="000000" w:themeColor="text1"/>
          <w:sz w:val="36"/>
          <w:szCs w:val="36"/>
          <w:highlight w:val="none"/>
        </w:rPr>
      </w:pPr>
      <w:r>
        <w:rPr>
          <w:rFonts w:ascii="黑体" w:hAnsi="黑体" w:eastAsia="黑体"/>
          <w:b/>
          <w:color w:val="000000" w:themeColor="text1"/>
          <w:sz w:val="36"/>
          <w:szCs w:val="36"/>
          <w:highlight w:val="none"/>
        </w:rPr>
      </w:r>
      <w:r>
        <w:rPr>
          <w:color w:val="000000" w:themeColor="text1"/>
        </w:rPr>
      </w:r>
      <w:r/>
    </w:p>
    <w:p>
      <w:pPr>
        <w:jc w:val="center"/>
        <w:rPr>
          <w:rFonts w:ascii="黑体" w:hAnsi="黑体" w:eastAsia="黑体"/>
          <w:b/>
          <w:color w:val="000000" w:themeColor="text1"/>
          <w:sz w:val="36"/>
          <w:szCs w:val="36"/>
          <w:highlight w:val="none"/>
        </w:rPr>
      </w:pPr>
      <w:r>
        <w:rPr>
          <w:rFonts w:ascii="黑体" w:hAnsi="黑体" w:eastAsia="黑体"/>
          <w:b/>
          <w:color w:val="000000" w:themeColor="text1"/>
          <w:sz w:val="36"/>
          <w:szCs w:val="36"/>
          <w:highlight w:val="none"/>
        </w:rPr>
      </w:r>
      <w:r>
        <w:rPr>
          <w:color w:val="000000" w:themeColor="text1"/>
        </w:rPr>
      </w:r>
      <w:r/>
    </w:p>
    <w:p>
      <w:pPr>
        <w:jc w:val="center"/>
        <w:rPr>
          <w:rFonts w:ascii="黑体" w:hAnsi="黑体" w:eastAsia="黑体"/>
          <w:b/>
          <w:color w:val="000000" w:themeColor="text1"/>
          <w:sz w:val="36"/>
          <w:szCs w:val="36"/>
          <w:highlight w:val="none"/>
        </w:rPr>
      </w:pPr>
      <w:r>
        <w:rPr>
          <w:rFonts w:ascii="黑体" w:hAnsi="黑体" w:eastAsia="黑体"/>
          <w:b/>
          <w:color w:val="000000" w:themeColor="text1"/>
          <w:sz w:val="36"/>
          <w:szCs w:val="36"/>
          <w:highlight w:val="none"/>
        </w:rPr>
      </w:r>
      <w:r>
        <w:rPr>
          <w:color w:val="000000" w:themeColor="text1"/>
        </w:rPr>
      </w:r>
      <w:r/>
    </w:p>
    <w:p>
      <w:pPr>
        <w:rPr>
          <w:rFonts w:ascii="黑体" w:hAnsi="黑体" w:eastAsia="黑体"/>
          <w:b/>
          <w:color w:val="000000" w:themeColor="text1"/>
          <w:sz w:val="36"/>
          <w:szCs w:val="36"/>
          <w:highlight w:val="none"/>
        </w:rPr>
      </w:pPr>
      <w:r>
        <w:rPr>
          <w:rFonts w:hint="eastAsia" w:ascii="黑体" w:hAnsi="黑体" w:eastAsia="黑体"/>
          <w:b/>
          <w:color w:val="000000" w:themeColor="text1"/>
          <w:sz w:val="36"/>
          <w:szCs w:val="36"/>
          <w:highlight w:val="none"/>
        </w:rPr>
        <w:br w:type="page" w:clear="all"/>
      </w:r>
      <w:r>
        <w:rPr>
          <w:color w:val="000000" w:themeColor="text1"/>
        </w:rPr>
      </w:r>
      <w:r/>
    </w:p>
    <w:p>
      <w:pPr>
        <w:jc w:val="center"/>
        <w:rPr>
          <w:rFonts w:ascii="黑体" w:hAnsi="黑体" w:eastAsia="黑体"/>
          <w:b/>
          <w:color w:val="000000" w:themeColor="text1"/>
          <w:sz w:val="36"/>
          <w:szCs w:val="36"/>
          <w:highlight w:val="none"/>
        </w:rPr>
      </w:pPr>
      <w:r>
        <w:rPr>
          <w:rFonts w:hint="eastAsia" w:ascii="黑体" w:hAnsi="黑体" w:eastAsia="黑体"/>
          <w:b/>
          <w:color w:val="000000" w:themeColor="text1"/>
          <w:sz w:val="36"/>
          <w:szCs w:val="36"/>
          <w:highlight w:val="none"/>
        </w:rPr>
        <w:t xml:space="preserve">合 同 条 款</w:t>
      </w:r>
      <w:r>
        <w:rPr>
          <w:color w:val="000000" w:themeColor="text1"/>
        </w:rPr>
      </w:r>
      <w:r/>
    </w:p>
    <w:p>
      <w:pPr>
        <w:spacing w:line="360" w:lineRule="auto"/>
        <w:rPr>
          <w:color w:val="000000" w:themeColor="text1"/>
          <w:sz w:val="24"/>
          <w:highlight w:val="none"/>
        </w:rPr>
      </w:pPr>
      <w:r>
        <w:rPr>
          <w:color w:val="000000" w:themeColor="text1"/>
          <w:sz w:val="24"/>
          <w:highlight w:val="none"/>
        </w:rPr>
      </w:r>
      <w:r>
        <w:rPr>
          <w:color w:val="000000" w:themeColor="text1"/>
        </w:rPr>
      </w:r>
      <w:r/>
    </w:p>
    <w:p>
      <w:pPr>
        <w:spacing w:line="360" w:lineRule="auto"/>
        <w:rPr>
          <w:color w:val="000000" w:themeColor="text1"/>
          <w:sz w:val="24"/>
          <w:highlight w:val="none"/>
        </w:rPr>
      </w:pPr>
      <w:r>
        <w:rPr>
          <w:color w:val="000000" w:themeColor="text1"/>
          <w:sz w:val="24"/>
          <w:highlight w:val="none"/>
        </w:rPr>
        <w:t xml:space="preserve">委托方：</w:t>
      </w:r>
      <w:r>
        <w:rPr>
          <w:color w:val="000000" w:themeColor="text1"/>
          <w:sz w:val="24"/>
          <w:highlight w:val="none"/>
          <w:u w:val="single"/>
        </w:rPr>
        <w:t xml:space="preserve">太湖流域水文水资源监测中心（太湖流域水环境监测中心）</w:t>
      </w:r>
      <w:r>
        <w:rPr>
          <w:color w:val="000000" w:themeColor="text1"/>
          <w:sz w:val="24"/>
          <w:highlight w:val="none"/>
        </w:rPr>
        <w:t xml:space="preserve">（以下简称“甲方”）</w:t>
      </w:r>
      <w:r>
        <w:rPr>
          <w:color w:val="000000" w:themeColor="text1"/>
        </w:rPr>
      </w:r>
      <w:r/>
    </w:p>
    <w:p>
      <w:pPr>
        <w:spacing w:line="360" w:lineRule="auto"/>
        <w:rPr>
          <w:color w:val="000000" w:themeColor="text1"/>
          <w:sz w:val="24"/>
          <w:highlight w:val="none"/>
        </w:rPr>
      </w:pPr>
      <w:r>
        <w:rPr>
          <w:color w:val="000000" w:themeColor="text1"/>
          <w:sz w:val="24"/>
          <w:highlight w:val="none"/>
        </w:rPr>
        <w:t xml:space="preserve">承包方：</w:t>
      </w:r>
      <w:r>
        <w:rPr>
          <w:rFonts w:hint="eastAsia"/>
          <w:color w:val="000000" w:themeColor="text1"/>
          <w:sz w:val="24"/>
          <w:highlight w:val="none"/>
          <w:u w:val="single"/>
        </w:rPr>
        <w:t xml:space="preserve"> </w:t>
      </w:r>
      <w:r>
        <w:rPr>
          <w:color w:val="000000" w:themeColor="text1"/>
          <w:sz w:val="24"/>
          <w:highlight w:val="none"/>
          <w:u w:val="single"/>
        </w:rPr>
        <w:t xml:space="preserve">                                </w:t>
      </w:r>
      <w:r>
        <w:rPr>
          <w:color w:val="000000" w:themeColor="text1"/>
          <w:sz w:val="24"/>
          <w:highlight w:val="none"/>
        </w:rPr>
        <w:t xml:space="preserve">（以下简称“乙方”）</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为了明确甲乙双方的权利义务关系，根据《中华人民共和国</w:t>
      </w:r>
      <w:r>
        <w:rPr>
          <w:rFonts w:hint="eastAsia"/>
          <w:color w:val="000000" w:themeColor="text1"/>
          <w:sz w:val="24"/>
          <w:highlight w:val="none"/>
        </w:rPr>
        <w:t xml:space="preserve">民法典</w:t>
      </w:r>
      <w:r>
        <w:rPr>
          <w:color w:val="000000" w:themeColor="text1"/>
          <w:sz w:val="24"/>
          <w:highlight w:val="none"/>
        </w:rPr>
        <w:t xml:space="preserve">》，结合本项目的实际情况，经双方友好协商，就</w:t>
      </w:r>
      <w:r>
        <w:rPr>
          <w:rFonts w:hint="eastAsia"/>
          <w:color w:val="000000" w:themeColor="text1"/>
          <w:sz w:val="24"/>
          <w:highlight w:val="none"/>
          <w:u w:val="single"/>
        </w:rPr>
        <w:t xml:space="preserve">                 </w:t>
      </w:r>
      <w:r>
        <w:rPr>
          <w:color w:val="000000" w:themeColor="text1"/>
          <w:sz w:val="24"/>
          <w:highlight w:val="none"/>
        </w:rPr>
        <w:t xml:space="preserve">达成如下合同条款，并共同遵照执行。</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一、共同适用的语言、法律标准</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（一）共同语言：汉语。</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（二）适用法律法规：国家、地方政府有关部门颁发的现行法律法规。</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（三）适用的技术标准规范：设计标准、现行国家、行业、地方标准、规范、规程。</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（四）其他技术要求：甲方根据实际需要提出的技术要求。</w:t>
      </w:r>
      <w:r>
        <w:rPr>
          <w:color w:val="000000" w:themeColor="text1"/>
        </w:rPr>
      </w:r>
      <w:r/>
    </w:p>
    <w:p>
      <w:pPr>
        <w:pStyle w:val="738"/>
        <w:ind w:firstLine="482"/>
        <w:spacing w:before="0" w:after="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二、项目概况</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（一）项目名称：（以下简称“本项目”）。</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（二）项目现场：</w:t>
      </w:r>
      <w:r>
        <w:rPr>
          <w:rFonts w:hint="eastAsia" w:ascii="宋体" w:hAnsi="宋体" w:cs="宋体"/>
          <w:color w:val="000000" w:themeColor="text1"/>
          <w:sz w:val="24"/>
          <w:highlight w:val="none"/>
          <w:u w:val="single"/>
        </w:rPr>
        <w:t xml:space="preserve">                    </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（三）建设内容： </w:t>
      </w:r>
      <w:r>
        <w:rPr>
          <w:color w:val="000000" w:themeColor="text1"/>
        </w:rPr>
      </w:r>
      <w:r/>
    </w:p>
    <w:p>
      <w:pPr>
        <w:ind w:firstLine="48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                                                                      </w:t>
      </w:r>
      <w:r>
        <w:rPr>
          <w:color w:val="000000" w:themeColor="text1"/>
        </w:rPr>
      </w:r>
      <w:r/>
    </w:p>
    <w:p>
      <w:pPr>
        <w:pStyle w:val="783"/>
        <w:ind w:firstLine="480"/>
        <w:rPr>
          <w:rFonts w:hAnsi="宋体" w:cs="宋体"/>
          <w:color w:val="000000" w:themeColor="text1"/>
          <w:sz w:val="24"/>
          <w:szCs w:val="24"/>
          <w:highlight w:val="none"/>
          <w:u w:val="single"/>
        </w:rPr>
      </w:pPr>
      <w:r>
        <w:rPr>
          <w:rFonts w:hint="eastAsia" w:hAnsi="宋体" w:cs="宋体"/>
          <w:color w:val="000000" w:themeColor="text1"/>
          <w:sz w:val="24"/>
          <w:szCs w:val="24"/>
          <w:highlight w:val="none"/>
        </w:rPr>
        <w:t xml:space="preserve">  </w:t>
      </w:r>
      <w:r>
        <w:rPr>
          <w:rFonts w:hint="eastAsia" w:hAnsi="宋体" w:cs="宋体"/>
          <w:color w:val="000000" w:themeColor="text1"/>
          <w:sz w:val="24"/>
          <w:szCs w:val="24"/>
          <w:highlight w:val="none"/>
          <w:u w:val="single"/>
        </w:rPr>
        <w:t xml:space="preserve">                                                                             </w:t>
      </w:r>
      <w:r>
        <w:rPr>
          <w:color w:val="000000" w:themeColor="text1"/>
        </w:rPr>
      </w:r>
      <w:r/>
    </w:p>
    <w:p>
      <w:pPr>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u w:val="single"/>
        </w:rPr>
        <w:t xml:space="preserve">                                                                 </w:t>
      </w:r>
      <w:r>
        <w:rPr>
          <w:color w:val="000000" w:themeColor="text1"/>
        </w:rPr>
      </w:r>
      <w:r/>
    </w:p>
    <w:p>
      <w:pPr>
        <w:pStyle w:val="783"/>
        <w:ind w:firstLine="480"/>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 （四）建设单位：</w:t>
      </w:r>
      <w:r>
        <w:rPr>
          <w:rFonts w:hint="eastAsia" w:hAnsi="宋体" w:cs="宋体"/>
          <w:color w:val="000000" w:themeColor="text1"/>
          <w:sz w:val="24"/>
          <w:szCs w:val="24"/>
          <w:highlight w:val="none"/>
          <w:u w:val="single"/>
        </w:rPr>
        <w:t xml:space="preserve">太湖流域水文水资源监测中心（太湖流域水环境监测中心）</w:t>
      </w:r>
      <w:r>
        <w:rPr>
          <w:color w:val="000000" w:themeColor="text1"/>
        </w:rPr>
      </w:r>
      <w:r/>
    </w:p>
    <w:p>
      <w:pPr>
        <w:ind w:firstLine="480"/>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（五）承包方式：</w:t>
      </w:r>
      <w:r>
        <w:rPr>
          <w:rFonts w:hint="eastAsia" w:ascii="宋体" w:hAnsi="宋体" w:cs="宋体"/>
          <w:color w:val="000000" w:themeColor="text1"/>
          <w:sz w:val="24"/>
          <w:highlight w:val="none"/>
          <w:u w:val="single"/>
          <w:lang w:val="en-US" w:eastAsia="zh-CN"/>
        </w:rPr>
        <w:t xml:space="preserve">        </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（六）合同工期：</w:t>
      </w:r>
      <w:r>
        <w:rPr>
          <w:rFonts w:hint="eastAsia" w:ascii="宋体" w:hAnsi="宋体" w:cs="宋体"/>
          <w:color w:val="000000" w:themeColor="text1"/>
          <w:sz w:val="24"/>
          <w:highlight w:val="none"/>
          <w:u w:val="single"/>
          <w:lang w:val="en-US" w:eastAsia="zh-CN"/>
        </w:rPr>
        <w:t xml:space="preserve">90</w:t>
      </w:r>
      <w:r>
        <w:rPr>
          <w:rFonts w:hint="eastAsia" w:ascii="宋体" w:hAnsi="宋体" w:cs="宋体"/>
          <w:color w:val="000000" w:themeColor="text1"/>
          <w:sz w:val="24"/>
          <w:highlight w:val="none"/>
          <w:u w:val="single"/>
        </w:rPr>
        <w:t xml:space="preserve">个日历天</w:t>
      </w:r>
      <w:r>
        <w:rPr>
          <w:color w:val="000000" w:themeColor="text1"/>
        </w:rPr>
      </w:r>
      <w:r/>
    </w:p>
    <w:p>
      <w:pPr>
        <w:pStyle w:val="738"/>
        <w:ind w:firstLine="482"/>
        <w:spacing w:before="0" w:after="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三、承包范围</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完成本项目包含的基础设施建设和仪器设备购置、</w:t>
      </w:r>
      <w:r>
        <w:rPr>
          <w:rFonts w:hint="eastAsia" w:ascii="宋体" w:hAnsi="宋体" w:cs="宋体"/>
          <w:color w:val="000000" w:themeColor="text1"/>
          <w:sz w:val="24"/>
          <w:highlight w:val="none"/>
        </w:rPr>
        <w:t xml:space="preserve">安装集成等</w:t>
      </w:r>
      <w:r>
        <w:rPr>
          <w:rFonts w:hint="eastAsia" w:ascii="宋体" w:hAnsi="宋体" w:cs="宋体"/>
          <w:color w:val="000000" w:themeColor="text1"/>
          <w:sz w:val="24"/>
          <w:highlight w:val="none"/>
          <w:lang w:val="zh-CN"/>
        </w:rPr>
        <w:t xml:space="preserve">相关工作；</w:t>
      </w:r>
      <w:r>
        <w:rPr>
          <w:rFonts w:hint="eastAsia" w:ascii="宋体" w:hAnsi="宋体" w:cs="宋体"/>
          <w:color w:val="000000" w:themeColor="text1"/>
          <w:sz w:val="24"/>
          <w:highlight w:val="none"/>
        </w:rPr>
        <w:t xml:space="preserve">提供</w:t>
      </w:r>
      <w:r>
        <w:rPr>
          <w:rFonts w:hint="eastAsia" w:ascii="宋体" w:hAnsi="宋体" w:cs="宋体"/>
          <w:color w:val="000000" w:themeColor="text1"/>
          <w:sz w:val="24"/>
          <w:highlight w:val="none"/>
          <w:lang w:val="en-US" w:eastAsia="zh-CN"/>
        </w:rPr>
        <w:t xml:space="preserve">24</w:t>
      </w:r>
      <w:r>
        <w:rPr>
          <w:rFonts w:hint="eastAsia" w:ascii="宋体" w:hAnsi="宋体" w:cs="宋体"/>
          <w:color w:val="000000" w:themeColor="text1"/>
          <w:sz w:val="24"/>
          <w:highlight w:val="none"/>
        </w:rPr>
        <w:t xml:space="preserve">个月的质保期故障维修服务。</w:t>
      </w:r>
      <w:r>
        <w:rPr>
          <w:color w:val="000000" w:themeColor="text1"/>
        </w:rPr>
      </w:r>
      <w:r/>
    </w:p>
    <w:p>
      <w:pPr>
        <w:pStyle w:val="738"/>
        <w:ind w:firstLine="482"/>
        <w:spacing w:before="0" w:after="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四、合同工期</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（一）工期要求：</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90</w:t>
      </w:r>
      <w:r>
        <w:rPr>
          <w:rFonts w:hint="eastAsia" w:ascii="宋体" w:hAnsi="宋体" w:cs="宋体"/>
          <w:color w:val="000000" w:themeColor="text1"/>
          <w:sz w:val="24"/>
          <w:highlight w:val="none"/>
        </w:rPr>
        <w:t xml:space="preserve">个日历天；质量保证期为自试运行完成且试运行期出现的质量问题处置完成（以采购人确认为准）之日起</w:t>
      </w:r>
      <w:r>
        <w:rPr>
          <w:rFonts w:hint="eastAsia" w:ascii="宋体" w:hAnsi="宋体" w:cs="宋体"/>
          <w:color w:val="000000" w:themeColor="text1"/>
          <w:sz w:val="24"/>
          <w:highlight w:val="none"/>
          <w:lang w:val="en-US" w:eastAsia="zh-CN"/>
        </w:rPr>
        <w:t xml:space="preserve">24</w:t>
      </w:r>
      <w:r>
        <w:rPr>
          <w:rFonts w:hint="eastAsia" w:ascii="宋体" w:hAnsi="宋体" w:cs="宋体"/>
          <w:color w:val="000000" w:themeColor="text1"/>
          <w:sz w:val="24"/>
          <w:highlight w:val="none"/>
        </w:rPr>
        <w:t xml:space="preserve">个月，即试运行期结束后</w:t>
      </w:r>
      <w:r>
        <w:rPr>
          <w:rFonts w:hint="eastAsia" w:ascii="宋体" w:hAnsi="宋体" w:cs="宋体"/>
          <w:color w:val="000000" w:themeColor="text1"/>
          <w:sz w:val="24"/>
          <w:highlight w:val="none"/>
          <w:lang w:val="en-US" w:eastAsia="zh-CN"/>
        </w:rPr>
        <w:t xml:space="preserve">24</w:t>
      </w:r>
      <w:r>
        <w:rPr>
          <w:rFonts w:hint="eastAsia" w:ascii="宋体" w:hAnsi="宋体" w:cs="宋体"/>
          <w:color w:val="000000" w:themeColor="text1"/>
          <w:sz w:val="24"/>
          <w:highlight w:val="none"/>
        </w:rPr>
        <w:t xml:space="preserve">个月内系统发生非人为因素的故障，皆应由乙方负责免费维修，以保证项目正常运行。</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（二）对以下造成终验日期推迟的延误，经甲方代表确认，工期相应顺延。</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1、重大工程量变化和设计变更。</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2、不可抗力。</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3、合同中约定或甲方同意给予顺延的其他情况。</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乙方在以上情况发生后3天内，就延误的内容向甲方提出报告，甲方代表在收到报告后7天内予以确认、答复，逾期不予答复，乙方即可视为延期要求已被确认。</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因乙方的原因造成工期延误的，每延误5天的赔偿费按合同总价的百分之零点五（0.5%）计收，但违约金的总数不超过合同总价的10%。如延期时间超过100天，甲方有权终止合同，除前款所约定的违约金外，乙方还需支付合同总价的10%。</w:t>
      </w:r>
      <w:r>
        <w:rPr>
          <w:color w:val="000000" w:themeColor="text1"/>
        </w:rPr>
      </w:r>
      <w:r/>
    </w:p>
    <w:p>
      <w:pPr>
        <w:pStyle w:val="738"/>
        <w:ind w:firstLine="482"/>
        <w:spacing w:before="0" w:after="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五、合同价款及调整</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（一）合同价款组成</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本合同形式为固定总价合同。</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合同总价为：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合同价款中已包含建筑工程费用、设备费用、软件费用及以下附加费用：安装调试、培训、系统集成、保修期内的保修服务及售后服务及工程一切险等费用；价款组成详见附件《工程明细表》。</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（二）合同价款调整</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在项目开工之前，甲方有权对项目进行调整，包括更改品牌、型号以及数量等，甲乙双方根据实际调整情况签订补充协议或以工作联系单的方式作为调整依据。</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乙方须保证所投设备各项指标的真实性，甲方在设备到货后对设备的关键技术指标进行核验，一经发现技术指标存在负偏离，乙方须无条件按照甲方要求更换为满足技术指标要求的设备，合同价款不作调增。</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在项目开工之后，除下列情况外甲乙方不得擅自改变合同价款。发生下列情况之一的可做调整：</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1、甲方确认的工程量增减。</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2、甲方确认的设计变更。</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在上述情况发生后14天内，将调整的原因、金额以书面形式通知甲方，经甲方14天内批准后通知乙方，逾期未作答复，视为同意。如因甲方的原因调整范围涉及乙方已经施工或订货的部分，确实给乙方带来损失，经友好协商甲方应酌情支付乙方损失费用。</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（三）下列情况，甲方不计量（计价），不支付乙方工程款：</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1、与招标文件、合同、设备清单不一致的设备（品牌、型号、性能等）；</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2、未经开箱验收，或无法证明是保修齐全的正版、正品行货（含商用软件）的仪器设备；</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3、经测试性能低于招标要求或不符合标准（含企业承诺标准）要求的设备；</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4、未经验收的隐蔽工程；</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5、规范列明的其他不合格工程量。</w:t>
      </w:r>
      <w:r>
        <w:rPr>
          <w:color w:val="000000" w:themeColor="text1"/>
        </w:rPr>
      </w:r>
      <w:r/>
    </w:p>
    <w:p>
      <w:pPr>
        <w:pStyle w:val="738"/>
        <w:ind w:firstLine="482"/>
        <w:spacing w:before="0" w:after="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六、合同文件的组成及解释顺序</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合同文件应能互相解释，互为说明。除合同另有约定外，其组成和解释顺序如下：</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（一）本合同条款；</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（二）补充协议；</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（三）招标文件；</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（四）投标文件；</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（五）标准、规范及有关技术文件；</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（六）施工图纸；</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（七）有关项目的洽商、变更等书面协议或文件视为本合同的组成部分。</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当合同文件出现含糊不清或不相一致时，在不影响项目进度的情况下，由双方协商解决。当上述文件出现前后不一致时，按文件签发的时间顺序，以最晚发生的文件为准。</w:t>
      </w:r>
      <w:r>
        <w:rPr>
          <w:color w:val="000000" w:themeColor="text1"/>
        </w:rPr>
      </w:r>
      <w:r/>
    </w:p>
    <w:p>
      <w:pPr>
        <w:pStyle w:val="738"/>
        <w:ind w:firstLine="482"/>
        <w:spacing w:before="0" w:after="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七、甲方责任与义务</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督促乙方全面履行本合同，指导、监督、检查乙方项目质量、工期、安全、文明施工等方面工作，乙方应给予积极配合和支持。对达不到规定要求的，甲方提出限期整改，并督促完善为止。若乙方整改措施不力，甲方将依据整改情况予以处罚。</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（二）根据乙方制定的设计要求和施工计划，甲方负责落实各项管理协调工作。</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（三）甲方负责联系乙方安装工程可能需要的临时工作间，以便存放必要的设备材料和仪器工具，费用由乙方自理。</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（四）甲方应按合同规定支付工程款。</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（五）甲方负责联系乙方安装工程所需要的水电供应，费用由乙方承担。</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（六）本项目安装过程中产生的其他费用由乙方自己承担。</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八、甲方代表</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甲方任命</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为驻施工现场代表，按照以下要求，行使合同约定的权利，履行合同约定的职责：</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（一）甲方的指令、通知经甲方代表签字确认后，以书面形式交给乙方代表，乙方在回执上签署姓名和收到时间后生效。确有必要时，甲方代表可发出口头指令，并在四十八（48）小时</w:t>
      </w:r>
      <w:r>
        <w:rPr>
          <w:rFonts w:hint="eastAsia" w:ascii="宋体" w:hAnsi="宋体" w:cs="宋体"/>
          <w:color w:val="000000" w:themeColor="text1"/>
          <w:sz w:val="24"/>
          <w:highlight w:val="none"/>
        </w:rPr>
        <w:t xml:space="preserve">内给予书面确认，乙方对甲方代表发出口头指令后七（7）日内提出书面确认要求，甲方在乙方提出确认要求后四十八（48）小时内不予答复，应视为乙方要求已被确认。乙方认为甲方代表指令不合理，应在收到指令后二十四（24）小时内提出书面报告，甲方在收到乙方报告后二十四（24）小时内做出修改指令或继续执行原指令的决定，经确认后，以书面形式通知乙方。紧急情况下，甲方代表要求乙方立即执行的指令或乙方虽有异议，但甲方决定仍继续执行的指令，乙方应予执行。因指令错误发生的追加合同价款和给乙方造成的损失由甲方承担，延误的工期相应顺延。</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应按合同约定及时向乙方提供所需指令、批准及图纸等资料，并履行其他约定的义务，否则，乙方在事件发生后二十四（24）小时内将具体要求、需要的理由和迟误的后果通知甲方代表，甲方收到通知后四十八（48）小时内不予答复，顺延因此延误的工期。</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（三）甲方代表人应提前七（7）日通知乙方，后任继续承担前任应负的责任（合同文件约定的义务和其职权内的承诺）。</w:t>
      </w:r>
      <w:r>
        <w:rPr>
          <w:color w:val="000000" w:themeColor="text1"/>
        </w:rPr>
      </w:r>
      <w:r/>
    </w:p>
    <w:p>
      <w:pPr>
        <w:pStyle w:val="738"/>
        <w:ind w:firstLine="482"/>
        <w:spacing w:before="0" w:after="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九、乙方责任与义务</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（一）乙方负责完成</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项目的总体方案设计、施工组织设计、土建及附属设施建设、监测站相关监测设备购置、软件开发、安装调试、集成、检验验收、售后服务及为甲方提供相应的技术培训等。</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（二）与本项目相关的一切手续由乙方负责办理。乙方需协助开展本项目所在地政府等相关部门的协调及相关施工申请申报手续的办理。</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（三）乙方如确实要将部分工程分包给其他单位的，必须遵循国家有关规定并事先征得甲方的同意，且由乙方承担总包责任，及时协调、密切配合，直至全部工程竣工。</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（四）乙方应在投标踏勘的基础上，再次组织进行现场踏勘，对存在的问题、风险以列表的形式载入施工组织设计。施工组织设计视为乙方已经充分踏勘的前提下编制。</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（五）乙方必须服从就爱费单位依据相关法规对项目实施的管理，按规定向甲方工程师以书面形式提交施工月报、进度报告、支付申请等。</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（六）乙方负责按三方核准确认的进度计划精心组织施工，接受甲方对进度和质量等的监督、检查，确保项目按期保质保量完工和交付。</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（七）乙方必须及时按照甲方的要求与其他有关单位进行配合，提供与其他系统之间的通讯接口，且上述费用已含在合同总价之中。</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（八）乙方应承担本合同内非甲方提供、为完成承包范围内项目所需的一切费用。 </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（九）没有甲方书面同意，乙方不得将甲方或代表甲方提供的有关合同或文件、图纸等资料提供给乙方雇用于履行本合同以外的任何其他人。乙方应在完成本合同后将上述资料（全部拷贝）还给甲方。 </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（十）乙方应保证，甲方在中华人民共和国境内使用乙方提供的设备或设备的任何一部分时，免受第三方提出的侵犯其版权、专利权、商标权或工业设计权的起诉。</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（十一）乙方负责所有材料和设备的包装、装运、检验、保管和场内搬运。由此发生的一切费用应已包含在合同总价中。</w:t>
      </w:r>
      <w:r>
        <w:rPr>
          <w:color w:val="000000" w:themeColor="text1"/>
        </w:rPr>
      </w:r>
      <w:r/>
    </w:p>
    <w:p>
      <w:pPr>
        <w:pStyle w:val="784"/>
        <w:ind w:firstLine="48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1、包装应采取防潮、防晒、防锈、防腐蚀、防震及防止其他损坏的必要保护措施，乙方应承担由于其包装或防护措施不当而引起设备锈蚀、损坏和丢失的任何损失的责任或费用。</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2、乙方应将本合同下的全部设备运至现场，负责办理设备运至现场，包括合同规定的保险储存在内的一些事项，有关费用应包括在合同总价中。</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3、乙方应在设备到项目现场一周前通知甲方。乙方将现场设备运离工地，必须得到</w:t>
      </w:r>
      <w:r>
        <w:rPr>
          <w:rFonts w:hint="eastAsia"/>
          <w:color w:val="000000" w:themeColor="text1"/>
          <w:highlight w:val="none"/>
        </w:rPr>
        <w:t xml:space="preserve">甲方</w:t>
      </w:r>
      <w:r>
        <w:rPr>
          <w:color w:val="000000" w:themeColor="text1"/>
          <w:highlight w:val="none"/>
        </w:rPr>
        <w:t xml:space="preserve">工程师的批准。</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十二</w:t>
      </w:r>
      <w:r>
        <w:rPr>
          <w:color w:val="000000" w:themeColor="text1"/>
          <w:highlight w:val="none"/>
        </w:rPr>
        <w:t xml:space="preserve">）乙方应做好项目的施工日志等。 </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（十</w:t>
      </w:r>
      <w:r>
        <w:rPr>
          <w:rFonts w:hint="eastAsia"/>
          <w:color w:val="000000" w:themeColor="text1"/>
          <w:highlight w:val="none"/>
        </w:rPr>
        <w:t xml:space="preserve">三</w:t>
      </w:r>
      <w:r>
        <w:rPr>
          <w:color w:val="000000" w:themeColor="text1"/>
          <w:highlight w:val="none"/>
        </w:rPr>
        <w:t xml:space="preserve">）乙方</w:t>
      </w:r>
      <w:r>
        <w:rPr>
          <w:rFonts w:hint="eastAsia"/>
          <w:color w:val="000000" w:themeColor="text1"/>
          <w:highlight w:val="none"/>
        </w:rPr>
        <w:t xml:space="preserve">签订</w:t>
      </w:r>
      <w:r>
        <w:rPr>
          <w:color w:val="000000" w:themeColor="text1"/>
          <w:highlight w:val="none"/>
        </w:rPr>
        <w:t xml:space="preserve">施工承包合同后，应根据项目进度和质量需要，人员必须有选择的配套进场，在进场前必须向甲方申报，经批准后方可进场，同时交人员花名册（分管理人员和实施人员，并按姓名、性别、年龄、工种、技术等级、身份证号码等填写）三份以及有关证件的复印件。</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（十</w:t>
      </w:r>
      <w:r>
        <w:rPr>
          <w:rFonts w:hint="eastAsia"/>
          <w:color w:val="000000" w:themeColor="text1"/>
          <w:highlight w:val="none"/>
        </w:rPr>
        <w:t xml:space="preserve">四</w:t>
      </w:r>
      <w:r>
        <w:rPr>
          <w:color w:val="000000" w:themeColor="text1"/>
          <w:highlight w:val="none"/>
        </w:rPr>
        <w:t xml:space="preserve">）从乙方进入施工现场之日起，乙方即承担起生产、生活临建、临时设施的维护责任，因乙方原因导致的房屋、道路、油漆完成面、临水管道、临电设施等临建损坏都视为乙方管理责任，由乙方无条件修复，由此导致的工期及费用发生，由甲方向乙方提出索赔。乙方负责安全防护，生产、生活区域的保洁、维护以及完工后在甲方规定时间内的拆除清理，并运至甲方指定的地点。</w:t>
      </w:r>
      <w:r>
        <w:rPr>
          <w:rFonts w:hint="eastAsia"/>
          <w:color w:val="000000" w:themeColor="text1"/>
          <w:highlight w:val="none"/>
        </w:rPr>
        <w:t xml:space="preserve">乙方应妥善保管因施工需要拆除的原有设施设备，并按甲方要求运至指定地点，由此产生的相关费用包含在合同总价中。</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（十</w:t>
      </w:r>
      <w:r>
        <w:rPr>
          <w:rFonts w:hint="eastAsia"/>
          <w:color w:val="000000" w:themeColor="text1"/>
          <w:highlight w:val="none"/>
        </w:rPr>
        <w:t xml:space="preserve">五</w:t>
      </w:r>
      <w:r>
        <w:rPr>
          <w:color w:val="000000" w:themeColor="text1"/>
          <w:highlight w:val="none"/>
        </w:rPr>
        <w:t xml:space="preserve">）乙方应认真遵守各种规章制度，做到遵纪守法、安全生产、文明施工、工完场清。按文明施工、安全施工及治安、环保等有关规定</w:t>
      </w:r>
      <w:r>
        <w:rPr>
          <w:rFonts w:hint="eastAsia"/>
          <w:color w:val="000000" w:themeColor="text1"/>
          <w:highlight w:val="none"/>
        </w:rPr>
        <w:t xml:space="preserve">做好</w:t>
      </w:r>
      <w:r>
        <w:rPr>
          <w:color w:val="000000" w:themeColor="text1"/>
          <w:highlight w:val="none"/>
        </w:rPr>
        <w:t xml:space="preserve">各项工作。若因乙方失责，</w:t>
      </w:r>
      <w:r>
        <w:rPr>
          <w:rFonts w:hint="eastAsia"/>
          <w:color w:val="000000" w:themeColor="text1"/>
          <w:highlight w:val="none"/>
        </w:rPr>
        <w:t xml:space="preserve">引致</w:t>
      </w:r>
      <w:r>
        <w:rPr>
          <w:color w:val="000000" w:themeColor="text1"/>
          <w:highlight w:val="none"/>
        </w:rPr>
        <w:t xml:space="preserve">有关管理部门处罚，乙方应负全部责任。如乙方人员在工地出现死亡事故，乙方应承担全部责任，甲方不承担任何相关责任。</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（十</w:t>
      </w:r>
      <w:r>
        <w:rPr>
          <w:rFonts w:hint="eastAsia"/>
          <w:color w:val="000000" w:themeColor="text1"/>
          <w:highlight w:val="none"/>
        </w:rPr>
        <w:t xml:space="preserve">六</w:t>
      </w:r>
      <w:r>
        <w:rPr>
          <w:color w:val="000000" w:themeColor="text1"/>
          <w:highlight w:val="none"/>
        </w:rPr>
        <w:t xml:space="preserve">）乙方负责场内属乙方操作的机械、用具的调试、保养、维修及妥善保管等。</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上述是乙方为完成合同内</w:t>
      </w:r>
      <w:r>
        <w:rPr>
          <w:rFonts w:hint="eastAsia"/>
          <w:color w:val="000000" w:themeColor="text1"/>
          <w:highlight w:val="none"/>
        </w:rPr>
        <w:t xml:space="preserve">工作所必须</w:t>
      </w:r>
      <w:r>
        <w:rPr>
          <w:color w:val="000000" w:themeColor="text1"/>
          <w:highlight w:val="none"/>
        </w:rPr>
        <w:t xml:space="preserve">履行的义务和责任。乙方不履行上述各项义务造成工期延误和项目损失的，应对甲方的损失给予赔偿。</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十、乙方代表</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乙方任命</w:t>
      </w:r>
      <w:r>
        <w:rPr>
          <w:rFonts w:hint="eastAsia"/>
          <w:color w:val="000000" w:themeColor="text1"/>
          <w:highlight w:val="none"/>
          <w:u w:val="single"/>
        </w:rPr>
        <w:t xml:space="preserve"> </w:t>
      </w:r>
      <w:r>
        <w:rPr>
          <w:color w:val="000000" w:themeColor="text1"/>
          <w:highlight w:val="none"/>
          <w:u w:val="single"/>
        </w:rPr>
        <w:t xml:space="preserve">    </w:t>
      </w:r>
      <w:r>
        <w:rPr>
          <w:color w:val="000000" w:themeColor="text1"/>
          <w:highlight w:val="none"/>
        </w:rPr>
        <w:t xml:space="preserve">为驻施工现场负责人，按以下要求行使合同约定的权利，履行合同约定的职责：</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（一）乙方的要求、请求和通知，以书面形式由乙方代表签字后送交甲方，甲方在回执上签署姓名和收到时间后生效。</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二）乙方代表按甲方批准的施工组织设计（或施工方案）和依据合同发出的指令、要求组织施工。在情况紧急且无法与甲方联系的情况下，可采取保证系统和人员生命、财产安全的紧急措施，并在采取措施后24小时内向甲方</w:t>
      </w:r>
      <w:r>
        <w:rPr>
          <w:rFonts w:hint="eastAsia"/>
          <w:color w:val="000000" w:themeColor="text1"/>
          <w:highlight w:val="none"/>
        </w:rPr>
        <w:t xml:space="preserve">报</w:t>
      </w:r>
      <w:r>
        <w:rPr>
          <w:color w:val="000000" w:themeColor="text1"/>
          <w:highlight w:val="none"/>
        </w:rPr>
        <w:t xml:space="preserve">告。</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（三）乙方</w:t>
      </w:r>
      <w:r>
        <w:rPr>
          <w:rFonts w:hint="eastAsia"/>
          <w:color w:val="000000" w:themeColor="text1"/>
          <w:highlight w:val="none"/>
        </w:rPr>
        <w:t xml:space="preserve">代表</w:t>
      </w:r>
      <w:r>
        <w:rPr>
          <w:color w:val="000000" w:themeColor="text1"/>
          <w:highlight w:val="none"/>
        </w:rPr>
        <w:t xml:space="preserve">人应提前7天通知甲方，并经甲方同意后，后任继续承担前任应负的责任（合同文件约定的义务和其职权内的承诺）。</w:t>
      </w:r>
      <w:r>
        <w:rPr>
          <w:color w:val="000000" w:themeColor="text1"/>
        </w:rPr>
      </w:r>
      <w:r/>
    </w:p>
    <w:p>
      <w:pPr>
        <w:pStyle w:val="738"/>
        <w:ind w:firstLine="482"/>
        <w:spacing w:before="0" w:after="0" w:line="360" w:lineRule="auto"/>
        <w:rPr>
          <w:color w:val="000000" w:themeColor="text1"/>
          <w:highlight w:val="none"/>
        </w:rPr>
      </w:pPr>
      <w:r>
        <w:rPr>
          <w:color w:val="000000" w:themeColor="text1"/>
        </w:rPr>
      </w:r>
      <w:bookmarkStart w:id="62" w:name="_Toc61236978"/>
      <w:r>
        <w:rPr>
          <w:color w:val="000000" w:themeColor="text1"/>
        </w:rPr>
      </w:r>
      <w:bookmarkStart w:id="63" w:name="_Toc60407589"/>
      <w:r>
        <w:rPr>
          <w:color w:val="000000" w:themeColor="text1"/>
        </w:rPr>
      </w:r>
      <w:bookmarkStart w:id="64" w:name="_Toc60518197"/>
      <w:r>
        <w:rPr>
          <w:color w:val="000000" w:themeColor="text1"/>
        </w:rPr>
      </w:r>
      <w:bookmarkStart w:id="65" w:name="_Toc60437610"/>
      <w:r>
        <w:rPr>
          <w:color w:val="000000" w:themeColor="text1"/>
        </w:rPr>
      </w:r>
      <w:bookmarkStart w:id="66" w:name="_Toc60437502"/>
      <w:r>
        <w:rPr>
          <w:color w:val="000000" w:themeColor="text1"/>
          <w:highlight w:val="none"/>
        </w:rPr>
        <w:t xml:space="preserve">十一、履约保证金</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（一）乙方应在与甲方签订合同后15</w:t>
      </w:r>
      <w:r>
        <w:rPr>
          <w:rFonts w:hint="eastAsia"/>
          <w:color w:val="000000" w:themeColor="text1"/>
          <w:sz w:val="24"/>
          <w:highlight w:val="none"/>
        </w:rPr>
        <w:t xml:space="preserve">个工作日</w:t>
      </w:r>
      <w:r>
        <w:rPr>
          <w:color w:val="000000" w:themeColor="text1"/>
          <w:sz w:val="24"/>
          <w:highlight w:val="none"/>
        </w:rPr>
        <w:t xml:space="preserve">内，以银行保函方式向甲方提交履约保证金，履约保证金的金额</w:t>
      </w:r>
      <w:r>
        <w:rPr>
          <w:rFonts w:hint="eastAsia"/>
          <w:color w:val="000000" w:themeColor="text1"/>
          <w:sz w:val="24"/>
          <w:highlight w:val="none"/>
        </w:rPr>
        <w:t xml:space="preserve">为</w:t>
      </w:r>
      <w:r>
        <w:rPr>
          <w:color w:val="000000" w:themeColor="text1"/>
          <w:sz w:val="24"/>
          <w:highlight w:val="none"/>
        </w:rPr>
        <w:t xml:space="preserve">合同总价的10％。</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（二）履约保证金用于补偿甲方因乙方不能完成其合同义务而蒙受的损失。</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（三）</w:t>
      </w:r>
      <w:r>
        <w:rPr>
          <w:rFonts w:hint="eastAsia"/>
          <w:color w:val="000000" w:themeColor="text1"/>
          <w:sz w:val="24"/>
          <w:highlight w:val="none"/>
        </w:rPr>
        <w:t xml:space="preserve">项目经甲方组织的</w:t>
      </w:r>
      <w:r>
        <w:rPr>
          <w:rFonts w:hint="eastAsia"/>
          <w:color w:val="000000" w:themeColor="text1"/>
          <w:sz w:val="24"/>
          <w:highlight w:val="none"/>
          <w:lang w:val="en-US" w:eastAsia="zh-CN"/>
        </w:rPr>
        <w:t xml:space="preserve">试运行</w:t>
      </w:r>
      <w:r>
        <w:rPr>
          <w:rFonts w:hint="eastAsia"/>
          <w:color w:val="000000" w:themeColor="text1"/>
          <w:sz w:val="24"/>
          <w:highlight w:val="none"/>
          <w:lang w:eastAsia="zh-CN"/>
        </w:rPr>
        <w:t xml:space="preserve">验收</w:t>
      </w:r>
      <w:r>
        <w:rPr>
          <w:rFonts w:hint="eastAsia"/>
          <w:color w:val="000000" w:themeColor="text1"/>
          <w:sz w:val="24"/>
          <w:highlight w:val="none"/>
        </w:rPr>
        <w:t xml:space="preserve">合格后，退还乙方履约保函。</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（四）履约保证金货币：人民币。</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十二、工程款支付及结算方式</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（一）工程款支付</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（1）预付款：中标供应商与采购人合同签订后，中标供应商提交合同总金额10%的履约保函并经采购人审核无误后，15个工作日内采购人向中标供应商支付合同总金额的30%作为预付款。</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工程进度款：第一期进度款为合同总金额的40%，根据设备到货情况分批支付第一期进度款，设备到货，完成开箱验收后，甲方向乙方支付的每批次费用为（到货设备投标合价/所有设备投标总价）×第一期进度款金额；第二期进度款为合同总金额的20%，完成所有测站基础设施建设以及设备安装调试合格，甲方支付第二期进度款；第三期进度款为</w:t>
      </w:r>
      <w:r>
        <w:rPr>
          <w:rFonts w:hint="eastAsia" w:asciiTheme="minorEastAsia" w:hAnsiTheme="minorEastAsia" w:eastAsiaTheme="minorEastAsia" w:cstheme="minorEastAsia"/>
          <w:color w:val="000000" w:themeColor="text1"/>
          <w:sz w:val="24"/>
          <w:szCs w:val="24"/>
          <w:highlight w:val="none"/>
          <w:lang w:val="en-US" w:eastAsia="zh-CN"/>
        </w:rPr>
        <w:t xml:space="preserve">合同</w:t>
      </w:r>
      <w:r>
        <w:rPr>
          <w:rFonts w:hint="eastAsia" w:asciiTheme="minorEastAsia" w:hAnsiTheme="minorEastAsia" w:eastAsiaTheme="minorEastAsia" w:cstheme="minorEastAsia"/>
          <w:color w:val="000000" w:themeColor="text1"/>
          <w:sz w:val="24"/>
          <w:szCs w:val="24"/>
          <w:highlight w:val="none"/>
        </w:rPr>
        <w:t xml:space="preserve">完工验收后，甲方向乙方支付至合同审定金额的100%。试运行完成，经甲方对试运行结果确认后，乙方向甲方提交合同审定金额3%的质量保函（质量保函期限为自试运行期完成之日起</w:t>
      </w:r>
      <w:r>
        <w:rPr>
          <w:rFonts w:hint="eastAsia" w:asciiTheme="minorEastAsia" w:hAnsiTheme="minorEastAsia" w:eastAsiaTheme="minorEastAsia" w:cstheme="minorEastAsia"/>
          <w:color w:val="000000" w:themeColor="text1"/>
          <w:sz w:val="24"/>
          <w:szCs w:val="24"/>
          <w:highlight w:val="none"/>
          <w:lang w:val="en-US" w:eastAsia="zh-CN"/>
        </w:rPr>
        <w:t xml:space="preserve">24</w:t>
      </w:r>
      <w:r>
        <w:rPr>
          <w:rFonts w:hint="eastAsia" w:asciiTheme="minorEastAsia" w:hAnsiTheme="minorEastAsia" w:eastAsiaTheme="minorEastAsia" w:cstheme="minorEastAsia"/>
          <w:color w:val="000000" w:themeColor="text1"/>
          <w:sz w:val="24"/>
          <w:szCs w:val="24"/>
          <w:highlight w:val="none"/>
        </w:rPr>
        <w:t xml:space="preserve">个月），甲方退还履约保函。</w:t>
      </w:r>
      <w:r>
        <w:rPr>
          <w:color w:val="000000" w:themeColor="text1"/>
        </w:rPr>
      </w:r>
      <w:r/>
    </w:p>
    <w:p>
      <w:pPr>
        <w:ind w:firstLine="480"/>
        <w:jc w:val="left"/>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工程款支付货币为人民币，所有工程款支付均需中标供应商出具发票。</w:t>
      </w:r>
      <w:r>
        <w:rPr>
          <w:color w:val="000000" w:themeColor="text1"/>
        </w:rPr>
      </w:r>
      <w:r/>
    </w:p>
    <w:p>
      <w:pPr>
        <w:ind w:firstLine="480"/>
        <w:jc w:val="left"/>
        <w:spacing w:line="360" w:lineRule="auto"/>
        <w:rPr>
          <w:b/>
          <w:color w:val="000000" w:themeColor="text1"/>
          <w:sz w:val="24"/>
          <w:highlight w:val="none"/>
        </w:rPr>
      </w:pPr>
      <w:r>
        <w:rPr>
          <w:rFonts w:ascii="宋体" w:hAnsi="宋体"/>
          <w:color w:val="000000" w:themeColor="text1"/>
          <w:sz w:val="24"/>
          <w:highlight w:val="none"/>
        </w:rPr>
        <w:t xml:space="preserve">因本项目资金来源为中央预算内投资，</w:t>
      </w:r>
      <w:r>
        <w:rPr>
          <w:rFonts w:hint="eastAsia" w:ascii="宋体" w:hAnsi="宋体"/>
          <w:color w:val="000000" w:themeColor="text1"/>
          <w:sz w:val="24"/>
          <w:highlight w:val="none"/>
        </w:rPr>
        <w:t xml:space="preserve">乙方</w:t>
      </w:r>
      <w:r>
        <w:rPr>
          <w:rFonts w:ascii="宋体" w:hAnsi="宋体"/>
          <w:color w:val="000000" w:themeColor="text1"/>
          <w:sz w:val="24"/>
          <w:highlight w:val="none"/>
        </w:rPr>
        <w:t xml:space="preserve">充分理解并承诺若中央预算内投资不能及时到位或到位资金无法满足</w:t>
      </w:r>
      <w:r>
        <w:rPr>
          <w:rFonts w:hint="eastAsia" w:ascii="宋体" w:hAnsi="宋体"/>
          <w:color w:val="000000" w:themeColor="text1"/>
          <w:sz w:val="24"/>
          <w:highlight w:val="none"/>
        </w:rPr>
        <w:t xml:space="preserve">当前</w:t>
      </w:r>
      <w:r>
        <w:rPr>
          <w:rFonts w:ascii="宋体" w:hAnsi="宋体"/>
          <w:color w:val="000000" w:themeColor="text1"/>
          <w:sz w:val="24"/>
          <w:highlight w:val="none"/>
        </w:rPr>
        <w:t xml:space="preserve">实际需求时，自身的资金能力可以保证该项目的进度和质量，并不能因此影响工期</w:t>
      </w:r>
      <w:r>
        <w:rPr>
          <w:rFonts w:hint="eastAsia" w:ascii="宋体" w:hAnsi="宋体"/>
          <w:color w:val="000000" w:themeColor="text1"/>
          <w:sz w:val="24"/>
          <w:highlight w:val="none"/>
        </w:rPr>
        <w:t xml:space="preserve">。如本项目涉及农民工工资，乙方不得拖欠相应农民工工资结算和支付，对由此产生的一切后果，甲方不承担相关任何责任。</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（二）乙方不得拖欠工人或供货单位的结算和支付工作，对由此产生的一切责任和后果，甲方均不承担任何相关责任。</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（三）乙方在每次领取工程款的同时，应当按甲方财务部门要求</w:t>
      </w:r>
      <w:r>
        <w:rPr>
          <w:rFonts w:hint="eastAsia"/>
          <w:color w:val="000000" w:themeColor="text1"/>
          <w:sz w:val="24"/>
          <w:highlight w:val="none"/>
        </w:rPr>
        <w:t xml:space="preserve">开具正式发票，</w:t>
      </w:r>
      <w:r>
        <w:rPr>
          <w:color w:val="000000" w:themeColor="text1"/>
          <w:sz w:val="24"/>
          <w:highlight w:val="none"/>
        </w:rPr>
        <w:t xml:space="preserve">否则甲方有权不予支付</w:t>
      </w:r>
      <w:r>
        <w:rPr>
          <w:rFonts w:hint="eastAsia"/>
          <w:color w:val="000000" w:themeColor="text1"/>
          <w:sz w:val="24"/>
          <w:highlight w:val="none"/>
        </w:rPr>
        <w:t xml:space="preserve">。</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四</w:t>
      </w:r>
      <w:r>
        <w:rPr>
          <w:color w:val="000000" w:themeColor="text1"/>
          <w:sz w:val="24"/>
          <w:highlight w:val="none"/>
        </w:rPr>
        <w:t xml:space="preserve">）工程款的支付货币为人民币。</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十三、施工组织设计</w:t>
      </w:r>
      <w:r>
        <w:rPr>
          <w:color w:val="000000" w:themeColor="text1"/>
        </w:rPr>
      </w:r>
      <w:r/>
    </w:p>
    <w:p>
      <w:pPr>
        <w:pStyle w:val="784"/>
        <w:ind w:firstLine="480"/>
        <w:spacing w:line="360" w:lineRule="auto"/>
        <w:rPr>
          <w:color w:val="000000" w:themeColor="text1"/>
          <w:highlight w:val="none"/>
        </w:rPr>
      </w:pPr>
      <w:r>
        <w:rPr>
          <w:rFonts w:hint="eastAsia"/>
          <w:color w:val="000000" w:themeColor="text1"/>
          <w:highlight w:val="none"/>
        </w:rPr>
        <w:t xml:space="preserve">（一）乙方应在合同签订后七（</w:t>
      </w:r>
      <w:r>
        <w:rPr>
          <w:color w:val="000000" w:themeColor="text1"/>
          <w:highlight w:val="none"/>
        </w:rPr>
        <w:t xml:space="preserve">7</w:t>
      </w:r>
      <w:r>
        <w:rPr>
          <w:rFonts w:hint="eastAsia"/>
          <w:color w:val="000000" w:themeColor="text1"/>
          <w:highlight w:val="none"/>
        </w:rPr>
        <w:t xml:space="preserve">）个日历天内完成</w:t>
      </w:r>
      <w:r>
        <w:rPr>
          <w:rFonts w:hint="eastAsia"/>
          <w:color w:val="000000" w:themeColor="text1"/>
          <w:highlight w:val="none"/>
          <w:u w:val="single"/>
        </w:rPr>
        <w:t xml:space="preserve"> </w:t>
      </w:r>
      <w:r>
        <w:rPr>
          <w:color w:val="000000" w:themeColor="text1"/>
          <w:highlight w:val="none"/>
          <w:u w:val="single"/>
        </w:rPr>
        <w:t xml:space="preserve">                    </w:t>
      </w:r>
      <w:r>
        <w:rPr>
          <w:rFonts w:hint="eastAsia"/>
          <w:color w:val="000000" w:themeColor="text1"/>
          <w:highlight w:val="none"/>
          <w:u w:val="single"/>
        </w:rPr>
        <w:t xml:space="preserve">项目</w:t>
      </w:r>
      <w:r>
        <w:rPr>
          <w:rFonts w:hint="eastAsia"/>
          <w:color w:val="000000" w:themeColor="text1"/>
          <w:highlight w:val="none"/>
        </w:rPr>
        <w:t xml:space="preserve">的施工组织设计及施工方案，报甲方审批通过后正式实施。施工组织设计应按照程序由乙方单位技术负责人审核，并按甲方要求增补修改，并通过甲方组织的专家评审。如有必要，甲方将组织其他平行单位对方案进行质询。</w:t>
      </w:r>
      <w:r>
        <w:rPr>
          <w:color w:val="000000" w:themeColor="text1"/>
        </w:rPr>
      </w:r>
      <w:r/>
    </w:p>
    <w:p>
      <w:pPr>
        <w:pStyle w:val="784"/>
        <w:ind w:firstLine="480"/>
        <w:spacing w:line="360" w:lineRule="auto"/>
        <w:rPr>
          <w:color w:val="000000" w:themeColor="text1"/>
          <w:highlight w:val="none"/>
        </w:rPr>
      </w:pPr>
      <w:r>
        <w:rPr>
          <w:rFonts w:hint="eastAsia"/>
          <w:color w:val="000000" w:themeColor="text1"/>
          <w:highlight w:val="none"/>
        </w:rPr>
        <w:t xml:space="preserve">（二）</w:t>
      </w:r>
      <w:r>
        <w:rPr>
          <w:color w:val="000000" w:themeColor="text1"/>
          <w:highlight w:val="none"/>
        </w:rPr>
        <w:t xml:space="preserve">合同签订后</w:t>
      </w:r>
      <w:r>
        <w:rPr>
          <w:rFonts w:hint="eastAsia"/>
          <w:color w:val="000000" w:themeColor="text1"/>
          <w:highlight w:val="none"/>
          <w:lang w:val="en-US" w:eastAsia="zh-CN"/>
        </w:rPr>
        <w:t xml:space="preserve">90</w:t>
      </w:r>
      <w:r>
        <w:rPr>
          <w:rFonts w:hint="eastAsia"/>
          <w:color w:val="000000" w:themeColor="text1"/>
          <w:highlight w:val="none"/>
        </w:rPr>
        <w:t xml:space="preserve">个日历天内完成</w:t>
      </w:r>
      <w:r>
        <w:rPr>
          <w:color w:val="000000" w:themeColor="text1"/>
          <w:highlight w:val="none"/>
        </w:rPr>
        <w:t xml:space="preserve">安装调试</w:t>
      </w:r>
      <w:r>
        <w:rPr>
          <w:rFonts w:hint="eastAsia"/>
          <w:color w:val="000000" w:themeColor="text1"/>
          <w:highlight w:val="none"/>
        </w:rPr>
        <w:t xml:space="preserve">及系统联调、配套建安工程</w:t>
      </w:r>
      <w:r>
        <w:rPr>
          <w:color w:val="000000" w:themeColor="text1"/>
          <w:highlight w:val="none"/>
        </w:rPr>
        <w:t xml:space="preserve">施工；完成</w:t>
      </w:r>
      <w:r>
        <w:rPr>
          <w:rFonts w:hint="eastAsia"/>
          <w:color w:val="000000" w:themeColor="text1"/>
          <w:highlight w:val="none"/>
          <w:lang w:eastAsia="zh-CN"/>
        </w:rPr>
        <w:t xml:space="preserve">合同完工验收</w:t>
      </w:r>
      <w:r>
        <w:rPr>
          <w:color w:val="000000" w:themeColor="text1"/>
          <w:highlight w:val="none"/>
        </w:rPr>
        <w:t xml:space="preserve">。</w:t>
      </w:r>
      <w:r>
        <w:rPr>
          <w:color w:val="000000" w:themeColor="text1"/>
        </w:rPr>
      </w:r>
      <w:r/>
    </w:p>
    <w:p>
      <w:pPr>
        <w:pStyle w:val="784"/>
        <w:ind w:firstLine="480"/>
        <w:spacing w:line="36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三</w:t>
      </w:r>
      <w:r>
        <w:rPr>
          <w:color w:val="000000" w:themeColor="text1"/>
          <w:highlight w:val="none"/>
        </w:rPr>
        <w:t xml:space="preserve">）乙方必须按批准的进度计划组织施工，接受甲方对进度的检查、监督。项目实际进展与进度计划不符时，乙方应按甲方的要求提出改进措施，报甲方批准后执行。</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十四、联络会</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（一）在项目建设过程中，若发生重要事情需有关方面进行研究和讨论，可召开联络会解决。</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（二）每次联络会的会议纪要由</w:t>
      </w:r>
      <w:r>
        <w:rPr>
          <w:rFonts w:hint="eastAsia"/>
          <w:color w:val="000000" w:themeColor="text1"/>
          <w:sz w:val="24"/>
          <w:highlight w:val="none"/>
        </w:rPr>
        <w:t xml:space="preserve">甲方</w:t>
      </w:r>
      <w:r>
        <w:rPr>
          <w:color w:val="000000" w:themeColor="text1"/>
          <w:sz w:val="24"/>
          <w:highlight w:val="none"/>
        </w:rPr>
        <w:t xml:space="preserve">起草，经</w:t>
      </w:r>
      <w:r>
        <w:rPr>
          <w:rFonts w:hint="eastAsia"/>
          <w:color w:val="000000" w:themeColor="text1"/>
          <w:sz w:val="24"/>
          <w:highlight w:val="none"/>
        </w:rPr>
        <w:t xml:space="preserve">参会各方</w:t>
      </w:r>
      <w:r>
        <w:rPr>
          <w:color w:val="000000" w:themeColor="text1"/>
          <w:sz w:val="24"/>
          <w:highlight w:val="none"/>
        </w:rPr>
        <w:t xml:space="preserve">签</w:t>
      </w:r>
      <w:r>
        <w:rPr>
          <w:rFonts w:hint="eastAsia"/>
          <w:color w:val="000000" w:themeColor="text1"/>
          <w:sz w:val="24"/>
          <w:highlight w:val="none"/>
        </w:rPr>
        <w:t xml:space="preserve">字</w:t>
      </w:r>
      <w:r>
        <w:rPr>
          <w:color w:val="000000" w:themeColor="text1"/>
          <w:sz w:val="24"/>
          <w:highlight w:val="none"/>
        </w:rPr>
        <w:t xml:space="preserve">后遵照执行。</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（三）联络会由</w:t>
      </w:r>
      <w:r>
        <w:rPr>
          <w:rFonts w:hint="eastAsia"/>
          <w:color w:val="000000" w:themeColor="text1"/>
          <w:sz w:val="24"/>
          <w:highlight w:val="none"/>
        </w:rPr>
        <w:t xml:space="preserve">甲方</w:t>
      </w:r>
      <w:r>
        <w:rPr>
          <w:color w:val="000000" w:themeColor="text1"/>
          <w:sz w:val="24"/>
          <w:highlight w:val="none"/>
        </w:rPr>
        <w:t xml:space="preserve">组织，乙方承办。有关联络会准备、组织、安排的所有费用由乙方支付，该费用应已包含在合同总价中。会议所需的技术文件及工作设施由乙方提供。</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十五、合同执行进度</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（一）合同进度计划</w:t>
      </w:r>
      <w:r>
        <w:rPr>
          <w:color w:val="000000" w:themeColor="text1"/>
        </w:rPr>
      </w:r>
      <w:r/>
    </w:p>
    <w:p>
      <w:pPr>
        <w:ind w:firstLine="559"/>
        <w:spacing w:line="360" w:lineRule="auto"/>
        <w:rPr>
          <w:color w:val="000000" w:themeColor="text1"/>
          <w:sz w:val="24"/>
          <w:highlight w:val="none"/>
        </w:rPr>
      </w:pPr>
      <w:r>
        <w:rPr>
          <w:color w:val="000000" w:themeColor="text1"/>
          <w:sz w:val="24"/>
          <w:highlight w:val="none"/>
        </w:rPr>
        <w:t xml:space="preserve">乙方应根据</w:t>
      </w:r>
      <w:r>
        <w:rPr>
          <w:rFonts w:hint="eastAsia"/>
          <w:color w:val="000000" w:themeColor="text1"/>
          <w:sz w:val="24"/>
          <w:highlight w:val="none"/>
        </w:rPr>
        <w:t xml:space="preserve">甲方</w:t>
      </w:r>
      <w:r>
        <w:rPr>
          <w:color w:val="000000" w:themeColor="text1"/>
          <w:sz w:val="24"/>
          <w:highlight w:val="none"/>
        </w:rPr>
        <w:t xml:space="preserve">的</w:t>
      </w:r>
      <w:r>
        <w:rPr>
          <w:rFonts w:hint="eastAsia"/>
          <w:color w:val="000000" w:themeColor="text1"/>
          <w:sz w:val="24"/>
          <w:highlight w:val="none"/>
        </w:rPr>
        <w:t xml:space="preserve">要求</w:t>
      </w:r>
      <w:r>
        <w:rPr>
          <w:color w:val="000000" w:themeColor="text1"/>
          <w:sz w:val="24"/>
          <w:highlight w:val="none"/>
        </w:rPr>
        <w:t xml:space="preserve">，编制施工进度计划，并报批。</w:t>
      </w:r>
      <w:r>
        <w:rPr>
          <w:color w:val="000000" w:themeColor="text1"/>
        </w:rPr>
      </w:r>
      <w:r/>
    </w:p>
    <w:p>
      <w:pPr>
        <w:ind w:left="60" w:firstLine="360"/>
        <w:jc w:val="left"/>
        <w:spacing w:line="360" w:lineRule="auto"/>
        <w:rPr>
          <w:color w:val="000000" w:themeColor="text1"/>
          <w:sz w:val="24"/>
          <w:highlight w:val="none"/>
        </w:rPr>
      </w:pPr>
      <w:r>
        <w:rPr>
          <w:color w:val="000000" w:themeColor="text1"/>
          <w:sz w:val="24"/>
          <w:highlight w:val="none"/>
        </w:rPr>
        <w:t xml:space="preserve">（二）工程开工和完工</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（1）开工：合同生效后乙方完成施工组织设计和施工方案，报甲方审批通过后即为开工之日。乙方开工后按工程进度计划进行工作。</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（2）甲方延误开工：甲方未能按合同规定向乙方提供开工的必要条件，乙方有权提出延长工期的要求。</w:t>
      </w:r>
      <w:r>
        <w:rPr>
          <w:rFonts w:hint="eastAsia"/>
          <w:color w:val="000000" w:themeColor="text1"/>
          <w:sz w:val="24"/>
          <w:highlight w:val="none"/>
        </w:rPr>
        <w:t xml:space="preserve">甲方</w:t>
      </w:r>
      <w:r>
        <w:rPr>
          <w:color w:val="000000" w:themeColor="text1"/>
          <w:sz w:val="24"/>
          <w:highlight w:val="none"/>
        </w:rPr>
        <w:t xml:space="preserve">应在收到乙方的要求后立即与乙方</w:t>
      </w:r>
      <w:r>
        <w:rPr>
          <w:rFonts w:hint="eastAsia"/>
          <w:color w:val="000000" w:themeColor="text1"/>
          <w:sz w:val="24"/>
          <w:highlight w:val="none"/>
        </w:rPr>
        <w:t xml:space="preserve">协商</w:t>
      </w:r>
      <w:r>
        <w:rPr>
          <w:color w:val="000000" w:themeColor="text1"/>
          <w:sz w:val="24"/>
          <w:highlight w:val="none"/>
        </w:rPr>
        <w:t xml:space="preserve">补救办法，</w:t>
      </w:r>
      <w:r>
        <w:rPr>
          <w:rFonts w:hint="eastAsia"/>
          <w:color w:val="000000" w:themeColor="text1"/>
          <w:sz w:val="24"/>
          <w:highlight w:val="none"/>
        </w:rPr>
        <w:t xml:space="preserve">且</w:t>
      </w:r>
      <w:r>
        <w:rPr>
          <w:color w:val="000000" w:themeColor="text1"/>
          <w:sz w:val="24"/>
          <w:highlight w:val="none"/>
        </w:rPr>
        <w:t xml:space="preserve">不因此而增加费用。</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（3）乙方延误工期：由于乙方的原因，导致工期延误，应按</w:t>
      </w:r>
      <w:r>
        <w:rPr>
          <w:rFonts w:hint="eastAsia"/>
          <w:color w:val="000000" w:themeColor="text1"/>
          <w:sz w:val="24"/>
          <w:highlight w:val="none"/>
        </w:rPr>
        <w:t xml:space="preserve">甲方</w:t>
      </w:r>
      <w:r>
        <w:rPr>
          <w:color w:val="000000" w:themeColor="text1"/>
          <w:sz w:val="24"/>
          <w:highlight w:val="none"/>
        </w:rPr>
        <w:t xml:space="preserve">的</w:t>
      </w:r>
      <w:r>
        <w:rPr>
          <w:rFonts w:hint="eastAsia"/>
          <w:color w:val="000000" w:themeColor="text1"/>
          <w:sz w:val="24"/>
          <w:highlight w:val="none"/>
        </w:rPr>
        <w:t xml:space="preserve">要求</w:t>
      </w:r>
      <w:r>
        <w:rPr>
          <w:color w:val="000000" w:themeColor="text1"/>
          <w:sz w:val="24"/>
          <w:highlight w:val="none"/>
        </w:rPr>
        <w:t xml:space="preserve">，编制详细的赶工期措施报</w:t>
      </w:r>
      <w:r>
        <w:rPr>
          <w:rFonts w:hint="eastAsia"/>
          <w:color w:val="000000" w:themeColor="text1"/>
          <w:sz w:val="24"/>
          <w:highlight w:val="none"/>
        </w:rPr>
        <w:t xml:space="preserve">甲方</w:t>
      </w:r>
      <w:r>
        <w:rPr>
          <w:color w:val="000000" w:themeColor="text1"/>
          <w:sz w:val="24"/>
          <w:highlight w:val="none"/>
        </w:rPr>
        <w:t xml:space="preserve">审批。赶工期措施报告应详细说明不能及时组织施工的原因和赶工期的办法，由此增加的费用和工期延误责任由乙方承担。</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（4）暂停施工</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乙方暂停施工的责任：属于下列任何一种情况引起的暂停施工，乙方不能提出增加费用和延长工期的要求：</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1）由于乙方违约引起的暂停施工。</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2）由于现场非异常恶劣气候条件引起的正常停工。</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3）为工程的合理施工和保证安全所必须的暂停施工。</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4）未得到</w:t>
      </w:r>
      <w:r>
        <w:rPr>
          <w:rFonts w:hint="eastAsia"/>
          <w:color w:val="000000" w:themeColor="text1"/>
          <w:sz w:val="24"/>
          <w:highlight w:val="none"/>
        </w:rPr>
        <w:t xml:space="preserve">甲方许可</w:t>
      </w:r>
      <w:r>
        <w:rPr>
          <w:color w:val="000000" w:themeColor="text1"/>
          <w:sz w:val="24"/>
          <w:highlight w:val="none"/>
        </w:rPr>
        <w:t xml:space="preserve">乙方擅自停工。</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5）</w:t>
      </w:r>
      <w:r>
        <w:rPr>
          <w:rFonts w:hint="eastAsia"/>
          <w:color w:val="000000" w:themeColor="text1"/>
          <w:sz w:val="24"/>
          <w:highlight w:val="none"/>
        </w:rPr>
        <w:t xml:space="preserve">其他</w:t>
      </w:r>
      <w:r>
        <w:rPr>
          <w:color w:val="000000" w:themeColor="text1"/>
          <w:sz w:val="24"/>
          <w:highlight w:val="none"/>
        </w:rPr>
        <w:t xml:space="preserve">由于乙方原因引起的暂停施工。</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甲方暂停施工的责任：由于甲方原因引起的暂停施工，属于甲方责任，由此造成的工期延误，经双方协商后顺延。</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（5）暂停施工后的复工</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工程暂停施工后，甲方和乙方协商采取有效措施积极消除停工因素的影响。当工程具备复工条件时，</w:t>
      </w:r>
      <w:r>
        <w:rPr>
          <w:rFonts w:hint="eastAsia"/>
          <w:color w:val="000000" w:themeColor="text1"/>
          <w:sz w:val="24"/>
          <w:highlight w:val="none"/>
        </w:rPr>
        <w:t xml:space="preserve">甲方</w:t>
      </w:r>
      <w:r>
        <w:rPr>
          <w:color w:val="000000" w:themeColor="text1"/>
          <w:sz w:val="24"/>
          <w:highlight w:val="none"/>
        </w:rPr>
        <w:t xml:space="preserve">应及时向乙方发出复工通知，乙方收到复工通知后，应在</w:t>
      </w:r>
      <w:r>
        <w:rPr>
          <w:rFonts w:hint="eastAsia"/>
          <w:color w:val="000000" w:themeColor="text1"/>
          <w:sz w:val="24"/>
          <w:highlight w:val="none"/>
        </w:rPr>
        <w:t xml:space="preserve">甲方</w:t>
      </w:r>
      <w:r>
        <w:rPr>
          <w:color w:val="000000" w:themeColor="text1"/>
          <w:sz w:val="24"/>
          <w:highlight w:val="none"/>
        </w:rPr>
        <w:t xml:space="preserve">指定的期限内复工。若乙方无故拖延或拒绝复工，由此增加的费用和工期延误责任由乙方承担。</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（6）合同工期：合同签订</w:t>
      </w:r>
      <w:r>
        <w:rPr>
          <w:rFonts w:hint="eastAsia"/>
          <w:color w:val="000000" w:themeColor="text1"/>
          <w:sz w:val="24"/>
          <w:highlight w:val="none"/>
        </w:rPr>
        <w:t xml:space="preserve">后</w:t>
      </w:r>
      <w:r>
        <w:rPr>
          <w:rFonts w:hint="eastAsia"/>
          <w:color w:val="000000" w:themeColor="text1"/>
          <w:sz w:val="24"/>
          <w:highlight w:val="none"/>
          <w:lang w:val="en-US" w:eastAsia="zh-CN"/>
        </w:rPr>
        <w:t xml:space="preserve">9</w:t>
      </w:r>
      <w:r>
        <w:rPr>
          <w:rFonts w:hint="eastAsia"/>
          <w:color w:val="000000" w:themeColor="text1"/>
          <w:sz w:val="24"/>
          <w:highlight w:val="none"/>
        </w:rPr>
        <w:t xml:space="preserve">0个日历天完成</w:t>
      </w:r>
      <w:r>
        <w:rPr>
          <w:color w:val="000000" w:themeColor="text1"/>
          <w:sz w:val="24"/>
          <w:highlight w:val="none"/>
        </w:rPr>
        <w:t xml:space="preserve">建设任务。</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（三）乙方应每月向甲方提供月报，内容包括</w:t>
      </w:r>
      <w:r>
        <w:rPr>
          <w:rFonts w:hint="eastAsia"/>
          <w:color w:val="000000" w:themeColor="text1"/>
          <w:sz w:val="24"/>
          <w:highlight w:val="none"/>
        </w:rPr>
        <w:t xml:space="preserve">但</w:t>
      </w:r>
      <w:r>
        <w:rPr>
          <w:color w:val="000000" w:themeColor="text1"/>
          <w:sz w:val="24"/>
          <w:highlight w:val="none"/>
        </w:rPr>
        <w:t xml:space="preserve">不限于：项目进度和计划执行情况，已完成的项目，有无遇到困难和障碍，本项目的预期效果，人员配置情况，有无项目变更及变更情况</w:t>
      </w:r>
      <w:r>
        <w:rPr>
          <w:rFonts w:hint="eastAsia"/>
          <w:color w:val="000000" w:themeColor="text1"/>
          <w:sz w:val="24"/>
          <w:highlight w:val="none"/>
        </w:rPr>
        <w:t xml:space="preserve">或其他</w:t>
      </w:r>
      <w:r>
        <w:rPr>
          <w:color w:val="000000" w:themeColor="text1"/>
          <w:sz w:val="24"/>
          <w:highlight w:val="none"/>
        </w:rPr>
        <w:t xml:space="preserve">与本项目有关的甲方应该知道或甲方要求知道的情况。提交甲方确认。如有重大的问题或重要的变更发生，乙方应当在变更发生之日起</w:t>
      </w:r>
      <w:r>
        <w:rPr>
          <w:rFonts w:hint="eastAsia"/>
          <w:color w:val="000000" w:themeColor="text1"/>
          <w:sz w:val="24"/>
          <w:highlight w:val="none"/>
        </w:rPr>
        <w:t xml:space="preserve">五</w:t>
      </w:r>
      <w:r>
        <w:rPr>
          <w:color w:val="000000" w:themeColor="text1"/>
          <w:sz w:val="24"/>
          <w:highlight w:val="none"/>
        </w:rPr>
        <w:t xml:space="preserve">（</w:t>
      </w:r>
      <w:r>
        <w:rPr>
          <w:rFonts w:hint="eastAsia"/>
          <w:color w:val="000000" w:themeColor="text1"/>
          <w:sz w:val="24"/>
          <w:highlight w:val="none"/>
        </w:rPr>
        <w:t xml:space="preserve">5</w:t>
      </w:r>
      <w:r>
        <w:rPr>
          <w:color w:val="000000" w:themeColor="text1"/>
          <w:sz w:val="24"/>
          <w:highlight w:val="none"/>
        </w:rPr>
        <w:t xml:space="preserve">）日</w:t>
      </w:r>
      <w:r>
        <w:rPr>
          <w:rFonts w:hint="eastAsia"/>
          <w:color w:val="000000" w:themeColor="text1"/>
          <w:sz w:val="24"/>
          <w:highlight w:val="none"/>
        </w:rPr>
        <w:t xml:space="preserve">内</w:t>
      </w:r>
      <w:r>
        <w:rPr>
          <w:color w:val="000000" w:themeColor="text1"/>
          <w:sz w:val="24"/>
          <w:highlight w:val="none"/>
        </w:rPr>
        <w:t xml:space="preserve">向</w:t>
      </w:r>
      <w:r>
        <w:rPr>
          <w:rFonts w:hint="eastAsia"/>
          <w:color w:val="000000" w:themeColor="text1"/>
          <w:sz w:val="24"/>
          <w:highlight w:val="none"/>
        </w:rPr>
        <w:t xml:space="preserve">甲方作出</w:t>
      </w:r>
      <w:r>
        <w:rPr>
          <w:color w:val="000000" w:themeColor="text1"/>
          <w:sz w:val="24"/>
          <w:highlight w:val="none"/>
        </w:rPr>
        <w:t xml:space="preserve">书面报告。乙方也应当在</w:t>
      </w:r>
      <w:r>
        <w:rPr>
          <w:rFonts w:hint="eastAsia"/>
          <w:color w:val="000000" w:themeColor="text1"/>
          <w:sz w:val="24"/>
          <w:highlight w:val="none"/>
        </w:rPr>
        <w:t xml:space="preserve">五</w:t>
      </w:r>
      <w:r>
        <w:rPr>
          <w:color w:val="000000" w:themeColor="text1"/>
          <w:sz w:val="24"/>
          <w:highlight w:val="none"/>
        </w:rPr>
        <w:t xml:space="preserve">（</w:t>
      </w:r>
      <w:r>
        <w:rPr>
          <w:rFonts w:hint="eastAsia"/>
          <w:color w:val="000000" w:themeColor="text1"/>
          <w:sz w:val="24"/>
          <w:highlight w:val="none"/>
        </w:rPr>
        <w:t xml:space="preserve">5</w:t>
      </w:r>
      <w:r>
        <w:rPr>
          <w:color w:val="000000" w:themeColor="text1"/>
          <w:sz w:val="24"/>
          <w:highlight w:val="none"/>
        </w:rPr>
        <w:t xml:space="preserve">）日内回复甲方在</w:t>
      </w:r>
      <w:r>
        <w:rPr>
          <w:rFonts w:hint="eastAsia"/>
          <w:color w:val="000000" w:themeColor="text1"/>
          <w:sz w:val="24"/>
          <w:highlight w:val="none"/>
        </w:rPr>
        <w:t xml:space="preserve">其他时间</w:t>
      </w:r>
      <w:r>
        <w:rPr>
          <w:color w:val="000000" w:themeColor="text1"/>
          <w:sz w:val="24"/>
          <w:highlight w:val="none"/>
        </w:rPr>
        <w:t xml:space="preserve">内提出的与本项目相关的询问。如乙方违反本条的规定，应该承担由此而引起的项目迟延和甲方不能及时付款或配合项目进行的后果。</w:t>
      </w:r>
      <w:r>
        <w:rPr>
          <w:rFonts w:hint="eastAsia"/>
          <w:color w:val="000000" w:themeColor="text1"/>
          <w:sz w:val="24"/>
          <w:highlight w:val="none"/>
        </w:rPr>
        <w:t xml:space="preserve">甲方</w:t>
      </w:r>
      <w:r>
        <w:rPr>
          <w:color w:val="000000" w:themeColor="text1"/>
          <w:sz w:val="24"/>
          <w:highlight w:val="none"/>
        </w:rPr>
        <w:t xml:space="preserve">在收到乙方的书面报告后，应当在</w:t>
      </w:r>
      <w:r>
        <w:rPr>
          <w:rFonts w:hint="eastAsia"/>
          <w:color w:val="000000" w:themeColor="text1"/>
          <w:sz w:val="24"/>
          <w:highlight w:val="none"/>
        </w:rPr>
        <w:t xml:space="preserve">五</w:t>
      </w:r>
      <w:r>
        <w:rPr>
          <w:color w:val="000000" w:themeColor="text1"/>
          <w:sz w:val="24"/>
          <w:highlight w:val="none"/>
        </w:rPr>
        <w:t xml:space="preserve">（</w:t>
      </w:r>
      <w:r>
        <w:rPr>
          <w:rFonts w:hint="eastAsia"/>
          <w:color w:val="000000" w:themeColor="text1"/>
          <w:sz w:val="24"/>
          <w:highlight w:val="none"/>
        </w:rPr>
        <w:t xml:space="preserve">5</w:t>
      </w:r>
      <w:r>
        <w:rPr>
          <w:color w:val="000000" w:themeColor="text1"/>
          <w:sz w:val="24"/>
          <w:highlight w:val="none"/>
        </w:rPr>
        <w:t xml:space="preserve">）日内回复乙方。</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十六、项目质量与验收</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（一）本项目以国家制定的施工及验收规范为质量评定标准。</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（二）乙方须严格按照国家颁布的施工操作规范进行施工，并应接受甲方的监督，承担本项目的一切质量事故或缺陷责任。乙方完工后，</w:t>
      </w:r>
      <w:r>
        <w:rPr>
          <w:rFonts w:hint="eastAsia"/>
          <w:color w:val="000000" w:themeColor="text1"/>
          <w:sz w:val="24"/>
          <w:highlight w:val="none"/>
        </w:rPr>
        <w:t xml:space="preserve">履行</w:t>
      </w:r>
      <w:r>
        <w:rPr>
          <w:color w:val="000000" w:themeColor="text1"/>
          <w:sz w:val="24"/>
          <w:highlight w:val="none"/>
        </w:rPr>
        <w:t xml:space="preserve">乙方自验、</w:t>
      </w:r>
      <w:r>
        <w:rPr>
          <w:rFonts w:hint="eastAsia"/>
          <w:color w:val="000000" w:themeColor="text1"/>
          <w:sz w:val="24"/>
          <w:highlight w:val="none"/>
        </w:rPr>
        <w:t xml:space="preserve">甲方</w:t>
      </w:r>
      <w:r>
        <w:rPr>
          <w:color w:val="000000" w:themeColor="text1"/>
          <w:sz w:val="24"/>
          <w:highlight w:val="none"/>
        </w:rPr>
        <w:t xml:space="preserve">抽验</w:t>
      </w:r>
      <w:r>
        <w:rPr>
          <w:rFonts w:hint="eastAsia"/>
          <w:color w:val="000000" w:themeColor="text1"/>
          <w:sz w:val="24"/>
          <w:highlight w:val="none"/>
        </w:rPr>
        <w:t xml:space="preserve">及</w:t>
      </w:r>
      <w:r>
        <w:rPr>
          <w:color w:val="000000" w:themeColor="text1"/>
          <w:sz w:val="24"/>
          <w:highlight w:val="none"/>
        </w:rPr>
        <w:t xml:space="preserve">终验程序，若验收不合格，由此产生的</w:t>
      </w:r>
      <w:r>
        <w:rPr>
          <w:rFonts w:hint="eastAsia"/>
          <w:color w:val="000000" w:themeColor="text1"/>
          <w:sz w:val="24"/>
          <w:highlight w:val="none"/>
        </w:rPr>
        <w:t xml:space="preserve">整改</w:t>
      </w:r>
      <w:r>
        <w:rPr>
          <w:color w:val="000000" w:themeColor="text1"/>
          <w:sz w:val="24"/>
          <w:highlight w:val="none"/>
        </w:rPr>
        <w:t xml:space="preserve">费用由乙方负担。</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（三）乙方应认真按照国家有关的标准、施工验收规范、规程和设计</w:t>
      </w:r>
      <w:r>
        <w:rPr>
          <w:rFonts w:hint="eastAsia"/>
          <w:color w:val="000000" w:themeColor="text1"/>
          <w:sz w:val="24"/>
          <w:highlight w:val="none"/>
        </w:rPr>
        <w:t xml:space="preserve">方案</w:t>
      </w:r>
      <w:r>
        <w:rPr>
          <w:color w:val="000000" w:themeColor="text1"/>
          <w:sz w:val="24"/>
          <w:highlight w:val="none"/>
        </w:rPr>
        <w:t xml:space="preserve">的要求以及甲方依据合同发出的指令施工，随时接受甲方的检查，为检查检验提供便利条件，并按甲方要求</w:t>
      </w:r>
      <w:r>
        <w:rPr>
          <w:rFonts w:hint="eastAsia"/>
          <w:color w:val="000000" w:themeColor="text1"/>
          <w:sz w:val="24"/>
          <w:highlight w:val="none"/>
        </w:rPr>
        <w:t xml:space="preserve">整改</w:t>
      </w:r>
      <w:r>
        <w:rPr>
          <w:color w:val="000000" w:themeColor="text1"/>
          <w:sz w:val="24"/>
          <w:highlight w:val="none"/>
        </w:rPr>
        <w:t xml:space="preserve">，承担</w:t>
      </w:r>
      <w:r>
        <w:rPr>
          <w:rFonts w:hint="eastAsia"/>
          <w:color w:val="000000" w:themeColor="text1"/>
          <w:sz w:val="24"/>
          <w:highlight w:val="none"/>
        </w:rPr>
        <w:t xml:space="preserve">整改</w:t>
      </w:r>
      <w:r>
        <w:rPr>
          <w:color w:val="000000" w:themeColor="text1"/>
          <w:sz w:val="24"/>
          <w:highlight w:val="none"/>
        </w:rPr>
        <w:t xml:space="preserve">费用。</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（四）本项目的质量监督由甲方按国家和现行的有关建设项目质量监督条例和规定执行。</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五</w:t>
      </w:r>
      <w:r>
        <w:rPr>
          <w:color w:val="000000" w:themeColor="text1"/>
          <w:sz w:val="24"/>
          <w:highlight w:val="none"/>
        </w:rPr>
        <w:t xml:space="preserve">）验收不合格，甲方</w:t>
      </w:r>
      <w:r>
        <w:rPr>
          <w:rFonts w:hint="eastAsia"/>
          <w:color w:val="000000" w:themeColor="text1"/>
          <w:sz w:val="24"/>
          <w:highlight w:val="none"/>
        </w:rPr>
        <w:t xml:space="preserve">每次处以</w:t>
      </w:r>
      <w:r>
        <w:rPr>
          <w:color w:val="000000" w:themeColor="text1"/>
          <w:sz w:val="24"/>
          <w:highlight w:val="none"/>
        </w:rPr>
        <w:t xml:space="preserve">乙方20000元的罚款</w:t>
      </w:r>
      <w:r>
        <w:rPr>
          <w:rFonts w:hint="eastAsia"/>
          <w:color w:val="000000" w:themeColor="text1"/>
          <w:sz w:val="24"/>
          <w:highlight w:val="none"/>
        </w:rPr>
        <w:t xml:space="preserve">，</w:t>
      </w:r>
      <w:r>
        <w:rPr>
          <w:color w:val="000000" w:themeColor="text1"/>
          <w:sz w:val="24"/>
          <w:highlight w:val="none"/>
        </w:rPr>
        <w:t xml:space="preserve">并在下次结算时扣除。</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六</w:t>
      </w:r>
      <w:r>
        <w:rPr>
          <w:color w:val="000000" w:themeColor="text1"/>
          <w:sz w:val="24"/>
          <w:highlight w:val="none"/>
        </w:rPr>
        <w:t xml:space="preserve">）质量验收及最终验收应遵照国家及招标文件的规定，由甲方组织验收。</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十七、设计变更</w:t>
      </w:r>
      <w:r>
        <w:rPr>
          <w:color w:val="000000" w:themeColor="text1"/>
        </w:rPr>
      </w:r>
      <w:r/>
    </w:p>
    <w:p>
      <w:pPr>
        <w:ind w:firstLine="480"/>
        <w:spacing w:line="360" w:lineRule="auto"/>
        <w:rPr>
          <w:rFonts w:ascii="宋体" w:hAnsi="宋体"/>
          <w:color w:val="000000" w:themeColor="text1"/>
          <w:sz w:val="24"/>
          <w:highlight w:val="none"/>
        </w:rPr>
      </w:pPr>
      <w:r>
        <w:rPr>
          <w:color w:val="000000" w:themeColor="text1"/>
        </w:rPr>
      </w:r>
      <w:bookmarkStart w:id="67" w:name="_Toc453148728"/>
      <w:r>
        <w:rPr>
          <w:rFonts w:ascii="宋体" w:hAnsi="宋体"/>
          <w:color w:val="000000" w:themeColor="text1"/>
          <w:sz w:val="24"/>
          <w:highlight w:val="none"/>
        </w:rPr>
        <w:t xml:space="preserve">（一）变更内容确定</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1、在施工中甲方如需对设计进行变更，应向乙方发出变更通知，乙方必须按通知进行变更。变更内容满足如下要求：</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（1）增减合同中约定的项目数量；</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（2）更改有关项目的性质、质量、规格；</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（3）增加项目需要的附加工作；</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（4）改变有关项目的施工</w:t>
      </w:r>
      <w:r>
        <w:rPr>
          <w:rFonts w:hint="eastAsia" w:ascii="宋体" w:hAnsi="宋体"/>
          <w:color w:val="000000" w:themeColor="text1"/>
          <w:sz w:val="24"/>
          <w:highlight w:val="none"/>
        </w:rPr>
        <w:t xml:space="preserve">时间</w:t>
      </w:r>
      <w:r>
        <w:rPr>
          <w:rFonts w:ascii="宋体" w:hAnsi="宋体"/>
          <w:color w:val="000000" w:themeColor="text1"/>
          <w:sz w:val="24"/>
          <w:highlight w:val="none"/>
        </w:rPr>
        <w:t xml:space="preserve">顺序。</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2、施工中乙方不得对原工程设计进行变更。因乙方擅自变更设计发生的费用和由此导致甲方的直接损失，由乙方承担，工期不予顺延。</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乙方在施工中提出的合理化建议</w:t>
      </w:r>
      <w:r>
        <w:rPr>
          <w:rFonts w:hint="eastAsia" w:ascii="宋体" w:hAnsi="宋体"/>
          <w:color w:val="000000" w:themeColor="text1"/>
          <w:sz w:val="24"/>
          <w:highlight w:val="none"/>
        </w:rPr>
        <w:t xml:space="preserve">涉及</w:t>
      </w:r>
      <w:r>
        <w:rPr>
          <w:rFonts w:ascii="宋体" w:hAnsi="宋体"/>
          <w:color w:val="000000" w:themeColor="text1"/>
          <w:sz w:val="24"/>
          <w:highlight w:val="none"/>
        </w:rPr>
        <w:t xml:space="preserve">对设计图纸或施工组织设计的更改及对材料、设备的换用，须经甲方同意。未经同意擅自更改或换用时，乙方承担由此发生的费用，并赔偿甲方的有关损失，工期不予顺延。</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3、其他变更</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合同履行中甲方要求变更工程质量标准及发生其他实质性变更，由双方协商解决。</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（二）变更价款确定</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乙方在工程变更确定后15日内，提出变更工程价款的报告，</w:t>
      </w:r>
      <w:r>
        <w:rPr>
          <w:rFonts w:hint="eastAsia" w:ascii="宋体" w:hAnsi="宋体"/>
          <w:color w:val="000000" w:themeColor="text1"/>
          <w:sz w:val="24"/>
          <w:highlight w:val="none"/>
        </w:rPr>
        <w:t xml:space="preserve">经审价机构审核及</w:t>
      </w:r>
      <w:r>
        <w:rPr>
          <w:rFonts w:ascii="宋体" w:hAnsi="宋体"/>
          <w:color w:val="000000" w:themeColor="text1"/>
          <w:sz w:val="24"/>
          <w:highlight w:val="none"/>
        </w:rPr>
        <w:t xml:space="preserve">甲方</w:t>
      </w:r>
      <w:r>
        <w:rPr>
          <w:rFonts w:hint="eastAsia" w:ascii="宋体" w:hAnsi="宋体"/>
          <w:color w:val="000000" w:themeColor="text1"/>
          <w:sz w:val="24"/>
          <w:highlight w:val="none"/>
        </w:rPr>
        <w:t xml:space="preserve">、乙方</w:t>
      </w:r>
      <w:r>
        <w:rPr>
          <w:rFonts w:ascii="宋体" w:hAnsi="宋体"/>
          <w:color w:val="000000" w:themeColor="text1"/>
          <w:sz w:val="24"/>
          <w:highlight w:val="none"/>
        </w:rPr>
        <w:t xml:space="preserve">确认后</w:t>
      </w:r>
      <w:r>
        <w:rPr>
          <w:rFonts w:hint="eastAsia" w:ascii="宋体" w:hAnsi="宋体"/>
          <w:color w:val="000000" w:themeColor="text1"/>
          <w:sz w:val="24"/>
          <w:highlight w:val="none"/>
        </w:rPr>
        <w:t xml:space="preserve">相应</w:t>
      </w:r>
      <w:r>
        <w:rPr>
          <w:rFonts w:ascii="宋体" w:hAnsi="宋体"/>
          <w:color w:val="000000" w:themeColor="text1"/>
          <w:sz w:val="24"/>
          <w:highlight w:val="none"/>
        </w:rPr>
        <w:t xml:space="preserve">调整合同价款。变更合同价款按下列方法进行：</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1、合同中已有适用于变更工程的价格，按合同已有的价格变更合同价款，并按报价时的优惠幅度调整；</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2、合同中只有</w:t>
      </w:r>
      <w:r>
        <w:rPr>
          <w:rFonts w:hint="eastAsia" w:ascii="宋体" w:hAnsi="宋体"/>
          <w:color w:val="000000" w:themeColor="text1"/>
          <w:sz w:val="24"/>
          <w:highlight w:val="none"/>
        </w:rPr>
        <w:t xml:space="preserve">类似</w:t>
      </w:r>
      <w:r>
        <w:rPr>
          <w:rFonts w:ascii="宋体" w:hAnsi="宋体"/>
          <w:color w:val="000000" w:themeColor="text1"/>
          <w:sz w:val="24"/>
          <w:highlight w:val="none"/>
        </w:rPr>
        <w:t xml:space="preserve">变更工程的价格，可参照类似价格变更合同价款，并按报价时的优惠幅度调整；</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3、合同中没有适用或类似</w:t>
      </w:r>
      <w:r>
        <w:rPr>
          <w:rFonts w:hint="eastAsia" w:ascii="宋体" w:hAnsi="宋体"/>
          <w:color w:val="000000" w:themeColor="text1"/>
          <w:sz w:val="24"/>
          <w:highlight w:val="none"/>
        </w:rPr>
        <w:t xml:space="preserve">的</w:t>
      </w:r>
      <w:r>
        <w:rPr>
          <w:rFonts w:ascii="宋体" w:hAnsi="宋体"/>
          <w:color w:val="000000" w:themeColor="text1"/>
          <w:sz w:val="24"/>
          <w:highlight w:val="none"/>
        </w:rPr>
        <w:t xml:space="preserve">变更工程的价格，由乙方根据当地同期价格信息提出适当的变更价格，并按报价时的优惠幅度进行调整</w:t>
      </w:r>
      <w:r>
        <w:rPr>
          <w:rFonts w:hint="eastAsia" w:ascii="宋体" w:hAnsi="宋体"/>
          <w:color w:val="000000" w:themeColor="text1"/>
          <w:sz w:val="24"/>
          <w:highlight w:val="none"/>
        </w:rPr>
        <w:t xml:space="preserve">。</w:t>
      </w:r>
      <w:r>
        <w:rPr>
          <w:color w:val="000000" w:themeColor="text1"/>
        </w:rPr>
      </w:r>
      <w:r/>
    </w:p>
    <w:p>
      <w:pPr>
        <w:pStyle w:val="783"/>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4、招标暂估价对应建设内容根据实际建设情况以审价机构审定价予以结算。</w:t>
      </w:r>
      <w:r>
        <w:rPr>
          <w:color w:val="000000" w:themeColor="text1"/>
        </w:rPr>
      </w:r>
      <w:r/>
    </w:p>
    <w:p>
      <w:pPr>
        <w:pStyle w:val="783"/>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5、</w:t>
      </w:r>
      <w:r>
        <w:rPr>
          <w:rFonts w:hAnsi="宋体"/>
          <w:color w:val="000000" w:themeColor="text1"/>
          <w:sz w:val="24"/>
          <w:szCs w:val="24"/>
          <w:highlight w:val="none"/>
        </w:rPr>
        <w:t xml:space="preserve">变更工程量按实结算。</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十八、文档资料</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（一）乙方项目部应</w:t>
      </w:r>
      <w:r>
        <w:rPr>
          <w:rFonts w:hint="eastAsia" w:ascii="宋体" w:hAnsi="宋体"/>
          <w:color w:val="000000" w:themeColor="text1"/>
          <w:sz w:val="24"/>
          <w:highlight w:val="none"/>
        </w:rPr>
        <w:t xml:space="preserve">配备</w:t>
      </w:r>
      <w:r>
        <w:rPr>
          <w:rFonts w:ascii="宋体" w:hAnsi="宋体"/>
          <w:color w:val="000000" w:themeColor="text1"/>
          <w:sz w:val="24"/>
          <w:highlight w:val="none"/>
        </w:rPr>
        <w:t xml:space="preserve">资料员。乙方的资料，应符合工程项目要求。</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（二）项目完工前，乙方应向甲方提交的资料至少包括：施工组织设计、施工方案、</w:t>
      </w:r>
      <w:r>
        <w:rPr>
          <w:rFonts w:hint="eastAsia" w:ascii="宋体" w:hAnsi="宋体"/>
          <w:color w:val="000000" w:themeColor="text1"/>
          <w:sz w:val="24"/>
          <w:highlight w:val="none"/>
        </w:rPr>
        <w:t xml:space="preserve">软件设计报告、</w:t>
      </w:r>
      <w:r>
        <w:rPr>
          <w:rFonts w:ascii="宋体" w:hAnsi="宋体"/>
          <w:color w:val="000000" w:themeColor="text1"/>
          <w:sz w:val="24"/>
          <w:highlight w:val="none"/>
        </w:rPr>
        <w:t xml:space="preserve">进度计划、项目部人员报审、设备材料进场报审（含开箱）、已安装设备设施一览表、随机资料台账、设备账户密码台账、设备保修资料、各类测试报告、设备安装调试报告、</w:t>
      </w:r>
      <w:r>
        <w:rPr>
          <w:rFonts w:hint="eastAsia" w:ascii="宋体" w:hAnsi="宋体"/>
          <w:color w:val="000000" w:themeColor="text1"/>
          <w:sz w:val="24"/>
          <w:highlight w:val="none"/>
        </w:rPr>
        <w:t xml:space="preserve">用户手册</w:t>
      </w:r>
      <w:r>
        <w:rPr>
          <w:rFonts w:ascii="宋体" w:hAnsi="宋体"/>
          <w:color w:val="000000" w:themeColor="text1"/>
          <w:sz w:val="24"/>
          <w:highlight w:val="none"/>
        </w:rPr>
        <w:t xml:space="preserve">等。</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（三）乙方应向甲方提交准确、清楚、完整的文档资料，满足系统安装、调试、运行、维护的需要，并与移交时的系统一致。</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（四）提交的文档应包括（不限于）供施工用的图纸和资料、设备资料</w:t>
      </w:r>
      <w:r>
        <w:rPr>
          <w:rFonts w:hint="eastAsia" w:ascii="宋体" w:hAnsi="宋体"/>
          <w:color w:val="000000" w:themeColor="text1"/>
          <w:sz w:val="24"/>
          <w:highlight w:val="none"/>
        </w:rPr>
        <w:t xml:space="preserve">以及其他</w:t>
      </w:r>
      <w:r>
        <w:rPr>
          <w:rFonts w:ascii="宋体" w:hAnsi="宋体"/>
          <w:color w:val="000000" w:themeColor="text1"/>
          <w:sz w:val="24"/>
          <w:highlight w:val="none"/>
        </w:rPr>
        <w:t xml:space="preserve">说明书等。</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）提</w:t>
      </w:r>
      <w:r>
        <w:rPr>
          <w:rFonts w:ascii="宋体" w:hAnsi="宋体"/>
          <w:color w:val="000000" w:themeColor="text1"/>
          <w:sz w:val="24"/>
          <w:highlight w:val="none"/>
        </w:rPr>
        <w:t xml:space="preserve">供施工用的图纸和资料。主要包括装置外形图、接线图等。</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2）设备资料。主要包括为本系统而购置的设备维护使用说明书、合格证，本系统的技术特性、维护使用说明书以及系统的内部接线图等。</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其他</w:t>
      </w:r>
      <w:r>
        <w:rPr>
          <w:rFonts w:ascii="宋体" w:hAnsi="宋体"/>
          <w:color w:val="000000" w:themeColor="text1"/>
          <w:sz w:val="24"/>
          <w:highlight w:val="none"/>
        </w:rPr>
        <w:t xml:space="preserve">说明书。主要包括在设备到场时提供的每</w:t>
      </w:r>
      <w:r>
        <w:rPr>
          <w:rFonts w:hint="eastAsia" w:ascii="宋体" w:hAnsi="宋体"/>
          <w:color w:val="000000" w:themeColor="text1"/>
          <w:sz w:val="24"/>
          <w:highlight w:val="none"/>
        </w:rPr>
        <w:t xml:space="preserve">台</w:t>
      </w:r>
      <w:r>
        <w:rPr>
          <w:rFonts w:ascii="宋体" w:hAnsi="宋体"/>
          <w:color w:val="000000" w:themeColor="text1"/>
          <w:sz w:val="24"/>
          <w:highlight w:val="none"/>
        </w:rPr>
        <w:t xml:space="preserve">设备详细的使用、维护说明以及在现场验收之前提供的系统的使用维护说明书等。</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4）提供的所有文档资料如为英文版本，需提供相应的中文翻译版本。</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5）项目完工验收前，乙方应按站点，向甲方提交站点竣工图，竣工图绘制应符合档案验收规定，并与实物一致。竣工图同时提交电子版。</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十九、技术培训</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（一）乙方应根据甲方的要求及乙方认为应予补充的内容制订一个详细的培训计划，并于培训开始前十五（15）天交给甲方征求意见，以确保培训工作的顺利进行，达到预期的目的。</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（二）培训期间，乙方应向甲方技术人员免费提供有关的仪器仪表、技术资料、</w:t>
      </w:r>
      <w:r>
        <w:rPr>
          <w:rFonts w:hint="eastAsia"/>
          <w:color w:val="000000" w:themeColor="text1"/>
          <w:sz w:val="24"/>
          <w:highlight w:val="none"/>
        </w:rPr>
        <w:t xml:space="preserve">其他</w:t>
      </w:r>
      <w:r>
        <w:rPr>
          <w:color w:val="000000" w:themeColor="text1"/>
          <w:sz w:val="24"/>
          <w:highlight w:val="none"/>
        </w:rPr>
        <w:t xml:space="preserve">必需品以及适当的办公室。相关的培训费、资料费以及甲方人员从到达至离开培训地点期间的旅行、食宿和当地交通等费用已计入投标总价中。</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二十、</w:t>
      </w:r>
      <w:bookmarkEnd w:id="67"/>
      <w:r>
        <w:rPr>
          <w:color w:val="000000" w:themeColor="text1"/>
          <w:highlight w:val="none"/>
        </w:rPr>
        <w:t xml:space="preserve">检验与验收</w:t>
      </w:r>
      <w:r>
        <w:rPr>
          <w:color w:val="000000" w:themeColor="text1"/>
        </w:rPr>
      </w:r>
      <w:r/>
    </w:p>
    <w:p>
      <w:pPr>
        <w:pStyle w:val="784"/>
        <w:ind w:firstLine="480"/>
        <w:jc w:val="both"/>
        <w:spacing w:line="360" w:lineRule="auto"/>
        <w:rPr>
          <w:rFonts w:ascii="宋体" w:hAnsi="宋体"/>
          <w:color w:val="000000" w:themeColor="text1"/>
          <w:highlight w:val="none"/>
        </w:rPr>
      </w:pPr>
      <w:r>
        <w:rPr>
          <w:color w:val="000000" w:themeColor="text1"/>
        </w:rPr>
      </w:r>
      <w:bookmarkStart w:id="68" w:name="_Toc453148730"/>
      <w:r>
        <w:rPr>
          <w:rFonts w:ascii="宋体" w:hAnsi="宋体"/>
          <w:color w:val="000000" w:themeColor="text1"/>
          <w:highlight w:val="none"/>
        </w:rPr>
        <w:t xml:space="preserve">检验与验收分为</w:t>
      </w:r>
      <w:r>
        <w:rPr>
          <w:rFonts w:hint="eastAsia" w:ascii="宋体" w:hAnsi="宋体"/>
          <w:color w:val="000000" w:themeColor="text1"/>
          <w:highlight w:val="none"/>
        </w:rPr>
        <w:t xml:space="preserve">采购管理</w:t>
      </w:r>
      <w:r>
        <w:rPr>
          <w:rFonts w:ascii="宋体" w:hAnsi="宋体"/>
          <w:color w:val="000000" w:themeColor="text1"/>
          <w:highlight w:val="none"/>
        </w:rPr>
        <w:t xml:space="preserve">、出厂检验、开箱检验、安装调试检验、</w:t>
      </w:r>
      <w:r>
        <w:rPr>
          <w:rFonts w:hint="eastAsia" w:ascii="宋体" w:hAnsi="宋体"/>
          <w:color w:val="000000" w:themeColor="text1"/>
          <w:highlight w:val="none"/>
          <w:lang w:eastAsia="zh-CN"/>
        </w:rPr>
        <w:t xml:space="preserve">合同完工验收</w:t>
      </w:r>
      <w:r>
        <w:rPr>
          <w:rFonts w:ascii="宋体" w:hAnsi="宋体"/>
          <w:color w:val="000000" w:themeColor="text1"/>
          <w:highlight w:val="none"/>
        </w:rPr>
        <w:t xml:space="preserve">。</w:t>
      </w:r>
      <w:r>
        <w:rPr>
          <w:color w:val="000000" w:themeColor="text1"/>
        </w:rPr>
      </w:r>
      <w:r/>
    </w:p>
    <w:p>
      <w:pPr>
        <w:pStyle w:val="784"/>
        <w:ind w:firstLine="480"/>
        <w:spacing w:line="360" w:lineRule="auto"/>
        <w:rPr>
          <w:rFonts w:ascii="宋体" w:hAnsi="宋体"/>
          <w:color w:val="000000" w:themeColor="text1"/>
          <w:highlight w:val="none"/>
        </w:rPr>
      </w:pPr>
      <w:r>
        <w:rPr>
          <w:rFonts w:hint="eastAsia" w:ascii="宋体" w:hAnsi="宋体"/>
          <w:color w:val="000000" w:themeColor="text1"/>
          <w:highlight w:val="none"/>
        </w:rPr>
        <w:t xml:space="preserve">（一）采购管理</w:t>
      </w:r>
      <w:r>
        <w:rPr>
          <w:color w:val="000000" w:themeColor="text1"/>
        </w:rPr>
      </w:r>
      <w:r/>
    </w:p>
    <w:p>
      <w:pPr>
        <w:pStyle w:val="784"/>
        <w:ind w:firstLine="480"/>
        <w:spacing w:line="360" w:lineRule="auto"/>
        <w:rPr>
          <w:rFonts w:ascii="宋体" w:hAnsi="宋体"/>
          <w:color w:val="000000" w:themeColor="text1"/>
          <w:highlight w:val="none"/>
        </w:rPr>
      </w:pPr>
      <w:r>
        <w:rPr>
          <w:rFonts w:hint="eastAsia" w:ascii="宋体" w:hAnsi="宋体"/>
          <w:color w:val="000000" w:themeColor="text1"/>
          <w:highlight w:val="none"/>
        </w:rPr>
        <w:t xml:space="preserve">设备清单已明确品牌、型号（含配置型号）的，在设备采购前将采购清单提交甲方复核。乙方不得擅自变更已经确认的设备品牌、型号、规格等。</w:t>
      </w:r>
      <w:r>
        <w:rPr>
          <w:color w:val="000000" w:themeColor="text1"/>
        </w:rPr>
      </w:r>
      <w:r/>
    </w:p>
    <w:p>
      <w:pPr>
        <w:pStyle w:val="784"/>
        <w:ind w:firstLine="480"/>
        <w:jc w:val="both"/>
        <w:spacing w:line="360" w:lineRule="auto"/>
        <w:rPr>
          <w:rFonts w:ascii="宋体" w:hAnsi="宋体"/>
          <w:color w:val="000000" w:themeColor="text1"/>
          <w:highlight w:val="none"/>
        </w:rPr>
      </w:pPr>
      <w:r>
        <w:rPr>
          <w:rFonts w:hint="eastAsia" w:ascii="宋体" w:hAnsi="宋体"/>
          <w:color w:val="000000" w:themeColor="text1"/>
          <w:highlight w:val="none"/>
        </w:rPr>
        <w:t xml:space="preserve">因不可控因素导致的设备品牌、型号、规格等变更，乙方应提供至少2套替换方案，并提供生产厂家或代理经销商报价，经甲方同意后，方可采购变更。</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二</w:t>
      </w:r>
      <w:r>
        <w:rPr>
          <w:rFonts w:ascii="宋体" w:hAnsi="宋体"/>
          <w:color w:val="000000" w:themeColor="text1"/>
          <w:highlight w:val="none"/>
        </w:rPr>
        <w:t xml:space="preserve">）出厂检验 </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所有设备均需提供原供货厂家开具的出厂检验报告或检验合格证。 </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三</w:t>
      </w:r>
      <w:r>
        <w:rPr>
          <w:rFonts w:ascii="宋体" w:hAnsi="宋体"/>
          <w:color w:val="000000" w:themeColor="text1"/>
          <w:highlight w:val="none"/>
        </w:rPr>
        <w:t xml:space="preserve">）开箱检验 </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1、设备到货后3</w:t>
      </w:r>
      <w:r>
        <w:rPr>
          <w:rFonts w:hint="eastAsia" w:ascii="宋体" w:hAnsi="宋体"/>
          <w:color w:val="000000" w:themeColor="text1"/>
          <w:highlight w:val="none"/>
        </w:rPr>
        <w:t xml:space="preserve">日内</w:t>
      </w:r>
      <w:r>
        <w:rPr>
          <w:rFonts w:ascii="宋体" w:hAnsi="宋体"/>
          <w:color w:val="000000" w:themeColor="text1"/>
          <w:highlight w:val="none"/>
        </w:rPr>
        <w:t xml:space="preserve">，</w:t>
      </w:r>
      <w:r>
        <w:rPr>
          <w:rFonts w:hint="eastAsia" w:ascii="宋体" w:hAnsi="宋体"/>
          <w:color w:val="000000" w:themeColor="text1"/>
          <w:highlight w:val="none"/>
        </w:rPr>
        <w:t xml:space="preserve">乙方提出开箱检验申请，甲方组织</w:t>
      </w:r>
      <w:r>
        <w:rPr>
          <w:rFonts w:ascii="宋体" w:hAnsi="宋体"/>
          <w:color w:val="000000" w:themeColor="text1"/>
          <w:highlight w:val="none"/>
        </w:rPr>
        <w:t xml:space="preserve">进行开箱检验，</w:t>
      </w:r>
      <w:r>
        <w:rPr>
          <w:rFonts w:hint="eastAsia" w:ascii="宋体" w:hAnsi="宋体"/>
          <w:color w:val="000000" w:themeColor="text1"/>
          <w:highlight w:val="none"/>
        </w:rPr>
        <w:t xml:space="preserve">形成开箱检验记录。</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2、在检验中发现</w:t>
      </w:r>
      <w:r>
        <w:rPr>
          <w:rFonts w:hint="eastAsia" w:ascii="宋体" w:hAnsi="宋体"/>
          <w:color w:val="000000" w:themeColor="text1"/>
          <w:highlight w:val="none"/>
        </w:rPr>
        <w:t xml:space="preserve">不合格设备</w:t>
      </w:r>
      <w:r>
        <w:rPr>
          <w:rFonts w:ascii="宋体" w:hAnsi="宋体"/>
          <w:color w:val="000000" w:themeColor="text1"/>
          <w:highlight w:val="none"/>
        </w:rPr>
        <w:t xml:space="preserve">，乙方应</w:t>
      </w:r>
      <w:r>
        <w:rPr>
          <w:rFonts w:hint="eastAsia" w:ascii="宋体" w:hAnsi="宋体"/>
          <w:color w:val="000000" w:themeColor="text1"/>
          <w:highlight w:val="none"/>
        </w:rPr>
        <w:t xml:space="preserve">按甲方要求无偿更换，并承担相应费用</w:t>
      </w:r>
      <w:r>
        <w:rPr>
          <w:rFonts w:ascii="宋体" w:hAnsi="宋体"/>
          <w:color w:val="000000" w:themeColor="text1"/>
          <w:highlight w:val="none"/>
        </w:rPr>
        <w:t xml:space="preserve">。</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3、开箱检验合格的设备，由乙方、甲方</w:t>
      </w:r>
      <w:r>
        <w:rPr>
          <w:rFonts w:hint="eastAsia" w:ascii="宋体" w:hAnsi="宋体"/>
          <w:color w:val="000000" w:themeColor="text1"/>
          <w:highlight w:val="none"/>
        </w:rPr>
        <w:t xml:space="preserve">代表</w:t>
      </w:r>
      <w:r>
        <w:rPr>
          <w:rFonts w:ascii="宋体" w:hAnsi="宋体"/>
          <w:color w:val="000000" w:themeColor="text1"/>
          <w:highlight w:val="none"/>
        </w:rPr>
        <w:t xml:space="preserve">共同在设备检验合格表上签字，同时，乙方须将设备供货商提供的设备相关文档资料、</w:t>
      </w:r>
      <w:r>
        <w:rPr>
          <w:rFonts w:hint="eastAsia" w:ascii="宋体" w:hAnsi="宋体"/>
          <w:color w:val="000000" w:themeColor="text1"/>
          <w:highlight w:val="none"/>
        </w:rPr>
        <w:t xml:space="preserve">合格证、产品说明书、检定报告、</w:t>
      </w:r>
      <w:r>
        <w:rPr>
          <w:rFonts w:ascii="宋体" w:hAnsi="宋体"/>
          <w:color w:val="000000" w:themeColor="text1"/>
          <w:highlight w:val="none"/>
        </w:rPr>
        <w:t xml:space="preserve">质量保证书</w:t>
      </w:r>
      <w:r>
        <w:rPr>
          <w:rFonts w:hint="eastAsia" w:ascii="宋体" w:hAnsi="宋体"/>
          <w:color w:val="000000" w:themeColor="text1"/>
          <w:highlight w:val="none"/>
        </w:rPr>
        <w:t xml:space="preserve">、</w:t>
      </w:r>
      <w:r>
        <w:rPr>
          <w:rFonts w:ascii="宋体" w:hAnsi="宋体"/>
          <w:color w:val="000000" w:themeColor="text1"/>
          <w:highlight w:val="none"/>
        </w:rPr>
        <w:t xml:space="preserve">保修手续凭证</w:t>
      </w:r>
      <w:r>
        <w:rPr>
          <w:rFonts w:hint="eastAsia" w:ascii="宋体" w:hAnsi="宋体"/>
          <w:color w:val="000000" w:themeColor="text1"/>
          <w:highlight w:val="none"/>
        </w:rPr>
        <w:t xml:space="preserve">等随机资料及随机光盘、随机配件备品等</w:t>
      </w:r>
      <w:r>
        <w:rPr>
          <w:rFonts w:ascii="宋体" w:hAnsi="宋体"/>
          <w:color w:val="000000" w:themeColor="text1"/>
          <w:highlight w:val="none"/>
        </w:rPr>
        <w:t xml:space="preserve">全部移交给甲方。 </w:t>
      </w:r>
      <w:r>
        <w:rPr>
          <w:color w:val="000000" w:themeColor="text1"/>
        </w:rPr>
      </w:r>
      <w:r/>
    </w:p>
    <w:p>
      <w:pPr>
        <w:pStyle w:val="784"/>
        <w:ind w:firstLine="480"/>
        <w:jc w:val="both"/>
        <w:spacing w:line="360" w:lineRule="auto"/>
        <w:rPr>
          <w:rFonts w:ascii="宋体" w:hAnsi="宋体"/>
          <w:color w:val="000000" w:themeColor="text1"/>
          <w:highlight w:val="none"/>
        </w:rPr>
      </w:pPr>
      <w:r>
        <w:rPr>
          <w:rFonts w:hint="eastAsia" w:ascii="宋体" w:hAnsi="宋体"/>
          <w:color w:val="000000" w:themeColor="text1"/>
          <w:highlight w:val="none"/>
        </w:rPr>
        <w:t xml:space="preserve">（四）配套建安工程阶段验收</w:t>
      </w:r>
      <w:r>
        <w:rPr>
          <w:color w:val="000000" w:themeColor="text1"/>
        </w:rPr>
      </w:r>
      <w:r/>
    </w:p>
    <w:p>
      <w:pPr>
        <w:pStyle w:val="784"/>
        <w:ind w:firstLine="480"/>
        <w:jc w:val="both"/>
        <w:spacing w:line="360" w:lineRule="auto"/>
        <w:rPr>
          <w:rFonts w:ascii="宋体" w:hAnsi="宋体"/>
          <w:color w:val="000000" w:themeColor="text1"/>
          <w:highlight w:val="none"/>
        </w:rPr>
      </w:pPr>
      <w:r>
        <w:rPr>
          <w:rFonts w:hint="eastAsia" w:ascii="宋体" w:hAnsi="宋体"/>
          <w:color w:val="000000" w:themeColor="text1"/>
          <w:highlight w:val="none"/>
        </w:rPr>
        <w:t xml:space="preserve">由甲方组织对完工的配套建安工程进行阶段验收，验收合格后方可进入安装调试阶段。</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五</w:t>
      </w:r>
      <w:r>
        <w:rPr>
          <w:rFonts w:ascii="宋体" w:hAnsi="宋体"/>
          <w:color w:val="000000" w:themeColor="text1"/>
          <w:highlight w:val="none"/>
        </w:rPr>
        <w:t xml:space="preserve">）安装调试检验</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1、安装调试检验由乙方负责，除证明已满足规范和设计要求外，还要提供相应的文件和资料，甲方派人参加。</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2、网络设备的账户设置按照一定规则，同时账户和密码建立台账，及时移交甲方。</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3、乙方应对安装设备进行标识。综合布线的电、光缆线按照规范套管标识。并在机柜悬挂走线图。</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4、安装调试检验时发现问题，在征得</w:t>
      </w:r>
      <w:r>
        <w:rPr>
          <w:rFonts w:hint="eastAsia" w:ascii="宋体" w:hAnsi="宋体"/>
          <w:color w:val="000000" w:themeColor="text1"/>
          <w:highlight w:val="none"/>
        </w:rPr>
        <w:t xml:space="preserve">甲方</w:t>
      </w:r>
      <w:r>
        <w:rPr>
          <w:rFonts w:ascii="宋体" w:hAnsi="宋体"/>
          <w:color w:val="000000" w:themeColor="text1"/>
          <w:highlight w:val="none"/>
        </w:rPr>
        <w:t xml:space="preserve">同意后应及时处理，处理后应补充检验。</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5、整个系统联调完成后，应由甲方参加，并按照甲方确认的测试方案进行检验，记录检验结果。</w:t>
      </w:r>
      <w:r>
        <w:rPr>
          <w:color w:val="000000" w:themeColor="text1"/>
        </w:rPr>
      </w:r>
      <w:r/>
    </w:p>
    <w:p>
      <w:pPr>
        <w:pStyle w:val="784"/>
        <w:ind w:firstLine="480"/>
        <w:jc w:val="both"/>
        <w:spacing w:line="360" w:lineRule="auto"/>
        <w:rPr>
          <w:rFonts w:hint="eastAsia" w:ascii="宋体" w:hAnsi="宋体" w:eastAsia="宋体"/>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六</w:t>
      </w:r>
      <w:r>
        <w:rPr>
          <w:rFonts w:ascii="宋体" w:hAnsi="宋体"/>
          <w:color w:val="000000" w:themeColor="text1"/>
          <w:highlight w:val="none"/>
        </w:rPr>
        <w:t xml:space="preserve">）</w:t>
      </w:r>
      <w:r>
        <w:rPr>
          <w:rFonts w:hint="eastAsia" w:ascii="宋体" w:hAnsi="宋体"/>
          <w:color w:val="000000" w:themeColor="text1"/>
          <w:highlight w:val="none"/>
          <w:lang w:eastAsia="zh-CN"/>
        </w:rPr>
        <w:t xml:space="preserve">合同完工验收</w:t>
      </w:r>
      <w:r>
        <w:rPr>
          <w:color w:val="000000" w:themeColor="text1"/>
        </w:rPr>
      </w:r>
      <w:r/>
    </w:p>
    <w:p>
      <w:pPr>
        <w:pStyle w:val="784"/>
        <w:ind w:firstLine="480"/>
        <w:jc w:val="both"/>
        <w:spacing w:line="360" w:lineRule="auto"/>
        <w:rPr>
          <w:rFonts w:ascii="宋体" w:hAnsi="宋体"/>
          <w:color w:val="000000" w:themeColor="text1"/>
          <w:highlight w:val="none"/>
        </w:rPr>
      </w:pPr>
      <w:r>
        <w:rPr>
          <w:rFonts w:ascii="宋体" w:hAnsi="宋体"/>
          <w:color w:val="000000" w:themeColor="text1"/>
          <w:highlight w:val="none"/>
        </w:rPr>
        <w:t xml:space="preserve">合同所规定的内容全部完成</w:t>
      </w:r>
      <w:r>
        <w:rPr>
          <w:rFonts w:hint="eastAsia" w:ascii="宋体" w:hAnsi="宋体"/>
          <w:color w:val="000000" w:themeColor="text1"/>
          <w:highlight w:val="none"/>
        </w:rPr>
        <w:t xml:space="preserve">且安装调试</w:t>
      </w:r>
      <w:r>
        <w:rPr>
          <w:rFonts w:ascii="宋体" w:hAnsi="宋体"/>
          <w:color w:val="000000" w:themeColor="text1"/>
          <w:highlight w:val="none"/>
        </w:rPr>
        <w:t xml:space="preserve">检验合格，质量符合要求</w:t>
      </w:r>
      <w:r>
        <w:rPr>
          <w:rFonts w:hint="eastAsia" w:ascii="宋体" w:hAnsi="宋体"/>
          <w:color w:val="000000" w:themeColor="text1"/>
          <w:highlight w:val="none"/>
        </w:rPr>
        <w:t xml:space="preserve">，经</w:t>
      </w:r>
      <w:r>
        <w:rPr>
          <w:rFonts w:ascii="宋体" w:hAnsi="宋体"/>
          <w:color w:val="000000" w:themeColor="text1"/>
          <w:highlight w:val="none"/>
        </w:rPr>
        <w:t xml:space="preserve">乙方申请，</w:t>
      </w:r>
      <w:r>
        <w:rPr>
          <w:rFonts w:hint="eastAsia" w:ascii="宋体" w:hAnsi="宋体"/>
          <w:color w:val="000000" w:themeColor="text1"/>
          <w:highlight w:val="none"/>
        </w:rPr>
        <w:t xml:space="preserve">甲方</w:t>
      </w:r>
      <w:r>
        <w:rPr>
          <w:rFonts w:ascii="宋体" w:hAnsi="宋体"/>
          <w:color w:val="000000" w:themeColor="text1"/>
          <w:highlight w:val="none"/>
        </w:rPr>
        <w:t xml:space="preserve">同意后，才能进行</w:t>
      </w:r>
      <w:r>
        <w:rPr>
          <w:rFonts w:hint="eastAsia" w:ascii="宋体" w:hAnsi="宋体"/>
          <w:color w:val="000000" w:themeColor="text1"/>
          <w:highlight w:val="none"/>
          <w:lang w:eastAsia="zh-CN"/>
        </w:rPr>
        <w:t xml:space="preserve">合同完工验收</w:t>
      </w:r>
      <w:r>
        <w:rPr>
          <w:rFonts w:ascii="宋体" w:hAnsi="宋体"/>
          <w:color w:val="000000" w:themeColor="text1"/>
          <w:highlight w:val="none"/>
        </w:rPr>
        <w:t xml:space="preserve">。</w:t>
      </w:r>
      <w:r>
        <w:rPr>
          <w:rFonts w:hint="eastAsia" w:ascii="宋体" w:hAnsi="宋体"/>
          <w:color w:val="000000" w:themeColor="text1"/>
          <w:highlight w:val="none"/>
          <w:lang w:eastAsia="zh-CN"/>
        </w:rPr>
        <w:t xml:space="preserve">合同完工验收</w:t>
      </w:r>
      <w:r>
        <w:rPr>
          <w:rFonts w:ascii="宋体" w:hAnsi="宋体"/>
          <w:color w:val="000000" w:themeColor="text1"/>
          <w:highlight w:val="none"/>
        </w:rPr>
        <w:t xml:space="preserve">由甲方主持，组织有关</w:t>
      </w:r>
      <w:r>
        <w:rPr>
          <w:rFonts w:hint="eastAsia" w:ascii="宋体" w:hAnsi="宋体"/>
          <w:color w:val="000000" w:themeColor="text1"/>
          <w:highlight w:val="none"/>
        </w:rPr>
        <w:t xml:space="preserve">参建</w:t>
      </w:r>
      <w:r>
        <w:rPr>
          <w:rFonts w:ascii="宋体" w:hAnsi="宋体"/>
          <w:color w:val="000000" w:themeColor="text1"/>
          <w:highlight w:val="none"/>
        </w:rPr>
        <w:t xml:space="preserve">单位人员参加</w:t>
      </w:r>
      <w:r>
        <w:rPr>
          <w:rFonts w:hint="eastAsia" w:ascii="宋体" w:hAnsi="宋体"/>
          <w:color w:val="000000" w:themeColor="text1"/>
          <w:highlight w:val="none"/>
        </w:rPr>
        <w:t xml:space="preserve">，</w:t>
      </w:r>
      <w:r>
        <w:rPr>
          <w:rFonts w:ascii="宋体" w:hAnsi="宋体"/>
          <w:color w:val="000000" w:themeColor="text1"/>
          <w:highlight w:val="none"/>
        </w:rPr>
        <w:t xml:space="preserve">进行验收。 </w:t>
      </w:r>
      <w:r>
        <w:rPr>
          <w:color w:val="000000" w:themeColor="text1"/>
        </w:rPr>
      </w:r>
      <w:r/>
    </w:p>
    <w:p>
      <w:pPr>
        <w:pStyle w:val="784"/>
        <w:ind w:firstLine="480"/>
        <w:jc w:val="both"/>
        <w:spacing w:line="360" w:lineRule="auto"/>
        <w:rPr>
          <w:rFonts w:ascii="宋体" w:hAnsi="宋体"/>
          <w:color w:val="000000" w:themeColor="text1"/>
          <w:highlight w:val="none"/>
        </w:rPr>
      </w:pPr>
      <w:r>
        <w:rPr>
          <w:rFonts w:hint="eastAsia" w:ascii="宋体" w:hAnsi="宋体"/>
          <w:color w:val="000000" w:themeColor="text1"/>
          <w:highlight w:val="none"/>
          <w:lang w:eastAsia="zh-CN"/>
        </w:rPr>
        <w:t xml:space="preserve">合同完工验收</w:t>
      </w:r>
      <w:r>
        <w:rPr>
          <w:rFonts w:ascii="宋体" w:hAnsi="宋体"/>
          <w:color w:val="000000" w:themeColor="text1"/>
          <w:highlight w:val="none"/>
        </w:rPr>
        <w:t xml:space="preserve">前，乙方应将</w:t>
      </w:r>
      <w:r>
        <w:rPr>
          <w:rFonts w:hint="eastAsia" w:ascii="宋体" w:hAnsi="宋体"/>
          <w:color w:val="000000" w:themeColor="text1"/>
          <w:highlight w:val="none"/>
        </w:rPr>
        <w:t xml:space="preserve">施工管理工作</w:t>
      </w:r>
      <w:r>
        <w:rPr>
          <w:rFonts w:ascii="宋体" w:hAnsi="宋体"/>
          <w:color w:val="000000" w:themeColor="text1"/>
          <w:highlight w:val="none"/>
        </w:rPr>
        <w:t xml:space="preserve">报告、系统测试报告、安装调试报告等有关资料报甲方。</w:t>
      </w:r>
      <w:r>
        <w:rPr>
          <w:color w:val="000000" w:themeColor="text1"/>
        </w:rPr>
      </w:r>
      <w:r/>
    </w:p>
    <w:p>
      <w:pPr>
        <w:pStyle w:val="784"/>
        <w:ind w:firstLine="480"/>
        <w:jc w:val="both"/>
        <w:spacing w:line="360" w:lineRule="auto"/>
        <w:rPr>
          <w:rFonts w:ascii="宋体" w:hAnsi="宋体"/>
          <w:color w:val="000000" w:themeColor="text1"/>
          <w:highlight w:val="none"/>
        </w:rPr>
      </w:pPr>
      <w:r>
        <w:rPr>
          <w:rFonts w:hint="eastAsia" w:ascii="宋体" w:hAnsi="宋体"/>
          <w:color w:val="000000" w:themeColor="text1"/>
          <w:highlight w:val="none"/>
          <w:lang w:eastAsia="zh-CN"/>
        </w:rPr>
        <w:t xml:space="preserve">合同完工验收</w:t>
      </w:r>
      <w:r>
        <w:rPr>
          <w:rFonts w:ascii="宋体" w:hAnsi="宋体"/>
          <w:color w:val="000000" w:themeColor="text1"/>
          <w:highlight w:val="none"/>
        </w:rPr>
        <w:t xml:space="preserve">内容包括：检查合同范围内工程项目和工作完成情况；检查已投入使用工程</w:t>
      </w:r>
      <w:r>
        <w:rPr>
          <w:rFonts w:hint="eastAsia" w:ascii="宋体" w:hAnsi="宋体"/>
          <w:color w:val="000000" w:themeColor="text1"/>
          <w:highlight w:val="none"/>
        </w:rPr>
        <w:t xml:space="preserve">的</w:t>
      </w:r>
      <w:r>
        <w:rPr>
          <w:rFonts w:ascii="宋体" w:hAnsi="宋体"/>
          <w:color w:val="000000" w:themeColor="text1"/>
          <w:highlight w:val="none"/>
        </w:rPr>
        <w:t xml:space="preserve">运行情况、施工现场清理情况、验收资料整理情况以及完工结算情况等；鉴定工程施工质量，对验收中发现的问题提出处理意见；确定合同工程完工日期；讨论并通过</w:t>
      </w:r>
      <w:r>
        <w:rPr>
          <w:rFonts w:hint="eastAsia" w:ascii="宋体" w:hAnsi="宋体"/>
          <w:color w:val="000000" w:themeColor="text1"/>
          <w:highlight w:val="none"/>
          <w:lang w:eastAsia="zh-CN"/>
        </w:rPr>
        <w:t xml:space="preserve">合同完工验收</w:t>
      </w:r>
      <w:r>
        <w:rPr>
          <w:rFonts w:ascii="宋体" w:hAnsi="宋体"/>
          <w:color w:val="000000" w:themeColor="text1"/>
          <w:highlight w:val="none"/>
        </w:rPr>
        <w:t xml:space="preserve">鉴定书，进行设备、工具、文件资料等交接工作。</w:t>
      </w:r>
      <w:r>
        <w:rPr>
          <w:color w:val="000000" w:themeColor="text1"/>
        </w:rPr>
      </w:r>
      <w:r/>
    </w:p>
    <w:p>
      <w:pPr>
        <w:pStyle w:val="784"/>
        <w:ind w:firstLine="480"/>
        <w:jc w:val="both"/>
        <w:spacing w:line="360" w:lineRule="auto"/>
        <w:rPr>
          <w:rFonts w:ascii="宋体" w:hAnsi="宋体"/>
          <w:color w:val="000000" w:themeColor="text1"/>
          <w:highlight w:val="none"/>
        </w:rPr>
      </w:pPr>
      <w:r>
        <w:rPr>
          <w:rFonts w:hint="eastAsia" w:ascii="宋体" w:hAnsi="宋体"/>
          <w:color w:val="000000" w:themeColor="text1"/>
          <w:highlight w:val="none"/>
          <w:lang w:eastAsia="zh-CN"/>
        </w:rPr>
        <w:t xml:space="preserve">合同完工验收</w:t>
      </w:r>
      <w:r>
        <w:rPr>
          <w:rFonts w:ascii="宋体" w:hAnsi="宋体"/>
          <w:color w:val="000000" w:themeColor="text1"/>
          <w:highlight w:val="none"/>
        </w:rPr>
        <w:t xml:space="preserve">如发现有影响正常运行的问题，由</w:t>
      </w:r>
      <w:r>
        <w:rPr>
          <w:rFonts w:hint="eastAsia" w:ascii="宋体" w:hAnsi="宋体"/>
          <w:color w:val="000000" w:themeColor="text1"/>
          <w:highlight w:val="none"/>
        </w:rPr>
        <w:t xml:space="preserve">甲方</w:t>
      </w:r>
      <w:r>
        <w:rPr>
          <w:rFonts w:ascii="宋体" w:hAnsi="宋体"/>
          <w:color w:val="000000" w:themeColor="text1"/>
          <w:highlight w:val="none"/>
        </w:rPr>
        <w:t xml:space="preserve">按实际情况分清责任，责成乙方解决的，暂停验收，待乙方整改后再进行全面验收。</w:t>
      </w:r>
      <w:r>
        <w:rPr>
          <w:color w:val="000000" w:themeColor="text1"/>
        </w:rPr>
      </w:r>
      <w:r/>
    </w:p>
    <w:p>
      <w:pPr>
        <w:pStyle w:val="784"/>
        <w:numPr>
          <w:ilvl w:val="0"/>
          <w:numId w:val="16"/>
        </w:numPr>
        <w:ind w:firstLine="480"/>
        <w:jc w:val="both"/>
        <w:spacing w:line="360" w:lineRule="auto"/>
        <w:rPr>
          <w:rFonts w:ascii="宋体" w:hAnsi="宋体"/>
          <w:color w:val="000000" w:themeColor="text1"/>
          <w:highlight w:val="none"/>
        </w:rPr>
      </w:pPr>
      <w:r>
        <w:rPr>
          <w:rFonts w:hint="eastAsia" w:ascii="宋体" w:hAnsi="宋体"/>
          <w:color w:val="000000" w:themeColor="text1"/>
          <w:highlight w:val="none"/>
        </w:rPr>
        <w:t xml:space="preserve">试运行检验</w:t>
      </w:r>
      <w:r>
        <w:rPr>
          <w:color w:val="000000" w:themeColor="text1"/>
        </w:rPr>
      </w:r>
      <w:r/>
    </w:p>
    <w:p>
      <w:pPr>
        <w:pStyle w:val="784"/>
        <w:ind w:firstLine="480"/>
        <w:jc w:val="both"/>
        <w:spacing w:line="360" w:lineRule="auto"/>
        <w:rPr>
          <w:rFonts w:ascii="宋体" w:hAnsi="宋体"/>
          <w:color w:val="000000" w:themeColor="text1"/>
          <w:highlight w:val="none"/>
        </w:rPr>
      </w:pPr>
      <w:r>
        <w:rPr>
          <w:rFonts w:hint="eastAsia" w:ascii="宋体" w:hAnsi="宋体"/>
          <w:color w:val="000000" w:themeColor="text1"/>
          <w:highlight w:val="none"/>
          <w:lang w:eastAsia="zh-CN"/>
        </w:rPr>
        <w:t xml:space="preserve">合同完工验收</w:t>
      </w:r>
      <w:r>
        <w:rPr>
          <w:rFonts w:ascii="宋体" w:hAnsi="宋体"/>
          <w:color w:val="000000" w:themeColor="text1"/>
          <w:highlight w:val="none"/>
        </w:rPr>
        <w:t xml:space="preserve">后，进入为期3个月的试运行期，试运行检验由乙方负责，甲方配合，最终提交试运行报告。</w:t>
      </w:r>
      <w:bookmarkEnd w:id="68"/>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二十一</w:t>
      </w:r>
      <w:r>
        <w:rPr>
          <w:rFonts w:hint="eastAsia"/>
          <w:color w:val="000000" w:themeColor="text1"/>
          <w:highlight w:val="none"/>
        </w:rPr>
        <w:t xml:space="preserve">、知识产权和使用</w:t>
      </w:r>
      <w:r>
        <w:rPr>
          <w:color w:val="000000" w:themeColor="text1"/>
        </w:rPr>
      </w:r>
      <w:r/>
    </w:p>
    <w:p>
      <w:pPr>
        <w:ind w:firstLine="480"/>
        <w:spacing w:line="360" w:lineRule="auto"/>
        <w:rPr>
          <w:color w:val="000000" w:themeColor="text1"/>
          <w:sz w:val="24"/>
          <w:highlight w:val="none"/>
        </w:rPr>
      </w:pPr>
      <w:r>
        <w:rPr>
          <w:rFonts w:hint="eastAsia"/>
          <w:color w:val="000000" w:themeColor="text1"/>
          <w:sz w:val="24"/>
          <w:highlight w:val="none"/>
        </w:rPr>
        <w:t xml:space="preserve">甲方拥有开发软件的知识产权。乙方非经甲方同意，不得以任何方式向第三方披露、转让和许可有关的技术成果、计算机软件、技术诀窍、秘密信息、技术资料和文件。若项目知识产权用于奖项申报等用途，需经甲方同意。除本研发工作需要之外，未得到甲方的书面许可，乙方不得以任何方式商业性地利用上述资料和技术。如乙方违反本条的规定，除立即停止违约行为外，还应按本合同总价的10%支付违约金，并赔偿由此造成的甲方损失。</w:t>
      </w:r>
      <w:r>
        <w:rPr>
          <w:color w:val="000000" w:themeColor="text1"/>
        </w:rPr>
      </w:r>
      <w:r/>
    </w:p>
    <w:p>
      <w:pPr>
        <w:ind w:firstLine="480"/>
        <w:spacing w:line="360" w:lineRule="auto"/>
        <w:rPr>
          <w:color w:val="000000" w:themeColor="text1"/>
          <w:sz w:val="24"/>
          <w:highlight w:val="none"/>
        </w:rPr>
      </w:pPr>
      <w:r>
        <w:rPr>
          <w:rFonts w:hint="eastAsia"/>
          <w:color w:val="000000" w:themeColor="text1"/>
          <w:sz w:val="24"/>
          <w:highlight w:val="none"/>
        </w:rPr>
        <w:t xml:space="preserve">本项目知识产权的有形形式包括但不限于：软件产品、数据标准（管理员后台必备模块）、软件技术文件等。</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二十</w:t>
      </w:r>
      <w:r>
        <w:rPr>
          <w:rFonts w:hint="eastAsia"/>
          <w:color w:val="000000" w:themeColor="text1"/>
          <w:highlight w:val="none"/>
        </w:rPr>
        <w:t xml:space="preserve">二</w:t>
      </w:r>
      <w:r>
        <w:rPr>
          <w:color w:val="000000" w:themeColor="text1"/>
          <w:highlight w:val="none"/>
        </w:rPr>
        <w:t xml:space="preserve">、售后服务</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乙方</w:t>
      </w:r>
      <w:r>
        <w:rPr>
          <w:rFonts w:hint="eastAsia"/>
          <w:color w:val="000000" w:themeColor="text1"/>
          <w:highlight w:val="none"/>
        </w:rPr>
        <w:t xml:space="preserve">应充分考虑</w:t>
      </w:r>
      <w:r>
        <w:rPr>
          <w:color w:val="000000" w:themeColor="text1"/>
          <w:highlight w:val="none"/>
        </w:rPr>
        <w:t xml:space="preserve">站点的现场环境，禁止将设备暴露或布置在高温、高湿、雨淋、水淹位置。在项目</w:t>
      </w:r>
      <w:r>
        <w:rPr>
          <w:rFonts w:hint="eastAsia"/>
          <w:color w:val="000000" w:themeColor="text1"/>
          <w:highlight w:val="none"/>
        </w:rPr>
        <w:t xml:space="preserve">合同</w:t>
      </w:r>
      <w:r>
        <w:rPr>
          <w:color w:val="000000" w:themeColor="text1"/>
          <w:highlight w:val="none"/>
        </w:rPr>
        <w:t xml:space="preserve">完工验收合格之日起，即进入售后服务期。</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（一）</w:t>
      </w:r>
      <w:r>
        <w:rPr>
          <w:rFonts w:hint="eastAsia"/>
          <w:color w:val="000000" w:themeColor="text1"/>
          <w:highlight w:val="none"/>
        </w:rPr>
        <w:t xml:space="preserve">项目的质保期为从试运行完成且试运行期出现的质量问题处置完成（以采购人确认为准）之日起，期限为</w:t>
      </w:r>
      <w:r>
        <w:rPr>
          <w:rFonts w:hint="eastAsia"/>
          <w:color w:val="000000" w:themeColor="text1"/>
          <w:highlight w:val="none"/>
          <w:lang w:val="en-US" w:eastAsia="zh-CN"/>
        </w:rPr>
        <w:t xml:space="preserve">24</w:t>
      </w:r>
      <w:r>
        <w:rPr>
          <w:rFonts w:hint="eastAsia"/>
          <w:color w:val="000000" w:themeColor="text1"/>
          <w:highlight w:val="none"/>
        </w:rPr>
        <w:t xml:space="preserve">个月。质保期内，乙方负责对系统运行中出现的故障进行处理，负责免费更换故障部件。</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二</w:t>
      </w:r>
      <w:r>
        <w:rPr>
          <w:color w:val="000000" w:themeColor="text1"/>
          <w:highlight w:val="none"/>
        </w:rPr>
        <w:t xml:space="preserve">）在质量保证期</w:t>
      </w:r>
      <w:r>
        <w:rPr>
          <w:rFonts w:hint="eastAsia"/>
          <w:color w:val="000000" w:themeColor="text1"/>
          <w:highlight w:val="none"/>
        </w:rPr>
        <w:t xml:space="preserve">满</w:t>
      </w:r>
      <w:r>
        <w:rPr>
          <w:color w:val="000000" w:themeColor="text1"/>
          <w:highlight w:val="none"/>
        </w:rPr>
        <w:t xml:space="preserve">后，乙方有义务在本系统的使用维护方面继续提供技术支持，提供本系统软件的升级及备品备件。 </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二十</w:t>
      </w:r>
      <w:r>
        <w:rPr>
          <w:rFonts w:hint="eastAsia"/>
          <w:color w:val="000000" w:themeColor="text1"/>
          <w:highlight w:val="none"/>
        </w:rPr>
        <w:t xml:space="preserve">三</w:t>
      </w:r>
      <w:r>
        <w:rPr>
          <w:color w:val="000000" w:themeColor="text1"/>
          <w:highlight w:val="none"/>
        </w:rPr>
        <w:t xml:space="preserve">、信用</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（一）本合同任何一方可以要求对方提供其信用报告。</w:t>
      </w:r>
      <w:r>
        <w:rPr>
          <w:color w:val="000000" w:themeColor="text1"/>
        </w:rPr>
      </w:r>
      <w:r/>
    </w:p>
    <w:p>
      <w:pPr>
        <w:ind w:firstLine="480"/>
        <w:jc w:val="left"/>
        <w:spacing w:line="360" w:lineRule="auto"/>
        <w:rPr>
          <w:color w:val="000000" w:themeColor="text1"/>
          <w:sz w:val="24"/>
          <w:highlight w:val="none"/>
        </w:rPr>
      </w:pPr>
      <w:r>
        <w:rPr>
          <w:color w:val="000000" w:themeColor="text1"/>
          <w:sz w:val="24"/>
          <w:highlight w:val="none"/>
        </w:rPr>
        <w:t xml:space="preserve">（二）如合同双方在履行本合同过程中发生争议，并进入司法等争端解决程序，任何一方可以将生效判决提交给本市的联合征信机构。</w:t>
      </w:r>
      <w:r>
        <w:rPr>
          <w:color w:val="000000" w:themeColor="text1"/>
        </w:rPr>
      </w:r>
      <w:r/>
    </w:p>
    <w:p>
      <w:pPr>
        <w:pStyle w:val="738"/>
        <w:ind w:firstLine="482"/>
        <w:spacing w:before="0" w:after="0" w:line="360" w:lineRule="auto"/>
        <w:rPr>
          <w:color w:val="000000" w:themeColor="text1"/>
          <w:highlight w:val="none"/>
        </w:rPr>
      </w:pPr>
      <w:r>
        <w:rPr>
          <w:color w:val="000000" w:themeColor="text1"/>
        </w:rPr>
      </w:r>
      <w:bookmarkStart w:id="69" w:name="_Toc453148731"/>
      <w:r>
        <w:rPr>
          <w:color w:val="000000" w:themeColor="text1"/>
          <w:highlight w:val="none"/>
        </w:rPr>
        <w:t xml:space="preserve">二十</w:t>
      </w:r>
      <w:r>
        <w:rPr>
          <w:rFonts w:hint="eastAsia"/>
          <w:color w:val="000000" w:themeColor="text1"/>
          <w:highlight w:val="none"/>
        </w:rPr>
        <w:t xml:space="preserve">四</w:t>
      </w:r>
      <w:r>
        <w:rPr>
          <w:color w:val="000000" w:themeColor="text1"/>
          <w:highlight w:val="none"/>
        </w:rPr>
        <w:t xml:space="preserve">、争议</w:t>
      </w:r>
      <w:bookmarkEnd w:id="69"/>
      <w:r>
        <w:rPr>
          <w:color w:val="000000" w:themeColor="text1"/>
        </w:rPr>
      </w:r>
      <w:r/>
    </w:p>
    <w:p>
      <w:pPr>
        <w:ind w:firstLine="480"/>
        <w:spacing w:line="360" w:lineRule="auto"/>
        <w:rPr>
          <w:rFonts w:ascii="宋体" w:hAnsi="宋体" w:cs="宋体"/>
          <w:color w:val="000000" w:themeColor="text1"/>
          <w:sz w:val="24"/>
          <w:highlight w:val="none"/>
        </w:rPr>
      </w:pPr>
      <w:r>
        <w:rPr>
          <w:color w:val="000000" w:themeColor="text1"/>
        </w:rPr>
      </w:r>
      <w:bookmarkStart w:id="70" w:name="_Toc453148732"/>
      <w:r>
        <w:rPr>
          <w:color w:val="000000" w:themeColor="text1"/>
          <w:sz w:val="24"/>
          <w:highlight w:val="none"/>
        </w:rPr>
        <w:t xml:space="preserve">（一）因执行本合同所发生的或与本合同有关的一切争议，双方应通过友好协商解决。如果协商开</w:t>
      </w:r>
      <w:r>
        <w:rPr>
          <w:rFonts w:hint="eastAsia" w:ascii="宋体" w:hAnsi="宋体" w:cs="宋体"/>
          <w:color w:val="000000" w:themeColor="text1"/>
          <w:sz w:val="24"/>
          <w:highlight w:val="none"/>
        </w:rPr>
        <w:t xml:space="preserve">始后六十（60）日还不能解决，任何一方均可按中华人民共和国有关法律的规定提交仲裁。</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（二）仲裁裁决应为最终裁决，对双方均具有约束力。</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（三）仲裁费除仲裁机关另有裁决外均应由败诉方负担。</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（四）在仲裁期间，除正在进行仲裁的部分外，本合同</w:t>
      </w:r>
      <w:r>
        <w:rPr>
          <w:rFonts w:hint="eastAsia"/>
          <w:color w:val="000000" w:themeColor="text1"/>
          <w:sz w:val="24"/>
          <w:highlight w:val="none"/>
        </w:rPr>
        <w:t xml:space="preserve">其他部分</w:t>
      </w:r>
      <w:r>
        <w:rPr>
          <w:color w:val="000000" w:themeColor="text1"/>
          <w:sz w:val="24"/>
          <w:highlight w:val="none"/>
        </w:rPr>
        <w:t xml:space="preserve">应继续执行。</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二十</w:t>
      </w:r>
      <w:r>
        <w:rPr>
          <w:rFonts w:hint="eastAsia"/>
          <w:color w:val="000000" w:themeColor="text1"/>
          <w:highlight w:val="none"/>
        </w:rPr>
        <w:t xml:space="preserve">五</w:t>
      </w:r>
      <w:r>
        <w:rPr>
          <w:color w:val="000000" w:themeColor="text1"/>
          <w:highlight w:val="none"/>
        </w:rPr>
        <w:t xml:space="preserve">、违约</w:t>
      </w:r>
      <w:bookmarkEnd w:id="70"/>
      <w:r>
        <w:rPr>
          <w:color w:val="000000" w:themeColor="text1"/>
        </w:rPr>
      </w:r>
      <w:r/>
    </w:p>
    <w:p>
      <w:pPr>
        <w:ind w:firstLine="480"/>
        <w:spacing w:line="360" w:lineRule="auto"/>
        <w:rPr>
          <w:color w:val="000000" w:themeColor="text1"/>
          <w:sz w:val="24"/>
          <w:highlight w:val="none"/>
        </w:rPr>
      </w:pPr>
      <w:r>
        <w:rPr>
          <w:color w:val="000000" w:themeColor="text1"/>
        </w:rPr>
      </w:r>
      <w:bookmarkStart w:id="71" w:name="_Toc453148736"/>
      <w:r>
        <w:rPr>
          <w:color w:val="000000" w:themeColor="text1"/>
          <w:sz w:val="24"/>
          <w:highlight w:val="none"/>
        </w:rPr>
        <w:t xml:space="preserve">（一）甲方不能及时给出必要指令确认和批准，不按合同约定履行自己的各项义务，支付款项及发生</w:t>
      </w:r>
      <w:r>
        <w:rPr>
          <w:rFonts w:hint="eastAsia"/>
          <w:color w:val="000000" w:themeColor="text1"/>
          <w:sz w:val="24"/>
          <w:highlight w:val="none"/>
        </w:rPr>
        <w:t xml:space="preserve">其他</w:t>
      </w:r>
      <w:r>
        <w:rPr>
          <w:color w:val="000000" w:themeColor="text1"/>
          <w:sz w:val="24"/>
          <w:highlight w:val="none"/>
        </w:rPr>
        <w:t xml:space="preserve">使合同无法履行的行为，应承担违约责任（包括支付因其违约导致乙方增加的经济支出和从应支付之日起计算应支付款项的利息等），相应顺延工期，按协议条款约定支付违约金和赔偿因其违约给乙方造成的损失。</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（二）</w:t>
      </w:r>
      <w:r>
        <w:rPr>
          <w:rFonts w:hint="eastAsia"/>
          <w:color w:val="000000" w:themeColor="text1"/>
          <w:sz w:val="24"/>
          <w:highlight w:val="none"/>
        </w:rPr>
        <w:t xml:space="preserve">乙方</w:t>
      </w:r>
      <w:r>
        <w:rPr>
          <w:color w:val="000000" w:themeColor="text1"/>
          <w:sz w:val="24"/>
          <w:highlight w:val="none"/>
        </w:rPr>
        <w:t xml:space="preserve">按合同工期完工，施工质量达不到设计、规范和本合同的要求，或发生</w:t>
      </w:r>
      <w:r>
        <w:rPr>
          <w:rFonts w:hint="eastAsia"/>
          <w:color w:val="000000" w:themeColor="text1"/>
          <w:sz w:val="24"/>
          <w:highlight w:val="none"/>
        </w:rPr>
        <w:t xml:space="preserve">其他</w:t>
      </w:r>
      <w:r>
        <w:rPr>
          <w:color w:val="000000" w:themeColor="text1"/>
          <w:sz w:val="24"/>
          <w:highlight w:val="none"/>
        </w:rPr>
        <w:t xml:space="preserve">使合同无法履行的行为，应承担违约责任，甲方可通知乙方，按协议条款约定支付违约金。</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（三）双方签字生效后，若单方毁约，使合同无法履行，则由违约方以</w:t>
      </w:r>
      <w:r>
        <w:rPr>
          <w:rFonts w:hint="eastAsia"/>
          <w:color w:val="000000" w:themeColor="text1"/>
          <w:sz w:val="24"/>
          <w:highlight w:val="none"/>
        </w:rPr>
        <w:t xml:space="preserve">合同总价</w:t>
      </w:r>
      <w:r>
        <w:rPr>
          <w:color w:val="000000" w:themeColor="text1"/>
          <w:sz w:val="24"/>
          <w:highlight w:val="none"/>
        </w:rPr>
        <w:t xml:space="preserve">的百分之三十（30%）作为违约金赔偿给对方。</w:t>
      </w:r>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二十</w:t>
      </w:r>
      <w:r>
        <w:rPr>
          <w:rFonts w:hint="eastAsia"/>
          <w:color w:val="000000" w:themeColor="text1"/>
          <w:highlight w:val="none"/>
        </w:rPr>
        <w:t xml:space="preserve">六</w:t>
      </w:r>
      <w:r>
        <w:rPr>
          <w:color w:val="000000" w:themeColor="text1"/>
          <w:highlight w:val="none"/>
        </w:rPr>
        <w:t xml:space="preserve">、不可抗力</w:t>
      </w:r>
      <w:bookmarkEnd w:id="71"/>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（一）不可抗力以有关部门发布为准。</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（二）发生后，乙方应迅速采取措施，尽力减少损失，并及时向甲方报告。</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（三）灾害发生的费用</w:t>
      </w:r>
      <w:r>
        <w:rPr>
          <w:rFonts w:hint="eastAsia"/>
          <w:color w:val="000000" w:themeColor="text1"/>
          <w:sz w:val="24"/>
          <w:highlight w:val="none"/>
        </w:rPr>
        <w:t xml:space="preserve">遵照以下</w:t>
      </w:r>
      <w:r>
        <w:rPr>
          <w:color w:val="000000" w:themeColor="text1"/>
          <w:sz w:val="24"/>
          <w:highlight w:val="none"/>
        </w:rPr>
        <w:t xml:space="preserve">约定：</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1、项目本身的损失由甲方承担；</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2、人员伤亡由其所属单位负责，并承担相应费用；</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3、造成乙方设备</w:t>
      </w:r>
      <w:r>
        <w:rPr>
          <w:rFonts w:hint="eastAsia"/>
          <w:color w:val="000000" w:themeColor="text1"/>
          <w:sz w:val="24"/>
          <w:highlight w:val="none"/>
        </w:rPr>
        <w:t xml:space="preserve">、</w:t>
      </w:r>
      <w:r>
        <w:rPr>
          <w:color w:val="000000" w:themeColor="text1"/>
          <w:sz w:val="24"/>
          <w:highlight w:val="none"/>
        </w:rPr>
        <w:t xml:space="preserve">机械的损坏及停工损失，由乙方承担。</w:t>
      </w:r>
      <w:bookmarkStart w:id="72" w:name="_Toc453148737"/>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二十</w:t>
      </w:r>
      <w:r>
        <w:rPr>
          <w:rFonts w:hint="eastAsia"/>
          <w:color w:val="000000" w:themeColor="text1"/>
          <w:highlight w:val="none"/>
        </w:rPr>
        <w:t xml:space="preserve">七</w:t>
      </w:r>
      <w:r>
        <w:rPr>
          <w:color w:val="000000" w:themeColor="text1"/>
          <w:highlight w:val="none"/>
        </w:rPr>
        <w:t xml:space="preserve">、保险</w:t>
      </w:r>
      <w:r>
        <w:rPr>
          <w:color w:val="000000" w:themeColor="text1"/>
        </w:rPr>
      </w:r>
      <w:r/>
    </w:p>
    <w:p>
      <w:pPr>
        <w:pStyle w:val="784"/>
        <w:ind w:firstLine="480"/>
        <w:jc w:val="both"/>
        <w:spacing w:line="360" w:lineRule="auto"/>
        <w:rPr>
          <w:color w:val="000000" w:themeColor="text1"/>
          <w:highlight w:val="none"/>
        </w:rPr>
      </w:pPr>
      <w:r>
        <w:rPr>
          <w:rFonts w:hint="eastAsia"/>
          <w:color w:val="000000" w:themeColor="text1"/>
          <w:highlight w:val="none"/>
        </w:rPr>
        <w:t xml:space="preserve">（一）乙方</w:t>
      </w:r>
      <w:r>
        <w:rPr>
          <w:color w:val="000000" w:themeColor="text1"/>
          <w:highlight w:val="none"/>
        </w:rPr>
        <w:t xml:space="preserve">应为本项目</w:t>
      </w:r>
      <w:r>
        <w:rPr>
          <w:rFonts w:hint="eastAsia"/>
          <w:color w:val="000000" w:themeColor="text1"/>
          <w:highlight w:val="none"/>
        </w:rPr>
        <w:t xml:space="preserve">购买</w:t>
      </w:r>
      <w:r>
        <w:rPr>
          <w:color w:val="000000" w:themeColor="text1"/>
          <w:highlight w:val="none"/>
        </w:rPr>
        <w:t xml:space="preserve">工程一切险，相关费用包含在合同总价中。</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二</w:t>
      </w:r>
      <w:r>
        <w:rPr>
          <w:color w:val="000000" w:themeColor="text1"/>
          <w:highlight w:val="none"/>
        </w:rPr>
        <w:t xml:space="preserve">）乙方应对本合同下提供的设备的制造、购置、运输、存放、安装及交货过程中的丢失或损坏进行全面的保险。</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三</w:t>
      </w:r>
      <w:r>
        <w:rPr>
          <w:color w:val="000000" w:themeColor="text1"/>
          <w:highlight w:val="none"/>
        </w:rPr>
        <w:t xml:space="preserve">）乙方需对其雇员及其分包人的雇员的意外或伤亡负全责。甲方对任何雇员的意外或伤亡，不论该人是受雇于乙方或其分包人，不负任何法律上的赔偿责任，乙方须保障甲方免负任何有关的索赔、诉讼等责任和费用。</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w:t>
      </w:r>
      <w:r>
        <w:rPr>
          <w:rFonts w:hint="eastAsia"/>
          <w:color w:val="000000" w:themeColor="text1"/>
          <w:highlight w:val="none"/>
        </w:rPr>
        <w:t xml:space="preserve">四</w:t>
      </w:r>
      <w:r>
        <w:rPr>
          <w:color w:val="000000" w:themeColor="text1"/>
          <w:highlight w:val="none"/>
        </w:rPr>
        <w:t xml:space="preserve">）乙方</w:t>
      </w:r>
      <w:r>
        <w:rPr>
          <w:rFonts w:hint="eastAsia"/>
          <w:color w:val="000000" w:themeColor="text1"/>
          <w:highlight w:val="none"/>
        </w:rPr>
        <w:t xml:space="preserve">须</w:t>
      </w:r>
      <w:r>
        <w:rPr>
          <w:color w:val="000000" w:themeColor="text1"/>
          <w:highlight w:val="none"/>
        </w:rPr>
        <w:t xml:space="preserve">办理</w:t>
      </w:r>
      <w:r>
        <w:rPr>
          <w:rFonts w:hint="eastAsia"/>
          <w:color w:val="000000" w:themeColor="text1"/>
          <w:highlight w:val="none"/>
        </w:rPr>
        <w:t xml:space="preserve">涉及</w:t>
      </w:r>
      <w:r>
        <w:rPr>
          <w:color w:val="000000" w:themeColor="text1"/>
          <w:highlight w:val="none"/>
        </w:rPr>
        <w:t xml:space="preserve">本项目</w:t>
      </w:r>
      <w:r>
        <w:rPr>
          <w:rFonts w:hint="eastAsia"/>
          <w:color w:val="000000" w:themeColor="text1"/>
          <w:highlight w:val="none"/>
        </w:rPr>
        <w:t xml:space="preserve">人员</w:t>
      </w:r>
      <w:r>
        <w:rPr>
          <w:color w:val="000000" w:themeColor="text1"/>
          <w:highlight w:val="none"/>
        </w:rPr>
        <w:t xml:space="preserve">、财产和机械设备的保险。 </w:t>
      </w:r>
      <w:bookmarkEnd w:id="72"/>
      <w:r>
        <w:rPr>
          <w:color w:val="000000" w:themeColor="text1"/>
        </w:rPr>
      </w:r>
      <w:r/>
    </w:p>
    <w:p>
      <w:pPr>
        <w:pStyle w:val="738"/>
        <w:ind w:firstLine="482"/>
        <w:spacing w:before="0" w:after="0" w:line="360" w:lineRule="auto"/>
        <w:rPr>
          <w:color w:val="000000" w:themeColor="text1"/>
          <w:highlight w:val="none"/>
        </w:rPr>
      </w:pPr>
      <w:r>
        <w:rPr>
          <w:color w:val="000000" w:themeColor="text1"/>
          <w:highlight w:val="none"/>
        </w:rPr>
        <w:t xml:space="preserve">二十</w:t>
      </w:r>
      <w:r>
        <w:rPr>
          <w:rFonts w:hint="eastAsia"/>
          <w:color w:val="000000" w:themeColor="text1"/>
          <w:highlight w:val="none"/>
        </w:rPr>
        <w:t xml:space="preserve">八</w:t>
      </w:r>
      <w:r>
        <w:rPr>
          <w:color w:val="000000" w:themeColor="text1"/>
          <w:highlight w:val="none"/>
        </w:rPr>
        <w:t xml:space="preserve">、合同的生效、终止</w:t>
      </w:r>
      <w:r>
        <w:rPr>
          <w:rFonts w:hint="eastAsia"/>
          <w:color w:val="000000" w:themeColor="text1"/>
          <w:highlight w:val="none"/>
        </w:rPr>
        <w:t xml:space="preserve">及其他</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（一）本合同在双方签字、盖章后生效。 </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（二）本合同未尽事宜另立补充协议，补充协议与本合同具有同等法律效力。</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三）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别享有和承担相关权利和义务。</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（四）合同的终止 </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1、在项目结算，甲方付款完毕，乙方将系统交付甲方后，除有关质量保证条款仍然生效外，</w:t>
      </w:r>
      <w:r>
        <w:rPr>
          <w:rFonts w:hint="eastAsia"/>
          <w:color w:val="000000" w:themeColor="text1"/>
          <w:highlight w:val="none"/>
        </w:rPr>
        <w:t xml:space="preserve">其他条款</w:t>
      </w:r>
      <w:r>
        <w:rPr>
          <w:color w:val="000000" w:themeColor="text1"/>
          <w:highlight w:val="none"/>
        </w:rPr>
        <w:t xml:space="preserve">即告终止，质量保证期满后，有关质量保证条款终止。</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2、如果乙方破产或无清偿能力，甲方可在任何时候以书面形式通知乙方，提出终止合同而不给乙方补偿。该终止合同将不损害或影响甲方已经采取或将要采取的任何行动或补救措施的权力。</w:t>
      </w:r>
      <w:r>
        <w:rPr>
          <w:color w:val="000000" w:themeColor="text1"/>
        </w:rPr>
      </w:r>
      <w:r/>
    </w:p>
    <w:p>
      <w:pPr>
        <w:pStyle w:val="784"/>
        <w:ind w:firstLine="480"/>
        <w:jc w:val="both"/>
        <w:spacing w:line="360" w:lineRule="auto"/>
        <w:rPr>
          <w:color w:val="000000" w:themeColor="text1"/>
          <w:highlight w:val="none"/>
        </w:rPr>
      </w:pPr>
      <w:r>
        <w:rPr>
          <w:color w:val="000000" w:themeColor="text1"/>
          <w:highlight w:val="none"/>
        </w:rPr>
        <w:t xml:space="preserve">3、甲方可在任何时候出于自身的便利向乙方发出书面通知，全部或部分终止合同，终止通知应明确该终止合同是出于甲方的便利，合同终止的程度以及终止的生效日期。</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（五）本合同一式六份</w:t>
      </w:r>
      <w:r>
        <w:rPr>
          <w:rFonts w:hint="eastAsia"/>
          <w:color w:val="000000" w:themeColor="text1"/>
          <w:sz w:val="24"/>
          <w:highlight w:val="none"/>
        </w:rPr>
        <w:t xml:space="preserve">，</w:t>
      </w:r>
      <w:r>
        <w:rPr>
          <w:color w:val="000000" w:themeColor="text1"/>
          <w:sz w:val="24"/>
          <w:highlight w:val="none"/>
        </w:rPr>
        <w:t xml:space="preserve">甲乙双方各执三份。</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甲方名称（公章）：</w:t>
      </w:r>
      <w:r>
        <w:rPr>
          <w:color w:val="000000" w:themeColor="text1"/>
          <w:sz w:val="24"/>
          <w:highlight w:val="none"/>
          <w:u w:val="single"/>
        </w:rPr>
        <w:t xml:space="preserve">太湖流域水文水资源监测中心（太湖流域水环境监测中心）</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法定代表人／委托代理人（签名）：</w:t>
      </w:r>
      <w:r>
        <w:rPr>
          <w:color w:val="000000" w:themeColor="text1"/>
          <w:sz w:val="24"/>
          <w:highlight w:val="none"/>
          <w:u w:val="single"/>
        </w:rPr>
        <w:t xml:space="preserve">                  </w:t>
      </w:r>
      <w:r>
        <w:rPr>
          <w:color w:val="000000" w:themeColor="text1"/>
        </w:rPr>
      </w:r>
      <w:r/>
    </w:p>
    <w:p>
      <w:pPr>
        <w:ind w:firstLine="480"/>
        <w:spacing w:line="360" w:lineRule="auto"/>
        <w:rPr>
          <w:color w:val="000000" w:themeColor="text1"/>
          <w:sz w:val="24"/>
          <w:highlight w:val="none"/>
          <w:u w:val="single"/>
        </w:rPr>
      </w:pPr>
      <w:r>
        <w:rPr>
          <w:color w:val="000000" w:themeColor="text1"/>
          <w:sz w:val="24"/>
          <w:highlight w:val="none"/>
        </w:rPr>
        <w:t xml:space="preserve">甲方地址：</w:t>
      </w:r>
      <w:r>
        <w:rPr>
          <w:rFonts w:hint="eastAsia"/>
          <w:color w:val="000000" w:themeColor="text1"/>
          <w:sz w:val="24"/>
          <w:highlight w:val="none"/>
          <w:u w:val="single"/>
        </w:rPr>
        <w:t xml:space="preserve">无锡市金城路8</w:t>
      </w:r>
      <w:r>
        <w:rPr>
          <w:color w:val="000000" w:themeColor="text1"/>
          <w:sz w:val="24"/>
          <w:highlight w:val="none"/>
          <w:u w:val="single"/>
        </w:rPr>
        <w:t xml:space="preserve">35</w:t>
      </w:r>
      <w:r>
        <w:rPr>
          <w:rFonts w:hint="eastAsia"/>
          <w:color w:val="000000" w:themeColor="text1"/>
          <w:sz w:val="24"/>
          <w:highlight w:val="none"/>
          <w:u w:val="single"/>
        </w:rPr>
        <w:t xml:space="preserve">号</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开户行：</w:t>
      </w:r>
      <w:r>
        <w:rPr>
          <w:color w:val="000000" w:themeColor="text1"/>
          <w:sz w:val="24"/>
          <w:highlight w:val="none"/>
          <w:u w:val="single"/>
        </w:rPr>
        <w:t xml:space="preserve">                           </w:t>
      </w:r>
      <w:r>
        <w:rPr>
          <w:color w:val="000000" w:themeColor="text1"/>
          <w:sz w:val="24"/>
          <w:highlight w:val="none"/>
        </w:rPr>
        <w:t xml:space="preserve"> </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账号：</w:t>
      </w:r>
      <w:r>
        <w:rPr>
          <w:color w:val="000000" w:themeColor="text1"/>
          <w:sz w:val="24"/>
          <w:highlight w:val="none"/>
          <w:u w:val="single"/>
        </w:rPr>
        <w:t xml:space="preserve">                             </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电话：</w:t>
      </w:r>
      <w:r>
        <w:rPr>
          <w:color w:val="000000" w:themeColor="text1"/>
          <w:sz w:val="24"/>
          <w:highlight w:val="none"/>
          <w:u w:val="single"/>
        </w:rPr>
        <w:t xml:space="preserve">                             </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传真：</w:t>
      </w:r>
      <w:r>
        <w:rPr>
          <w:color w:val="000000" w:themeColor="text1"/>
          <w:sz w:val="24"/>
          <w:highlight w:val="none"/>
          <w:u w:val="single"/>
        </w:rPr>
        <w:t xml:space="preserve">                             </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乙方名称（公章）</w:t>
      </w:r>
      <w:r>
        <w:rPr>
          <w:rFonts w:hint="eastAsia"/>
          <w:color w:val="000000" w:themeColor="text1"/>
          <w:sz w:val="24"/>
          <w:highlight w:val="none"/>
          <w:u w:val="single"/>
        </w:rPr>
        <w:t xml:space="preserve"> </w:t>
      </w:r>
      <w:r>
        <w:rPr>
          <w:color w:val="000000" w:themeColor="text1"/>
          <w:sz w:val="24"/>
          <w:highlight w:val="none"/>
          <w:u w:val="single"/>
        </w:rPr>
        <w:t xml:space="preserve">                         </w:t>
      </w:r>
      <w:r>
        <w:rPr>
          <w:color w:val="000000" w:themeColor="text1"/>
          <w:sz w:val="24"/>
          <w:highlight w:val="none"/>
        </w:rPr>
        <w:t xml:space="preserve">  </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法定代表人／委托代理人（签名）：</w:t>
      </w:r>
      <w:r>
        <w:rPr>
          <w:color w:val="000000" w:themeColor="text1"/>
          <w:sz w:val="24"/>
          <w:highlight w:val="none"/>
          <w:u w:val="single"/>
        </w:rPr>
        <w:t xml:space="preserve">                          </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乙方地址：</w:t>
      </w:r>
      <w:r>
        <w:rPr>
          <w:rFonts w:hint="eastAsia"/>
          <w:color w:val="000000" w:themeColor="text1"/>
          <w:sz w:val="24"/>
          <w:highlight w:val="none"/>
          <w:u w:val="single"/>
        </w:rPr>
        <w:t xml:space="preserve"> </w:t>
      </w:r>
      <w:r>
        <w:rPr>
          <w:color w:val="000000" w:themeColor="text1"/>
          <w:sz w:val="24"/>
          <w:highlight w:val="none"/>
          <w:u w:val="single"/>
        </w:rPr>
        <w:t xml:space="preserve">                          </w:t>
      </w:r>
      <w:r>
        <w:rPr>
          <w:color w:val="000000" w:themeColor="text1"/>
          <w:sz w:val="24"/>
          <w:highlight w:val="none"/>
        </w:rPr>
        <w:t xml:space="preserve">                         </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开户行：</w:t>
      </w:r>
      <w:r>
        <w:rPr>
          <w:rFonts w:hint="eastAsia"/>
          <w:color w:val="000000" w:themeColor="text1"/>
          <w:sz w:val="24"/>
          <w:highlight w:val="none"/>
          <w:u w:val="single"/>
        </w:rPr>
        <w:t xml:space="preserve"> </w:t>
      </w:r>
      <w:r>
        <w:rPr>
          <w:color w:val="000000" w:themeColor="text1"/>
          <w:sz w:val="24"/>
          <w:highlight w:val="none"/>
          <w:u w:val="single"/>
        </w:rPr>
        <w:t xml:space="preserve">                            </w:t>
      </w:r>
      <w:r>
        <w:rPr>
          <w:color w:val="000000" w:themeColor="text1"/>
          <w:sz w:val="24"/>
          <w:highlight w:val="none"/>
        </w:rPr>
        <w:t xml:space="preserve">     </w:t>
      </w:r>
      <w:r>
        <w:rPr>
          <w:color w:val="000000" w:themeColor="text1"/>
        </w:rPr>
      </w:r>
      <w:r/>
    </w:p>
    <w:p>
      <w:pPr>
        <w:ind w:firstLine="480"/>
        <w:spacing w:line="360" w:lineRule="auto"/>
        <w:rPr>
          <w:color w:val="000000" w:themeColor="text1"/>
          <w:sz w:val="24"/>
          <w:highlight w:val="none"/>
        </w:rPr>
      </w:pPr>
      <w:r>
        <w:rPr>
          <w:color w:val="000000" w:themeColor="text1"/>
          <w:sz w:val="24"/>
          <w:highlight w:val="none"/>
        </w:rPr>
        <w:t xml:space="preserve">账号：</w:t>
      </w:r>
      <w:r>
        <w:rPr>
          <w:color w:val="000000" w:themeColor="text1"/>
          <w:sz w:val="24"/>
          <w:highlight w:val="none"/>
          <w:u w:val="single"/>
        </w:rPr>
        <w:t xml:space="preserve">                               </w:t>
      </w:r>
      <w:r>
        <w:rPr>
          <w:color w:val="000000" w:themeColor="text1"/>
          <w:sz w:val="24"/>
          <w:highlight w:val="none"/>
        </w:rPr>
        <w:t xml:space="preserve">     </w:t>
      </w:r>
      <w:r>
        <w:rPr>
          <w:color w:val="000000" w:themeColor="text1"/>
        </w:rPr>
      </w:r>
      <w:r/>
    </w:p>
    <w:p>
      <w:pPr>
        <w:ind w:firstLine="439"/>
        <w:spacing w:line="360" w:lineRule="auto"/>
        <w:rPr>
          <w:color w:val="000000" w:themeColor="text1"/>
          <w:sz w:val="24"/>
          <w:highlight w:val="none"/>
        </w:rPr>
      </w:pPr>
      <w:r>
        <w:rPr>
          <w:color w:val="000000" w:themeColor="text1"/>
          <w:sz w:val="24"/>
          <w:highlight w:val="none"/>
        </w:rPr>
        <w:t xml:space="preserve">电话：</w:t>
      </w:r>
      <w:r>
        <w:rPr>
          <w:color w:val="000000" w:themeColor="text1"/>
          <w:sz w:val="24"/>
          <w:highlight w:val="none"/>
          <w:u w:val="single"/>
        </w:rPr>
        <w:t xml:space="preserve">                               </w:t>
      </w:r>
      <w:r>
        <w:rPr>
          <w:color w:val="000000" w:themeColor="text1"/>
          <w:sz w:val="24"/>
          <w:highlight w:val="none"/>
        </w:rPr>
        <w:t xml:space="preserve">     </w:t>
      </w:r>
      <w:r>
        <w:rPr>
          <w:color w:val="000000" w:themeColor="text1"/>
        </w:rPr>
      </w:r>
      <w:r/>
    </w:p>
    <w:p>
      <w:pPr>
        <w:ind w:firstLine="439"/>
        <w:spacing w:line="360" w:lineRule="auto"/>
        <w:rPr>
          <w:color w:val="000000" w:themeColor="text1"/>
          <w:highlight w:val="none"/>
        </w:rPr>
      </w:pPr>
      <w:r>
        <w:rPr>
          <w:color w:val="000000" w:themeColor="text1"/>
          <w:sz w:val="24"/>
          <w:highlight w:val="none"/>
        </w:rPr>
        <w:t xml:space="preserve">传真：</w:t>
      </w:r>
      <w:r>
        <w:rPr>
          <w:color w:val="000000" w:themeColor="text1"/>
          <w:sz w:val="24"/>
          <w:highlight w:val="none"/>
          <w:u w:val="single"/>
        </w:rPr>
        <w:t xml:space="preserve">                               </w:t>
      </w:r>
      <w:r>
        <w:rPr>
          <w:color w:val="000000" w:themeColor="text1"/>
          <w:sz w:val="24"/>
          <w:highlight w:val="none"/>
        </w:rPr>
        <w:t xml:space="preserve">      </w:t>
      </w:r>
      <w:bookmarkStart w:id="73" w:name="_Toc12839"/>
      <w:r>
        <w:rPr>
          <w:rFonts w:hint="eastAsia" w:ascii="黑体" w:hAnsi="Cambria" w:eastAsia="黑体"/>
          <w:b/>
          <w:bCs/>
          <w:color w:val="000000" w:themeColor="text1"/>
          <w:sz w:val="36"/>
          <w:szCs w:val="36"/>
          <w:highlight w:val="none"/>
        </w:rPr>
        <w:br w:type="page" w:clear="all"/>
      </w:r>
      <w:r>
        <w:rPr>
          <w:color w:val="000000" w:themeColor="text1"/>
        </w:rPr>
      </w:r>
      <w:r/>
    </w:p>
    <w:p>
      <w:pPr>
        <w:jc w:val="center"/>
        <w:rPr>
          <w:rFonts w:ascii="黑体" w:hAnsi="Cambria" w:eastAsia="黑体"/>
          <w:b/>
          <w:bCs/>
          <w:color w:val="000000" w:themeColor="text1"/>
          <w:sz w:val="36"/>
          <w:szCs w:val="36"/>
          <w:highlight w:val="none"/>
        </w:rPr>
        <w:outlineLvl w:val="0"/>
      </w:pPr>
      <w:r>
        <w:rPr>
          <w:rFonts w:hint="eastAsia" w:ascii="黑体" w:hAnsi="Cambria" w:eastAsia="黑体"/>
          <w:b/>
          <w:bCs/>
          <w:color w:val="000000" w:themeColor="text1"/>
          <w:sz w:val="36"/>
          <w:szCs w:val="36"/>
          <w:highlight w:val="none"/>
        </w:rPr>
        <w:t xml:space="preserve">五、附件</w:t>
      </w:r>
      <w:bookmarkEnd w:id="73"/>
      <w:r>
        <w:rPr>
          <w:color w:val="000000" w:themeColor="text1"/>
        </w:rPr>
      </w:r>
      <w:r/>
    </w:p>
    <w:p>
      <w:pPr>
        <w:ind w:firstLine="480"/>
        <w:jc w:val="left"/>
        <w:spacing w:line="360" w:lineRule="auto"/>
        <w:rPr>
          <w:rFonts w:hint="default" w:ascii="黑体" w:hAnsi="Times New Roman" w:eastAsia="黑体" w:cs="Times New Roman"/>
          <w:bCs/>
          <w:color w:val="000000" w:themeColor="text1"/>
          <w:sz w:val="24"/>
          <w:szCs w:val="24"/>
          <w:highlight w:val="none"/>
        </w:rPr>
      </w:pPr>
      <w:r>
        <w:rPr>
          <w:rFonts w:hint="eastAsia" w:ascii="黑体" w:hAnsi="Times New Roman" w:eastAsia="黑体" w:cs="Times New Roman"/>
          <w:bCs/>
          <w:color w:val="000000" w:themeColor="text1"/>
          <w:sz w:val="24"/>
          <w:szCs w:val="24"/>
          <w:highlight w:val="none"/>
          <w:lang w:val="en-US" w:eastAsia="zh-CN" w:bidi="ar-SA"/>
        </w:rPr>
        <w:t xml:space="preserve">附件一：评分标准</w:t>
      </w:r>
      <w:r>
        <w:rPr>
          <w:color w:val="000000" w:themeColor="text1"/>
        </w:rPr>
      </w:r>
      <w:r/>
    </w:p>
    <w:p>
      <w:pPr>
        <w:ind w:firstLine="48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（一）评分项目及分值（总分100分）</w:t>
      </w:r>
      <w:r>
        <w:rPr>
          <w:color w:val="000000" w:themeColor="text1"/>
        </w:rPr>
      </w:r>
      <w:r/>
    </w:p>
    <w:p>
      <w:pPr>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bidi="ar-SA"/>
        </w:rPr>
        <w:t xml:space="preserve">1.投标报价                                     30分</w:t>
      </w:r>
      <w:r>
        <w:rPr>
          <w:color w:val="000000" w:themeColor="text1"/>
        </w:rPr>
      </w:r>
      <w:r/>
    </w:p>
    <w:p>
      <w:pPr>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bidi="ar-SA"/>
        </w:rPr>
        <w:t xml:space="preserve">2.投标供应商评价                               18分</w:t>
      </w:r>
      <w:r>
        <w:rPr>
          <w:color w:val="000000" w:themeColor="text1"/>
        </w:rPr>
      </w:r>
      <w:r/>
    </w:p>
    <w:p>
      <w:pPr>
        <w:ind w:firstLine="482"/>
        <w:spacing w:line="360" w:lineRule="auto"/>
        <w:rPr>
          <w:rFonts w:hint="default"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bidi="ar-SA"/>
        </w:rPr>
        <w:t xml:space="preserve">3.技术指标                                     12分</w:t>
      </w:r>
      <w:r>
        <w:rPr>
          <w:color w:val="000000" w:themeColor="text1"/>
        </w:rPr>
      </w:r>
      <w:r/>
    </w:p>
    <w:p>
      <w:pPr>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bidi="ar-SA"/>
        </w:rPr>
        <w:t xml:space="preserve">4.技术文件                                     40分</w:t>
      </w:r>
      <w:r>
        <w:rPr>
          <w:color w:val="000000" w:themeColor="text1"/>
        </w:rPr>
      </w:r>
      <w:r/>
    </w:p>
    <w:p>
      <w:pPr>
        <w:ind w:firstLine="48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t xml:space="preserve">（二）各项目评分标准</w:t>
      </w:r>
      <w:r>
        <w:rPr>
          <w:color w:val="000000" w:themeColor="text1"/>
        </w:rPr>
      </w:r>
      <w:r/>
    </w:p>
    <w:p>
      <w:pPr>
        <w:ind w:firstLine="482"/>
        <w:jc w:val="left"/>
        <w:spacing w:line="360" w:lineRule="auto"/>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1.投标报价（30分）</w:t>
      </w:r>
      <w:r>
        <w:rPr>
          <w:color w:val="000000" w:themeColor="text1"/>
        </w:rPr>
      </w:r>
      <w:r/>
    </w:p>
    <w:p>
      <w:pPr>
        <w:ind w:firstLine="480"/>
        <w:jc w:val="left"/>
        <w:spacing w:line="360" w:lineRule="auto"/>
        <w:rPr>
          <w:rFonts w:hint="default"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采用低价优先法计算，即满足招标文件要求且投标价格最低的投标报价为评标基准价，其价格分为满分。其他投标供应商的价格分统一按照下列公式计算：</w:t>
      </w:r>
      <w:r>
        <w:rPr>
          <w:color w:val="000000" w:themeColor="text1"/>
        </w:rPr>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投标报价得分=（评标基准价／投标报价）×价格权值×100。</w:t>
      </w:r>
      <w:r>
        <w:rPr>
          <w:color w:val="000000" w:themeColor="text1"/>
        </w:rPr>
      </w:r>
      <w:r/>
    </w:p>
    <w:p>
      <w:pPr>
        <w:ind w:firstLine="480"/>
        <w:jc w:val="left"/>
        <w:spacing w:line="360" w:lineRule="auto"/>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（1）价格扣除：</w:t>
      </w:r>
      <w:r>
        <w:rPr>
          <w:color w:val="000000" w:themeColor="text1"/>
        </w:rPr>
      </w:r>
      <w:r/>
    </w:p>
    <w:p>
      <w:pPr>
        <w:ind w:firstLine="480"/>
        <w:jc w:val="left"/>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对小型和微型企业产品的报价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r>
        <w:rPr>
          <w:color w:val="000000" w:themeColor="text1"/>
        </w:rPr>
      </w:r>
      <w:r/>
    </w:p>
    <w:p>
      <w:pPr>
        <w:ind w:firstLine="480"/>
        <w:jc w:val="left"/>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①参加投标的中小企业，应当按照《政府采购促进中小企业发展</w:t>
      </w:r>
      <w:r>
        <w:rPr>
          <w:rFonts w:hint="eastAsia" w:ascii="宋体" w:hAnsi="宋体" w:eastAsia="宋体" w:cs="宋体"/>
          <w:bCs/>
          <w:color w:val="000000" w:themeColor="text1"/>
          <w:sz w:val="24"/>
          <w:szCs w:val="24"/>
          <w:lang w:val="en-US" w:eastAsia="zh-CN"/>
        </w:rPr>
        <w:t xml:space="preserve">管理</w:t>
      </w:r>
      <w:r>
        <w:rPr>
          <w:rFonts w:hint="eastAsia" w:ascii="宋体" w:hAnsi="宋体" w:eastAsia="宋体" w:cs="宋体"/>
          <w:bCs/>
          <w:color w:val="000000" w:themeColor="text1"/>
          <w:sz w:val="24"/>
          <w:szCs w:val="24"/>
        </w:rPr>
        <w:t xml:space="preserve">办法》的规定提供《中小企业声明函》格式见附件。（中小企业划型标准详见《关于印发中小企业划型标准规定的通知》工信部联企业〔2011〕300号）。</w:t>
      </w:r>
      <w:r>
        <w:rPr>
          <w:color w:val="000000" w:themeColor="text1"/>
        </w:rPr>
      </w:r>
      <w:r/>
    </w:p>
    <w:p>
      <w:pPr>
        <w:ind w:firstLine="480"/>
        <w:jc w:val="left"/>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②参加投标的监狱企业，应当按照《关于政府采购支持监狱企业发展有关问题的通知》（财库〔2014〕68号）的规定提供由省级以上监狱管理局、戒毒管理局（含新疆生产建设兵团）出具的属于监狱企业的证明文件复印件。</w:t>
      </w:r>
      <w:r>
        <w:rPr>
          <w:color w:val="000000" w:themeColor="text1"/>
        </w:rPr>
      </w:r>
      <w:r/>
    </w:p>
    <w:p>
      <w:pPr>
        <w:ind w:firstLine="480"/>
        <w:jc w:val="left"/>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③参加投标的残疾人福利性单位，应当按照《财政部、民政部、中国残疾人联合会关于促进残疾人就业政府采购政策的通知》（财库〔2017〕141号）的规定提供《残疾人福利性单位声明函》。</w:t>
      </w:r>
      <w:r>
        <w:rPr>
          <w:color w:val="000000" w:themeColor="text1"/>
        </w:rPr>
      </w:r>
      <w:r/>
    </w:p>
    <w:p>
      <w:pPr>
        <w:ind w:firstLine="480"/>
        <w:jc w:val="left"/>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注：同一投标供应商，上述三项价格扣除优惠不得重复享受。</w:t>
      </w:r>
      <w:r>
        <w:rPr>
          <w:color w:val="000000" w:themeColor="text1"/>
        </w:rPr>
      </w:r>
      <w:r/>
    </w:p>
    <w:p>
      <w:pPr>
        <w:ind w:firstLine="482"/>
        <w:jc w:val="left"/>
        <w:spacing w:line="500" w:lineRule="exact"/>
        <w:rPr>
          <w:rFonts w:ascii="宋体" w:hAnsi="宋体" w:eastAsia="宋体" w:cs="Times New Roman"/>
          <w:b/>
          <w:bCs/>
          <w:color w:val="000000" w:themeColor="text1"/>
          <w:sz w:val="24"/>
          <w:szCs w:val="24"/>
        </w:rPr>
      </w:pPr>
      <w:r>
        <w:rPr>
          <w:rFonts w:hint="eastAsia" w:ascii="宋体" w:hAnsi="宋体" w:eastAsia="宋体" w:cs="宋体"/>
          <w:bCs/>
          <w:color w:val="000000" w:themeColor="text1"/>
          <w:sz w:val="24"/>
          <w:szCs w:val="24"/>
        </w:rPr>
        <w:t xml:space="preserve">（2）</w:t>
      </w:r>
      <w:r>
        <w:rPr>
          <w:rFonts w:hint="eastAsia" w:ascii="宋体" w:hAnsi="宋体" w:eastAsia="宋体" w:cs="Times New Roman"/>
          <w:b/>
          <w:bCs/>
          <w:color w:val="000000" w:themeColor="text1"/>
          <w:sz w:val="24"/>
          <w:szCs w:val="24"/>
        </w:rPr>
        <w:t xml:space="preserve">对本国产品的支持政策：根据</w:t>
      </w:r>
      <w:r>
        <w:rPr>
          <w:rFonts w:hint="eastAsia" w:ascii="宋体" w:hAnsi="Times New Roman" w:eastAsia="宋体" w:cs="Times New Roman"/>
          <w:b/>
          <w:bCs/>
          <w:color w:val="000000" w:themeColor="text1"/>
          <w:sz w:val="24"/>
          <w:szCs w:val="24"/>
        </w:rPr>
        <w:t xml:space="preserve">《国务院办公厅关于在政府采购中实施本国产品标准及相关政策的通知》（国办发〔2025〕34号）要求，</w:t>
      </w:r>
      <w:r>
        <w:rPr>
          <w:rFonts w:hint="eastAsia" w:ascii="宋体" w:hAnsi="宋体" w:eastAsia="宋体" w:cs="Times New Roman"/>
          <w:b/>
          <w:bCs/>
          <w:color w:val="000000" w:themeColor="text1"/>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1）本国产品价格扣除政策</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color w:val="000000" w:themeColor="text1"/>
        </w:rPr>
      </w:r>
      <w:r/>
    </w:p>
    <w:p>
      <w:pPr>
        <w:ind w:firstLine="482"/>
        <w:jc w:val="left"/>
        <w:spacing w:line="500" w:lineRule="exact"/>
        <w:rPr>
          <w:rFonts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000000" w:themeColor="text1"/>
          <w:sz w:val="24"/>
          <w:szCs w:val="24"/>
          <w:u w:val="none"/>
        </w:rPr>
        <w:t xml:space="preserve">对于仅有本国产品参与竞争的政府采购项目或采购包，本国产品不享受价格扣除评审优惠。</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2）注意事项</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①提供本国产品进行投标（报价）的供应商需在其投</w:t>
      </w:r>
      <w:r>
        <w:rPr>
          <w:rFonts w:hint="eastAsia" w:ascii="宋体" w:hAnsi="宋体" w:eastAsia="宋体" w:cs="Times New Roman"/>
          <w:bCs/>
          <w:color w:val="000000" w:themeColor="text1"/>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其中，“符合本国产品标准的产品成本之和”是指本项目或采购包中符合本国产品标准的</w:t>
      </w:r>
      <w:r>
        <w:rPr>
          <w:rFonts w:hint="eastAsia" w:ascii="宋体" w:hAnsi="宋体" w:eastAsia="宋体" w:cs="Times New Roman"/>
          <w:b/>
          <w:bCs/>
          <w:color w:val="000000" w:themeColor="text1"/>
          <w:sz w:val="24"/>
          <w:szCs w:val="24"/>
        </w:rPr>
        <w:t xml:space="preserve">货物成本之和</w:t>
      </w:r>
      <w:r>
        <w:rPr>
          <w:rFonts w:hint="eastAsia" w:ascii="宋体" w:hAnsi="宋体" w:eastAsia="宋体" w:cs="Times New Roman"/>
          <w:bCs/>
          <w:color w:val="000000" w:themeColor="text1"/>
          <w:sz w:val="24"/>
          <w:szCs w:val="24"/>
        </w:rPr>
        <w:t xml:space="preserve">；“全部产品成本之和”是指货物或服务项目（或者采购包）中包含的</w:t>
      </w:r>
      <w:r>
        <w:rPr>
          <w:rFonts w:hint="eastAsia" w:ascii="宋体" w:hAnsi="宋体" w:eastAsia="宋体" w:cs="Times New Roman"/>
          <w:b/>
          <w:bCs/>
          <w:color w:val="000000" w:themeColor="text1"/>
          <w:sz w:val="24"/>
          <w:szCs w:val="24"/>
        </w:rPr>
        <w:t xml:space="preserve">全部货物、服务产品的成本之和</w:t>
      </w:r>
      <w:r>
        <w:rPr>
          <w:rFonts w:hint="eastAsia" w:ascii="宋体" w:hAnsi="宋体" w:eastAsia="宋体" w:cs="Times New Roman"/>
          <w:bCs/>
          <w:color w:val="000000" w:themeColor="text1"/>
          <w:sz w:val="24"/>
          <w:szCs w:val="24"/>
        </w:rPr>
        <w:t xml:space="preserve">。</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③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即，当小微型企业价格扣除政策和本国产品价格扣除政策同时享受时，按以下计算方式进行计算：</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供应商参与评审的报价=供应商投标总报价×[1-（小微型企业价格扣除+本国产品价格扣除）]</w:t>
      </w:r>
      <w:r>
        <w:rPr>
          <w:color w:val="000000" w:themeColor="text1"/>
        </w:rPr>
      </w:r>
      <w:r/>
    </w:p>
    <w:p>
      <w:pPr>
        <w:ind w:firstLine="480"/>
        <w:jc w:val="left"/>
        <w:spacing w:line="500" w:lineRule="exact"/>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例如，供应商总报价1000000元，经认定可以享受小微型企业价格扣除政策以及本国产品价格扣除政策的，则该供应商参与评审的报价为：</w:t>
      </w:r>
      <w:r>
        <w:rPr>
          <w:color w:val="000000" w:themeColor="text1"/>
        </w:rPr>
      </w:r>
      <w:r/>
    </w:p>
    <w:p>
      <w:pPr>
        <w:ind w:firstLine="480"/>
        <w:jc w:val="left"/>
        <w:spacing w:line="500" w:lineRule="exact"/>
        <w:rPr>
          <w:rFonts w:ascii="宋体" w:hAnsi="宋体" w:eastAsia="宋体" w:cs="宋体"/>
          <w:bCs/>
          <w:color w:val="000000" w:themeColor="text1"/>
          <w:sz w:val="24"/>
          <w:szCs w:val="24"/>
        </w:rPr>
      </w:pPr>
      <w:r>
        <w:rPr>
          <w:rFonts w:hint="eastAsia" w:ascii="宋体" w:hAnsi="宋体" w:eastAsia="宋体" w:cs="Times New Roman"/>
          <w:bCs/>
          <w:color w:val="000000" w:themeColor="text1"/>
          <w:sz w:val="24"/>
          <w:szCs w:val="24"/>
        </w:rPr>
        <w:t xml:space="preserve">1000000×[1-（10%+20%）]=700000元</w:t>
      </w:r>
      <w:r>
        <w:rPr>
          <w:color w:val="000000" w:themeColor="text1"/>
        </w:rPr>
      </w:r>
      <w:r/>
    </w:p>
    <w:p>
      <w:pPr>
        <w:numPr>
          <w:ilvl w:val="0"/>
          <w:numId w:val="17"/>
        </w:numPr>
        <w:ind w:firstLine="482"/>
        <w:spacing w:line="360" w:lineRule="auto"/>
        <w:tabs>
          <w:tab w:val="left" w:pos="420" w:leader="none"/>
          <w:tab w:val="left" w:pos="945" w:leader="none"/>
          <w:tab w:val="left" w:pos="1155"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投标供应商评价（18分）</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1"/>
        <w:gridCol w:w="7153"/>
        <w:gridCol w:w="1214"/>
      </w:tblGrid>
      <w:tr>
        <w:trPr>
          <w:jc w:val="center"/>
          <w:trHeight w:val="452"/>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b/>
                <w:bCs/>
                <w:color w:val="000000" w:themeColor="text1"/>
                <w:sz w:val="24"/>
                <w:szCs w:val="20"/>
                <w:highlight w:val="none"/>
              </w:rPr>
              <w:suppressLineNumbers w:val="0"/>
            </w:pPr>
            <w:r>
              <w:rPr>
                <w:rFonts w:hint="eastAsia" w:ascii="宋体" w:hAnsi="宋体" w:eastAsia="宋体" w:cs="宋体"/>
                <w:b/>
                <w:bCs/>
                <w:color w:val="000000" w:themeColor="text1"/>
                <w:sz w:val="24"/>
                <w:szCs w:val="20"/>
                <w:highlight w:val="none"/>
                <w:lang w:val="en-US" w:eastAsia="zh-CN" w:bidi="ar-SA"/>
              </w:rPr>
              <w:t xml:space="preserve">评分内容</w:t>
            </w:r>
            <w:r>
              <w:rPr>
                <w:color w:val="000000" w:themeColor="text1"/>
              </w:rPr>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b/>
                <w:bCs/>
                <w:color w:val="000000" w:themeColor="text1"/>
                <w:sz w:val="24"/>
                <w:szCs w:val="20"/>
                <w:highlight w:val="none"/>
              </w:rPr>
              <w:suppressLineNumbers w:val="0"/>
            </w:pPr>
            <w:r>
              <w:rPr>
                <w:rFonts w:hint="eastAsia" w:ascii="宋体" w:hAnsi="宋体" w:eastAsia="宋体" w:cs="宋体"/>
                <w:b/>
                <w:bCs/>
                <w:color w:val="000000" w:themeColor="text1"/>
                <w:sz w:val="24"/>
                <w:szCs w:val="20"/>
                <w:highlight w:val="none"/>
                <w:lang w:val="en-US" w:eastAsia="zh-CN" w:bidi="ar-SA"/>
              </w:rPr>
              <w:t xml:space="preserve">评分标准</w:t>
            </w:r>
            <w:r>
              <w:rPr>
                <w:color w:val="000000" w:themeColor="text1"/>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b/>
                <w:bCs/>
                <w:color w:val="000000" w:themeColor="text1"/>
                <w:sz w:val="24"/>
                <w:szCs w:val="20"/>
                <w:highlight w:val="none"/>
              </w:rPr>
              <w:suppressLineNumbers w:val="0"/>
            </w:pPr>
            <w:r>
              <w:rPr>
                <w:rFonts w:hint="eastAsia" w:ascii="宋体" w:hAnsi="宋体" w:eastAsia="宋体" w:cs="宋体"/>
                <w:b/>
                <w:bCs/>
                <w:color w:val="000000" w:themeColor="text1"/>
                <w:sz w:val="24"/>
                <w:szCs w:val="20"/>
                <w:highlight w:val="none"/>
                <w:lang w:val="en-US" w:eastAsia="zh-CN" w:bidi="ar-SA"/>
              </w:rPr>
              <w:t xml:space="preserve">分值</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lang w:val="en-US" w:eastAsia="zh-CN" w:bidi="ar-SA"/>
              </w:rPr>
              <w:t xml:space="preserve">投标供应商综合能力</w:t>
            </w:r>
            <w:r>
              <w:rPr>
                <w:color w:val="000000" w:themeColor="text1"/>
              </w:rPr>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000000" w:themeColor="text1"/>
                <w:sz w:val="24"/>
                <w:szCs w:val="20"/>
                <w:highlight w:val="none"/>
              </w:rPr>
              <w:suppressLineNumbers w:val="0"/>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cs="Times New Roman"/>
                <w:color w:val="000000" w:themeColor="text1"/>
                <w:sz w:val="24"/>
                <w:szCs w:val="20"/>
                <w:highlight w:val="none"/>
                <w:lang w:val="en-US" w:eastAsia="zh-CN" w:bidi="ar-SA"/>
              </w:rPr>
              <w:t xml:space="preserve">1</w:t>
            </w:r>
            <w:r>
              <w:rPr>
                <w:rFonts w:hint="eastAsia" w:ascii="Times New Roman" w:hAnsi="Times New Roman" w:eastAsia="宋体" w:cs="Times New Roman"/>
                <w:color w:val="000000" w:themeColor="text1"/>
                <w:sz w:val="24"/>
                <w:szCs w:val="20"/>
                <w:highlight w:val="none"/>
                <w:lang w:val="en-US" w:eastAsia="zh-CN" w:bidi="ar-SA"/>
              </w:rPr>
              <w:t xml:space="preserve">）投标供应商具有电子智能化工程专业承包贰级及以上资质证书，得1分。</w:t>
            </w:r>
            <w:r>
              <w:rPr>
                <w:color w:val="000000" w:themeColor="text1"/>
              </w:rPr>
            </w:r>
            <w:r/>
          </w:p>
          <w:p>
            <w:pPr>
              <w:ind w:left="0" w:right="0"/>
              <w:keepLines w:val="0"/>
              <w:keepNext w:val="0"/>
              <w:spacing w:before="0" w:beforeAutospacing="0" w:after="0" w:afterAutospacing="0" w:line="360" w:lineRule="auto"/>
              <w:rPr>
                <w:rFonts w:hint="eastAsia" w:ascii="Times New Roman" w:hAnsi="Times New Roman" w:eastAsia="宋体" w:cs="Times New Roman"/>
                <w:color w:val="000000" w:themeColor="text1"/>
                <w:sz w:val="24"/>
                <w:szCs w:val="20"/>
                <w:highlight w:val="none"/>
              </w:rPr>
              <w:suppressLineNumbers w:val="0"/>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cs="Times New Roman"/>
                <w:color w:val="000000" w:themeColor="text1"/>
                <w:sz w:val="24"/>
                <w:szCs w:val="20"/>
                <w:highlight w:val="none"/>
                <w:lang w:val="en-US" w:eastAsia="zh-CN" w:bidi="ar-SA"/>
              </w:rPr>
              <w:t xml:space="preserve">2</w:t>
            </w:r>
            <w:r>
              <w:rPr>
                <w:rFonts w:hint="eastAsia" w:ascii="Times New Roman" w:hAnsi="Times New Roman" w:eastAsia="宋体" w:cs="Times New Roman"/>
                <w:color w:val="000000" w:themeColor="text1"/>
                <w:sz w:val="24"/>
                <w:szCs w:val="20"/>
                <w:highlight w:val="none"/>
                <w:lang w:val="en-US" w:eastAsia="zh-CN" w:bidi="ar-SA"/>
              </w:rPr>
              <w:t xml:space="preserve">）投标供应商具有信息系统建设和服务能力等级证书，得1分。</w:t>
            </w:r>
            <w:r>
              <w:rPr>
                <w:color w:val="000000" w:themeColor="text1"/>
              </w:rPr>
            </w:r>
            <w:r/>
          </w:p>
          <w:p>
            <w:pPr>
              <w:ind w:left="0" w:right="0"/>
              <w:keepLines w:val="0"/>
              <w:keepNext w:val="0"/>
              <w:spacing w:before="0" w:beforeAutospacing="0" w:after="0" w:afterAutospacing="0" w:line="360" w:lineRule="auto"/>
              <w:rPr>
                <w:rFonts w:hint="eastAsia" w:ascii="Times New Roman" w:hAnsi="Times New Roman" w:eastAsia="宋体" w:cs="Times New Roman"/>
                <w:color w:val="000000" w:themeColor="text1"/>
                <w:sz w:val="24"/>
                <w:szCs w:val="20"/>
                <w:highlight w:val="none"/>
              </w:rPr>
              <w:suppressLineNumbers w:val="0"/>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cs="Times New Roman"/>
                <w:color w:val="000000" w:themeColor="text1"/>
                <w:sz w:val="24"/>
                <w:szCs w:val="20"/>
                <w:highlight w:val="none"/>
                <w:lang w:val="en-US" w:eastAsia="zh-CN" w:bidi="ar-SA"/>
              </w:rPr>
              <w:t xml:space="preserve">3</w:t>
            </w:r>
            <w:r>
              <w:rPr>
                <w:rFonts w:hint="eastAsia" w:ascii="Times New Roman" w:hAnsi="Times New Roman" w:eastAsia="宋体" w:cs="Times New Roman"/>
                <w:color w:val="000000" w:themeColor="text1"/>
                <w:sz w:val="24"/>
                <w:szCs w:val="20"/>
                <w:highlight w:val="none"/>
                <w:lang w:val="en-US" w:eastAsia="zh-CN" w:bidi="ar-SA"/>
              </w:rPr>
              <w:t xml:space="preserve">）投标供应商具有安全生产许可证，得1分。</w:t>
            </w:r>
            <w:r>
              <w:rPr>
                <w:color w:val="000000" w:themeColor="text1"/>
              </w:rPr>
            </w:r>
            <w:r/>
          </w:p>
          <w:p>
            <w:pPr>
              <w:ind w:left="0" w:right="0"/>
              <w:keepLines w:val="0"/>
              <w:keepNext w:val="0"/>
              <w:spacing w:before="0" w:beforeAutospacing="0" w:after="0" w:afterAutospacing="0" w:line="360" w:lineRule="auto"/>
              <w:rPr>
                <w:rFonts w:hint="default" w:ascii="宋体" w:hAnsi="宋体" w:eastAsia="宋体" w:cs="Times New Roman"/>
                <w:b/>
                <w:color w:val="000000" w:themeColor="text1"/>
                <w:sz w:val="24"/>
                <w:szCs w:val="20"/>
                <w:highlight w:val="none"/>
              </w:rPr>
              <w:suppressLineNumbers w:val="0"/>
            </w:pPr>
            <w:r>
              <w:rPr>
                <w:rFonts w:hint="eastAsia" w:ascii="Times New Roman" w:hAnsi="Times New Roman" w:eastAsia="宋体" w:cs="Times New Roman"/>
                <w:b/>
                <w:bCs/>
                <w:color w:val="000000" w:themeColor="text1"/>
                <w:sz w:val="24"/>
                <w:szCs w:val="20"/>
                <w:highlight w:val="none"/>
                <w:lang w:val="en-US" w:eastAsia="zh-CN" w:bidi="ar-SA"/>
              </w:rPr>
              <w:t xml:space="preserve">注：（1）－（</w:t>
            </w:r>
            <w:r>
              <w:rPr>
                <w:rFonts w:hint="eastAsia" w:cs="Times New Roman"/>
                <w:b/>
                <w:bCs/>
                <w:color w:val="000000" w:themeColor="text1"/>
                <w:sz w:val="24"/>
                <w:szCs w:val="20"/>
                <w:highlight w:val="none"/>
                <w:lang w:val="en-US" w:eastAsia="zh-CN" w:bidi="ar-SA"/>
              </w:rPr>
              <w:t xml:space="preserve">3</w:t>
            </w:r>
            <w:r>
              <w:rPr>
                <w:rFonts w:hint="eastAsia" w:ascii="Times New Roman" w:hAnsi="Times New Roman" w:eastAsia="宋体" w:cs="Times New Roman"/>
                <w:b/>
                <w:bCs/>
                <w:color w:val="000000" w:themeColor="text1"/>
                <w:sz w:val="24"/>
                <w:szCs w:val="20"/>
                <w:highlight w:val="none"/>
                <w:lang w:val="en-US" w:eastAsia="zh-CN" w:bidi="ar-SA"/>
              </w:rPr>
              <w:t xml:space="preserve">）项需提供证书扫描件上传至电子投标文件，未按要求提供不得分。</w:t>
            </w:r>
            <w:r>
              <w:rPr>
                <w:color w:val="000000" w:themeColor="text1"/>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themeColor="text1"/>
                <w:sz w:val="24"/>
                <w:szCs w:val="20"/>
                <w:highlight w:val="none"/>
              </w:rPr>
              <w:suppressLineNumbers w:val="0"/>
            </w:pPr>
            <w:r>
              <w:rPr>
                <w:rFonts w:hint="eastAsia" w:ascii="宋体" w:hAnsi="宋体" w:cs="Times New Roman"/>
                <w:color w:val="000000" w:themeColor="text1"/>
                <w:sz w:val="24"/>
                <w:szCs w:val="20"/>
                <w:highlight w:val="none"/>
                <w:lang w:val="en-US" w:eastAsia="zh-CN" w:bidi="ar-SA"/>
              </w:rPr>
              <w:t xml:space="preserve">3</w:t>
            </w:r>
            <w:r>
              <w:rPr>
                <w:rFonts w:hint="eastAsia" w:ascii="宋体" w:hAnsi="宋体" w:eastAsia="宋体" w:cs="Times New Roman"/>
                <w:color w:val="000000" w:themeColor="text1"/>
                <w:sz w:val="24"/>
                <w:szCs w:val="20"/>
                <w:highlight w:val="none"/>
                <w:lang w:val="en-US" w:eastAsia="zh-CN" w:bidi="ar-SA"/>
              </w:rPr>
              <w:t xml:space="preserve">分</w:t>
            </w:r>
            <w:r>
              <w:rPr>
                <w:color w:val="000000" w:themeColor="text1"/>
              </w:rPr>
            </w:r>
            <w:r/>
          </w:p>
        </w:tc>
      </w:tr>
      <w:tr>
        <w:trPr>
          <w:jc w:val="center"/>
          <w:trHeight w:val="2491"/>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lang w:val="en-US" w:eastAsia="zh-CN" w:bidi="ar-SA"/>
              </w:rPr>
              <w:t xml:space="preserve">投标供应商管理体系认证</w:t>
            </w:r>
            <w:r>
              <w:rPr>
                <w:color w:val="000000" w:themeColor="text1"/>
              </w:rPr>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Times New Roman"/>
                <w:color w:val="000000" w:themeColor="text1"/>
                <w:sz w:val="24"/>
                <w:szCs w:val="20"/>
                <w:highlight w:val="none"/>
              </w:rPr>
              <w:suppressLineNumbers w:val="0"/>
            </w:pPr>
            <w:r>
              <w:rPr>
                <w:rFonts w:hint="eastAsia" w:ascii="Times New Roman" w:hAnsi="Times New Roman" w:eastAsia="宋体" w:cs="Times New Roman"/>
                <w:color w:val="000000" w:themeColor="text1"/>
                <w:sz w:val="24"/>
                <w:szCs w:val="20"/>
                <w:highlight w:val="none"/>
                <w:lang w:val="en-US" w:eastAsia="zh-CN" w:bidi="ar-SA"/>
              </w:rPr>
              <w:t xml:space="preserve">（1）投标供应商具有经中国国家认证认可监督管理委员会认证机构颁发的在有效期内的质量管理体系认证证书、环境管理体系认证证书、职业健康安全管理体系认证证书、信息技术服务管理体系认证证书、信息安全管理体系认证证书，每有1个得0.5分，最高得2.5分。</w:t>
            </w:r>
            <w:r>
              <w:rPr>
                <w:color w:val="000000" w:themeColor="text1"/>
              </w:rPr>
            </w:r>
            <w:r/>
          </w:p>
          <w:p>
            <w:pPr>
              <w:ind w:left="0" w:right="0"/>
              <w:keepLines w:val="0"/>
              <w:keepNext w:val="0"/>
              <w:spacing w:before="0" w:beforeAutospacing="0" w:after="0" w:afterAutospacing="0" w:line="360" w:lineRule="auto"/>
              <w:rPr>
                <w:rFonts w:hint="eastAsia" w:ascii="Times New Roman" w:hAnsi="Times New Roman" w:eastAsia="宋体" w:cs="Times New Roman"/>
                <w:color w:val="000000" w:themeColor="text1"/>
                <w:szCs w:val="20"/>
                <w:highlight w:val="none"/>
              </w:rPr>
              <w:suppressLineNumbers w:val="0"/>
            </w:pPr>
            <w:r>
              <w:rPr>
                <w:rFonts w:hint="eastAsia" w:ascii="Times New Roman" w:hAnsi="Times New Roman" w:eastAsia="宋体" w:cs="Times New Roman"/>
                <w:b/>
                <w:bCs/>
                <w:color w:val="000000" w:themeColor="text1"/>
                <w:sz w:val="24"/>
                <w:szCs w:val="20"/>
                <w:highlight w:val="none"/>
                <w:lang w:val="en-US" w:eastAsia="zh-CN" w:bidi="ar-SA"/>
              </w:rPr>
              <w:t xml:space="preserve">注：提供证书扫描件上传至电子投标文件，未按要求提供不得分。</w:t>
            </w:r>
            <w:r>
              <w:rPr>
                <w:color w:val="000000" w:themeColor="text1"/>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0" w:right="0" w:firstLine="240"/>
              <w:keepLines w:val="0"/>
              <w:keepNext w:val="0"/>
              <w:spacing w:before="0" w:beforeAutospacing="0" w:after="0" w:afterAutospacing="0" w:line="360" w:lineRule="auto"/>
              <w:rPr>
                <w:rFonts w:hint="default"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lang w:val="en-US" w:eastAsia="zh-CN" w:bidi="ar-SA"/>
              </w:rPr>
              <w:t xml:space="preserve">2.5分</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lang w:val="en-US" w:eastAsia="zh-CN" w:bidi="ar-SA"/>
              </w:rPr>
              <w:t xml:space="preserve">投标供应商业绩</w:t>
            </w:r>
            <w:r>
              <w:rPr>
                <w:color w:val="000000" w:themeColor="text1"/>
              </w:rPr>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ind w:left="0" w:right="0"/>
              <w:keepLines w:val="0"/>
              <w:keepNext w:val="0"/>
              <w:spacing w:before="0" w:beforeAutospacing="0" w:after="0" w:afterAutospacing="0" w:line="360" w:lineRule="auto"/>
              <w:rPr>
                <w:rFonts w:hint="eastAsia" w:ascii="Times New Roman" w:hAnsi="Times New Roman" w:eastAsia="宋体" w:cs="Times New Roman"/>
                <w:color w:val="000000" w:themeColor="text1"/>
                <w:sz w:val="24"/>
                <w:szCs w:val="20"/>
                <w:highlight w:val="none"/>
              </w:rPr>
              <w:suppressLineNumbers w:val="0"/>
            </w:pPr>
            <w:r>
              <w:rPr>
                <w:rFonts w:hint="eastAsia" w:ascii="Times New Roman" w:hAnsi="Times New Roman" w:eastAsia="宋体" w:cs="Times New Roman"/>
                <w:color w:val="000000" w:themeColor="text1"/>
                <w:sz w:val="24"/>
                <w:szCs w:val="20"/>
                <w:highlight w:val="none"/>
                <w:lang w:val="en-US" w:eastAsia="zh-CN" w:bidi="ar-SA"/>
              </w:rPr>
              <w:t xml:space="preserve">（1）投标供应商自202</w:t>
            </w:r>
            <w:r>
              <w:rPr>
                <w:rFonts w:hint="eastAsia" w:cs="Times New Roman"/>
                <w:color w:val="000000" w:themeColor="text1"/>
                <w:sz w:val="24"/>
                <w:szCs w:val="20"/>
                <w:highlight w:val="none"/>
                <w:lang w:val="en-US" w:eastAsia="zh-CN" w:bidi="ar-SA"/>
              </w:rPr>
              <w:t xml:space="preserve">3</w:t>
            </w:r>
            <w:r>
              <w:rPr>
                <w:rFonts w:hint="eastAsia" w:ascii="Times New Roman" w:hAnsi="Times New Roman" w:eastAsia="宋体" w:cs="Times New Roman"/>
                <w:color w:val="000000" w:themeColor="text1"/>
                <w:sz w:val="24"/>
                <w:szCs w:val="20"/>
                <w:highlight w:val="none"/>
                <w:lang w:val="en-US" w:eastAsia="zh-CN" w:bidi="ar-SA"/>
              </w:rPr>
              <w:t xml:space="preserve">年1月1日至本项目截标时间止（日期以合同签订时间为准），完成相关在线水质监测系统安装集成并经验收合格的同类业绩，每个得0.5分，最高得</w:t>
            </w:r>
            <w:r>
              <w:rPr>
                <w:rFonts w:hint="eastAsia" w:cs="Times New Roman"/>
                <w:color w:val="000000" w:themeColor="text1"/>
                <w:sz w:val="24"/>
                <w:szCs w:val="20"/>
                <w:highlight w:val="none"/>
                <w:lang w:val="en-US" w:eastAsia="zh-CN" w:bidi="ar-SA"/>
              </w:rPr>
              <w:t xml:space="preserve">3</w:t>
            </w:r>
            <w:r>
              <w:rPr>
                <w:rFonts w:hint="eastAsia" w:ascii="Times New Roman" w:hAnsi="Times New Roman" w:eastAsia="宋体" w:cs="Times New Roman"/>
                <w:color w:val="000000" w:themeColor="text1"/>
                <w:sz w:val="24"/>
                <w:szCs w:val="20"/>
                <w:highlight w:val="none"/>
                <w:lang w:val="en-US" w:eastAsia="zh-CN" w:bidi="ar-SA"/>
              </w:rPr>
              <w:t xml:space="preserve">分。</w:t>
            </w:r>
            <w:r>
              <w:rPr>
                <w:color w:val="000000" w:themeColor="text1"/>
              </w:rPr>
            </w:r>
            <w:r/>
          </w:p>
          <w:p>
            <w:pPr>
              <w:ind w:left="0" w:right="0"/>
              <w:keepLines w:val="0"/>
              <w:keepNext w:val="0"/>
              <w:spacing w:before="0" w:beforeAutospacing="0" w:after="0" w:afterAutospacing="0" w:line="360" w:lineRule="auto"/>
              <w:rPr>
                <w:rFonts w:hint="eastAsia" w:ascii="Times New Roman" w:hAnsi="Times New Roman" w:eastAsia="宋体" w:cs="Times New Roman"/>
                <w:color w:val="000000" w:themeColor="text1"/>
                <w:sz w:val="24"/>
                <w:szCs w:val="20"/>
                <w:highlight w:val="none"/>
              </w:rPr>
              <w:suppressLineNumbers w:val="0"/>
            </w:pPr>
            <w:r>
              <w:rPr>
                <w:rFonts w:hint="eastAsia" w:ascii="Times New Roman" w:hAnsi="Times New Roman" w:eastAsia="宋体" w:cs="Times New Roman"/>
                <w:color w:val="000000" w:themeColor="text1"/>
                <w:sz w:val="24"/>
                <w:szCs w:val="20"/>
                <w:highlight w:val="none"/>
                <w:lang w:val="en-US" w:eastAsia="zh-CN" w:bidi="ar-SA"/>
              </w:rPr>
              <w:t xml:space="preserve">注：提供中标通知书、合同、验收文件复印件加盖投标供应商公章装订进入投标文件，未按要求提供不得分。</w:t>
            </w:r>
            <w:r>
              <w:rPr>
                <w:color w:val="000000" w:themeColor="text1"/>
              </w:rPr>
            </w:r>
            <w:r/>
          </w:p>
          <w:p>
            <w:pPr>
              <w:ind w:left="0" w:right="0"/>
              <w:keepLines w:val="0"/>
              <w:keepNext w:val="0"/>
              <w:spacing w:before="0" w:beforeAutospacing="0" w:after="0" w:afterAutospacing="0" w:line="360" w:lineRule="auto"/>
              <w:rPr>
                <w:rFonts w:hint="eastAsia" w:ascii="Times New Roman" w:hAnsi="Times New Roman" w:eastAsia="宋体" w:cs="Times New Roman"/>
                <w:color w:val="000000" w:themeColor="text1"/>
                <w:sz w:val="24"/>
                <w:szCs w:val="20"/>
                <w:highlight w:val="none"/>
              </w:rPr>
              <w:suppressLineNumbers w:val="0"/>
            </w:pP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cs="Times New Roman"/>
                <w:color w:val="000000" w:themeColor="text1"/>
                <w:sz w:val="24"/>
                <w:szCs w:val="20"/>
                <w:highlight w:val="none"/>
                <w:lang w:val="en-US" w:eastAsia="zh-CN" w:bidi="ar-SA"/>
              </w:rPr>
              <w:t xml:space="preserve">2</w:t>
            </w:r>
            <w:r>
              <w:rPr>
                <w:rFonts w:hint="eastAsia" w:ascii="Times New Roman" w:hAnsi="Times New Roman" w:eastAsia="宋体" w:cs="Times New Roman"/>
                <w:color w:val="000000" w:themeColor="text1"/>
                <w:sz w:val="24"/>
                <w:szCs w:val="20"/>
                <w:highlight w:val="none"/>
                <w:lang w:val="en-US" w:eastAsia="zh-CN" w:bidi="ar-SA"/>
              </w:rPr>
              <w:t xml:space="preserve">）投标供应商具有自行开展在线水质监测系统运行维护的能力，提供202</w:t>
            </w:r>
            <w:r>
              <w:rPr>
                <w:rFonts w:hint="eastAsia" w:cs="Times New Roman"/>
                <w:color w:val="000000" w:themeColor="text1"/>
                <w:sz w:val="24"/>
                <w:szCs w:val="20"/>
                <w:highlight w:val="none"/>
                <w:lang w:val="en-US" w:eastAsia="zh-CN" w:bidi="ar-SA"/>
              </w:rPr>
              <w:t xml:space="preserve">3</w:t>
            </w:r>
            <w:r>
              <w:rPr>
                <w:rFonts w:hint="eastAsia" w:ascii="Times New Roman" w:hAnsi="Times New Roman" w:eastAsia="宋体" w:cs="Times New Roman"/>
                <w:color w:val="000000" w:themeColor="text1"/>
                <w:sz w:val="24"/>
                <w:szCs w:val="20"/>
                <w:highlight w:val="none"/>
                <w:lang w:val="en-US" w:eastAsia="zh-CN" w:bidi="ar-SA"/>
              </w:rPr>
              <w:t xml:space="preserve">年1月1日至本项目截标时间止（以成果报告时间为准）至今的相关业绩，有一个得0.5分，最高2分。</w:t>
            </w:r>
            <w:r>
              <w:rPr>
                <w:color w:val="000000" w:themeColor="text1"/>
              </w:rPr>
            </w:r>
            <w:r/>
          </w:p>
          <w:p>
            <w:pPr>
              <w:ind w:left="0" w:right="0"/>
              <w:keepLines w:val="0"/>
              <w:keepNext w:val="0"/>
              <w:spacing w:before="0" w:beforeAutospacing="0" w:after="0" w:afterAutospacing="0" w:line="360" w:lineRule="auto"/>
              <w:rPr>
                <w:rFonts w:hint="default" w:ascii="Times New Roman" w:hAnsi="Times New Roman" w:eastAsia="宋体" w:cs="Times New Roman"/>
                <w:color w:val="000000" w:themeColor="text1"/>
                <w:szCs w:val="20"/>
                <w:highlight w:val="none"/>
              </w:rPr>
              <w:suppressLineNumbers w:val="0"/>
            </w:pPr>
            <w:r>
              <w:rPr>
                <w:rFonts w:hint="eastAsia" w:ascii="Times New Roman" w:hAnsi="Times New Roman" w:eastAsia="宋体" w:cs="Times New Roman"/>
                <w:color w:val="000000" w:themeColor="text1"/>
                <w:sz w:val="24"/>
                <w:szCs w:val="20"/>
                <w:highlight w:val="none"/>
                <w:lang w:val="en-US" w:eastAsia="zh-CN" w:bidi="ar-SA"/>
              </w:rPr>
              <w:t xml:space="preserve">注：提供项目合同（需体现运行维护内容）、验收意见或业主证明材料扫描件上传至电子投标文件，未按要求提供不得分。</w:t>
            </w:r>
            <w:r>
              <w:rPr>
                <w:color w:val="000000" w:themeColor="text1"/>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0" w:right="0" w:firstLine="240"/>
              <w:keepLines w:val="0"/>
              <w:keepNext w:val="0"/>
              <w:spacing w:before="0" w:beforeAutospacing="0" w:after="0" w:afterAutospacing="0" w:line="360" w:lineRule="auto"/>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lang w:val="en-US" w:eastAsia="zh-CN" w:bidi="ar-SA"/>
              </w:rPr>
              <w:t xml:space="preserve">5分</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人员配置情况</w:t>
            </w:r>
            <w:r>
              <w:rPr>
                <w:color w:val="000000" w:themeColor="text1"/>
              </w:rPr>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lang w:val="en-US" w:eastAsia="zh-CN" w:bidi="ar-SA"/>
              </w:rPr>
              <w:t xml:space="preserve">（1）投标供应商拟派项目经理具有信息系统项目管理师（副高级及以上）证书或水利工程类副高级及以上证书或仪器仪表类副高级及以上证书，</w:t>
            </w:r>
            <w:r>
              <w:rPr>
                <w:rFonts w:hint="eastAsia" w:ascii="Times New Roman" w:hAnsi="Times New Roman" w:eastAsia="宋体" w:cs="Times New Roman"/>
                <w:color w:val="000000" w:themeColor="text1"/>
                <w:sz w:val="24"/>
                <w:szCs w:val="20"/>
                <w:highlight w:val="none"/>
                <w:lang w:val="en-US" w:eastAsia="zh-CN" w:bidi="ar-SA"/>
              </w:rPr>
              <w:t xml:space="preserve">得1分</w:t>
            </w:r>
            <w:r>
              <w:rPr>
                <w:rFonts w:hint="eastAsia" w:ascii="宋体" w:hAnsi="宋体" w:eastAsia="宋体" w:cs="Times New Roman"/>
                <w:color w:val="000000" w:themeColor="text1"/>
                <w:sz w:val="24"/>
                <w:szCs w:val="20"/>
                <w:highlight w:val="none"/>
                <w:lang w:val="en-US" w:eastAsia="zh-CN" w:bidi="ar-SA"/>
              </w:rPr>
              <w:t xml:space="preserve">。</w:t>
            </w:r>
            <w:r>
              <w:rPr>
                <w:color w:val="000000" w:themeColor="text1"/>
              </w:rPr>
            </w:r>
            <w:r/>
          </w:p>
          <w:p>
            <w:pPr>
              <w:ind w:left="0" w:right="0"/>
              <w:keepLines w:val="0"/>
              <w:keepNext w:val="0"/>
              <w:spacing w:before="0" w:beforeAutospacing="0" w:after="0" w:afterAutospacing="0" w:line="360" w:lineRule="auto"/>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lang w:val="en-US" w:eastAsia="zh-CN" w:bidi="ar-SA"/>
              </w:rPr>
              <w:t xml:space="preserve">（2）投标供应商拟派技术负责人具有信息系统项目管理师（副高级及以上）证书或水利工程类或仪器仪表类副高级及以上证书，得1分，中级证书（职称）得0.5分；本项最高得1分。</w:t>
            </w:r>
            <w:r>
              <w:rPr>
                <w:color w:val="000000" w:themeColor="text1"/>
              </w:rPr>
            </w:r>
            <w:r/>
          </w:p>
          <w:p>
            <w:pPr>
              <w:ind w:left="0" w:right="0"/>
              <w:keepLines w:val="0"/>
              <w:keepNext w:val="0"/>
              <w:spacing w:before="0" w:beforeAutospacing="0" w:after="0" w:afterAutospacing="0" w:line="360" w:lineRule="auto"/>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lang w:val="en-US" w:eastAsia="zh-CN" w:bidi="ar-SA"/>
              </w:rPr>
              <w:t xml:space="preserve">（3）投标供应商拟派项目组配备人员（项目负责人和技术负责人除外）中，具有信息系统项目管理师（副高级）证书或水利工程、电子、物联网技术、仪器仪表、计算机等相关专业中级及以上职称证书的，每有1人得0.</w:t>
            </w:r>
            <w:r>
              <w:rPr>
                <w:rFonts w:hint="eastAsia" w:ascii="宋体" w:hAnsi="宋体" w:cs="Times New Roman"/>
                <w:color w:val="000000" w:themeColor="text1"/>
                <w:sz w:val="24"/>
                <w:szCs w:val="20"/>
                <w:highlight w:val="none"/>
                <w:lang w:val="en-US" w:eastAsia="zh-CN" w:bidi="ar-SA"/>
              </w:rPr>
              <w:t xml:space="preserve">5</w:t>
            </w:r>
            <w:r>
              <w:rPr>
                <w:rFonts w:hint="eastAsia" w:ascii="宋体" w:hAnsi="宋体" w:eastAsia="宋体" w:cs="Times New Roman"/>
                <w:color w:val="000000" w:themeColor="text1"/>
                <w:sz w:val="24"/>
                <w:szCs w:val="20"/>
                <w:highlight w:val="none"/>
                <w:lang w:val="en-US" w:eastAsia="zh-CN" w:bidi="ar-SA"/>
              </w:rPr>
              <w:t xml:space="preserve">分，本项最高得</w:t>
            </w:r>
            <w:r>
              <w:rPr>
                <w:rFonts w:hint="eastAsia" w:ascii="宋体" w:hAnsi="宋体" w:cs="Times New Roman"/>
                <w:color w:val="000000" w:themeColor="text1"/>
                <w:sz w:val="24"/>
                <w:szCs w:val="20"/>
                <w:highlight w:val="none"/>
                <w:lang w:val="en-US" w:eastAsia="zh-CN" w:bidi="ar-SA"/>
              </w:rPr>
              <w:t xml:space="preserve">2</w:t>
            </w:r>
            <w:r>
              <w:rPr>
                <w:rFonts w:hint="eastAsia" w:ascii="宋体" w:hAnsi="宋体" w:eastAsia="宋体" w:cs="Times New Roman"/>
                <w:color w:val="000000" w:themeColor="text1"/>
                <w:sz w:val="24"/>
                <w:szCs w:val="20"/>
                <w:highlight w:val="none"/>
                <w:lang w:val="en-US" w:eastAsia="zh-CN" w:bidi="ar-SA"/>
              </w:rPr>
              <w:t xml:space="preserve">.5分；</w:t>
            </w:r>
            <w:r>
              <w:rPr>
                <w:color w:val="000000" w:themeColor="text1"/>
              </w:rPr>
            </w:r>
            <w:r/>
          </w:p>
          <w:p>
            <w:pPr>
              <w:ind w:left="0" w:right="0"/>
              <w:keepLines w:val="0"/>
              <w:keepNext w:val="0"/>
              <w:spacing w:before="0" w:beforeAutospacing="0" w:after="0" w:afterAutospacing="0" w:line="360" w:lineRule="auto"/>
              <w:rPr>
                <w:rFonts w:hint="eastAsia" w:ascii="宋体" w:hAnsi="宋体" w:eastAsia="宋体" w:cs="Times New Roman"/>
                <w:color w:val="000000" w:themeColor="text1"/>
                <w:sz w:val="24"/>
                <w:szCs w:val="20"/>
                <w:highlight w:val="none"/>
              </w:rPr>
              <w:suppressLineNumbers w:val="0"/>
            </w:pPr>
            <w:r>
              <w:rPr>
                <w:rFonts w:hint="eastAsia" w:ascii="宋体" w:hAnsi="宋体" w:eastAsia="宋体" w:cs="Times New Roman"/>
                <w:color w:val="000000" w:themeColor="text1"/>
                <w:sz w:val="24"/>
                <w:szCs w:val="20"/>
                <w:highlight w:val="none"/>
                <w:lang w:val="en-US" w:eastAsia="zh-CN" w:bidi="ar-SA"/>
              </w:rPr>
              <w:t xml:space="preserve">（4）投标供应商拟派项目组成员（项目负责人和技术负责人除外）中需具有水利工程、</w:t>
            </w:r>
            <w:r>
              <w:rPr>
                <w:rFonts w:hint="eastAsia" w:ascii="宋体" w:hAnsi="宋体" w:cs="Times New Roman"/>
                <w:color w:val="000000" w:themeColor="text1"/>
                <w:sz w:val="24"/>
                <w:szCs w:val="20"/>
                <w:highlight w:val="none"/>
                <w:lang w:val="en-US" w:eastAsia="zh-CN" w:bidi="ar-SA"/>
              </w:rPr>
              <w:t xml:space="preserve">环境工程、</w:t>
            </w:r>
            <w:r>
              <w:rPr>
                <w:rFonts w:hint="eastAsia" w:ascii="宋体" w:hAnsi="宋体" w:eastAsia="宋体" w:cs="Times New Roman"/>
                <w:color w:val="000000" w:themeColor="text1"/>
                <w:sz w:val="24"/>
                <w:szCs w:val="20"/>
                <w:highlight w:val="none"/>
                <w:lang w:val="en-US" w:eastAsia="zh-CN" w:bidi="ar-SA"/>
              </w:rPr>
              <w:t xml:space="preserve">自动化、电子信息、计算机相关专业的毕业证，每有1种相关毕业证得0.25分；本项最高得1分。</w:t>
            </w:r>
            <w:r>
              <w:rPr>
                <w:color w:val="000000" w:themeColor="text1"/>
              </w:rPr>
            </w:r>
            <w:r/>
          </w:p>
          <w:p>
            <w:pPr>
              <w:ind w:left="0" w:right="0"/>
              <w:keepLines w:val="0"/>
              <w:keepNext w:val="0"/>
              <w:spacing w:before="0" w:beforeAutospacing="0" w:after="0" w:afterAutospacing="0" w:line="240" w:lineRule="auto"/>
              <w:rPr>
                <w:rFonts w:hint="eastAsia" w:ascii="宋体" w:hAnsi="宋体" w:eastAsia="宋体" w:cs="宋体"/>
                <w:b/>
                <w:color w:val="000000" w:themeColor="text1"/>
                <w:sz w:val="24"/>
                <w:szCs w:val="20"/>
                <w:highlight w:val="none"/>
              </w:rPr>
              <w:suppressLineNumbers w:val="0"/>
            </w:pPr>
            <w:r>
              <w:rPr>
                <w:rFonts w:hint="eastAsia" w:ascii="宋体" w:hAnsi="宋体" w:eastAsia="宋体" w:cs="宋体"/>
                <w:b/>
                <w:bCs/>
                <w:color w:val="000000" w:themeColor="text1"/>
                <w:sz w:val="24"/>
                <w:szCs w:val="20"/>
                <w:highlight w:val="none"/>
                <w:lang w:val="en-US" w:eastAsia="zh-CN" w:bidi="ar-SA"/>
              </w:rPr>
              <w:t xml:space="preserve">注：提供拟派人员名单、相关证书及投标供应商为其缴纳2026年4月至6月的社保缴费证明</w:t>
            </w:r>
            <w:r>
              <w:rPr>
                <w:rFonts w:hint="eastAsia" w:ascii="Times New Roman" w:hAnsi="Times New Roman" w:eastAsia="宋体" w:cs="Times New Roman"/>
                <w:b/>
                <w:bCs/>
                <w:color w:val="000000" w:themeColor="text1"/>
                <w:sz w:val="24"/>
                <w:szCs w:val="20"/>
                <w:highlight w:val="none"/>
                <w:lang w:val="en-US" w:eastAsia="zh-CN" w:bidi="ar-SA"/>
              </w:rPr>
              <w:t xml:space="preserve">扫描件上传至电子投标文件</w:t>
            </w:r>
            <w:r>
              <w:rPr>
                <w:rFonts w:hint="eastAsia" w:ascii="宋体" w:hAnsi="宋体" w:eastAsia="宋体" w:cs="宋体"/>
                <w:b/>
                <w:bCs/>
                <w:color w:val="000000" w:themeColor="text1"/>
                <w:sz w:val="24"/>
                <w:szCs w:val="20"/>
                <w:highlight w:val="none"/>
                <w:lang w:val="en-US" w:eastAsia="zh-CN" w:bidi="ar-SA"/>
              </w:rPr>
              <w:t xml:space="preserve">，未按要求提供不得分。</w:t>
            </w:r>
            <w:r>
              <w:rPr>
                <w:color w:val="000000" w:themeColor="text1"/>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themeColor="text1"/>
                <w:sz w:val="24"/>
                <w:szCs w:val="20"/>
                <w:highlight w:val="none"/>
              </w:rPr>
              <w:suppressLineNumbers w:val="0"/>
            </w:pPr>
            <w:r>
              <w:rPr>
                <w:rFonts w:hint="eastAsia" w:ascii="宋体" w:hAnsi="宋体" w:cs="宋体"/>
                <w:color w:val="000000" w:themeColor="text1"/>
                <w:sz w:val="24"/>
                <w:szCs w:val="20"/>
                <w:highlight w:val="none"/>
                <w:lang w:val="en-US" w:eastAsia="zh-CN" w:bidi="ar-SA"/>
              </w:rPr>
              <w:t xml:space="preserve">5</w:t>
            </w:r>
            <w:r>
              <w:rPr>
                <w:rFonts w:hint="eastAsia" w:ascii="宋体" w:hAnsi="宋体" w:eastAsia="宋体" w:cs="宋体"/>
                <w:color w:val="000000" w:themeColor="text1"/>
                <w:sz w:val="24"/>
                <w:szCs w:val="20"/>
                <w:highlight w:val="none"/>
                <w:lang w:val="en-US" w:eastAsia="zh-CN" w:bidi="ar-SA"/>
              </w:rPr>
              <w:t xml:space="preserve">.5分</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b/>
                <w:color w:val="000000" w:themeColor="text1"/>
                <w:sz w:val="24"/>
                <w:szCs w:val="20"/>
                <w:highlight w:val="none"/>
                <w:lang w:val="en-US" w:eastAsia="zh-CN" w:bidi="ar-SA"/>
              </w:rPr>
              <w:t xml:space="preserve">加分因素</w:t>
            </w:r>
            <w:r>
              <w:rPr>
                <w:color w:val="000000" w:themeColor="text1"/>
              </w:rPr>
            </w:r>
            <w:r/>
          </w:p>
        </w:tc>
        <w:tc>
          <w:tcPr>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color w:val="000000" w:themeColor="text1"/>
                <w:sz w:val="24"/>
                <w:szCs w:val="20"/>
                <w:highlight w:val="none"/>
              </w:rPr>
              <w:suppressLineNumbers w:val="0"/>
            </w:pPr>
            <w:r>
              <w:rPr>
                <w:rFonts w:hint="eastAsia" w:ascii="宋体" w:hAnsi="宋体" w:eastAsia="宋体" w:cs="宋体"/>
                <w:b w:val="0"/>
                <w:bCs/>
                <w:color w:val="000000" w:themeColor="text1"/>
                <w:sz w:val="24"/>
                <w:szCs w:val="20"/>
                <w:highlight w:val="none"/>
                <w:lang w:val="en-US" w:eastAsia="zh-CN" w:bidi="ar-SA"/>
              </w:rPr>
              <w:t xml:space="preserve">所</w:t>
            </w:r>
            <w:r>
              <w:rPr>
                <w:rFonts w:hint="eastAsia" w:ascii="宋体" w:hAnsi="宋体" w:eastAsia="宋体" w:cs="宋体"/>
                <w:b w:val="0"/>
                <w:bCs/>
                <w:color w:val="000000" w:themeColor="text1"/>
                <w:sz w:val="24"/>
                <w:szCs w:val="20"/>
                <w:highlight w:val="none"/>
                <w:lang w:val="en-US" w:eastAsia="zh-CN" w:bidi="ar-SA"/>
              </w:rPr>
              <w:t xml:space="preserve">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有1项，予以加1分，最多加2分。（节能产品、环境标志产品认证证书为同一产品的，不重复加分；投标时提供证书扫描件上传至电子投标文件，未按要求提供不得分）</w:t>
            </w:r>
            <w:r>
              <w:rPr>
                <w:color w:val="000000" w:themeColor="text1"/>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0" w:right="0" w:firstLine="240"/>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b w:val="0"/>
                <w:bCs/>
                <w:color w:val="000000" w:themeColor="text1"/>
                <w:sz w:val="24"/>
                <w:szCs w:val="20"/>
                <w:highlight w:val="none"/>
                <w:lang w:val="en-US" w:eastAsia="zh-CN" w:bidi="ar-SA"/>
              </w:rPr>
              <w:t xml:space="preserve">2分</w:t>
            </w:r>
            <w:r>
              <w:rPr>
                <w:color w:val="000000" w:themeColor="text1"/>
              </w:rPr>
            </w:r>
            <w:r/>
          </w:p>
        </w:tc>
      </w:tr>
    </w:tbl>
    <w:p>
      <w:pPr>
        <w:numPr>
          <w:ilvl w:val="0"/>
          <w:numId w:val="0"/>
        </w:numPr>
        <w:ind w:left="420" w:firstLine="420"/>
        <w:jc w:val="both"/>
        <w:spacing w:after="120"/>
        <w:widowControl w:val="off"/>
        <w:rPr>
          <w:rFonts w:ascii="Cambria" w:hAnsi="Cambria" w:eastAsia="华文细黑" w:cs="Times New Roman"/>
          <w:b/>
          <w:color w:val="000000" w:themeColor="text1"/>
          <w:sz w:val="21"/>
          <w:highlight w:val="none"/>
        </w:rPr>
      </w:pPr>
      <w:r>
        <w:rPr>
          <w:rFonts w:ascii="Cambria" w:hAnsi="Cambria" w:eastAsia="华文细黑" w:cs="Times New Roman"/>
          <w:b/>
          <w:color w:val="000000" w:themeColor="text1"/>
          <w:sz w:val="21"/>
          <w:highlight w:val="none"/>
          <w:lang w:val="en-US" w:eastAsia="zh-CN" w:bidi="ar-SA"/>
        </w:rPr>
      </w:r>
      <w:r>
        <w:rPr>
          <w:color w:val="000000" w:themeColor="text1"/>
        </w:rPr>
      </w:r>
      <w:r/>
    </w:p>
    <w:p>
      <w:pPr>
        <w:ind w:firstLine="480"/>
        <w:jc w:val="left"/>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3、技术指标（12分）</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6909"/>
        <w:gridCol w:w="981"/>
      </w:tblGrid>
      <w:tr>
        <w:trPr>
          <w:jc w:val="center"/>
          <w:trHeight w:val="452"/>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themeColor="text1"/>
                <w:sz w:val="24"/>
                <w:szCs w:val="20"/>
                <w:highlight w:val="none"/>
              </w:rPr>
              <w:suppressLineNumbers w:val="0"/>
            </w:pPr>
            <w:r>
              <w:rPr>
                <w:rFonts w:hint="eastAsia" w:ascii="宋体" w:hAnsi="宋体" w:eastAsia="宋体" w:cs="宋体"/>
                <w:b/>
                <w:bCs/>
                <w:color w:val="000000" w:themeColor="text1"/>
                <w:sz w:val="24"/>
                <w:szCs w:val="20"/>
                <w:highlight w:val="none"/>
                <w:lang w:val="en-US" w:eastAsia="zh-CN" w:bidi="ar-SA"/>
              </w:rPr>
              <w:t xml:space="preserve">评分内容</w:t>
            </w:r>
            <w:r>
              <w:rPr>
                <w:color w:val="000000" w:themeColor="text1"/>
              </w:rPr>
            </w:r>
            <w:r/>
          </w:p>
        </w:tc>
        <w:tc>
          <w:tcPr>
            <w:tcBorders>
              <w:top w:val="single" w:color="auto" w:sz="4" w:space="0"/>
              <w:left w:val="single" w:color="auto" w:sz="4" w:space="0"/>
              <w:bottom w:val="single" w:color="auto" w:sz="4" w:space="0"/>
              <w:right w:val="single" w:color="auto" w:sz="4" w:space="0"/>
            </w:tcBorders>
            <w:tcW w:w="69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themeColor="text1"/>
                <w:sz w:val="24"/>
                <w:szCs w:val="20"/>
                <w:highlight w:val="none"/>
              </w:rPr>
              <w:suppressLineNumbers w:val="0"/>
            </w:pPr>
            <w:r>
              <w:rPr>
                <w:rFonts w:hint="eastAsia" w:ascii="宋体" w:hAnsi="宋体" w:eastAsia="宋体" w:cs="宋体"/>
                <w:b/>
                <w:bCs/>
                <w:color w:val="000000" w:themeColor="text1"/>
                <w:sz w:val="24"/>
                <w:szCs w:val="20"/>
                <w:highlight w:val="none"/>
                <w:lang w:val="en-US" w:eastAsia="zh-CN" w:bidi="ar-SA"/>
              </w:rPr>
              <w:t xml:space="preserve">评分标准</w:t>
            </w:r>
            <w:r>
              <w:rPr>
                <w:color w:val="000000" w:themeColor="text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themeColor="text1"/>
                <w:sz w:val="24"/>
                <w:szCs w:val="20"/>
                <w:highlight w:val="none"/>
              </w:rPr>
              <w:suppressLineNumbers w:val="0"/>
            </w:pPr>
            <w:r>
              <w:rPr>
                <w:rFonts w:hint="eastAsia" w:ascii="宋体" w:hAnsi="宋体" w:eastAsia="宋体" w:cs="宋体"/>
                <w:b/>
                <w:bCs/>
                <w:color w:val="000000" w:themeColor="text1"/>
                <w:sz w:val="24"/>
                <w:szCs w:val="20"/>
                <w:highlight w:val="none"/>
                <w:lang w:val="en-US" w:eastAsia="zh-CN" w:bidi="ar-SA"/>
              </w:rPr>
              <w:t xml:space="preserve">分值</w:t>
            </w:r>
            <w:r>
              <w:rPr>
                <w:color w:val="000000" w:themeColor="text1"/>
              </w:rPr>
            </w:r>
            <w:r/>
          </w:p>
        </w:tc>
      </w:tr>
      <w:tr>
        <w:trPr>
          <w:jc w:val="center"/>
          <w:trHeight w:val="79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bCs/>
                <w:color w:val="000000" w:themeColor="text1"/>
                <w:sz w:val="24"/>
                <w:szCs w:val="20"/>
                <w:highlight w:val="none"/>
                <w:lang w:val="en-US" w:eastAsia="zh-CN" w:bidi="ar-SA"/>
              </w:rPr>
              <w:t xml:space="preserve">所投产品</w:t>
            </w:r>
            <w:r>
              <w:rPr>
                <w:rFonts w:hint="eastAsia" w:ascii="宋体" w:hAnsi="宋体" w:eastAsia="宋体" w:cs="宋体"/>
                <w:color w:val="000000" w:themeColor="text1"/>
                <w:sz w:val="24"/>
                <w:szCs w:val="20"/>
                <w:highlight w:val="none"/>
                <w:lang w:val="en-US" w:eastAsia="zh-CN" w:bidi="ar-SA"/>
              </w:rPr>
              <w:t xml:space="preserve">技术参数响应情况</w:t>
            </w:r>
            <w:r>
              <w:rPr>
                <w:color w:val="000000" w:themeColor="text1"/>
              </w:rPr>
            </w:r>
            <w:r/>
          </w:p>
        </w:tc>
        <w:tc>
          <w:tcPr>
            <w:tcBorders>
              <w:top w:val="single" w:color="auto" w:sz="4" w:space="0"/>
              <w:left w:val="single" w:color="auto" w:sz="4" w:space="0"/>
              <w:bottom w:val="single" w:color="auto" w:sz="4" w:space="0"/>
              <w:right w:val="single" w:color="auto" w:sz="4" w:space="0"/>
            </w:tcBorders>
            <w:tcW w:w="6909" w:type="dxa"/>
            <w:vAlign w:val="center"/>
            <w:textDirection w:val="lrTb"/>
            <w:noWrap w:val="false"/>
          </w:tcPr>
          <w:p>
            <w:pPr>
              <w:jc w:val="left"/>
              <w:keepLines w:val="0"/>
              <w:keepNext w:val="0"/>
              <w:widowControl/>
              <w:rPr>
                <w:rFonts w:hint="default" w:ascii="Times New Roman" w:hAnsi="Times New Roman" w:eastAsia="宋体" w:cs="Times New Roman"/>
                <w:color w:val="000000" w:themeColor="text1"/>
                <w:sz w:val="24"/>
                <w:szCs w:val="24"/>
                <w:highlight w:val="none"/>
              </w:rPr>
              <w:suppressLineNumbers w:val="0"/>
            </w:pPr>
            <w:r>
              <w:rPr>
                <w:rFonts w:hint="eastAsia" w:ascii="Times New Roman" w:hAnsi="Times New Roman" w:eastAsia="宋体" w:cs="Times New Roman"/>
                <w:color w:val="000000" w:themeColor="text1"/>
                <w:sz w:val="24"/>
                <w:szCs w:val="24"/>
                <w:highlight w:val="none"/>
                <w:lang w:val="en-US" w:eastAsia="zh-CN" w:bidi="ar-SA"/>
              </w:rPr>
              <w:t xml:space="preserve">（1）</w:t>
            </w:r>
            <w:r>
              <w:rPr>
                <w:rFonts w:hint="eastAsia" w:ascii="Times New Roman" w:hAnsi="Times New Roman" w:eastAsia="宋体" w:cs="Times New Roman"/>
                <w:color w:val="000000" w:themeColor="text1"/>
                <w:sz w:val="24"/>
                <w:szCs w:val="20"/>
                <w:highlight w:val="none"/>
                <w:lang w:val="en-US" w:eastAsia="zh-CN" w:bidi="ar-SA"/>
              </w:rPr>
              <w:t xml:space="preserve">标“★”为重要参数指标，</w:t>
            </w:r>
            <w:r>
              <w:rPr>
                <w:rFonts w:hint="eastAsia" w:ascii="宋体" w:hAnsi="宋体" w:eastAsia="宋体" w:cs="宋体"/>
                <w:color w:val="000000" w:themeColor="text1"/>
                <w:sz w:val="24"/>
                <w:szCs w:val="24"/>
                <w:highlight w:val="none"/>
                <w:lang w:val="en-US" w:eastAsia="zh-CN" w:bidi="ar"/>
              </w:rPr>
              <w:t xml:space="preserve">不满足此招标文件规定的相应指标、参数的，按无效处理。</w:t>
            </w:r>
            <w:r>
              <w:rPr>
                <w:color w:val="000000" w:themeColor="text1"/>
              </w:rPr>
            </w:r>
            <w:r/>
          </w:p>
          <w:p>
            <w:pPr>
              <w:ind w:left="0" w:right="0"/>
              <w:keepLines w:val="0"/>
              <w:keepNext w:val="0"/>
              <w:spacing w:before="0" w:beforeAutospacing="0" w:after="0" w:afterAutospacing="0" w:line="400" w:lineRule="exact"/>
              <w:rPr>
                <w:rFonts w:hint="eastAsia" w:ascii="Times New Roman" w:hAnsi="Times New Roman" w:eastAsia="宋体" w:cs="Times New Roman"/>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供应商所投产品参数全部满足招标文件技术条款且无偏离得基本分</w:t>
            </w:r>
            <w:r>
              <w:rPr>
                <w:rFonts w:hint="eastAsia" w:ascii="宋体" w:hAnsi="宋体" w:cs="宋体"/>
                <w:color w:val="000000" w:themeColor="text1"/>
                <w:sz w:val="24"/>
                <w:szCs w:val="24"/>
                <w:highlight w:val="none"/>
                <w:lang w:val="en-US" w:eastAsia="zh-CN" w:bidi="ar"/>
              </w:rPr>
              <w:t xml:space="preserve">10</w:t>
            </w:r>
            <w:r>
              <w:rPr>
                <w:rFonts w:hint="eastAsia" w:ascii="宋体" w:hAnsi="宋体" w:eastAsia="宋体" w:cs="宋体"/>
                <w:color w:val="000000" w:themeColor="text1"/>
                <w:sz w:val="24"/>
                <w:szCs w:val="24"/>
                <w:highlight w:val="none"/>
                <w:lang w:val="en-US" w:eastAsia="zh-CN" w:bidi="ar"/>
              </w:rPr>
              <w:t xml:space="preserve">分。</w:t>
            </w:r>
            <w:r>
              <w:rPr>
                <w:rFonts w:hint="eastAsia" w:ascii="Times New Roman" w:hAnsi="Times New Roman" w:eastAsia="宋体" w:cs="Times New Roman"/>
                <w:color w:val="000000" w:themeColor="text1"/>
                <w:sz w:val="24"/>
                <w:szCs w:val="20"/>
                <w:highlight w:val="none"/>
                <w:lang w:val="en-US" w:eastAsia="zh-CN" w:bidi="ar-SA"/>
              </w:rPr>
              <w:t xml:space="preserve">任一项技术参数出现负偏离的，则该项基础分得0分。</w:t>
            </w:r>
            <w:r>
              <w:rPr>
                <w:rFonts w:hint="eastAsia" w:ascii="Times New Roman" w:hAnsi="Times New Roman" w:eastAsia="宋体" w:cs="Times New Roman"/>
                <w:color w:val="000000" w:themeColor="text1"/>
                <w:sz w:val="24"/>
                <w:szCs w:val="24"/>
                <w:highlight w:val="none"/>
                <w:lang w:val="en-US" w:eastAsia="zh-CN" w:bidi="ar-SA"/>
              </w:rPr>
              <w:t xml:space="preserve">（上述标注“</w:t>
            </w: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Times New Roman" w:hAnsi="Times New Roman" w:eastAsia="宋体" w:cs="Times New Roman"/>
                <w:color w:val="000000" w:themeColor="text1"/>
                <w:sz w:val="24"/>
                <w:szCs w:val="24"/>
                <w:highlight w:val="none"/>
                <w:lang w:val="en-US" w:eastAsia="zh-CN" w:bidi="ar-SA"/>
              </w:rPr>
              <w:t xml:space="preserve">”的条款，如相应技术指标有具体要求，应提供相应的证明材料；若未作要求，可提供加盖投标供应商公章的下列证明材料之一加以证明：①第三方有资质机构出具的检测报告；②原厂盖章的功能实现的技术说明文件；③原厂盖章彩页。未提供相关证明材料的视为该项“</w:t>
            </w:r>
            <w:r>
              <w:rPr>
                <w:rFonts w:hint="eastAsia" w:ascii="Times New Roman" w:hAnsi="Times New Roman" w:eastAsia="宋体" w:cs="Times New Roman"/>
                <w:color w:val="000000" w:themeColor="text1"/>
                <w:sz w:val="24"/>
                <w:szCs w:val="20"/>
                <w:highlight w:val="none"/>
                <w:lang w:val="en-US" w:eastAsia="zh-CN" w:bidi="ar-SA"/>
              </w:rPr>
              <w:t xml:space="preserve">★</w:t>
            </w:r>
            <w:r>
              <w:rPr>
                <w:rFonts w:hint="eastAsia" w:ascii="Times New Roman" w:hAnsi="Times New Roman" w:eastAsia="宋体" w:cs="Times New Roman"/>
                <w:color w:val="000000" w:themeColor="text1"/>
                <w:sz w:val="24"/>
                <w:szCs w:val="24"/>
                <w:highlight w:val="none"/>
                <w:lang w:val="en-US" w:eastAsia="zh-CN" w:bidi="ar-SA"/>
              </w:rPr>
              <w:t xml:space="preserve">”的条款不满足招标文件要求）。</w:t>
            </w:r>
            <w:r>
              <w:rPr>
                <w:color w:val="000000" w:themeColor="text1"/>
              </w:rPr>
            </w:r>
            <w:r/>
          </w:p>
          <w:p>
            <w:pPr>
              <w:ind w:left="0" w:right="0"/>
              <w:keepLines w:val="0"/>
              <w:keepNext w:val="0"/>
              <w:spacing w:before="0" w:beforeAutospacing="0" w:after="0" w:afterAutospacing="0" w:line="400" w:lineRule="exact"/>
              <w:rPr>
                <w:rFonts w:hint="eastAsia" w:ascii="Times New Roman" w:hAnsi="Times New Roman" w:eastAsia="宋体" w:cs="Times New Roman"/>
                <w:color w:val="000000" w:themeColor="text1"/>
                <w:sz w:val="24"/>
                <w:szCs w:val="24"/>
                <w:highlight w:val="none"/>
              </w:rPr>
              <w:suppressLineNumbers w:val="0"/>
            </w:pPr>
            <w:r>
              <w:rPr>
                <w:rFonts w:hint="eastAsia" w:ascii="Times New Roman" w:hAnsi="Times New Roman" w:eastAsia="宋体" w:cs="Times New Roman"/>
                <w:color w:val="000000" w:themeColor="text1"/>
                <w:sz w:val="24"/>
                <w:szCs w:val="24"/>
                <w:highlight w:val="none"/>
                <w:lang w:val="en-US" w:eastAsia="zh-CN" w:bidi="ar-SA"/>
              </w:rPr>
              <w:t xml:space="preserve">（2）根据所投产品技术参数及要求的响应情况进行综合打分，所投产品标注“▲”技术条款正偏离的，有一项正偏离得</w:t>
            </w:r>
            <w:r>
              <w:rPr>
                <w:rFonts w:hint="eastAsia" w:cs="Times New Roman"/>
                <w:color w:val="000000" w:themeColor="text1"/>
                <w:sz w:val="24"/>
                <w:szCs w:val="24"/>
                <w:highlight w:val="none"/>
                <w:lang w:val="en-US" w:eastAsia="zh-CN" w:bidi="ar-SA"/>
              </w:rPr>
              <w:t xml:space="preserve">0.5</w:t>
            </w:r>
            <w:r>
              <w:rPr>
                <w:rFonts w:hint="eastAsia" w:ascii="Times New Roman" w:hAnsi="Times New Roman" w:eastAsia="宋体" w:cs="Times New Roman"/>
                <w:color w:val="000000" w:themeColor="text1"/>
                <w:sz w:val="24"/>
                <w:szCs w:val="24"/>
                <w:highlight w:val="none"/>
                <w:lang w:val="en-US" w:eastAsia="zh-CN" w:bidi="ar-SA"/>
              </w:rPr>
              <w:t xml:space="preserve">分，本项最高得</w:t>
            </w:r>
            <w:r>
              <w:rPr>
                <w:rFonts w:hint="eastAsia" w:cs="Times New Roman"/>
                <w:color w:val="000000" w:themeColor="text1"/>
                <w:sz w:val="24"/>
                <w:szCs w:val="24"/>
                <w:highlight w:val="none"/>
                <w:lang w:val="en-US" w:eastAsia="zh-CN" w:bidi="ar-SA"/>
              </w:rPr>
              <w:t xml:space="preserve">2</w:t>
            </w:r>
            <w:r>
              <w:rPr>
                <w:rFonts w:hint="eastAsia" w:ascii="Times New Roman" w:hAnsi="Times New Roman" w:eastAsia="宋体" w:cs="Times New Roman"/>
                <w:color w:val="000000" w:themeColor="text1"/>
                <w:sz w:val="24"/>
                <w:szCs w:val="24"/>
                <w:highlight w:val="none"/>
                <w:lang w:val="en-US" w:eastAsia="zh-CN" w:bidi="ar-SA"/>
              </w:rPr>
              <w:t xml:space="preserve">分。（上述标注“▲”的条款，如相应技术指标有具体要求，应提供相应的证明材料；若未作要求，可提供加盖投标供应商公章的下列证明材料之一加以证明：①第三方有资质机构出具的检测报告；②原厂盖章的功能实现的技术说明文件；③原厂盖章彩页。未提供相关证明材料的视为该项“▲”的条款不满足招标文件要求）。</w:t>
            </w:r>
            <w:r>
              <w:rPr>
                <w:color w:val="000000" w:themeColor="text1"/>
              </w:rPr>
            </w:r>
            <w:r/>
          </w:p>
          <w:p>
            <w:pPr>
              <w:ind w:left="0" w:right="0" w:firstLine="0"/>
              <w:jc w:val="both"/>
              <w:keepLines w:val="0"/>
              <w:keepNext w:val="0"/>
              <w:spacing w:before="0" w:beforeAutospacing="0" w:after="0" w:afterAutospacing="0"/>
              <w:widowControl w:val="off"/>
              <w:rPr>
                <w:rFonts w:hint="eastAsia" w:ascii="Times New Roman" w:hAnsi="Times New Roman" w:eastAsia="宋体" w:cs="Times New Roman"/>
                <w:color w:val="000000" w:themeColor="text1"/>
                <w:sz w:val="21"/>
                <w:szCs w:val="24"/>
                <w:highlight w:val="none"/>
              </w:rPr>
              <w:suppressLineNumbers w:val="0"/>
            </w:pPr>
            <w:r>
              <w:rPr>
                <w:rFonts w:hint="eastAsia" w:ascii="宋体" w:hAnsi="宋体" w:eastAsia="宋体" w:cs="宋体"/>
                <w:b/>
                <w:bCs/>
                <w:color w:val="000000" w:themeColor="text1"/>
                <w:sz w:val="24"/>
                <w:szCs w:val="24"/>
                <w:highlight w:val="none"/>
                <w:lang w:val="en-US" w:eastAsia="zh-CN" w:bidi="ar-SA"/>
              </w:rPr>
              <w:t xml:space="preserve">注：标注“★”“▲”的条款，投标人须在提供的证明材料中相应标识，未标识的视为该项条款不满足招标文件要求。</w:t>
            </w:r>
            <w:r>
              <w:rPr>
                <w:color w:val="000000" w:themeColor="text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12分</w:t>
            </w:r>
            <w:r>
              <w:rPr>
                <w:color w:val="000000" w:themeColor="text1"/>
              </w:rPr>
            </w:r>
            <w:r/>
          </w:p>
        </w:tc>
      </w:tr>
    </w:tbl>
    <w:p>
      <w:pPr>
        <w:ind w:firstLine="569"/>
        <w:spacing w:line="360" w:lineRule="auto"/>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bidi="ar-SA"/>
        </w:rPr>
        <w:t xml:space="preserve">暗标部分（40分）：</w:t>
      </w:r>
      <w:r>
        <w:rPr>
          <w:color w:val="000000" w:themeColor="text1"/>
        </w:rPr>
      </w:r>
      <w:r/>
    </w:p>
    <w:p>
      <w:pPr>
        <w:numPr>
          <w:ilvl w:val="0"/>
          <w:numId w:val="17"/>
        </w:numPr>
        <w:ind w:left="0" w:firstLine="482"/>
        <w:jc w:val="both"/>
        <w:rPr>
          <w:rFonts w:hint="eastAsia" w:ascii="宋体" w:hAnsi="宋体" w:eastAsia="宋体" w:cs="Times New Roman"/>
          <w:b/>
          <w:bCs/>
          <w:color w:val="000000" w:themeColor="text1"/>
          <w:sz w:val="24"/>
          <w:highlight w:val="none"/>
        </w:rPr>
      </w:pPr>
      <w:r>
        <w:rPr>
          <w:rFonts w:hint="eastAsia" w:ascii="宋体" w:hAnsi="宋体" w:eastAsia="宋体" w:cs="宋体"/>
          <w:b/>
          <w:bCs w:val="0"/>
          <w:color w:val="000000" w:themeColor="text1"/>
          <w:sz w:val="24"/>
          <w:szCs w:val="24"/>
          <w:highlight w:val="none"/>
          <w:lang w:val="en-US" w:eastAsia="zh-CN" w:bidi="ar-SA"/>
        </w:rPr>
        <w:t xml:space="preserve">技术文件 </w:t>
      </w:r>
      <w:r>
        <w:rPr>
          <w:rFonts w:hint="eastAsia" w:ascii="宋体" w:hAnsi="宋体" w:eastAsia="宋体" w:cs="Times New Roman"/>
          <w:b/>
          <w:bCs/>
          <w:color w:val="000000" w:themeColor="text1"/>
          <w:sz w:val="24"/>
          <w:highlight w:val="none"/>
          <w:lang w:val="en-US" w:eastAsia="zh-CN" w:bidi="ar-SA"/>
        </w:rPr>
        <w:t xml:space="preserve">（40分）</w:t>
      </w:r>
      <w:r>
        <w:rPr>
          <w:color w:val="000000" w:themeColor="text1"/>
        </w:rPr>
      </w:r>
      <w:r/>
    </w:p>
    <w:p>
      <w:pPr>
        <w:numPr>
          <w:ilvl w:val="0"/>
          <w:numId w:val="0"/>
        </w:numPr>
        <w:ind w:left="0" w:firstLine="482"/>
        <w:spacing w:line="360" w:lineRule="auto"/>
        <w:rPr>
          <w:rFonts w:hint="default" w:ascii="Times New Roman" w:hAnsi="Times New Roman" w:eastAsia="宋体" w:cs="Times New Roman"/>
          <w:color w:val="000000" w:themeColor="text1"/>
          <w:highlight w:val="none"/>
        </w:rPr>
      </w:pPr>
      <w:r>
        <w:rPr>
          <w:rFonts w:hint="eastAsia" w:ascii="宋体" w:hAnsi="宋体" w:eastAsia="宋体" w:cs="Times New Roman"/>
          <w:b/>
          <w:bCs/>
          <w:color w:val="000000" w:themeColor="text1"/>
          <w:sz w:val="24"/>
          <w:highlight w:val="none"/>
          <w:lang w:val="en-US" w:eastAsia="zh-CN" w:bidi="ar-SA"/>
        </w:rPr>
        <w:t xml:space="preserve">注：技术文件部分属于暗标，投标人在制作技术文件部分相关内容时不得有体现投标人身份的内容，否则投标无效。</w:t>
      </w:r>
      <w:r>
        <w:rPr>
          <w:color w:val="000000" w:themeColor="text1"/>
        </w:rPr>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8"/>
        <w:gridCol w:w="7011"/>
        <w:gridCol w:w="877"/>
      </w:tblGrid>
      <w:tr>
        <w:trPr>
          <w:jc w:val="center"/>
          <w:trHeight w:val="90"/>
        </w:trPr>
        <w:tc>
          <w:tcPr>
            <w:tcBorders>
              <w:top w:val="single" w:color="auto" w:sz="4" w:space="0"/>
              <w:left w:val="single" w:color="auto" w:sz="4" w:space="0"/>
              <w:right w:val="single" w:color="auto" w:sz="4" w:space="0"/>
            </w:tcBorders>
            <w:tcW w:w="139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方案合理性</w:t>
            </w:r>
            <w:r>
              <w:rPr>
                <w:color w:val="000000" w:themeColor="text1"/>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根据投标供应商技术方案的合理性由评标委员会进行综合评分，主要包括以下几点：</w:t>
            </w:r>
            <w:r>
              <w:rPr>
                <w:color w:val="000000" w:themeColor="text1"/>
              </w:rPr>
            </w:r>
            <w:r/>
          </w:p>
          <w:p>
            <w:pPr>
              <w:ind w:left="0" w:right="0"/>
              <w:keepLines w:val="0"/>
              <w:keepNext w:val="0"/>
              <w:spacing w:before="0" w:beforeAutospacing="0" w:after="0" w:afterAutospacing="0" w:line="440" w:lineRule="exact"/>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（1）对本项目实施的重难点情况分析等进行综合性评分，要求内容详细、具体、合理，按照下列评分幅度对该项进行评分：合理、可行、具体得5分：合理、可行、较具体得3分；合理、较可行、较具体得1分</w:t>
            </w:r>
            <w:r>
              <w:rPr>
                <w:rFonts w:hint="eastAsia" w:ascii="宋体" w:hAnsi="宋体" w:eastAsia="宋体" w:cs="宋体"/>
                <w:color w:val="000000" w:themeColor="text1"/>
                <w:sz w:val="24"/>
                <w:szCs w:val="24"/>
                <w:highlight w:val="none"/>
                <w:lang w:val="en-US" w:eastAsia="zh-CN" w:bidi="ar-SA"/>
              </w:rPr>
              <w:t xml:space="preserve">；较差的或未提供的本项不得分</w:t>
            </w:r>
            <w:r>
              <w:rPr>
                <w:rFonts w:hint="eastAsia" w:ascii="宋体" w:hAnsi="宋体" w:eastAsia="宋体" w:cs="宋体"/>
                <w:color w:val="000000" w:themeColor="text1"/>
                <w:sz w:val="24"/>
                <w:szCs w:val="20"/>
                <w:highlight w:val="none"/>
                <w:lang w:val="en-US" w:eastAsia="zh-CN" w:bidi="ar-SA"/>
              </w:rPr>
              <w:t xml:space="preserve">。</w:t>
            </w:r>
            <w:r>
              <w:rPr>
                <w:color w:val="000000" w:themeColor="text1"/>
              </w:rPr>
            </w:r>
            <w:r/>
          </w:p>
          <w:p>
            <w:pPr>
              <w:ind w:left="0" w:right="0"/>
              <w:keepLines w:val="0"/>
              <w:keepNext w:val="0"/>
              <w:spacing w:before="0" w:beforeAutospacing="0" w:after="0" w:afterAutospacing="0" w:line="440" w:lineRule="exact"/>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2）根据投标供应商提供的本项目系统建设的技术方案与安装调试方案的完整性、先进性、合理性，进行综合性评分，要求内容详细、具体、合理，按照下列评分幅度对该项进行评分：合理、可行、具体得5分；合理、可行、较具体得3分；合理、较可行、较具体得1分；</w:t>
            </w:r>
            <w:r>
              <w:rPr>
                <w:rFonts w:hint="eastAsia" w:ascii="宋体" w:hAnsi="宋体" w:eastAsia="宋体" w:cs="宋体"/>
                <w:color w:val="000000" w:themeColor="text1"/>
                <w:sz w:val="24"/>
                <w:szCs w:val="24"/>
                <w:highlight w:val="none"/>
                <w:lang w:val="en-US" w:eastAsia="zh-CN" w:bidi="ar-SA"/>
              </w:rPr>
              <w:t xml:space="preserve">较差的或未提供的本项不得分</w:t>
            </w:r>
            <w:r>
              <w:rPr>
                <w:rFonts w:hint="eastAsia" w:ascii="宋体" w:hAnsi="宋体" w:eastAsia="宋体" w:cs="宋体"/>
                <w:color w:val="000000" w:themeColor="text1"/>
                <w:sz w:val="24"/>
                <w:szCs w:val="20"/>
                <w:highlight w:val="none"/>
                <w:lang w:val="en-US" w:eastAsia="zh-CN" w:bidi="ar-SA"/>
              </w:rPr>
              <w:t xml:space="preserve">。</w:t>
            </w:r>
            <w:r>
              <w:rPr>
                <w:color w:val="000000" w:themeColor="text1"/>
              </w:rPr>
            </w:r>
            <w:r/>
          </w:p>
          <w:p>
            <w:pPr>
              <w:ind w:left="0" w:right="0"/>
              <w:keepLines w:val="0"/>
              <w:keepNext w:val="0"/>
              <w:spacing w:before="0" w:beforeAutospacing="0" w:after="0" w:afterAutospacing="0" w:line="440" w:lineRule="exact"/>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3）根据投标供应商对本项目施工组织、工期计划安排的详细程度、合理性进行综合性评分，要求内容详细、具体、合理，按照下列评分幅度对该项进行评分：合理、可行、具体得5分；合理、可行、较具体得3分；合理、较可行、较具体得1分</w:t>
            </w:r>
            <w:r>
              <w:rPr>
                <w:rFonts w:hint="eastAsia" w:ascii="宋体" w:hAnsi="宋体" w:eastAsia="宋体" w:cs="宋体"/>
                <w:color w:val="000000" w:themeColor="text1"/>
                <w:sz w:val="24"/>
                <w:szCs w:val="24"/>
                <w:highlight w:val="none"/>
                <w:lang w:val="en-US" w:eastAsia="zh-CN" w:bidi="ar-SA"/>
              </w:rPr>
              <w:t xml:space="preserve">；较差的或未提供的本项不得分</w:t>
            </w:r>
            <w:r>
              <w:rPr>
                <w:rFonts w:hint="eastAsia" w:ascii="宋体" w:hAnsi="宋体" w:eastAsia="宋体" w:cs="宋体"/>
                <w:color w:val="000000" w:themeColor="text1"/>
                <w:sz w:val="24"/>
                <w:szCs w:val="20"/>
                <w:highlight w:val="none"/>
                <w:lang w:val="en-US" w:eastAsia="zh-CN" w:bidi="ar-SA"/>
              </w:rPr>
              <w:t xml:space="preserve">。</w:t>
            </w:r>
            <w:r>
              <w:rPr>
                <w:color w:val="000000" w:themeColor="text1"/>
              </w:rPr>
            </w:r>
            <w:r/>
          </w:p>
          <w:p>
            <w:pPr>
              <w:ind w:left="0" w:right="0"/>
              <w:keepLines w:val="0"/>
              <w:keepNext w:val="0"/>
              <w:spacing w:before="0" w:beforeAutospacing="0" w:after="0" w:afterAutospacing="0" w:line="440" w:lineRule="exact"/>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4）根据投标供应商对本项目质量控制措施及安全管理方案详细程度、合理性进行综合性评分，要求内容详细、具体、合理，按照下列评分幅度对该项进行评分：合理、可行、具体得5分：合理、可行、较具体得3分；合理、较可行、较具体得1分</w:t>
            </w:r>
            <w:r>
              <w:rPr>
                <w:rFonts w:hint="eastAsia" w:ascii="宋体" w:hAnsi="宋体" w:eastAsia="宋体" w:cs="宋体"/>
                <w:color w:val="000000" w:themeColor="text1"/>
                <w:sz w:val="24"/>
                <w:szCs w:val="24"/>
                <w:highlight w:val="none"/>
                <w:lang w:val="en-US" w:eastAsia="zh-CN" w:bidi="ar-SA"/>
              </w:rPr>
              <w:t xml:space="preserve">；较差的或未提供的本项不得分</w:t>
            </w:r>
            <w:r>
              <w:rPr>
                <w:rFonts w:hint="eastAsia" w:ascii="宋体" w:hAnsi="宋体" w:eastAsia="宋体" w:cs="宋体"/>
                <w:color w:val="000000" w:themeColor="text1"/>
                <w:sz w:val="24"/>
                <w:szCs w:val="20"/>
                <w:highlight w:val="none"/>
                <w:lang w:val="en-US" w:eastAsia="zh-CN" w:bidi="ar-SA"/>
              </w:rPr>
              <w:t xml:space="preserve">。</w:t>
            </w:r>
            <w:r>
              <w:rPr>
                <w:color w:val="000000" w:themeColor="text1"/>
              </w:rPr>
            </w:r>
            <w:r/>
          </w:p>
          <w:p>
            <w:pPr>
              <w:ind w:left="0" w:right="0"/>
              <w:keepLines w:val="0"/>
              <w:keepNext w:val="0"/>
              <w:spacing w:before="0" w:beforeAutospacing="0" w:after="0" w:afterAutospacing="0" w:line="440" w:lineRule="exact"/>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（5）根据投标供应商对本项目试运行期运行维护技术手段、措施、方案的合理性、可行性及详细程度进行综合评分，合理、可行、具体得5分：合理、可行、较具体得3分；合理、较可行、较具体得1分</w:t>
            </w:r>
            <w:r>
              <w:rPr>
                <w:rFonts w:hint="eastAsia" w:ascii="宋体" w:hAnsi="宋体" w:eastAsia="宋体" w:cs="宋体"/>
                <w:color w:val="000000" w:themeColor="text1"/>
                <w:sz w:val="24"/>
                <w:szCs w:val="24"/>
                <w:highlight w:val="none"/>
                <w:lang w:val="en-US" w:eastAsia="zh-CN" w:bidi="ar-SA"/>
              </w:rPr>
              <w:t xml:space="preserve">；较差的或未提供的本项不得分</w:t>
            </w:r>
            <w:r>
              <w:rPr>
                <w:rFonts w:hint="eastAsia" w:ascii="宋体" w:hAnsi="宋体" w:eastAsia="宋体" w:cs="宋体"/>
                <w:color w:val="000000" w:themeColor="text1"/>
                <w:sz w:val="24"/>
                <w:szCs w:val="20"/>
                <w:highlight w:val="none"/>
                <w:lang w:val="en-US" w:eastAsia="zh-CN"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25分</w:t>
            </w:r>
            <w:r>
              <w:rPr>
                <w:color w:val="000000" w:themeColor="text1"/>
              </w:rPr>
            </w:r>
            <w:r/>
          </w:p>
        </w:tc>
      </w:tr>
      <w:tr>
        <w:trPr>
          <w:jc w:val="center"/>
          <w:trHeight w:val="419"/>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新型、先进技术、工艺应用</w:t>
            </w:r>
            <w:r>
              <w:rPr>
                <w:color w:val="000000" w:themeColor="text1"/>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结合本项目实施内容，投标供应商提出相关新型、先进技术、工艺在本项目中的应用方案，对方案的合理性、可行性及详细程度进行综合评分，合理、可行、具体得5分：合理、可行、较具体得3分；合理、较可行、较具体得1分</w:t>
            </w:r>
            <w:r>
              <w:rPr>
                <w:rFonts w:hint="eastAsia" w:ascii="宋体" w:hAnsi="宋体" w:eastAsia="宋体" w:cs="宋体"/>
                <w:color w:val="000000" w:themeColor="text1"/>
                <w:sz w:val="24"/>
                <w:szCs w:val="24"/>
                <w:highlight w:val="none"/>
                <w:lang w:val="en-US" w:eastAsia="zh-CN" w:bidi="ar-SA"/>
              </w:rPr>
              <w:t xml:space="preserve">；较差的或未提供的本项不得分</w:t>
            </w:r>
            <w:r>
              <w:rPr>
                <w:rFonts w:hint="eastAsia" w:ascii="宋体" w:hAnsi="宋体" w:eastAsia="宋体" w:cs="宋体"/>
                <w:color w:val="000000" w:themeColor="text1"/>
                <w:sz w:val="24"/>
                <w:szCs w:val="20"/>
                <w:highlight w:val="none"/>
                <w:lang w:val="en-US" w:eastAsia="zh-CN"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5分</w:t>
            </w:r>
            <w:r>
              <w:rPr>
                <w:color w:val="000000" w:themeColor="text1"/>
              </w:rPr>
            </w:r>
            <w:r/>
          </w:p>
        </w:tc>
      </w:tr>
      <w:tr>
        <w:trPr>
          <w:jc w:val="center"/>
          <w:trHeight w:val="419"/>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Times New Roman" w:hAnsi="Times New Roman" w:eastAsia="宋体" w:cs="Times New Roman"/>
                <w:color w:val="000000" w:themeColor="text1"/>
                <w:sz w:val="24"/>
                <w:szCs w:val="20"/>
                <w:highlight w:val="none"/>
                <w:lang w:val="en-US" w:eastAsia="zh-CN" w:bidi="ar-SA"/>
              </w:rPr>
              <w:t xml:space="preserve">培训情况</w:t>
            </w:r>
            <w:r>
              <w:rPr>
                <w:color w:val="000000" w:themeColor="text1"/>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根据投标文件中操作培训和维护培训及其他形式培训（至少包括培训内容、培训时间、培训人数、培训地点）是否完整合理，由评标委员会进行综合评分，要求内容详细、具体、合理，按照下列评分幅度对该项进行评分：合理、可行、具体得5分：合理、可行、较具体得3分；合理、较可行、较具体得1分</w:t>
            </w:r>
            <w:r>
              <w:rPr>
                <w:rFonts w:hint="eastAsia" w:ascii="宋体" w:hAnsi="宋体" w:eastAsia="宋体" w:cs="宋体"/>
                <w:color w:val="000000" w:themeColor="text1"/>
                <w:sz w:val="24"/>
                <w:szCs w:val="24"/>
                <w:highlight w:val="none"/>
                <w:lang w:val="en-US" w:eastAsia="zh-CN" w:bidi="ar-SA"/>
              </w:rPr>
              <w:t xml:space="preserve">；较差的或未提供的本项不得分</w:t>
            </w:r>
            <w:r>
              <w:rPr>
                <w:rFonts w:hint="eastAsia" w:ascii="宋体" w:hAnsi="宋体" w:eastAsia="宋体" w:cs="宋体"/>
                <w:color w:val="000000" w:themeColor="text1"/>
                <w:sz w:val="24"/>
                <w:szCs w:val="20"/>
                <w:highlight w:val="none"/>
                <w:lang w:val="en-US" w:eastAsia="zh-CN"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5分</w:t>
            </w:r>
            <w:r>
              <w:rPr>
                <w:color w:val="000000" w:themeColor="text1"/>
              </w:rPr>
            </w:r>
            <w:r/>
          </w:p>
        </w:tc>
      </w:tr>
      <w:tr>
        <w:trPr>
          <w:jc w:val="center"/>
          <w:trHeight w:val="419"/>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售后服务</w:t>
            </w:r>
            <w:r>
              <w:rPr>
                <w:color w:val="000000" w:themeColor="text1"/>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根据投标文件中提供的售后服务及技术支持方案是否具体、合理和可行性情况，以及故障响应及时性，故障处理能力情况，由评标委员会进行综合评分，要求内容详细、具体、合理，按照下列评分幅度对该项进行评分：合理、可行、具体得5分：合理、可行、较具体得3分；合理、较可行、较具体得1分</w:t>
            </w:r>
            <w:r>
              <w:rPr>
                <w:rFonts w:hint="eastAsia" w:ascii="宋体" w:hAnsi="宋体" w:eastAsia="宋体" w:cs="宋体"/>
                <w:color w:val="000000" w:themeColor="text1"/>
                <w:sz w:val="24"/>
                <w:szCs w:val="24"/>
                <w:highlight w:val="none"/>
                <w:lang w:val="en-US" w:eastAsia="zh-CN" w:bidi="ar-SA"/>
              </w:rPr>
              <w:t xml:space="preserve">；较差的或未提供的本项不得分</w:t>
            </w:r>
            <w:r>
              <w:rPr>
                <w:rFonts w:hint="eastAsia" w:ascii="宋体" w:hAnsi="宋体" w:eastAsia="宋体" w:cs="宋体"/>
                <w:color w:val="000000" w:themeColor="text1"/>
                <w:sz w:val="24"/>
                <w:szCs w:val="20"/>
                <w:highlight w:val="none"/>
                <w:lang w:val="en-US" w:eastAsia="zh-CN" w:bidi="ar-SA"/>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 w:val="24"/>
                <w:szCs w:val="20"/>
                <w:highlight w:val="none"/>
              </w:rPr>
              <w:suppressLineNumbers w:val="0"/>
            </w:pPr>
            <w:r>
              <w:rPr>
                <w:rFonts w:hint="eastAsia" w:ascii="宋体" w:hAnsi="宋体" w:eastAsia="宋体" w:cs="宋体"/>
                <w:color w:val="000000" w:themeColor="text1"/>
                <w:sz w:val="24"/>
                <w:szCs w:val="20"/>
                <w:highlight w:val="none"/>
                <w:lang w:val="en-US" w:eastAsia="zh-CN" w:bidi="ar-SA"/>
              </w:rPr>
              <w:t xml:space="preserve">5分</w:t>
            </w:r>
            <w:r>
              <w:rPr>
                <w:color w:val="000000" w:themeColor="text1"/>
              </w:rPr>
            </w:r>
            <w:r/>
          </w:p>
        </w:tc>
      </w:tr>
    </w:tbl>
    <w:p>
      <w:pPr>
        <w:ind w:firstLine="482"/>
        <w:spacing w:line="360" w:lineRule="auto"/>
        <w:rPr>
          <w:rFonts w:hint="eastAsia" w:ascii="宋体" w:hAnsi="宋体" w:eastAsia="宋体" w:cs="宋体"/>
          <w:b/>
          <w:bCs w:val="0"/>
          <w:color w:val="000000" w:themeColor="text1"/>
          <w:sz w:val="24"/>
          <w:highlight w:val="none"/>
        </w:rPr>
      </w:pPr>
      <w:r>
        <w:rPr>
          <w:rFonts w:hint="eastAsia" w:ascii="宋体" w:hAnsi="宋体" w:eastAsia="宋体" w:cs="宋体"/>
          <w:b/>
          <w:bCs w:val="0"/>
          <w:color w:val="000000" w:themeColor="text1"/>
          <w:sz w:val="24"/>
          <w:highlight w:val="none"/>
          <w:lang w:val="en-US" w:eastAsia="zh-CN" w:bidi="ar-SA"/>
        </w:rPr>
      </w:r>
      <w:r>
        <w:rPr>
          <w:color w:val="000000" w:themeColor="text1"/>
        </w:rPr>
      </w:r>
      <w:r/>
    </w:p>
    <w:p>
      <w:pPr>
        <w:ind w:firstLine="569"/>
        <w:spacing w:line="360" w:lineRule="auto"/>
        <w:rPr>
          <w:rFonts w:ascii="黑体" w:hAnsi="宋体" w:eastAsia="黑体"/>
          <w:bCs/>
          <w:color w:val="000000" w:themeColor="text1"/>
          <w:sz w:val="24"/>
          <w:highlight w:val="none"/>
        </w:rPr>
      </w:pPr>
      <w:r>
        <w:rPr>
          <w:rFonts w:hint="eastAsia" w:ascii="宋体" w:hAnsi="宋体"/>
          <w:b/>
          <w:bCs/>
          <w:color w:val="000000" w:themeColor="text1"/>
          <w:sz w:val="24"/>
          <w:highlight w:val="none"/>
        </w:rPr>
        <w:t xml:space="preserve">未列入本评分细则的其他条件不作为评分内容。</w:t>
      </w:r>
      <w:r>
        <w:rPr>
          <w:color w:val="000000" w:themeColor="text1"/>
        </w:rPr>
      </w:r>
      <w:r/>
    </w:p>
    <w:p>
      <w:pPr>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br w:type="page" w:clear="all"/>
      </w:r>
      <w:r>
        <w:rPr>
          <w:color w:val="000000" w:themeColor="text1"/>
        </w:rPr>
      </w:r>
      <w:r/>
    </w:p>
    <w:p>
      <w:pPr>
        <w:ind w:firstLine="482"/>
        <w:jc w:val="left"/>
        <w:spacing w:line="360" w:lineRule="auto"/>
        <w:tabs>
          <w:tab w:val="left" w:pos="1401" w:leader="none"/>
        </w:tabs>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附件二：投标文件格式</w:t>
      </w:r>
      <w:r>
        <w:rPr>
          <w:color w:val="000000" w:themeColor="text1"/>
        </w:rPr>
      </w:r>
      <w:r/>
    </w:p>
    <w:p>
      <w:pP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rPr>
      </w:r>
      <w:r/>
    </w:p>
    <w:p>
      <w:pPr>
        <w:pStyle w:val="7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rPr>
      </w:r>
      <w:r/>
    </w:p>
    <w:p>
      <w:pPr>
        <w:pStyle w:val="7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rPr>
      </w:r>
      <w:r/>
    </w:p>
    <w:p>
      <w:pPr>
        <w:pStyle w:val="7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rPr>
      </w:r>
      <w:r/>
    </w:p>
    <w:p>
      <w:pPr>
        <w:pStyle w:val="7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rPr>
      </w:r>
      <w:r/>
    </w:p>
    <w:p>
      <w:pPr>
        <w:pStyle w:val="7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rPr>
      </w:r>
      <w:r/>
    </w:p>
    <w:p>
      <w:pPr>
        <w:pStyle w:val="7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rPr>
      </w:r>
      <w:r/>
    </w:p>
    <w:p>
      <w:pP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投</w:t>
      </w:r>
      <w:r>
        <w:rPr>
          <w:color w:val="000000" w:themeColor="text1"/>
        </w:rPr>
      </w:r>
      <w:r/>
    </w:p>
    <w:p>
      <w:pPr>
        <w:jc w:val="center"/>
        <w:rPr>
          <w:rFonts w:ascii="黑体" w:eastAsia="黑体"/>
          <w:bCs/>
          <w:color w:val="000000" w:themeColor="text1"/>
          <w:sz w:val="72"/>
          <w:highlight w:val="none"/>
        </w:rPr>
      </w:pPr>
      <w:r>
        <w:rPr>
          <w:rFonts w:ascii="黑体" w:eastAsia="黑体"/>
          <w:bCs/>
          <w:color w:val="000000" w:themeColor="text1"/>
          <w:sz w:val="72"/>
          <w:highlight w:val="none"/>
        </w:rPr>
      </w:r>
      <w:r>
        <w:rPr>
          <w:color w:val="000000" w:themeColor="text1"/>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标</w:t>
      </w:r>
      <w:r>
        <w:rPr>
          <w:color w:val="000000" w:themeColor="text1"/>
        </w:rPr>
      </w:r>
      <w:r/>
    </w:p>
    <w:p>
      <w:pPr>
        <w:jc w:val="center"/>
        <w:rPr>
          <w:rFonts w:ascii="黑体" w:eastAsia="黑体"/>
          <w:bCs/>
          <w:color w:val="000000" w:themeColor="text1"/>
          <w:sz w:val="72"/>
          <w:highlight w:val="none"/>
        </w:rPr>
      </w:pPr>
      <w:r>
        <w:rPr>
          <w:rFonts w:ascii="黑体" w:eastAsia="黑体"/>
          <w:bCs/>
          <w:color w:val="000000" w:themeColor="text1"/>
          <w:sz w:val="72"/>
          <w:highlight w:val="none"/>
        </w:rPr>
      </w:r>
      <w:r>
        <w:rPr>
          <w:color w:val="000000" w:themeColor="text1"/>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文</w:t>
      </w:r>
      <w:r>
        <w:rPr>
          <w:color w:val="000000" w:themeColor="text1"/>
        </w:rPr>
      </w:r>
      <w:r/>
    </w:p>
    <w:p>
      <w:pPr>
        <w:jc w:val="center"/>
        <w:rPr>
          <w:rFonts w:ascii="黑体" w:eastAsia="黑体"/>
          <w:bCs/>
          <w:color w:val="000000" w:themeColor="text1"/>
          <w:sz w:val="52"/>
          <w:szCs w:val="52"/>
          <w:highlight w:val="none"/>
        </w:rPr>
      </w:pPr>
      <w:r>
        <w:rPr>
          <w:rFonts w:ascii="黑体" w:eastAsia="黑体"/>
          <w:bCs/>
          <w:color w:val="000000" w:themeColor="text1"/>
          <w:sz w:val="52"/>
          <w:szCs w:val="52"/>
          <w:highlight w:val="none"/>
        </w:rPr>
      </w:r>
      <w:r>
        <w:rPr>
          <w:color w:val="000000" w:themeColor="text1"/>
        </w:rPr>
      </w:r>
      <w:r/>
    </w:p>
    <w:p>
      <w:pPr>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件</w:t>
      </w:r>
      <w:r>
        <w:rPr>
          <w:color w:val="000000" w:themeColor="text1"/>
        </w:rPr>
      </w:r>
      <w:r/>
    </w:p>
    <w:p>
      <w:pPr>
        <w:rPr>
          <w:rFonts w:ascii="楷体_GB2312" w:eastAsia="楷体_GB2312"/>
          <w:bCs/>
          <w:color w:val="000000" w:themeColor="text1"/>
          <w:sz w:val="72"/>
          <w:highlight w:val="none"/>
        </w:rPr>
      </w:pPr>
      <w:r>
        <w:rPr>
          <w:rFonts w:ascii="楷体_GB2312" w:eastAsia="楷体_GB2312"/>
          <w:bCs/>
          <w:color w:val="000000" w:themeColor="text1"/>
          <w:sz w:val="72"/>
          <w:highlight w:val="none"/>
        </w:rPr>
      </w:r>
      <w:r>
        <w:rPr>
          <w:color w:val="000000" w:themeColor="text1"/>
        </w:rPr>
      </w:r>
      <w:r/>
    </w:p>
    <w:p>
      <w:pPr>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rPr>
          <w:color w:val="000000" w:themeColor="text1"/>
        </w:rPr>
      </w:r>
      <w:r/>
    </w:p>
    <w:p>
      <w:pPr>
        <w:ind w:firstLine="560"/>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采购项目编号：</w:t>
      </w:r>
      <w:r>
        <w:rPr>
          <w:rFonts w:hint="eastAsia" w:ascii="黑体" w:eastAsia="黑体"/>
          <w:bCs/>
          <w:color w:val="000000" w:themeColor="text1"/>
          <w:sz w:val="28"/>
          <w:szCs w:val="28"/>
          <w:highlight w:val="none"/>
          <w:lang w:eastAsia="zh-CN"/>
        </w:rPr>
        <w:t xml:space="preserve">JSZC-320200-JSZH-G2026-0068</w:t>
      </w:r>
      <w:r>
        <w:rPr>
          <w:color w:val="000000" w:themeColor="text1"/>
        </w:rPr>
      </w:r>
      <w:r/>
    </w:p>
    <w:p>
      <w:pPr>
        <w:ind w:firstLine="560"/>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rPr>
      </w:r>
      <w:r/>
    </w:p>
    <w:p>
      <w:pPr>
        <w:ind w:firstLine="560"/>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采购项目名称：</w:t>
      </w:r>
      <w:r>
        <w:rPr>
          <w:rFonts w:hint="eastAsia" w:ascii="黑体" w:eastAsia="黑体"/>
          <w:bCs/>
          <w:color w:val="000000" w:themeColor="text1"/>
          <w:sz w:val="28"/>
          <w:szCs w:val="28"/>
          <w:highlight w:val="none"/>
          <w:lang w:eastAsia="zh-CN"/>
        </w:rPr>
        <w:t xml:space="preserve">太湖局元荡水质站提档升级项目</w:t>
      </w:r>
      <w:r>
        <w:rPr>
          <w:color w:val="000000" w:themeColor="text1"/>
        </w:rPr>
      </w:r>
      <w:r/>
    </w:p>
    <w:p>
      <w:pPr>
        <w:ind w:firstLine="560"/>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rPr>
      </w:r>
      <w:r/>
    </w:p>
    <w:p>
      <w:pPr>
        <w:ind w:firstLine="560"/>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投标人：</w:t>
      </w:r>
      <w:r>
        <w:rPr>
          <w:color w:val="000000" w:themeColor="text1"/>
        </w:rPr>
      </w:r>
      <w:r/>
    </w:p>
    <w:p>
      <w:pP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rPr>
      </w:r>
      <w:r/>
    </w:p>
    <w:p>
      <w:pPr>
        <w:jc w:val="center"/>
        <w:rPr>
          <w:rFonts w:ascii="黑体" w:eastAsia="黑体"/>
          <w:bCs/>
          <w:color w:val="000000" w:themeColor="text1"/>
          <w:sz w:val="36"/>
          <w:szCs w:val="36"/>
          <w:highlight w:val="none"/>
        </w:rPr>
      </w:pPr>
      <w:r>
        <w:rPr>
          <w:rFonts w:hint="eastAsia" w:ascii="黑体" w:eastAsia="黑体"/>
          <w:bCs/>
          <w:color w:val="000000" w:themeColor="text1"/>
          <w:sz w:val="36"/>
          <w:szCs w:val="36"/>
          <w:highlight w:val="none"/>
        </w:rPr>
        <w:t xml:space="preserve">二〇二六年  月  日</w:t>
      </w:r>
      <w:r>
        <w:rPr>
          <w:color w:val="000000" w:themeColor="text1"/>
        </w:rPr>
      </w:r>
      <w:r/>
    </w:p>
    <w:p>
      <w:pPr>
        <w:rPr>
          <w:rFonts w:ascii="黑体" w:hAnsi="宋体" w:eastAsia="黑体"/>
          <w:bCs/>
          <w:color w:val="000000" w:themeColor="text1"/>
          <w:sz w:val="24"/>
          <w:szCs w:val="24"/>
          <w:highlight w:val="none"/>
        </w:rPr>
      </w:pPr>
      <w:r>
        <w:rPr>
          <w:color w:val="000000" w:themeColor="text1"/>
        </w:rPr>
      </w:r>
      <w:bookmarkStart w:id="74" w:name="一．报价函（格式）"/>
      <w:r>
        <w:rPr>
          <w:color w:val="000000" w:themeColor="text1"/>
        </w:rPr>
      </w:r>
      <w:bookmarkEnd w:id="74"/>
      <w:r>
        <w:rPr>
          <w:rFonts w:hint="eastAsia" w:ascii="黑体" w:hAnsi="宋体" w:eastAsia="黑体"/>
          <w:bCs/>
          <w:color w:val="000000" w:themeColor="text1"/>
          <w:sz w:val="24"/>
          <w:szCs w:val="24"/>
          <w:highlight w:val="none"/>
        </w:rPr>
        <w:br w:type="page" w:clear="all"/>
      </w:r>
      <w:r>
        <w:rPr>
          <w:color w:val="000000" w:themeColor="text1"/>
        </w:rPr>
      </w:r>
      <w:r/>
    </w:p>
    <w:p>
      <w:pPr>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（一）投标函（格式）：</w:t>
      </w:r>
      <w:r>
        <w:rPr>
          <w:color w:val="000000" w:themeColor="text1"/>
        </w:rPr>
      </w:r>
      <w:r/>
    </w:p>
    <w:p>
      <w:pPr>
        <w:jc w:val="center"/>
        <w:spacing w:line="360" w:lineRule="auto"/>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color w:val="000000" w:themeColor="text1"/>
        </w:rPr>
      </w:r>
      <w:r/>
    </w:p>
    <w:p>
      <w:pPr>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致太湖流域水文水资源监测中心（太湖流域水环境监测中心）：</w:t>
      </w:r>
      <w:r>
        <w:rPr>
          <w:color w:val="000000" w:themeColor="text1"/>
        </w:rPr>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我方收到贵方编号</w:t>
      </w:r>
      <w:r>
        <w:rPr>
          <w:rFonts w:hint="eastAsia" w:ascii="宋体" w:hAnsi="宋体"/>
          <w:bCs/>
          <w:color w:val="000000" w:themeColor="text1"/>
          <w:sz w:val="24"/>
          <w:szCs w:val="24"/>
          <w:highlight w:val="none"/>
          <w:lang w:eastAsia="zh-CN"/>
        </w:rPr>
        <w:t xml:space="preserve">JSZC-320200-JSZH-G2026-0068</w:t>
      </w:r>
      <w:r>
        <w:rPr>
          <w:rFonts w:hint="eastAsia" w:ascii="宋体" w:hAnsi="宋体"/>
          <w:bCs/>
          <w:color w:val="000000" w:themeColor="text1"/>
          <w:sz w:val="24"/>
          <w:szCs w:val="24"/>
          <w:highlight w:val="none"/>
        </w:rPr>
        <w:t xml:space="preserve">招标文件，经仔细阅读和研究，我方决定参加此项目的投标。</w:t>
      </w:r>
      <w:r>
        <w:rPr>
          <w:color w:val="000000" w:themeColor="text1"/>
        </w:rPr>
      </w:r>
      <w:r/>
    </w:p>
    <w:p>
      <w:pPr>
        <w:numPr>
          <w:ilvl w:val="0"/>
          <w:numId w:val="18"/>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color w:val="000000" w:themeColor="text1"/>
        </w:rPr>
      </w:r>
      <w:r/>
    </w:p>
    <w:p>
      <w:pPr>
        <w:numPr>
          <w:ilvl w:val="0"/>
          <w:numId w:val="18"/>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56"/>
          <w:bCs/>
          <w:color w:val="000000" w:themeColor="text1"/>
          <w:highlight w:val="none"/>
        </w:rPr>
      </w:pPr>
      <w:r>
        <w:rPr>
          <w:rFonts w:hint="eastAsia" w:ascii="宋体" w:hAnsi="宋体"/>
          <w:bCs/>
          <w:color w:val="000000" w:themeColor="text1"/>
          <w:sz w:val="24"/>
          <w:szCs w:val="24"/>
          <w:highlight w:val="none"/>
        </w:rPr>
        <w:t xml:space="preserve">我方愿意提供江苏智汇锡建工程项目管理有限公司在招标文件中要求的文件、资料。</w:t>
      </w:r>
      <w:r>
        <w:rPr>
          <w:color w:val="000000" w:themeColor="text1"/>
        </w:rPr>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我方同意按招标文件中的规定，本投标文件投标的有效期限为开标之日起</w:t>
      </w:r>
      <w:r>
        <w:rPr>
          <w:rFonts w:ascii="宋体" w:hAnsi="宋体"/>
          <w:bCs/>
          <w:color w:val="000000" w:themeColor="text1"/>
          <w:sz w:val="24"/>
          <w:szCs w:val="24"/>
          <w:highlight w:val="none"/>
        </w:rPr>
        <w:t xml:space="preserve">90</w:t>
      </w:r>
      <w:r>
        <w:rPr>
          <w:rFonts w:hint="eastAsia" w:ascii="宋体" w:hAnsi="宋体"/>
          <w:bCs/>
          <w:color w:val="000000" w:themeColor="text1"/>
          <w:sz w:val="24"/>
          <w:szCs w:val="24"/>
          <w:highlight w:val="none"/>
        </w:rPr>
        <w:t xml:space="preserve">天。</w:t>
      </w:r>
      <w:r>
        <w:rPr>
          <w:color w:val="000000" w:themeColor="text1"/>
        </w:rPr>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如果我方的投标文件被接受，我方将履行招标文件中规定的每一项要求，按期、按质、按量，完成任务。</w:t>
      </w:r>
      <w:r>
        <w:rPr>
          <w:color w:val="000000" w:themeColor="text1"/>
        </w:rPr>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我方认为贵局有权决定中标者。</w:t>
      </w:r>
      <w:r>
        <w:rPr>
          <w:color w:val="000000" w:themeColor="text1"/>
        </w:rPr>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color w:val="000000" w:themeColor="text1"/>
        </w:rPr>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我方认可并遵守招标文件的所有规定，放弃对招标文件提出质疑的权利。</w:t>
      </w:r>
      <w:r>
        <w:rPr>
          <w:color w:val="000000" w:themeColor="text1"/>
        </w:rPr>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color w:val="000000" w:themeColor="text1"/>
        </w:rPr>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w:t>
      </w:r>
      <w:r>
        <w:rPr>
          <w:rFonts w:hint="eastAsia" w:ascii="宋体" w:hAnsi="宋体"/>
          <w:color w:val="000000" w:themeColor="text1"/>
          <w:sz w:val="24"/>
          <w:szCs w:val="24"/>
          <w:highlight w:val="none"/>
        </w:rPr>
        <w:t xml:space="preserve">向</w:t>
      </w:r>
      <w:r>
        <w:rPr>
          <w:rFonts w:hint="eastAsia" w:ascii="宋体" w:hAnsi="宋体"/>
          <w:bCs/>
          <w:color w:val="000000" w:themeColor="text1"/>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rPr>
          <w:color w:val="000000" w:themeColor="text1"/>
        </w:rPr>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color w:val="000000" w:themeColor="text1"/>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投标人（盖章）：</w:t>
      </w:r>
      <w:r>
        <w:rPr>
          <w:color w:val="000000" w:themeColor="text1"/>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                              传真：</w:t>
      </w:r>
      <w:r>
        <w:rPr>
          <w:color w:val="000000" w:themeColor="text1"/>
        </w:rPr>
      </w:r>
      <w:r/>
    </w:p>
    <w:p>
      <w:pPr>
        <w:ind w:firstLine="480"/>
        <w:spacing w:line="4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通讯地址：                          邮编：</w:t>
      </w:r>
      <w:r>
        <w:rPr>
          <w:color w:val="000000" w:themeColor="text1"/>
        </w:rPr>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（二）（投标人）关于资格的声明函（格式）：</w:t>
      </w:r>
      <w:r>
        <w:rPr>
          <w:color w:val="000000" w:themeColor="text1"/>
        </w:rPr>
      </w:r>
      <w:r/>
    </w:p>
    <w:p>
      <w:pPr>
        <w:spacing w:line="360" w:lineRule="auto"/>
        <w:rPr>
          <w:rFonts w:ascii="黑体" w:eastAsia="黑体"/>
          <w:bCs/>
          <w:color w:val="000000" w:themeColor="text1"/>
          <w:sz w:val="36"/>
          <w:highlight w:val="none"/>
        </w:rPr>
      </w:pPr>
      <w:r>
        <w:rPr>
          <w:rFonts w:ascii="黑体" w:eastAsia="黑体"/>
          <w:bCs/>
          <w:color w:val="000000" w:themeColor="text1"/>
          <w:sz w:val="36"/>
          <w:highlight w:val="none"/>
        </w:rPr>
      </w:r>
      <w:r>
        <w:rPr>
          <w:color w:val="000000" w:themeColor="text1"/>
        </w:rPr>
      </w:r>
      <w:r/>
    </w:p>
    <w:p>
      <w:pPr>
        <w:jc w:val="center"/>
        <w:rPr>
          <w:rFonts w:ascii="黑体" w:eastAsia="黑体"/>
          <w:bCs/>
          <w:color w:val="000000" w:themeColor="text1"/>
          <w:sz w:val="28"/>
          <w:szCs w:val="28"/>
          <w:highlight w:val="none"/>
        </w:rPr>
      </w:pPr>
      <w:r>
        <w:rPr>
          <w:color w:val="000000" w:themeColor="text1"/>
        </w:rPr>
      </w:r>
      <w:bookmarkStart w:id="75" w:name="报价方关于资格的声明函（格式）"/>
      <w:r>
        <w:rPr>
          <w:color w:val="000000" w:themeColor="text1"/>
        </w:rPr>
      </w:r>
      <w:bookmarkEnd w:id="75"/>
      <w:r>
        <w:rPr>
          <w:rFonts w:hint="eastAsia" w:ascii="黑体" w:eastAsia="黑体"/>
          <w:bCs/>
          <w:color w:val="000000" w:themeColor="text1"/>
          <w:sz w:val="28"/>
          <w:szCs w:val="28"/>
          <w:highlight w:val="none"/>
        </w:rPr>
        <w:t xml:space="preserve">关于资格的声明函</w:t>
      </w:r>
      <w:r>
        <w:rPr>
          <w:color w:val="000000" w:themeColor="text1"/>
        </w:rPr>
      </w:r>
      <w:r/>
    </w:p>
    <w:p>
      <w:pPr>
        <w:jc w:val="cente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rPr>
      </w:r>
      <w:r/>
    </w:p>
    <w:p>
      <w:pPr>
        <w:jc w:val="cente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采购项目编号：</w:t>
      </w:r>
      <w:r>
        <w:rPr>
          <w:color w:val="000000" w:themeColor="text1"/>
        </w:rPr>
      </w:r>
      <w:r/>
    </w:p>
    <w:p>
      <w:pPr>
        <w:jc w:val="center"/>
        <w:spacing w:line="480" w:lineRule="auto"/>
        <w:tabs>
          <w:tab w:val="left" w:pos="630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日期：</w:t>
      </w:r>
      <w:r>
        <w:rPr>
          <w:color w:val="000000" w:themeColor="text1"/>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太湖流域水文水资源监测中心（太湖流域水环境监测中心）：</w:t>
      </w:r>
      <w:r>
        <w:rPr>
          <w:color w:val="000000" w:themeColor="text1"/>
        </w:rPr>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rPr>
      </w: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我公司（单位）参加本次项目（</w:t>
      </w:r>
      <w:r>
        <w:rPr>
          <w:rFonts w:hint="eastAsia" w:ascii="宋体" w:hAnsi="宋体"/>
          <w:bCs/>
          <w:color w:val="000000" w:themeColor="text1"/>
          <w:sz w:val="24"/>
          <w:szCs w:val="24"/>
          <w:highlight w:val="none"/>
          <w:lang w:eastAsia="zh-CN"/>
        </w:rPr>
        <w:t xml:space="preserve">JSZC-320200-JSZH-G2026-0068</w:t>
      </w:r>
      <w:r>
        <w:rPr>
          <w:rFonts w:hint="eastAsia" w:ascii="宋体" w:hAnsi="宋体"/>
          <w:bCs/>
          <w:color w:val="000000" w:themeColor="text1"/>
          <w:sz w:val="24"/>
          <w:szCs w:val="24"/>
          <w:highlight w:val="none"/>
        </w:rPr>
        <w:t xml:space="preserve">）政府采购活动前三年内，在经营活动中没有重大违法记录，我公司（单位）愿针对本次项目（</w:t>
      </w:r>
      <w:r>
        <w:rPr>
          <w:rFonts w:hint="eastAsia" w:ascii="宋体" w:hAnsi="宋体"/>
          <w:bCs/>
          <w:color w:val="000000" w:themeColor="text1"/>
          <w:sz w:val="24"/>
          <w:szCs w:val="24"/>
          <w:highlight w:val="none"/>
          <w:lang w:eastAsia="zh-CN"/>
        </w:rPr>
        <w:t xml:space="preserve">JSZC-320200-JSZH-G2026-0068</w:t>
      </w:r>
      <w:r>
        <w:rPr>
          <w:rFonts w:hint="eastAsia" w:ascii="宋体" w:hAnsi="宋体"/>
          <w:bCs/>
          <w:color w:val="000000" w:themeColor="text1"/>
          <w:sz w:val="24"/>
          <w:szCs w:val="24"/>
          <w:highlight w:val="none"/>
        </w:rPr>
        <w:t xml:space="preserve">）进行投标，投标文件中所有关于投标资格的文件、证明、陈述均是真实的、准确的。若有违背，我公司（单位）愿意承担由此而产生的一切后果。</w:t>
      </w:r>
      <w:r>
        <w:rPr>
          <w:color w:val="000000" w:themeColor="text1"/>
        </w:rPr>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投标人（盖章）：</w:t>
      </w:r>
      <w:r>
        <w:rPr>
          <w:color w:val="000000" w:themeColor="text1"/>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rPr>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20"/>
        <w:rPr>
          <w:rFonts w:ascii="黑体" w:hAnsi="宋体" w:eastAsia="黑体"/>
          <w:bCs/>
          <w:color w:val="000000" w:themeColor="text1"/>
          <w:sz w:val="24"/>
          <w:szCs w:val="24"/>
          <w:highlight w:val="none"/>
        </w:rPr>
      </w:pPr>
      <w:r>
        <w:rPr>
          <w:rFonts w:hint="eastAsia"/>
          <w:color w:val="000000" w:themeColor="text1"/>
          <w:highlight w:val="none"/>
        </w:rPr>
        <w:t xml:space="preserve">备注：上述所称“重大违法记录”，是指供应商因违法经营受到刑事处罚或者责令停产停业、吊销许可证或者执照、较大数额罚款等行政处罚。</w:t>
      </w:r>
      <w:r>
        <w:rPr>
          <w:color w:val="000000" w:themeColor="text1"/>
        </w:rPr>
      </w:r>
      <w:r/>
    </w:p>
    <w:p>
      <w:pPr>
        <w:ind w:firstLine="48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（三）（投标人）法定代表人授权委托书（格式）：</w:t>
      </w:r>
      <w:r>
        <w:rPr>
          <w:color w:val="000000" w:themeColor="text1"/>
        </w:rPr>
      </w:r>
      <w:r/>
    </w:p>
    <w:p>
      <w:pP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法定代表人授权委托书</w:t>
      </w:r>
      <w:r>
        <w:rPr>
          <w:color w:val="000000" w:themeColor="text1"/>
        </w:rPr>
      </w:r>
      <w:r/>
    </w:p>
    <w:p>
      <w:pPr>
        <w:jc w:val="center"/>
        <w:spacing w:line="360" w:lineRule="auto"/>
        <w:rPr>
          <w:rFonts w:ascii="楷体_GB2312" w:eastAsia="楷体_GB2312"/>
          <w:bCs/>
          <w:color w:val="000000" w:themeColor="text1"/>
          <w:sz w:val="36"/>
          <w:highlight w:val="none"/>
        </w:rPr>
      </w:pPr>
      <w:r>
        <w:rPr>
          <w:rFonts w:ascii="楷体_GB2312" w:eastAsia="楷体_GB2312"/>
          <w:bCs/>
          <w:color w:val="000000" w:themeColor="text1"/>
          <w:sz w:val="36"/>
          <w:highlight w:val="none"/>
        </w:rPr>
      </w:r>
      <w:r>
        <w:rPr>
          <w:color w:val="000000" w:themeColor="text1"/>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采购项目编号：</w:t>
      </w:r>
      <w:r>
        <w:rPr>
          <w:color w:val="000000" w:themeColor="text1"/>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日期：</w:t>
      </w:r>
      <w:r>
        <w:rPr>
          <w:color w:val="000000" w:themeColor="text1"/>
        </w:rPr>
      </w:r>
      <w:r/>
    </w:p>
    <w:p>
      <w:pPr>
        <w:spacing w:line="6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太湖流域水文水资源监测中心（太湖流域水环境监测中心）：</w:t>
      </w:r>
      <w:r>
        <w:rPr>
          <w:color w:val="000000" w:themeColor="text1"/>
        </w:rPr>
      </w:r>
      <w:r/>
    </w:p>
    <w:p>
      <w:pPr>
        <w:ind w:firstLine="480"/>
        <w:spacing w:line="6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系中华人民共和国合法公司（单位），特授权</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代表我公司（单位）全权办理针对本项目（</w:t>
      </w:r>
      <w:r>
        <w:rPr>
          <w:rFonts w:hint="eastAsia" w:ascii="宋体" w:hAnsi="宋体"/>
          <w:bCs/>
          <w:color w:val="000000" w:themeColor="text1"/>
          <w:sz w:val="24"/>
          <w:szCs w:val="24"/>
          <w:highlight w:val="none"/>
          <w:lang w:eastAsia="zh-CN"/>
        </w:rPr>
        <w:t xml:space="preserve">JSZC-320200-JSZH-G2026-0068</w:t>
      </w:r>
      <w:r>
        <w:rPr>
          <w:rFonts w:hint="eastAsia" w:ascii="宋体" w:hAnsi="宋体"/>
          <w:bCs/>
          <w:color w:val="000000" w:themeColor="text1"/>
          <w:sz w:val="24"/>
          <w:szCs w:val="24"/>
          <w:highlight w:val="none"/>
        </w:rPr>
        <w:t xml:space="preserve">）的投标、参与开标、评标、签约等具体工作，并签署全部有关的文件、协议及合同。</w:t>
      </w:r>
      <w:r>
        <w:rPr>
          <w:color w:val="000000" w:themeColor="text1"/>
        </w:rPr>
      </w:r>
      <w:r/>
    </w:p>
    <w:p>
      <w:pPr>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我公司（单位）对被授权代表的签名负全部责任。</w:t>
      </w:r>
      <w:r>
        <w:rPr>
          <w:color w:val="000000" w:themeColor="text1"/>
        </w:rPr>
      </w:r>
      <w:r/>
    </w:p>
    <w:p>
      <w:pPr>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在撤销授权的书面通知送达你处以前，本授权书一直有效，被授权代表签署的所有文件（在授权书有效期内签署的）不因授权的撤销而失效。</w:t>
      </w:r>
      <w:r>
        <w:rPr>
          <w:color w:val="000000" w:themeColor="text1"/>
        </w:rPr>
      </w:r>
      <w:r/>
    </w:p>
    <w:p>
      <w:pPr>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被授权代表情况：</w:t>
      </w:r>
      <w:r>
        <w:rPr>
          <w:color w:val="000000" w:themeColor="text1"/>
        </w:rPr>
      </w:r>
      <w:r/>
    </w:p>
    <w:p>
      <w:pPr>
        <w:ind w:firstLine="525"/>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姓名：            性别：              电话：</w:t>
      </w:r>
      <w:r>
        <w:rPr>
          <w:color w:val="000000" w:themeColor="text1"/>
        </w:rPr>
      </w:r>
      <w:r/>
    </w:p>
    <w:p>
      <w:pPr>
        <w:ind w:firstLine="324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rPr>
      </w:r>
      <w:r/>
    </w:p>
    <w:p>
      <w:pPr>
        <w:ind w:firstLine="324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rPr>
      </w:r>
      <w:r/>
    </w:p>
    <w:p>
      <w:pPr>
        <w:ind w:firstLine="324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rPr>
      </w:r>
      <w:r/>
    </w:p>
    <w:p>
      <w:pPr>
        <w:ind w:firstLine="40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法定代表人（签字或盖章）：</w:t>
      </w:r>
      <w:r>
        <w:rPr>
          <w:color w:val="000000" w:themeColor="text1"/>
        </w:rPr>
      </w:r>
      <w:r/>
    </w:p>
    <w:p>
      <w:pPr>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（四）（投标人）中小企业声明函（格式）：</w:t>
      </w:r>
      <w:r>
        <w:rPr>
          <w:color w:val="000000" w:themeColor="text1"/>
        </w:rPr>
      </w:r>
      <w:r/>
    </w:p>
    <w:p>
      <w:pPr>
        <w:ind w:firstLine="244"/>
        <w:jc w:val="center"/>
        <w:rPr>
          <w:rFonts w:ascii="宋体" w:hAnsi="宋体"/>
          <w:color w:val="000000" w:themeColor="text1"/>
          <w:highlight w:val="none"/>
        </w:rPr>
      </w:pPr>
      <w:r>
        <w:rPr>
          <w:rFonts w:hint="eastAsia" w:ascii="宋体" w:hAnsi="宋体"/>
          <w:b/>
          <w:color w:val="000000" w:themeColor="text1"/>
          <w:sz w:val="30"/>
          <w:szCs w:val="30"/>
          <w:highlight w:val="none"/>
        </w:rPr>
        <w:t xml:space="preserve">中小企业声明函（货物）</w:t>
      </w:r>
      <w:r>
        <w:rPr>
          <w:color w:val="000000" w:themeColor="text1"/>
        </w:rPr>
      </w:r>
      <w:r/>
    </w:p>
    <w:p>
      <w:pPr>
        <w:ind w:firstLine="434"/>
        <w:spacing w:line="58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本公司（联合体）郑重声明，根据《政府采购促进中小企业发展管理办法》（财库〔2020〕46号）的规定，本公司（联合体）参加</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u w:val="single"/>
        </w:rPr>
        <w:t xml:space="preserve">（单位名称） </w:t>
      </w:r>
      <w:r>
        <w:rPr>
          <w:rFonts w:hint="eastAsia" w:ascii="宋体" w:hAnsi="宋体"/>
          <w:bCs/>
          <w:color w:val="000000" w:themeColor="text1"/>
          <w:sz w:val="24"/>
          <w:highlight w:val="none"/>
        </w:rPr>
        <w:t xml:space="preserve">的</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u w:val="single"/>
        </w:rPr>
        <w:t xml:space="preserve">（项目名称）</w:t>
      </w:r>
      <w:r>
        <w:rPr>
          <w:rFonts w:hint="eastAsia" w:ascii="宋体" w:hAnsi="宋体"/>
          <w:bCs/>
          <w:color w:val="000000" w:themeColor="text1"/>
          <w:sz w:val="24"/>
          <w:highlight w:val="none"/>
        </w:rPr>
        <w:t xml:space="preserve">采购活动，</w:t>
      </w:r>
      <w:r>
        <w:rPr>
          <w:rFonts w:hint="eastAsia" w:ascii="宋体" w:hAnsi="宋体"/>
          <w:b/>
          <w:color w:val="000000" w:themeColor="text1"/>
          <w:sz w:val="24"/>
          <w:highlight w:val="none"/>
        </w:rPr>
        <w:t xml:space="preserve">提供的货物全部由符合政策要求的中小企业制造</w:t>
      </w:r>
      <w:r>
        <w:rPr>
          <w:rFonts w:hint="eastAsia" w:ascii="宋体" w:hAnsi="宋体"/>
          <w:bCs/>
          <w:color w:val="000000" w:themeColor="text1"/>
          <w:sz w:val="24"/>
          <w:highlight w:val="none"/>
        </w:rPr>
        <w:t xml:space="preserve">。相关企业（含联合体中的中小企业、签订分包意向协议的中小企业）的具体情况如下：</w:t>
      </w:r>
      <w:r>
        <w:rPr>
          <w:color w:val="000000" w:themeColor="text1"/>
        </w:rPr>
      </w:r>
      <w:r/>
    </w:p>
    <w:p>
      <w:pPr>
        <w:numPr>
          <w:ilvl w:val="3"/>
          <w:numId w:val="19"/>
        </w:numPr>
        <w:ind w:left="0" w:firstLine="709"/>
        <w:spacing w:line="580" w:lineRule="exact"/>
        <w:rPr>
          <w:rFonts w:ascii="宋体" w:hAnsi="宋体"/>
          <w:bCs/>
          <w:color w:val="000000" w:themeColor="text1"/>
          <w:sz w:val="24"/>
          <w:highlight w:val="none"/>
        </w:rPr>
      </w:pPr>
      <w:r>
        <w:rPr>
          <w:rFonts w:hint="eastAsia" w:ascii="宋体" w:hAnsi="宋体"/>
          <w:bCs/>
          <w:color w:val="000000" w:themeColor="text1"/>
          <w:sz w:val="24"/>
          <w:highlight w:val="none"/>
          <w:u w:val="single"/>
        </w:rPr>
        <w:t xml:space="preserve">（标的名称）</w:t>
      </w:r>
      <w:r>
        <w:rPr>
          <w:rFonts w:hint="eastAsia" w:ascii="宋体" w:hAnsi="宋体"/>
          <w:bCs/>
          <w:color w:val="000000" w:themeColor="text1"/>
          <w:sz w:val="24"/>
          <w:highlight w:val="none"/>
        </w:rPr>
        <w:t xml:space="preserve">，属于</w:t>
      </w:r>
      <w:r>
        <w:rPr>
          <w:rFonts w:hint="eastAsia" w:ascii="宋体" w:hAnsi="宋体"/>
          <w:bCs/>
          <w:color w:val="000000" w:themeColor="text1"/>
          <w:sz w:val="24"/>
          <w:highlight w:val="none"/>
          <w:u w:val="single"/>
        </w:rPr>
        <w:t xml:space="preserve">（招标文件中明确的所属行业）行业</w:t>
      </w:r>
      <w:r>
        <w:rPr>
          <w:rFonts w:hint="eastAsia" w:ascii="宋体" w:hAnsi="宋体"/>
          <w:bCs/>
          <w:color w:val="000000" w:themeColor="text1"/>
          <w:sz w:val="24"/>
          <w:highlight w:val="none"/>
        </w:rPr>
        <w:t xml:space="preserve">；制造商为</w:t>
      </w:r>
      <w:r>
        <w:rPr>
          <w:rFonts w:hint="eastAsia" w:ascii="宋体" w:hAnsi="宋体"/>
          <w:bCs/>
          <w:color w:val="000000" w:themeColor="text1"/>
          <w:sz w:val="24"/>
          <w:highlight w:val="none"/>
          <w:u w:val="single"/>
        </w:rPr>
        <w:t xml:space="preserve">（企业名称）</w:t>
      </w:r>
      <w:r>
        <w:rPr>
          <w:rFonts w:hint="eastAsia" w:ascii="宋体" w:hAnsi="宋体"/>
          <w:bCs/>
          <w:color w:val="000000" w:themeColor="text1"/>
          <w:sz w:val="24"/>
          <w:highlight w:val="none"/>
        </w:rPr>
        <w:t xml:space="preserve">，从业人员</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人，营业收入为</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万元，资产总额为</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万元，属于</w:t>
      </w:r>
      <w:r>
        <w:rPr>
          <w:rFonts w:hint="eastAsia" w:ascii="宋体" w:hAnsi="宋体"/>
          <w:bCs/>
          <w:color w:val="000000" w:themeColor="text1"/>
          <w:sz w:val="24"/>
          <w:highlight w:val="none"/>
          <w:u w:val="single"/>
        </w:rPr>
        <w:t xml:space="preserve">（中型企业、小型企业、微型企业）</w:t>
      </w:r>
      <w:r>
        <w:rPr>
          <w:rFonts w:hint="eastAsia" w:ascii="宋体" w:hAnsi="宋体"/>
          <w:bCs/>
          <w:color w:val="000000" w:themeColor="text1"/>
          <w:sz w:val="24"/>
          <w:highlight w:val="none"/>
        </w:rPr>
        <w:t xml:space="preserve">；</w:t>
      </w:r>
      <w:r>
        <w:rPr>
          <w:color w:val="000000" w:themeColor="text1"/>
        </w:rPr>
      </w:r>
      <w:r/>
    </w:p>
    <w:p>
      <w:pPr>
        <w:numPr>
          <w:ilvl w:val="3"/>
          <w:numId w:val="19"/>
        </w:numPr>
        <w:ind w:left="0" w:firstLine="709"/>
        <w:spacing w:line="580" w:lineRule="exact"/>
        <w:rPr>
          <w:rFonts w:ascii="宋体" w:hAnsi="宋体"/>
          <w:bCs/>
          <w:color w:val="000000" w:themeColor="text1"/>
          <w:sz w:val="24"/>
          <w:highlight w:val="none"/>
        </w:rPr>
      </w:pPr>
      <w:r>
        <w:rPr>
          <w:rFonts w:hint="eastAsia" w:ascii="宋体" w:hAnsi="宋体"/>
          <w:bCs/>
          <w:color w:val="000000" w:themeColor="text1"/>
          <w:sz w:val="24"/>
          <w:highlight w:val="none"/>
          <w:u w:val="single"/>
        </w:rPr>
        <w:t xml:space="preserve">（标的名称）</w:t>
      </w:r>
      <w:r>
        <w:rPr>
          <w:rFonts w:hint="eastAsia" w:ascii="宋体" w:hAnsi="宋体"/>
          <w:bCs/>
          <w:color w:val="000000" w:themeColor="text1"/>
          <w:sz w:val="24"/>
          <w:highlight w:val="none"/>
        </w:rPr>
        <w:t xml:space="preserve">，属于</w:t>
      </w:r>
      <w:r>
        <w:rPr>
          <w:rFonts w:hint="eastAsia" w:ascii="宋体" w:hAnsi="宋体"/>
          <w:bCs/>
          <w:color w:val="000000" w:themeColor="text1"/>
          <w:sz w:val="24"/>
          <w:highlight w:val="none"/>
          <w:u w:val="single"/>
        </w:rPr>
        <w:t xml:space="preserve">（招标文件中明确的所属行业）行业</w:t>
      </w:r>
      <w:r>
        <w:rPr>
          <w:rFonts w:hint="eastAsia" w:ascii="宋体" w:hAnsi="宋体"/>
          <w:bCs/>
          <w:color w:val="000000" w:themeColor="text1"/>
          <w:sz w:val="24"/>
          <w:highlight w:val="none"/>
        </w:rPr>
        <w:t xml:space="preserve">；制造商为</w:t>
      </w:r>
      <w:r>
        <w:rPr>
          <w:rFonts w:hint="eastAsia" w:ascii="宋体" w:hAnsi="宋体"/>
          <w:bCs/>
          <w:color w:val="000000" w:themeColor="text1"/>
          <w:sz w:val="24"/>
          <w:highlight w:val="none"/>
          <w:u w:val="single"/>
        </w:rPr>
        <w:t xml:space="preserve">（企业名称）</w:t>
      </w:r>
      <w:r>
        <w:rPr>
          <w:rFonts w:hint="eastAsia" w:ascii="宋体" w:hAnsi="宋体"/>
          <w:bCs/>
          <w:color w:val="000000" w:themeColor="text1"/>
          <w:sz w:val="24"/>
          <w:highlight w:val="none"/>
        </w:rPr>
        <w:t xml:space="preserve">，从业人员</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人，营业收入为</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万元，资产总额为</w:t>
      </w:r>
      <w:r>
        <w:rPr>
          <w:rFonts w:hint="eastAsia" w:ascii="宋体" w:hAnsi="宋体"/>
          <w:bCs/>
          <w:color w:val="000000" w:themeColor="text1"/>
          <w:sz w:val="24"/>
          <w:highlight w:val="none"/>
          <w:u w:val="single"/>
        </w:rPr>
        <w:t xml:space="preserve"> </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万元，属于</w:t>
      </w:r>
      <w:r>
        <w:rPr>
          <w:rFonts w:hint="eastAsia" w:ascii="宋体" w:hAnsi="宋体"/>
          <w:bCs/>
          <w:color w:val="000000" w:themeColor="text1"/>
          <w:sz w:val="24"/>
          <w:highlight w:val="none"/>
          <w:u w:val="single"/>
        </w:rPr>
        <w:t xml:space="preserve">（中型企业、小型企业、微型企业）</w:t>
      </w:r>
      <w:r>
        <w:rPr>
          <w:rFonts w:hint="eastAsia" w:ascii="宋体" w:hAnsi="宋体"/>
          <w:bCs/>
          <w:color w:val="000000" w:themeColor="text1"/>
          <w:sz w:val="24"/>
          <w:highlight w:val="none"/>
        </w:rPr>
        <w:t xml:space="preserve">；</w:t>
      </w:r>
      <w:r>
        <w:rPr>
          <w:color w:val="000000" w:themeColor="text1"/>
        </w:rPr>
      </w:r>
      <w:r/>
    </w:p>
    <w:p>
      <w:pPr>
        <w:ind w:firstLine="567"/>
        <w:spacing w:line="58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w:t>
      </w:r>
      <w:r>
        <w:rPr>
          <w:color w:val="000000" w:themeColor="text1"/>
        </w:rPr>
      </w:r>
      <w:r/>
    </w:p>
    <w:p>
      <w:pPr>
        <w:ind w:firstLine="567"/>
        <w:spacing w:line="58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rPr>
      </w:r>
      <w:r/>
    </w:p>
    <w:p>
      <w:pPr>
        <w:ind w:firstLine="567"/>
        <w:spacing w:line="58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本企业对上述声明内容的真实性负责，如有虚假，将依法承担相应责任。</w:t>
      </w:r>
      <w:r>
        <w:rPr>
          <w:color w:val="000000" w:themeColor="text1"/>
        </w:rPr>
      </w:r>
      <w:r/>
    </w:p>
    <w:p>
      <w:pPr>
        <w:ind w:firstLine="194"/>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r/>
    </w:p>
    <w:p>
      <w:pPr>
        <w:ind w:right="960" w:firstLine="194"/>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w:t>
      </w:r>
      <w:r>
        <w:rPr>
          <w:rFonts w:ascii="宋体" w:hAnsi="宋体"/>
          <w:bCs/>
          <w:color w:val="000000" w:themeColor="text1"/>
          <w:sz w:val="24"/>
          <w:highlight w:val="none"/>
        </w:rPr>
        <w:t xml:space="preserve">           </w:t>
      </w:r>
      <w:r>
        <w:rPr>
          <w:rFonts w:hint="eastAsia" w:ascii="宋体" w:hAnsi="宋体"/>
          <w:bCs/>
          <w:color w:val="000000" w:themeColor="text1"/>
          <w:sz w:val="24"/>
          <w:highlight w:val="none"/>
        </w:rPr>
        <w:t xml:space="preserve">企业名称（盖章）：</w:t>
      </w:r>
      <w:r>
        <w:rPr>
          <w:color w:val="000000" w:themeColor="text1"/>
        </w:rPr>
      </w:r>
      <w:r/>
    </w:p>
    <w:p>
      <w:pPr>
        <w:ind w:firstLine="194"/>
        <w:jc w:val="right"/>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r/>
    </w:p>
    <w:p>
      <w:pPr>
        <w:ind w:right="960" w:firstLine="52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日期：</w:t>
      </w:r>
      <w:r>
        <w:rPr>
          <w:color w:val="000000" w:themeColor="text1"/>
        </w:rPr>
      </w:r>
      <w:r/>
    </w:p>
    <w:p>
      <w:pPr>
        <w:rPr>
          <w:color w:val="000000" w:themeColor="text1"/>
          <w:sz w:val="24"/>
          <w:highlight w:val="none"/>
        </w:rPr>
      </w:pPr>
      <w:r>
        <w:rPr>
          <w:color w:val="000000" w:themeColor="text1"/>
          <w:sz w:val="24"/>
          <w:highlight w:val="none"/>
        </w:rPr>
      </w:r>
      <w:r>
        <w:rPr>
          <w:color w:val="000000" w:themeColor="text1"/>
        </w:rPr>
      </w:r>
      <w:r/>
    </w:p>
    <w:p>
      <w:pPr>
        <w:pStyle w:val="980"/>
        <w:rPr>
          <w:rFonts w:ascii="宋体" w:hAnsi="宋体" w:cs="@楷体_GB2312"/>
          <w:bCs/>
          <w:color w:val="000000" w:themeColor="text1"/>
          <w:highlight w:val="none"/>
        </w:rPr>
      </w:pPr>
      <w:r>
        <w:rPr>
          <w:rFonts w:hint="eastAsia" w:ascii="宋体" w:hAnsi="宋体" w:cs="@楷体_GB2312"/>
          <w:bCs/>
          <w:color w:val="000000" w:themeColor="text1"/>
          <w:highlight w:val="none"/>
        </w:rPr>
        <w:t xml:space="preserve">1.</w:t>
      </w:r>
      <w:r>
        <w:rPr>
          <w:rFonts w:ascii="宋体" w:hAnsi="宋体" w:cs="@楷体_GB2312"/>
          <w:bCs/>
          <w:color w:val="000000" w:themeColor="text1"/>
          <w:highlight w:val="none"/>
        </w:rPr>
        <w:t xml:space="preserve">从业人员、营业收入、资产总额填报上一年度数据，无上一年度数据的新成立企业</w:t>
      </w:r>
      <w:r>
        <w:rPr>
          <w:rFonts w:hint="eastAsia" w:ascii="宋体" w:hAnsi="宋体" w:cs="@楷体_GB2312"/>
          <w:bCs/>
          <w:color w:val="000000" w:themeColor="text1"/>
          <w:highlight w:val="none"/>
        </w:rPr>
        <w:t xml:space="preserve">可不填报。</w:t>
      </w:r>
      <w:r>
        <w:rPr>
          <w:color w:val="000000" w:themeColor="text1"/>
        </w:rPr>
      </w:r>
      <w:r/>
    </w:p>
    <w:p>
      <w:pPr>
        <w:pStyle w:val="980"/>
        <w:rPr>
          <w:rFonts w:ascii="宋体" w:hAnsi="宋体" w:cs="@楷体_GB2312"/>
          <w:bCs/>
          <w:color w:val="000000" w:themeColor="text1"/>
          <w:highlight w:val="none"/>
        </w:rPr>
      </w:pPr>
      <w:r>
        <w:rPr>
          <w:rFonts w:hint="eastAsia" w:ascii="宋体" w:hAnsi="宋体" w:cs="@楷体_GB2312"/>
          <w:bCs/>
          <w:color w:val="000000" w:themeColor="text1"/>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color w:val="000000" w:themeColor="text1"/>
        </w:rPr>
      </w:r>
      <w:r/>
    </w:p>
    <w:p>
      <w:pPr>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color w:val="000000" w:themeColor="text1"/>
        </w:rPr>
      </w:r>
      <w:r/>
    </w:p>
    <w:p>
      <w:pPr>
        <w:ind w:firstLine="420"/>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（五）（投标人）残疾人福利性单位声明函（格式）：</w:t>
      </w:r>
      <w:r>
        <w:rPr>
          <w:color w:val="000000" w:themeColor="text1"/>
        </w:rPr>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rPr>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rPr>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rPr>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rPr>
      </w:r>
      <w:r/>
    </w:p>
    <w:p>
      <w:pPr>
        <w:ind w:firstLine="480"/>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（六）承诺书（格式）：</w:t>
      </w:r>
      <w:r>
        <w:rPr>
          <w:color w:val="000000" w:themeColor="text1"/>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rPr>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rPr>
      </w:r>
      <w:r/>
    </w:p>
    <w:p>
      <w:pPr>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lang w:eastAsia="zh-CN"/>
        </w:rPr>
        <w:t xml:space="preserve">JSZC-320200-JSZH-G2026-0068</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在此承诺：</w:t>
      </w:r>
      <w:r>
        <w:rPr>
          <w:color w:val="000000" w:themeColor="text1"/>
        </w:rPr>
      </w:r>
      <w:r/>
    </w:p>
    <w:p>
      <w:pPr>
        <w:spacing w:line="48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lang w:eastAsia="zh-CN"/>
        </w:rPr>
        <w:t xml:space="preserve">JSZC-320200-JSZH-G2026-0068</w:t>
      </w:r>
      <w:r>
        <w:rPr>
          <w:rFonts w:hint="eastAsia" w:ascii="宋体" w:hAnsi="宋体"/>
          <w:bCs/>
          <w:color w:val="000000" w:themeColor="text1"/>
          <w:sz w:val="24"/>
          <w:szCs w:val="24"/>
          <w:highlight w:val="none"/>
        </w:rPr>
        <w:t xml:space="preserve">）所提供的服务符合招标文件要求；</w:t>
      </w:r>
      <w:r>
        <w:rPr>
          <w:color w:val="000000" w:themeColor="text1"/>
        </w:rPr>
      </w:r>
      <w:r/>
    </w:p>
    <w:p>
      <w:pPr>
        <w:ind w:firstLine="465"/>
        <w:spacing w:line="360" w:lineRule="auto"/>
        <w:tabs>
          <w:tab w:val="left" w:pos="945"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具备履行合同所必需的人员、设备和专业技术能力；</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olor w:val="000000" w:themeColor="text1"/>
          <w:sz w:val="24"/>
          <w:szCs w:val="24"/>
          <w:highlight w:val="none"/>
        </w:rPr>
        <w:t xml:space="preserve">本公司未被“</w:t>
      </w:r>
      <w:r>
        <w:rPr>
          <w:rFonts w:hint="eastAsia" w:ascii="宋体" w:hAnsi="宋体"/>
          <w:bCs/>
          <w:color w:val="000000" w:themeColor="text1"/>
          <w:sz w:val="24"/>
          <w:szCs w:val="24"/>
          <w:highlight w:val="none"/>
        </w:rPr>
        <w:t xml:space="preserve">信用中国</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网站（</w:t>
      </w:r>
      <w:r>
        <w:rPr>
          <w:color w:val="000000" w:themeColor="text1"/>
          <w:highlight w:val="none"/>
        </w:rPr>
        <w:fldChar w:fldCharType="begin"/>
      </w:r>
      <w:r>
        <w:rPr>
          <w:color w:val="000000" w:themeColor="text1"/>
          <w:highlight w:val="none"/>
        </w:rPr>
        <w:instrText xml:space="preserve"> HYPERLINK "http://www.creditchina.gov.cn" \o "http://www.creditchina.gov.cn" </w:instrText>
      </w:r>
      <w:r>
        <w:rPr>
          <w:color w:val="000000" w:themeColor="text1"/>
          <w:highlight w:val="none"/>
        </w:rPr>
        <w:fldChar w:fldCharType="separate"/>
      </w:r>
      <w:r>
        <w:rPr>
          <w:rStyle w:val="757"/>
          <w:rFonts w:hint="eastAsia" w:ascii="宋体" w:hAnsi="宋体"/>
          <w:bCs/>
          <w:color w:val="000000" w:themeColor="text1"/>
          <w:sz w:val="24"/>
          <w:szCs w:val="24"/>
          <w:highlight w:val="none"/>
        </w:rPr>
        <w:t xml:space="preserve">www.creditchina.gov.cn</w:t>
      </w:r>
      <w:r>
        <w:rPr>
          <w:rStyle w:val="757"/>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000000" w:themeColor="text1"/>
          <w:sz w:val="24"/>
          <w:szCs w:val="24"/>
          <w:highlight w:val="none"/>
        </w:rPr>
        <w:t xml:space="preserve">；</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rPr>
      </w:r>
      <w:r/>
    </w:p>
    <w:p>
      <w:pPr>
        <w:ind w:firstLine="465"/>
        <w:spacing w:line="360" w:lineRule="auto"/>
        <w:tabs>
          <w:tab w:val="left" w:pos="945"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rPr>
      </w:r>
      <w:r/>
    </w:p>
    <w:p>
      <w:pPr>
        <w:ind w:firstLine="96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rPr>
      </w:r>
      <w:r/>
    </w:p>
    <w:p>
      <w:pPr>
        <w:ind w:firstLine="96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将承担一切法律责任。</w:t>
      </w:r>
      <w:r>
        <w:rPr>
          <w:color w:val="000000" w:themeColor="text1"/>
        </w:rPr>
      </w:r>
      <w:r/>
    </w:p>
    <w:p>
      <w:pPr>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rPr>
      </w:r>
      <w:r/>
    </w:p>
    <w:p>
      <w:pPr>
        <w:ind w:firstLine="372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w:t>
      </w:r>
      <w:r>
        <w:rPr>
          <w:rFonts w:hint="eastAsia" w:ascii="宋体" w:hAnsi="宋体"/>
          <w:bCs/>
          <w:color w:val="000000" w:themeColor="text1"/>
          <w:sz w:val="24"/>
          <w:szCs w:val="24"/>
          <w:highlight w:val="none"/>
        </w:rPr>
        <w:t xml:space="preserve">（盖章）：</w:t>
      </w:r>
      <w:r>
        <w:rPr>
          <w:color w:val="000000" w:themeColor="text1"/>
        </w:rPr>
      </w: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rPr>
      </w:r>
      <w:r/>
    </w:p>
    <w:p>
      <w:pPr>
        <w:ind w:firstLine="48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rPr>
      </w:r>
      <w:r/>
    </w:p>
    <w:p>
      <w:pPr>
        <w:ind w:firstLine="420"/>
        <w:spacing w:line="480" w:lineRule="auto"/>
        <w:rPr>
          <w:rFonts w:ascii="宋体"/>
          <w:bCs/>
          <w:color w:val="000000" w:themeColor="text1"/>
          <w:sz w:val="24"/>
          <w:szCs w:val="24"/>
          <w:highlight w:val="none"/>
        </w:rPr>
      </w:pPr>
      <w:r>
        <w:rPr>
          <w:rFonts w:hint="eastAsia" w:ascii="宋体" w:hAnsi="宋体"/>
          <w:bCs/>
          <w:color w:val="000000" w:themeColor="text1"/>
          <w:szCs w:val="21"/>
          <w:highlight w:val="none"/>
        </w:rPr>
        <w:t xml:space="preserve">注：以上内容由投标单位根据采购要求可自行完善。</w:t>
      </w:r>
      <w:r>
        <w:rPr>
          <w:color w:val="000000" w:themeColor="text1"/>
        </w:rPr>
      </w:r>
      <w:r/>
    </w:p>
    <w:p>
      <w:pPr>
        <w:jc w:val="left"/>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（七）开标一览表（格式）：</w:t>
      </w:r>
      <w:r>
        <w:rPr>
          <w:color w:val="000000" w:themeColor="text1"/>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开标一览表</w:t>
      </w:r>
      <w:r>
        <w:rPr>
          <w:color w:val="000000" w:themeColor="text1"/>
        </w:rPr>
      </w:r>
      <w:r/>
    </w:p>
    <w:p>
      <w:pPr>
        <w:spacing w:line="300" w:lineRule="auto"/>
        <w:rPr>
          <w:rFonts w:hint="eastAsia" w:ascii="宋体" w:hAnsi="宋体" w:eastAsia="黑体" w:cs="宋体"/>
          <w:color w:val="000000" w:themeColor="text1"/>
          <w:highlight w:val="none"/>
        </w:rPr>
      </w:pPr>
      <w:r>
        <w:rPr>
          <w:rFonts w:hint="eastAsia" w:ascii="黑体" w:eastAsia="黑体"/>
          <w:bCs/>
          <w:color w:val="000000" w:themeColor="text1"/>
          <w:sz w:val="24"/>
          <w:szCs w:val="24"/>
          <w:highlight w:val="none"/>
        </w:rPr>
        <w:t xml:space="preserve">投标人名称（盖章）                   采购项目编号：</w:t>
      </w:r>
      <w:r>
        <w:rPr>
          <w:rFonts w:hint="eastAsia" w:ascii="黑体" w:eastAsia="黑体"/>
          <w:bCs/>
          <w:color w:val="000000" w:themeColor="text1"/>
          <w:sz w:val="24"/>
          <w:szCs w:val="24"/>
          <w:highlight w:val="none"/>
          <w:lang w:eastAsia="zh-CN"/>
        </w:rPr>
        <w:t xml:space="preserve">JSZC-320200-JSZH-G2026-0068</w:t>
      </w:r>
      <w:r>
        <w:rPr>
          <w:color w:val="000000" w:themeColor="text1"/>
        </w:rPr>
      </w:r>
      <w:r/>
    </w:p>
    <w:tbl>
      <w:tblPr>
        <w:tblStyle w:val="71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color w:val="000000" w:themeColor="text1"/>
              </w:rPr>
            </w:r>
            <w:r/>
          </w:p>
        </w:tc>
        <w:tc>
          <w:tcPr>
            <w:tcW w:w="4798" w:type="dxa"/>
            <w:vAlign w:val="center"/>
            <w:textDirection w:val="lrTb"/>
            <w:noWrap/>
          </w:tcPr>
          <w:p>
            <w:pPr>
              <w:jc w:val="center"/>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投标报价</w:t>
            </w:r>
            <w:r>
              <w:rPr>
                <w:color w:val="000000" w:themeColor="text1"/>
              </w:rPr>
            </w:r>
            <w:r/>
          </w:p>
        </w:tc>
      </w:tr>
      <w:tr>
        <w:trPr>
          <w:cantSplit/>
          <w:jc w:val="center"/>
          <w:trHeight w:val="1229"/>
        </w:trPr>
        <w:tc>
          <w:tcPr>
            <w:tcW w:w="5282" w:type="dxa"/>
            <w:vAlign w:val="center"/>
            <w:textDirection w:val="lrTb"/>
            <w:noWrap/>
          </w:tcPr>
          <w:p>
            <w:pPr>
              <w:pStyle w:val="981"/>
              <w:jc w:val="center"/>
              <w:spacing w:line="400" w:lineRule="exact"/>
              <w:rPr>
                <w:rFonts w:hint="eastAsia" w:hAnsi="宋体" w:eastAsia="宋体"/>
                <w:bCs/>
                <w:color w:val="000000" w:themeColor="text1"/>
                <w:szCs w:val="24"/>
                <w:highlight w:val="none"/>
              </w:rPr>
            </w:pPr>
            <w:r>
              <w:rPr>
                <w:rFonts w:hint="eastAsia" w:ascii="Segoe UI" w:hAnsi="Segoe UI" w:cs="Segoe UI"/>
                <w:color w:val="000000" w:themeColor="text1"/>
                <w:highlight w:val="none"/>
                <w:shd w:val="clear" w:color="auto" w:fill="ffffff"/>
                <w:lang w:eastAsia="zh-CN"/>
              </w:rPr>
              <w:t xml:space="preserve">太湖局元荡水质站提档升级项目</w:t>
            </w:r>
            <w:r>
              <w:rPr>
                <w:color w:val="000000" w:themeColor="text1"/>
              </w:rPr>
            </w:r>
            <w:r/>
          </w:p>
        </w:tc>
        <w:tc>
          <w:tcPr>
            <w:tcW w:w="4798" w:type="dxa"/>
            <w:vAlign w:val="center"/>
            <w:textDirection w:val="lrTb"/>
            <w:noWrap/>
          </w:tcPr>
          <w:p>
            <w:pPr>
              <w:pStyle w:val="981"/>
              <w:spacing w:line="360" w:lineRule="auto"/>
              <w:rPr>
                <w:rFonts w:hAnsi="宋体"/>
                <w:bCs/>
                <w:color w:val="000000" w:themeColor="text1"/>
                <w:szCs w:val="24"/>
                <w:highlight w:val="none"/>
              </w:rPr>
            </w:pPr>
            <w:r>
              <w:rPr>
                <w:rFonts w:hint="eastAsia" w:hAnsi="宋体"/>
                <w:bCs/>
                <w:color w:val="000000" w:themeColor="text1"/>
                <w:szCs w:val="24"/>
                <w:highlight w:val="none"/>
              </w:rPr>
              <w:t xml:space="preserve">投标报价（小写）：</w:t>
            </w:r>
            <w:r>
              <w:rPr>
                <w:rFonts w:hint="eastAsia" w:hAnsi="宋体"/>
                <w:bCs/>
                <w:color w:val="000000" w:themeColor="text1"/>
                <w:szCs w:val="24"/>
                <w:highlight w:val="none"/>
                <w:u w:val="single"/>
              </w:rPr>
              <w:t xml:space="preserve">             </w:t>
            </w:r>
            <w:r>
              <w:rPr>
                <w:rFonts w:hint="eastAsia" w:hAnsi="宋体"/>
                <w:bCs/>
                <w:color w:val="000000" w:themeColor="text1"/>
                <w:szCs w:val="24"/>
                <w:highlight w:val="none"/>
              </w:rPr>
              <w:t xml:space="preserve">元</w:t>
            </w:r>
            <w:r>
              <w:rPr>
                <w:color w:val="000000" w:themeColor="text1"/>
              </w:rPr>
            </w:r>
            <w:r/>
          </w:p>
          <w:p>
            <w:pPr>
              <w:pStyle w:val="981"/>
              <w:spacing w:line="360" w:lineRule="auto"/>
              <w:rPr>
                <w:bCs/>
                <w:color w:val="000000" w:themeColor="text1"/>
                <w:highlight w:val="none"/>
              </w:rPr>
            </w:pPr>
            <w:r>
              <w:rPr>
                <w:rFonts w:hint="eastAsia" w:hAnsi="宋体"/>
                <w:bCs/>
                <w:color w:val="000000" w:themeColor="text1"/>
                <w:szCs w:val="24"/>
                <w:highlight w:val="none"/>
              </w:rPr>
              <w:t xml:space="preserve">投标报价（大写）：</w:t>
            </w:r>
            <w:r>
              <w:rPr>
                <w:rFonts w:hint="eastAsia" w:hAnsi="宋体"/>
                <w:bCs/>
                <w:color w:val="000000" w:themeColor="text1"/>
                <w:szCs w:val="24"/>
                <w:highlight w:val="none"/>
                <w:u w:val="single"/>
              </w:rPr>
              <w:t xml:space="preserve"> </w:t>
            </w:r>
            <w:r>
              <w:rPr>
                <w:rFonts w:hint="eastAsia" w:hAnsi="宋体"/>
                <w:bCs/>
                <w:color w:val="000000" w:themeColor="text1"/>
                <w:szCs w:val="24"/>
                <w:highlight w:val="none"/>
                <w:u w:val="single"/>
                <w:lang w:val="en-US" w:eastAsia="zh-CN"/>
              </w:rPr>
              <w:t xml:space="preserve">     </w:t>
            </w:r>
            <w:r>
              <w:rPr>
                <w:rFonts w:hint="eastAsia"/>
                <w:bCs/>
                <w:color w:val="000000" w:themeColor="text1"/>
                <w:highlight w:val="none"/>
                <w:u w:val="single"/>
              </w:rPr>
              <w:t xml:space="preserve">      </w:t>
            </w:r>
            <w:r>
              <w:rPr>
                <w:rFonts w:hint="eastAsia"/>
                <w:bCs/>
                <w:color w:val="000000" w:themeColor="text1"/>
                <w:highlight w:val="none"/>
              </w:rPr>
              <w:t xml:space="preserve">元</w:t>
            </w:r>
            <w:r>
              <w:rPr>
                <w:color w:val="000000" w:themeColor="text1"/>
              </w:rPr>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合同履行期限</w:t>
            </w:r>
            <w:r>
              <w:rPr>
                <w:rFonts w:hint="eastAsia" w:ascii="宋体" w:hAnsi="宋体"/>
                <w:color w:val="000000" w:themeColor="text1"/>
                <w:sz w:val="24"/>
                <w:highlight w:val="none"/>
              </w:rPr>
              <w:t xml:space="preserve">：</w:t>
            </w:r>
            <w:r>
              <w:rPr>
                <w:color w:val="000000" w:themeColor="text1"/>
              </w:rPr>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质量标准：</w:t>
            </w:r>
            <w:r>
              <w:rPr>
                <w:color w:val="000000" w:themeColor="text1"/>
              </w:rPr>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质保期：</w:t>
            </w:r>
            <w:r>
              <w:rPr>
                <w:color w:val="000000" w:themeColor="text1"/>
              </w:rPr>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000000" w:themeColor="text1"/>
                <w:sz w:val="24"/>
                <w:highlight w:val="none"/>
              </w:rPr>
            </w:pPr>
            <w:r>
              <w:rPr>
                <w:rFonts w:hint="eastAsia" w:asciiTheme="minorEastAsia" w:hAnsiTheme="minorEastAsia" w:eastAsiaTheme="minorEastAsia" w:cstheme="minorEastAsia"/>
                <w:color w:val="000000" w:themeColor="text1"/>
                <w:sz w:val="24"/>
                <w:szCs w:val="24"/>
                <w:highlight w:val="none"/>
              </w:rPr>
              <w:t xml:space="preserve">服务响应</w:t>
            </w:r>
            <w:r>
              <w:rPr>
                <w:rFonts w:hint="eastAsia" w:ascii="宋体" w:hAnsi="宋体" w:cs="宋体"/>
                <w:color w:val="000000" w:themeColor="text1"/>
                <w:sz w:val="24"/>
                <w:highlight w:val="none"/>
              </w:rPr>
              <w:t xml:space="preserve">：</w:t>
            </w:r>
            <w:r>
              <w:rPr>
                <w:color w:val="000000" w:themeColor="text1"/>
              </w:rPr>
            </w:r>
            <w:r/>
          </w:p>
        </w:tc>
      </w:tr>
    </w:tbl>
    <w:p>
      <w:pPr>
        <w:spacing w:before="5"/>
        <w:rPr>
          <w:b/>
          <w:bCs/>
          <w:color w:val="000000" w:themeColor="text1"/>
          <w:sz w:val="24"/>
          <w:szCs w:val="24"/>
          <w:highlight w:val="none"/>
        </w:rPr>
      </w:pPr>
      <w:r>
        <w:rPr>
          <w:b/>
          <w:bCs/>
          <w:color w:val="000000" w:themeColor="text1"/>
          <w:sz w:val="24"/>
          <w:szCs w:val="24"/>
          <w:highlight w:val="none"/>
        </w:rPr>
      </w:r>
      <w:r>
        <w:rPr>
          <w:color w:val="000000" w:themeColor="text1"/>
        </w:rPr>
      </w:r>
      <w:r/>
    </w:p>
    <w:p>
      <w:pPr>
        <w:spacing w:before="5"/>
        <w:rPr>
          <w:b/>
          <w:bCs/>
          <w:color w:val="000000" w:themeColor="text1"/>
          <w:sz w:val="24"/>
          <w:szCs w:val="24"/>
          <w:highlight w:val="none"/>
        </w:rPr>
      </w:pPr>
      <w:r>
        <w:rPr>
          <w:rFonts w:hint="eastAsia"/>
          <w:b/>
          <w:bCs/>
          <w:color w:val="000000" w:themeColor="text1"/>
          <w:sz w:val="24"/>
          <w:szCs w:val="24"/>
          <w:highlight w:val="none"/>
        </w:rPr>
        <w:t xml:space="preserve">法定代表人或法定代表人授权代表签字或盖章：</w:t>
      </w:r>
      <w:r>
        <w:rPr>
          <w:color w:val="000000" w:themeColor="text1"/>
        </w:rPr>
      </w:r>
      <w:r/>
    </w:p>
    <w:p>
      <w:pPr>
        <w:spacing w:line="400" w:lineRule="exact"/>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rPr>
      </w:r>
      <w:r/>
    </w:p>
    <w:p>
      <w:pPr>
        <w:spacing w:line="5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填写说明：</w:t>
      </w:r>
      <w:r>
        <w:rPr>
          <w:color w:val="000000" w:themeColor="text1"/>
        </w:rPr>
      </w:r>
      <w:r/>
    </w:p>
    <w:p>
      <w:pPr>
        <w:spacing w:line="5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1.评标时一律按开标一览表中内容为准，开标一览表中必须盖章或签字。</w:t>
      </w:r>
      <w:r>
        <w:rPr>
          <w:color w:val="000000" w:themeColor="text1"/>
        </w:rPr>
      </w:r>
      <w:r/>
    </w:p>
    <w:p>
      <w:pPr>
        <w:spacing w:line="500" w:lineRule="exact"/>
        <w:rPr>
          <w:rFonts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2.供应商的投标报价的总额应是供应商在报价文件中提出的各项支付金额的总和，也应是完成投标文件所列采购需求的全部费用。</w:t>
      </w:r>
      <w:r>
        <w:rPr>
          <w:color w:val="000000" w:themeColor="text1"/>
        </w:rPr>
      </w:r>
      <w:r/>
    </w:p>
    <w:p>
      <w:pPr>
        <w:rPr>
          <w:rFonts w:ascii="宋体" w:hAnsi="宋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（八）报价明细表（格式）：</w:t>
      </w:r>
      <w:r>
        <w:rPr>
          <w:color w:val="000000" w:themeColor="text1"/>
        </w:rPr>
      </w:r>
      <w:r/>
    </w:p>
    <w:p>
      <w:pPr>
        <w:jc w:val="center"/>
        <w:spacing w:line="400" w:lineRule="exact"/>
        <w:rPr>
          <w:rFonts w:ascii="宋体" w:hAnsi="宋体"/>
          <w:bCs/>
          <w:color w:val="000000" w:themeColor="text1"/>
          <w:sz w:val="28"/>
          <w:szCs w:val="28"/>
          <w:highlight w:val="none"/>
        </w:rPr>
      </w:pPr>
      <w:r>
        <w:rPr>
          <w:rFonts w:hint="eastAsia" w:ascii="宋体" w:hAnsi="宋体"/>
          <w:bCs/>
          <w:color w:val="000000" w:themeColor="text1"/>
          <w:sz w:val="28"/>
          <w:szCs w:val="28"/>
          <w:highlight w:val="none"/>
        </w:rPr>
        <w:t xml:space="preserve">报价明细表</w:t>
      </w:r>
      <w:r>
        <w:rPr>
          <w:color w:val="000000" w:themeColor="text1"/>
        </w:rPr>
      </w:r>
      <w:r/>
    </w:p>
    <w:p>
      <w:pPr>
        <w:spacing w:line="4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投标供应商名称（盖章）                      采购项目编号：</w:t>
      </w:r>
      <w:r>
        <w:rPr>
          <w:color w:val="000000" w:themeColor="text1"/>
        </w:rPr>
      </w:r>
      <w:r/>
    </w:p>
    <w:p>
      <w:pPr>
        <w:pStyle w:val="1008"/>
        <w:ind w:firstLine="0"/>
        <w:jc w:val="center"/>
        <w:rPr>
          <w:rFonts w:ascii="宋体" w:hAnsi="宋体"/>
          <w:b/>
          <w:color w:val="000000" w:themeColor="text1"/>
          <w:szCs w:val="24"/>
          <w:highlight w:val="none"/>
        </w:rPr>
      </w:pPr>
      <w:r>
        <w:rPr>
          <w:rFonts w:ascii="宋体" w:hAnsi="宋体"/>
          <w:b/>
          <w:color w:val="000000" w:themeColor="text1"/>
          <w:szCs w:val="24"/>
          <w:highlight w:val="none"/>
        </w:rPr>
      </w:r>
      <w:r>
        <w:rPr>
          <w:color w:val="000000" w:themeColor="text1"/>
        </w:rPr>
      </w:r>
      <w:r/>
    </w:p>
    <w:tbl>
      <w:tblPr>
        <w:tblStyle w:val="712"/>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2"/>
        <w:gridCol w:w="2267"/>
        <w:gridCol w:w="2312"/>
      </w:tblGrid>
      <w:tr>
        <w:trPr>
          <w:jc w:val="center"/>
          <w:trHeight w:val="1400"/>
          <w:tblHeader/>
        </w:trPr>
        <w:tc>
          <w:tcPr>
            <w:tcW w:w="45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
                <w:bCs/>
                <w:color w:val="000000" w:themeColor="text1"/>
                <w:szCs w:val="21"/>
                <w:highlight w:val="none"/>
              </w:rPr>
              <w:suppressLineNumbers w:val="0"/>
            </w:pPr>
            <w:r>
              <w:rPr>
                <w:rFonts w:hint="eastAsia" w:ascii="宋体" w:hAnsi="宋体"/>
                <w:b/>
                <w:bCs/>
                <w:color w:val="000000" w:themeColor="text1"/>
                <w:szCs w:val="21"/>
                <w:highlight w:val="none"/>
              </w:rPr>
              <w:t xml:space="preserve">建设</w:t>
            </w:r>
            <w:r>
              <w:rPr>
                <w:rFonts w:hint="default" w:ascii="宋体" w:hAnsi="宋体"/>
                <w:b/>
                <w:bCs/>
                <w:color w:val="000000" w:themeColor="text1"/>
                <w:szCs w:val="21"/>
                <w:highlight w:val="none"/>
              </w:rPr>
              <w:t xml:space="preserve">内容</w:t>
            </w:r>
            <w:r>
              <w:rPr>
                <w:color w:val="000000" w:themeColor="text1"/>
              </w:rPr>
            </w:r>
            <w:r/>
          </w:p>
        </w:tc>
        <w:tc>
          <w:tcPr>
            <w:tcW w:w="22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bCs/>
                <w:color w:val="000000" w:themeColor="text1"/>
                <w:szCs w:val="21"/>
                <w:highlight w:val="none"/>
              </w:rPr>
              <w:suppressLineNumbers w:val="0"/>
            </w:pPr>
            <w:r>
              <w:rPr>
                <w:rFonts w:hint="eastAsia" w:ascii="宋体" w:hAnsi="宋体"/>
                <w:b/>
                <w:bCs/>
                <w:color w:val="000000" w:themeColor="text1"/>
                <w:szCs w:val="21"/>
                <w:highlight w:val="none"/>
                <w:lang w:val="en-US" w:eastAsia="zh-CN"/>
              </w:rPr>
              <w:t xml:space="preserve">建安工程费</w:t>
            </w:r>
            <w:r>
              <w:rPr>
                <w:rFonts w:hint="eastAsia" w:ascii="宋体" w:hAnsi="宋体"/>
                <w:b/>
                <w:bCs/>
                <w:color w:val="000000" w:themeColor="text1"/>
                <w:szCs w:val="21"/>
                <w:highlight w:val="none"/>
              </w:rPr>
              <w:t xml:space="preserve">（元）</w:t>
            </w:r>
            <w:r>
              <w:rPr>
                <w:color w:val="000000" w:themeColor="text1"/>
              </w:rPr>
            </w:r>
            <w:r/>
          </w:p>
        </w:tc>
        <w:tc>
          <w:tcPr>
            <w:tcW w:w="23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
                <w:bCs/>
                <w:color w:val="000000" w:themeColor="text1"/>
                <w:szCs w:val="21"/>
                <w:highlight w:val="none"/>
              </w:rPr>
              <w:suppressLineNumbers w:val="0"/>
            </w:pPr>
            <w:r>
              <w:rPr>
                <w:rFonts w:hint="eastAsia" w:ascii="宋体" w:hAnsi="宋体"/>
                <w:b/>
                <w:bCs/>
                <w:color w:val="000000" w:themeColor="text1"/>
                <w:szCs w:val="21"/>
                <w:highlight w:val="none"/>
                <w:lang w:val="en-US" w:eastAsia="zh-CN"/>
              </w:rPr>
              <w:t xml:space="preserve">设备费（元）</w:t>
            </w:r>
            <w:r>
              <w:rPr>
                <w:color w:val="000000" w:themeColor="text1"/>
              </w:rPr>
            </w:r>
            <w:r/>
          </w:p>
        </w:tc>
      </w:tr>
      <w:tr>
        <w:trPr>
          <w:jc w:val="center"/>
          <w:trHeight w:val="1452"/>
        </w:trPr>
        <w:tc>
          <w:tcPr>
            <w:tcW w:w="45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
                <w:color w:val="000000" w:themeColor="text1"/>
                <w:szCs w:val="20"/>
                <w:highlight w:val="none"/>
              </w:rPr>
              <w:suppressLineNumbers w:val="0"/>
            </w:pPr>
            <w:r>
              <w:rPr>
                <w:rFonts w:hint="eastAsia" w:ascii="Segoe UI" w:hAnsi="Segoe UI" w:cs="Segoe UI"/>
                <w:color w:val="000000" w:themeColor="text1"/>
                <w:highlight w:val="none"/>
                <w:shd w:val="clear" w:color="auto" w:fill="ffffff"/>
                <w:lang w:eastAsia="zh-CN"/>
              </w:rPr>
              <w:t xml:space="preserve">太湖局元荡水质站提档升级</w:t>
            </w:r>
            <w:r>
              <w:rPr>
                <w:color w:val="000000" w:themeColor="text1"/>
              </w:rPr>
            </w:r>
            <w:r/>
          </w:p>
        </w:tc>
        <w:tc>
          <w:tcPr>
            <w:tcW w:w="22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000000" w:themeColor="text1"/>
                <w:szCs w:val="21"/>
                <w:highlight w:val="none"/>
              </w:rPr>
              <w:suppressLineNumbers w:val="0"/>
            </w:pPr>
            <w:r>
              <w:rPr>
                <w:rFonts w:hint="default" w:ascii="宋体" w:hAnsi="宋体"/>
                <w:color w:val="000000" w:themeColor="text1"/>
                <w:szCs w:val="21"/>
                <w:highlight w:val="none"/>
              </w:rPr>
            </w:r>
            <w:r>
              <w:rPr>
                <w:color w:val="000000" w:themeColor="text1"/>
              </w:rPr>
            </w:r>
            <w:r/>
          </w:p>
        </w:tc>
        <w:tc>
          <w:tcPr>
            <w:tcW w:w="23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000000" w:themeColor="text1"/>
                <w:szCs w:val="21"/>
                <w:highlight w:val="none"/>
              </w:rPr>
              <w:suppressLineNumbers w:val="0"/>
            </w:pPr>
            <w:r>
              <w:rPr>
                <w:rFonts w:hint="default" w:ascii="宋体" w:hAnsi="宋体"/>
                <w:color w:val="000000" w:themeColor="text1"/>
                <w:szCs w:val="21"/>
                <w:highlight w:val="none"/>
              </w:rPr>
            </w:r>
            <w:r>
              <w:rPr>
                <w:color w:val="000000" w:themeColor="text1"/>
              </w:rPr>
            </w:r>
            <w:r/>
          </w:p>
        </w:tc>
      </w:tr>
      <w:tr>
        <w:trPr>
          <w:jc w:val="center"/>
          <w:trHeight w:val="1458"/>
        </w:trPr>
        <w:tc>
          <w:tcPr>
            <w:tcW w:w="45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b/>
                <w:bCs/>
                <w:color w:val="000000" w:themeColor="text1"/>
                <w:szCs w:val="21"/>
                <w:highlight w:val="none"/>
              </w:rPr>
              <w:suppressLineNumbers w:val="0"/>
            </w:pPr>
            <w:r>
              <w:rPr>
                <w:rFonts w:hint="eastAsia" w:ascii="宋体" w:hAnsi="宋体"/>
                <w:b/>
                <w:bCs/>
                <w:color w:val="000000" w:themeColor="text1"/>
                <w:szCs w:val="21"/>
                <w:highlight w:val="none"/>
              </w:rPr>
              <w:t xml:space="preserve">总计</w:t>
            </w:r>
            <w:r>
              <w:rPr>
                <w:color w:val="000000" w:themeColor="text1"/>
              </w:rPr>
            </w:r>
            <w:r/>
          </w:p>
        </w:tc>
        <w:tc>
          <w:tcPr>
            <w:gridSpan w:val="2"/>
            <w:tcW w:w="457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000000" w:themeColor="text1"/>
                <w:szCs w:val="21"/>
                <w:highlight w:val="none"/>
              </w:rPr>
              <w:suppressLineNumbers w:val="0"/>
            </w:pPr>
            <w:r>
              <w:rPr>
                <w:rFonts w:hint="default" w:ascii="宋体" w:hAnsi="宋体"/>
                <w:color w:val="000000" w:themeColor="text1"/>
                <w:szCs w:val="21"/>
                <w:highlight w:val="none"/>
              </w:rPr>
            </w:r>
            <w:r>
              <w:rPr>
                <w:color w:val="000000" w:themeColor="text1"/>
              </w:rPr>
            </w:r>
            <w:r/>
          </w:p>
        </w:tc>
      </w:tr>
    </w:tbl>
    <w:p>
      <w:pPr>
        <w:pStyle w:val="1008"/>
        <w:ind w:firstLine="0"/>
        <w:jc w:val="center"/>
        <w:rPr>
          <w:rFonts w:ascii="宋体" w:hAnsi="宋体"/>
          <w:b/>
          <w:color w:val="000000" w:themeColor="text1"/>
          <w:szCs w:val="24"/>
          <w:highlight w:val="none"/>
        </w:rPr>
      </w:pPr>
      <w:r>
        <w:rPr>
          <w:rFonts w:ascii="宋体" w:hAnsi="宋体"/>
          <w:b/>
          <w:color w:val="000000" w:themeColor="text1"/>
          <w:szCs w:val="24"/>
          <w:highlight w:val="none"/>
        </w:rPr>
      </w:r>
      <w:r>
        <w:rPr>
          <w:color w:val="000000" w:themeColor="text1"/>
        </w:rPr>
      </w:r>
      <w:r/>
    </w:p>
    <w:p>
      <w:pPr>
        <w:pStyle w:val="1008"/>
        <w:ind w:firstLine="0"/>
        <w:jc w:val="center"/>
        <w:rPr>
          <w:rFonts w:ascii="宋体" w:hAnsi="宋体"/>
          <w:b/>
          <w:color w:val="000000" w:themeColor="text1"/>
          <w:szCs w:val="24"/>
          <w:highlight w:val="none"/>
        </w:rPr>
      </w:pPr>
      <w:r>
        <w:rPr>
          <w:rFonts w:ascii="宋体" w:hAnsi="宋体"/>
          <w:b/>
          <w:color w:val="000000" w:themeColor="text1"/>
          <w:szCs w:val="24"/>
          <w:highlight w:val="none"/>
        </w:rPr>
      </w:r>
      <w:r>
        <w:rPr>
          <w:color w:val="000000" w:themeColor="text1"/>
        </w:rPr>
      </w:r>
      <w:r/>
    </w:p>
    <w:p>
      <w:pPr>
        <w:jc w:val="center"/>
        <w:rPr>
          <w:rFonts w:ascii="宋体" w:hAnsi="宋体" w:cs="宋体"/>
          <w:b/>
          <w:bCs/>
          <w:color w:val="000000" w:themeColor="text1"/>
          <w:sz w:val="24"/>
          <w:szCs w:val="22"/>
          <w:highlight w:val="none"/>
        </w:rPr>
      </w:pPr>
      <w:r>
        <w:rPr>
          <w:rFonts w:hint="eastAsia" w:ascii="宋体" w:hAnsi="宋体" w:cs="宋体"/>
          <w:b/>
          <w:bCs/>
          <w:color w:val="000000" w:themeColor="text1"/>
          <w:sz w:val="24"/>
          <w:szCs w:val="22"/>
          <w:highlight w:val="none"/>
          <w:lang w:eastAsia="zh-CN"/>
        </w:rPr>
        <w:t xml:space="preserve">5.1太湖局元荡水质站提档升级项目</w:t>
      </w:r>
      <w:r>
        <w:rPr>
          <w:rFonts w:hint="eastAsia" w:ascii="宋体" w:hAnsi="宋体" w:cs="宋体"/>
          <w:b/>
          <w:bCs/>
          <w:color w:val="000000" w:themeColor="text1"/>
          <w:sz w:val="24"/>
          <w:szCs w:val="22"/>
          <w:highlight w:val="none"/>
        </w:rPr>
        <w:t xml:space="preserve">清单报价表</w:t>
      </w:r>
      <w:r>
        <w:rPr>
          <w:color w:val="000000" w:themeColor="text1"/>
        </w:rPr>
      </w:r>
      <w:r/>
    </w:p>
    <w:tbl>
      <w:tblPr>
        <w:tblStyle w:val="712"/>
        <w:tblW w:w="10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1656"/>
        <w:gridCol w:w="2976"/>
        <w:gridCol w:w="710"/>
        <w:gridCol w:w="997"/>
        <w:gridCol w:w="991"/>
        <w:gridCol w:w="952"/>
        <w:gridCol w:w="725"/>
      </w:tblGrid>
      <w:tr>
        <w:trPr>
          <w:jc w:val="center"/>
          <w:trHeight w:val="529"/>
        </w:trPr>
        <w:tc>
          <w:tcPr>
            <w:shd w:val="clear" w:color="auto" w:fill="ffffff"/>
            <w:tcBorders>
              <w:top w:val="single" w:color="000000" w:sz="8"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rPr>
                <w:color w:val="000000" w:themeColor="text1"/>
              </w:rPr>
            </w:r>
            <w:r/>
          </w:p>
        </w:tc>
        <w:tc>
          <w:tcPr>
            <w:shd w:val="clear" w:color="auto" w:fill="ffffff"/>
            <w:tcBorders>
              <w:top w:val="single" w:color="000000" w:sz="8"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项目编码</w:t>
            </w:r>
            <w:r>
              <w:rPr>
                <w:color w:val="000000" w:themeColor="text1"/>
              </w:rPr>
            </w:r>
            <w:r/>
          </w:p>
        </w:tc>
        <w:tc>
          <w:tcPr>
            <w:shd w:val="clear" w:color="auto" w:fill="ffffff"/>
            <w:tcBorders>
              <w:top w:val="single" w:color="000000" w:sz="8"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项目名称</w:t>
            </w:r>
            <w:r>
              <w:rPr>
                <w:color w:val="000000" w:themeColor="text1"/>
              </w:rPr>
            </w:r>
            <w:r/>
          </w:p>
        </w:tc>
        <w:tc>
          <w:tcPr>
            <w:shd w:val="clear" w:color="auto" w:fill="ffffff"/>
            <w:tcBorders>
              <w:top w:val="single" w:color="000000" w:sz="8"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计量单位</w:t>
            </w:r>
            <w:r>
              <w:rPr>
                <w:color w:val="000000" w:themeColor="text1"/>
              </w:rPr>
            </w:r>
            <w:r/>
          </w:p>
        </w:tc>
        <w:tc>
          <w:tcPr>
            <w:shd w:val="clear" w:color="auto" w:fill="ffffff"/>
            <w:tcBorders>
              <w:top w:val="single" w:color="000000" w:sz="8"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工程数量</w:t>
            </w:r>
            <w:r>
              <w:rPr>
                <w:color w:val="000000" w:themeColor="text1"/>
              </w:rPr>
            </w:r>
            <w:r/>
          </w:p>
        </w:tc>
        <w:tc>
          <w:tcPr>
            <w:shd w:val="clear" w:color="auto" w:fill="ffffff"/>
            <w:tcBorders>
              <w:top w:val="single" w:color="000000" w:sz="8"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单价（元）</w:t>
            </w:r>
            <w:r>
              <w:rPr>
                <w:color w:val="000000" w:themeColor="text1"/>
              </w:rPr>
            </w:r>
            <w:r/>
          </w:p>
        </w:tc>
        <w:tc>
          <w:tcPr>
            <w:shd w:val="clear" w:color="auto" w:fill="ffffff"/>
            <w:tcBorders>
              <w:top w:val="single" w:color="000000" w:sz="8"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合价（元）</w:t>
            </w:r>
            <w:r>
              <w:rPr>
                <w:color w:val="000000" w:themeColor="text1"/>
              </w:rPr>
            </w:r>
            <w:r/>
          </w:p>
        </w:tc>
        <w:tc>
          <w:tcPr>
            <w:shd w:val="clear" w:color="auto" w:fill="ffffff"/>
            <w:tcBorders>
              <w:top w:val="single" w:color="000000" w:sz="8"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备注</w:t>
            </w:r>
            <w:r>
              <w:rPr>
                <w:color w:val="000000" w:themeColor="text1"/>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01B001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测站标志（400*600mm）</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1.基层材料种类:1.5mm 304拉丝不锈钢本色</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2.面层材料种类:平面内容腐蚀填漆</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3.其他:其他未尽事宜，详见图纸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01B002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警示标志（600*900mm）</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1.基层材料种类:1.5mm 304拉丝不锈钢本色</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2.面层材料种类:平面内容腐蚀填漆</w:t>
            </w:r>
            <w:r>
              <w:rPr>
                <w:color w:val="000000" w:themeColor="text1"/>
              </w:rPr>
            </w:r>
            <w:r/>
          </w:p>
          <w:p>
            <w:pPr>
              <w:jc w:val="center"/>
              <w:widowControl/>
              <w:rPr>
                <w:rFonts w:hint="eastAsia"/>
                <w:color w:val="000000" w:themeColor="text1"/>
                <w:highlight w:val="none"/>
              </w:rPr>
            </w:pPr>
            <w:r>
              <w:rPr>
                <w:rFonts w:hint="eastAsia" w:ascii="宋体" w:hAnsi="宋体" w:eastAsia="宋体" w:cs="宋体"/>
                <w:color w:val="000000" w:themeColor="text1"/>
                <w:sz w:val="24"/>
                <w:szCs w:val="24"/>
                <w:highlight w:val="none"/>
                <w:u w:val="none"/>
                <w:lang w:val="en-US" w:eastAsia="zh-CN" w:bidi="ar"/>
              </w:rPr>
              <w:t xml:space="preserve">3.其他:其他未尽事宜，详见图纸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1883"/>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01B003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原站点拆除外运</w:t>
            </w:r>
            <w:r>
              <w:rPr>
                <w:color w:val="000000" w:themeColor="text1"/>
              </w:rPr>
            </w:r>
            <w:r/>
          </w:p>
          <w:p>
            <w:pPr>
              <w:jc w:val="center"/>
              <w:widowControl/>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
              </w:rPr>
              <w:t xml:space="preserve">1.原站点浮标及锚碇等拆除</w:t>
            </w:r>
            <w:r>
              <w:rPr>
                <w:color w:val="000000" w:themeColor="text1"/>
              </w:rPr>
            </w:r>
            <w:r/>
          </w:p>
          <w:p>
            <w:pPr>
              <w:jc w:val="center"/>
              <w:widowControl/>
              <w:rPr>
                <w:rFonts w:hint="default"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bidi="ar"/>
              </w:rPr>
              <w:t xml:space="preserve">2.运输至太浦河水文基地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779"/>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01B004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立杆安装</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1、摄像机设备立杆安装</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2、直径140mm，高2800mm，热镀锌，表面氟碳漆</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3、其他未尽事宜详见图纸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779"/>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010502024001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widowControl/>
              <w:rPr>
                <w:rFonts w:hint="eastAsia"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lang w:val="en-US" w:eastAsia="zh-CN" w:bidi="ar"/>
              </w:rPr>
              <w:t xml:space="preserve">填充混凝土</w:t>
            </w:r>
            <w:r>
              <w:rPr>
                <w:color w:val="000000" w:themeColor="text1"/>
              </w:rPr>
            </w:r>
            <w:r/>
          </w:p>
          <w:p>
            <w:pPr>
              <w:jc w:val="center"/>
              <w:widowControl/>
              <w:rPr>
                <w:rFonts w:hint="eastAsia"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lang w:val="en-US" w:eastAsia="zh-CN" w:bidi="ar"/>
              </w:rPr>
              <w:t xml:space="preserve">1.混凝土种类：商品砼</w:t>
            </w:r>
            <w:r>
              <w:rPr>
                <w:color w:val="000000" w:themeColor="text1"/>
              </w:rPr>
            </w:r>
            <w:r/>
          </w:p>
          <w:p>
            <w:pPr>
              <w:jc w:val="center"/>
              <w:widowControl/>
              <w:rPr>
                <w:rFonts w:hint="eastAsia"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lang w:val="en-US" w:eastAsia="zh-CN" w:bidi="ar"/>
              </w:rPr>
              <w:t xml:space="preserve">2.混凝土强度等级：C30</w:t>
            </w:r>
            <w:r>
              <w:rPr>
                <w:color w:val="000000" w:themeColor="text1"/>
              </w:rPr>
            </w:r>
            <w:r/>
          </w:p>
          <w:p>
            <w:pPr>
              <w:jc w:val="center"/>
              <w:widowControl/>
              <w:rPr>
                <w:rFonts w:hint="eastAsia"/>
                <w:color w:val="000000" w:themeColor="text1"/>
                <w:highlight w:val="none"/>
              </w:rPr>
            </w:pPr>
            <w:r>
              <w:rPr>
                <w:rFonts w:hint="eastAsia" w:ascii="宋体" w:hAnsi="宋体" w:cs="宋体"/>
                <w:color w:val="000000" w:themeColor="text1"/>
                <w:sz w:val="24"/>
                <w:szCs w:val="24"/>
                <w:highlight w:val="none"/>
                <w:u w:val="none"/>
                <w:lang w:val="en-US" w:eastAsia="zh-CN" w:bidi="ar"/>
              </w:rPr>
              <w:t xml:space="preserve">3.填充部位：钢管桩内</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rPr>
              <w:t xml:space="preserve">m</w:t>
            </w:r>
            <w:r>
              <w:rPr>
                <w:rFonts w:hint="eastAsia" w:ascii="宋体" w:hAnsi="宋体" w:cs="宋体"/>
                <w:i w:val="0"/>
                <w:iCs w:val="0"/>
                <w:color w:val="000000" w:themeColor="text1"/>
                <w:sz w:val="24"/>
                <w:szCs w:val="24"/>
                <w:highlight w:val="none"/>
                <w:u w:val="none"/>
                <w:vertAlign w:val="superscript"/>
                <w:lang w:val="en-US" w:eastAsia="zh-CN"/>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010301003001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钢管桩</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1.材质：镀锌无缝钢管Q335B</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2.管径、壁厚：φ325*10mm</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3、两道防锈漆表面涂装氯化橡胶漆二底二中二面</w:t>
            </w:r>
            <w:r>
              <w:rPr>
                <w:color w:val="000000" w:themeColor="text1"/>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4、其他未尽事宜详见图纸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1898"/>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010604001001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widowControl/>
              <w:rPr>
                <w:rFonts w:hint="eastAsia"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lang w:val="en-US" w:eastAsia="zh-CN" w:bidi="ar"/>
              </w:rPr>
              <w:t xml:space="preserve">钢梁</w:t>
            </w:r>
            <w:r>
              <w:rPr>
                <w:color w:val="000000" w:themeColor="text1"/>
              </w:rPr>
            </w:r>
            <w:r/>
          </w:p>
          <w:p>
            <w:pPr>
              <w:jc w:val="center"/>
              <w:widowControl/>
              <w:rPr>
                <w:rFonts w:hint="eastAsia"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lang w:val="en-US" w:eastAsia="zh-CN" w:bidi="ar"/>
              </w:rPr>
              <w:t xml:space="preserve">1.钢材品种、规格：Q355B型钢</w:t>
            </w:r>
            <w:r>
              <w:rPr>
                <w:color w:val="000000" w:themeColor="text1"/>
              </w:rPr>
            </w:r>
            <w:r/>
          </w:p>
          <w:p>
            <w:pPr>
              <w:jc w:val="center"/>
              <w:widowControl/>
              <w:rPr>
                <w:rFonts w:hint="eastAsia"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lang w:val="en-US" w:eastAsia="zh-CN" w:bidi="ar"/>
              </w:rPr>
              <w:t xml:space="preserve">2.构件涂(镀)层要求：镀锌</w:t>
            </w:r>
            <w:r>
              <w:rPr>
                <w:color w:val="000000" w:themeColor="text1"/>
              </w:rPr>
            </w:r>
            <w:r/>
          </w:p>
          <w:p>
            <w:pPr>
              <w:jc w:val="center"/>
              <w:widowControl/>
              <w:rPr>
                <w:rFonts w:hint="eastAsia" w:ascii="宋体" w:hAnsi="宋体" w:cs="宋体"/>
                <w:color w:val="000000" w:themeColor="text1"/>
                <w:sz w:val="24"/>
                <w:highlight w:val="none"/>
                <w:u w:val="none"/>
              </w:rPr>
            </w:pPr>
            <w:r>
              <w:rPr>
                <w:rFonts w:hint="eastAsia" w:ascii="宋体" w:hAnsi="宋体" w:cs="宋体"/>
                <w:color w:val="000000" w:themeColor="text1"/>
                <w:sz w:val="24"/>
                <w:szCs w:val="24"/>
                <w:highlight w:val="none"/>
                <w:u w:val="none"/>
                <w:lang w:val="en-US" w:eastAsia="zh-CN" w:bidi="ar"/>
              </w:rPr>
              <w:t xml:space="preserve">3、两道防锈漆，表面氟碳漆80μm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010607002001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钢支撑、钢拉条</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1.钢材品种、规格：Q355B</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2.构件涂(镀)层要求：镀锌</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3、两道防锈漆，表面氟碳漆80μm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0.417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2560"/>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010605003001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钢屋面板</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1、钢格栅楼板</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2、具体详见图纸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vertAlign w:val="baseline"/>
                <w:lang w:val="en-US" w:eastAsia="zh-CN" w:bidi="ar"/>
              </w:rPr>
              <w:t xml:space="preserve">m</w:t>
            </w:r>
            <w:r>
              <w:rPr>
                <w:rFonts w:hint="eastAsia" w:ascii="宋体" w:hAnsi="宋体" w:cs="宋体"/>
                <w:i w:val="0"/>
                <w:iCs w:val="0"/>
                <w:color w:val="000000" w:themeColor="text1"/>
                <w:sz w:val="24"/>
                <w:szCs w:val="24"/>
                <w:highlight w:val="none"/>
                <w:u w:val="none"/>
                <w:vertAlign w:val="superscript"/>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010607004001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钢平台</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1.钢材品种、规格：Q355B</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2.构件涂(镀)层要求：镀锌</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3、两道防锈漆，表面氟碳漆80μm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0.771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010607010001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零星钢构件</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1.构件名称：不锈钢槽安装</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2.钢材品种、规格：40*70mm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011503004001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成品带扶手栏杆、栏板</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1.扶手材料种类、规格：1200高304不锈钢栏杆</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2、立柱80*10mm不锈钢板，扶手直径63*4mm不锈钢，32*2mm不锈钢横杆</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3、具体详见图纸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010607006001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钢梯</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1.钢材品种、规格：Q355B</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2.钢梯形式：踏步式</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3.构件涂(镀)层要求：镀锌</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4.两道防锈漆，表面氟碳漆80μm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0.426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2114"/>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010607006002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钢梯</w:t>
            </w:r>
            <w:r>
              <w:rPr>
                <w:color w:val="000000" w:themeColor="text1"/>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1.钢材品种、规格：</w:t>
            </w:r>
            <w:r>
              <w:rPr>
                <w:rFonts w:hint="eastAsia" w:ascii="宋体" w:hAnsi="宋体" w:eastAsia="宋体" w:cs="宋体"/>
                <w:color w:val="000000" w:themeColor="text1"/>
                <w:sz w:val="24"/>
                <w:szCs w:val="24"/>
                <w:highlight w:val="none"/>
                <w:u w:val="none"/>
                <w:lang w:val="en-US" w:eastAsia="zh-CN" w:bidi="ar"/>
              </w:rPr>
              <w:t xml:space="preserve">304不锈钢</w:t>
            </w:r>
            <w:r>
              <w:rPr>
                <w:color w:val="000000" w:themeColor="text1"/>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2.钢梯形式：踏步式</w:t>
            </w:r>
            <w:r>
              <w:rPr>
                <w:color w:val="000000" w:themeColor="text1"/>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3.两道防锈漆表面涂装氯化橡胶漆二底二中二面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0.141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010604001002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钢梁</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1.梁类型：固定梁</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2.钢材品种、规格：304不锈钢</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3.表面涂装氯化橡胶漆二底二中二面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01B005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雨量计墩安装</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1.雨量计墩安装</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2.具体详见图纸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01B006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取水基础设施</w:t>
            </w:r>
            <w:r>
              <w:rPr>
                <w:color w:val="000000" w:themeColor="text1"/>
              </w:rPr>
            </w:r>
            <w:r/>
          </w:p>
          <w:p>
            <w:pPr>
              <w:jc w:val="center"/>
              <w:widowControl/>
              <w:rPr>
                <w:rFonts w:hint="default"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1.取水</w:t>
            </w:r>
            <w:r>
              <w:rPr>
                <w:rFonts w:hint="eastAsia" w:ascii="宋体" w:hAnsi="宋体" w:cs="宋体"/>
                <w:color w:val="000000" w:themeColor="text1"/>
                <w:sz w:val="24"/>
                <w:szCs w:val="24"/>
                <w:highlight w:val="none"/>
                <w:u w:val="none"/>
                <w:lang w:val="en-US" w:eastAsia="zh-CN" w:bidi="ar"/>
              </w:rPr>
              <w:t xml:space="preserve">井施工</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2.具体详见图纸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01B007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橡胶护舷</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1.橡胶护舷</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2.具体详见图纸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010607010002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零星钢构件</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1.构件名称：304不锈钢专用取水浮台支架，表面喷塑处理</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2.具体详见图纸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0.214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20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030410001001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接地极</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1.名称：接地极</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2.具体详见图纸</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2</w:t>
            </w:r>
            <w:r>
              <w:rPr>
                <w:rFonts w:hint="eastAsia" w:ascii="宋体" w:hAnsi="宋体" w:cs="宋体"/>
                <w:i w:val="0"/>
                <w:iCs w:val="0"/>
                <w:color w:val="000000" w:themeColor="text1"/>
                <w:sz w:val="24"/>
                <w:szCs w:val="24"/>
                <w:highlight w:val="none"/>
                <w:u w:val="none"/>
                <w:lang w:val="en-US" w:eastAsia="zh-CN"/>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030410002001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接地母线</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1.名称：接地母线</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2.材质：50*6镀锌扁钢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9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2</w:t>
            </w:r>
            <w:r>
              <w:rPr>
                <w:rFonts w:hint="eastAsia" w:ascii="宋体" w:hAnsi="宋体" w:cs="宋体"/>
                <w:i w:val="0"/>
                <w:iCs w:val="0"/>
                <w:color w:val="000000" w:themeColor="text1"/>
                <w:sz w:val="24"/>
                <w:szCs w:val="24"/>
                <w:highlight w:val="none"/>
                <w:u w:val="none"/>
                <w:lang w:val="en-US" w:eastAsia="zh-CN"/>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030410003001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
              </w:rPr>
              <w:t xml:space="preserve">引下线</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1.名称：引下线</w:t>
            </w:r>
            <w:r>
              <w:rPr>
                <w:color w:val="000000" w:themeColor="text1"/>
              </w:rPr>
            </w:r>
            <w:r/>
          </w:p>
          <w:p>
            <w:pPr>
              <w:jc w:val="center"/>
              <w:widowControl/>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
              </w:rPr>
              <w:t xml:space="preserve">2.材质：镀锌扁钢</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791"/>
        </w:trPr>
        <w:tc>
          <w:tcPr>
            <w:gridSpan w:val="6"/>
            <w:shd w:val="clear" w:color="auto" w:fill="auto"/>
            <w:tcBorders>
              <w:top w:val="single" w:color="000000" w:sz="4" w:space="0"/>
              <w:left w:val="single" w:color="000000" w:sz="8" w:space="0"/>
              <w:bottom w:val="single" w:color="000000" w:sz="4" w:space="0"/>
              <w:right w:val="single" w:color="000000" w:sz="4" w:space="0"/>
            </w:tcBorders>
            <w:tcW w:w="82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rPr>
              <w:t xml:space="preserve">合计</w:t>
            </w:r>
            <w:r>
              <w:rPr>
                <w:color w:val="000000" w:themeColor="text1"/>
              </w:rPr>
            </w:r>
            <w:r/>
          </w:p>
        </w:tc>
        <w:tc>
          <w:tcPr>
            <w:shd w:val="clear" w:color="auto" w:fill="auto"/>
            <w:tcBorders>
              <w:top w:val="single" w:color="000000" w:sz="4" w:space="0"/>
              <w:left w:val="single" w:color="000000" w:sz="4" w:space="0"/>
              <w:bottom w:val="single" w:color="000000" w:sz="4" w:space="0"/>
              <w:right w:val="none" w:color="000000" w:sz="4" w:space="0"/>
            </w:tcBorders>
            <w:tcW w:w="9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7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bl>
    <w:p>
      <w:pPr>
        <w:pStyle w:val="783"/>
        <w:rPr>
          <w:b/>
          <w:bCs/>
          <w:color w:val="000000" w:themeColor="text1"/>
          <w:sz w:val="24"/>
          <w:szCs w:val="32"/>
          <w:highlight w:val="none"/>
        </w:rPr>
      </w:pPr>
      <w:r>
        <w:rPr>
          <w:b/>
          <w:bCs/>
          <w:color w:val="000000" w:themeColor="text1"/>
          <w:sz w:val="24"/>
          <w:szCs w:val="32"/>
          <w:highlight w:val="none"/>
        </w:rPr>
      </w:r>
      <w:r>
        <w:rPr>
          <w:color w:val="000000" w:themeColor="text1"/>
        </w:rPr>
      </w:r>
      <w:r/>
    </w:p>
    <w:p>
      <w:pPr>
        <w:pStyle w:val="783"/>
        <w:rPr>
          <w:b/>
          <w:bCs/>
          <w:color w:val="000000" w:themeColor="text1"/>
          <w:sz w:val="24"/>
          <w:szCs w:val="32"/>
          <w:highlight w:val="none"/>
        </w:rPr>
      </w:pPr>
      <w:r>
        <w:rPr>
          <w:b/>
          <w:bCs/>
          <w:color w:val="000000" w:themeColor="text1"/>
          <w:sz w:val="24"/>
          <w:szCs w:val="32"/>
          <w:highlight w:val="none"/>
        </w:rPr>
      </w:r>
      <w:r>
        <w:rPr>
          <w:color w:val="000000" w:themeColor="text1"/>
        </w:rPr>
      </w:r>
      <w:r/>
    </w:p>
    <w:tbl>
      <w:tblPr>
        <w:tblStyle w:val="712"/>
        <w:tblpPr w:horzAnchor="page" w:tblpX="1114" w:vertAnchor="text" w:tblpY="352" w:leftFromText="180" w:topFromText="0" w:rightFromText="180" w:bottomFromText="0"/>
        <w:tblW w:w="98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06"/>
        <w:gridCol w:w="5622"/>
        <w:gridCol w:w="2812"/>
      </w:tblGrid>
      <w:tr>
        <w:trPr>
          <w:trHeight w:val="691"/>
        </w:trPr>
        <w:tc>
          <w:tcPr>
            <w:gridSpan w:val="3"/>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措施项目清单</w:t>
            </w:r>
            <w:r>
              <w:rPr>
                <w:color w:val="000000" w:themeColor="text1"/>
              </w:rPr>
            </w:r>
            <w:r/>
          </w:p>
        </w:tc>
      </w:tr>
      <w:tr>
        <w:trPr>
          <w:trHeight w:val="647"/>
        </w:trPr>
        <w:tc>
          <w:tcPr>
            <w:gridSpan w:val="2"/>
            <w:shd w:val="clear" w:color="auto" w:fill="auto"/>
            <w:tcBorders>
              <w:top w:val="none" w:color="000000" w:sz="4" w:space="0"/>
              <w:left w:val="none" w:color="000000" w:sz="4" w:space="0"/>
              <w:bottom w:val="single" w:color="000000" w:sz="8" w:space="0"/>
              <w:right w:val="none" w:color="000000" w:sz="4" w:space="0"/>
            </w:tcBorders>
            <w:tcW w:w="702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合同编号：</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工程名称：太湖局元荡水质站提档升级</w:t>
            </w:r>
            <w:r>
              <w:rPr>
                <w:color w:val="000000" w:themeColor="text1"/>
              </w:rPr>
            </w:r>
            <w:r/>
          </w:p>
        </w:tc>
        <w:tc>
          <w:tcPr>
            <w:shd w:val="clear" w:color="auto" w:fill="auto"/>
            <w:tcBorders>
              <w:top w:val="none" w:color="000000" w:sz="4" w:space="0"/>
              <w:left w:val="none" w:color="000000" w:sz="4" w:space="0"/>
              <w:bottom w:val="single" w:color="000000" w:sz="8" w:space="0"/>
              <w:right w:val="none" w:color="000000" w:sz="4" w:space="0"/>
            </w:tcBorders>
            <w:tcW w:w="2812"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第1页 共1页</w:t>
            </w:r>
            <w:r>
              <w:rPr>
                <w:color w:val="000000" w:themeColor="text1"/>
              </w:rPr>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rPr>
                <w:color w:val="000000" w:themeColor="text1"/>
              </w:rPr>
            </w:r>
            <w:r/>
          </w:p>
        </w:tc>
        <w:tc>
          <w:tcPr>
            <w:shd w:val="clear" w:color="auto" w:fill="ffffff"/>
            <w:tcBorders>
              <w:top w:val="single" w:color="000000" w:sz="8" w:space="0"/>
              <w:left w:val="single" w:color="000000" w:sz="4" w:space="0"/>
              <w:bottom w:val="single" w:color="000000" w:sz="4" w:space="0"/>
              <w:right w:val="single" w:color="000000" w:sz="4" w:space="0"/>
            </w:tcBorders>
            <w:tcW w:w="5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项目名称</w:t>
            </w:r>
            <w:r>
              <w:rPr>
                <w:color w:val="000000" w:themeColor="text1"/>
              </w:rPr>
            </w:r>
            <w:r/>
          </w:p>
        </w:tc>
        <w:tc>
          <w:tcPr>
            <w:shd w:val="clear" w:color="auto" w:fill="ffffff"/>
            <w:tcBorders>
              <w:top w:val="single" w:color="000000" w:sz="8" w:space="0"/>
              <w:left w:val="single" w:color="000000" w:sz="4" w:space="0"/>
              <w:bottom w:val="single" w:color="000000" w:sz="4" w:space="0"/>
              <w:right w:val="single" w:color="000000" w:sz="8" w:space="0"/>
            </w:tcBorders>
            <w:tcW w:w="28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备注</w:t>
            </w:r>
            <w:r>
              <w:rPr>
                <w:color w:val="000000" w:themeColor="text1"/>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环境保护措施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8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安全文明措施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8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临时工程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8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交通工程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8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保险费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8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大型机械设备进出场及安拆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8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脚手架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8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40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81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40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81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40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81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bl>
    <w:p>
      <w:pPr>
        <w:rPr>
          <w:color w:val="000000" w:themeColor="text1"/>
          <w:highlight w:val="none"/>
        </w:rPr>
      </w:pPr>
      <w:r>
        <w:rPr>
          <w:color w:val="000000" w:themeColor="text1"/>
          <w:highlight w:val="none"/>
        </w:rPr>
      </w:r>
      <w:r>
        <w:rPr>
          <w:color w:val="000000" w:themeColor="text1"/>
        </w:rPr>
      </w:r>
      <w:r/>
    </w:p>
    <w:p>
      <w:pPr>
        <w:pStyle w:val="760"/>
        <w:rPr>
          <w:color w:val="000000" w:themeColor="text1"/>
          <w:highlight w:val="none"/>
        </w:rPr>
      </w:pPr>
      <w:r>
        <w:rPr>
          <w:color w:val="000000" w:themeColor="text1"/>
          <w:highlight w:val="none"/>
        </w:rPr>
      </w:r>
      <w:r>
        <w:rPr>
          <w:color w:val="000000" w:themeColor="text1"/>
        </w:rPr>
      </w:r>
      <w:r/>
    </w:p>
    <w:tbl>
      <w:tblPr>
        <w:tblStyle w:val="712"/>
        <w:tblW w:w="98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8"/>
        <w:gridCol w:w="6177"/>
        <w:gridCol w:w="2595"/>
      </w:tblGrid>
      <w:tr>
        <w:trPr>
          <w:jc w:val="center"/>
          <w:trHeight w:val="691"/>
        </w:trPr>
        <w:tc>
          <w:tcPr>
            <w:gridSpan w:val="3"/>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其他项目清单</w:t>
            </w:r>
            <w:r>
              <w:rPr>
                <w:color w:val="000000" w:themeColor="text1"/>
              </w:rPr>
            </w:r>
            <w:r/>
          </w:p>
        </w:tc>
      </w:tr>
      <w:tr>
        <w:trPr>
          <w:jc w:val="center"/>
          <w:trHeight w:val="647"/>
        </w:trPr>
        <w:tc>
          <w:tcPr>
            <w:gridSpan w:val="2"/>
            <w:shd w:val="clear" w:color="auto" w:fill="auto"/>
            <w:tcBorders>
              <w:top w:val="none" w:color="000000" w:sz="4" w:space="0"/>
              <w:left w:val="none" w:color="000000" w:sz="4" w:space="0"/>
              <w:bottom w:val="single" w:color="000000" w:sz="8" w:space="0"/>
              <w:right w:val="none" w:color="000000" w:sz="4" w:space="0"/>
            </w:tcBorders>
            <w:tcW w:w="72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合同编号：</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工程名称：太湖局元荡水质站提档升级</w:t>
            </w:r>
            <w:r>
              <w:rPr>
                <w:color w:val="000000" w:themeColor="text1"/>
              </w:rPr>
            </w:r>
            <w:r/>
          </w:p>
        </w:tc>
        <w:tc>
          <w:tcPr>
            <w:shd w:val="clear" w:color="auto" w:fill="auto"/>
            <w:tcBorders>
              <w:top w:val="none" w:color="000000" w:sz="4" w:space="0"/>
              <w:left w:val="none" w:color="000000" w:sz="4" w:space="0"/>
              <w:bottom w:val="single" w:color="000000" w:sz="8" w:space="0"/>
              <w:right w:val="none" w:color="000000" w:sz="4" w:space="0"/>
            </w:tcBorders>
            <w:tcW w:w="2595"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第1页 共1页</w:t>
            </w:r>
            <w:r>
              <w:rPr>
                <w:color w:val="000000" w:themeColor="text1"/>
              </w:rPr>
            </w:r>
            <w:r/>
          </w:p>
        </w:tc>
      </w:tr>
      <w:tr>
        <w:trPr>
          <w:jc w:val="center"/>
          <w:trHeight w:val="338"/>
        </w:trPr>
        <w:tc>
          <w:tcPr>
            <w:shd w:val="clear" w:color="auto" w:fill="ffffff"/>
            <w:tcBorders>
              <w:top w:val="single" w:color="000000" w:sz="8" w:space="0"/>
              <w:left w:val="single" w:color="000000" w:sz="8" w:space="0"/>
              <w:bottom w:val="single" w:color="000000" w:sz="4" w:space="0"/>
              <w:right w:val="single" w:color="000000" w:sz="4" w:space="0"/>
            </w:tcBorders>
            <w:tcW w:w="10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rPr>
                <w:color w:val="000000" w:themeColor="text1"/>
              </w:rPr>
            </w:r>
            <w:r/>
          </w:p>
        </w:tc>
        <w:tc>
          <w:tcPr>
            <w:shd w:val="clear" w:color="auto" w:fill="ffffff"/>
            <w:tcBorders>
              <w:top w:val="single" w:color="000000" w:sz="8" w:space="0"/>
              <w:left w:val="single" w:color="000000" w:sz="4" w:space="0"/>
              <w:bottom w:val="single" w:color="000000" w:sz="4" w:space="0"/>
              <w:right w:val="single" w:color="000000" w:sz="4" w:space="0"/>
            </w:tcBorders>
            <w:tcW w:w="61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项目名称</w:t>
            </w:r>
            <w:r>
              <w:rPr>
                <w:color w:val="000000" w:themeColor="text1"/>
              </w:rPr>
            </w:r>
            <w:r/>
          </w:p>
        </w:tc>
        <w:tc>
          <w:tcPr>
            <w:shd w:val="clear" w:color="auto" w:fill="ffffff"/>
            <w:tcBorders>
              <w:top w:val="single" w:color="000000" w:sz="8" w:space="0"/>
              <w:left w:val="single" w:color="000000" w:sz="4" w:space="0"/>
              <w:bottom w:val="single" w:color="000000" w:sz="4" w:space="0"/>
              <w:right w:val="single" w:color="000000" w:sz="8"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备注</w:t>
            </w:r>
            <w:r>
              <w:rPr>
                <w:color w:val="000000" w:themeColor="text1"/>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预留金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25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r>
    </w:tbl>
    <w:p>
      <w:pPr>
        <w:pStyle w:val="760"/>
        <w:rPr>
          <w:color w:val="000000" w:themeColor="text1"/>
          <w:highlight w:val="none"/>
        </w:rPr>
      </w:pPr>
      <w:r>
        <w:rPr>
          <w:color w:val="000000" w:themeColor="text1"/>
          <w:highlight w:val="none"/>
        </w:rPr>
      </w:r>
      <w:r>
        <w:rPr>
          <w:color w:val="000000" w:themeColor="text1"/>
        </w:rPr>
      </w:r>
      <w:r/>
    </w:p>
    <w:p>
      <w:pPr>
        <w:pStyle w:val="760"/>
        <w:rPr>
          <w:color w:val="000000" w:themeColor="text1"/>
          <w:highlight w:val="none"/>
        </w:rPr>
      </w:pPr>
      <w:r>
        <w:rPr>
          <w:color w:val="000000" w:themeColor="text1"/>
          <w:highlight w:val="none"/>
        </w:rPr>
      </w:r>
      <w:r>
        <w:rPr>
          <w:color w:val="000000" w:themeColor="text1"/>
        </w:rPr>
      </w:r>
      <w:r/>
    </w:p>
    <w:p>
      <w:pPr>
        <w:pStyle w:val="1008"/>
        <w:ind w:firstLine="0"/>
        <w:jc w:val="center"/>
        <w:rPr>
          <w:rFonts w:hint="eastAsia" w:ascii="宋体" w:hAnsi="宋体" w:eastAsia="宋体" w:cs="宋体"/>
          <w:b/>
          <w:color w:val="000000" w:themeColor="text1"/>
          <w:szCs w:val="24"/>
          <w:highlight w:val="none"/>
          <w:u w:val="single"/>
        </w:rPr>
      </w:pPr>
      <w:r>
        <w:rPr>
          <w:rFonts w:hint="eastAsia" w:ascii="宋体" w:hAnsi="宋体" w:eastAsia="宋体" w:cs="宋体"/>
          <w:b/>
          <w:color w:val="000000" w:themeColor="text1"/>
          <w:szCs w:val="24"/>
          <w:highlight w:val="none"/>
          <w:u w:val="single"/>
          <w:lang w:val="en-US" w:eastAsia="zh-CN" w:bidi="ar-SA"/>
        </w:rPr>
      </w:r>
      <w:r>
        <w:rPr>
          <w:color w:val="000000" w:themeColor="text1"/>
        </w:rPr>
      </w:r>
      <w:r/>
    </w:p>
    <w:p>
      <w:pPr>
        <w:pStyle w:val="1008"/>
        <w:ind w:firstLine="0"/>
        <w:jc w:val="center"/>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Cs w:val="24"/>
          <w:highlight w:val="none"/>
          <w:u w:val="single"/>
          <w:lang w:val="en-US" w:eastAsia="zh-CN" w:bidi="ar-SA"/>
        </w:rPr>
        <w:t xml:space="preserve">5.2太湖局元荡水质站提档升级</w:t>
      </w:r>
      <w:r>
        <w:rPr>
          <w:rFonts w:hint="eastAsia" w:ascii="宋体" w:hAnsi="宋体" w:eastAsia="宋体" w:cs="宋体"/>
          <w:b/>
          <w:color w:val="000000" w:themeColor="text1"/>
          <w:sz w:val="24"/>
          <w:szCs w:val="24"/>
          <w:highlight w:val="none"/>
          <w:u w:val="none"/>
          <w:lang w:val="en-US" w:eastAsia="zh-CN" w:bidi="ar-SA"/>
        </w:rPr>
        <w:t xml:space="preserve">设备报价表</w:t>
      </w:r>
      <w:r>
        <w:rPr>
          <w:color w:val="000000" w:themeColor="text1"/>
        </w:rPr>
      </w:r>
      <w:r/>
    </w:p>
    <w:tbl>
      <w:tblPr>
        <w:tblStyle w:val="712"/>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2807"/>
        <w:gridCol w:w="936"/>
        <w:gridCol w:w="835"/>
        <w:gridCol w:w="782"/>
        <w:gridCol w:w="3"/>
        <w:gridCol w:w="1184"/>
        <w:gridCol w:w="921"/>
        <w:gridCol w:w="1102"/>
      </w:tblGrid>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color w:val="000000" w:themeColor="text1"/>
                <w:sz w:val="24"/>
                <w:szCs w:val="24"/>
                <w:highlight w:val="none"/>
              </w:rPr>
              <w:t xml:space="preserve">序号</w:t>
            </w:r>
            <w:r>
              <w:rPr>
                <w:color w:val="000000" w:themeColor="text1"/>
              </w:rPr>
            </w:r>
            <w:r/>
          </w:p>
        </w:tc>
        <w:tc>
          <w:tcPr>
            <w:tcW w:w="141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color w:val="000000" w:themeColor="text1"/>
                <w:sz w:val="24"/>
                <w:szCs w:val="24"/>
                <w:highlight w:val="none"/>
              </w:rPr>
              <w:t xml:space="preserve">品目名称</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color w:val="000000" w:themeColor="text1"/>
                <w:sz w:val="24"/>
                <w:szCs w:val="24"/>
                <w:highlight w:val="none"/>
              </w:rPr>
              <w:t xml:space="preserve">规格型号</w:t>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rPr>
              <w:t xml:space="preserve">单位</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rPr>
              <w:t xml:space="preserve">数量</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rPr>
              <w:t xml:space="preserve">设备单价（元）</w:t>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小计</w:t>
            </w:r>
            <w:r>
              <w:rPr>
                <w:rFonts w:hint="eastAsia" w:ascii="宋体" w:hAnsi="宋体" w:eastAsia="宋体" w:cs="宋体"/>
                <w:b/>
                <w:bCs/>
                <w:i w:val="0"/>
                <w:iCs w:val="0"/>
                <w:color w:val="000000" w:themeColor="text1"/>
                <w:sz w:val="24"/>
                <w:szCs w:val="24"/>
                <w:highlight w:val="none"/>
                <w:u w:val="none"/>
                <w:lang w:val="en-US" w:eastAsia="zh-CN"/>
              </w:rPr>
              <w:t xml:space="preserve">（元）</w:t>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备注</w:t>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一</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cs="宋体"/>
                <w:b/>
                <w:bCs/>
                <w:i w:val="0"/>
                <w:iCs w:val="0"/>
                <w:color w:val="000000" w:themeColor="text1"/>
                <w:sz w:val="24"/>
                <w:szCs w:val="24"/>
                <w:highlight w:val="none"/>
                <w:u w:val="none"/>
                <w:lang w:val="en-US" w:eastAsia="zh-CN" w:bidi="ar"/>
              </w:rPr>
              <w:t xml:space="preserve">气象</w:t>
            </w:r>
            <w:r>
              <w:rPr>
                <w:rFonts w:hint="eastAsia" w:ascii="宋体" w:hAnsi="宋体" w:eastAsia="宋体" w:cs="宋体"/>
                <w:b/>
                <w:bCs/>
                <w:i w:val="0"/>
                <w:iCs w:val="0"/>
                <w:color w:val="000000" w:themeColor="text1"/>
                <w:sz w:val="24"/>
                <w:szCs w:val="24"/>
                <w:highlight w:val="none"/>
                <w:u w:val="none"/>
                <w:lang w:val="en-US" w:eastAsia="zh-CN" w:bidi="ar"/>
              </w:rPr>
              <w:t xml:space="preserve">观测设备</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rPr>
            </w:r>
            <w:r>
              <w:rPr>
                <w:color w:val="000000" w:themeColor="text1"/>
              </w:rPr>
            </w:r>
            <w:r/>
          </w:p>
        </w:tc>
        <w:tc>
          <w:tcPr>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五要素微型气象仪</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二</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水质测验设备</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rPr>
            </w:r>
            <w:r>
              <w:rPr>
                <w:color w:val="000000" w:themeColor="text1"/>
              </w:rPr>
            </w:r>
            <w:r/>
          </w:p>
        </w:tc>
        <w:tc>
          <w:tcPr>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1</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水质监测仪表单元</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rPr>
            </w:r>
            <w:r>
              <w:rPr>
                <w:color w:val="000000" w:themeColor="text1"/>
              </w:rPr>
            </w:r>
            <w:r/>
          </w:p>
        </w:tc>
        <w:tc>
          <w:tcPr>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常规六参数分析仪</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氨氮总氮总磷分析仪</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叶绿素a测定仪</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2</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取水单元</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rPr>
            </w:r>
            <w:r>
              <w:rPr>
                <w:color w:val="000000" w:themeColor="text1"/>
              </w:rPr>
            </w:r>
            <w:r/>
          </w:p>
        </w:tc>
        <w:tc>
          <w:tcPr>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2.1</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专用取水浮台</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2.2</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取水泵</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2.3</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取水管路</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防爆警示灯</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4</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2.5</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航标警示灯</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照明设施</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3</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预处理单元</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rPr>
            </w:r>
            <w:r>
              <w:rPr>
                <w:color w:val="000000" w:themeColor="text1"/>
              </w:rPr>
            </w:r>
            <w:r/>
          </w:p>
        </w:tc>
        <w:tc>
          <w:tcPr>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3.1</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常规多参数测量池</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沉沙桶</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3.3</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水样增压泵</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3.4</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竖式过滤器</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3.5</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进样罐</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3.6</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电动球阀及附件</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3.7</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除藻热水器</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3.8</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清洗管路</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3.9</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空压机</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4</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系统控制单元</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rPr>
            </w:r>
            <w:r>
              <w:rPr>
                <w:color w:val="000000" w:themeColor="text1"/>
              </w:rPr>
            </w:r>
            <w:r/>
          </w:p>
        </w:tc>
        <w:tc>
          <w:tcPr>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4.1</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数据采集终端</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4.2</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触摸控制屏</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4.3</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PLC模块组件</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4.4</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控制电器组件</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4.5</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电源转换模块</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直流电源避雷器</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4.7</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信号避雷器</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4.8</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测站控制软件</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4.9</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信号及电源电缆</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4.10</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自动质量控制系统</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5</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数据传输单元</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rPr>
            </w:r>
            <w:r>
              <w:rPr>
                <w:color w:val="000000" w:themeColor="text1"/>
              </w:rPr>
            </w:r>
            <w:r/>
          </w:p>
        </w:tc>
        <w:tc>
          <w:tcPr>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5.1</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卫星通信终端</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5.2</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4G/5G通信终端</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6</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运行环境支持单元</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rPr>
            </w:r>
            <w:r>
              <w:rPr>
                <w:color w:val="000000" w:themeColor="text1"/>
              </w:rPr>
            </w:r>
            <w:r/>
          </w:p>
        </w:tc>
        <w:tc>
          <w:tcPr>
            <w:tcW w:w="55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6.1</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不锈钢野外保温机箱</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6.2</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机架模块式蓄电池</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组</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default" w:ascii="宋体" w:hAnsi="宋体" w:eastAsia="宋体" w:cs="宋体"/>
                <w:i w:val="0"/>
                <w:iCs w:val="0"/>
                <w:color w:val="000000" w:themeColor="text1"/>
                <w:sz w:val="24"/>
                <w:szCs w:val="24"/>
                <w:highlight w:val="none"/>
                <w:u w:val="none"/>
                <w:lang w:val="en-US" w:eastAsia="zh-CN"/>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default" w:ascii="宋体" w:hAnsi="宋体" w:eastAsia="宋体" w:cs="宋体"/>
                <w:i w:val="0"/>
                <w:iCs w:val="0"/>
                <w:color w:val="000000" w:themeColor="text1"/>
                <w:sz w:val="24"/>
                <w:szCs w:val="24"/>
                <w:highlight w:val="none"/>
                <w:u w:val="none"/>
                <w:lang w:val="en-US" w:eastAsia="zh-CN"/>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default"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6.3</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太阳能电池板</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6.4</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MPPT充电控制器</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个</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6.5</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逆变器</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6.6</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太阳能板支架</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6.7</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温湿度传感器</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rPr>
            </w:r>
            <w:r/>
          </w:p>
        </w:tc>
        <w:tc>
          <w:tcPr>
            <w:tcW w:w="3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三</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安防监控设备</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tcW w:w="6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tcW w:w="141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视频监控系统</w:t>
            </w:r>
            <w:r>
              <w:rPr>
                <w:color w:val="000000" w:themeColor="text1"/>
              </w:rPr>
            </w:r>
            <w:r/>
          </w:p>
        </w:tc>
        <w:tc>
          <w:tcPr>
            <w:tcW w:w="4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c>
          <w:tcPr>
            <w:tcW w:w="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套</w:t>
            </w:r>
            <w:r>
              <w:rPr>
                <w:color w:val="000000" w:themeColor="text1"/>
              </w:rPr>
            </w:r>
            <w:r/>
          </w:p>
        </w:tc>
        <w:tc>
          <w:tcPr>
            <w:tcW w:w="39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r/>
          </w:p>
        </w:tc>
        <w:tc>
          <w:tcPr>
            <w:gridSpan w:val="2"/>
            <w:tcW w:w="5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4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r>
            <w:r>
              <w:rPr>
                <w:color w:val="000000" w:themeColor="text1"/>
              </w:rPr>
            </w:r>
            <w:r/>
          </w:p>
        </w:tc>
        <w:tc>
          <w:tcPr>
            <w:tcW w:w="55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r>
        <w:trPr>
          <w:jc w:val="center"/>
          <w:trHeight w:val="397"/>
        </w:trPr>
        <w:tc>
          <w:tcPr>
            <w:gridSpan w:val="6"/>
            <w:tcBorders>
              <w:right w:val="single" w:color="auto" w:sz="4" w:space="0"/>
            </w:tcBorders>
            <w:tcW w:w="338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rPr>
              <w:t xml:space="preserve">合计（元）</w:t>
            </w:r>
            <w:r>
              <w:rPr>
                <w:color w:val="000000" w:themeColor="text1"/>
              </w:rPr>
            </w:r>
            <w:r/>
          </w:p>
        </w:tc>
        <w:tc>
          <w:tcPr>
            <w:gridSpan w:val="3"/>
            <w:tcBorders>
              <w:left w:val="single" w:color="auto" w:sz="4" w:space="0"/>
            </w:tcBorders>
            <w:tcW w:w="16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r>
            <w:r>
              <w:rPr>
                <w:color w:val="000000" w:themeColor="text1"/>
              </w:rPr>
            </w:r>
            <w:r/>
          </w:p>
        </w:tc>
      </w:tr>
    </w:tbl>
    <w:p>
      <w:pPr>
        <w:pStyle w:val="760"/>
        <w:ind w:firstLine="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760"/>
        <w:ind w:firstLine="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spacing w:before="5" w:line="560"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法定代表人或法定代表人授权代表签字或盖章：</w:t>
      </w:r>
      <w:r>
        <w:rPr>
          <w:color w:val="000000" w:themeColor="text1"/>
        </w:rPr>
      </w:r>
      <w:r/>
    </w:p>
    <w:p>
      <w:pPr>
        <w:pStyle w:val="713"/>
        <w:ind w:firstLine="448"/>
        <w:rPr>
          <w:rFonts w:ascii="宋体" w:eastAsia="宋体" w:cs="宋体"/>
          <w:color w:val="000000" w:themeColor="text1"/>
          <w:sz w:val="24"/>
          <w:szCs w:val="24"/>
          <w:highlight w:val="none"/>
        </w:rPr>
      </w:pPr>
      <w:r>
        <w:rPr>
          <w:rFonts w:ascii="宋体" w:eastAsia="宋体" w:cs="宋体"/>
          <w:color w:val="000000" w:themeColor="text1"/>
          <w:sz w:val="24"/>
          <w:szCs w:val="24"/>
          <w:highlight w:val="none"/>
        </w:rPr>
      </w:r>
      <w:r>
        <w:rPr>
          <w:color w:val="000000" w:themeColor="text1"/>
        </w:rPr>
      </w:r>
      <w:r/>
    </w:p>
    <w:p>
      <w:pPr>
        <w:spacing w:line="400" w:lineRule="exact"/>
        <w:rPr>
          <w:rFonts w:ascii="宋体" w:hAnsi="宋体" w:cs="宋体"/>
          <w:bCs/>
          <w:color w:val="000000" w:themeColor="text1"/>
          <w:highlight w:val="none"/>
        </w:rPr>
      </w:pPr>
      <w:r>
        <w:rPr>
          <w:rFonts w:hint="eastAsia" w:ascii="宋体" w:hAnsi="宋体" w:cs="宋体"/>
          <w:color w:val="000000" w:themeColor="text1"/>
          <w:sz w:val="24"/>
          <w:highlight w:val="none"/>
        </w:rPr>
        <w:t xml:space="preserve">注：</w:t>
      </w:r>
      <w:r>
        <w:rPr>
          <w:rFonts w:hint="eastAsia" w:ascii="宋体" w:hAnsi="宋体" w:cs="宋体"/>
          <w:bCs/>
          <w:color w:val="000000" w:themeColor="text1"/>
          <w:highlight w:val="none"/>
        </w:rPr>
        <w:t xml:space="preserve">（1）投标人为本项目提供的货物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相关内容将进行公示；</w:t>
      </w:r>
      <w:r>
        <w:rPr>
          <w:color w:val="000000" w:themeColor="text1"/>
        </w:rPr>
      </w:r>
      <w:r/>
    </w:p>
    <w:p>
      <w:pPr>
        <w:ind w:firstLine="315"/>
        <w:spacing w:line="400" w:lineRule="exact"/>
        <w:rPr>
          <w:rFonts w:ascii="宋体" w:hAnsi="宋体" w:cs="宋体"/>
          <w:bCs/>
          <w:color w:val="000000" w:themeColor="text1"/>
          <w:highlight w:val="none"/>
        </w:rPr>
      </w:pPr>
      <w:r>
        <w:rPr>
          <w:rFonts w:hint="eastAsia" w:ascii="宋体" w:hAnsi="宋体" w:cs="宋体"/>
          <w:bCs/>
          <w:color w:val="000000" w:themeColor="text1"/>
          <w:highlight w:val="none"/>
        </w:rPr>
        <w:t xml:space="preserve">（2）投标人应当根据“采购需求”的内容在上表中详细填写；</w:t>
      </w:r>
      <w:r>
        <w:rPr>
          <w:color w:val="000000" w:themeColor="text1"/>
        </w:rPr>
      </w:r>
      <w:r/>
    </w:p>
    <w:p>
      <w:pPr>
        <w:ind w:firstLine="315"/>
        <w:spacing w:line="400" w:lineRule="exact"/>
        <w:rPr>
          <w:rFonts w:ascii="宋体" w:hAnsi="宋体" w:cs="宋体"/>
          <w:bCs/>
          <w:color w:val="000000" w:themeColor="text1"/>
          <w:highlight w:val="none"/>
        </w:rPr>
      </w:pPr>
      <w:r>
        <w:rPr>
          <w:rFonts w:hint="eastAsia" w:ascii="宋体" w:hAnsi="宋体" w:cs="宋体"/>
          <w:bCs/>
          <w:color w:val="000000" w:themeColor="text1"/>
          <w:highlight w:val="none"/>
        </w:rPr>
        <w:t xml:space="preserve">（3）表格不够可自行延长。</w:t>
      </w:r>
      <w:r>
        <w:rPr>
          <w:color w:val="000000" w:themeColor="text1"/>
        </w:rPr>
      </w:r>
      <w:r/>
    </w:p>
    <w:p>
      <w:pPr>
        <w:ind w:firstLine="315"/>
        <w:spacing w:line="400" w:lineRule="exact"/>
        <w:rPr>
          <w:rFonts w:ascii="宋体" w:hAnsi="宋体" w:cs="宋体"/>
          <w:bCs/>
          <w:color w:val="000000" w:themeColor="text1"/>
          <w:highlight w:val="none"/>
        </w:rPr>
      </w:pPr>
      <w:r>
        <w:rPr>
          <w:rFonts w:hint="eastAsia" w:ascii="宋体" w:hAnsi="宋体" w:cs="宋体"/>
          <w:bCs/>
          <w:color w:val="000000" w:themeColor="text1"/>
          <w:highlight w:val="none"/>
        </w:rPr>
        <w:t xml:space="preserve">（4）</w:t>
      </w:r>
      <w:r>
        <w:rPr>
          <w:rFonts w:hint="eastAsia" w:ascii="宋体" w:hAnsi="宋体" w:cs="宋体"/>
          <w:bCs/>
          <w:color w:val="000000" w:themeColor="text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r>
        <w:rPr>
          <w:color w:val="000000" w:themeColor="text1"/>
        </w:rPr>
      </w:r>
      <w:r/>
    </w:p>
    <w:p>
      <w:pPr>
        <w:ind w:firstLine="315"/>
        <w:spacing w:line="400" w:lineRule="exact"/>
        <w:rPr>
          <w:rFonts w:ascii="宋体" w:hAnsi="宋体" w:cs="宋体"/>
          <w:bCs/>
          <w:color w:val="000000" w:themeColor="text1"/>
          <w:highlight w:val="none"/>
        </w:rPr>
      </w:pPr>
      <w:r>
        <w:rPr>
          <w:rFonts w:hint="eastAsia" w:ascii="宋体" w:hAnsi="宋体" w:cs="宋体"/>
          <w:bCs/>
          <w:color w:val="000000" w:themeColor="text1"/>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rPr>
          <w:color w:val="000000" w:themeColor="text1"/>
        </w:rPr>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color w:val="000000" w:themeColor="text1"/>
        </w:rPr>
      </w:r>
      <w:r/>
    </w:p>
    <w:p>
      <w:pPr>
        <w:spacing w:line="48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（九）项目人员配置清单（格式）</w:t>
      </w:r>
      <w:r>
        <w:rPr>
          <w:color w:val="000000" w:themeColor="text1"/>
        </w:rPr>
      </w:r>
      <w:r/>
    </w:p>
    <w:p>
      <w:pPr>
        <w:spacing w:line="400" w:lineRule="exact"/>
        <w:rPr>
          <w:rFonts w:ascii="宋体" w:hAnsi="宋体" w:cs="宋体"/>
          <w:bCs/>
          <w:color w:val="000000" w:themeColor="text1"/>
          <w:sz w:val="28"/>
          <w:szCs w:val="28"/>
          <w:highlight w:val="none"/>
        </w:rPr>
      </w:pPr>
      <w:r>
        <w:rPr>
          <w:rFonts w:ascii="宋体" w:hAnsi="宋体" w:cs="宋体"/>
          <w:bCs/>
          <w:color w:val="000000" w:themeColor="text1"/>
          <w:sz w:val="28"/>
          <w:szCs w:val="28"/>
          <w:highlight w:val="none"/>
        </w:rPr>
      </w:r>
      <w:r>
        <w:rPr>
          <w:color w:val="000000" w:themeColor="text1"/>
        </w:rPr>
      </w:r>
      <w:r/>
    </w:p>
    <w:p>
      <w:pPr>
        <w:jc w:val="center"/>
        <w:spacing w:line="40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 xml:space="preserve">项目人员配置清单</w:t>
      </w:r>
      <w:r>
        <w:rPr>
          <w:color w:val="000000" w:themeColor="text1"/>
        </w:rPr>
      </w:r>
      <w:r/>
    </w:p>
    <w:p>
      <w:pPr>
        <w:jc w:val="center"/>
        <w:spacing w:line="400" w:lineRule="exact"/>
        <w:rPr>
          <w:rFonts w:ascii="宋体" w:hAnsi="宋体" w:cs="宋体"/>
          <w:bCs/>
          <w:color w:val="000000" w:themeColor="text1"/>
          <w:sz w:val="28"/>
          <w:szCs w:val="28"/>
          <w:highlight w:val="none"/>
        </w:rPr>
      </w:pPr>
      <w:r>
        <w:rPr>
          <w:rFonts w:ascii="宋体" w:hAnsi="宋体" w:cs="宋体"/>
          <w:bCs/>
          <w:color w:val="000000" w:themeColor="text1"/>
          <w:sz w:val="28"/>
          <w:szCs w:val="28"/>
          <w:highlight w:val="none"/>
        </w:rPr>
      </w:r>
      <w:r>
        <w:rPr>
          <w:color w:val="000000" w:themeColor="text1"/>
        </w:rPr>
      </w:r>
      <w:r/>
    </w:p>
    <w:p>
      <w:pP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项目编号：</w:t>
      </w:r>
      <w:r>
        <w:rPr>
          <w:color w:val="000000" w:themeColor="text1"/>
        </w:rPr>
      </w:r>
      <w:r/>
    </w:p>
    <w:tbl>
      <w:tblPr>
        <w:tblStyle w:val="712"/>
        <w:tblW w:w="8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rPr>
            </w:r>
            <w:r/>
          </w:p>
        </w:tc>
        <w:tc>
          <w:tcPr>
            <w:tcW w:w="1476" w:type="dxa"/>
            <w:vAlign w:val="center"/>
            <w:textDirection w:val="lrTb"/>
            <w:noWrap w:val="false"/>
          </w:tcPr>
          <w:p>
            <w:pPr>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姓名</w:t>
            </w:r>
            <w:r>
              <w:rPr>
                <w:color w:val="000000" w:themeColor="text1"/>
              </w:rPr>
            </w:r>
            <w:r/>
          </w:p>
        </w:tc>
        <w:tc>
          <w:tcPr>
            <w:tcW w:w="720" w:type="dxa"/>
            <w:vAlign w:val="center"/>
            <w:textDirection w:val="lrTb"/>
            <w:noWrap w:val="false"/>
          </w:tcPr>
          <w:p>
            <w:pPr>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年龄</w:t>
            </w:r>
            <w:r>
              <w:rPr>
                <w:color w:val="000000" w:themeColor="text1"/>
              </w:rPr>
            </w:r>
            <w:r/>
          </w:p>
        </w:tc>
        <w:tc>
          <w:tcPr>
            <w:tcW w:w="2520" w:type="dxa"/>
            <w:vAlign w:val="center"/>
            <w:textDirection w:val="lrTb"/>
            <w:noWrap w:val="false"/>
          </w:tcPr>
          <w:p>
            <w:pPr>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本项目职责</w:t>
            </w:r>
            <w:r>
              <w:rPr>
                <w:color w:val="000000" w:themeColor="text1"/>
              </w:rPr>
            </w:r>
            <w:r/>
          </w:p>
        </w:tc>
        <w:tc>
          <w:tcPr>
            <w:tcW w:w="3274" w:type="dxa"/>
            <w:vAlign w:val="center"/>
            <w:textDirection w:val="lrTb"/>
            <w:noWrap w:val="false"/>
          </w:tcPr>
          <w:p>
            <w:pPr>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人员证书名称</w:t>
            </w:r>
            <w:r>
              <w:rPr>
                <w:color w:val="000000" w:themeColor="text1"/>
              </w:rPr>
            </w:r>
            <w:r/>
          </w:p>
        </w:tc>
      </w:tr>
      <w:tr>
        <w:trPr>
          <w:jc w:val="center"/>
          <w:trHeight w:val="680"/>
        </w:trPr>
        <w:tc>
          <w:tcPr>
            <w:tcW w:w="704"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1476"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720"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2520"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3274"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r>
      <w:tr>
        <w:trPr>
          <w:jc w:val="center"/>
          <w:trHeight w:val="680"/>
        </w:trPr>
        <w:tc>
          <w:tcPr>
            <w:tcW w:w="704"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1476"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720"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2520"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3274"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r>
      <w:tr>
        <w:trPr>
          <w:jc w:val="center"/>
          <w:trHeight w:val="680"/>
        </w:trPr>
        <w:tc>
          <w:tcPr>
            <w:tcW w:w="704"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1476"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720"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2520"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3274"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r>
      <w:tr>
        <w:trPr>
          <w:jc w:val="center"/>
          <w:trHeight w:val="680"/>
        </w:trPr>
        <w:tc>
          <w:tcPr>
            <w:tcW w:w="704"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1476"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720"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2520"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3274"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r>
      <w:tr>
        <w:trPr>
          <w:jc w:val="center"/>
          <w:trHeight w:val="680"/>
        </w:trPr>
        <w:tc>
          <w:tcPr>
            <w:tcW w:w="704"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1476"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720"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2520"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c>
          <w:tcPr>
            <w:tcW w:w="3274" w:type="dxa"/>
            <w:textDirection w:val="lrTb"/>
            <w:noWrap w:val="false"/>
          </w:tcPr>
          <w:p>
            <w:pPr>
              <w:rPr>
                <w:rFonts w:ascii="宋体" w:hAnsi="宋体" w:cs="宋体"/>
                <w:bCs/>
                <w:color w:val="000000" w:themeColor="text1"/>
                <w:sz w:val="24"/>
                <w:szCs w:val="24"/>
                <w:highlight w:val="none"/>
              </w:rPr>
              <w:outlineLvl w:val="0"/>
            </w:pPr>
            <w:r>
              <w:rPr>
                <w:rFonts w:ascii="宋体" w:hAnsi="宋体" w:cs="宋体"/>
                <w:bCs/>
                <w:color w:val="000000" w:themeColor="text1"/>
                <w:sz w:val="24"/>
                <w:szCs w:val="24"/>
                <w:highlight w:val="none"/>
              </w:rPr>
            </w:r>
            <w:r>
              <w:rPr>
                <w:color w:val="000000" w:themeColor="text1"/>
              </w:rPr>
            </w:r>
            <w:r/>
          </w:p>
        </w:tc>
      </w:tr>
    </w:tbl>
    <w:p>
      <w:pPr>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p>
      <w:pPr>
        <w:rPr>
          <w:rFonts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投标人名称（盖章）</w:t>
      </w:r>
      <w:r>
        <w:rPr>
          <w:color w:val="000000" w:themeColor="text1"/>
        </w:rPr>
      </w:r>
      <w:r/>
    </w:p>
    <w:p>
      <w:pPr>
        <w:rPr>
          <w:rFonts w:ascii="宋体" w:hAnsi="宋体" w:cs="宋体"/>
          <w:bCs/>
          <w:color w:val="000000" w:themeColor="text1"/>
          <w:highlight w:val="none"/>
        </w:rPr>
      </w:pPr>
      <w:r>
        <w:rPr>
          <w:rFonts w:ascii="宋体" w:hAnsi="宋体" w:cs="宋体"/>
          <w:bCs/>
          <w:color w:val="000000" w:themeColor="text1"/>
          <w:highlight w:val="none"/>
        </w:rPr>
      </w:r>
      <w:r>
        <w:rPr>
          <w:color w:val="000000" w:themeColor="text1"/>
        </w:rPr>
      </w:r>
      <w:r/>
    </w:p>
    <w:p>
      <w:pPr>
        <w:rPr>
          <w:rFonts w:ascii="宋体" w:hAnsi="宋体" w:cs="宋体"/>
          <w:bCs/>
          <w:color w:val="000000" w:themeColor="text1"/>
          <w:highlight w:val="none"/>
        </w:rPr>
      </w:pPr>
      <w:r>
        <w:rPr>
          <w:rFonts w:ascii="宋体" w:hAnsi="宋体" w:cs="宋体"/>
          <w:bCs/>
          <w:color w:val="000000" w:themeColor="text1"/>
          <w:highlight w:val="none"/>
        </w:rPr>
      </w:r>
      <w:r>
        <w:rPr>
          <w:color w:val="000000" w:themeColor="text1"/>
        </w:rPr>
      </w:r>
      <w:r/>
    </w:p>
    <w:p>
      <w:pPr>
        <w:rPr>
          <w:rFonts w:ascii="宋体" w:hAnsi="宋体" w:cs="宋体"/>
          <w:bCs/>
          <w:color w:val="000000" w:themeColor="text1"/>
          <w:highlight w:val="none"/>
        </w:rPr>
      </w:pPr>
      <w:r>
        <w:rPr>
          <w:rFonts w:ascii="宋体" w:hAnsi="宋体" w:cs="宋体"/>
          <w:bCs/>
          <w:color w:val="000000" w:themeColor="text1"/>
          <w:highlight w:val="none"/>
        </w:rPr>
      </w:r>
      <w:r>
        <w:rPr>
          <w:color w:val="000000" w:themeColor="text1"/>
        </w:rPr>
      </w:r>
      <w:r/>
    </w:p>
    <w:p>
      <w:pPr>
        <w:rPr>
          <w:rFonts w:ascii="宋体" w:hAnsi="宋体" w:cs="宋体"/>
          <w:bCs/>
          <w:color w:val="000000" w:themeColor="text1"/>
          <w:highlight w:val="none"/>
        </w:rPr>
      </w:pPr>
      <w:r>
        <w:rPr>
          <w:rFonts w:ascii="宋体" w:hAnsi="宋体" w:cs="宋体"/>
          <w:bCs/>
          <w:color w:val="000000" w:themeColor="text1"/>
          <w:highlight w:val="none"/>
        </w:rPr>
      </w:r>
      <w:r>
        <w:rPr>
          <w:color w:val="000000" w:themeColor="text1"/>
        </w:rPr>
      </w:r>
      <w:r/>
    </w:p>
    <w:p>
      <w:pPr>
        <w:rPr>
          <w:rFonts w:ascii="宋体" w:hAnsi="宋体" w:cs="宋体"/>
          <w:bCs/>
          <w:color w:val="000000" w:themeColor="text1"/>
          <w:highlight w:val="none"/>
        </w:rPr>
      </w:pPr>
      <w:r>
        <w:rPr>
          <w:rFonts w:ascii="宋体" w:hAnsi="宋体" w:cs="宋体"/>
          <w:bCs/>
          <w:color w:val="000000" w:themeColor="text1"/>
          <w:highlight w:val="none"/>
        </w:rPr>
      </w:r>
      <w:r>
        <w:rPr>
          <w:color w:val="000000" w:themeColor="text1"/>
        </w:rPr>
      </w:r>
      <w:r/>
    </w:p>
    <w:p>
      <w:pPr>
        <w:rPr>
          <w:rFonts w:ascii="宋体" w:hAnsi="宋体" w:cs="宋体"/>
          <w:bCs/>
          <w:color w:val="000000" w:themeColor="text1"/>
          <w:highlight w:val="none"/>
        </w:rPr>
      </w:pPr>
      <w:r>
        <w:rPr>
          <w:rFonts w:ascii="宋体" w:hAnsi="宋体" w:cs="宋体"/>
          <w:bCs/>
          <w:color w:val="000000" w:themeColor="text1"/>
          <w:highlight w:val="none"/>
        </w:rPr>
      </w:r>
      <w:r>
        <w:rPr>
          <w:color w:val="000000" w:themeColor="text1"/>
        </w:rPr>
      </w:r>
      <w:r/>
    </w:p>
    <w:p>
      <w:pPr>
        <w:rPr>
          <w:rFonts w:ascii="宋体" w:hAnsi="宋体" w:cs="宋体"/>
          <w:bCs/>
          <w:color w:val="000000" w:themeColor="text1"/>
          <w:highlight w:val="none"/>
        </w:rPr>
      </w:pPr>
      <w:r>
        <w:rPr>
          <w:rFonts w:ascii="宋体" w:hAnsi="宋体" w:cs="宋体"/>
          <w:bCs/>
          <w:color w:val="000000" w:themeColor="text1"/>
          <w:highlight w:val="none"/>
        </w:rPr>
      </w:r>
      <w:r>
        <w:rPr>
          <w:color w:val="000000" w:themeColor="text1"/>
        </w:rPr>
      </w:r>
      <w:r/>
    </w:p>
    <w:p>
      <w:pPr>
        <w:rPr>
          <w:rFonts w:ascii="宋体" w:hAnsi="宋体" w:cs="宋体"/>
          <w:bCs/>
          <w:color w:val="000000" w:themeColor="text1"/>
          <w:highlight w:val="none"/>
        </w:rPr>
      </w:pPr>
      <w:r>
        <w:rPr>
          <w:rFonts w:hint="eastAsia" w:ascii="宋体" w:hAnsi="宋体" w:cs="宋体"/>
          <w:bCs/>
          <w:color w:val="000000" w:themeColor="text1"/>
          <w:highlight w:val="none"/>
        </w:rPr>
        <w:t xml:space="preserve">注：1. 本表对应评分标准中的项目人员配置情况，表格不够可自行延长。</w:t>
      </w:r>
      <w:r>
        <w:rPr>
          <w:color w:val="000000" w:themeColor="text1"/>
        </w:rPr>
      </w:r>
      <w:r/>
    </w:p>
    <w:p>
      <w:pPr>
        <w:ind w:firstLine="420"/>
        <w:rPr>
          <w:rFonts w:ascii="宋体" w:hAnsi="宋体"/>
          <w:bCs/>
          <w:color w:val="000000" w:themeColor="text1"/>
          <w:highlight w:val="none"/>
        </w:rPr>
      </w:pPr>
      <w:r>
        <w:rPr>
          <w:rFonts w:hint="eastAsia" w:ascii="宋体" w:hAnsi="宋体" w:cs="宋体"/>
          <w:bCs/>
          <w:color w:val="000000" w:themeColor="text1"/>
          <w:highlight w:val="none"/>
        </w:rPr>
        <w:t xml:space="preserve">2.</w:t>
      </w:r>
      <w:r>
        <w:rPr>
          <w:rFonts w:hint="eastAsia" w:ascii="宋体" w:hAnsi="宋体"/>
          <w:bCs/>
          <w:color w:val="000000" w:themeColor="text1"/>
          <w:highlight w:val="none"/>
        </w:rPr>
        <w:t xml:space="preserve">上表内容须按评分标准中的相关要求提供相应证明材料。</w:t>
      </w:r>
      <w:r>
        <w:rPr>
          <w:color w:val="000000" w:themeColor="text1"/>
        </w:rPr>
      </w:r>
      <w:r/>
    </w:p>
    <w:p>
      <w:pPr>
        <w:ind w:firstLine="420"/>
        <w:rPr>
          <w:rFonts w:ascii="宋体" w:hAnsi="宋体"/>
          <w:bCs/>
          <w:color w:val="000000" w:themeColor="text1"/>
          <w:highlight w:val="none"/>
        </w:rPr>
      </w:pPr>
      <w:r>
        <w:rPr>
          <w:rFonts w:hint="eastAsia" w:ascii="宋体" w:hAnsi="宋体"/>
          <w:bCs/>
          <w:color w:val="000000" w:themeColor="text1"/>
          <w:highlight w:val="none"/>
        </w:rPr>
        <w:t xml:space="preserve">3.证明材料均请附在本表之后。</w:t>
      </w:r>
      <w:r>
        <w:rPr>
          <w:color w:val="000000" w:themeColor="text1"/>
        </w:rPr>
      </w:r>
      <w:r/>
    </w:p>
    <w:p>
      <w:pPr>
        <w:spacing w:line="480" w:lineRule="auto"/>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color w:val="000000" w:themeColor="text1"/>
        </w:rPr>
      </w:r>
      <w:r/>
    </w:p>
    <w:p>
      <w:pPr>
        <w:spacing w:line="480" w:lineRule="auto"/>
        <w:rPr>
          <w:rFonts w:ascii="黑体" w:eastAsia="黑体"/>
          <w:color w:val="000000" w:themeColor="text1"/>
          <w:sz w:val="28"/>
          <w:szCs w:val="28"/>
          <w:highlight w:val="none"/>
        </w:rPr>
      </w:pPr>
      <w:r>
        <w:rPr>
          <w:rFonts w:hint="eastAsia" w:ascii="黑体" w:hAnsi="宋体" w:eastAsia="黑体"/>
          <w:bCs/>
          <w:color w:val="000000" w:themeColor="text1"/>
          <w:sz w:val="24"/>
          <w:szCs w:val="24"/>
          <w:highlight w:val="none"/>
        </w:rPr>
        <w:t xml:space="preserve">（十）投标偏离表（格式）：</w:t>
      </w:r>
      <w:r>
        <w:rPr>
          <w:color w:val="000000" w:themeColor="text1"/>
        </w:rPr>
      </w:r>
      <w:r/>
    </w:p>
    <w:p>
      <w:pPr>
        <w:ind w:firstLine="490"/>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投标偏离表</w:t>
      </w:r>
      <w:r>
        <w:rPr>
          <w:color w:val="000000" w:themeColor="text1"/>
        </w:rPr>
      </w:r>
      <w:r/>
    </w:p>
    <w:p>
      <w:pPr>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4"/>
          <w:szCs w:val="24"/>
          <w:highlight w:val="none"/>
        </w:rPr>
        <w:t xml:space="preserve">投标人名称（盖章）                  采购项目编号：</w:t>
      </w:r>
      <w:r>
        <w:rPr>
          <w:rFonts w:hint="eastAsia" w:ascii="黑体" w:eastAsia="黑体"/>
          <w:bCs/>
          <w:color w:val="000000" w:themeColor="text1"/>
          <w:sz w:val="24"/>
          <w:szCs w:val="24"/>
          <w:highlight w:val="none"/>
          <w:lang w:eastAsia="zh-CN"/>
        </w:rPr>
        <w:t xml:space="preserve">JSZC-320200-JSZH-G2026-0068</w:t>
      </w:r>
      <w:r>
        <w:rPr>
          <w:color w:val="000000" w:themeColor="text1"/>
        </w:rPr>
      </w:r>
      <w:r/>
    </w:p>
    <w:tbl>
      <w:tblPr>
        <w:tblStyle w:val="712"/>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rPr>
            </w:r>
            <w:r/>
          </w:p>
        </w:tc>
      </w:tr>
    </w:tbl>
    <w:p>
      <w:pPr>
        <w:rPr>
          <w:rFonts w:ascii="宋体"/>
          <w:b/>
          <w:color w:val="000000" w:themeColor="text1"/>
          <w:sz w:val="24"/>
          <w:szCs w:val="24"/>
          <w:highlight w:val="none"/>
        </w:rPr>
      </w:pPr>
      <w:r>
        <w:rPr>
          <w:rFonts w:ascii="宋体"/>
          <w:b/>
          <w:color w:val="000000" w:themeColor="text1"/>
          <w:sz w:val="24"/>
          <w:szCs w:val="24"/>
          <w:highlight w:val="none"/>
        </w:rPr>
      </w:r>
      <w:r>
        <w:rPr>
          <w:color w:val="000000" w:themeColor="text1"/>
        </w:rPr>
      </w:r>
      <w:r/>
    </w:p>
    <w:p>
      <w:pPr>
        <w:rPr>
          <w:b/>
          <w:bCs/>
          <w:color w:val="000000" w:themeColor="text1"/>
          <w:sz w:val="24"/>
          <w:szCs w:val="24"/>
          <w:highlight w:val="none"/>
        </w:rPr>
      </w:pPr>
      <w:r>
        <w:rPr>
          <w:rFonts w:hint="eastAsia"/>
          <w:b/>
          <w:bCs/>
          <w:color w:val="000000" w:themeColor="text1"/>
          <w:sz w:val="24"/>
          <w:szCs w:val="24"/>
          <w:highlight w:val="none"/>
        </w:rPr>
        <w:t xml:space="preserve">法定代表人或法定代表人授权代表签字或盖章：</w:t>
      </w:r>
      <w:r>
        <w:rPr>
          <w:color w:val="000000" w:themeColor="text1"/>
        </w:rPr>
      </w:r>
      <w:r/>
    </w:p>
    <w:p>
      <w:pPr>
        <w:rPr>
          <w:rFonts w:ascii="宋体"/>
          <w:bCs/>
          <w:color w:val="000000" w:themeColor="text1"/>
          <w:sz w:val="30"/>
          <w:highlight w:val="none"/>
        </w:rPr>
      </w:pPr>
      <w:r>
        <w:rPr>
          <w:rFonts w:ascii="宋体"/>
          <w:bCs/>
          <w:color w:val="000000" w:themeColor="text1"/>
          <w:sz w:val="30"/>
          <w:highlight w:val="none"/>
        </w:rPr>
      </w:r>
      <w:r>
        <w:rPr>
          <w:color w:val="000000" w:themeColor="text1"/>
        </w:rPr>
      </w:r>
      <w:r/>
    </w:p>
    <w:p>
      <w:pP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color w:val="000000" w:themeColor="text1"/>
        </w:rPr>
      </w:r>
      <w:r/>
    </w:p>
    <w:p>
      <w:pPr>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）如无任何服务偏离，请于本表“偏离说明”中注明“无偏离”；</w:t>
      </w:r>
      <w:r>
        <w:rPr>
          <w:color w:val="000000" w:themeColor="text1"/>
        </w:rPr>
      </w:r>
      <w:r/>
    </w:p>
    <w:p>
      <w:pPr>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r>
        <w:rPr>
          <w:color w:val="000000" w:themeColor="text1"/>
        </w:rPr>
      </w:r>
      <w:r/>
    </w:p>
    <w:p>
      <w:pPr>
        <w:ind w:firstLine="42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ind w:firstLine="42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（十一）售后服务承诺（格式）</w:t>
      </w:r>
      <w:r>
        <w:rPr>
          <w:color w:val="000000" w:themeColor="text1"/>
        </w:rPr>
      </w:r>
      <w:r/>
    </w:p>
    <w:p>
      <w:pPr>
        <w:jc w:val="center"/>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售后服务承诺（由投标供应商根据采购文件要求自行编制）；</w:t>
      </w:r>
      <w:r>
        <w:rPr>
          <w:color w:val="000000" w:themeColor="text1"/>
        </w:rPr>
      </w:r>
      <w:r/>
    </w:p>
    <w:p>
      <w:pPr>
        <w:jc w:val="center"/>
        <w:spacing w:line="400" w:lineRule="exact"/>
        <w:rPr>
          <w:color w:val="000000" w:themeColor="text1"/>
          <w:highlight w:val="none"/>
        </w:rPr>
      </w:pPr>
      <w:r>
        <w:rPr>
          <w:rFonts w:hint="eastAsia" w:ascii="宋体" w:hAnsi="宋体"/>
          <w:b/>
          <w:bCs/>
          <w:color w:val="000000" w:themeColor="text1"/>
          <w:sz w:val="30"/>
          <w:szCs w:val="30"/>
          <w:highlight w:val="none"/>
        </w:rPr>
        <w:t xml:space="preserve"> </w:t>
      </w:r>
      <w:r>
        <w:rPr>
          <w:color w:val="000000" w:themeColor="text1"/>
        </w:rPr>
      </w:r>
      <w:r/>
    </w:p>
    <w:p>
      <w:pPr>
        <w:spacing w:line="320" w:lineRule="exact"/>
        <w:rPr>
          <w:color w:val="000000" w:themeColor="text1"/>
          <w:highlight w:val="none"/>
        </w:rPr>
      </w:pPr>
      <w:r>
        <w:rPr>
          <w:rFonts w:hint="eastAsia"/>
          <w:color w:val="000000" w:themeColor="text1"/>
          <w:highlight w:val="none"/>
        </w:rPr>
        <w:t xml:space="preserve">    投标供应商应提供至少以下内容：</w:t>
      </w:r>
      <w:r>
        <w:rPr>
          <w:color w:val="000000" w:themeColor="text1"/>
        </w:rPr>
      </w:r>
      <w:r/>
    </w:p>
    <w:p>
      <w:pPr>
        <w:spacing w:line="320" w:lineRule="exact"/>
        <w:rPr>
          <w:color w:val="000000" w:themeColor="text1"/>
          <w:highlight w:val="none"/>
        </w:rPr>
      </w:pPr>
      <w:r>
        <w:rPr>
          <w:color w:val="000000" w:themeColor="text1"/>
          <w:highlight w:val="none"/>
        </w:rPr>
      </w:r>
      <w:r>
        <w:rPr>
          <w:color w:val="000000" w:themeColor="text1"/>
        </w:rPr>
      </w:r>
      <w:r/>
    </w:p>
    <w:tbl>
      <w:tblPr>
        <w:tblStyle w:val="712"/>
        <w:tblW w:w="8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000000" w:themeColor="text1"/>
                <w:highlight w:val="none"/>
              </w:rPr>
            </w:pPr>
            <w:r>
              <w:rPr>
                <w:rFonts w:hint="eastAsia"/>
                <w:color w:val="000000" w:themeColor="text1"/>
                <w:highlight w:val="none"/>
              </w:rPr>
              <w:t xml:space="preserve">地址</w:t>
            </w:r>
            <w:r>
              <w:rPr>
                <w:color w:val="000000" w:themeColor="text1"/>
              </w:rPr>
            </w:r>
            <w:r/>
          </w:p>
        </w:tc>
        <w:tc>
          <w:tcPr>
            <w:tcW w:w="2020" w:type="dxa"/>
            <w:vAlign w:val="center"/>
            <w:textDirection w:val="lrTb"/>
            <w:noWrap w:val="false"/>
          </w:tcPr>
          <w:p>
            <w:pPr>
              <w:jc w:val="center"/>
              <w:rPr>
                <w:color w:val="000000" w:themeColor="text1"/>
                <w:highlight w:val="none"/>
              </w:rPr>
            </w:pPr>
            <w:r>
              <w:rPr>
                <w:rFonts w:hint="eastAsia"/>
                <w:color w:val="000000" w:themeColor="text1"/>
                <w:highlight w:val="none"/>
              </w:rPr>
              <w:t xml:space="preserve">联系人</w:t>
            </w:r>
            <w:r>
              <w:rPr>
                <w:color w:val="000000" w:themeColor="text1"/>
              </w:rPr>
            </w:r>
            <w:r/>
          </w:p>
        </w:tc>
        <w:tc>
          <w:tcPr>
            <w:tcW w:w="2020" w:type="dxa"/>
            <w:vAlign w:val="center"/>
            <w:textDirection w:val="lrTb"/>
            <w:noWrap w:val="false"/>
          </w:tcPr>
          <w:p>
            <w:pPr>
              <w:jc w:val="center"/>
              <w:rPr>
                <w:color w:val="000000" w:themeColor="text1"/>
                <w:highlight w:val="none"/>
              </w:rPr>
            </w:pPr>
            <w:r>
              <w:rPr>
                <w:rFonts w:hint="eastAsia"/>
                <w:color w:val="000000" w:themeColor="text1"/>
                <w:highlight w:val="none"/>
              </w:rPr>
              <w:t xml:space="preserve">联系电话</w:t>
            </w:r>
            <w:r>
              <w:rPr>
                <w:color w:val="000000" w:themeColor="text1"/>
              </w:rPr>
            </w:r>
            <w:r/>
          </w:p>
        </w:tc>
        <w:tc>
          <w:tcPr>
            <w:tcW w:w="2020" w:type="dxa"/>
            <w:vAlign w:val="center"/>
            <w:textDirection w:val="lrTb"/>
            <w:noWrap w:val="false"/>
          </w:tcPr>
          <w:p>
            <w:pPr>
              <w:jc w:val="center"/>
              <w:rPr>
                <w:color w:val="000000" w:themeColor="text1"/>
                <w:highlight w:val="none"/>
              </w:rPr>
            </w:pPr>
            <w:r>
              <w:rPr>
                <w:rFonts w:hint="eastAsia"/>
                <w:color w:val="000000" w:themeColor="text1"/>
                <w:highlight w:val="none"/>
              </w:rPr>
              <w:t xml:space="preserve">备注</w:t>
            </w:r>
            <w:r>
              <w:rPr>
                <w:color w:val="000000" w:themeColor="text1"/>
              </w:rPr>
            </w:r>
            <w:r/>
          </w:p>
        </w:tc>
      </w:tr>
      <w:tr>
        <w:trPr>
          <w:jc w:val="center"/>
          <w:trHeight w:val="379"/>
        </w:trPr>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r>
      <w:tr>
        <w:trPr>
          <w:jc w:val="center"/>
          <w:trHeight w:val="379"/>
        </w:trPr>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r>
      <w:tr>
        <w:trPr>
          <w:jc w:val="center"/>
          <w:trHeight w:val="379"/>
        </w:trPr>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r>
      <w:tr>
        <w:trPr>
          <w:jc w:val="center"/>
          <w:trHeight w:val="379"/>
        </w:trPr>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r>
      <w:tr>
        <w:trPr>
          <w:jc w:val="center"/>
          <w:trHeight w:val="379"/>
        </w:trPr>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r>
      <w:tr>
        <w:trPr>
          <w:jc w:val="center"/>
          <w:trHeight w:val="379"/>
        </w:trPr>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r>
      <w:tr>
        <w:trPr>
          <w:jc w:val="center"/>
          <w:trHeight w:val="379"/>
        </w:trPr>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c>
          <w:tcPr>
            <w:tcW w:w="2020" w:type="dxa"/>
            <w:vAlign w:val="center"/>
            <w:textDirection w:val="lrTb"/>
            <w:noWrap w:val="false"/>
          </w:tcPr>
          <w:p>
            <w:pPr>
              <w:jc w:val="center"/>
              <w:rPr>
                <w:color w:val="000000" w:themeColor="text1"/>
                <w:highlight w:val="none"/>
              </w:rPr>
            </w:pPr>
            <w:r>
              <w:rPr>
                <w:color w:val="000000" w:themeColor="text1"/>
                <w:highlight w:val="none"/>
              </w:rPr>
            </w:r>
            <w:r>
              <w:rPr>
                <w:color w:val="000000" w:themeColor="text1"/>
              </w:rPr>
            </w:r>
            <w:r/>
          </w:p>
        </w:tc>
      </w:tr>
    </w:tbl>
    <w:p>
      <w:pPr>
        <w:rPr>
          <w:color w:val="000000" w:themeColor="text1"/>
          <w:highlight w:val="none"/>
        </w:rPr>
      </w:pPr>
      <w:r>
        <w:rPr>
          <w:rFonts w:hint="eastAsia"/>
          <w:color w:val="000000" w:themeColor="text1"/>
          <w:highlight w:val="none"/>
        </w:rPr>
        <w:t xml:space="preserve"> </w:t>
      </w:r>
      <w:r>
        <w:rPr>
          <w:color w:val="000000" w:themeColor="text1"/>
        </w:rPr>
      </w:r>
      <w:r/>
    </w:p>
    <w:p>
      <w:pPr>
        <w:ind w:firstLine="480"/>
        <w:spacing w:line="480" w:lineRule="auto"/>
        <w:rPr>
          <w:rFonts w:ascii="宋体" w:hAnsi="宋体"/>
          <w:color w:val="000000" w:themeColor="text1"/>
          <w:highlight w:val="none"/>
        </w:rPr>
      </w:pPr>
      <w:r>
        <w:rPr>
          <w:rFonts w:hint="eastAsia" w:ascii="宋体" w:hAnsi="宋体"/>
          <w:color w:val="000000" w:themeColor="text1"/>
          <w:highlight w:val="none"/>
        </w:rPr>
        <w:t xml:space="preserve">投标供应商（公章）：</w:t>
      </w:r>
      <w:r>
        <w:rPr>
          <w:color w:val="000000" w:themeColor="text1"/>
        </w:rPr>
      </w:r>
      <w:r/>
    </w:p>
    <w:p>
      <w:pPr>
        <w:ind w:firstLine="480"/>
        <w:spacing w:line="480" w:lineRule="auto"/>
        <w:rPr>
          <w:rFonts w:ascii="宋体" w:hAnsi="宋体"/>
          <w:bCs/>
          <w:color w:val="000000" w:themeColor="text1"/>
          <w:szCs w:val="21"/>
          <w:highlight w:val="none"/>
        </w:rPr>
      </w:pPr>
      <w:r>
        <w:rPr>
          <w:rFonts w:hint="eastAsia" w:ascii="宋体" w:hAnsi="宋体"/>
          <w:color w:val="000000" w:themeColor="text1"/>
          <w:highlight w:val="none"/>
        </w:rPr>
        <w:t xml:space="preserve">法定代表人或法定代表人授权代表签字或盖章：</w:t>
      </w:r>
      <w:r>
        <w:rPr>
          <w:color w:val="000000" w:themeColor="text1"/>
        </w:rPr>
      </w:r>
      <w:r/>
    </w:p>
    <w:p>
      <w:pPr>
        <w:ind w:firstLine="240"/>
        <w:spacing w:line="360" w:lineRule="auto"/>
        <w:rPr>
          <w:rFonts w:ascii="黑体" w:hAnsi="宋体" w:eastAsia="黑体"/>
          <w:bCs/>
          <w:color w:val="000000" w:themeColor="text1"/>
          <w:sz w:val="24"/>
          <w:highlight w:val="none"/>
        </w:rPr>
      </w:pPr>
      <w:r>
        <w:rPr>
          <w:rFonts w:ascii="宋体" w:hAnsi="宋体"/>
          <w:bCs/>
          <w:color w:val="000000" w:themeColor="text1"/>
          <w:szCs w:val="21"/>
          <w:highlight w:val="none"/>
        </w:rPr>
        <w:br w:type="page" w:clear="all"/>
      </w:r>
      <w:r>
        <w:rPr>
          <w:rFonts w:hint="eastAsia" w:ascii="黑体" w:hAnsi="宋体" w:eastAsia="黑体"/>
          <w:bCs/>
          <w:color w:val="000000" w:themeColor="text1"/>
          <w:sz w:val="24"/>
          <w:szCs w:val="24"/>
          <w:highlight w:val="none"/>
        </w:rPr>
        <w:t xml:space="preserve">（十二）投标人基本情况声明</w:t>
      </w:r>
      <w:r>
        <w:rPr>
          <w:color w:val="000000" w:themeColor="text1"/>
        </w:rPr>
      </w:r>
      <w:r/>
    </w:p>
    <w:p>
      <w:pPr>
        <w:jc w:val="center"/>
        <w:spacing w:line="4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（内容写不完的栏目可相应扩展）</w:t>
      </w:r>
      <w:r>
        <w:rPr>
          <w:color w:val="000000" w:themeColor="text1"/>
        </w:rPr>
      </w:r>
      <w:r/>
    </w:p>
    <w:p>
      <w:pPr>
        <w:pStyle w:val="717"/>
        <w:ind w:firstLine="480"/>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投标人基本情况声明</w:t>
      </w:r>
      <w:r>
        <w:rPr>
          <w:color w:val="000000" w:themeColor="text1"/>
        </w:rPr>
      </w:r>
      <w:r/>
    </w:p>
    <w:p>
      <w:pPr>
        <w:pStyle w:val="717"/>
        <w:ind w:firstLine="480"/>
        <w:rPr>
          <w:rFonts w:ascii="宋体" w:hAnsi="宋体"/>
          <w:color w:val="000000" w:themeColor="text1"/>
          <w:sz w:val="24"/>
          <w:highlight w:val="none"/>
        </w:rPr>
      </w:pPr>
      <w:r>
        <w:rPr>
          <w:rFonts w:hint="eastAsia" w:ascii="宋体" w:hAnsi="宋体"/>
          <w:color w:val="000000" w:themeColor="text1"/>
          <w:sz w:val="24"/>
          <w:highlight w:val="none"/>
        </w:rPr>
        <w:t xml:space="preserve">单位名称（盖章）</w:t>
      </w:r>
      <w:r>
        <w:rPr>
          <w:color w:val="000000" w:themeColor="text1"/>
        </w:rPr>
      </w:r>
      <w:r/>
    </w:p>
    <w:tbl>
      <w:tblPr>
        <w:tblStyle w:val="712"/>
        <w:tblW w:w="91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15"/>
        <w:gridCol w:w="1805"/>
        <w:gridCol w:w="149"/>
        <w:gridCol w:w="1757"/>
        <w:gridCol w:w="2601"/>
      </w:tblGrid>
      <w:tr>
        <w:trPr/>
        <w:tc>
          <w:tcPr>
            <w:tcW w:w="281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法定代表人</w:t>
            </w:r>
            <w:r>
              <w:rPr>
                <w:color w:val="000000" w:themeColor="text1"/>
              </w:rPr>
            </w:r>
            <w:r/>
          </w:p>
        </w:tc>
        <w:tc>
          <w:tcPr>
            <w:gridSpan w:val="2"/>
            <w:tcW w:w="1954"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57"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成立日期</w:t>
            </w:r>
            <w:r>
              <w:rPr>
                <w:color w:val="000000" w:themeColor="text1"/>
              </w:rPr>
            </w:r>
            <w:r/>
          </w:p>
        </w:tc>
        <w:tc>
          <w:tcPr>
            <w:tcW w:w="2601"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281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企业地址</w:t>
            </w:r>
            <w:r>
              <w:rPr>
                <w:color w:val="000000" w:themeColor="text1"/>
              </w:rPr>
            </w:r>
            <w:r/>
          </w:p>
        </w:tc>
        <w:tc>
          <w:tcPr>
            <w:gridSpan w:val="2"/>
            <w:tcW w:w="1954"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57"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注册资本</w:t>
            </w:r>
            <w:r>
              <w:rPr>
                <w:color w:val="000000" w:themeColor="text1"/>
              </w:rPr>
            </w:r>
            <w:r/>
          </w:p>
        </w:tc>
        <w:tc>
          <w:tcPr>
            <w:tcW w:w="2601"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万元</w:t>
            </w:r>
            <w:r>
              <w:rPr>
                <w:color w:val="000000" w:themeColor="text1"/>
              </w:rPr>
            </w:r>
            <w:r/>
          </w:p>
        </w:tc>
      </w:tr>
      <w:tr>
        <w:trPr/>
        <w:tc>
          <w:tcPr>
            <w:tcW w:w="281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经营范围</w:t>
            </w:r>
            <w:r>
              <w:rPr>
                <w:color w:val="000000" w:themeColor="text1"/>
              </w:rPr>
            </w:r>
            <w:r/>
          </w:p>
        </w:tc>
        <w:tc>
          <w:tcPr>
            <w:gridSpan w:val="4"/>
            <w:tcW w:w="6312"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281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职工人数</w:t>
            </w:r>
            <w:r>
              <w:rPr>
                <w:color w:val="000000" w:themeColor="text1"/>
              </w:rPr>
            </w:r>
            <w:r/>
          </w:p>
        </w:tc>
        <w:tc>
          <w:tcPr>
            <w:tcW w:w="1805"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gridSpan w:val="3"/>
            <w:tcW w:w="4507"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其中：</w:t>
            </w:r>
            <w:r>
              <w:rPr>
                <w:color w:val="000000" w:themeColor="text1"/>
              </w:rPr>
            </w:r>
            <w:r/>
          </w:p>
          <w:p>
            <w:pPr>
              <w:pStyle w:val="717"/>
              <w:ind w:left="478"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中级职称人数、</w:t>
            </w:r>
            <w:r>
              <w:rPr>
                <w:color w:val="000000" w:themeColor="text1"/>
              </w:rPr>
            </w:r>
            <w:r/>
          </w:p>
          <w:p>
            <w:pPr>
              <w:pStyle w:val="717"/>
              <w:ind w:left="478"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高级职称人数</w:t>
            </w:r>
            <w:r>
              <w:rPr>
                <w:color w:val="000000" w:themeColor="text1"/>
              </w:rPr>
            </w:r>
            <w:r/>
          </w:p>
        </w:tc>
      </w:tr>
      <w:tr>
        <w:trPr>
          <w:trHeight w:val="566"/>
        </w:trPr>
        <w:tc>
          <w:tcPr>
            <w:tcW w:w="281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2025年12月资产总额</w:t>
            </w:r>
            <w:r>
              <w:rPr>
                <w:color w:val="000000" w:themeColor="text1"/>
              </w:rPr>
            </w:r>
            <w:r/>
          </w:p>
        </w:tc>
        <w:tc>
          <w:tcPr>
            <w:tcW w:w="180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万元</w:t>
            </w:r>
            <w:r>
              <w:rPr>
                <w:color w:val="000000" w:themeColor="text1"/>
              </w:rPr>
            </w:r>
            <w:r/>
          </w:p>
        </w:tc>
        <w:tc>
          <w:tcPr>
            <w:gridSpan w:val="2"/>
            <w:tcW w:w="1906"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净资产</w:t>
            </w:r>
            <w:r>
              <w:rPr>
                <w:color w:val="000000" w:themeColor="text1"/>
              </w:rPr>
            </w:r>
            <w:r/>
          </w:p>
        </w:tc>
        <w:tc>
          <w:tcPr>
            <w:tcW w:w="2601"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万元</w:t>
            </w:r>
            <w:r>
              <w:rPr>
                <w:color w:val="000000" w:themeColor="text1"/>
              </w:rPr>
            </w:r>
            <w:r/>
          </w:p>
        </w:tc>
      </w:tr>
      <w:tr>
        <w:trPr/>
        <w:tc>
          <w:tcPr>
            <w:tcW w:w="281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2025年12月股东权益</w:t>
            </w:r>
            <w:r>
              <w:rPr>
                <w:color w:val="000000" w:themeColor="text1"/>
              </w:rPr>
            </w:r>
            <w:r/>
          </w:p>
        </w:tc>
        <w:tc>
          <w:tcPr>
            <w:tcW w:w="180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万元</w:t>
            </w:r>
            <w:r>
              <w:rPr>
                <w:color w:val="000000" w:themeColor="text1"/>
              </w:rPr>
            </w:r>
            <w:r/>
          </w:p>
        </w:tc>
        <w:tc>
          <w:tcPr>
            <w:gridSpan w:val="2"/>
            <w:tcW w:w="1906"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2025</w:t>
            </w:r>
            <w:r>
              <w:rPr>
                <w:rFonts w:ascii="宋体" w:hAnsi="宋体"/>
                <w:color w:val="000000" w:themeColor="text1"/>
                <w:sz w:val="24"/>
                <w:highlight w:val="none"/>
              </w:rPr>
              <w:t xml:space="preserve">年</w:t>
            </w:r>
            <w:r>
              <w:rPr>
                <w:rFonts w:hint="eastAsia" w:ascii="宋体" w:hAnsi="宋体"/>
                <w:color w:val="000000" w:themeColor="text1"/>
                <w:sz w:val="24"/>
                <w:highlight w:val="none"/>
              </w:rPr>
              <w:t xml:space="preserve">业务收入</w:t>
            </w:r>
            <w:r>
              <w:rPr>
                <w:color w:val="000000" w:themeColor="text1"/>
              </w:rPr>
            </w:r>
            <w:r/>
          </w:p>
        </w:tc>
        <w:tc>
          <w:tcPr>
            <w:tcW w:w="2601"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万元</w:t>
            </w:r>
            <w:r>
              <w:rPr>
                <w:color w:val="000000" w:themeColor="text1"/>
              </w:rPr>
            </w:r>
            <w:r/>
          </w:p>
        </w:tc>
      </w:tr>
      <w:tr>
        <w:trPr/>
        <w:tc>
          <w:tcPr>
            <w:tcW w:w="281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2025年实现利润</w:t>
            </w:r>
            <w:r>
              <w:rPr>
                <w:color w:val="000000" w:themeColor="text1"/>
              </w:rPr>
            </w:r>
            <w:r/>
          </w:p>
        </w:tc>
        <w:tc>
          <w:tcPr>
            <w:tcW w:w="180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万元</w:t>
            </w:r>
            <w:r>
              <w:rPr>
                <w:color w:val="000000" w:themeColor="text1"/>
              </w:rPr>
            </w:r>
            <w:r/>
          </w:p>
        </w:tc>
        <w:tc>
          <w:tcPr>
            <w:gridSpan w:val="2"/>
            <w:tcW w:w="1906"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601"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281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办公面积</w:t>
            </w:r>
            <w:r>
              <w:rPr>
                <w:color w:val="000000" w:themeColor="text1"/>
              </w:rPr>
            </w:r>
            <w:r/>
          </w:p>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05"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平方米</w:t>
            </w:r>
            <w:r>
              <w:rPr>
                <w:color w:val="000000" w:themeColor="text1"/>
              </w:rPr>
            </w:r>
            <w:r/>
          </w:p>
        </w:tc>
        <w:tc>
          <w:tcPr>
            <w:gridSpan w:val="2"/>
            <w:tcW w:w="1906"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其中：</w:t>
            </w:r>
            <w:r>
              <w:rPr>
                <w:color w:val="000000" w:themeColor="text1"/>
              </w:rPr>
            </w:r>
            <w:r/>
          </w:p>
        </w:tc>
        <w:tc>
          <w:tcPr>
            <w:tcW w:w="2601"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自有面积</w:t>
            </w:r>
            <w:r>
              <w:rPr>
                <w:rFonts w:ascii="宋体" w:hAnsi="宋体"/>
                <w:color w:val="000000" w:themeColor="text1"/>
                <w:sz w:val="24"/>
                <w:highlight w:val="none"/>
              </w:rPr>
              <w:t xml:space="preserve">    平方米</w:t>
            </w:r>
            <w:r>
              <w:rPr>
                <w:color w:val="000000" w:themeColor="text1"/>
              </w:rPr>
            </w:r>
            <w:r/>
          </w:p>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承租面积</w:t>
            </w:r>
            <w:r>
              <w:rPr>
                <w:rFonts w:ascii="宋体" w:hAnsi="宋体"/>
                <w:color w:val="000000" w:themeColor="text1"/>
                <w:sz w:val="24"/>
                <w:highlight w:val="none"/>
              </w:rPr>
              <w:t xml:space="preserve">    平方米</w:t>
            </w:r>
            <w:r>
              <w:rPr>
                <w:color w:val="000000" w:themeColor="text1"/>
              </w:rPr>
            </w:r>
            <w:r/>
          </w:p>
        </w:tc>
      </w:tr>
      <w:tr>
        <w:trPr>
          <w:trHeight w:val="590"/>
        </w:trPr>
        <w:tc>
          <w:tcPr>
            <w:gridSpan w:val="2"/>
            <w:tcW w:w="4620" w:type="dxa"/>
            <w:vAlign w:val="center"/>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单位简历及内设机构情况</w:t>
            </w:r>
            <w:r>
              <w:rPr>
                <w:color w:val="000000" w:themeColor="text1"/>
              </w:rPr>
            </w:r>
            <w:r/>
          </w:p>
        </w:tc>
        <w:tc>
          <w:tcPr>
            <w:gridSpan w:val="3"/>
            <w:tcW w:w="4507"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95"/>
        </w:trPr>
        <w:tc>
          <w:tcPr>
            <w:gridSpan w:val="2"/>
            <w:tcW w:w="4620" w:type="dxa"/>
            <w:vAlign w:val="center"/>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单位优势及特长</w:t>
            </w:r>
            <w:r>
              <w:rPr>
                <w:color w:val="000000" w:themeColor="text1"/>
              </w:rPr>
            </w:r>
            <w:r/>
          </w:p>
        </w:tc>
        <w:tc>
          <w:tcPr>
            <w:gridSpan w:val="3"/>
            <w:tcW w:w="4507"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gridSpan w:val="2"/>
            <w:tcW w:w="4620" w:type="dxa"/>
            <w:vAlign w:val="center"/>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近三年来完成或正在履行的重大合同情况</w:t>
            </w:r>
            <w:r>
              <w:rPr>
                <w:color w:val="000000" w:themeColor="text1"/>
              </w:rPr>
            </w:r>
            <w:r/>
          </w:p>
        </w:tc>
        <w:tc>
          <w:tcPr>
            <w:gridSpan w:val="3"/>
            <w:tcW w:w="4507"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gridSpan w:val="2"/>
            <w:tcW w:w="4620" w:type="dxa"/>
            <w:vAlign w:val="center"/>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bCs/>
                <w:color w:val="000000" w:themeColor="text1"/>
                <w:sz w:val="24"/>
                <w:highlight w:val="none"/>
              </w:rPr>
              <w:t xml:space="preserve">近三年来受行业主管部门考核评价及业主评价意见</w:t>
            </w:r>
            <w:r>
              <w:rPr>
                <w:color w:val="000000" w:themeColor="text1"/>
              </w:rPr>
            </w:r>
            <w:r/>
          </w:p>
        </w:tc>
        <w:tc>
          <w:tcPr>
            <w:gridSpan w:val="3"/>
            <w:tcW w:w="4507"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965"/>
        </w:trPr>
        <w:tc>
          <w:tcPr>
            <w:gridSpan w:val="2"/>
            <w:tcW w:w="4620" w:type="dxa"/>
            <w:vAlign w:val="center"/>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最近</w:t>
            </w:r>
            <w:r>
              <w:rPr>
                <w:rFonts w:ascii="宋体" w:hAnsi="宋体"/>
                <w:color w:val="000000" w:themeColor="text1"/>
                <w:sz w:val="24"/>
                <w:highlight w:val="none"/>
              </w:rPr>
              <w:t xml:space="preserve">3年内有无因</w:t>
            </w:r>
            <w:r>
              <w:rPr>
                <w:rFonts w:hint="eastAsia" w:ascii="宋体" w:hAnsi="宋体"/>
                <w:color w:val="000000" w:themeColor="text1"/>
                <w:sz w:val="24"/>
                <w:highlight w:val="none"/>
              </w:rPr>
              <w:t xml:space="preserve">违纪或</w:t>
            </w:r>
            <w:r>
              <w:rPr>
                <w:rFonts w:ascii="宋体" w:hAnsi="宋体"/>
                <w:color w:val="000000" w:themeColor="text1"/>
                <w:sz w:val="24"/>
                <w:highlight w:val="none"/>
              </w:rPr>
              <w:t xml:space="preserve">其他原因被投诉或起诉的情况及说明</w:t>
            </w:r>
            <w:r>
              <w:rPr>
                <w:color w:val="000000" w:themeColor="text1"/>
              </w:rPr>
            </w:r>
            <w:r/>
          </w:p>
        </w:tc>
        <w:tc>
          <w:tcPr>
            <w:gridSpan w:val="3"/>
            <w:tcW w:w="4507" w:type="dxa"/>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（包括解决方式和结果）</w:t>
            </w:r>
            <w:r>
              <w:rPr>
                <w:color w:val="000000" w:themeColor="text1"/>
              </w:rPr>
            </w:r>
            <w:r/>
          </w:p>
        </w:tc>
      </w:tr>
      <w:tr>
        <w:trPr>
          <w:trHeight w:val="1004"/>
        </w:trPr>
        <w:tc>
          <w:tcPr>
            <w:gridSpan w:val="2"/>
            <w:tcW w:w="4620" w:type="dxa"/>
            <w:vAlign w:val="center"/>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最近</w:t>
            </w:r>
            <w:r>
              <w:rPr>
                <w:rFonts w:ascii="宋体" w:hAnsi="宋体"/>
                <w:color w:val="000000" w:themeColor="text1"/>
                <w:sz w:val="24"/>
                <w:highlight w:val="none"/>
              </w:rPr>
              <w:t xml:space="preserve">3年内主要负责人有无因经济犯罪被司法机关追究的情况及说明</w:t>
            </w:r>
            <w:r>
              <w:rPr>
                <w:color w:val="000000" w:themeColor="text1"/>
              </w:rPr>
            </w:r>
            <w:r/>
          </w:p>
        </w:tc>
        <w:tc>
          <w:tcPr>
            <w:gridSpan w:val="3"/>
            <w:tcW w:w="4507" w:type="dxa"/>
            <w:textDirection w:val="lrTb"/>
            <w:noWrap/>
          </w:tcPr>
          <w:p>
            <w:pPr>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747"/>
        </w:trPr>
        <w:tc>
          <w:tcPr>
            <w:gridSpan w:val="2"/>
            <w:tcW w:w="4620" w:type="dxa"/>
            <w:vAlign w:val="center"/>
            <w:textDirection w:val="lrTb"/>
            <w:noWrap/>
          </w:tcPr>
          <w:p>
            <w:pPr>
              <w:pStyle w:val="717"/>
              <w:ind w:firstLine="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其他需要说明的情况</w:t>
            </w:r>
            <w:r>
              <w:rPr>
                <w:color w:val="000000" w:themeColor="text1"/>
              </w:rPr>
            </w:r>
            <w:r/>
          </w:p>
        </w:tc>
        <w:tc>
          <w:tcPr>
            <w:gridSpan w:val="3"/>
            <w:tcW w:w="4507" w:type="dxa"/>
            <w:textDirection w:val="lrTb"/>
            <w:noWrap/>
          </w:tcPr>
          <w:p>
            <w:pPr>
              <w:pStyle w:val="717"/>
              <w:ind w:firstLine="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717"/>
        <w:ind w:firstLine="480"/>
        <w:rPr>
          <w:rFonts w:ascii="宋体" w:hAnsi="宋体"/>
          <w:color w:val="000000" w:themeColor="text1"/>
          <w:sz w:val="24"/>
          <w:highlight w:val="none"/>
        </w:rPr>
      </w:pPr>
      <w:r>
        <w:rPr>
          <w:rFonts w:hint="eastAsia" w:ascii="宋体" w:hAnsi="宋体"/>
          <w:color w:val="000000" w:themeColor="text1"/>
          <w:sz w:val="24"/>
          <w:highlight w:val="none"/>
        </w:rPr>
        <w:t xml:space="preserve">注：本表可以扩展。</w:t>
      </w:r>
      <w:r>
        <w:rPr>
          <w:color w:val="000000" w:themeColor="text1"/>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highlight w:val="none"/>
        </w:rPr>
        <w:t xml:space="preserve">法定代表人或授权代表签字或盖章：</w:t>
      </w:r>
      <w:r>
        <w:rPr>
          <w:color w:val="000000" w:themeColor="text1"/>
        </w:rPr>
      </w:r>
      <w:r/>
    </w:p>
    <w:p>
      <w:pPr>
        <w:ind w:firstLine="480"/>
        <w:spacing w:line="360" w:lineRule="auto"/>
        <w:rPr>
          <w:rFonts w:ascii="宋体" w:hAnsi="宋体"/>
          <w:bCs/>
          <w:color w:val="000000" w:themeColor="text1"/>
          <w:szCs w:val="21"/>
          <w:highlight w:val="none"/>
        </w:rPr>
      </w:pPr>
      <w:r>
        <w:rPr>
          <w:rFonts w:ascii="宋体" w:hAnsi="宋体"/>
          <w:bCs/>
          <w:color w:val="000000" w:themeColor="text1"/>
          <w:szCs w:val="21"/>
          <w:highlight w:val="none"/>
        </w:rPr>
        <w:br w:type="page" w:clear="all"/>
      </w:r>
      <w:r>
        <w:rPr>
          <w:color w:val="000000" w:themeColor="text1"/>
        </w:rPr>
      </w:r>
      <w:r/>
    </w:p>
    <w:p>
      <w:pPr>
        <w:spacing w:line="360" w:lineRule="auto"/>
        <w:rPr>
          <w:rFonts w:ascii="宋体" w:hAnsi="宋体" w:cs="宋体"/>
          <w:b/>
          <w:color w:val="000000" w:themeColor="text1"/>
          <w:sz w:val="30"/>
          <w:szCs w:val="30"/>
          <w:highlight w:val="none"/>
        </w:rPr>
      </w:pPr>
      <w:r>
        <w:rPr>
          <w:rFonts w:hint="eastAsia" w:ascii="黑体" w:hAnsi="宋体" w:eastAsia="黑体"/>
          <w:bCs/>
          <w:color w:val="000000" w:themeColor="text1"/>
          <w:sz w:val="24"/>
          <w:szCs w:val="24"/>
          <w:highlight w:val="none"/>
        </w:rPr>
        <w:t xml:space="preserve">（十三）关于符合本国产品标准的声明函（格式）</w:t>
      </w:r>
      <w:r>
        <w:rPr>
          <w:color w:val="000000" w:themeColor="text1"/>
        </w:rPr>
      </w:r>
      <w:r/>
    </w:p>
    <w:p>
      <w:pPr>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rPr>
      </w:r>
      <w:r/>
    </w:p>
    <w:p>
      <w:pPr>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rPr>
      </w:r>
      <w:r/>
    </w:p>
    <w:p>
      <w:pPr>
        <w:ind w:firstLine="560"/>
        <w:jc w:val="center"/>
        <w:spacing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关于符合本国产品标准的声明函</w:t>
      </w:r>
      <w:r>
        <w:rPr>
          <w:color w:val="000000" w:themeColor="text1"/>
        </w:rPr>
      </w:r>
      <w:r/>
    </w:p>
    <w:p>
      <w:pPr>
        <w:ind w:firstLine="420"/>
        <w:spacing w:line="360" w:lineRule="auto"/>
        <w:rPr>
          <w:color w:val="000000" w:themeColor="text1"/>
          <w:highlight w:val="none"/>
        </w:rPr>
      </w:pPr>
      <w:r>
        <w:rPr>
          <w:color w:val="000000" w:themeColor="text1"/>
          <w:highlight w:val="none"/>
        </w:rPr>
        <w:t xml:space="preserve"> </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1.（产品名称1）</w:t>
      </w:r>
      <w:r>
        <w:rPr>
          <w:rFonts w:hint="eastAsia" w:ascii="宋体" w:hAnsi="宋体"/>
          <w:bCs/>
          <w:color w:val="000000" w:themeColor="text1"/>
          <w:sz w:val="24"/>
          <w:szCs w:val="24"/>
          <w:highlight w:val="none"/>
          <w:vertAlign w:val="superscript"/>
        </w:rPr>
        <w:t xml:space="preserve">1</w:t>
      </w:r>
      <w:r>
        <w:rPr>
          <w:rFonts w:hint="eastAsia" w:ascii="宋体" w:hAnsi="宋体"/>
          <w:bCs/>
          <w:color w:val="000000" w:themeColor="text1"/>
          <w:sz w:val="24"/>
          <w:szCs w:val="24"/>
          <w:highlight w:val="none"/>
        </w:rPr>
        <w:t xml:space="preserve">，生产厂为（厂名）</w:t>
      </w:r>
      <w:r>
        <w:rPr>
          <w:rFonts w:hint="eastAsia" w:ascii="宋体" w:hAnsi="宋体"/>
          <w:bCs/>
          <w:color w:val="000000" w:themeColor="text1"/>
          <w:sz w:val="24"/>
          <w:szCs w:val="24"/>
          <w:highlight w:val="none"/>
          <w:vertAlign w:val="superscript"/>
        </w:rPr>
        <w:t xml:space="preserve">2</w:t>
      </w:r>
      <w:r>
        <w:rPr>
          <w:rFonts w:hint="eastAsia" w:ascii="宋体" w:hAnsi="宋体"/>
          <w:bCs/>
          <w:color w:val="000000" w:themeColor="text1"/>
          <w:sz w:val="24"/>
          <w:szCs w:val="24"/>
          <w:highlight w:val="none"/>
        </w:rPr>
        <w:t xml:space="preserve">，厂址为（生产厂址）。（</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3</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4</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5</w:t>
      </w:r>
      <w:r>
        <w:rPr>
          <w:rFonts w:hint="eastAsia" w:ascii="宋体" w:hAnsi="宋体"/>
          <w:bCs/>
          <w:color w:val="000000" w:themeColor="text1"/>
          <w:sz w:val="24"/>
          <w:szCs w:val="24"/>
          <w:highlight w:val="none"/>
        </w:rPr>
        <w:t xml:space="preserve">在中国境内完成。</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2.（产品名称2），生产厂为（厂名），厂址为（生产厂址）。（</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）在中国境内完成。</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color w:val="000000" w:themeColor="text1"/>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本公司（单位）对上述声明内容的真实性负责。如有虚假，愿承担相应法律责任。</w:t>
      </w:r>
      <w:r>
        <w:rPr>
          <w:color w:val="000000" w:themeColor="text1"/>
        </w:rPr>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rPr>
          <w:color w:val="000000" w:themeColor="text1"/>
        </w:rPr>
      </w:r>
      <w:r/>
    </w:p>
    <w:p>
      <w:pPr>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公司（单位）名称（盖章）：          </w:t>
      </w:r>
      <w:r>
        <w:rPr>
          <w:color w:val="000000" w:themeColor="text1"/>
        </w:rPr>
      </w:r>
      <w:r/>
    </w:p>
    <w:p>
      <w:pPr>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年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月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          </w:t>
      </w:r>
      <w:r>
        <w:rPr>
          <w:color w:val="000000" w:themeColor="text1"/>
        </w:rPr>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rPr>
      </w:pPr>
      <w:r>
        <w:rPr>
          <w:rFonts w:ascii="inherit" w:hAnsi="inherit" w:eastAsia="仿宋" w:cs="宋体"/>
          <w:color w:val="000000" w:themeColor="text1"/>
          <w:sz w:val="28"/>
          <w:szCs w:val="28"/>
          <w:highlight w:val="none"/>
        </w:rPr>
        <w:t xml:space="preserve">__________________</w:t>
      </w:r>
      <w:r>
        <w:rPr>
          <w:color w:val="000000" w:themeColor="text1"/>
        </w:rPr>
      </w:r>
      <w:r/>
    </w:p>
    <w:p>
      <w:pPr>
        <w:ind w:firstLine="482"/>
        <w:jc w:val="left"/>
        <w:spacing w:line="360" w:lineRule="auto"/>
        <w:shd w:val="clear" w:color="auto" w:fill="ffffff"/>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1.产品如有型号，请在“产品名称”栏一并填写。</w:t>
      </w:r>
      <w:r>
        <w:rPr>
          <w:color w:val="000000" w:themeColor="text1"/>
        </w:rPr>
      </w:r>
      <w:r/>
    </w:p>
    <w:p>
      <w:pPr>
        <w:ind w:firstLine="482"/>
        <w:jc w:val="left"/>
        <w:spacing w:line="360" w:lineRule="auto"/>
        <w:shd w:val="clear" w:color="auto" w:fill="ffffff"/>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2.生产厂名与厂址应与生产厂营业执照载明的相关信息保持一致。</w:t>
      </w:r>
      <w:r>
        <w:rPr>
          <w:color w:val="000000" w:themeColor="text1"/>
        </w:rPr>
      </w:r>
      <w:r/>
    </w:p>
    <w:p>
      <w:pPr>
        <w:ind w:firstLine="482"/>
        <w:jc w:val="left"/>
        <w:spacing w:line="360" w:lineRule="auto"/>
        <w:shd w:val="clear" w:color="auto" w:fill="ffffff"/>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3.该产品的中国境内生产的组件成本占比相关要求实施前，“规定比例”栏可不填，下同。</w:t>
      </w:r>
      <w:r>
        <w:rPr>
          <w:color w:val="000000" w:themeColor="text1"/>
        </w:rPr>
      </w:r>
      <w:r/>
    </w:p>
    <w:p>
      <w:pPr>
        <w:ind w:firstLine="482"/>
        <w:jc w:val="left"/>
        <w:spacing w:line="360" w:lineRule="auto"/>
        <w:shd w:val="clear" w:color="auto" w:fill="ffffff"/>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4.该产品的关键组件要求实施前，“关键组件”栏可不填，下同。</w:t>
      </w:r>
      <w:r>
        <w:rPr>
          <w:color w:val="000000" w:themeColor="text1"/>
        </w:rPr>
      </w:r>
      <w:r/>
    </w:p>
    <w:p>
      <w:pPr>
        <w:ind w:firstLine="482"/>
        <w:jc w:val="left"/>
        <w:spacing w:line="360" w:lineRule="auto"/>
        <w:shd w:val="clear" w:color="auto" w:fill="ffffff"/>
        <w:widowControl/>
        <w:rPr>
          <w:rFonts w:ascii="宋体" w:hAnsi="宋体"/>
          <w:color w:val="000000" w:themeColor="text1"/>
          <w:sz w:val="18"/>
          <w:szCs w:val="18"/>
          <w:highlight w:val="none"/>
        </w:rPr>
      </w:pPr>
      <w:r>
        <w:rPr>
          <w:rFonts w:ascii="宋体" w:hAnsi="宋体" w:cs="宋体"/>
          <w:color w:val="000000" w:themeColor="text1"/>
          <w:sz w:val="18"/>
          <w:szCs w:val="18"/>
          <w:highlight w:val="none"/>
        </w:rPr>
        <w:t xml:space="preserve">5.该产品的关键工序要求实施前，“关键工序”栏可不填，下同。</w:t>
      </w:r>
      <w:r>
        <w:rPr>
          <w:color w:val="000000" w:themeColor="text1"/>
        </w:rPr>
      </w:r>
      <w:r/>
    </w:p>
    <w:p>
      <w:pPr>
        <w:ind w:firstLine="482"/>
        <w:jc w:val="left"/>
        <w:spacing w:line="360" w:lineRule="auto"/>
        <w:shd w:val="clear" w:color="auto" w:fill="ffffff"/>
        <w:widowControl/>
        <w:rPr>
          <w:rFonts w:ascii="宋体" w:hAnsi="宋体"/>
          <w:bCs/>
          <w:color w:val="000000" w:themeColor="text1"/>
          <w:sz w:val="24"/>
          <w:szCs w:val="24"/>
          <w:highlight w:val="none"/>
        </w:rPr>
      </w:pPr>
      <w:r>
        <w:rPr>
          <w:rFonts w:hint="eastAsia" w:ascii="宋体" w:hAnsi="宋体" w:cs="宋体"/>
          <w:b/>
          <w:color w:val="000000" w:themeColor="text1"/>
          <w:sz w:val="18"/>
          <w:szCs w:val="18"/>
          <w:highlight w:val="none"/>
        </w:rPr>
        <w:t xml:space="preserve">注：划删除线的地方无需填写。</w:t>
      </w:r>
      <w:r>
        <w:rPr>
          <w:color w:val="000000" w:themeColor="text1"/>
        </w:rPr>
      </w:r>
      <w:r/>
    </w:p>
    <w:p>
      <w:pPr>
        <w:ind w:firstLine="480"/>
        <w:spacing w:line="360" w:lineRule="auto"/>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rPr>
      </w:r>
      <w:r/>
    </w:p>
    <w:p>
      <w:pPr>
        <w:rPr>
          <w:rFonts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color w:val="000000" w:themeColor="text1"/>
        </w:rPr>
      </w:r>
      <w:r/>
    </w:p>
    <w:p>
      <w:pPr>
        <w:ind w:firstLine="480"/>
        <w:spacing w:line="360" w:lineRule="auto"/>
        <w:rPr>
          <w:rFonts w:ascii="黑体" w:hAnsi="宋体" w:eastAsia="黑体"/>
          <w:color w:val="000000" w:themeColor="text1"/>
          <w:sz w:val="24"/>
          <w:szCs w:val="24"/>
          <w:highlight w:val="none"/>
        </w:rPr>
      </w:pPr>
      <w:r>
        <w:rPr>
          <w:rFonts w:hint="eastAsia" w:ascii="黑体" w:hAnsi="宋体" w:eastAsia="黑体"/>
          <w:bCs/>
          <w:color w:val="000000" w:themeColor="text1"/>
          <w:sz w:val="24"/>
          <w:szCs w:val="24"/>
          <w:highlight w:val="none"/>
        </w:rPr>
        <w:t xml:space="preserve">（十四）技术方案（格式自拟）</w:t>
      </w:r>
      <w:r>
        <w:rPr>
          <w:color w:val="000000" w:themeColor="text1"/>
        </w:rPr>
      </w:r>
      <w:r/>
    </w:p>
    <w:p>
      <w:pPr>
        <w:ind w:firstLine="480"/>
        <w:jc w:val="center"/>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rPr>
      </w:r>
      <w:r/>
    </w:p>
    <w:p>
      <w:pPr>
        <w:ind w:firstLine="480"/>
        <w:jc w:val="center"/>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技术方案</w:t>
      </w:r>
      <w:r>
        <w:rPr>
          <w:color w:val="000000" w:themeColor="text1"/>
        </w:rPr>
      </w:r>
      <w:r/>
    </w:p>
    <w:p>
      <w:pPr>
        <w:pStyle w:val="980"/>
        <w:ind w:firstLine="480"/>
        <w:rPr>
          <w:rFonts w:ascii="宋体" w:hAnsi="宋体"/>
          <w:bCs/>
          <w:color w:val="000000" w:themeColor="text1"/>
          <w:sz w:val="24"/>
          <w:szCs w:val="24"/>
          <w:highlight w:val="none"/>
        </w:rPr>
      </w:pPr>
      <w:r>
        <w:rPr>
          <w:rFonts w:hint="eastAsia"/>
          <w:color w:val="000000" w:themeColor="text1"/>
          <w:sz w:val="24"/>
          <w:highlight w:val="none"/>
        </w:rPr>
        <w:t xml:space="preserve">投标供应商应按评分点编制完整的服务方案，</w:t>
      </w:r>
      <w:r>
        <w:rPr>
          <w:color w:val="000000" w:themeColor="text1"/>
          <w:sz w:val="24"/>
          <w:highlight w:val="none"/>
        </w:rPr>
        <w:t xml:space="preserve">以便评审。</w:t>
      </w:r>
      <w:r>
        <w:rPr>
          <w:color w:val="000000" w:themeColor="text1"/>
        </w:rPr>
      </w:r>
      <w:r/>
    </w:p>
    <w:sectPr>
      <w:headerReference w:type="default" r:id="rId9"/>
      <w:footerReference w:type="default" r:id="rId10"/>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华文中宋">
    <w:panose1 w:val="02010600040101010101"/>
  </w:font>
  <w:font w:name="仿宋_GB2312">
    <w:panose1 w:val="02010609060101010101"/>
  </w:font>
  <w:font w:name="黑体">
    <w:panose1 w:val="02010609060101010101"/>
  </w:font>
  <w:font w:name="Calibri">
    <w:panose1 w:val="020F0502020204030204"/>
  </w:font>
  <w:font w:name="Courier New">
    <w:panose1 w:val="02070309020205020404"/>
  </w:font>
  <w:font w:name="Segoe UI">
    <w:panose1 w:val="020B0502040204020203"/>
  </w:font>
  <w:font w:name="华文细黑">
    <w:panose1 w:val="02010600040101010101"/>
  </w:font>
  <w:font w:name="Cambria">
    <w:panose1 w:val="02040503050406030204"/>
  </w:font>
  <w:font w:name="inherit">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楷体_GB2312">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Pr>
        <w:rFonts w:hint="eastAsia" w:ascii="宋体" w:hAnsi="宋体"/>
        <w:lang w:eastAsia="zh-CN"/>
      </w:rPr>
      <w:t xml:space="preserve">JSZC-320200-JSZH-G2026-0068</w:t>
    </w:r>
    <w:r>
      <w:rPr>
        <w:rFonts w:hint="eastAsia" w:ascii="宋体" w:hAnsi="宋体"/>
      </w:rPr>
      <w:t xml:space="preserve">                              </w:t>
    </w:r>
    <w:r>
      <w:rPr>
        <w:rFonts w:hint="eastAsia" w:ascii="宋体" w:hAnsi="宋体"/>
        <w:lang w:eastAsia="zh-CN"/>
      </w:rPr>
      <w:t xml:space="preserve">太湖局元荡水质站提档升级项目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3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0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7">
    <w:multiLevelType w:val="hybridMultilevel"/>
    <w:lvl w:ilvl="0">
      <w:start w:val="1"/>
      <w:numFmt w:val="decimal"/>
      <w:isLgl w:val="false"/>
      <w:suff w:val="space"/>
      <w:lvlText w:val="%1"/>
      <w:lvlJc w:val="left"/>
      <w:pPr>
        <w:ind w:left="0" w:firstLine="0"/>
      </w:pPr>
      <w:rPr>
        <w:rFonts w:hint="default" w:ascii="Times New Roman" w:hAnsi="Times New Roman" w:eastAsia="宋体"/>
        <w:b/>
        <w:bCs/>
        <w:sz w:val="36"/>
      </w:rPr>
    </w:lvl>
    <w:lvl w:ilvl="1">
      <w:start w:val="1"/>
      <w:numFmt w:val="decimal"/>
      <w:isLgl w:val="false"/>
      <w:suff w:val="space"/>
      <w:lvlText w:val="%1.%2"/>
      <w:lvlJc w:val="left"/>
      <w:pPr>
        <w:ind w:left="0" w:firstLine="0"/>
      </w:pPr>
      <w:rPr>
        <w:rFonts w:hint="default" w:ascii="Times New Roman" w:hAnsi="Times New Roman" w:eastAsia="宋体"/>
        <w:b/>
        <w:bCs/>
        <w:sz w:val="32"/>
      </w:rPr>
    </w:lvl>
    <w:lvl w:ilvl="2">
      <w:start w:val="1"/>
      <w:numFmt w:val="decimal"/>
      <w:isLgl w:val="false"/>
      <w:suff w:val="space"/>
      <w:lvlText w:val="%1.%2.%3"/>
      <w:lvlJc w:val="left"/>
      <w:pPr>
        <w:ind w:left="0" w:firstLine="0"/>
      </w:pPr>
      <w:rPr>
        <w:rFonts w:hint="default" w:ascii="Times New Roman" w:hAnsi="Times New Roman" w:eastAsia="宋体"/>
        <w:b/>
        <w:bCs/>
        <w:sz w:val="28"/>
      </w:rPr>
    </w:lvl>
    <w:lvl w:ilvl="3">
      <w:start w:val="1"/>
      <w:numFmt w:val="decimal"/>
      <w:isLgl w:val="false"/>
      <w:suff w:val="tab"/>
      <w:lvlText w:val="%1.%2.%3.%4"/>
      <w:lvlJc w:val="left"/>
      <w:pPr>
        <w:ind w:left="0" w:firstLine="0"/>
      </w:pPr>
      <w:rPr>
        <w:rFonts w:hint="default" w:ascii="Times New Roman" w:hAnsi="Times New Roman" w:eastAsia="宋体" w:cs="Times New Roman"/>
        <w:b/>
        <w:bCs/>
        <w:sz w:val="28"/>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8">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1"/>
  </w:num>
  <w:num w:numId="8">
    <w:abstractNumId w:val="18"/>
  </w:num>
  <w:num w:numId="9">
    <w:abstractNumId w:val="9"/>
  </w:num>
  <w:num w:numId="10">
    <w:abstractNumId w:val="0"/>
  </w:num>
  <w:num w:numId="11">
    <w:abstractNumId w:val="12"/>
  </w:num>
  <w:num w:numId="12">
    <w:abstractNumId w:val="16"/>
  </w:num>
  <w:num w:numId="13">
    <w:abstractNumId w:val="3"/>
  </w:num>
  <w:num w:numId="14">
    <w:abstractNumId w:val="14"/>
  </w:num>
  <w:num w:numId="15">
    <w:abstractNumId w:val="17"/>
  </w:num>
  <w:num w:numId="16">
    <w:abstractNumId w:val="7"/>
  </w:num>
  <w:num w:numId="17">
    <w:abstractNumId w:val="13"/>
  </w:num>
  <w:num w:numId="18">
    <w:abstractNumId w:val="6"/>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next w:val="713"/>
    <w:uiPriority w:val="0"/>
    <w:qFormat/>
    <w:pPr>
      <w:jc w:val="both"/>
      <w:widowControl w:val="off"/>
    </w:pPr>
    <w:rPr>
      <w:rFonts w:hint="default" w:ascii="Times New Roman" w:hAnsi="Times New Roman" w:eastAsia="宋体" w:cs="Times New Roman"/>
      <w:sz w:val="21"/>
    </w:rPr>
  </w:style>
  <w:style w:type="paragraph" w:styleId="702">
    <w:name w:val="Heading 1"/>
    <w:basedOn w:val="701"/>
    <w:next w:val="701"/>
    <w:link w:val="781"/>
    <w:uiPriority w:val="99"/>
    <w:qFormat/>
    <w:pPr>
      <w:jc w:val="center"/>
      <w:keepNext/>
      <w:outlineLvl w:val="0"/>
    </w:pPr>
    <w:rPr>
      <w:rFonts w:ascii="楷体_GB2312" w:eastAsia="楷体_GB2312"/>
      <w:b/>
      <w:sz w:val="28"/>
    </w:rPr>
  </w:style>
  <w:style w:type="paragraph" w:styleId="703">
    <w:name w:val="Heading 2"/>
    <w:basedOn w:val="701"/>
    <w:next w:val="701"/>
    <w:link w:val="951"/>
    <w:uiPriority w:val="99"/>
    <w:qFormat/>
    <w:pPr>
      <w:outlineLvl w:val="1"/>
    </w:pPr>
    <w:rPr>
      <w:rFonts w:ascii="楷体_GB2312"/>
      <w:sz w:val="18"/>
    </w:rPr>
  </w:style>
  <w:style w:type="paragraph" w:styleId="704">
    <w:name w:val="Heading 3"/>
    <w:basedOn w:val="701"/>
    <w:next w:val="701"/>
    <w:link w:val="952"/>
    <w:uiPriority w:val="99"/>
    <w:qFormat/>
    <w:pPr>
      <w:outlineLvl w:val="2"/>
    </w:pPr>
    <w:rPr>
      <w:sz w:val="15"/>
    </w:rPr>
  </w:style>
  <w:style w:type="paragraph" w:styleId="705">
    <w:name w:val="Heading 4"/>
    <w:basedOn w:val="701"/>
    <w:next w:val="701"/>
    <w:link w:val="953"/>
    <w:uiPriority w:val="99"/>
    <w:qFormat/>
    <w:pPr>
      <w:jc w:val="center"/>
      <w:keepNext/>
      <w:outlineLvl w:val="3"/>
    </w:pPr>
    <w:rPr>
      <w:rFonts w:eastAsia="楷体_GB2312"/>
      <w:b/>
      <w:bCs/>
      <w:sz w:val="13"/>
    </w:rPr>
  </w:style>
  <w:style w:type="paragraph" w:styleId="706">
    <w:name w:val="Heading 5"/>
    <w:basedOn w:val="701"/>
    <w:next w:val="701"/>
    <w:link w:val="954"/>
    <w:uiPriority w:val="99"/>
    <w:qFormat/>
    <w:pPr>
      <w:numPr>
        <w:ilvl w:val="0"/>
        <w:numId w:val="1"/>
      </w:numPr>
      <w:keepNext/>
      <w:outlineLvl w:val="4"/>
    </w:pPr>
    <w:rPr>
      <w:rFonts w:ascii="楷体_GB2312" w:eastAsia="楷体_GB2312"/>
      <w:bCs/>
      <w:sz w:val="28"/>
    </w:rPr>
  </w:style>
  <w:style w:type="paragraph" w:styleId="707">
    <w:name w:val="Heading 6"/>
    <w:basedOn w:val="701"/>
    <w:next w:val="701"/>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Body Text First Indent 2"/>
    <w:basedOn w:val="714"/>
    <w:next w:val="701"/>
    <w:uiPriority w:val="0"/>
    <w:qFormat/>
    <w:pPr>
      <w:ind w:left="420" w:firstLine="420"/>
      <w:spacing w:after="120"/>
    </w:pPr>
    <w:rPr>
      <w:rFonts w:ascii="Cambria" w:hAnsi="Cambria" w:eastAsia="华文细黑"/>
      <w:sz w:val="21"/>
    </w:rPr>
  </w:style>
  <w:style w:type="paragraph" w:styleId="714">
    <w:name w:val="Body Text Indent"/>
    <w:basedOn w:val="701"/>
    <w:next w:val="715"/>
    <w:link w:val="959"/>
    <w:uiPriority w:val="0"/>
    <w:qFormat/>
    <w:pPr>
      <w:ind w:firstLine="576"/>
    </w:pPr>
    <w:rPr>
      <w:b/>
      <w:sz w:val="30"/>
    </w:rPr>
  </w:style>
  <w:style w:type="paragraph" w:styleId="715" w:customStyle="1">
    <w:name w:val="正文文本首行缩进 21"/>
    <w:basedOn w:val="714"/>
    <w:uiPriority w:val="99"/>
    <w:qFormat/>
    <w:pPr>
      <w:ind w:firstLine="420"/>
      <w:spacing w:line="200" w:lineRule="atLeast"/>
    </w:pPr>
    <w:rPr>
      <w:rFonts w:ascii="宋体" w:hAnsi="Courier New"/>
      <w:spacing w:val="-4"/>
      <w:sz w:val="18"/>
    </w:rPr>
  </w:style>
  <w:style w:type="paragraph" w:styleId="716">
    <w:name w:val="toc 7"/>
    <w:basedOn w:val="701"/>
    <w:next w:val="701"/>
    <w:uiPriority w:val="39"/>
    <w:unhideWhenUsed/>
    <w:qFormat/>
    <w:pPr>
      <w:ind w:left="1701"/>
      <w:spacing w:after="57"/>
    </w:pPr>
  </w:style>
  <w:style w:type="paragraph" w:styleId="717">
    <w:name w:val="Normal Indent"/>
    <w:basedOn w:val="701"/>
    <w:link w:val="955"/>
    <w:uiPriority w:val="0"/>
    <w:unhideWhenUsed/>
    <w:qFormat/>
    <w:pPr>
      <w:ind w:firstLine="420"/>
    </w:pPr>
    <w:rPr>
      <w:szCs w:val="24"/>
    </w:rPr>
  </w:style>
  <w:style w:type="paragraph" w:styleId="718">
    <w:name w:val="Caption"/>
    <w:basedOn w:val="701"/>
    <w:next w:val="701"/>
    <w:uiPriority w:val="35"/>
    <w:qFormat/>
    <w:pPr>
      <w:jc w:val="center"/>
    </w:pPr>
    <w:rPr>
      <w:rFonts w:ascii="Calibri" w:hAnsi="Calibri" w:eastAsia="黑体"/>
      <w:b/>
      <w:szCs w:val="21"/>
    </w:rPr>
  </w:style>
  <w:style w:type="paragraph" w:styleId="719">
    <w:name w:val="index 5"/>
    <w:basedOn w:val="701"/>
    <w:next w:val="701"/>
    <w:uiPriority w:val="99"/>
    <w:unhideWhenUsed/>
    <w:qFormat/>
    <w:pPr>
      <w:ind w:left="800"/>
    </w:pPr>
  </w:style>
  <w:style w:type="paragraph" w:styleId="720">
    <w:name w:val="Document Map"/>
    <w:basedOn w:val="701"/>
    <w:next w:val="701"/>
    <w:link w:val="956"/>
    <w:uiPriority w:val="99"/>
    <w:semiHidden/>
    <w:qFormat/>
    <w:pPr>
      <w:shd w:val="clear" w:color="auto" w:fill="000080"/>
    </w:pPr>
    <w:rPr>
      <w:sz w:val="20"/>
    </w:rPr>
  </w:style>
  <w:style w:type="paragraph" w:styleId="721">
    <w:name w:val="annotation text"/>
    <w:basedOn w:val="701"/>
    <w:link w:val="957"/>
    <w:uiPriority w:val="0"/>
    <w:semiHidden/>
    <w:qFormat/>
    <w:pPr>
      <w:jc w:val="left"/>
    </w:pPr>
    <w:rPr>
      <w:sz w:val="20"/>
      <w:szCs w:val="24"/>
    </w:rPr>
  </w:style>
  <w:style w:type="paragraph" w:styleId="722">
    <w:name w:val="Body Text 3"/>
    <w:basedOn w:val="701"/>
    <w:uiPriority w:val="0"/>
    <w:qFormat/>
    <w:pPr>
      <w:jc w:val="center"/>
      <w:spacing w:after="20" w:line="288" w:lineRule="auto"/>
    </w:pPr>
    <w:rPr>
      <w:b/>
      <w:bCs/>
      <w:sz w:val="24"/>
    </w:rPr>
  </w:style>
  <w:style w:type="paragraph" w:styleId="723">
    <w:name w:val="Body Text"/>
    <w:basedOn w:val="701"/>
    <w:link w:val="958"/>
    <w:uiPriority w:val="99"/>
    <w:qFormat/>
    <w:rPr>
      <w:rFonts w:ascii="华文中宋" w:eastAsia="华文中宋"/>
      <w:bCs/>
      <w:sz w:val="28"/>
    </w:rPr>
  </w:style>
  <w:style w:type="paragraph" w:styleId="724">
    <w:name w:val="index 4"/>
    <w:next w:val="701"/>
    <w:uiPriority w:val="0"/>
    <w:unhideWhenUsed/>
    <w:qFormat/>
    <w:pPr>
      <w:ind w:left="600"/>
      <w:jc w:val="both"/>
      <w:widowControl w:val="off"/>
    </w:pPr>
    <w:rPr>
      <w:rFonts w:hint="default" w:ascii="Times New Roman" w:hAnsi="Times New Roman" w:eastAsia="宋体" w:cs="Times New Roman"/>
      <w:sz w:val="21"/>
      <w:lang w:val="en-US" w:eastAsia="zh-CN" w:bidi="ar-SA"/>
    </w:rPr>
  </w:style>
  <w:style w:type="paragraph" w:styleId="725">
    <w:name w:val="toc 5"/>
    <w:basedOn w:val="701"/>
    <w:next w:val="701"/>
    <w:uiPriority w:val="39"/>
    <w:unhideWhenUsed/>
    <w:qFormat/>
    <w:pPr>
      <w:ind w:left="1134"/>
      <w:spacing w:after="57"/>
    </w:pPr>
  </w:style>
  <w:style w:type="paragraph" w:styleId="726">
    <w:name w:val="toc 3"/>
    <w:basedOn w:val="701"/>
    <w:next w:val="701"/>
    <w:uiPriority w:val="39"/>
    <w:unhideWhenUsed/>
    <w:qFormat/>
    <w:pPr>
      <w:ind w:left="567"/>
      <w:spacing w:after="57"/>
    </w:pPr>
  </w:style>
  <w:style w:type="paragraph" w:styleId="727">
    <w:name w:val="Plain Text"/>
    <w:basedOn w:val="701"/>
    <w:link w:val="960"/>
    <w:uiPriority w:val="0"/>
    <w:qFormat/>
    <w:rPr>
      <w:rFonts w:ascii="宋体" w:hAnsi="Courier New"/>
      <w:szCs w:val="21"/>
    </w:rPr>
  </w:style>
  <w:style w:type="paragraph" w:styleId="728">
    <w:name w:val="toc 8"/>
    <w:basedOn w:val="701"/>
    <w:next w:val="701"/>
    <w:uiPriority w:val="39"/>
    <w:unhideWhenUsed/>
    <w:qFormat/>
    <w:pPr>
      <w:ind w:left="1984"/>
      <w:spacing w:after="57"/>
    </w:pPr>
  </w:style>
  <w:style w:type="paragraph" w:styleId="729">
    <w:name w:val="Date"/>
    <w:basedOn w:val="701"/>
    <w:next w:val="701"/>
    <w:link w:val="961"/>
    <w:uiPriority w:val="99"/>
    <w:qFormat/>
    <w:rPr>
      <w:rFonts w:eastAsia="黑体"/>
      <w:b/>
      <w:sz w:val="36"/>
    </w:rPr>
  </w:style>
  <w:style w:type="paragraph" w:styleId="730">
    <w:name w:val="Body Text Indent 2"/>
    <w:basedOn w:val="701"/>
    <w:link w:val="962"/>
    <w:uiPriority w:val="99"/>
    <w:qFormat/>
    <w:pPr>
      <w:ind w:left="900"/>
    </w:pPr>
    <w:rPr>
      <w:rFonts w:ascii="楷体_GB2312" w:eastAsia="楷体_GB2312"/>
      <w:b/>
      <w:sz w:val="28"/>
    </w:rPr>
  </w:style>
  <w:style w:type="paragraph" w:styleId="731">
    <w:name w:val="endnote text"/>
    <w:basedOn w:val="701"/>
    <w:link w:val="949"/>
    <w:uiPriority w:val="99"/>
    <w:semiHidden/>
    <w:unhideWhenUsed/>
    <w:qFormat/>
    <w:rPr>
      <w:sz w:val="20"/>
    </w:rPr>
  </w:style>
  <w:style w:type="paragraph" w:styleId="732">
    <w:name w:val="Balloon Text"/>
    <w:basedOn w:val="701"/>
    <w:link w:val="963"/>
    <w:uiPriority w:val="99"/>
    <w:unhideWhenUsed/>
    <w:qFormat/>
    <w:rPr>
      <w:sz w:val="18"/>
      <w:szCs w:val="18"/>
    </w:rPr>
  </w:style>
  <w:style w:type="paragraph" w:styleId="733">
    <w:name w:val="Footer"/>
    <w:basedOn w:val="701"/>
    <w:link w:val="964"/>
    <w:uiPriority w:val="99"/>
    <w:unhideWhenUsed/>
    <w:qFormat/>
    <w:pPr>
      <w:jc w:val="left"/>
      <w:tabs>
        <w:tab w:val="center" w:pos="4153" w:leader="none"/>
        <w:tab w:val="right" w:pos="8306" w:leader="none"/>
      </w:tabs>
    </w:pPr>
    <w:rPr>
      <w:sz w:val="18"/>
      <w:szCs w:val="18"/>
    </w:rPr>
  </w:style>
  <w:style w:type="paragraph" w:styleId="734">
    <w:name w:val="envelope return"/>
    <w:basedOn w:val="701"/>
    <w:uiPriority w:val="0"/>
    <w:qFormat/>
    <w:rPr>
      <w:rFonts w:ascii="Arial" w:hAnsi="Arial"/>
    </w:rPr>
  </w:style>
  <w:style w:type="paragraph" w:styleId="735">
    <w:name w:val="Header"/>
    <w:basedOn w:val="701"/>
    <w:link w:val="965"/>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36">
    <w:name w:val="toc 1"/>
    <w:basedOn w:val="701"/>
    <w:next w:val="701"/>
    <w:uiPriority w:val="39"/>
    <w:unhideWhenUsed/>
    <w:qFormat/>
    <w:pPr>
      <w:spacing w:after="57"/>
    </w:pPr>
  </w:style>
  <w:style w:type="paragraph" w:styleId="737">
    <w:name w:val="toc 4"/>
    <w:basedOn w:val="701"/>
    <w:next w:val="701"/>
    <w:uiPriority w:val="39"/>
    <w:unhideWhenUsed/>
    <w:qFormat/>
    <w:pPr>
      <w:ind w:left="850"/>
      <w:spacing w:after="57"/>
    </w:pPr>
  </w:style>
  <w:style w:type="paragraph" w:styleId="738">
    <w:name w:val="Subtitle"/>
    <w:basedOn w:val="701"/>
    <w:next w:val="701"/>
    <w:link w:val="812"/>
    <w:uiPriority w:val="11"/>
    <w:qFormat/>
    <w:pPr>
      <w:spacing w:before="200" w:after="200"/>
    </w:pPr>
    <w:rPr>
      <w:sz w:val="24"/>
      <w:szCs w:val="24"/>
    </w:rPr>
  </w:style>
  <w:style w:type="paragraph" w:styleId="739">
    <w:name w:val="List"/>
    <w:basedOn w:val="701"/>
    <w:uiPriority w:val="0"/>
    <w:qFormat/>
    <w:pPr>
      <w:numPr>
        <w:ilvl w:val="0"/>
        <w:numId w:val="2"/>
      </w:numPr>
      <w:spacing w:after="20" w:line="288" w:lineRule="auto"/>
    </w:pPr>
    <w:rPr>
      <w:lang w:val="en-GB"/>
    </w:rPr>
  </w:style>
  <w:style w:type="paragraph" w:styleId="740">
    <w:name w:val="footnote text"/>
    <w:basedOn w:val="701"/>
    <w:next w:val="719"/>
    <w:link w:val="966"/>
    <w:uiPriority w:val="0"/>
    <w:qFormat/>
    <w:pPr>
      <w:ind w:firstLine="425"/>
      <w:jc w:val="left"/>
      <w:spacing w:before="120" w:line="360" w:lineRule="auto"/>
    </w:pPr>
    <w:rPr>
      <w:sz w:val="18"/>
    </w:rPr>
  </w:style>
  <w:style w:type="paragraph" w:styleId="741">
    <w:name w:val="toc 6"/>
    <w:basedOn w:val="701"/>
    <w:next w:val="701"/>
    <w:uiPriority w:val="39"/>
    <w:unhideWhenUsed/>
    <w:qFormat/>
    <w:pPr>
      <w:ind w:left="1417"/>
      <w:spacing w:after="57"/>
    </w:pPr>
  </w:style>
  <w:style w:type="paragraph" w:styleId="742">
    <w:name w:val="Body Text Indent 3"/>
    <w:basedOn w:val="701"/>
    <w:link w:val="967"/>
    <w:uiPriority w:val="99"/>
    <w:qFormat/>
    <w:pPr>
      <w:ind w:left="359" w:firstLine="359"/>
    </w:pPr>
    <w:rPr>
      <w:sz w:val="20"/>
    </w:rPr>
  </w:style>
  <w:style w:type="paragraph" w:styleId="743">
    <w:name w:val="table of figures"/>
    <w:basedOn w:val="701"/>
    <w:next w:val="701"/>
    <w:uiPriority w:val="99"/>
    <w:unhideWhenUsed/>
    <w:qFormat/>
  </w:style>
  <w:style w:type="paragraph" w:styleId="744">
    <w:name w:val="toc 2"/>
    <w:basedOn w:val="701"/>
    <w:next w:val="701"/>
    <w:uiPriority w:val="39"/>
    <w:unhideWhenUsed/>
    <w:qFormat/>
    <w:pPr>
      <w:ind w:left="283"/>
      <w:spacing w:after="57"/>
    </w:pPr>
  </w:style>
  <w:style w:type="paragraph" w:styleId="745">
    <w:name w:val="toc 9"/>
    <w:basedOn w:val="701"/>
    <w:next w:val="701"/>
    <w:uiPriority w:val="39"/>
    <w:unhideWhenUsed/>
    <w:qFormat/>
    <w:pPr>
      <w:ind w:left="2268"/>
      <w:spacing w:after="57"/>
    </w:pPr>
  </w:style>
  <w:style w:type="paragraph" w:styleId="746">
    <w:name w:val="Body Text 2"/>
    <w:basedOn w:val="701"/>
    <w:link w:val="968"/>
    <w:uiPriority w:val="99"/>
    <w:qFormat/>
    <w:pPr>
      <w:spacing w:after="120" w:line="480" w:lineRule="auto"/>
    </w:pPr>
    <w:rPr>
      <w:sz w:val="20"/>
    </w:rPr>
  </w:style>
  <w:style w:type="paragraph" w:styleId="747">
    <w:name w:val="Normal (Web)"/>
    <w:basedOn w:val="701"/>
    <w:link w:val="969"/>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48">
    <w:name w:val="Title"/>
    <w:basedOn w:val="701"/>
    <w:next w:val="701"/>
    <w:link w:val="811"/>
    <w:uiPriority w:val="10"/>
    <w:qFormat/>
    <w:pPr>
      <w:contextualSpacing/>
      <w:spacing w:before="300" w:after="200"/>
    </w:pPr>
    <w:rPr>
      <w:sz w:val="48"/>
      <w:szCs w:val="48"/>
    </w:rPr>
  </w:style>
  <w:style w:type="paragraph" w:styleId="749">
    <w:name w:val="annotation subject"/>
    <w:basedOn w:val="721"/>
    <w:next w:val="721"/>
    <w:link w:val="970"/>
    <w:uiPriority w:val="0"/>
    <w:semiHidden/>
    <w:qFormat/>
    <w:rPr>
      <w:b/>
      <w:bCs/>
    </w:rPr>
  </w:style>
  <w:style w:type="paragraph" w:styleId="750">
    <w:name w:val="Body Text First Indent"/>
    <w:basedOn w:val="723"/>
    <w:link w:val="971"/>
    <w:uiPriority w:val="99"/>
    <w:unhideWhenUsed/>
    <w:qFormat/>
    <w:pPr>
      <w:ind w:firstLine="420"/>
      <w:spacing w:after="120"/>
    </w:pPr>
  </w:style>
  <w:style w:type="table" w:styleId="7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uiPriority w:val="99"/>
    <w:qFormat/>
    <w:rPr>
      <w:rFonts w:cs="Times New Roman"/>
      <w:b/>
      <w:bCs/>
    </w:rPr>
  </w:style>
  <w:style w:type="character" w:styleId="753">
    <w:name w:val="endnote reference"/>
    <w:uiPriority w:val="99"/>
    <w:semiHidden/>
    <w:unhideWhenUsed/>
    <w:qFormat/>
    <w:rPr>
      <w:vertAlign w:val="superscript"/>
    </w:rPr>
  </w:style>
  <w:style w:type="character" w:styleId="754">
    <w:name w:val="page number"/>
    <w:uiPriority w:val="0"/>
    <w:qFormat/>
    <w:rPr>
      <w:rFonts w:cs="Times New Roman"/>
    </w:rPr>
  </w:style>
  <w:style w:type="character" w:styleId="755">
    <w:name w:val="FollowedHyperlink"/>
    <w:uiPriority w:val="99"/>
    <w:qFormat/>
    <w:rPr>
      <w:rFonts w:cs="Times New Roman"/>
      <w:color w:val="000000"/>
      <w:u w:val="none"/>
    </w:rPr>
  </w:style>
  <w:style w:type="character" w:styleId="756">
    <w:name w:val="HTML Typewriter"/>
    <w:uiPriority w:val="99"/>
    <w:qFormat/>
    <w:rPr>
      <w:rFonts w:ascii="宋体" w:hAnsi="宋体" w:eastAsia="宋体" w:cs="宋体"/>
      <w:sz w:val="24"/>
      <w:szCs w:val="24"/>
    </w:rPr>
  </w:style>
  <w:style w:type="character" w:styleId="757">
    <w:name w:val="Hyperlink"/>
    <w:uiPriority w:val="0"/>
    <w:qFormat/>
    <w:rPr>
      <w:color w:val="000000"/>
      <w:u w:val="none"/>
    </w:rPr>
  </w:style>
  <w:style w:type="character" w:styleId="758">
    <w:name w:val="annotation reference"/>
    <w:uiPriority w:val="0"/>
    <w:unhideWhenUsed/>
    <w:qFormat/>
    <w:rPr>
      <w:sz w:val="21"/>
      <w:szCs w:val="21"/>
    </w:rPr>
  </w:style>
  <w:style w:type="character" w:styleId="759">
    <w:name w:val="footnote reference"/>
    <w:uiPriority w:val="99"/>
    <w:unhideWhenUsed/>
    <w:qFormat/>
    <w:rPr>
      <w:vertAlign w:val="superscript"/>
    </w:rPr>
  </w:style>
  <w:style w:type="paragraph" w:styleId="760" w:customStyle="1">
    <w:name w:val="列出段落1"/>
    <w:basedOn w:val="701"/>
    <w:uiPriority w:val="0"/>
    <w:qFormat/>
    <w:pPr>
      <w:ind w:firstLine="420"/>
    </w:pPr>
    <w:rPr>
      <w:szCs w:val="24"/>
    </w:rPr>
  </w:style>
  <w:style w:type="table" w:styleId="761"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0" w:customStyle="1">
    <w:name w:val="TOC Heading"/>
    <w:uiPriority w:val="39"/>
    <w:unhideWhenUsed/>
    <w:qFormat/>
    <w:rPr>
      <w:rFonts w:hint="default" w:ascii="Times New Roman" w:hAnsi="Times New Roman" w:eastAsia="宋体" w:cs="Times New Roman"/>
    </w:rPr>
  </w:style>
  <w:style w:type="character" w:styleId="781" w:customStyle="1">
    <w:name w:val="标题 1 Char"/>
    <w:link w:val="702"/>
    <w:uiPriority w:val="99"/>
    <w:qFormat/>
    <w:rPr>
      <w:rFonts w:ascii="楷体_GB2312" w:hAnsi="Times New Roman" w:eastAsia="楷体_GB2312" w:cs="Times New Roman"/>
      <w:b/>
      <w:sz w:val="28"/>
      <w:szCs w:val="20"/>
    </w:rPr>
  </w:style>
  <w:style w:type="paragraph" w:styleId="782" w:customStyle="1">
    <w:name w:val="TOC 标题1"/>
    <w:uiPriority w:val="39"/>
    <w:unhideWhenUsed/>
    <w:qFormat/>
    <w:rPr>
      <w:rFonts w:hint="default" w:ascii="Times New Roman" w:hAnsi="Times New Roman" w:eastAsia="宋体" w:cs="Times New Roman"/>
    </w:rPr>
  </w:style>
  <w:style w:type="paragraph" w:styleId="783" w:customStyle="1">
    <w:name w:val="段"/>
    <w:next w:val="701"/>
    <w:uiPriority w:val="0"/>
    <w:qFormat/>
    <w:pPr>
      <w:ind w:firstLine="200"/>
      <w:jc w:val="both"/>
    </w:pPr>
    <w:rPr>
      <w:rFonts w:hint="default" w:ascii="宋体" w:hAnsi="Times New Roman" w:eastAsia="宋体" w:cs="Times New Roman"/>
      <w:sz w:val="21"/>
    </w:rPr>
  </w:style>
  <w:style w:type="paragraph" w:styleId="784" w:customStyle="1">
    <w:name w:val="Default"/>
    <w:uiPriority w:val="0"/>
    <w:qFormat/>
    <w:pPr>
      <w:widowControl w:val="off"/>
    </w:pPr>
    <w:rPr>
      <w:rFonts w:hint="default" w:ascii="Times New Roman" w:hAnsi="Times New Roman" w:eastAsia="宋体" w:cs="Times New Roman"/>
      <w:color w:val="000000"/>
      <w:sz w:val="24"/>
      <w:szCs w:val="24"/>
    </w:rPr>
  </w:style>
  <w:style w:type="character" w:styleId="785" w:customStyle="1">
    <w:name w:val="Title Char"/>
    <w:basedOn w:val="711"/>
    <w:uiPriority w:val="10"/>
    <w:qFormat/>
    <w:rPr>
      <w:sz w:val="48"/>
      <w:szCs w:val="48"/>
    </w:rPr>
  </w:style>
  <w:style w:type="character" w:styleId="786" w:customStyle="1">
    <w:name w:val="Subtitle Char"/>
    <w:basedOn w:val="711"/>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Endnote Text Char"/>
    <w:uiPriority w:val="99"/>
    <w:qFormat/>
    <w:rPr>
      <w:sz w:val="20"/>
    </w:rPr>
  </w:style>
  <w:style w:type="paragraph" w:styleId="790" w:customStyle="1">
    <w:name w:val="TOC 标题111"/>
    <w:uiPriority w:val="39"/>
    <w:unhideWhenUsed/>
    <w:qFormat/>
    <w:rPr>
      <w:rFonts w:hint="default" w:ascii="Times New Roman" w:hAnsi="Times New Roman" w:eastAsia="宋体" w:cs="Times New Roman"/>
    </w:rPr>
  </w:style>
  <w:style w:type="paragraph" w:styleId="791" w:customStyle="1">
    <w:name w:val="正文文本1"/>
    <w:basedOn w:val="701"/>
    <w:uiPriority w:val="0"/>
    <w:qFormat/>
    <w:rPr>
      <w:rFonts w:ascii="华文中宋" w:eastAsia="华文中宋"/>
      <w:bCs/>
      <w:sz w:val="28"/>
    </w:rPr>
  </w:style>
  <w:style w:type="paragraph" w:styleId="792" w:customStyle="1">
    <w:name w:val="标题 11"/>
    <w:basedOn w:val="701"/>
    <w:next w:val="701"/>
    <w:link w:val="793"/>
    <w:uiPriority w:val="9"/>
    <w:qFormat/>
    <w:pPr>
      <w:keepLines/>
      <w:keepNext/>
      <w:spacing w:before="480" w:after="200"/>
      <w:outlineLvl w:val="0"/>
    </w:pPr>
    <w:rPr>
      <w:rFonts w:ascii="Arial" w:hAnsi="Arial" w:eastAsia="Arial" w:cs="Arial"/>
      <w:sz w:val="40"/>
      <w:szCs w:val="40"/>
    </w:rPr>
  </w:style>
  <w:style w:type="character" w:styleId="793" w:customStyle="1">
    <w:name w:val="Heading 1 Char"/>
    <w:link w:val="792"/>
    <w:uiPriority w:val="9"/>
    <w:qFormat/>
    <w:rPr>
      <w:rFonts w:ascii="Arial" w:hAnsi="Arial" w:eastAsia="Arial" w:cs="Arial"/>
      <w:sz w:val="40"/>
      <w:szCs w:val="40"/>
    </w:rPr>
  </w:style>
  <w:style w:type="paragraph" w:styleId="794" w:customStyle="1">
    <w:name w:val="标题 21"/>
    <w:basedOn w:val="701"/>
    <w:next w:val="701"/>
    <w:link w:val="795"/>
    <w:uiPriority w:val="9"/>
    <w:unhideWhenUsed/>
    <w:qFormat/>
    <w:pPr>
      <w:keepLines/>
      <w:keepNext/>
      <w:spacing w:before="360" w:after="200"/>
      <w:outlineLvl w:val="1"/>
    </w:pPr>
    <w:rPr>
      <w:rFonts w:ascii="Arial" w:hAnsi="Arial" w:eastAsia="Arial" w:cs="Arial"/>
      <w:sz w:val="34"/>
    </w:rPr>
  </w:style>
  <w:style w:type="character" w:styleId="795" w:customStyle="1">
    <w:name w:val="Heading 2 Char"/>
    <w:link w:val="794"/>
    <w:uiPriority w:val="9"/>
    <w:qFormat/>
    <w:rPr>
      <w:rFonts w:ascii="Arial" w:hAnsi="Arial" w:eastAsia="Arial" w:cs="Arial"/>
      <w:sz w:val="34"/>
    </w:rPr>
  </w:style>
  <w:style w:type="paragraph" w:styleId="796" w:customStyle="1">
    <w:name w:val="标题 31"/>
    <w:basedOn w:val="701"/>
    <w:next w:val="701"/>
    <w:link w:val="797"/>
    <w:uiPriority w:val="9"/>
    <w:unhideWhenUsed/>
    <w:qFormat/>
    <w:pPr>
      <w:keepLines/>
      <w:keepNext/>
      <w:spacing w:before="320" w:after="200"/>
      <w:outlineLvl w:val="2"/>
    </w:pPr>
    <w:rPr>
      <w:rFonts w:ascii="Arial" w:hAnsi="Arial" w:eastAsia="Arial" w:cs="Arial"/>
      <w:sz w:val="30"/>
      <w:szCs w:val="30"/>
    </w:rPr>
  </w:style>
  <w:style w:type="character" w:styleId="797" w:customStyle="1">
    <w:name w:val="Heading 3 Char"/>
    <w:link w:val="796"/>
    <w:uiPriority w:val="9"/>
    <w:qFormat/>
    <w:rPr>
      <w:rFonts w:ascii="Arial" w:hAnsi="Arial" w:eastAsia="Arial" w:cs="Arial"/>
      <w:sz w:val="30"/>
      <w:szCs w:val="30"/>
    </w:rPr>
  </w:style>
  <w:style w:type="paragraph" w:styleId="798" w:customStyle="1">
    <w:name w:val="标题 41"/>
    <w:basedOn w:val="701"/>
    <w:next w:val="701"/>
    <w:link w:val="799"/>
    <w:uiPriority w:val="9"/>
    <w:unhideWhenUsed/>
    <w:qFormat/>
    <w:pPr>
      <w:keepLines/>
      <w:keepNext/>
      <w:spacing w:before="320" w:after="200"/>
      <w:outlineLvl w:val="3"/>
    </w:pPr>
    <w:rPr>
      <w:rFonts w:ascii="Arial" w:hAnsi="Arial" w:eastAsia="Arial" w:cs="Arial"/>
      <w:b/>
      <w:bCs/>
      <w:sz w:val="26"/>
      <w:szCs w:val="26"/>
    </w:rPr>
  </w:style>
  <w:style w:type="character" w:styleId="799" w:customStyle="1">
    <w:name w:val="Heading 4 Char"/>
    <w:link w:val="798"/>
    <w:uiPriority w:val="9"/>
    <w:qFormat/>
    <w:rPr>
      <w:rFonts w:ascii="Arial" w:hAnsi="Arial" w:eastAsia="Arial" w:cs="Arial"/>
      <w:b/>
      <w:bCs/>
      <w:sz w:val="26"/>
      <w:szCs w:val="26"/>
    </w:rPr>
  </w:style>
  <w:style w:type="paragraph" w:styleId="800" w:customStyle="1">
    <w:name w:val="标题 51"/>
    <w:basedOn w:val="701"/>
    <w:next w:val="701"/>
    <w:link w:val="801"/>
    <w:uiPriority w:val="9"/>
    <w:unhideWhenUsed/>
    <w:qFormat/>
    <w:pPr>
      <w:keepLines/>
      <w:keepNext/>
      <w:spacing w:before="320" w:after="200"/>
      <w:outlineLvl w:val="4"/>
    </w:pPr>
    <w:rPr>
      <w:rFonts w:ascii="Arial" w:hAnsi="Arial" w:eastAsia="Arial" w:cs="Arial"/>
      <w:b/>
      <w:bCs/>
      <w:sz w:val="24"/>
      <w:szCs w:val="24"/>
    </w:rPr>
  </w:style>
  <w:style w:type="character" w:styleId="801" w:customStyle="1">
    <w:name w:val="Heading 5 Char"/>
    <w:link w:val="800"/>
    <w:uiPriority w:val="9"/>
    <w:qFormat/>
    <w:rPr>
      <w:rFonts w:ascii="Arial" w:hAnsi="Arial" w:eastAsia="Arial" w:cs="Arial"/>
      <w:b/>
      <w:bCs/>
      <w:sz w:val="24"/>
      <w:szCs w:val="24"/>
    </w:rPr>
  </w:style>
  <w:style w:type="paragraph" w:styleId="802" w:customStyle="1">
    <w:name w:val="标题 61"/>
    <w:basedOn w:val="701"/>
    <w:next w:val="701"/>
    <w:link w:val="803"/>
    <w:uiPriority w:val="9"/>
    <w:unhideWhenUsed/>
    <w:qFormat/>
    <w:pPr>
      <w:keepLines/>
      <w:keepNext/>
      <w:spacing w:before="320" w:after="200"/>
      <w:outlineLvl w:val="5"/>
    </w:pPr>
    <w:rPr>
      <w:rFonts w:ascii="Arial" w:hAnsi="Arial" w:eastAsia="Arial" w:cs="Arial"/>
      <w:b/>
      <w:bCs/>
      <w:sz w:val="22"/>
      <w:szCs w:val="22"/>
    </w:rPr>
  </w:style>
  <w:style w:type="character" w:styleId="803" w:customStyle="1">
    <w:name w:val="Heading 6 Char"/>
    <w:link w:val="802"/>
    <w:uiPriority w:val="9"/>
    <w:qFormat/>
    <w:rPr>
      <w:rFonts w:ascii="Arial" w:hAnsi="Arial" w:eastAsia="Arial" w:cs="Arial"/>
      <w:b/>
      <w:bCs/>
      <w:sz w:val="22"/>
      <w:szCs w:val="22"/>
    </w:rPr>
  </w:style>
  <w:style w:type="paragraph" w:styleId="804" w:customStyle="1">
    <w:name w:val="标题 71"/>
    <w:basedOn w:val="701"/>
    <w:next w:val="701"/>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customStyle="1">
    <w:name w:val="Heading 7 Char"/>
    <w:link w:val="804"/>
    <w:uiPriority w:val="9"/>
    <w:qFormat/>
    <w:rPr>
      <w:rFonts w:ascii="Arial" w:hAnsi="Arial" w:eastAsia="Arial" w:cs="Arial"/>
      <w:b/>
      <w:bCs/>
      <w:i/>
      <w:iCs/>
      <w:sz w:val="22"/>
      <w:szCs w:val="22"/>
    </w:rPr>
  </w:style>
  <w:style w:type="paragraph" w:styleId="806" w:customStyle="1">
    <w:name w:val="标题 81"/>
    <w:basedOn w:val="701"/>
    <w:next w:val="701"/>
    <w:link w:val="807"/>
    <w:uiPriority w:val="9"/>
    <w:unhideWhenUsed/>
    <w:qFormat/>
    <w:pPr>
      <w:keepLines/>
      <w:keepNext/>
      <w:spacing w:before="320" w:after="200"/>
      <w:outlineLvl w:val="7"/>
    </w:pPr>
    <w:rPr>
      <w:rFonts w:ascii="Arial" w:hAnsi="Arial" w:eastAsia="Arial" w:cs="Arial"/>
      <w:i/>
      <w:iCs/>
      <w:sz w:val="22"/>
      <w:szCs w:val="22"/>
    </w:rPr>
  </w:style>
  <w:style w:type="character" w:styleId="807" w:customStyle="1">
    <w:name w:val="Heading 8 Char"/>
    <w:link w:val="806"/>
    <w:uiPriority w:val="9"/>
    <w:qFormat/>
    <w:rPr>
      <w:rFonts w:ascii="Arial" w:hAnsi="Arial" w:eastAsia="Arial" w:cs="Arial"/>
      <w:i/>
      <w:iCs/>
      <w:sz w:val="22"/>
      <w:szCs w:val="22"/>
    </w:rPr>
  </w:style>
  <w:style w:type="paragraph" w:styleId="808" w:customStyle="1">
    <w:name w:val="标题 91"/>
    <w:basedOn w:val="701"/>
    <w:next w:val="701"/>
    <w:link w:val="809"/>
    <w:uiPriority w:val="9"/>
    <w:unhideWhenUsed/>
    <w:qFormat/>
    <w:pPr>
      <w:keepLines/>
      <w:keepNext/>
      <w:spacing w:before="320" w:after="200"/>
      <w:outlineLvl w:val="8"/>
    </w:pPr>
    <w:rPr>
      <w:rFonts w:ascii="Arial" w:hAnsi="Arial" w:eastAsia="Arial" w:cs="Arial"/>
      <w:i/>
      <w:iCs/>
      <w:szCs w:val="21"/>
    </w:rPr>
  </w:style>
  <w:style w:type="character" w:styleId="809" w:customStyle="1">
    <w:name w:val="Heading 9 Char"/>
    <w:link w:val="808"/>
    <w:uiPriority w:val="9"/>
    <w:qFormat/>
    <w:rPr>
      <w:rFonts w:ascii="Arial" w:hAnsi="Arial" w:eastAsia="Arial" w:cs="Arial"/>
      <w:i/>
      <w:iCs/>
      <w:sz w:val="21"/>
      <w:szCs w:val="21"/>
    </w:rPr>
  </w:style>
  <w:style w:type="paragraph" w:styleId="810">
    <w:name w:val="No Spacing"/>
    <w:uiPriority w:val="1"/>
    <w:qFormat/>
    <w:rPr>
      <w:rFonts w:hint="default" w:ascii="Times New Roman" w:hAnsi="Times New Roman" w:eastAsia="宋体" w:cs="Times New Roman"/>
    </w:rPr>
  </w:style>
  <w:style w:type="character" w:styleId="811" w:customStyle="1">
    <w:name w:val="标题 Char"/>
    <w:link w:val="748"/>
    <w:uiPriority w:val="10"/>
    <w:qFormat/>
    <w:rPr>
      <w:sz w:val="48"/>
      <w:szCs w:val="48"/>
    </w:rPr>
  </w:style>
  <w:style w:type="character" w:styleId="812" w:customStyle="1">
    <w:name w:val="副标题 Char"/>
    <w:link w:val="738"/>
    <w:uiPriority w:val="11"/>
    <w:qFormat/>
    <w:rPr>
      <w:sz w:val="24"/>
      <w:szCs w:val="24"/>
    </w:rPr>
  </w:style>
  <w:style w:type="paragraph" w:styleId="813">
    <w:name w:val="Quote"/>
    <w:basedOn w:val="701"/>
    <w:next w:val="701"/>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701"/>
    <w:next w:val="701"/>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qFormat/>
    <w:rPr>
      <w:i/>
    </w:rPr>
  </w:style>
  <w:style w:type="paragraph" w:styleId="817" w:customStyle="1">
    <w:name w:val="页眉1"/>
    <w:basedOn w:val="701"/>
    <w:link w:val="818"/>
    <w:uiPriority w:val="99"/>
    <w:unhideWhenUsed/>
    <w:qFormat/>
    <w:pPr>
      <w:tabs>
        <w:tab w:val="center" w:pos="7143" w:leader="none"/>
        <w:tab w:val="right" w:pos="14287" w:leader="none"/>
      </w:tabs>
    </w:pPr>
  </w:style>
  <w:style w:type="character" w:styleId="818" w:customStyle="1">
    <w:name w:val="Header Char"/>
    <w:link w:val="817"/>
    <w:uiPriority w:val="99"/>
    <w:qFormat/>
  </w:style>
  <w:style w:type="paragraph" w:styleId="819" w:customStyle="1">
    <w:name w:val="页脚1"/>
    <w:basedOn w:val="701"/>
    <w:link w:val="822"/>
    <w:uiPriority w:val="99"/>
    <w:unhideWhenUsed/>
    <w:qFormat/>
    <w:pPr>
      <w:tabs>
        <w:tab w:val="center" w:pos="7143" w:leader="none"/>
        <w:tab w:val="right" w:pos="14287" w:leader="none"/>
      </w:tabs>
    </w:pPr>
  </w:style>
  <w:style w:type="character" w:styleId="820" w:customStyle="1">
    <w:name w:val="Footer Char"/>
    <w:uiPriority w:val="99"/>
    <w:qFormat/>
  </w:style>
  <w:style w:type="paragraph" w:styleId="821" w:customStyle="1">
    <w:name w:val="题注1"/>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22" w:customStyle="1">
    <w:name w:val="Caption Char"/>
    <w:link w:val="819"/>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uiPriority w:val="99"/>
    <w:qFormat/>
    <w:rPr>
      <w:sz w:val="18"/>
    </w:rPr>
  </w:style>
  <w:style w:type="character" w:styleId="949" w:customStyle="1">
    <w:name w:val="尾注文本 Char"/>
    <w:link w:val="731"/>
    <w:uiPriority w:val="99"/>
    <w:qFormat/>
    <w:rPr>
      <w:sz w:val="20"/>
    </w:rPr>
  </w:style>
  <w:style w:type="paragraph" w:styleId="950" w:customStyle="1">
    <w:name w:val="TOC 标题11"/>
    <w:uiPriority w:val="39"/>
    <w:unhideWhenUsed/>
    <w:qFormat/>
    <w:rPr>
      <w:rFonts w:hint="default" w:ascii="Times New Roman" w:hAnsi="Times New Roman" w:eastAsia="宋体" w:cs="Times New Roman"/>
    </w:rPr>
  </w:style>
  <w:style w:type="character" w:styleId="951" w:customStyle="1">
    <w:name w:val="标题 2 Char"/>
    <w:link w:val="703"/>
    <w:uiPriority w:val="99"/>
    <w:qFormat/>
    <w:rPr>
      <w:rFonts w:ascii="楷体_GB2312" w:hAnsi="Times New Roman" w:eastAsia="楷体_GB2312" w:cs="Times New Roman"/>
      <w:b/>
      <w:bCs/>
      <w:sz w:val="18"/>
      <w:szCs w:val="20"/>
    </w:rPr>
  </w:style>
  <w:style w:type="character" w:styleId="952" w:customStyle="1">
    <w:name w:val="标题 3 Char"/>
    <w:link w:val="704"/>
    <w:uiPriority w:val="99"/>
    <w:qFormat/>
    <w:rPr>
      <w:rFonts w:ascii="Times New Roman" w:hAnsi="Times New Roman" w:eastAsia="楷体_GB2312" w:cs="Times New Roman"/>
      <w:b/>
      <w:bCs/>
      <w:sz w:val="15"/>
      <w:szCs w:val="20"/>
    </w:rPr>
  </w:style>
  <w:style w:type="character" w:styleId="953" w:customStyle="1">
    <w:name w:val="标题 4 Char"/>
    <w:link w:val="705"/>
    <w:uiPriority w:val="99"/>
    <w:qFormat/>
    <w:rPr>
      <w:rFonts w:ascii="Times New Roman" w:hAnsi="Times New Roman" w:eastAsia="楷体_GB2312" w:cs="Times New Roman"/>
      <w:b/>
      <w:bCs/>
      <w:sz w:val="13"/>
      <w:szCs w:val="20"/>
    </w:rPr>
  </w:style>
  <w:style w:type="character" w:styleId="954" w:customStyle="1">
    <w:name w:val="标题 5 Char"/>
    <w:link w:val="706"/>
    <w:uiPriority w:val="99"/>
    <w:qFormat/>
    <w:rPr>
      <w:rFonts w:ascii="楷体_GB2312" w:hAnsi="Times New Roman" w:eastAsia="楷体_GB2312" w:cs="Times New Roman"/>
      <w:bCs/>
      <w:sz w:val="28"/>
      <w:szCs w:val="20"/>
    </w:rPr>
  </w:style>
  <w:style w:type="character" w:styleId="955" w:customStyle="1">
    <w:name w:val="正文缩进 Char"/>
    <w:link w:val="717"/>
    <w:uiPriority w:val="0"/>
    <w:qFormat/>
    <w:rPr>
      <w:rFonts w:ascii="Times New Roman" w:hAnsi="Times New Roman"/>
      <w:sz w:val="21"/>
      <w:szCs w:val="24"/>
    </w:rPr>
  </w:style>
  <w:style w:type="character" w:styleId="956" w:customStyle="1">
    <w:name w:val="文档结构图 Char"/>
    <w:link w:val="720"/>
    <w:uiPriority w:val="99"/>
    <w:semiHidden/>
    <w:qFormat/>
    <w:rPr>
      <w:rFonts w:ascii="Times New Roman" w:hAnsi="Times New Roman" w:eastAsia="宋体" w:cs="Times New Roman"/>
      <w:szCs w:val="20"/>
      <w:shd w:val="clear" w:color="auto" w:fill="000080"/>
    </w:rPr>
  </w:style>
  <w:style w:type="character" w:styleId="957" w:customStyle="1">
    <w:name w:val="批注文字 Char"/>
    <w:link w:val="721"/>
    <w:uiPriority w:val="0"/>
    <w:semiHidden/>
    <w:qFormat/>
    <w:rPr>
      <w:rFonts w:ascii="Times New Roman" w:hAnsi="Times New Roman" w:eastAsia="宋体" w:cs="Times New Roman"/>
      <w:szCs w:val="24"/>
    </w:rPr>
  </w:style>
  <w:style w:type="character" w:styleId="958" w:customStyle="1">
    <w:name w:val="正文文本 Char"/>
    <w:link w:val="723"/>
    <w:uiPriority w:val="99"/>
    <w:qFormat/>
    <w:rPr>
      <w:rFonts w:ascii="华文中宋" w:hAnsi="Times New Roman" w:eastAsia="华文中宋" w:cs="Times New Roman"/>
      <w:bCs/>
      <w:sz w:val="28"/>
      <w:szCs w:val="20"/>
    </w:rPr>
  </w:style>
  <w:style w:type="character" w:styleId="959" w:customStyle="1">
    <w:name w:val="正文文本缩进 Char"/>
    <w:link w:val="714"/>
    <w:uiPriority w:val="0"/>
    <w:qFormat/>
    <w:rPr>
      <w:rFonts w:ascii="Times New Roman" w:hAnsi="Times New Roman" w:eastAsia="宋体" w:cs="Times New Roman"/>
      <w:b/>
      <w:sz w:val="30"/>
      <w:szCs w:val="20"/>
    </w:rPr>
  </w:style>
  <w:style w:type="character" w:styleId="960" w:customStyle="1">
    <w:name w:val="纯文本 Char"/>
    <w:link w:val="727"/>
    <w:uiPriority w:val="0"/>
    <w:qFormat/>
    <w:rPr>
      <w:rFonts w:ascii="宋体" w:hAnsi="Courier New"/>
      <w:sz w:val="21"/>
      <w:szCs w:val="21"/>
    </w:rPr>
  </w:style>
  <w:style w:type="character" w:styleId="961" w:customStyle="1">
    <w:name w:val="日期 Char"/>
    <w:link w:val="729"/>
    <w:uiPriority w:val="99"/>
    <w:qFormat/>
    <w:rPr>
      <w:rFonts w:ascii="Times New Roman" w:hAnsi="Times New Roman" w:eastAsia="黑体" w:cs="Times New Roman"/>
      <w:b/>
      <w:sz w:val="36"/>
      <w:szCs w:val="20"/>
    </w:rPr>
  </w:style>
  <w:style w:type="character" w:styleId="962" w:customStyle="1">
    <w:name w:val="正文文本缩进 2 Char"/>
    <w:link w:val="730"/>
    <w:uiPriority w:val="99"/>
    <w:qFormat/>
    <w:rPr>
      <w:rFonts w:ascii="楷体_GB2312" w:hAnsi="Times New Roman" w:eastAsia="楷体_GB2312" w:cs="Times New Roman"/>
      <w:b/>
      <w:sz w:val="28"/>
      <w:szCs w:val="20"/>
    </w:rPr>
  </w:style>
  <w:style w:type="character" w:styleId="963" w:customStyle="1">
    <w:name w:val="批注框文本 Char"/>
    <w:link w:val="732"/>
    <w:uiPriority w:val="99"/>
    <w:semiHidden/>
    <w:qFormat/>
    <w:rPr>
      <w:rFonts w:ascii="Times New Roman" w:hAnsi="Times New Roman" w:eastAsia="宋体" w:cs="Times New Roman"/>
      <w:sz w:val="18"/>
      <w:szCs w:val="18"/>
    </w:rPr>
  </w:style>
  <w:style w:type="character" w:styleId="964" w:customStyle="1">
    <w:name w:val="页脚 Char"/>
    <w:link w:val="733"/>
    <w:uiPriority w:val="99"/>
    <w:qFormat/>
    <w:rPr>
      <w:sz w:val="18"/>
      <w:szCs w:val="18"/>
    </w:rPr>
  </w:style>
  <w:style w:type="character" w:styleId="965" w:customStyle="1">
    <w:name w:val="页眉 Char"/>
    <w:link w:val="735"/>
    <w:uiPriority w:val="0"/>
    <w:qFormat/>
    <w:rPr>
      <w:sz w:val="18"/>
      <w:szCs w:val="18"/>
    </w:rPr>
  </w:style>
  <w:style w:type="character" w:styleId="966" w:customStyle="1">
    <w:name w:val="脚注文本 Char"/>
    <w:link w:val="740"/>
    <w:uiPriority w:val="0"/>
    <w:qFormat/>
    <w:rPr>
      <w:rFonts w:ascii="Times New Roman" w:hAnsi="Times New Roman"/>
      <w:sz w:val="18"/>
    </w:rPr>
  </w:style>
  <w:style w:type="character" w:styleId="967" w:customStyle="1">
    <w:name w:val="正文文本缩进 3 Char"/>
    <w:link w:val="742"/>
    <w:uiPriority w:val="99"/>
    <w:qFormat/>
    <w:rPr>
      <w:rFonts w:ascii="Times New Roman" w:hAnsi="Times New Roman" w:eastAsia="宋体" w:cs="Times New Roman"/>
      <w:szCs w:val="20"/>
    </w:rPr>
  </w:style>
  <w:style w:type="character" w:styleId="968" w:customStyle="1">
    <w:name w:val="正文文本 2 Char"/>
    <w:link w:val="746"/>
    <w:uiPriority w:val="99"/>
    <w:qFormat/>
    <w:rPr>
      <w:rFonts w:ascii="Times New Roman" w:hAnsi="Times New Roman" w:eastAsia="宋体" w:cs="Times New Roman"/>
      <w:szCs w:val="20"/>
    </w:rPr>
  </w:style>
  <w:style w:type="character" w:styleId="969" w:customStyle="1">
    <w:name w:val="普通(网站) Char"/>
    <w:link w:val="747"/>
    <w:uiPriority w:val="0"/>
    <w:qFormat/>
    <w:rPr>
      <w:rFonts w:ascii="宋体" w:hAnsi="宋体"/>
      <w:sz w:val="24"/>
      <w:szCs w:val="24"/>
    </w:rPr>
  </w:style>
  <w:style w:type="character" w:styleId="970" w:customStyle="1">
    <w:name w:val="批注主题 Char"/>
    <w:link w:val="749"/>
    <w:uiPriority w:val="0"/>
    <w:semiHidden/>
    <w:qFormat/>
    <w:rPr>
      <w:rFonts w:ascii="Times New Roman" w:hAnsi="Times New Roman" w:eastAsia="宋体" w:cs="Times New Roman"/>
      <w:b/>
      <w:bCs/>
      <w:szCs w:val="24"/>
    </w:rPr>
  </w:style>
  <w:style w:type="character" w:styleId="971" w:customStyle="1">
    <w:name w:val="正文首行缩进 Char"/>
    <w:link w:val="750"/>
    <w:uiPriority w:val="99"/>
    <w:semiHidden/>
    <w:qFormat/>
    <w:rPr>
      <w:rFonts w:ascii="Times New Roman" w:hAnsi="Times New Roman" w:eastAsia="华文中宋" w:cs="Times New Roman"/>
      <w:sz w:val="21"/>
      <w:szCs w:val="20"/>
    </w:rPr>
  </w:style>
  <w:style w:type="character" w:styleId="972" w:customStyle="1">
    <w:name w:val="批注框文本 Char1"/>
    <w:uiPriority w:val="99"/>
    <w:semiHidden/>
    <w:qFormat/>
    <w:rPr>
      <w:rFonts w:ascii="Times New Roman" w:hAnsi="Times New Roman" w:eastAsia="宋体" w:cs="Times New Roman"/>
      <w:sz w:val="18"/>
      <w:szCs w:val="18"/>
    </w:rPr>
  </w:style>
  <w:style w:type="character" w:styleId="973" w:customStyle="1">
    <w:name w:val="正文文本 2 Char1"/>
    <w:uiPriority w:val="99"/>
    <w:semiHidden/>
    <w:qFormat/>
    <w:rPr>
      <w:rFonts w:ascii="Times New Roman" w:hAnsi="Times New Roman" w:eastAsia="宋体" w:cs="Times New Roman"/>
      <w:szCs w:val="20"/>
    </w:rPr>
  </w:style>
  <w:style w:type="character" w:styleId="974" w:customStyle="1">
    <w:name w:val="文档结构图 Char1"/>
    <w:uiPriority w:val="99"/>
    <w:semiHidden/>
    <w:qFormat/>
    <w:rPr>
      <w:rFonts w:ascii="宋体" w:hAnsi="Times New Roman" w:eastAsia="宋体" w:cs="Times New Roman"/>
      <w:sz w:val="18"/>
      <w:szCs w:val="18"/>
    </w:rPr>
  </w:style>
  <w:style w:type="character" w:styleId="975" w:customStyle="1">
    <w:name w:val="正文文本缩进 Char1"/>
    <w:uiPriority w:val="99"/>
    <w:semiHidden/>
    <w:qFormat/>
    <w:rPr>
      <w:rFonts w:ascii="Times New Roman" w:hAnsi="Times New Roman" w:eastAsia="宋体" w:cs="Times New Roman"/>
      <w:szCs w:val="20"/>
    </w:rPr>
  </w:style>
  <w:style w:type="character" w:styleId="976" w:customStyle="1">
    <w:name w:val="15"/>
    <w:uiPriority w:val="0"/>
    <w:qFormat/>
    <w:rPr>
      <w:rFonts w:ascii="Times New Roman" w:hAnsi="Times New Roman" w:cs="Times New Roman"/>
    </w:rPr>
  </w:style>
  <w:style w:type="character" w:styleId="977" w:customStyle="1">
    <w:name w:val="正文文本缩进 2 Char1"/>
    <w:uiPriority w:val="99"/>
    <w:semiHidden/>
    <w:qFormat/>
    <w:rPr>
      <w:rFonts w:ascii="Times New Roman" w:hAnsi="Times New Roman" w:eastAsia="宋体" w:cs="Times New Roman"/>
      <w:szCs w:val="20"/>
    </w:rPr>
  </w:style>
  <w:style w:type="character" w:styleId="978" w:customStyle="1">
    <w:name w:val="日期 Char1"/>
    <w:uiPriority w:val="99"/>
    <w:semiHidden/>
    <w:qFormat/>
    <w:rPr>
      <w:rFonts w:ascii="Times New Roman" w:hAnsi="Times New Roman" w:eastAsia="宋体" w:cs="Times New Roman"/>
      <w:szCs w:val="20"/>
    </w:rPr>
  </w:style>
  <w:style w:type="character" w:styleId="979" w:customStyle="1">
    <w:name w:val="正文文本缩进 3 Char1"/>
    <w:uiPriority w:val="99"/>
    <w:semiHidden/>
    <w:qFormat/>
    <w:rPr>
      <w:rFonts w:ascii="Times New Roman" w:hAnsi="Times New Roman" w:eastAsia="宋体" w:cs="Times New Roman"/>
      <w:sz w:val="16"/>
      <w:szCs w:val="16"/>
    </w:rPr>
  </w:style>
  <w:style w:type="paragraph" w:styleId="980">
    <w:name w:val="List Paragraph"/>
    <w:basedOn w:val="701"/>
    <w:uiPriority w:val="0"/>
    <w:qFormat/>
    <w:pPr>
      <w:ind w:firstLine="420"/>
    </w:pPr>
    <w:rPr>
      <w:szCs w:val="21"/>
    </w:rPr>
  </w:style>
  <w:style w:type="paragraph" w:styleId="981" w:customStyle="1">
    <w:name w:val="普通文字"/>
    <w:basedOn w:val="701"/>
    <w:next w:val="701"/>
    <w:uiPriority w:val="0"/>
    <w:qFormat/>
    <w:rPr>
      <w:rFonts w:ascii="宋体"/>
      <w:sz w:val="24"/>
    </w:rPr>
  </w:style>
  <w:style w:type="paragraph" w:styleId="982" w:customStyle="1">
    <w:name w:val="样式 小四 段前: 5 磅 段后: 5 磅 首行缩进:  2 字符"/>
    <w:basedOn w:val="701"/>
    <w:uiPriority w:val="0"/>
    <w:qFormat/>
    <w:pPr>
      <w:jc w:val="center"/>
      <w:spacing w:line="360" w:lineRule="auto"/>
    </w:pPr>
    <w:rPr>
      <w:rFonts w:ascii="宋体" w:hAnsi="宋体"/>
      <w:bCs/>
      <w:color w:val="ff0000"/>
      <w:sz w:val="24"/>
      <w:szCs w:val="24"/>
    </w:rPr>
  </w:style>
  <w:style w:type="paragraph" w:styleId="983" w:customStyle="1">
    <w:name w:val="首行缩进"/>
    <w:uiPriority w:val="0"/>
    <w:qFormat/>
    <w:pPr>
      <w:ind w:firstLine="480"/>
      <w:jc w:val="both"/>
      <w:widowControl w:val="off"/>
    </w:pPr>
    <w:rPr>
      <w:rFonts w:hint="default" w:ascii="Times New Roman" w:hAnsi="Times New Roman" w:eastAsia="宋体" w:cs="Times New Roman"/>
      <w:sz w:val="21"/>
      <w:lang w:val="zh-CN"/>
    </w:rPr>
  </w:style>
  <w:style w:type="paragraph" w:styleId="984" w:customStyle="1">
    <w:name w:val="Other|1"/>
    <w:basedOn w:val="701"/>
    <w:uiPriority w:val="0"/>
    <w:qFormat/>
    <w:pPr>
      <w:ind w:firstLine="220"/>
    </w:pPr>
    <w:rPr>
      <w:rFonts w:ascii="宋体" w:hAnsi="宋体" w:cs="宋体"/>
      <w:sz w:val="20"/>
      <w:lang w:val="zh-TW" w:eastAsia="zh-TW" w:bidi="zh-TW"/>
    </w:rPr>
  </w:style>
  <w:style w:type="character" w:styleId="985" w:customStyle="1">
    <w:name w:val="font11"/>
    <w:uiPriority w:val="0"/>
    <w:qFormat/>
    <w:rPr>
      <w:rFonts w:hint="eastAsia" w:ascii="宋体" w:hAnsi="宋体" w:eastAsia="宋体" w:cs="宋体"/>
      <w:color w:val="333333"/>
      <w:sz w:val="20"/>
      <w:szCs w:val="20"/>
      <w:u w:val="none"/>
    </w:rPr>
  </w:style>
  <w:style w:type="paragraph" w:styleId="986" w:customStyle="1">
    <w:name w:val="纯文本1"/>
    <w:basedOn w:val="701"/>
    <w:uiPriority w:val="0"/>
    <w:qFormat/>
    <w:rPr>
      <w:rFonts w:ascii="宋体" w:hAnsi="Courier New" w:eastAsia="楷体_GB2312"/>
      <w:sz w:val="26"/>
    </w:rPr>
  </w:style>
  <w:style w:type="character" w:styleId="987" w:customStyle="1">
    <w:name w:val="font21"/>
    <w:uiPriority w:val="0"/>
    <w:qFormat/>
    <w:rPr>
      <w:rFonts w:hint="eastAsia" w:ascii="宋体" w:hAnsi="宋体" w:eastAsia="宋体" w:cs="宋体"/>
      <w:color w:val="000000"/>
      <w:sz w:val="20"/>
      <w:szCs w:val="20"/>
      <w:u w:val="none"/>
    </w:rPr>
  </w:style>
  <w:style w:type="character" w:styleId="988" w:customStyle="1">
    <w:name w:val="font01"/>
    <w:uiPriority w:val="0"/>
    <w:qFormat/>
    <w:rPr>
      <w:rFonts w:ascii="Tahoma" w:hAnsi="Tahoma" w:eastAsia="Tahoma" w:cs="Tahoma"/>
      <w:color w:val="333333"/>
      <w:sz w:val="20"/>
      <w:szCs w:val="20"/>
      <w:u w:val="none"/>
    </w:rPr>
  </w:style>
  <w:style w:type="paragraph" w:styleId="989" w:customStyle="1">
    <w:name w:val="列出段落2"/>
    <w:basedOn w:val="701"/>
    <w:uiPriority w:val="34"/>
    <w:qFormat/>
    <w:pPr>
      <w:ind w:firstLine="420"/>
    </w:pPr>
  </w:style>
  <w:style w:type="paragraph" w:styleId="990" w:customStyle="1">
    <w:name w:val="正文文本2"/>
    <w:basedOn w:val="701"/>
    <w:next w:val="991"/>
    <w:uiPriority w:val="0"/>
    <w:qFormat/>
    <w:rPr>
      <w:rFonts w:ascii="华文中宋" w:eastAsia="华文中宋"/>
      <w:bCs/>
      <w:sz w:val="28"/>
    </w:rPr>
  </w:style>
  <w:style w:type="paragraph" w:styleId="991" w:customStyle="1">
    <w:name w:val="列表项目符号 51"/>
    <w:basedOn w:val="701"/>
    <w:uiPriority w:val="0"/>
    <w:qFormat/>
    <w:pPr>
      <w:ind w:left="2040" w:hanging="360"/>
      <w:spacing w:line="360" w:lineRule="exact"/>
      <w:widowControl/>
      <w:tabs>
        <w:tab w:val="left" w:pos="2040" w:leader="none"/>
      </w:tabs>
    </w:pPr>
    <w:rPr>
      <w:rFonts w:eastAsia="楷体_GB2312"/>
      <w:sz w:val="24"/>
    </w:rPr>
  </w:style>
  <w:style w:type="paragraph" w:styleId="992" w:customStyle="1">
    <w:name w:val="页脚11"/>
    <w:basedOn w:val="701"/>
    <w:next w:val="701"/>
    <w:uiPriority w:val="99"/>
    <w:unhideWhenUsed/>
    <w:qFormat/>
    <w:pPr>
      <w:jc w:val="left"/>
      <w:tabs>
        <w:tab w:val="center" w:pos="4153" w:leader="none"/>
        <w:tab w:val="right" w:pos="8306" w:leader="none"/>
      </w:tabs>
    </w:pPr>
    <w:rPr>
      <w:sz w:val="18"/>
      <w:szCs w:val="18"/>
    </w:rPr>
  </w:style>
  <w:style w:type="paragraph" w:styleId="993" w:customStyle="1">
    <w:name w:val="正文缩进11"/>
    <w:basedOn w:val="701"/>
    <w:uiPriority w:val="0"/>
    <w:unhideWhenUsed/>
    <w:qFormat/>
    <w:pPr>
      <w:ind w:firstLine="420"/>
    </w:pPr>
    <w:rPr>
      <w:szCs w:val="24"/>
    </w:rPr>
  </w:style>
  <w:style w:type="paragraph" w:styleId="994" w:customStyle="1">
    <w:name w:val="无间隔1"/>
    <w:uiPriority w:val="99"/>
    <w:qFormat/>
    <w:pPr>
      <w:jc w:val="both"/>
      <w:widowControl w:val="off"/>
    </w:pPr>
    <w:rPr>
      <w:rFonts w:hint="default" w:ascii="Calibri" w:hAnsi="Calibri" w:eastAsia="宋体" w:cs="Calibri"/>
      <w:sz w:val="21"/>
      <w:szCs w:val="21"/>
    </w:rPr>
  </w:style>
  <w:style w:type="paragraph" w:styleId="995" w:customStyle="1">
    <w:name w:val="_Style 1"/>
    <w:basedOn w:val="701"/>
    <w:uiPriority w:val="99"/>
    <w:qFormat/>
    <w:pPr>
      <w:ind w:firstLine="420"/>
    </w:pPr>
    <w:rPr>
      <w:rFonts w:ascii="Calibri" w:hAnsi="Calibri"/>
      <w:szCs w:val="22"/>
    </w:rPr>
  </w:style>
  <w:style w:type="paragraph" w:styleId="996" w:customStyle="1">
    <w:name w:val="BodyText1I2"/>
    <w:basedOn w:val="997"/>
    <w:next w:val="998"/>
    <w:uiPriority w:val="0"/>
    <w:qFormat/>
    <w:pPr>
      <w:ind w:firstLine="210"/>
    </w:pPr>
  </w:style>
  <w:style w:type="paragraph" w:styleId="997" w:customStyle="1">
    <w:name w:val="BodyTextIndent"/>
    <w:basedOn w:val="701"/>
    <w:uiPriority w:val="0"/>
    <w:qFormat/>
    <w:pPr>
      <w:ind w:left="420"/>
      <w:spacing w:after="120"/>
    </w:pPr>
  </w:style>
  <w:style w:type="paragraph" w:styleId="998" w:customStyle="1">
    <w:name w:val="BodyText"/>
    <w:basedOn w:val="701"/>
    <w:uiPriority w:val="0"/>
    <w:qFormat/>
    <w:pPr>
      <w:spacing w:after="120"/>
    </w:pPr>
  </w:style>
  <w:style w:type="paragraph" w:styleId="999" w:customStyle="1">
    <w:name w:val="正文1"/>
    <w:basedOn w:val="701"/>
    <w:link w:val="1004"/>
    <w:uiPriority w:val="0"/>
    <w:qFormat/>
    <w:pPr>
      <w:ind w:firstLine="200"/>
      <w:spacing w:line="360" w:lineRule="auto"/>
    </w:pPr>
    <w:rPr>
      <w:sz w:val="28"/>
      <w:szCs w:val="28"/>
    </w:rPr>
  </w:style>
  <w:style w:type="paragraph" w:styleId="1000" w:customStyle="1">
    <w:name w:val="正文—表图名"/>
    <w:basedOn w:val="701"/>
    <w:uiPriority w:val="0"/>
    <w:qFormat/>
    <w:pPr>
      <w:jc w:val="center"/>
    </w:pPr>
    <w:rPr>
      <w:b/>
      <w:szCs w:val="21"/>
    </w:rPr>
  </w:style>
  <w:style w:type="paragraph" w:styleId="1001" w:customStyle="1">
    <w:name w:val="正文—表内文字"/>
    <w:basedOn w:val="701"/>
    <w:uiPriority w:val="0"/>
    <w:qFormat/>
    <w:pPr>
      <w:jc w:val="center"/>
    </w:pPr>
    <w:rPr>
      <w:bCs/>
      <w:szCs w:val="21"/>
    </w:rPr>
  </w:style>
  <w:style w:type="paragraph" w:styleId="1002" w:customStyle="1">
    <w:name w:val="列出段落3"/>
    <w:basedOn w:val="701"/>
    <w:uiPriority w:val="0"/>
    <w:qFormat/>
    <w:pPr>
      <w:ind w:firstLine="420"/>
    </w:pPr>
    <w:rPr>
      <w:szCs w:val="21"/>
    </w:rPr>
  </w:style>
  <w:style w:type="paragraph" w:styleId="1003" w:customStyle="1">
    <w:name w:val="表图名"/>
    <w:basedOn w:val="718"/>
    <w:uiPriority w:val="0"/>
    <w:qFormat/>
    <w:pPr>
      <w:spacing w:line="360" w:lineRule="auto"/>
    </w:pPr>
    <w:rPr>
      <w:rFonts w:ascii="Times New Roman" w:hAnsi="Times New Roman" w:eastAsia="宋体"/>
      <w:bCs/>
      <w:sz w:val="24"/>
      <w:szCs w:val="24"/>
    </w:rPr>
  </w:style>
  <w:style w:type="character" w:styleId="1004" w:customStyle="1">
    <w:name w:val="正文1 字符"/>
    <w:link w:val="999"/>
    <w:uiPriority w:val="0"/>
    <w:qFormat/>
    <w:rPr>
      <w:rFonts w:hint="default" w:ascii="Times New Roman" w:hAnsi="Times New Roman" w:eastAsia="宋体" w:cs="仿宋"/>
      <w:sz w:val="28"/>
      <w:szCs w:val="28"/>
      <w:lang w:val="en-US" w:eastAsia="zh-CN" w:bidi="ar"/>
    </w:rPr>
  </w:style>
  <w:style w:type="paragraph" w:styleId="1005" w:customStyle="1">
    <w:name w:val="正文表中文字"/>
    <w:basedOn w:val="701"/>
    <w:uiPriority w:val="0"/>
    <w:qFormat/>
    <w:pPr>
      <w:jc w:val="center"/>
    </w:pPr>
    <w:rPr>
      <w:bCs/>
      <w:szCs w:val="21"/>
    </w:rPr>
  </w:style>
  <w:style w:type="paragraph" w:styleId="1006" w:customStyle="1">
    <w:name w:val="+正文"/>
    <w:basedOn w:val="701"/>
    <w:uiPriority w:val="0"/>
    <w:qFormat/>
    <w:pPr>
      <w:ind w:firstLine="200"/>
      <w:spacing w:line="360" w:lineRule="auto"/>
    </w:pPr>
    <w:rPr>
      <w:sz w:val="24"/>
      <w:szCs w:val="28"/>
    </w:rPr>
  </w:style>
  <w:style w:type="character" w:styleId="1007" w:customStyle="1">
    <w:name w:val="font101"/>
    <w:basedOn w:val="711"/>
    <w:uiPriority w:val="0"/>
    <w:qFormat/>
    <w:rPr>
      <w:rFonts w:hint="default" w:ascii="Times New Roman" w:hAnsi="Times New Roman" w:cs="Times New Roman"/>
      <w:b/>
      <w:bCs/>
      <w:color w:val="000000"/>
      <w:sz w:val="20"/>
      <w:szCs w:val="20"/>
      <w:u w:val="none"/>
    </w:rPr>
  </w:style>
  <w:style w:type="paragraph" w:styleId="1008" w:customStyle="1">
    <w:name w:val="*正文"/>
    <w:basedOn w:val="701"/>
    <w:uiPriority w:val="0"/>
    <w:qFormat/>
    <w:pPr>
      <w:ind w:firstLine="200"/>
      <w:spacing w:line="360" w:lineRule="auto"/>
    </w:pPr>
    <w:rPr>
      <w:sz w:val="24"/>
    </w:rPr>
  </w:style>
  <w:style w:type="paragraph" w:styleId="1009" w:customStyle="1">
    <w:name w:val="修订1"/>
    <w:hidden/>
    <w:uiPriority w:val="99"/>
    <w:unhideWhenUsed/>
    <w:qFormat/>
    <w:rPr>
      <w:rFonts w:hint="default" w:ascii="Times New Roman" w:hAnsi="Times New Roman" w:eastAsia="宋体" w:cs="Times New Roman"/>
      <w:sz w:val="21"/>
    </w:rPr>
  </w:style>
  <w:style w:type="paragraph" w:styleId="1010" w:customStyle="1">
    <w:name w:val="正文缩进111"/>
    <w:basedOn w:val="701"/>
    <w:uiPriority w:val="0"/>
    <w:qFormat/>
    <w:pPr>
      <w:ind w:firstLine="420"/>
      <w:jc w:val="left"/>
      <w:widowControl/>
    </w:pPr>
    <w:rPr>
      <w:sz w:val="20"/>
    </w:rPr>
  </w:style>
  <w:style w:type="paragraph" w:styleId="1011" w:customStyle="1">
    <w:name w:val="正文——表图名"/>
    <w:basedOn w:val="718"/>
    <w:uiPriority w:val="0"/>
    <w:qFormat/>
    <w:pPr>
      <w:jc w:val="center"/>
      <w:spacing w:line="360" w:lineRule="auto"/>
      <w:widowControl w:val="off"/>
    </w:pPr>
    <w:rPr>
      <w:rFonts w:ascii="Times New Roman" w:hAnsi="Times New Roman" w:eastAsia="宋体" w:cs="Times New Roman"/>
      <w:bCs/>
      <w:sz w:val="24"/>
      <w:szCs w:val="24"/>
      <w:lang w:val="en-US" w:eastAsia="zh-CN" w:bidi="ar-SA"/>
    </w:rPr>
  </w:style>
  <w:style w:type="paragraph" w:styleId="1012" w:customStyle="1">
    <w:name w:val="正文——表内文字"/>
    <w:uiPriority w:val="0"/>
    <w:qFormat/>
    <w:pPr>
      <w:jc w:val="center"/>
    </w:pPr>
    <w:rPr>
      <w:rFonts w:ascii="Times New Roman" w:hAnsi="Times New Roman" w:eastAsia="宋体" w:cs="Times New Roman"/>
      <w:bCs/>
      <w:sz w:val="21"/>
      <w:szCs w:val="24"/>
      <w:lang w:val="en-US" w:eastAsia="zh-CN" w:bidi="ar-SA"/>
    </w:rPr>
  </w:style>
  <w:style w:type="table" w:styleId="1013" w:customStyle="1">
    <w:name w:val="Table Normal"/>
    <w:uiPriority w:val="2"/>
    <w:unhideWhenUsed/>
    <w:qFormat/>
    <w:pPr>
      <w:spacing w:after="0" w:line="240" w:lineRule="auto"/>
      <w:widowControl w:val="off"/>
    </w:pPr>
    <w:rPr>
      <w:szCs w:val="22"/>
      <w:lang w:eastAsia="en-US"/>
    </w:rPr>
    <w:tblPr>
      <w:tblCellMar>
        <w:left w:w="0" w:type="dxa"/>
        <w:top w:w="0" w:type="dxa"/>
        <w:right w:w="0" w:type="dxa"/>
        <w:bottom w:w="0" w:type="dxa"/>
      </w:tblCellMar>
    </w:tbl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jpg"/><Relationship Id="rId25"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63cc27bd-80ea-42bd-a268-4c283b4a165e</errorID>
      <errorWord>设</errorWord>
      <group>L1_Word</group>
      <groupName>字词问题</groupName>
      <ability>L2_Typo</ability>
      <abilityName>字词错误</abilityName>
      <candidateList>
        <item>设以</item>
      </candidateList>
      <explain/>
      <paraID>2E0B1EAC</paraID>
      <start>1</start>
      <end>2</end>
      <status>ignored</status>
      <modifiedWord/>
      <trackRevisions>false</trackRevisions>
    </reviewItem>
    <reviewItem>
      <errorID>c55e4290-ae29-49de-9eae-b387674702bc</errorID>
      <errorWord>（</errorWord>
      <group>L1_Word</group>
      <groupName>字词问题</groupName>
      <ability>L2_Typo</ability>
      <abilityName>字词错误</abilityName>
      <candidateList>
        <item>（在</item>
      </candidateList>
      <explain/>
      <paraID>29491A64</paraID>
      <start>89</start>
      <end>90</end>
      <status>unmodified</status>
      <modifiedWord/>
      <trackRevisions>false</trackRevisions>
    </reviewItem>
    <reviewItem>
      <errorID>1b0ea1c7-28fb-4448-b5bf-a72c3a7601b7</errorID>
      <errorWord>（</errorWord>
      <group>L1_Punc</group>
      <groupName>标点问题</groupName>
      <ability>L2_Punc</ability>
      <abilityName>标点符号检查</abilityName>
      <candidateList/>
      <explain>同一形式括号套用。</explain>
      <paraID>29491A64</paraID>
      <start>115</start>
      <end>116</end>
      <status>unmodified</status>
      <modifiedWord/>
      <trackRevisions>false</trackRevisions>
    </reviewItem>
    <reviewItem>
      <errorID>09fa0eca-06fd-4e2d-8609-84a9ad5f67a2</errorID>
      <errorWord>）</errorWord>
      <group>L1_Punc</group>
      <groupName>标点问题</groupName>
      <ability>L2_Punc</ability>
      <abilityName>标点符号检查</abilityName>
      <candidateList/>
      <explain>同一形式括号套用。</explain>
      <paraID>29491A64</paraID>
      <start>119</start>
      <end>120</end>
      <status>unmodified</status>
      <modifiedWord/>
      <trackRevisions>false</trackRevisions>
    </reviewItem>
    <reviewItem>
      <errorID>8bac0fb0-5567-473c-911c-89ec8a327cd3</errorID>
      <errorWord>（</errorWord>
      <group>L1_Punc</group>
      <groupName>标点问题</groupName>
      <ability>L2_Punc</ability>
      <abilityName>标点符号检查</abilityName>
      <candidateList/>
      <explain>同一形式括号套用。</explain>
      <paraID>29491A64</paraID>
      <start>128</start>
      <end>129</end>
      <status>unmodified</status>
      <modifiedWord/>
      <trackRevisions>false</trackRevisions>
    </reviewItem>
    <reviewItem>
      <errorID>c18604c5-eccd-43cf-9799-d7d2b3683fe4</errorID>
      <errorWord>）</errorWord>
      <group>L1_Punc</group>
      <groupName>标点问题</groupName>
      <ability>L2_Punc</ability>
      <abilityName>标点符号检查</abilityName>
      <candidateList/>
      <explain>同一形式括号套用。</explain>
      <paraID>29491A64</paraID>
      <start>175</start>
      <end>176</end>
      <status>unmodified</status>
      <modifiedWord/>
      <trackRevisions>false</trackRevisions>
    </reviewItem>
    <reviewItem>
      <errorID>58b9465a-40ad-4b14-9fbb-1ef3c212528e</errorID>
      <errorWord>“.</errorWord>
      <group>L1_Punc</group>
      <groupName>标点问题</groupName>
      <ability>L2_Punc</ability>
      <abilityName>标点符号检查</abilityName>
      <candidateList>
        <item>“</item>
      </candidateList>
      <explain/>
      <paraID>29491A64</paraID>
      <start>204</start>
      <end>206</end>
      <status>unmodified</status>
      <modifiedWord/>
      <trackRevisions>false</trackRevisions>
    </reviewItem>
    <reviewItem>
      <errorID>2f29ae6a-4cfd-4c79-ad48-1debcd9eb7b3</errorID>
      <errorWord>“.</errorWord>
      <group>L1_Punc</group>
      <groupName>标点问题</groupName>
      <ability>L2_Punc</ability>
      <abilityName>标点符号检查</abilityName>
      <candidateList>
        <item>“</item>
      </candidateList>
      <explain/>
      <paraID>3E4C68DC</paraID>
      <start>11</start>
      <end>13</end>
      <status>unmodified</status>
      <modifiedWord/>
      <trackRevisions>false</trackRevisions>
    </reviewItem>
    <reviewItem>
      <errorID>b1f14617-4d23-4c2c-afa2-34f2aad85452</errorID>
      <errorWord>截止至2026年</errorWord>
      <group>L1_Word</group>
      <groupName>字词问题</groupName>
      <ability>L2_Typo</ability>
      <abilityName>字词错误</abilityName>
      <candidateList>
        <item>截至2026年</item>
      </candidateList>
      <explain/>
      <paraID>37AA5F14</paraID>
      <start>48</start>
      <end>56</end>
      <status>unmodified</status>
      <modifiedWord/>
      <trackRevisions>false</trackRevisions>
    </reviewItem>
    <reviewItem>
      <errorID>918ca572-4616-428a-ab89-21b952edef5c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665BF20D</paraID>
      <start>0</start>
      <end>2</end>
      <status>unmodified</status>
      <modifiedWord/>
      <trackRevisions>false</trackRevisions>
    </reviewItem>
    <reviewItem>
      <errorID>76a7e448-5bed-4680-aabd-e40d6f5c9c7d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7101C76</paraID>
      <start>0</start>
      <end>2</end>
      <status>unmodified</status>
      <modifiedWord/>
      <trackRevisions>false</trackRevisions>
    </reviewItem>
    <reviewItem>
      <errorID>50799a23-3ced-46f6-b509-a0fa040899b2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39F3E152</paraID>
      <start>0</start>
      <end>2</end>
      <status>unmodified</status>
      <modifiedWord/>
      <trackRevisions>false</trackRevisions>
    </reviewItem>
    <reviewItem>
      <errorID>619c9219-72b6-4a0f-b9a9-06650f1c5c43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44ADF93B</paraID>
      <start>0</start>
      <end>2</end>
      <status>unmodified</status>
      <modifiedWord/>
      <trackRevisions>false</trackRevisions>
    </reviewItem>
    <reviewItem>
      <errorID>e8fa319e-5cc5-4eee-b7c3-20a8d4996a0a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613F2572</paraID>
      <start>0</start>
      <end>2</end>
      <status>unmodified</status>
      <modifiedWord/>
      <trackRevisions>false</trackRevisions>
    </reviewItem>
    <reviewItem>
      <errorID>6ea3b7c0-4cbf-4109-8033-c4b4f600de5c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4E8C7E86</paraID>
      <start>0</start>
      <end>2</end>
      <status>unmodified</status>
      <modifiedWord/>
      <trackRevisions>false</trackRevisions>
    </reviewItem>
    <reviewItem>
      <errorID>21493573-cbf0-4f2b-8822-f36eeeafcb3a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7EDEBB09</paraID>
      <start>0</start>
      <end>2</end>
      <status>unmodified</status>
      <modifiedWord/>
      <trackRevisions>false</trackRevisions>
    </reviewItem>
    <reviewItem>
      <errorID>c93c8ba4-02bb-4105-af43-6ccc95e0b157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201F76DD</paraID>
      <start>0</start>
      <end>2</end>
      <status>unmodified</status>
      <modifiedWord/>
      <trackRevisions>false</trackRevisions>
    </reviewItem>
    <reviewItem>
      <errorID>34eca3d9-e2a9-4369-bb19-1ad0ba03987c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37853DB5</paraID>
      <start>0</start>
      <end>2</end>
      <status>unmodified</status>
      <modifiedWord/>
      <trackRevisions>false</trackRevisions>
    </reviewItem>
    <reviewItem>
      <errorID>8e169d70-9483-44e7-94f4-ac04a5acfca3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77DD390D</paraID>
      <start>0</start>
      <end>2</end>
      <status>unmodified</status>
      <modifiedWord/>
      <trackRevisions>false</trackRevisions>
    </reviewItem>
    <reviewItem>
      <errorID>98d77058-8205-4c84-b02e-d24ca0aa8ead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471C9D08</paraID>
      <start>0</start>
      <end>3</end>
      <status>unmodified</status>
      <modifiedWord/>
      <trackRevisions>false</trackRevisions>
    </reviewItem>
    <reviewItem>
      <errorID>7ffb963c-fbdf-4dbb-ba00-08a854b2706b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2FC1178B</paraID>
      <start>0</start>
      <end>3</end>
      <status>unmodified</status>
      <modifiedWord/>
      <trackRevisions>false</trackRevisions>
    </reviewItem>
    <reviewItem>
      <errorID>a72d15ee-6b3b-4f19-a9f1-babc68d78718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1DB10EF5</paraID>
      <start>0</start>
      <end>3</end>
      <status>unmodified</status>
      <modifiedWord/>
      <trackRevisions>false</trackRevisions>
    </reviewItem>
    <reviewItem>
      <errorID>c7542ba7-01b1-4a89-942b-627bfc589861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2C979037</paraID>
      <start>0</start>
      <end>3</end>
      <status>unmodified</status>
      <modifiedWord/>
      <trackRevisions>false</trackRevisions>
    </reviewItem>
    <reviewItem>
      <errorID>5b1173dd-3df7-44f3-959c-df4057ea576f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4D846532</paraID>
      <start>0</start>
      <end>3</end>
      <status>unmodified</status>
      <modifiedWord/>
      <trackRevisions>false</trackRevisions>
    </reviewItem>
    <reviewItem>
      <errorID>f44f4bc3-0201-4b7a-be8a-6ce44d721557</errorID>
      <errorWord>登陆</errorWord>
      <group>L1_Word</group>
      <groupName>字词问题</groupName>
      <ability>L2_Typo</ability>
      <abilityName>字词错误</abilityName>
      <candidateList>
        <item>登录</item>
      </candidateList>
      <explain>存在发音相同字词的误用。</explain>
      <paraID>2EA531C1</paraID>
      <start>42</start>
      <end>44</end>
      <status>modified</status>
      <modifiedWord>登录</modifiedWord>
      <trackRevisions>false</trackRevisions>
    </reviewItem>
    <reviewItem>
      <errorID>99b200a8-5bcd-488d-a18c-12f7fcd39f5d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37A9F98</paraID>
      <start>0</start>
      <end>2</end>
      <status>unmodified</status>
      <modifiedWord/>
      <trackRevisions>false</trackRevisions>
    </reviewItem>
    <reviewItem>
      <errorID>ba1d40d3-d67b-4d7a-afe9-251a1ed66b88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12494737</paraID>
      <start>0</start>
      <end>2</end>
      <status>unmodified</status>
      <modifiedWord/>
      <trackRevisions>false</trackRevisions>
    </reviewItem>
    <reviewItem>
      <errorID>1f7154f5-e0cd-4234-8a00-db611b5a7004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203DB6EA</paraID>
      <start>0</start>
      <end>2</end>
      <status>unmodified</status>
      <modifiedWord/>
      <trackRevisions>false</trackRevisions>
    </reviewItem>
    <reviewItem>
      <errorID>83ab5ad8-f26d-40da-8afe-1da51a81be6c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F0F4473</paraID>
      <start>0</start>
      <end>2</end>
      <status>unmodified</status>
      <modifiedWord/>
      <trackRevisions>false</trackRevisions>
    </reviewItem>
    <reviewItem>
      <errorID>4338ceb7-8d74-41f1-9816-be6652b5b15a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57C19910</paraID>
      <start>0</start>
      <end>2</end>
      <status>unmodified</status>
      <modifiedWord/>
      <trackRevisions>false</trackRevisions>
    </reviewItem>
    <reviewItem>
      <errorID>5877e306-f2df-4d94-a3ff-5ce5ddf26da8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3919D7E0</paraID>
      <start>0</start>
      <end>2</end>
      <status>unmodified</status>
      <modifiedWord/>
      <trackRevisions>false</trackRevisions>
    </reviewItem>
    <reviewItem>
      <errorID>c7c5db0d-3879-4f41-8a70-a1f933c0974b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2FD033CD</paraID>
      <start>0</start>
      <end>2</end>
      <status>unmodified</status>
      <modifiedWord/>
      <trackRevisions>false</trackRevisions>
    </reviewItem>
    <reviewItem>
      <errorID>c4861a5b-0ce3-4d6c-86e3-83bdfa3d0552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10563D56</paraID>
      <start>0</start>
      <end>2</end>
      <status>unmodified</status>
      <modifiedWord/>
      <trackRevisions>false</trackRevisions>
    </reviewItem>
    <reviewItem>
      <errorID>dcb9deac-415c-4db6-8fb5-8967e41240f4</errorID>
      <errorWord>100万以下</errorWord>
      <group>L1_Word</group>
      <groupName>字词问题</groupName>
      <ability>L2_Typo</ability>
      <abilityName>字词错误</abilityName>
      <candidateList>
        <item>100万元以下</item>
      </candidateList>
      <explain/>
      <paraID>6186D882</paraID>
      <start>46</start>
      <end>52</end>
      <status>unmodified</status>
      <modifiedWord/>
      <trackRevisions>false</trackRevisions>
    </reviewItem>
    <reviewItem>
      <errorID>c0235ec4-2bc3-495c-86b6-263aeeb99223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6186D882</paraID>
      <start>60</start>
      <end>69</end>
      <status>unmodified</status>
      <modifiedWord/>
      <trackRevisions>false</trackRevisions>
    </reviewItem>
    <reviewItem>
      <errorID>a60c6a38-b1b8-4a9e-959e-bac3d9d6be8c</errorID>
      <errorWord>设</errorWord>
      <group>L1_Word</group>
      <groupName>字词问题</groupName>
      <ability>L2_Typo</ability>
      <abilityName>字词错误</abilityName>
      <candidateList>
        <item>设以</item>
      </candidateList>
      <explain/>
      <paraID>5A6A8395</paraID>
      <start>1</start>
      <end>2</end>
      <status>ignored</status>
      <modifiedWord/>
      <trackRevisions>false</trackRevisions>
    </reviewItem>
    <reviewItem>
      <errorID>cd23be75-081f-46d6-a659-1ff0c160b0bd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8A26735</paraID>
      <start>0</start>
      <end>2</end>
      <status>unmodified</status>
      <modifiedWord/>
      <trackRevisions>false</trackRevisions>
    </reviewItem>
    <reviewItem>
      <errorID>f36b9af7-16e7-4853-99ee-15cb4f0fdbb8</errorID>
      <errorWord>范围都</errorWord>
      <group>L1_Word</group>
      <groupName>字词问题</groupName>
      <ability>L2_Typo</ability>
      <abilityName>字词错误</abilityName>
      <candidateList>
        <item>范围</item>
      </candidateList>
      <explain>❶〈名〉周围界限：地区～｜工作～｜活动～｜他们谈话的～很广，涉及政治、科学、文学等各方面。❷〈书〉〈动〉限制；概括：纵横四溢，不可～。</explain>
      <paraID>2FFA70FD</paraID>
      <start>23</start>
      <end>26</end>
      <status>unmodified</status>
      <modifiedWord/>
      <trackRevisions>false</trackRevisions>
    </reviewItem>
    <reviewItem>
      <errorID>7291bc08-3cae-41bc-8aeb-883538745e5c</errorID>
      <errorWord>海拔高度</errorWord>
      <group>L1_Word</group>
      <groupName>字词问题</groupName>
      <ability>L2_Typo</ability>
      <abilityName>字词错误</abilityName>
      <candidateList>
        <item>海拔</item>
      </candidateList>
      <explain>〈名〉从平均海平面起算的高度。</explain>
      <paraID>435EE9FB</paraID>
      <start>7</start>
      <end>11</end>
      <status>unmodified</status>
      <modifiedWord/>
      <trackRevisions>false</trackRevisions>
    </reviewItem>
    <reviewItem>
      <errorID>ec44308c-ddae-4ce2-a47c-681405d2510a</errorID>
      <errorWord>海拔高度</errorWord>
      <group>L1_Word</group>
      <groupName>字词问题</groupName>
      <ability>L2_Typo</ability>
      <abilityName>字词错误</abilityName>
      <candidateList>
        <item>海拔</item>
      </candidateList>
      <explain>〈名〉从平均海平面起算的高度。</explain>
      <paraID>435EE9FB</paraID>
      <start>18</start>
      <end>22</end>
      <status>unmodified</status>
      <modifiedWord/>
      <trackRevisions>false</trackRevisions>
    </reviewItem>
    <reviewItem>
      <errorID>bdf9f2be-123f-492a-a803-0fd2829ea5d8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54B9602E</paraID>
      <start>0</start>
      <end>2</end>
      <status>unmodified</status>
      <modifiedWord/>
      <trackRevisions>false</trackRevisions>
    </reviewItem>
    <reviewItem>
      <errorID>e4e3847e-170f-4de0-80ee-4be08a4cff1b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628BA59E</paraID>
      <start>40</start>
      <end>41</end>
      <status>unmodified</status>
      <modifiedWord/>
      <trackRevisions>false</trackRevisions>
    </reviewItem>
    <reviewItem>
      <errorID>31bab626-91f2-4e64-b892-86f61b6e1f3b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225D88F3</paraID>
      <start>0</start>
      <end>2</end>
      <status>unmodified</status>
      <modifiedWord/>
      <trackRevisions>false</trackRevisions>
    </reviewItem>
    <reviewItem>
      <errorID>0894d181-7561-48eb-862d-aab6aaa085dd</errorID>
      <errorWord>WiFi</errorWord>
      <group>L1_Punc</group>
      <groupName>标点问题</groupName>
      <ability>L2_Punc</ability>
      <abilityName>标点符号检查</abilityName>
      <candidateList>
        <item>Wi-Fi</item>
      </candidateList>
      <explain/>
      <paraID>19BB599E</paraID>
      <start>19</start>
      <end>23</end>
      <status>unmodified</status>
      <modifiedWord/>
      <trackRevisions>false</trackRevisions>
    </reviewItem>
    <reviewItem>
      <errorID>f4b0a682-1c8d-40d0-929b-e788ac0037b9</errorID>
      <errorWord>WiFi</errorWord>
      <group>L1_Punc</group>
      <groupName>标点问题</groupName>
      <ability>L2_Punc</ability>
      <abilityName>标点符号检查</abilityName>
      <candidateList>
        <item>Wi-Fi</item>
      </candidateList>
      <explain/>
      <paraID>2248B0AF</paraID>
      <start>21</start>
      <end>25</end>
      <status>unmodified</status>
      <modifiedWord/>
      <trackRevisions>false</trackRevisions>
    </reviewItem>
    <reviewItem>
      <errorID>5f685721-5284-4ab0-9a9e-7f0aaf2190f8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59AEE298</paraID>
      <start>0</start>
      <end>2</end>
      <status>unmodified</status>
      <modifiedWord/>
      <trackRevisions>false</trackRevisions>
    </reviewItem>
    <reviewItem>
      <errorID>0b2dbf53-7196-4c0f-851b-e80efd8ce706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BEEA0B8</paraID>
      <start>0</start>
      <end>2</end>
      <status>unmodified</status>
      <modifiedWord/>
      <trackRevisions>false</trackRevisions>
    </reviewItem>
    <reviewItem>
      <errorID>18acd785-c315-4768-8f4e-81f9de91a6fa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484AC994</paraID>
      <start>0</start>
      <end>2</end>
      <status>unmodified</status>
      <modifiedWord/>
      <trackRevisions>false</trackRevisions>
    </reviewItem>
    <reviewItem>
      <errorID>537b2d98-9495-41c1-8f5e-641a23888e6f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5A5FF364</paraID>
      <start>0</start>
      <end>2</end>
      <status>unmodified</status>
      <modifiedWord/>
      <trackRevisions>false</trackRevisions>
    </reviewItem>
    <reviewItem>
      <errorID>9cfc2943-87bb-45b7-b9a7-cc563665da23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6BEB0C68</paraID>
      <start>0</start>
      <end>2</end>
      <status>unmodified</status>
      <modifiedWord/>
      <trackRevisions>false</trackRevisions>
    </reviewItem>
    <reviewItem>
      <errorID>5a58c9bd-5bdd-4983-8ca3-7199ee7af314</errorID>
      <errorWord>，</errorWord>
      <group>L1_Word</group>
      <groupName>字词问题</groupName>
      <ability>L2_Typo</ability>
      <abilityName>字词错误</abilityName>
      <candidateList>
        <item>，经</item>
      </candidateList>
      <explain/>
      <paraID>3347DEF4</paraID>
      <start>45</start>
      <end>46</end>
      <status>unmodified</status>
      <modifiedWord/>
      <trackRevisions>false</trackRevisions>
    </reviewItem>
    <reviewItem>
      <errorID>4b4f31e5-1bd3-47bf-8e0e-e88cc91c65e7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531E8095</paraID>
      <start>0</start>
      <end>2</end>
      <status>unmodified</status>
      <modifiedWord/>
      <trackRevisions>false</trackRevisions>
    </reviewItem>
    <reviewItem>
      <errorID>33662522-7873-44fa-bcfe-96eaea47c4c6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7A97CC8B</paraID>
      <start>0</start>
      <end>2</end>
      <status>unmodified</status>
      <modifiedWord/>
      <trackRevisions>false</trackRevisions>
    </reviewItem>
    <reviewItem>
      <errorID>0f32476c-f4b5-4709-afe6-b1205f64eada</errorID>
      <errorWord>、</errorWord>
      <group>L1_Word</group>
      <groupName>字词问题</groupName>
      <ability>L2_Typo</ability>
      <abilityName>字词错误</abilityName>
      <candidateList>
        <item>、建</item>
      </candidateList>
      <explain/>
      <paraID>2C8EE097</paraID>
      <start>12</start>
      <end>13</end>
      <status>unmodified</status>
      <modifiedWord/>
      <trackRevisions>false</trackRevisions>
    </reviewItem>
    <reviewItem>
      <errorID>2255d36e-6bbd-4cdf-b17e-9789d144cea8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D9F113C</paraID>
      <start>0</start>
      <end>2</end>
      <status>unmodified</status>
      <modifiedWord/>
      <trackRevisions>false</trackRevisions>
    </reviewItem>
    <reviewItem>
      <errorID>2228a6ff-7ba6-47d8-a14b-401e9d62bf91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2A64D0B6</paraID>
      <start>0</start>
      <end>2</end>
      <status>unmodified</status>
      <modifiedWord/>
      <trackRevisions>false</trackRevisions>
    </reviewItem>
    <reviewItem>
      <errorID>3903f0e1-7b89-4384-bb90-0ea8b8a1395e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5391E1A0</paraID>
      <start>0</start>
      <end>2</end>
      <status>unmodified</status>
      <modifiedWord/>
      <trackRevisions>false</trackRevisions>
    </reviewItem>
    <reviewItem>
      <errorID>a91301b6-211c-4c95-896d-f9db5496dca0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1E898E45</paraID>
      <start>0</start>
      <end>2</end>
      <status>unmodified</status>
      <modifiedWord/>
      <trackRevisions>false</trackRevisions>
    </reviewItem>
    <reviewItem>
      <errorID>ff95563b-3599-4be0-b78b-724da8eb77fd</errorID>
      <errorWord>成</errorWord>
      <group>L1_Word</group>
      <groupName>字词问题</groupName>
      <ability>L2_Typo</ability>
      <abilityName>字词错误</abilityName>
      <candidateList>
        <item>成后</item>
      </candidateList>
      <explain/>
      <paraID>593FD5BE</paraID>
      <start>100</start>
      <end>101</end>
      <status>unmodified</status>
      <modifiedWord/>
      <trackRevisions>false</trackRevisions>
    </reviewItem>
    <reviewItem>
      <errorID>0af3c0f2-891b-4923-a322-f94f947b5987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39AD250B</paraID>
      <start>0</start>
      <end>2</end>
      <status>unmodified</status>
      <modifiedWord/>
      <trackRevisions>false</trackRevisions>
    </reviewItem>
    <reviewItem>
      <errorID>3755dfd1-7e67-46c5-83d0-74caa34c5b2e</errorID>
      <errorWord>税</errorWord>
      <group>L1_Word</group>
      <groupName>字词问题</groupName>
      <ability>L2_Typo</ability>
      <abilityName>字词错误</abilityName>
      <candidateList>
        <item>税费</item>
      </candidateList>
      <explain/>
      <paraID>4CF8C5A6</paraID>
      <start>46</start>
      <end>47</end>
      <status>unmodified</status>
      <modifiedWord/>
      <trackRevisions>false</trackRevisions>
    </reviewItem>
    <reviewItem>
      <errorID>17ba4df4-7cee-4839-bb59-9a6bd089bd8a</errorID>
      <errorWord>一</errorWord>
      <group>L1_Word</group>
      <groupName>字词问题</groupName>
      <ability>L2_Typo</ability>
      <abilityName>字词错误</abilityName>
      <candidateList>
        <item>一个</item>
      </candidateList>
      <explain/>
      <paraID>57C10141</paraID>
      <start>70</start>
      <end>71</end>
      <status>unmodified</status>
      <modifiedWord/>
      <trackRevisions>false</trackRevisions>
    </reviewItem>
    <reviewItem>
      <errorID>eedddfa7-8a22-41c8-9852-1b28d25d6ff3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225A0B15</paraID>
      <start>0</start>
      <end>2</end>
      <status>unmodified</status>
      <modifiedWord/>
      <trackRevisions>false</trackRevisions>
    </reviewItem>
    <reviewItem>
      <errorID>2d38379a-c16d-4aad-b3b1-6ce502b07989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7367F0C1</paraID>
      <start>0</start>
      <end>2</end>
      <status>unmodified</status>
      <modifiedWord/>
      <trackRevisions>false</trackRevisions>
    </reviewItem>
    <reviewItem>
      <errorID>2da308e7-8232-486f-a796-b5d8f69cd901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758C0AEE</paraID>
      <start>0</start>
      <end>2</end>
      <status>unmodified</status>
      <modifiedWord/>
      <trackRevisions>false</trackRevisions>
    </reviewItem>
    <reviewItem>
      <errorID>c68a5b8c-c430-4516-ba97-39a5281d0bc4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188C3F2E</paraID>
      <start>0</start>
      <end>2</end>
      <status>unmodified</status>
      <modifiedWord/>
      <trackRevisions>false</trackRevisions>
    </reviewItem>
    <reviewItem>
      <errorID>3909099c-0b2b-4aee-bc99-1031232d4f15</errorID>
      <errorWord>，就</errorWord>
      <group>L1_Word</group>
      <groupName>字词问题</groupName>
      <ability>L2_Typo</ability>
      <abilityName>字词错误</abilityName>
      <candidateList>
        <item>，</item>
      </candidateList>
      <explain/>
      <paraID>700BA086</paraID>
      <start>49</start>
      <end>51</end>
      <status>unmodified</status>
      <modifiedWord/>
      <trackRevisions>false</trackRevisions>
    </reviewItem>
    <reviewItem>
      <errorID>6b276f58-5b89-4358-81d1-1a91e31be50b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537E6835</paraID>
      <start>0</start>
      <end>2</end>
      <status>unmodified</status>
      <modifiedWord/>
      <trackRevisions>false</trackRevisions>
    </reviewItem>
    <reviewItem>
      <errorID>65d1a23f-07f7-4abb-8dd0-0d1442a5fe74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3370A2AE</paraID>
      <start>0</start>
      <end>2</end>
      <status>unmodified</status>
      <modifiedWord/>
      <trackRevisions>false</trackRevisions>
    </reviewItem>
    <reviewItem>
      <errorID>d70d274a-c906-4e83-8313-e0abcc7febf2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31DB67F</paraID>
      <start>0</start>
      <end>2</end>
      <status>unmodified</status>
      <modifiedWord/>
      <trackRevisions>false</trackRevisions>
    </reviewItem>
    <reviewItem>
      <errorID>8373fe53-a58d-4873-816e-14bb1604e807</errorID>
      <errorWord>做调整</errorWord>
      <group>L1_Word</group>
      <groupName>字词问题</groupName>
      <ability>L2_Typo</ability>
      <abilityName>字词错误</abilityName>
      <candidateList>
        <item>作调整</item>
      </candidateList>
      <explain/>
      <paraID>44EA73FC</paraID>
      <start>38</start>
      <end>41</end>
      <status>unmodified</status>
      <modifiedWord/>
      <trackRevisions>false</trackRevisions>
    </reviewItem>
    <reviewItem>
      <errorID>b1e9c6fc-51b3-4a03-86da-f448a65ca882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71705194</paraID>
      <start>0</start>
      <end>2</end>
      <status>unmodified</status>
      <modifiedWord/>
      <trackRevisions>false</trackRevisions>
    </reviewItem>
    <reviewItem>
      <errorID>36094580-7d62-4408-be55-cb42851ebf96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7CF67C18</paraID>
      <start>0</start>
      <end>2</end>
      <status>unmodified</status>
      <modifiedWord/>
      <trackRevisions>false</trackRevisions>
    </reviewItem>
    <reviewItem>
      <errorID>178cc13f-69c8-4af9-8948-5240e3d24382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69F038AA</paraID>
      <start>0</start>
      <end>2</end>
      <status>unmodified</status>
      <modifiedWord/>
      <trackRevisions>false</trackRevisions>
    </reviewItem>
    <reviewItem>
      <errorID>810a45b8-5029-4f47-8656-ca0eebb69ea8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3FBAB93C</paraID>
      <start>0</start>
      <end>2</end>
      <status>unmodified</status>
      <modifiedWord/>
      <trackRevisions>false</trackRevisions>
    </reviewItem>
    <reviewItem>
      <errorID>50232961-19fc-468f-a028-fb9822ea9c99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7961122D</paraID>
      <start>0</start>
      <end>2</end>
      <status>unmodified</status>
      <modifiedWord/>
      <trackRevisions>false</trackRevisions>
    </reviewItem>
    <reviewItem>
      <errorID>08226d70-fb0b-4b07-b7d2-e04a7219add7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1C035152</paraID>
      <start>0</start>
      <end>2</end>
      <status>unmodified</status>
      <modifiedWord/>
      <trackRevisions>false</trackRevisions>
    </reviewItem>
    <reviewItem>
      <errorID>a91f249f-40d7-40a4-b0c0-afb4adc893d8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46536BC3</paraID>
      <start>0</start>
      <end>2</end>
      <status>unmodified</status>
      <modifiedWord/>
      <trackRevisions>false</trackRevisions>
    </reviewItem>
    <reviewItem>
      <errorID>5f4686bf-21dd-41c0-a282-51152c3c1a65</errorID>
      <errorWord>雇佣</errorWord>
      <group>L1_Word</group>
      <groupName>字词问题</groupName>
      <ability>L2_Typo</ability>
      <abilityName>字词错误</abilityName>
      <candidateList>
        <item>雇用</item>
      </candidateList>
      <explain>存在发音相同字词的误用。</explain>
      <paraID>59086BA2</paraID>
      <start>45</start>
      <end>47</end>
      <status>modified</status>
      <modifiedWord>雇用</modifiedWord>
      <trackRevisions>false</trackRevisions>
    </reviewItem>
    <reviewItem>
      <errorID>4389cc85-d458-4843-a323-daf36752adb5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7F381FDE</paraID>
      <start>0</start>
      <end>2</end>
      <status>unmodified</status>
      <modifiedWord/>
      <trackRevisions>false</trackRevisions>
    </reviewItem>
    <reviewItem>
      <errorID>1a8218e2-9091-4ed6-a38b-cd66003c51c6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272B7AF7</paraID>
      <start>0</start>
      <end>2</end>
      <status>unmodified</status>
      <modifiedWord/>
      <trackRevisions>false</trackRevisions>
    </reviewItem>
    <reviewItem>
      <errorID>383a2d89-f8ad-4c73-a84e-b0e3c1dff7a4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4A191E30</paraID>
      <start>0</start>
      <end>2</end>
      <status>unmodified</status>
      <modifiedWord/>
      <trackRevisions>false</trackRevisions>
    </reviewItem>
    <reviewItem>
      <errorID>7d69dc4c-40e1-4c7c-aace-fb5ebcbe0849</errorID>
      <errorWord>时</errorWord>
      <group>L1_Word</group>
      <groupName>字词问题</groupName>
      <ability>L2_Typo</ability>
      <abilityName>字词错误</abilityName>
      <candidateList>
        <item>时提</item>
      </candidateList>
      <explain/>
      <paraID> 3D7B9E0</paraID>
      <start>64</start>
      <end>65</end>
      <status>unmodified</status>
      <modifiedWord/>
      <trackRevisions>false</trackRevisions>
    </reviewItem>
    <reviewItem>
      <errorID>738aa958-ab8b-4be1-a181-c1c9dcf0fe63</errorID>
      <errorWord>工作所必须</errorWord>
      <group>L1_Word</group>
      <groupName>字词问题</groupName>
      <ability>L2_Typo</ability>
      <abilityName>字词错误</abilityName>
      <candidateList>
        <item>工作所必需</item>
      </candidateList>
      <explain/>
      <paraID>62FB29AB</paraID>
      <start>11</start>
      <end>16</end>
      <status>unmodified</status>
      <modifiedWord/>
      <trackRevisions>false</trackRevisions>
    </reviewItem>
    <reviewItem>
      <errorID>cf50b8a3-62df-45d2-9191-3ecf8bbf942a</errorID>
      <errorWord>成</errorWord>
      <group>L1_Word</group>
      <groupName>字词问题</groupName>
      <ability>L2_Typo</ability>
      <abilityName>字词错误</abilityName>
      <candidateList>
        <item>成后</item>
      </candidateList>
      <explain/>
      <paraID> F2D91E9</paraID>
      <start>100</start>
      <end>101</end>
      <status>unmodified</status>
      <modifiedWord/>
      <trackRevisions>false</trackRevisions>
    </reviewItem>
    <reviewItem>
      <errorID>bb426c80-8895-47ec-a2b7-bae7d333de74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42B58611</paraID>
      <start>0</start>
      <end>2</end>
      <status>unmodified</status>
      <modifiedWord/>
      <trackRevisions>false</trackRevisions>
    </reviewItem>
    <reviewItem>
      <errorID>fc71a553-1621-4b4f-92ce-ab9459a2b41c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6A0E04E4</paraID>
      <start>0</start>
      <end>2</end>
      <status>unmodified</status>
      <modifiedWord/>
      <trackRevisions>false</trackRevisions>
    </reviewItem>
    <reviewItem>
      <errorID>205783eb-0c42-45ab-96b1-c330748a36ae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141AB801</paraID>
      <start>0</start>
      <end>2</end>
      <status>unmodified</status>
      <modifiedWord/>
      <trackRevisions>false</trackRevisions>
    </reviewItem>
    <reviewItem>
      <errorID>a0058bc0-dfb6-4f79-9398-5844e05c5a39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5AF3DE4B</paraID>
      <start>0</start>
      <end>2</end>
      <status>unmodified</status>
      <modifiedWord/>
      <trackRevisions>false</trackRevisions>
    </reviewItem>
    <reviewItem>
      <errorID>fef05394-a5e6-4783-bc92-4919b50858ee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58A3BC69</paraID>
      <start>0</start>
      <end>2</end>
      <status>unmodified</status>
      <modifiedWord/>
      <trackRevisions>false</trackRevisions>
    </reviewItem>
    <reviewItem>
      <errorID>0b85ab04-c5cd-43da-8379-e700d9e20dae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1C7FE7D5</paraID>
      <start>0</start>
      <end>2</end>
      <status>unmodified</status>
      <modifiedWord/>
      <trackRevisions>false</trackRevisions>
    </reviewItem>
    <reviewItem>
      <errorID>c1eb4784-7bf6-445f-b77e-8f281f996f2e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71ED8821</paraID>
      <start>0</start>
      <end>2</end>
      <status>unmodified</status>
      <modifiedWord/>
      <trackRevisions>false</trackRevisions>
    </reviewItem>
    <reviewItem>
      <errorID>fcb09db5-1a74-4bcf-8bec-20888fd3511f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408C4B35</paraID>
      <start>0</start>
      <end>2</end>
      <status>unmodified</status>
      <modifiedWord/>
      <trackRevisions>false</trackRevisions>
    </reviewItem>
    <reviewItem>
      <errorID>21188b81-6d23-497e-824f-ce321187d7f7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2C4118E7</paraID>
      <start>0</start>
      <end>2</end>
      <status>unmodified</status>
      <modifiedWord/>
      <trackRevisions>false</trackRevisions>
    </reviewItem>
    <reviewItem>
      <errorID>a05abb5c-b6e5-4d3d-9e6a-e5b23b7b8e37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586532C1</paraID>
      <start>0</start>
      <end>2</end>
      <status>unmodified</status>
      <modifiedWord/>
      <trackRevisions>false</trackRevisions>
    </reviewItem>
    <reviewItem>
      <errorID>b3671b4c-98fa-477c-a44a-d3c4921af0c8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3D58F1FA</paraID>
      <start>0</start>
      <end>2</end>
      <status>unmodified</status>
      <modifiedWord/>
      <trackRevisions>false</trackRevisions>
    </reviewItem>
    <reviewItem>
      <errorID>0b01a42c-b7b4-4e3f-b602-0895347e35ac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9F217DE</paraID>
      <start>0</start>
      <end>2</end>
      <status>unmodified</status>
      <modifiedWord/>
      <trackRevisions>false</trackRevisions>
    </reviewItem>
    <reviewItem>
      <errorID>3c149923-0c9c-4694-84f8-f3ad9390061f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278A585F</paraID>
      <start>0</start>
      <end>2</end>
      <status>unmodified</status>
      <modifiedWord/>
      <trackRevisions>false</trackRevisions>
    </reviewItem>
    <reviewItem>
      <errorID>620b8091-7627-4eca-bb7f-9ee6901cfd95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16CFB40</paraID>
      <start>0</start>
      <end>2</end>
      <status>unmodified</status>
      <modifiedWord/>
      <trackRevisions>false</trackRevisions>
    </reviewItem>
    <reviewItem>
      <errorID>18897950-79e3-47ce-b1ac-9d4cdf948b58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4CEF6558</paraID>
      <start>0</start>
      <end>2</end>
      <status>unmodified</status>
      <modifiedWord/>
      <trackRevisions>false</trackRevisions>
    </reviewItem>
    <reviewItem>
      <errorID>70644b29-51f0-4c7f-95cd-0f269ddb6926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170FC96C</paraID>
      <start>0</start>
      <end>2</end>
      <status>unmodified</status>
      <modifiedWord/>
      <trackRevisions>false</trackRevisions>
    </reviewItem>
    <reviewItem>
      <errorID>c7f29a3c-2860-4035-91d7-95fbca02b2a4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158B7427</paraID>
      <start>0</start>
      <end>2</end>
      <status>unmodified</status>
      <modifiedWord/>
      <trackRevisions>false</trackRevisions>
    </reviewItem>
    <reviewItem>
      <errorID>2e5734b9-6068-49a4-ad24-e40947dc673d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21F3C8D2</paraID>
      <start>0</start>
      <end>2</end>
      <status>unmodified</status>
      <modifiedWord/>
      <trackRevisions>false</trackRevisions>
    </reviewItem>
    <reviewItem>
      <errorID>c6915458-e991-4e3b-9014-e7bf46b03d74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206BF329</paraID>
      <start>0</start>
      <end>2</end>
      <status>unmodified</status>
      <modifiedWord/>
      <trackRevisions>false</trackRevisions>
    </reviewItem>
    <reviewItem>
      <errorID>8880ed40-f405-441b-8411-5c4d418bda4f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4778929D</paraID>
      <start>0</start>
      <end>2</end>
      <status>unmodified</status>
      <modifiedWord/>
      <trackRevisions>false</trackRevisions>
    </reviewItem>
    <reviewItem>
      <errorID>263c5924-dfe6-4216-b0ee-9a57566d49fb</errorID>
      <errorWord>算</errorWord>
      <group>L1_Word</group>
      <groupName>字词问题</groupName>
      <ability>L2_Typo</ability>
      <abilityName>字词错误</abilityName>
      <candidateList>
        <item>算后</item>
      </candidateList>
      <explain/>
      <paraID>4778929D</paraID>
      <start>6</start>
      <end>7</end>
      <status>unmodified</status>
      <modifiedWord/>
      <trackRevisions>false</trackRevisions>
    </reviewItem>
    <reviewItem>
      <errorID>e70aca91-5fe7-45ef-abca-709b234a1017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779D7463</paraID>
      <start>0</start>
      <end>2</end>
      <status>unmodified</status>
      <modifiedWord/>
      <trackRevisions>false</trackRevisions>
    </reviewItem>
    <reviewItem>
      <errorID>840d8a68-72d6-4a49-84bf-b116339feaa9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6E86F49F</paraID>
      <start>0</start>
      <end>2</end>
      <status>unmodified</status>
      <modifiedWord/>
      <trackRevisions>false</trackRevisions>
    </reviewItem>
    <reviewItem>
      <errorID>0b7e8ecb-2f6b-47c7-a702-6707362a9cd2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1A8D5EE9</paraID>
      <start>116</start>
      <end>119</end>
      <status>unmodified</status>
      <modifiedWord/>
      <trackRevisions>false</trackRevisions>
    </reviewItem>
    <reviewItem>
      <errorID>1fbf7f86-82f0-4336-aa0f-1904255d53c2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1A8D5EE9</paraID>
      <start>121</start>
      <end>124</end>
      <status>unmodified</status>
      <modifiedWord/>
      <trackRevisions>false</trackRevisions>
    </reviewItem>
    <reviewItem>
      <errorID>3f6fee1b-e6e6-49f8-9e57-731c0e0fd845</errorID>
      <errorWord>》</errorWord>
      <group>L1_Word</group>
      <groupName>字词问题</groupName>
      <ability>L2_Typo</ability>
      <abilityName>字词错误</abilityName>
      <candidateList>
        <item>》和</item>
      </candidateList>
      <explain/>
      <paraID>1CAD41BB</paraID>
      <start>127</start>
      <end>128</end>
      <status>unmodified</status>
      <modifiedWord/>
      <trackRevisions>false</trackRevisions>
    </reviewItem>
    <reviewItem>
      <errorID>08a35638-4135-4b5b-a796-57213801b5e8</errorID>
      <errorWord>》</errorWord>
      <group>L1_Word</group>
      <groupName>字词问题</groupName>
      <ability>L2_Typo</ability>
      <abilityName>字词错误</abilityName>
      <candidateList>
        <item>》等</item>
      </candidateList>
      <explain/>
      <paraID>1CAD41BB</paraID>
      <start>154</start>
      <end>155</end>
      <status>unmodified</status>
      <modifiedWord/>
      <trackRevisions>false</trackRevisions>
    </reviewItem>
    <reviewItem>
      <errorID>609224f9-51f5-461e-848f-6649feef72b0</errorID>
      <errorWord>需</errorWord>
      <group>L1_Word</group>
      <groupName>字词问题</groupName>
      <ability>L2_Typo</ability>
      <abilityName>字词错误</abilityName>
      <candidateList>
        <item>须</item>
      </candidateList>
      <explain>存在发音相同字词的误用。</explain>
      <paraID>3316AEBA</paraID>
      <start>31</start>
      <end>32</end>
      <status>unmodified</status>
      <modifiedWord/>
      <trackRevisions>false</trackRevisions>
    </reviewItem>
    <reviewItem>
      <errorID>b2fc3a6f-589d-434c-8f5d-05731c16a10d</errorID>
      <errorWord>（</errorWord>
      <group>L1_Punc</group>
      <groupName>标点问题</groupName>
      <ability>L2_Punc</ability>
      <abilityName>标点符号检查</abilityName>
      <candidateList/>
      <explain>同一形式括号套用。</explain>
      <paraID>547485FA</paraID>
      <start>84</start>
      <end>85</end>
      <status>unmodified</status>
      <modifiedWord/>
      <trackRevisions>false</trackRevisions>
    </reviewItem>
    <reviewItem>
      <errorID>ee6d242b-a06f-4281-a05b-a78aa39ddd71</errorID>
      <errorWord>）</errorWord>
      <group>L1_Punc</group>
      <groupName>标点问题</groupName>
      <ability>L2_Punc</ability>
      <abilityName>标点符号检查</abilityName>
      <candidateList/>
      <explain>同一形式括号套用。</explain>
      <paraID>547485FA</paraID>
      <start>94</start>
      <end>95</end>
      <status>unmodified</status>
      <modifiedWord/>
      <trackRevisions>false</trackRevisions>
    </reviewItem>
    <reviewItem>
      <errorID>5d8fbc81-2220-432b-9a94-c98c1d6dd994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6AB229AD</paraID>
      <start>0</start>
      <end>2</end>
      <status>unmodified</status>
      <modifiedWord/>
      <trackRevisions>false</trackRevisions>
    </reviewItem>
    <reviewItem>
      <errorID>b80510e6-a6d9-4b1c-9b3e-6dee12170b34</errorID>
      <errorWord>想最高</errorWord>
      <group>L1_Word</group>
      <groupName>字词问题</groupName>
      <ability>L2_Typo</ability>
      <abilityName>字词错误</abilityName>
      <candidateList>
        <item>向最高</item>
      </candidateList>
      <explain/>
      <paraID>746125EC</paraID>
      <start>84</start>
      <end>87</end>
      <status>unmodified</status>
      <modifiedWord/>
      <trackRevisions>false</trackRevisions>
    </reviewItem>
    <reviewItem>
      <errorID>2a81a183-db67-4902-99bf-e7eee56ce227</errorID>
      <errorWord>按《中华人民共和国</errorWord>
      <group>L1_Word</group>
      <groupName>字词问题</groupName>
      <ability>L2_Typo</ability>
      <abilityName>字词错误</abilityName>
      <candidateList>
        <item>按照《中华人民共和国</item>
      </candidateList>
      <explain/>
      <paraID>6BD74F7A</paraID>
      <start>22</start>
      <end>31</end>
      <status>unmodified</status>
      <modifiedWord/>
      <trackRevisions>false</trackRevisions>
    </reviewItem>
    <reviewItem>
      <errorID>ed35a4c8-3921-4935-969e-f433f29b410d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67528694</paraID>
      <start>0</start>
      <end>2</end>
      <status>unmodified</status>
      <modifiedWord/>
      <trackRevisions>false</trackRevisions>
    </reviewItem>
    <reviewItem>
      <errorID>7a1751d7-7931-4e0c-9d71-c5690cb81ed8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6401BA8C</paraID>
      <start>0</start>
      <end>2</end>
      <status>unmodified</status>
      <modifiedWord/>
      <trackRevisions>false</trackRevisions>
    </reviewItem>
    <reviewItem>
      <errorID>b14bb2d5-7153-48b4-9594-54b69cf22f02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315E8472</paraID>
      <start>0</start>
      <end>2</end>
      <status>unmodified</status>
      <modifiedWord/>
      <trackRevisions>false</trackRevisions>
    </reviewItem>
    <reviewItem>
      <errorID>4201604a-0ac3-4d53-828a-3a84fc483ead</errorID>
      <errorWord>（</errorWord>
      <group>L1_Punc</group>
      <groupName>标点问题</groupName>
      <ability>L2_Punc</ability>
      <abilityName>标点符号检查</abilityName>
      <candidateList/>
      <explain>同一形式括号套用。</explain>
      <paraID>1322590C</paraID>
      <start>65</start>
      <end>66</end>
      <status>unmodified</status>
      <modifiedWord/>
      <trackRevisions>false</trackRevisions>
    </reviewItem>
    <reviewItem>
      <errorID>e761fcfa-51f1-4b9d-a129-1745b1d00d9f</errorID>
      <errorWord>）</errorWord>
      <group>L1_Punc</group>
      <groupName>标点问题</groupName>
      <ability>L2_Punc</ability>
      <abilityName>标点符号检查</abilityName>
      <candidateList/>
      <explain>同一形式括号套用。</explain>
      <paraID>1322590C</paraID>
      <start>68</start>
      <end>69</end>
      <status>unmodified</status>
      <modifiedWord/>
      <trackRevisions>false</trackRevisions>
    </reviewItem>
    <reviewItem>
      <errorID>7f89e9e0-d7ee-4e18-ac44-d76be0134462</errorID>
      <errorWord>不须</errorWord>
      <group>L1_Word</group>
      <groupName>字词问题</groupName>
      <ability>L2_Typo</ability>
      <abilityName>字词错误</abilityName>
      <candidateList>
        <item>无需</item>
      </candidateList>
      <explain>同“无须”。</explain>
      <paraID>1ACF8AA0</paraID>
      <start>42</start>
      <end>44</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B1DFC5F-BCF1-4432-B860-44DF59BBF33A}"/>
</file>

<file path=customXml/itemProps2.xml><?xml version="1.0" encoding="utf-8"?>
<ds:datastoreItem xmlns:ds="http://schemas.openxmlformats.org/officeDocument/2006/customXml" ds:itemID="{7E5DA089-B9C3-42BE-B8F0-47C0416DBBB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11</cp:revision>
  <dcterms:created xsi:type="dcterms:W3CDTF">2026-04-08T08:00:00Z</dcterms:created>
  <dcterms:modified xsi:type="dcterms:W3CDTF">2026-08-13T03:11:47Z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9F93808577E84D318D66BE2EBADAB3CF</vt:lpwstr>
  </property>
  <property fmtid="{D5CDD505-2E9C-101B-9397-08002B2CF9AE}" pid="4" name="KSOTemplateDocerSaveRecord">
    <vt:lpwstr>eyJoZGlkIjoiMDg1NjFjY2QwM2M3OWY3Y2NiYWFkN2VkNzVlZDM1NWEiLCJ1c2VySWQiOiIxMDI1MzcwNjcwIn0=</vt:lpwstr>
  </property>
</Properties>
</file>