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隶书"/>
          <w:b/>
          <w:bCs/>
          <w:color w:val="000000"/>
          <w:sz w:val="72"/>
          <w:szCs w:val="72"/>
        </w:rPr>
      </w:pPr>
      <w:r>
        <w:rPr>
          <w:rFonts w:eastAsia="隶书"/>
          <w:b/>
          <w:bCs/>
          <w:color w:val="000000"/>
          <w:sz w:val="72"/>
          <w:szCs w:val="72"/>
        </w:rPr>
      </w:r>
      <w:r/>
    </w:p>
    <w:p>
      <w:pPr>
        <w:jc w:val="center"/>
        <w:spacing w:line="360" w:lineRule="auto"/>
        <w:rPr>
          <w:rFonts w:eastAsia="隶书"/>
          <w:color w:val="000000"/>
          <w:sz w:val="84"/>
          <w:szCs w:val="84"/>
        </w:rPr>
      </w:pPr>
      <w:r>
        <w:rPr>
          <w:rFonts w:eastAsia="隶书"/>
          <w:sz w:val="72"/>
          <w:szCs w:val="22"/>
        </w:rPr>
        <w:t xml:space="preserve">江苏省特种设备安全监督检验研究院</w:t>
      </w:r>
      <w:r/>
    </w:p>
    <w:p>
      <w:pPr>
        <w:jc w:val="center"/>
        <w:spacing w:line="360" w:lineRule="auto"/>
        <w:rPr>
          <w:rFonts w:eastAsia="隶书"/>
          <w:color w:val="000000"/>
          <w:sz w:val="84"/>
          <w:szCs w:val="84"/>
        </w:rPr>
      </w:pPr>
      <w:r>
        <w:rPr>
          <w:rFonts w:eastAsia="隶书"/>
          <w:color w:val="000000"/>
          <w:sz w:val="84"/>
          <w:szCs w:val="84"/>
        </w:rPr>
      </w:r>
      <w:r/>
    </w:p>
    <w:p>
      <w:pPr>
        <w:jc w:val="center"/>
        <w:spacing w:line="360" w:lineRule="auto"/>
        <w:rPr>
          <w:rFonts w:eastAsia="隶书"/>
          <w:color w:val="000000"/>
          <w:sz w:val="72"/>
        </w:rPr>
      </w:pPr>
      <w:r>
        <w:rPr>
          <w:rFonts w:eastAsia="隶书"/>
          <w:sz w:val="48"/>
          <w:szCs w:val="48"/>
        </w:rPr>
        <w:t xml:space="preserve">罐车检验检测能力提升设备</w:t>
      </w:r>
      <w:r/>
    </w:p>
    <w:p>
      <w:pPr>
        <w:jc w:val="center"/>
        <w:spacing w:line="360" w:lineRule="auto"/>
        <w:rPr>
          <w:color w:val="000000"/>
          <w:sz w:val="72"/>
        </w:rPr>
      </w:pPr>
      <w:r>
        <w:rPr>
          <w:color w:val="000000"/>
          <w:sz w:val="72"/>
        </w:rPr>
      </w:r>
      <w:r/>
    </w:p>
    <w:p>
      <w:pPr>
        <w:jc w:val="center"/>
        <w:spacing w:line="360" w:lineRule="auto"/>
        <w:rPr>
          <w:rFonts w:eastAsia="隶书"/>
          <w:color w:val="000000"/>
          <w:sz w:val="96"/>
          <w:szCs w:val="96"/>
        </w:rPr>
      </w:pPr>
      <w:r>
        <w:rPr>
          <w:rFonts w:eastAsia="隶书"/>
          <w:sz w:val="96"/>
          <w:szCs w:val="96"/>
        </w:rPr>
        <w:t xml:space="preserve">招 标 文 件</w:t>
      </w:r>
      <w:r/>
    </w:p>
    <w:p>
      <w:pPr>
        <w:jc w:val="center"/>
        <w:spacing w:line="360" w:lineRule="auto"/>
        <w:rPr>
          <w:rFonts w:eastAsia="隶书"/>
          <w:color w:val="000000"/>
          <w:sz w:val="96"/>
          <w:szCs w:val="96"/>
        </w:rPr>
      </w:pPr>
      <w:r>
        <w:rPr>
          <w:rFonts w:eastAsia="隶书"/>
          <w:color w:val="000000"/>
          <w:sz w:val="96"/>
          <w:szCs w:val="96"/>
        </w:rPr>
      </w:r>
      <w:r/>
    </w:p>
    <w:p>
      <w:pPr>
        <w:jc w:val="center"/>
        <w:spacing w:line="360" w:lineRule="auto"/>
        <w:rPr>
          <w:rFonts w:eastAsia="隶书"/>
          <w:color w:val="000000"/>
          <w:sz w:val="96"/>
          <w:szCs w:val="96"/>
        </w:rPr>
      </w:pPr>
      <w:r>
        <w:rPr>
          <w:rFonts w:eastAsia="隶书"/>
          <w:color w:val="000000"/>
          <w:sz w:val="96"/>
          <w:szCs w:val="96"/>
        </w:rPr>
      </w:r>
      <w:r/>
    </w:p>
    <w:p>
      <w:pPr>
        <w:jc w:val="center"/>
        <w:spacing w:line="360" w:lineRule="auto"/>
        <w:rPr>
          <w:rFonts w:eastAsia="隶书"/>
          <w:color w:val="000000"/>
          <w:sz w:val="36"/>
        </w:rPr>
      </w:pPr>
      <w:r>
        <w:rPr>
          <w:rFonts w:eastAsia="隶书"/>
          <w:color w:val="000000"/>
          <w:sz w:val="36"/>
        </w:rPr>
        <w:t xml:space="preserve">招标编号：4297-2641SUMEC301</w:t>
      </w:r>
      <w:r/>
    </w:p>
    <w:p>
      <w:pPr>
        <w:jc w:val="center"/>
        <w:spacing w:line="360" w:lineRule="auto"/>
        <w:rPr>
          <w:rFonts w:eastAsia="隶书"/>
          <w:color w:val="000000"/>
          <w:sz w:val="36"/>
        </w:rPr>
      </w:pPr>
      <w:r>
        <w:rPr>
          <w:rFonts w:eastAsia="隶书"/>
          <w:color w:val="000000"/>
          <w:sz w:val="36"/>
        </w:rPr>
        <w:t xml:space="preserve">（公告编号：</w:t>
      </w:r>
      <w:r>
        <w:rPr>
          <w:rFonts w:hint="eastAsia" w:eastAsia="隶书"/>
          <w:color w:val="000000"/>
          <w:sz w:val="36"/>
        </w:rPr>
        <w:t xml:space="preserve">JSZC-320000-JSSB-G2026-0001</w:t>
      </w:r>
      <w:r>
        <w:rPr>
          <w:rFonts w:eastAsia="隶书"/>
          <w:color w:val="000000"/>
          <w:sz w:val="36"/>
        </w:rPr>
        <w:t xml:space="preserve">）</w:t>
      </w:r>
      <w:r/>
    </w:p>
    <w:p>
      <w:pPr>
        <w:spacing w:line="360" w:lineRule="auto"/>
        <w:rPr>
          <w:rFonts w:eastAsia="隶书"/>
          <w:color w:val="000000"/>
          <w:szCs w:val="21"/>
        </w:rPr>
      </w:pPr>
      <w:r>
        <w:rPr>
          <w:rFonts w:eastAsia="隶书"/>
          <w:color w:val="000000"/>
          <w:szCs w:val="21"/>
        </w:rPr>
      </w:r>
      <w:r/>
    </w:p>
    <w:p>
      <w:pPr>
        <w:spacing w:line="360" w:lineRule="auto"/>
        <w:rPr>
          <w:rFonts w:eastAsia="隶书"/>
          <w:color w:val="000000"/>
          <w:sz w:val="32"/>
        </w:rPr>
      </w:pPr>
      <w:r>
        <w:rPr>
          <w:rFonts w:eastAsia="隶书"/>
          <w:color w:val="000000"/>
          <w:sz w:val="32"/>
        </w:rPr>
      </w:r>
      <w:r/>
    </w:p>
    <w:p>
      <w:pPr>
        <w:spacing w:line="360" w:lineRule="auto"/>
        <w:rPr>
          <w:rFonts w:eastAsia="隶书"/>
          <w:color w:val="000000"/>
          <w:sz w:val="32"/>
        </w:rPr>
      </w:pPr>
      <w:r>
        <w:rPr>
          <w:rFonts w:eastAsia="隶书"/>
          <w:color w:val="000000"/>
          <w:sz w:val="32"/>
        </w:rPr>
      </w:r>
      <w:r/>
    </w:p>
    <w:p>
      <w:pPr>
        <w:jc w:val="center"/>
        <w:spacing w:line="360" w:lineRule="auto"/>
        <w:rPr>
          <w:rFonts w:eastAsia="隶书"/>
          <w:color w:val="000000"/>
          <w:sz w:val="32"/>
        </w:rPr>
      </w:pPr>
      <w:r>
        <w:rPr>
          <w:rFonts w:eastAsia="隶书"/>
          <w:color w:val="000000"/>
          <w:sz w:val="32"/>
        </w:rPr>
        <w:t xml:space="preserve">采购代理机构：江苏美达机电贸易有限公司</w:t>
      </w:r>
      <w:r/>
    </w:p>
    <w:p>
      <w:pPr>
        <w:jc w:val="center"/>
        <w:spacing w:line="360" w:lineRule="auto"/>
        <w:rPr>
          <w:rFonts w:eastAsia="隶书"/>
          <w:color w:val="000000"/>
          <w:sz w:val="32"/>
        </w:rPr>
      </w:pPr>
      <w:r>
        <w:rPr>
          <w:rFonts w:eastAsia="隶书"/>
          <w:color w:val="000000"/>
          <w:sz w:val="32"/>
        </w:rPr>
        <w:t xml:space="preserve">2026年0</w:t>
      </w:r>
      <w:r>
        <w:rPr>
          <w:rFonts w:hint="eastAsia" w:eastAsia="隶书"/>
          <w:color w:val="000000"/>
          <w:sz w:val="32"/>
          <w:lang w:eastAsia="zh-CN"/>
        </w:rPr>
        <w:t xml:space="preserve">8</w:t>
      </w:r>
      <w:r>
        <w:rPr>
          <w:rFonts w:eastAsia="隶书"/>
          <w:color w:val="000000"/>
          <w:sz w:val="32"/>
        </w:rPr>
        <w:t xml:space="preserve">月</w:t>
      </w:r>
      <w:r/>
    </w:p>
    <w:p>
      <w:pPr>
        <w:jc w:val="center"/>
        <w:spacing w:line="440" w:lineRule="exact"/>
        <w:rPr>
          <w:rFonts w:eastAsia="黑体"/>
          <w:color w:val="000000"/>
          <w:sz w:val="32"/>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cols w:num="1" w:sep="0" w:space="720" w:equalWidth="1"/>
          <w:docGrid w:linePitch="360"/>
        </w:sectPr>
      </w:pPr>
      <w:r>
        <w:rPr>
          <w:rFonts w:eastAsia="黑体"/>
          <w:color w:val="000000"/>
          <w:sz w:val="32"/>
        </w:rPr>
      </w:r>
      <w:r/>
    </w:p>
    <w:p>
      <w:pPr>
        <w:jc w:val="center"/>
        <w:spacing w:line="440" w:lineRule="exact"/>
        <w:rPr>
          <w:rFonts w:eastAsia="黑体"/>
          <w:b/>
          <w:color w:val="000000"/>
          <w:sz w:val="32"/>
        </w:rPr>
      </w:pPr>
      <w:r>
        <w:rPr>
          <w:b/>
          <w:color w:val="000000"/>
          <w:sz w:val="32"/>
        </w:rPr>
        <w:t xml:space="preserve">目   录</w:t>
      </w:r>
      <w:r/>
    </w:p>
    <w:p>
      <w:pPr>
        <w:pStyle w:val="1349"/>
        <w:tabs>
          <w:tab w:val="right" w:pos="9406" w:leader="dot"/>
        </w:tabs>
        <w:rPr>
          <w:rFonts w:eastAsiaTheme="minorEastAsia"/>
          <w:sz w:val="24"/>
          <w:szCs w:val="24"/>
          <w14:ligatures w14:val="standardContextual"/>
        </w:rPr>
      </w:pPr>
      <w:r>
        <w:rPr>
          <w:rFonts w:eastAsia="黑体"/>
          <w:bCs/>
          <w:color w:val="000000"/>
          <w:sz w:val="24"/>
          <w:szCs w:val="24"/>
        </w:rPr>
        <w:fldChar w:fldCharType="begin"/>
      </w:r>
      <w:r>
        <w:rPr>
          <w:rFonts w:eastAsia="黑体"/>
          <w:bCs/>
          <w:color w:val="000000"/>
          <w:sz w:val="24"/>
          <w:szCs w:val="24"/>
        </w:rPr>
        <w:instrText xml:space="preserve">TOC \o "1-3" \h \u </w:instrText>
      </w:r>
      <w:r>
        <w:rPr>
          <w:rFonts w:eastAsia="黑体"/>
          <w:bCs/>
          <w:color w:val="000000"/>
          <w:sz w:val="24"/>
          <w:szCs w:val="24"/>
        </w:rPr>
        <w:fldChar w:fldCharType="separate"/>
      </w:r>
      <w:r>
        <w:fldChar w:fldCharType="begin"/>
      </w:r>
      <w:r>
        <w:instrText xml:space="preserve"> HYPERLINK \l "_Toc231822725" </w:instrText>
      </w:r>
      <w:r>
        <w:fldChar w:fldCharType="separate"/>
      </w:r>
      <w:r>
        <w:rPr>
          <w:rStyle w:val="1365"/>
          <w:b/>
          <w:sz w:val="24"/>
          <w:szCs w:val="24"/>
        </w:rPr>
        <w:t xml:space="preserve">第一章 招标公告</w:t>
      </w:r>
      <w:r>
        <w:rPr>
          <w:sz w:val="24"/>
          <w:szCs w:val="24"/>
        </w:rPr>
        <w:tab/>
      </w:r>
      <w:r>
        <w:rPr>
          <w:sz w:val="24"/>
          <w:szCs w:val="24"/>
        </w:rPr>
        <w:fldChar w:fldCharType="begin"/>
      </w:r>
      <w:r>
        <w:rPr>
          <w:sz w:val="24"/>
          <w:szCs w:val="24"/>
        </w:rPr>
        <w:instrText xml:space="preserve"> PAGEREF _Toc231822725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"_Toc231822726" </w:instrText>
      </w:r>
      <w:r>
        <w:fldChar w:fldCharType="separate"/>
      </w:r>
      <w:r>
        <w:rPr>
          <w:rStyle w:val="1365"/>
          <w:sz w:val="24"/>
          <w:szCs w:val="24"/>
        </w:rPr>
        <w:t xml:space="preserve">一、项目基本情况</w:t>
      </w:r>
      <w:r>
        <w:rPr>
          <w:sz w:val="24"/>
          <w:szCs w:val="24"/>
        </w:rPr>
        <w:tab/>
      </w:r>
      <w:r>
        <w:rPr>
          <w:sz w:val="24"/>
          <w:szCs w:val="24"/>
        </w:rPr>
        <w:fldChar w:fldCharType="begin"/>
      </w:r>
      <w:r>
        <w:rPr>
          <w:sz w:val="24"/>
          <w:szCs w:val="24"/>
        </w:rPr>
        <w:instrText xml:space="preserve"> PAGEREF _Toc231822726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"_Toc231822727" </w:instrText>
      </w:r>
      <w:r>
        <w:fldChar w:fldCharType="separate"/>
      </w:r>
      <w:r>
        <w:rPr>
          <w:rStyle w:val="1365"/>
          <w:sz w:val="24"/>
          <w:szCs w:val="24"/>
        </w:rPr>
        <w:t xml:space="preserve">二、申请人的资格要求：</w:t>
      </w:r>
      <w:r>
        <w:rPr>
          <w:sz w:val="24"/>
          <w:szCs w:val="24"/>
        </w:rPr>
        <w:tab/>
      </w:r>
      <w:r>
        <w:rPr>
          <w:sz w:val="24"/>
          <w:szCs w:val="24"/>
        </w:rPr>
        <w:fldChar w:fldCharType="begin"/>
      </w:r>
      <w:r>
        <w:rPr>
          <w:sz w:val="24"/>
          <w:szCs w:val="24"/>
        </w:rPr>
        <w:instrText xml:space="preserve"> PAGEREF _Toc231822727 \h </w:instrText>
      </w:r>
      <w:r>
        <w:rPr>
          <w:sz w:val="24"/>
          <w:szCs w:val="24"/>
        </w:rPr>
        <w:fldChar w:fldCharType="separate"/>
      </w:r>
      <w:r>
        <w:rPr>
          <w:sz w:val="24"/>
          <w:szCs w:val="24"/>
        </w:rPr>
        <w:t xml:space="preserve">4</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"_Toc231822728" </w:instrText>
      </w:r>
      <w:r>
        <w:fldChar w:fldCharType="separate"/>
      </w:r>
      <w:r>
        <w:rPr>
          <w:rStyle w:val="1365"/>
          <w:sz w:val="24"/>
          <w:szCs w:val="24"/>
        </w:rPr>
        <w:t xml:space="preserve">三、获取招标文件</w:t>
      </w:r>
      <w:r>
        <w:rPr>
          <w:sz w:val="24"/>
          <w:szCs w:val="24"/>
        </w:rPr>
        <w:tab/>
      </w:r>
      <w:r>
        <w:rPr>
          <w:sz w:val="24"/>
          <w:szCs w:val="24"/>
        </w:rPr>
        <w:fldChar w:fldCharType="begin"/>
      </w:r>
      <w:r>
        <w:rPr>
          <w:sz w:val="24"/>
          <w:szCs w:val="24"/>
        </w:rPr>
        <w:instrText xml:space="preserve"> PAGEREF _Toc231822728 \h </w:instrText>
      </w:r>
      <w:r>
        <w:rPr>
          <w:sz w:val="24"/>
          <w:szCs w:val="24"/>
        </w:rPr>
        <w:fldChar w:fldCharType="separate"/>
      </w:r>
      <w:r>
        <w:rPr>
          <w:sz w:val="24"/>
          <w:szCs w:val="24"/>
        </w:rPr>
        <w:t xml:space="preserve">4</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"_Toc231822729" </w:instrText>
      </w:r>
      <w:r>
        <w:fldChar w:fldCharType="separate"/>
      </w:r>
      <w:r>
        <w:rPr>
          <w:rStyle w:val="1365"/>
          <w:sz w:val="24"/>
          <w:szCs w:val="24"/>
        </w:rPr>
        <w:t xml:space="preserve">四、提交投标文件截止时间、开标时间和地点</w:t>
      </w:r>
      <w:r>
        <w:rPr>
          <w:sz w:val="24"/>
          <w:szCs w:val="24"/>
        </w:rPr>
        <w:tab/>
      </w:r>
      <w:r>
        <w:rPr>
          <w:sz w:val="24"/>
          <w:szCs w:val="24"/>
        </w:rPr>
        <w:fldChar w:fldCharType="begin"/>
      </w:r>
      <w:r>
        <w:rPr>
          <w:sz w:val="24"/>
          <w:szCs w:val="24"/>
        </w:rPr>
        <w:instrText xml:space="preserve"> PAGEREF _Toc231822729 \h </w:instrText>
      </w:r>
      <w:r>
        <w:rPr>
          <w:sz w:val="24"/>
          <w:szCs w:val="24"/>
        </w:rPr>
        <w:fldChar w:fldCharType="separate"/>
      </w:r>
      <w:r>
        <w:rPr>
          <w:sz w:val="24"/>
          <w:szCs w:val="24"/>
        </w:rPr>
        <w:t xml:space="preserve">5</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"_Toc231822730" </w:instrText>
      </w:r>
      <w:r>
        <w:fldChar w:fldCharType="separate"/>
      </w:r>
      <w:r>
        <w:rPr>
          <w:rStyle w:val="1365"/>
          <w:sz w:val="24"/>
          <w:szCs w:val="24"/>
        </w:rPr>
        <w:t xml:space="preserve">五、公告期限</w:t>
      </w:r>
      <w:r>
        <w:rPr>
          <w:sz w:val="24"/>
          <w:szCs w:val="24"/>
        </w:rPr>
        <w:tab/>
      </w:r>
      <w:r>
        <w:rPr>
          <w:sz w:val="24"/>
          <w:szCs w:val="24"/>
        </w:rPr>
        <w:fldChar w:fldCharType="begin"/>
      </w:r>
      <w:r>
        <w:rPr>
          <w:sz w:val="24"/>
          <w:szCs w:val="24"/>
        </w:rPr>
        <w:instrText xml:space="preserve"> PAGEREF _Toc231822730 \h </w:instrText>
      </w:r>
      <w:r>
        <w:rPr>
          <w:sz w:val="24"/>
          <w:szCs w:val="24"/>
        </w:rPr>
        <w:fldChar w:fldCharType="separate"/>
      </w:r>
      <w:r>
        <w:rPr>
          <w:sz w:val="24"/>
          <w:szCs w:val="24"/>
        </w:rPr>
        <w:t xml:space="preserve">5</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"_Toc231822731" </w:instrText>
      </w:r>
      <w:r>
        <w:fldChar w:fldCharType="separate"/>
      </w:r>
      <w:r>
        <w:rPr>
          <w:rStyle w:val="1365"/>
          <w:sz w:val="24"/>
          <w:szCs w:val="24"/>
        </w:rPr>
        <w:t xml:space="preserve">六、其他补充事宜</w:t>
      </w:r>
      <w:r>
        <w:rPr>
          <w:sz w:val="24"/>
          <w:szCs w:val="24"/>
        </w:rPr>
        <w:tab/>
      </w:r>
      <w:r>
        <w:rPr>
          <w:sz w:val="24"/>
          <w:szCs w:val="24"/>
        </w:rPr>
        <w:fldChar w:fldCharType="begin"/>
      </w:r>
      <w:r>
        <w:rPr>
          <w:sz w:val="24"/>
          <w:szCs w:val="24"/>
        </w:rPr>
        <w:instrText xml:space="preserve"> PAGEREF _Toc231822731 \h </w:instrText>
      </w:r>
      <w:r>
        <w:rPr>
          <w:sz w:val="24"/>
          <w:szCs w:val="24"/>
        </w:rPr>
        <w:fldChar w:fldCharType="separate"/>
      </w:r>
      <w:r>
        <w:rPr>
          <w:sz w:val="24"/>
          <w:szCs w:val="24"/>
        </w:rPr>
        <w:t xml:space="preserve">5</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"_Toc231822732" </w:instrText>
      </w:r>
      <w:r>
        <w:fldChar w:fldCharType="separate"/>
      </w:r>
      <w:r>
        <w:rPr>
          <w:rStyle w:val="1365"/>
          <w:sz w:val="24"/>
          <w:szCs w:val="24"/>
        </w:rPr>
        <w:t xml:space="preserve">七、对本次招标提出询问，请按以下方式联系。</w:t>
      </w:r>
      <w:r>
        <w:rPr>
          <w:sz w:val="24"/>
          <w:szCs w:val="24"/>
        </w:rPr>
        <w:tab/>
      </w:r>
      <w:r>
        <w:rPr>
          <w:sz w:val="24"/>
          <w:szCs w:val="24"/>
        </w:rPr>
        <w:fldChar w:fldCharType="begin"/>
      </w:r>
      <w:r>
        <w:rPr>
          <w:sz w:val="24"/>
          <w:szCs w:val="24"/>
        </w:rPr>
        <w:instrText xml:space="preserve"> PAGEREF _Toc231822732 \h </w:instrText>
      </w:r>
      <w:r>
        <w:rPr>
          <w:sz w:val="24"/>
          <w:szCs w:val="24"/>
        </w:rPr>
        <w:fldChar w:fldCharType="separate"/>
      </w:r>
      <w:r>
        <w:rPr>
          <w:sz w:val="24"/>
          <w:szCs w:val="24"/>
        </w:rPr>
        <w:t xml:space="preserve">6</w:t>
      </w:r>
      <w:r>
        <w:rPr>
          <w:sz w:val="24"/>
          <w:szCs w:val="24"/>
        </w:rPr>
        <w:fldChar w:fldCharType="end"/>
      </w:r>
      <w:r>
        <w:rPr>
          <w:sz w:val="24"/>
          <w:szCs w:val="24"/>
        </w:rPr>
        <w:fldChar w:fldCharType="end"/>
      </w:r>
      <w:r/>
    </w:p>
    <w:p>
      <w:pPr>
        <w:pStyle w:val="1349"/>
        <w:tabs>
          <w:tab w:val="right" w:pos="9406" w:leader="dot"/>
        </w:tabs>
        <w:rPr>
          <w:rFonts w:eastAsiaTheme="minorEastAsia"/>
          <w:sz w:val="24"/>
          <w:szCs w:val="24"/>
          <w14:ligatures w14:val="standardContextual"/>
        </w:rPr>
      </w:pPr>
      <w:r>
        <w:fldChar w:fldCharType="begin"/>
      </w:r>
      <w:r>
        <w:instrText xml:space="preserve"> HYPERLINK \l "_Toc231822733" </w:instrText>
      </w:r>
      <w:r>
        <w:fldChar w:fldCharType="separate"/>
      </w:r>
      <w:r>
        <w:rPr>
          <w:rStyle w:val="1365"/>
          <w:b/>
          <w:sz w:val="24"/>
          <w:szCs w:val="24"/>
        </w:rPr>
        <w:t xml:space="preserve">第二章 投标人须知</w:t>
      </w:r>
      <w:r>
        <w:rPr>
          <w:sz w:val="24"/>
          <w:szCs w:val="24"/>
        </w:rPr>
        <w:tab/>
      </w:r>
      <w:r>
        <w:rPr>
          <w:sz w:val="24"/>
          <w:szCs w:val="24"/>
        </w:rPr>
        <w:fldChar w:fldCharType="begin"/>
      </w:r>
      <w:r>
        <w:rPr>
          <w:sz w:val="24"/>
          <w:szCs w:val="24"/>
        </w:rPr>
        <w:instrText xml:space="preserve"> PAGEREF _Toc231822733 \h </w:instrText>
      </w:r>
      <w:r>
        <w:rPr>
          <w:sz w:val="24"/>
          <w:szCs w:val="24"/>
        </w:rPr>
        <w:fldChar w:fldCharType="separate"/>
      </w:r>
      <w:r>
        <w:rPr>
          <w:sz w:val="24"/>
          <w:szCs w:val="24"/>
        </w:rPr>
        <w:t xml:space="preserve">7</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"_Toc231822734" </w:instrText>
      </w:r>
      <w:r>
        <w:fldChar w:fldCharType="separate"/>
      </w:r>
      <w:r>
        <w:rPr>
          <w:rStyle w:val="1365"/>
          <w:sz w:val="24"/>
          <w:szCs w:val="24"/>
        </w:rPr>
        <w:t xml:space="preserve">一、总则</w:t>
      </w:r>
      <w:r>
        <w:rPr>
          <w:sz w:val="24"/>
          <w:szCs w:val="24"/>
        </w:rPr>
        <w:tab/>
      </w:r>
      <w:r>
        <w:rPr>
          <w:sz w:val="24"/>
          <w:szCs w:val="24"/>
        </w:rPr>
        <w:fldChar w:fldCharType="begin"/>
      </w:r>
      <w:r>
        <w:rPr>
          <w:sz w:val="24"/>
          <w:szCs w:val="24"/>
        </w:rPr>
        <w:instrText xml:space="preserve"> PAGEREF _Toc231822734 \h </w:instrText>
      </w:r>
      <w:r>
        <w:rPr>
          <w:sz w:val="24"/>
          <w:szCs w:val="24"/>
        </w:rPr>
        <w:fldChar w:fldCharType="separate"/>
      </w:r>
      <w:r>
        <w:rPr>
          <w:sz w:val="24"/>
          <w:szCs w:val="24"/>
        </w:rPr>
        <w:t xml:space="preserve">8</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"_Toc231822735" </w:instrText>
      </w:r>
      <w:r>
        <w:fldChar w:fldCharType="separate"/>
      </w:r>
      <w:r>
        <w:rPr>
          <w:rStyle w:val="1365"/>
          <w:sz w:val="24"/>
          <w:szCs w:val="24"/>
        </w:rPr>
        <w:t xml:space="preserve">二、招标文件</w:t>
      </w:r>
      <w:r>
        <w:rPr>
          <w:sz w:val="24"/>
          <w:szCs w:val="24"/>
        </w:rPr>
        <w:tab/>
      </w:r>
      <w:r>
        <w:rPr>
          <w:sz w:val="24"/>
          <w:szCs w:val="24"/>
        </w:rPr>
        <w:fldChar w:fldCharType="begin"/>
      </w:r>
      <w:r>
        <w:rPr>
          <w:sz w:val="24"/>
          <w:szCs w:val="24"/>
        </w:rPr>
        <w:instrText xml:space="preserve"> PAGEREF _Toc231822735 \h </w:instrText>
      </w:r>
      <w:r>
        <w:rPr>
          <w:sz w:val="24"/>
          <w:szCs w:val="24"/>
        </w:rPr>
        <w:fldChar w:fldCharType="separate"/>
      </w:r>
      <w:r>
        <w:rPr>
          <w:sz w:val="24"/>
          <w:szCs w:val="24"/>
        </w:rPr>
        <w:t xml:space="preserve">10</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"_Toc231822736" </w:instrText>
      </w:r>
      <w:r>
        <w:fldChar w:fldCharType="separate"/>
      </w:r>
      <w:r>
        <w:rPr>
          <w:rStyle w:val="1365"/>
          <w:sz w:val="24"/>
          <w:szCs w:val="24"/>
        </w:rPr>
        <w:t xml:space="preserve">三、投标文件的编制</w:t>
      </w:r>
      <w:r>
        <w:rPr>
          <w:sz w:val="24"/>
          <w:szCs w:val="24"/>
        </w:rPr>
        <w:tab/>
      </w:r>
      <w:r>
        <w:rPr>
          <w:sz w:val="24"/>
          <w:szCs w:val="24"/>
        </w:rPr>
        <w:fldChar w:fldCharType="begin"/>
      </w:r>
      <w:r>
        <w:rPr>
          <w:sz w:val="24"/>
          <w:szCs w:val="24"/>
        </w:rPr>
        <w:instrText xml:space="preserve"> PAGEREF _Toc231822736 \h </w:instrText>
      </w:r>
      <w:r>
        <w:rPr>
          <w:sz w:val="24"/>
          <w:szCs w:val="24"/>
        </w:rPr>
        <w:fldChar w:fldCharType="separate"/>
      </w:r>
      <w:r>
        <w:rPr>
          <w:sz w:val="24"/>
          <w:szCs w:val="24"/>
        </w:rPr>
        <w:t xml:space="preserve">11</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"_Toc231822737" </w:instrText>
      </w:r>
      <w:r>
        <w:fldChar w:fldCharType="separate"/>
      </w:r>
      <w:r>
        <w:rPr>
          <w:rStyle w:val="1365"/>
          <w:sz w:val="24"/>
          <w:szCs w:val="24"/>
        </w:rPr>
        <w:t xml:space="preserve">四、投标文件的递交</w:t>
      </w:r>
      <w:r>
        <w:rPr>
          <w:sz w:val="24"/>
          <w:szCs w:val="24"/>
        </w:rPr>
        <w:tab/>
      </w:r>
      <w:r>
        <w:rPr>
          <w:sz w:val="24"/>
          <w:szCs w:val="24"/>
        </w:rPr>
        <w:fldChar w:fldCharType="begin"/>
      </w:r>
      <w:r>
        <w:rPr>
          <w:sz w:val="24"/>
          <w:szCs w:val="24"/>
        </w:rPr>
        <w:instrText xml:space="preserve"> PAGEREF _Toc231822737 \h </w:instrText>
      </w:r>
      <w:r>
        <w:rPr>
          <w:sz w:val="24"/>
          <w:szCs w:val="24"/>
        </w:rPr>
        <w:fldChar w:fldCharType="separate"/>
      </w:r>
      <w:r>
        <w:rPr>
          <w:sz w:val="24"/>
          <w:szCs w:val="24"/>
        </w:rPr>
        <w:t xml:space="preserve">13</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"_Toc231822738" </w:instrText>
      </w:r>
      <w:r>
        <w:fldChar w:fldCharType="separate"/>
      </w:r>
      <w:r>
        <w:rPr>
          <w:rStyle w:val="1365"/>
          <w:sz w:val="24"/>
          <w:szCs w:val="24"/>
        </w:rPr>
        <w:t xml:space="preserve">五、开标与评标</w:t>
      </w:r>
      <w:r>
        <w:rPr>
          <w:sz w:val="24"/>
          <w:szCs w:val="24"/>
        </w:rPr>
        <w:tab/>
      </w:r>
      <w:r>
        <w:rPr>
          <w:sz w:val="24"/>
          <w:szCs w:val="24"/>
        </w:rPr>
        <w:fldChar w:fldCharType="begin"/>
      </w:r>
      <w:r>
        <w:rPr>
          <w:sz w:val="24"/>
          <w:szCs w:val="24"/>
        </w:rPr>
        <w:instrText xml:space="preserve"> PAGEREF _Toc231822738 \h </w:instrText>
      </w:r>
      <w:r>
        <w:rPr>
          <w:sz w:val="24"/>
          <w:szCs w:val="24"/>
        </w:rPr>
        <w:fldChar w:fldCharType="separate"/>
      </w:r>
      <w:r>
        <w:rPr>
          <w:sz w:val="24"/>
          <w:szCs w:val="24"/>
        </w:rPr>
        <w:t xml:space="preserve">14</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"_Toc231822739" </w:instrText>
      </w:r>
      <w:r>
        <w:fldChar w:fldCharType="separate"/>
      </w:r>
      <w:r>
        <w:rPr>
          <w:rStyle w:val="1365"/>
          <w:sz w:val="24"/>
          <w:szCs w:val="24"/>
        </w:rPr>
        <w:t xml:space="preserve">六、授标</w:t>
      </w:r>
      <w:r>
        <w:rPr>
          <w:sz w:val="24"/>
          <w:szCs w:val="24"/>
        </w:rPr>
        <w:tab/>
      </w:r>
      <w:r>
        <w:rPr>
          <w:sz w:val="24"/>
          <w:szCs w:val="24"/>
        </w:rPr>
        <w:fldChar w:fldCharType="begin"/>
      </w:r>
      <w:r>
        <w:rPr>
          <w:sz w:val="24"/>
          <w:szCs w:val="24"/>
        </w:rPr>
        <w:instrText xml:space="preserve"> PAGEREF _Toc231822739 \h </w:instrText>
      </w:r>
      <w:r>
        <w:rPr>
          <w:sz w:val="24"/>
          <w:szCs w:val="24"/>
        </w:rPr>
        <w:fldChar w:fldCharType="separate"/>
      </w:r>
      <w:r>
        <w:rPr>
          <w:sz w:val="24"/>
          <w:szCs w:val="24"/>
        </w:rPr>
        <w:t xml:space="preserve">18</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"_Toc231822740" </w:instrText>
      </w:r>
      <w:r>
        <w:fldChar w:fldCharType="separate"/>
      </w:r>
      <w:r>
        <w:rPr>
          <w:rStyle w:val="1365"/>
          <w:sz w:val="24"/>
          <w:szCs w:val="24"/>
        </w:rPr>
        <w:t xml:space="preserve">七、质疑</w:t>
      </w:r>
      <w:r>
        <w:rPr>
          <w:sz w:val="24"/>
          <w:szCs w:val="24"/>
        </w:rPr>
        <w:tab/>
      </w:r>
      <w:r>
        <w:rPr>
          <w:sz w:val="24"/>
          <w:szCs w:val="24"/>
        </w:rPr>
        <w:fldChar w:fldCharType="begin"/>
      </w:r>
      <w:r>
        <w:rPr>
          <w:sz w:val="24"/>
          <w:szCs w:val="24"/>
        </w:rPr>
        <w:instrText xml:space="preserve"> PAGEREF _Toc231822740 \h </w:instrText>
      </w:r>
      <w:r>
        <w:rPr>
          <w:sz w:val="24"/>
          <w:szCs w:val="24"/>
        </w:rPr>
        <w:fldChar w:fldCharType="separate"/>
      </w:r>
      <w:r>
        <w:rPr>
          <w:sz w:val="24"/>
          <w:szCs w:val="24"/>
        </w:rPr>
        <w:t xml:space="preserve">20</w:t>
      </w:r>
      <w:r>
        <w:rPr>
          <w:sz w:val="24"/>
          <w:szCs w:val="24"/>
        </w:rPr>
        <w:fldChar w:fldCharType="end"/>
      </w:r>
      <w:r>
        <w:rPr>
          <w:sz w:val="24"/>
          <w:szCs w:val="24"/>
        </w:rPr>
        <w:fldChar w:fldCharType="end"/>
      </w:r>
      <w:r/>
    </w:p>
    <w:p>
      <w:pPr>
        <w:pStyle w:val="1349"/>
        <w:tabs>
          <w:tab w:val="right" w:pos="9406" w:leader="dot"/>
        </w:tabs>
        <w:rPr>
          <w:rFonts w:eastAsiaTheme="minorEastAsia"/>
          <w:sz w:val="24"/>
          <w:szCs w:val="24"/>
          <w14:ligatures w14:val="standardContextual"/>
        </w:rPr>
      </w:pPr>
      <w:r>
        <w:fldChar w:fldCharType="begin"/>
      </w:r>
      <w:r>
        <w:instrText xml:space="preserve"> HYPERLINK \l "_Toc231822741" </w:instrText>
      </w:r>
      <w:r>
        <w:fldChar w:fldCharType="separate"/>
      </w:r>
      <w:r>
        <w:rPr>
          <w:rStyle w:val="1365"/>
          <w:b/>
          <w:sz w:val="24"/>
          <w:szCs w:val="24"/>
        </w:rPr>
        <w:t xml:space="preserve">第三章 评标标准</w:t>
      </w:r>
      <w:r>
        <w:rPr>
          <w:sz w:val="24"/>
          <w:szCs w:val="24"/>
        </w:rPr>
        <w:tab/>
      </w:r>
      <w:r>
        <w:rPr>
          <w:sz w:val="24"/>
          <w:szCs w:val="24"/>
        </w:rPr>
        <w:fldChar w:fldCharType="begin"/>
      </w:r>
      <w:r>
        <w:rPr>
          <w:sz w:val="24"/>
          <w:szCs w:val="24"/>
        </w:rPr>
        <w:instrText xml:space="preserve"> PAGEREF _Toc231822741 \h </w:instrText>
      </w:r>
      <w:r>
        <w:rPr>
          <w:sz w:val="24"/>
          <w:szCs w:val="24"/>
        </w:rPr>
        <w:fldChar w:fldCharType="separate"/>
      </w:r>
      <w:r>
        <w:rPr>
          <w:sz w:val="24"/>
          <w:szCs w:val="24"/>
        </w:rPr>
        <w:t xml:space="preserve">22</w:t>
      </w:r>
      <w:r>
        <w:rPr>
          <w:sz w:val="24"/>
          <w:szCs w:val="24"/>
        </w:rPr>
        <w:fldChar w:fldCharType="end"/>
      </w:r>
      <w:r>
        <w:rPr>
          <w:sz w:val="24"/>
          <w:szCs w:val="24"/>
        </w:rPr>
        <w:fldChar w:fldCharType="end"/>
      </w:r>
      <w:r/>
    </w:p>
    <w:p>
      <w:pPr>
        <w:pStyle w:val="1349"/>
        <w:tabs>
          <w:tab w:val="right" w:pos="9406" w:leader="dot"/>
        </w:tabs>
        <w:rPr>
          <w:rFonts w:eastAsiaTheme="minorEastAsia"/>
          <w:sz w:val="24"/>
          <w:szCs w:val="24"/>
          <w14:ligatures w14:val="standardContextual"/>
        </w:rPr>
      </w:pPr>
      <w:r>
        <w:fldChar w:fldCharType="begin"/>
      </w:r>
      <w:r>
        <w:instrText xml:space="preserve"> HYPERLINK \l "_Toc231822742" </w:instrText>
      </w:r>
      <w:r>
        <w:fldChar w:fldCharType="separate"/>
      </w:r>
      <w:r>
        <w:rPr>
          <w:rStyle w:val="1365"/>
          <w:b/>
          <w:sz w:val="24"/>
          <w:szCs w:val="24"/>
        </w:rPr>
        <w:t xml:space="preserve">第四章 招标技术规格及要求</w:t>
      </w:r>
      <w:r>
        <w:rPr>
          <w:sz w:val="24"/>
          <w:szCs w:val="24"/>
        </w:rPr>
        <w:tab/>
      </w:r>
      <w:r>
        <w:rPr>
          <w:sz w:val="24"/>
          <w:szCs w:val="24"/>
        </w:rPr>
        <w:fldChar w:fldCharType="begin"/>
      </w:r>
      <w:r>
        <w:rPr>
          <w:sz w:val="24"/>
          <w:szCs w:val="24"/>
        </w:rPr>
        <w:instrText xml:space="preserve"> PAGEREF _Toc231822742 \h </w:instrText>
      </w:r>
      <w:r>
        <w:rPr>
          <w:sz w:val="24"/>
          <w:szCs w:val="24"/>
        </w:rPr>
        <w:fldChar w:fldCharType="separate"/>
      </w:r>
      <w:r>
        <w:rPr>
          <w:sz w:val="24"/>
          <w:szCs w:val="24"/>
        </w:rPr>
        <w:t xml:space="preserve">24</w:t>
      </w:r>
      <w:r>
        <w:rPr>
          <w:sz w:val="24"/>
          <w:szCs w:val="24"/>
        </w:rPr>
        <w:fldChar w:fldCharType="end"/>
      </w:r>
      <w:r>
        <w:rPr>
          <w:sz w:val="24"/>
          <w:szCs w:val="24"/>
        </w:rPr>
        <w:fldChar w:fldCharType="end"/>
      </w:r>
      <w:r/>
    </w:p>
    <w:p>
      <w:pPr>
        <w:pStyle w:val="1349"/>
        <w:tabs>
          <w:tab w:val="right" w:pos="9406" w:leader="dot"/>
        </w:tabs>
        <w:rPr>
          <w:rFonts w:eastAsiaTheme="minorEastAsia"/>
          <w:sz w:val="24"/>
          <w:szCs w:val="24"/>
          <w14:ligatures w14:val="standardContextual"/>
        </w:rPr>
      </w:pPr>
      <w:r>
        <w:fldChar w:fldCharType="begin"/>
      </w:r>
      <w:r>
        <w:instrText xml:space="preserve"> HYPERLINK \l "_Toc231822743" </w:instrText>
      </w:r>
      <w:r>
        <w:fldChar w:fldCharType="separate"/>
      </w:r>
      <w:r>
        <w:rPr>
          <w:rStyle w:val="1365"/>
          <w:b/>
          <w:sz w:val="24"/>
          <w:szCs w:val="24"/>
        </w:rPr>
        <w:t xml:space="preserve">第五章 政府采购合同</w:t>
      </w:r>
      <w:r>
        <w:rPr>
          <w:sz w:val="24"/>
          <w:szCs w:val="24"/>
        </w:rPr>
        <w:tab/>
      </w:r>
      <w:r>
        <w:rPr>
          <w:sz w:val="24"/>
          <w:szCs w:val="24"/>
        </w:rPr>
        <w:fldChar w:fldCharType="begin"/>
      </w:r>
      <w:r>
        <w:rPr>
          <w:sz w:val="24"/>
          <w:szCs w:val="24"/>
        </w:rPr>
        <w:instrText xml:space="preserve"> PAGEREF _Toc231822743 \h </w:instrText>
      </w:r>
      <w:r>
        <w:rPr>
          <w:sz w:val="24"/>
          <w:szCs w:val="24"/>
        </w:rPr>
        <w:fldChar w:fldCharType="separate"/>
      </w:r>
      <w:r>
        <w:rPr>
          <w:sz w:val="24"/>
          <w:szCs w:val="24"/>
        </w:rPr>
        <w:t xml:space="preserve">37</w:t>
      </w:r>
      <w:r>
        <w:rPr>
          <w:sz w:val="24"/>
          <w:szCs w:val="24"/>
        </w:rPr>
        <w:fldChar w:fldCharType="end"/>
      </w:r>
      <w:r>
        <w:rPr>
          <w:sz w:val="24"/>
          <w:szCs w:val="24"/>
        </w:rPr>
        <w:fldChar w:fldCharType="end"/>
      </w:r>
      <w:r/>
    </w:p>
    <w:p>
      <w:pPr>
        <w:pStyle w:val="1349"/>
        <w:tabs>
          <w:tab w:val="right" w:pos="9406" w:leader="dot"/>
        </w:tabs>
        <w:rPr>
          <w:rFonts w:eastAsiaTheme="minorEastAsia"/>
          <w:sz w:val="24"/>
          <w:szCs w:val="24"/>
          <w14:ligatures w14:val="standardContextual"/>
        </w:rPr>
      </w:pPr>
      <w:r>
        <w:fldChar w:fldCharType="begin"/>
      </w:r>
      <w:r>
        <w:instrText xml:space="preserve"> HYPERLINK \l "_Toc231822744" </w:instrText>
      </w:r>
      <w:r>
        <w:fldChar w:fldCharType="separate"/>
      </w:r>
      <w:r>
        <w:rPr>
          <w:rStyle w:val="1365"/>
          <w:b/>
          <w:sz w:val="24"/>
          <w:szCs w:val="24"/>
        </w:rPr>
        <w:t xml:space="preserve">第六章 投标文件格式及附件</w:t>
      </w:r>
      <w:r>
        <w:rPr>
          <w:sz w:val="24"/>
          <w:szCs w:val="24"/>
        </w:rPr>
        <w:tab/>
      </w:r>
      <w:r>
        <w:rPr>
          <w:sz w:val="24"/>
          <w:szCs w:val="24"/>
        </w:rPr>
        <w:fldChar w:fldCharType="begin"/>
      </w:r>
      <w:r>
        <w:rPr>
          <w:sz w:val="24"/>
          <w:szCs w:val="24"/>
        </w:rPr>
        <w:instrText xml:space="preserve"> PAGEREF _Toc231822744 \h </w:instrText>
      </w:r>
      <w:r>
        <w:rPr>
          <w:sz w:val="24"/>
          <w:szCs w:val="24"/>
        </w:rPr>
        <w:fldChar w:fldCharType="separate"/>
      </w:r>
      <w:r>
        <w:rPr>
          <w:sz w:val="24"/>
          <w:szCs w:val="24"/>
        </w:rPr>
        <w:t xml:space="preserve">44</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"_Toc231822745" </w:instrText>
      </w:r>
      <w:r>
        <w:fldChar w:fldCharType="separate"/>
      </w:r>
      <w:r>
        <w:rPr>
          <w:rStyle w:val="1365"/>
          <w:sz w:val="24"/>
          <w:szCs w:val="24"/>
        </w:rPr>
        <w:t xml:space="preserve">附件一 投标函格式</w:t>
      </w:r>
      <w:r>
        <w:rPr>
          <w:sz w:val="24"/>
          <w:szCs w:val="24"/>
        </w:rPr>
        <w:tab/>
      </w:r>
      <w:r>
        <w:rPr>
          <w:sz w:val="24"/>
          <w:szCs w:val="24"/>
        </w:rPr>
        <w:fldChar w:fldCharType="begin"/>
      </w:r>
      <w:r>
        <w:rPr>
          <w:sz w:val="24"/>
          <w:szCs w:val="24"/>
        </w:rPr>
        <w:instrText xml:space="preserve"> PAGEREF _Toc231822745 \h </w:instrText>
      </w:r>
      <w:r>
        <w:rPr>
          <w:sz w:val="24"/>
          <w:szCs w:val="24"/>
        </w:rPr>
        <w:fldChar w:fldCharType="separate"/>
      </w:r>
      <w:r>
        <w:rPr>
          <w:sz w:val="24"/>
          <w:szCs w:val="24"/>
        </w:rPr>
        <w:t xml:space="preserve">46</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"_Toc231822746" </w:instrText>
      </w:r>
      <w:r>
        <w:fldChar w:fldCharType="separate"/>
      </w:r>
      <w:r>
        <w:rPr>
          <w:rStyle w:val="1365"/>
          <w:sz w:val="24"/>
          <w:szCs w:val="24"/>
        </w:rPr>
        <w:t xml:space="preserve">附件二 开标一览表</w:t>
      </w:r>
      <w:r>
        <w:rPr>
          <w:sz w:val="24"/>
          <w:szCs w:val="24"/>
        </w:rPr>
        <w:tab/>
      </w:r>
      <w:r>
        <w:rPr>
          <w:sz w:val="24"/>
          <w:szCs w:val="24"/>
        </w:rPr>
        <w:fldChar w:fldCharType="begin"/>
      </w:r>
      <w:r>
        <w:rPr>
          <w:sz w:val="24"/>
          <w:szCs w:val="24"/>
        </w:rPr>
        <w:instrText xml:space="preserve"> PAGEREF _Toc231822746 \h </w:instrText>
      </w:r>
      <w:r>
        <w:rPr>
          <w:sz w:val="24"/>
          <w:szCs w:val="24"/>
        </w:rPr>
        <w:fldChar w:fldCharType="separate"/>
      </w:r>
      <w:r>
        <w:rPr>
          <w:sz w:val="24"/>
          <w:szCs w:val="24"/>
        </w:rPr>
        <w:t xml:space="preserve">47</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"_Toc231822747" </w:instrText>
      </w:r>
      <w:r>
        <w:fldChar w:fldCharType="separate"/>
      </w:r>
      <w:r>
        <w:rPr>
          <w:rStyle w:val="1365"/>
          <w:sz w:val="24"/>
          <w:szCs w:val="24"/>
        </w:rPr>
        <w:t xml:space="preserve">附件三 分项报价表</w:t>
      </w:r>
      <w:r>
        <w:rPr>
          <w:sz w:val="24"/>
          <w:szCs w:val="24"/>
        </w:rPr>
        <w:tab/>
      </w:r>
      <w:r>
        <w:rPr>
          <w:sz w:val="24"/>
          <w:szCs w:val="24"/>
        </w:rPr>
        <w:fldChar w:fldCharType="begin"/>
      </w:r>
      <w:r>
        <w:rPr>
          <w:sz w:val="24"/>
          <w:szCs w:val="24"/>
        </w:rPr>
        <w:instrText xml:space="preserve"> PAGEREF _Toc231822747 \h </w:instrText>
      </w:r>
      <w:r>
        <w:rPr>
          <w:sz w:val="24"/>
          <w:szCs w:val="24"/>
        </w:rPr>
        <w:fldChar w:fldCharType="separate"/>
      </w:r>
      <w:r>
        <w:rPr>
          <w:sz w:val="24"/>
          <w:szCs w:val="24"/>
        </w:rPr>
        <w:t xml:space="preserve">48</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"_Toc231822748" </w:instrText>
      </w:r>
      <w:r>
        <w:fldChar w:fldCharType="separate"/>
      </w:r>
      <w:r>
        <w:rPr>
          <w:rStyle w:val="1365"/>
          <w:sz w:val="24"/>
          <w:szCs w:val="24"/>
        </w:rPr>
        <w:t xml:space="preserve">附件四 商务条款偏离表</w:t>
      </w:r>
      <w:r>
        <w:rPr>
          <w:sz w:val="24"/>
          <w:szCs w:val="24"/>
        </w:rPr>
        <w:tab/>
      </w:r>
      <w:r>
        <w:rPr>
          <w:sz w:val="24"/>
          <w:szCs w:val="24"/>
        </w:rPr>
        <w:fldChar w:fldCharType="begin"/>
      </w:r>
      <w:r>
        <w:rPr>
          <w:sz w:val="24"/>
          <w:szCs w:val="24"/>
        </w:rPr>
        <w:instrText xml:space="preserve"> PAGEREF _Toc231822748 \h </w:instrText>
      </w:r>
      <w:r>
        <w:rPr>
          <w:sz w:val="24"/>
          <w:szCs w:val="24"/>
        </w:rPr>
        <w:fldChar w:fldCharType="separate"/>
      </w:r>
      <w:r>
        <w:rPr>
          <w:sz w:val="24"/>
          <w:szCs w:val="24"/>
        </w:rPr>
        <w:t xml:space="preserve">49</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"_Toc231822749" </w:instrText>
      </w:r>
      <w:r>
        <w:fldChar w:fldCharType="separate"/>
      </w:r>
      <w:r>
        <w:rPr>
          <w:rStyle w:val="1365"/>
          <w:sz w:val="24"/>
          <w:szCs w:val="24"/>
        </w:rPr>
        <w:t xml:space="preserve">附件五 技术条款偏离表</w:t>
      </w:r>
      <w:r>
        <w:rPr>
          <w:sz w:val="24"/>
          <w:szCs w:val="24"/>
        </w:rPr>
        <w:tab/>
      </w:r>
      <w:r>
        <w:rPr>
          <w:sz w:val="24"/>
          <w:szCs w:val="24"/>
        </w:rPr>
        <w:fldChar w:fldCharType="begin"/>
      </w:r>
      <w:r>
        <w:rPr>
          <w:sz w:val="24"/>
          <w:szCs w:val="24"/>
        </w:rPr>
        <w:instrText xml:space="preserve"> PAGEREF _Toc231822749 \h </w:instrText>
      </w:r>
      <w:r>
        <w:rPr>
          <w:sz w:val="24"/>
          <w:szCs w:val="24"/>
        </w:rPr>
        <w:fldChar w:fldCharType="separate"/>
      </w:r>
      <w:r>
        <w:rPr>
          <w:sz w:val="24"/>
          <w:szCs w:val="24"/>
        </w:rPr>
        <w:t xml:space="preserve">50</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"_Toc231822750" </w:instrText>
      </w:r>
      <w:r>
        <w:fldChar w:fldCharType="separate"/>
      </w:r>
      <w:r>
        <w:rPr>
          <w:rStyle w:val="1365"/>
          <w:sz w:val="24"/>
          <w:szCs w:val="24"/>
        </w:rPr>
        <w:t xml:space="preserve">附件六 拟参与本项目服务人员一览表</w:t>
      </w:r>
      <w:r>
        <w:rPr>
          <w:sz w:val="24"/>
          <w:szCs w:val="24"/>
        </w:rPr>
        <w:tab/>
      </w:r>
      <w:r>
        <w:rPr>
          <w:sz w:val="24"/>
          <w:szCs w:val="24"/>
        </w:rPr>
        <w:fldChar w:fldCharType="begin"/>
      </w:r>
      <w:r>
        <w:rPr>
          <w:sz w:val="24"/>
          <w:szCs w:val="24"/>
        </w:rPr>
        <w:instrText xml:space="preserve"> PAGEREF _Toc231822750 \h </w:instrText>
      </w:r>
      <w:r>
        <w:rPr>
          <w:sz w:val="24"/>
          <w:szCs w:val="24"/>
        </w:rPr>
        <w:fldChar w:fldCharType="separate"/>
      </w:r>
      <w:r>
        <w:rPr>
          <w:sz w:val="24"/>
          <w:szCs w:val="24"/>
        </w:rPr>
        <w:t xml:space="preserve">51</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"_Toc231822751" </w:instrText>
      </w:r>
      <w:r>
        <w:fldChar w:fldCharType="separate"/>
      </w:r>
      <w:r>
        <w:rPr>
          <w:rStyle w:val="1365"/>
          <w:sz w:val="24"/>
          <w:szCs w:val="24"/>
        </w:rPr>
        <w:t xml:space="preserve">附件七 投标人类似业绩情况表</w:t>
      </w:r>
      <w:r>
        <w:rPr>
          <w:sz w:val="24"/>
          <w:szCs w:val="24"/>
        </w:rPr>
        <w:tab/>
      </w:r>
      <w:r>
        <w:rPr>
          <w:sz w:val="24"/>
          <w:szCs w:val="24"/>
        </w:rPr>
        <w:fldChar w:fldCharType="begin"/>
      </w:r>
      <w:r>
        <w:rPr>
          <w:sz w:val="24"/>
          <w:szCs w:val="24"/>
        </w:rPr>
        <w:instrText xml:space="preserve"> PAGEREF _Toc231822751 \h </w:instrText>
      </w:r>
      <w:r>
        <w:rPr>
          <w:sz w:val="24"/>
          <w:szCs w:val="24"/>
        </w:rPr>
        <w:fldChar w:fldCharType="separate"/>
      </w:r>
      <w:r>
        <w:rPr>
          <w:sz w:val="24"/>
          <w:szCs w:val="24"/>
        </w:rPr>
        <w:t xml:space="preserve">52</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"_Toc231822752" </w:instrText>
      </w:r>
      <w:r>
        <w:fldChar w:fldCharType="separate"/>
      </w:r>
      <w:r>
        <w:rPr>
          <w:rStyle w:val="1365"/>
          <w:sz w:val="24"/>
          <w:szCs w:val="24"/>
        </w:rPr>
        <w:t xml:space="preserve">附件八 政府采购政策</w:t>
      </w:r>
      <w:r>
        <w:rPr>
          <w:sz w:val="24"/>
          <w:szCs w:val="24"/>
        </w:rPr>
        <w:tab/>
      </w:r>
      <w:r>
        <w:rPr>
          <w:sz w:val="24"/>
          <w:szCs w:val="24"/>
        </w:rPr>
        <w:fldChar w:fldCharType="begin"/>
      </w:r>
      <w:r>
        <w:rPr>
          <w:sz w:val="24"/>
          <w:szCs w:val="24"/>
        </w:rPr>
        <w:instrText xml:space="preserve"> PAGEREF _Toc231822752 \h </w:instrText>
      </w:r>
      <w:r>
        <w:rPr>
          <w:sz w:val="24"/>
          <w:szCs w:val="24"/>
        </w:rPr>
        <w:fldChar w:fldCharType="separate"/>
      </w:r>
      <w:r>
        <w:rPr>
          <w:sz w:val="24"/>
          <w:szCs w:val="24"/>
        </w:rPr>
        <w:t xml:space="preserve">53</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"_Toc231822753" </w:instrText>
      </w:r>
      <w:r>
        <w:fldChar w:fldCharType="separate"/>
      </w:r>
      <w:r>
        <w:rPr>
          <w:rStyle w:val="1365"/>
          <w:sz w:val="24"/>
          <w:szCs w:val="24"/>
          <w:lang w:val="zh-CN"/>
        </w:rPr>
        <w:t xml:space="preserve">附件</w:t>
      </w:r>
      <w:r>
        <w:rPr>
          <w:rStyle w:val="1365"/>
          <w:sz w:val="24"/>
          <w:szCs w:val="24"/>
        </w:rPr>
        <w:t xml:space="preserve">九</w:t>
      </w:r>
      <w:r>
        <w:rPr>
          <w:rStyle w:val="1365"/>
          <w:sz w:val="24"/>
          <w:szCs w:val="24"/>
          <w:lang w:val="zh-CN"/>
        </w:rPr>
        <w:t xml:space="preserve"> 资格证明文件</w:t>
      </w:r>
      <w:r>
        <w:rPr>
          <w:sz w:val="24"/>
          <w:szCs w:val="24"/>
        </w:rPr>
        <w:tab/>
      </w:r>
      <w:r>
        <w:rPr>
          <w:sz w:val="24"/>
          <w:szCs w:val="24"/>
        </w:rPr>
        <w:fldChar w:fldCharType="begin"/>
      </w:r>
      <w:r>
        <w:rPr>
          <w:sz w:val="24"/>
          <w:szCs w:val="24"/>
        </w:rPr>
        <w:instrText xml:space="preserve"> PAGEREF _Toc231822753 \h </w:instrText>
      </w:r>
      <w:r>
        <w:rPr>
          <w:sz w:val="24"/>
          <w:szCs w:val="24"/>
        </w:rPr>
        <w:fldChar w:fldCharType="separate"/>
      </w:r>
      <w:r>
        <w:rPr>
          <w:sz w:val="24"/>
          <w:szCs w:val="24"/>
        </w:rPr>
        <w:t xml:space="preserve">56</w:t>
      </w:r>
      <w:r>
        <w:rPr>
          <w:sz w:val="24"/>
          <w:szCs w:val="24"/>
        </w:rPr>
        <w:fldChar w:fldCharType="end"/>
      </w:r>
      <w:r>
        <w:rPr>
          <w:sz w:val="24"/>
          <w:szCs w:val="24"/>
        </w:rPr>
        <w:fldChar w:fldCharType="end"/>
      </w:r>
      <w:r/>
    </w:p>
    <w:p>
      <w:pPr>
        <w:pStyle w:val="1354"/>
        <w:ind w:left="420"/>
        <w:tabs>
          <w:tab w:val="right" w:pos="9406" w:leader="dot"/>
        </w:tabs>
        <w:rPr>
          <w:rFonts w:eastAsiaTheme="minorEastAsia"/>
          <w:sz w:val="24"/>
          <w:szCs w:val="24"/>
          <w14:ligatures w14:val="standardContextual"/>
        </w:rPr>
      </w:pPr>
      <w:r>
        <w:fldChar w:fldCharType="begin"/>
      </w:r>
      <w:r>
        <w:instrText xml:space="preserve"> HYPERLINK \l "_Toc231822754" </w:instrText>
      </w:r>
      <w:r>
        <w:fldChar w:fldCharType="separate"/>
      </w:r>
      <w:r>
        <w:rPr>
          <w:rStyle w:val="1365"/>
          <w:sz w:val="24"/>
          <w:szCs w:val="24"/>
        </w:rPr>
        <w:t xml:space="preserve">附件十 其他相关文件</w:t>
      </w:r>
      <w:r>
        <w:rPr>
          <w:sz w:val="24"/>
          <w:szCs w:val="24"/>
        </w:rPr>
        <w:tab/>
      </w:r>
      <w:r>
        <w:rPr>
          <w:sz w:val="24"/>
          <w:szCs w:val="24"/>
        </w:rPr>
        <w:fldChar w:fldCharType="begin"/>
      </w:r>
      <w:r>
        <w:rPr>
          <w:sz w:val="24"/>
          <w:szCs w:val="24"/>
        </w:rPr>
        <w:instrText xml:space="preserve"> PAGEREF _Toc231822754 \h </w:instrText>
      </w:r>
      <w:r>
        <w:rPr>
          <w:sz w:val="24"/>
          <w:szCs w:val="24"/>
        </w:rPr>
        <w:fldChar w:fldCharType="separate"/>
      </w:r>
      <w:r>
        <w:rPr>
          <w:sz w:val="24"/>
          <w:szCs w:val="24"/>
        </w:rPr>
        <w:t xml:space="preserve">67</w:t>
      </w:r>
      <w:r>
        <w:rPr>
          <w:sz w:val="24"/>
          <w:szCs w:val="24"/>
        </w:rPr>
        <w:fldChar w:fldCharType="end"/>
      </w:r>
      <w:r>
        <w:rPr>
          <w:sz w:val="24"/>
          <w:szCs w:val="24"/>
        </w:rPr>
        <w:fldChar w:fldCharType="end"/>
      </w:r>
      <w:r/>
    </w:p>
    <w:p>
      <w:pPr>
        <w:jc w:val="center"/>
        <w:spacing w:line="440" w:lineRule="exact"/>
        <w:rPr>
          <w:rFonts w:eastAsia="黑体"/>
          <w:bCs/>
          <w:color w:val="000000"/>
        </w:rPr>
      </w:pPr>
      <w:r>
        <w:rPr>
          <w:rFonts w:eastAsia="黑体"/>
          <w:bCs/>
          <w:color w:val="000000"/>
          <w:sz w:val="24"/>
          <w:szCs w:val="24"/>
        </w:rPr>
        <w:fldChar w:fldCharType="end"/>
      </w:r>
      <w:bookmarkStart w:id="0" w:name="_Toc4696384"/>
      <w:r/>
      <w:bookmarkStart w:id="1" w:name="_Toc20619"/>
      <w:r/>
      <w:bookmarkStart w:id="2" w:name="_Toc11991"/>
      <w:r/>
      <w:bookmarkStart w:id="3" w:name="_Toc19726"/>
      <w:r/>
      <w:bookmarkStart w:id="4" w:name="_Toc24606"/>
      <w:r/>
      <w:bookmarkStart w:id="5" w:name="_Toc13535"/>
      <w:r/>
      <w:bookmarkStart w:id="6" w:name="_Toc7777"/>
      <w:r/>
      <w:bookmarkStart w:id="7" w:name="_Toc20112"/>
      <w:r/>
      <w:bookmarkStart w:id="8" w:name="_Toc15509"/>
      <w:r/>
      <w:bookmarkStart w:id="9" w:name="_Toc22298"/>
      <w:r/>
      <w:r/>
    </w:p>
    <w:p>
      <w:pPr>
        <w:spacing w:line="440" w:lineRule="exact"/>
        <w:rPr>
          <w:rFonts w:eastAsia="黑体"/>
          <w:bCs/>
          <w:color w:val="000000"/>
        </w:rPr>
      </w:pPr>
      <w:r>
        <w:rPr>
          <w:rFonts w:eastAsia="黑体"/>
          <w:bCs/>
          <w:color w:val="000000"/>
        </w:rPr>
      </w:r>
      <w:r/>
    </w:p>
    <w:p>
      <w:pPr>
        <w:spacing w:line="440" w:lineRule="exact"/>
        <w:rPr>
          <w:rFonts w:eastAsia="黑体"/>
          <w:bCs/>
          <w:color w:val="000000"/>
        </w:rPr>
      </w:pPr>
      <w:r>
        <w:rPr>
          <w:rFonts w:eastAsia="黑体"/>
          <w:bCs/>
          <w:color w:val="000000"/>
        </w:rPr>
      </w:r>
      <w:r/>
    </w:p>
    <w:p>
      <w:pPr>
        <w:spacing w:line="440" w:lineRule="exact"/>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center"/>
        <w:spacing w:line="440" w:lineRule="exact"/>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br w:type="page" w:clear="all"/>
      </w:r>
      <w:r/>
    </w:p>
    <w:p>
      <w:pPr>
        <w:jc w:val="center"/>
        <w:spacing w:line="440" w:lineRule="exact"/>
        <w:rPr>
          <w:b/>
          <w:color w:val="000000"/>
          <w:sz w:val="28"/>
          <w:szCs w:val="28"/>
        </w:rPr>
        <w:outlineLvl w:val="0"/>
      </w:pPr>
      <w:r/>
      <w:bookmarkStart w:id="10" w:name="_Toc231822725"/>
      <w:r>
        <w:rPr>
          <w:b/>
          <w:color w:val="000000"/>
          <w:sz w:val="28"/>
          <w:szCs w:val="28"/>
        </w:rPr>
        <w:t xml:space="preserve">第一章 招标公告</w:t>
      </w:r>
      <w:bookmarkEnd w:id="0"/>
      <w:r/>
      <w:bookmarkEnd w:id="1"/>
      <w:r/>
      <w:bookmarkEnd w:id="10"/>
      <w:r/>
      <w:r/>
    </w:p>
    <w:p>
      <w:pPr>
        <w:spacing w:line="360" w:lineRule="auto"/>
        <w:rPr>
          <w:b/>
          <w:bCs/>
          <w:szCs w:val="21"/>
        </w:rPr>
      </w:pPr>
      <w:r/>
      <w:bookmarkStart w:id="11" w:name="_Toc21304"/>
      <w:r>
        <w:rPr>
          <w:b/>
          <w:bCs/>
          <w:szCs w:val="21"/>
        </w:rPr>
        <w:t xml:space="preserve">项目概况</w:t>
      </w:r>
      <w:bookmarkEnd w:id="11"/>
      <w:r/>
      <w:r/>
    </w:p>
    <w:p>
      <w:pPr>
        <w:ind w:firstLine="420"/>
        <w:spacing w:line="360" w:lineRule="auto"/>
        <w:rPr>
          <w:szCs w:val="21"/>
          <w:u w:val="single"/>
        </w:rPr>
        <w:pBdr>
          <w:top w:val="single" w:color="auto" w:sz="4" w:space="0"/>
          <w:left w:val="single" w:color="auto" w:sz="4" w:space="0"/>
          <w:bottom w:val="single" w:color="auto" w:sz="4" w:space="0"/>
          <w:right w:val="single" w:color="auto" w:sz="4" w:space="0"/>
        </w:pBdr>
      </w:pPr>
      <w:r/>
      <w:bookmarkStart w:id="12" w:name="_Toc28359079"/>
      <w:r/>
      <w:bookmarkStart w:id="13" w:name="_Toc15613"/>
      <w:r/>
      <w:bookmarkStart w:id="14" w:name="_Hlk24379207"/>
      <w:r/>
      <w:bookmarkStart w:id="15" w:name="_Toc28359002"/>
      <w:r/>
      <w:bookmarkStart w:id="16" w:name="_Toc20859"/>
      <w:r/>
      <w:bookmarkStart w:id="17" w:name="_Toc35393621"/>
      <w:r/>
      <w:bookmarkStart w:id="18" w:name="_Toc35393790"/>
      <w:r>
        <w:rPr>
          <w:szCs w:val="21"/>
          <w:u w:val="single"/>
        </w:rPr>
        <w:t xml:space="preserve">江苏省特种设备安全监督检验研究院 罐车检验检测能力提升设备招标项目的潜在投标人应在江苏省南京市长江路198号苏美达大厦6楼西获取招标文件，并于2026年08月26日09点30分（北京时间）前递交投标文件。</w:t>
      </w:r>
      <w:bookmarkEnd w:id="12"/>
      <w:r/>
      <w:bookmarkEnd w:id="13"/>
      <w:r/>
      <w:bookmarkEnd w:id="14"/>
      <w:r/>
      <w:bookmarkEnd w:id="15"/>
      <w:r/>
      <w:bookmarkEnd w:id="16"/>
      <w:r/>
      <w:bookmarkEnd w:id="17"/>
      <w:r/>
      <w:bookmarkEnd w:id="18"/>
      <w:r/>
      <w:r/>
    </w:p>
    <w:p>
      <w:pPr>
        <w:pStyle w:val="1319"/>
      </w:pPr>
      <w:r/>
      <w:bookmarkStart w:id="19" w:name="_Toc231822726"/>
      <w:r/>
      <w:bookmarkStart w:id="20" w:name="_Toc5396"/>
      <w:r/>
      <w:bookmarkStart w:id="21" w:name="_Toc35393622"/>
      <w:r/>
      <w:bookmarkStart w:id="22" w:name="_Toc28359080"/>
      <w:r/>
      <w:bookmarkStart w:id="23" w:name="_Toc3342"/>
      <w:r/>
      <w:bookmarkStart w:id="24" w:name="_Toc35393791"/>
      <w:r/>
      <w:bookmarkStart w:id="25" w:name="_Toc28359003"/>
      <w:r>
        <w:t xml:space="preserve">一、项目基本情况</w:t>
      </w:r>
      <w:bookmarkEnd w:id="19"/>
      <w:r/>
      <w:r/>
    </w:p>
    <w:p>
      <w:pPr>
        <w:ind w:firstLine="210"/>
        <w:spacing w:line="360" w:lineRule="auto"/>
        <w:rPr>
          <w:szCs w:val="21"/>
        </w:rPr>
      </w:pPr>
      <w:r>
        <w:rPr>
          <w:szCs w:val="21"/>
        </w:rPr>
        <w:t xml:space="preserve">1、项目编号：4297-2641SUMEC301（公告编号：</w:t>
      </w:r>
      <w:r>
        <w:rPr>
          <w:rFonts w:hint="eastAsia"/>
          <w:szCs w:val="21"/>
        </w:rPr>
        <w:t xml:space="preserve">JSZC-320000-JSSB-G2026-0001</w:t>
      </w:r>
      <w:r>
        <w:rPr>
          <w:szCs w:val="21"/>
        </w:rPr>
        <w:t xml:space="preserve">）</w:t>
      </w:r>
      <w:r/>
    </w:p>
    <w:p>
      <w:pPr>
        <w:ind w:firstLine="210"/>
        <w:spacing w:line="360" w:lineRule="auto"/>
        <w:rPr>
          <w:szCs w:val="21"/>
        </w:rPr>
      </w:pPr>
      <w:r>
        <w:rPr>
          <w:szCs w:val="21"/>
        </w:rPr>
        <w:t xml:space="preserve">2、项目名称：罐车检验检测能力提升设备</w:t>
      </w:r>
      <w:r/>
    </w:p>
    <w:p>
      <w:pPr>
        <w:ind w:firstLine="210"/>
        <w:spacing w:line="360" w:lineRule="auto"/>
        <w:rPr>
          <w:szCs w:val="21"/>
        </w:rPr>
      </w:pPr>
      <w:r>
        <w:rPr>
          <w:szCs w:val="21"/>
        </w:rPr>
        <w:t xml:space="preserve">3、采购方式：公开招标</w:t>
      </w:r>
      <w:r/>
    </w:p>
    <w:p>
      <w:pPr>
        <w:ind w:firstLine="210"/>
        <w:spacing w:line="360" w:lineRule="auto"/>
        <w:rPr>
          <w:szCs w:val="21"/>
        </w:rPr>
      </w:pPr>
      <w:r>
        <w:rPr>
          <w:szCs w:val="21"/>
        </w:rPr>
        <w:t xml:space="preserve">4、预算金额：</w:t>
      </w:r>
      <w:bookmarkStart w:id="26" w:name="OLE_LINK10"/>
      <w:r>
        <w:rPr>
          <w:szCs w:val="21"/>
        </w:rPr>
        <w:t xml:space="preserve">219万元（单位：人民币）</w:t>
      </w:r>
      <w:bookmarkEnd w:id="26"/>
      <w:r/>
      <w:r/>
    </w:p>
    <w:p>
      <w:pPr>
        <w:ind w:firstLine="210"/>
        <w:spacing w:line="360" w:lineRule="auto"/>
        <w:rPr>
          <w:szCs w:val="21"/>
        </w:rPr>
      </w:pPr>
      <w:r>
        <w:rPr>
          <w:szCs w:val="21"/>
        </w:rPr>
        <w:t xml:space="preserve">5、</w:t>
      </w:r>
      <w:bookmarkStart w:id="27" w:name="OLE_LINK12"/>
      <w:r>
        <w:rPr>
          <w:szCs w:val="21"/>
        </w:rPr>
        <w:t xml:space="preserve">最高限价：219万元（单位：人民币），</w:t>
      </w:r>
      <w:r>
        <w:rPr>
          <w:b/>
          <w:szCs w:val="21"/>
        </w:rPr>
        <w:t xml:space="preserve">投标人所投报价不得超过每个品目所对应的预算金额，否则作无效投标处理。</w:t>
      </w:r>
      <w:bookmarkEnd w:id="27"/>
      <w:r/>
      <w:r/>
    </w:p>
    <w:p>
      <w:pPr>
        <w:ind w:firstLine="210"/>
        <w:spacing w:line="360" w:lineRule="auto"/>
        <w:rPr>
          <w:szCs w:val="21"/>
        </w:rPr>
      </w:pPr>
      <w:r>
        <w:rPr>
          <w:szCs w:val="21"/>
        </w:rPr>
        <w:t xml:space="preserve">6、采购需求：本项目为1个分包，具体需求见下表。</w:t>
      </w:r>
      <w:r/>
    </w:p>
    <w:tbl>
      <w:tblPr>
        <w:tblStyle w:val="1325"/>
        <w:tblW w:w="5272" w:type="pct"/>
        <w:jc w:val="center"/>
        <w:tblLayout w:type="fixed"/>
        <w:tblCellMar>
          <w:left w:w="108" w:type="dxa"/>
          <w:top w:w="0" w:type="dxa"/>
          <w:right w:w="108" w:type="dxa"/>
          <w:bottom w:w="0" w:type="dxa"/>
        </w:tblCellMar>
        <w:tblLook w:val="04A0" w:firstRow="1" w:lastRow="0" w:firstColumn="1" w:lastColumn="0" w:noHBand="0" w:noVBand="1"/>
      </w:tblPr>
      <w:tblGrid>
        <w:gridCol w:w="769"/>
        <w:gridCol w:w="2633"/>
        <w:gridCol w:w="1136"/>
        <w:gridCol w:w="852"/>
        <w:gridCol w:w="423"/>
        <w:gridCol w:w="1704"/>
        <w:gridCol w:w="1420"/>
        <w:gridCol w:w="991"/>
      </w:tblGrid>
      <w:tr>
        <w:trPr>
          <w:jc w:val="center"/>
          <w:trHeight w:val="748"/>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品目</w:t>
            </w:r>
            <w:r/>
          </w:p>
        </w:tc>
        <w:tc>
          <w:tcPr>
            <w:tcBorders>
              <w:top w:val="single" w:color="auto" w:sz="4" w:space="0"/>
              <w:left w:val="single" w:color="auto" w:sz="4" w:space="0"/>
              <w:bottom w:val="single" w:color="auto" w:sz="4" w:space="0"/>
              <w:right w:val="single" w:color="auto" w:sz="4" w:space="0"/>
            </w:tcBorders>
            <w:tcW w:w="1326"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设备名称</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数量</w:t>
            </w:r>
            <w:r/>
          </w:p>
          <w:p>
            <w:pPr>
              <w:ind w:right="-107"/>
              <w:jc w:val="center"/>
              <w:tabs>
                <w:tab w:val="left" w:pos="4788" w:leader="none"/>
              </w:tabs>
              <w:rPr>
                <w:rFonts w:eastAsiaTheme="minorEastAsia"/>
                <w:bCs/>
                <w:szCs w:val="21"/>
              </w:rPr>
            </w:pPr>
            <w:r>
              <w:rPr>
                <w:rFonts w:hint="eastAsia" w:eastAsiaTheme="minorEastAsia"/>
                <w:bCs/>
                <w:szCs w:val="21"/>
              </w:rPr>
              <w:t xml:space="preserve">（</w:t>
            </w:r>
            <w:r>
              <w:rPr>
                <w:rFonts w:eastAsiaTheme="minorEastAsia"/>
                <w:bCs/>
                <w:szCs w:val="21"/>
              </w:rPr>
              <w:t xml:space="preserve">台/套</w:t>
            </w:r>
            <w:r>
              <w:rPr>
                <w:rFonts w:hint="eastAsia" w:eastAsiaTheme="minorEastAsia"/>
                <w:bCs/>
                <w:szCs w:val="21"/>
              </w:rPr>
              <w:t xml:space="preserve">）</w:t>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spacing w:line="360" w:lineRule="auto"/>
              <w:tabs>
                <w:tab w:val="left" w:pos="4788" w:leader="none"/>
              </w:tabs>
              <w:rPr>
                <w:rFonts w:eastAsiaTheme="minorEastAsia"/>
                <w:bCs/>
                <w:szCs w:val="21"/>
              </w:rPr>
            </w:pPr>
            <w:r>
              <w:rPr>
                <w:rFonts w:eastAsiaTheme="minorEastAsia"/>
                <w:bCs/>
                <w:szCs w:val="21"/>
              </w:rPr>
              <w:t xml:space="preserve">简要技术要求</w:t>
            </w:r>
            <w:r/>
          </w:p>
        </w:tc>
        <w:tc>
          <w:tcPr>
            <w:tcBorders>
              <w:top w:val="single" w:color="auto" w:sz="4" w:space="0"/>
              <w:left w:val="single" w:color="auto" w:sz="4" w:space="0"/>
              <w:bottom w:val="single" w:color="auto" w:sz="4" w:space="0"/>
              <w:right w:val="single" w:color="auto" w:sz="4" w:space="0"/>
            </w:tcBorders>
            <w:tcW w:w="21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用途</w:t>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项目预算金额</w:t>
            </w:r>
            <w:r/>
          </w:p>
          <w:p>
            <w:pPr>
              <w:ind w:right="-107"/>
              <w:jc w:val="center"/>
              <w:tabs>
                <w:tab w:val="left" w:pos="4788" w:leader="none"/>
              </w:tabs>
              <w:rPr>
                <w:rFonts w:eastAsiaTheme="minorEastAsia"/>
                <w:bCs/>
                <w:szCs w:val="21"/>
              </w:rPr>
            </w:pPr>
            <w:r>
              <w:rPr>
                <w:rFonts w:hint="eastAsia" w:eastAsiaTheme="minorEastAsia"/>
                <w:bCs/>
                <w:szCs w:val="21"/>
              </w:rPr>
              <w:t xml:space="preserve">（</w:t>
            </w:r>
            <w:r>
              <w:rPr>
                <w:rFonts w:eastAsiaTheme="minorEastAsia"/>
                <w:bCs/>
                <w:szCs w:val="21"/>
              </w:rPr>
              <w:t xml:space="preserve">万元/人民币</w:t>
            </w:r>
            <w:r>
              <w:rPr>
                <w:rFonts w:hint="eastAsia" w:eastAsiaTheme="minorEastAsia"/>
                <w:bCs/>
                <w:szCs w:val="21"/>
              </w:rPr>
              <w:t xml:space="preserve">）</w:t>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备注</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326" w:type="pct"/>
            <w:vAlign w:val="center"/>
            <w:textDirection w:val="lrTb"/>
            <w:noWrap w:val="false"/>
          </w:tcPr>
          <w:p>
            <w:pPr>
              <w:jc w:val="center"/>
              <w:rPr>
                <w:rFonts w:eastAsiaTheme="minorEastAsia"/>
              </w:rPr>
            </w:pPr>
            <w:r>
              <w:rPr>
                <w:rFonts w:eastAsiaTheme="minorEastAsia"/>
              </w:rPr>
              <w:t xml:space="preserve">检验工位专用装置</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widowControl/>
              <w:rPr>
                <w:rFonts w:eastAsiaTheme="minorEastAsia"/>
                <w:bCs/>
                <w:szCs w:val="21"/>
              </w:rPr>
            </w:pPr>
            <w:r>
              <w:rPr>
                <w:rFonts w:eastAsiaTheme="minorEastAsia"/>
                <w:bCs/>
                <w:szCs w:val="21"/>
              </w:rPr>
              <w:t xml:space="preserve">3</w:t>
            </w:r>
            <w:r/>
          </w:p>
        </w:tc>
        <w:tc>
          <w:tcPr>
            <w:tcBorders>
              <w:top w:val="single" w:color="auto" w:sz="4" w:space="0"/>
              <w:left w:val="single" w:color="auto" w:sz="4" w:space="0"/>
              <w:bottom w:val="single" w:color="auto" w:sz="4" w:space="0"/>
              <w:right w:val="single" w:color="auto" w:sz="4" w:space="0"/>
            </w:tcBorders>
            <w:tcW w:w="429" w:type="pct"/>
            <w:vAlign w:val="center"/>
            <w:vMerge w:val="restart"/>
            <w:textDirection w:val="lrTb"/>
            <w:noWrap w:val="false"/>
          </w:tcPr>
          <w:p>
            <w:pPr>
              <w:jc w:val="center"/>
              <w:widowControl/>
              <w:rPr>
                <w:rFonts w:eastAsiaTheme="minorEastAsia"/>
                <w:color w:val="000000"/>
                <w:szCs w:val="21"/>
                <w:lang w:bidi="ar"/>
              </w:rPr>
            </w:pPr>
            <w:r>
              <w:rPr>
                <w:rFonts w:eastAsiaTheme="minorEastAsia"/>
                <w:szCs w:val="21"/>
              </w:rPr>
              <w:t xml:space="preserve">详见招标文件第四章招标技术规格及要求</w:t>
            </w:r>
            <w:r/>
          </w:p>
        </w:tc>
        <w:tc>
          <w:tcPr>
            <w:tcBorders>
              <w:top w:val="single" w:color="auto" w:sz="4" w:space="0"/>
              <w:left w:val="single" w:color="auto" w:sz="4" w:space="0"/>
              <w:right w:val="single" w:color="auto" w:sz="4" w:space="0"/>
            </w:tcBorders>
            <w:tcW w:w="213" w:type="pct"/>
            <w:vAlign w:val="center"/>
            <w:vMerge w:val="restart"/>
            <w:textDirection w:val="lrTb"/>
            <w:noWrap w:val="false"/>
          </w:tcPr>
          <w:p>
            <w:pPr>
              <w:jc w:val="center"/>
              <w:widowControl/>
              <w:rPr>
                <w:rFonts w:eastAsiaTheme="minorEastAsia"/>
                <w:bCs/>
                <w:szCs w:val="21"/>
              </w:rPr>
            </w:pPr>
            <w:r>
              <w:rPr>
                <w:rFonts w:eastAsiaTheme="minorEastAsia"/>
                <w:bCs/>
                <w:szCs w:val="21"/>
              </w:rPr>
              <w:t xml:space="preserve">检测</w:t>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jc w:val="center"/>
              <w:widowControl/>
              <w:rPr>
                <w:rFonts w:eastAsiaTheme="minorEastAsia"/>
                <w:bCs/>
                <w:szCs w:val="21"/>
              </w:rPr>
            </w:pPr>
            <w:r>
              <w:rPr>
                <w:rFonts w:eastAsiaTheme="minorEastAsia"/>
                <w:bCs/>
                <w:szCs w:val="21"/>
              </w:rPr>
              <w:t xml:space="preserve">9</w:t>
            </w:r>
            <w:r/>
          </w:p>
        </w:tc>
        <w:tc>
          <w:tcPr>
            <w:tcBorders>
              <w:top w:val="single" w:color="auto" w:sz="4" w:space="0"/>
              <w:left w:val="single" w:color="auto" w:sz="4" w:space="0"/>
              <w:bottom w:val="single" w:color="auto" w:sz="4" w:space="0"/>
              <w:right w:val="single" w:color="auto" w:sz="4" w:space="0"/>
            </w:tcBorders>
            <w:tcW w:w="715" w:type="pct"/>
            <w:vAlign w:val="center"/>
            <w:vMerge w:val="restart"/>
            <w:textDirection w:val="lrTb"/>
            <w:noWrap w:val="false"/>
          </w:tcPr>
          <w:p>
            <w:pPr>
              <w:ind w:right="-107"/>
              <w:jc w:val="center"/>
              <w:tabs>
                <w:tab w:val="left" w:pos="4788" w:leader="none"/>
              </w:tabs>
              <w:rPr>
                <w:rFonts w:eastAsiaTheme="minorEastAsia"/>
                <w:bCs/>
                <w:szCs w:val="21"/>
              </w:rPr>
            </w:pPr>
            <w:r>
              <w:rPr>
                <w:szCs w:val="21"/>
              </w:rPr>
              <w:t xml:space="preserve">合同签订后3个月内货到江苏省特种设备安全监督检验研究院指定地点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326" w:type="pct"/>
            <w:vAlign w:val="center"/>
            <w:textDirection w:val="lrTb"/>
            <w:noWrap w:val="false"/>
          </w:tcPr>
          <w:p>
            <w:pPr>
              <w:jc w:val="center"/>
              <w:rPr>
                <w:rFonts w:eastAsiaTheme="minorEastAsia"/>
              </w:rPr>
            </w:pPr>
            <w:r>
              <w:rPr>
                <w:rFonts w:eastAsiaTheme="minorEastAsia"/>
              </w:rPr>
              <w:t xml:space="preserve">气密试验自动控制系统</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widowControl/>
              <w:rPr>
                <w:rFonts w:eastAsiaTheme="minorEastAsia"/>
                <w:bCs/>
                <w:szCs w:val="21"/>
              </w:rPr>
            </w:pPr>
            <w:r>
              <w:rPr>
                <w:rFonts w:eastAsiaTheme="minorEastAsia"/>
                <w:bCs/>
                <w:szCs w:val="21"/>
              </w:rPr>
              <w:t xml:space="preserve">4</w:t>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13" w:type="pct"/>
            <w:vMerge w:val="continue"/>
            <w:textDirection w:val="lrTb"/>
            <w:noWrap w:val="false"/>
          </w:tcPr>
          <w:p>
            <w:pPr>
              <w:jc w:val="center"/>
              <w:widowControl/>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jc w:val="center"/>
              <w:widowControl/>
              <w:rPr>
                <w:rFonts w:eastAsiaTheme="minorEastAsia"/>
                <w:bCs/>
                <w:szCs w:val="21"/>
              </w:rPr>
            </w:pPr>
            <w:r>
              <w:rPr>
                <w:rFonts w:eastAsiaTheme="minorEastAsia"/>
                <w:bCs/>
                <w:szCs w:val="21"/>
              </w:rPr>
              <w:t xml:space="preserve">14</w:t>
            </w:r>
            <w:r/>
          </w:p>
        </w:tc>
        <w:tc>
          <w:tcPr>
            <w:tcBorders>
              <w:top w:val="single" w:color="auto" w:sz="4" w:space="0"/>
              <w:left w:val="single" w:color="auto" w:sz="4" w:space="0"/>
              <w:bottom w:val="single" w:color="auto" w:sz="4" w:space="0"/>
              <w:right w:val="single" w:color="auto" w:sz="4" w:space="0"/>
            </w:tcBorders>
            <w:tcW w:w="71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326" w:type="pct"/>
            <w:vAlign w:val="center"/>
            <w:textDirection w:val="lrTb"/>
            <w:noWrap w:val="false"/>
          </w:tcPr>
          <w:p>
            <w:pPr>
              <w:jc w:val="center"/>
              <w:rPr>
                <w:rFonts w:eastAsiaTheme="minorEastAsia"/>
              </w:rPr>
            </w:pPr>
            <w:r>
              <w:rPr>
                <w:rFonts w:eastAsiaTheme="minorEastAsia"/>
              </w:rPr>
              <w:t xml:space="preserve">空压机系统(含冷干机)</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widowControl/>
              <w:rPr>
                <w:rFonts w:eastAsiaTheme="minorEastAsia"/>
                <w:bCs/>
                <w:szCs w:val="21"/>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13" w:type="pct"/>
            <w:vMerge w:val="continue"/>
            <w:textDirection w:val="lrTb"/>
            <w:noWrap w:val="false"/>
          </w:tcPr>
          <w:p>
            <w:pPr>
              <w:jc w:val="center"/>
              <w:widowControl/>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jc w:val="center"/>
              <w:widowControl/>
              <w:rPr>
                <w:rFonts w:eastAsiaTheme="minorEastAsia"/>
                <w:bCs/>
                <w:szCs w:val="21"/>
              </w:rPr>
            </w:pPr>
            <w:r>
              <w:rPr>
                <w:rFonts w:eastAsiaTheme="minorEastAsia"/>
                <w:bCs/>
                <w:szCs w:val="21"/>
              </w:rPr>
              <w:t xml:space="preserve">26</w:t>
            </w:r>
            <w:r/>
          </w:p>
        </w:tc>
        <w:tc>
          <w:tcPr>
            <w:tcBorders>
              <w:top w:val="single" w:color="auto" w:sz="4" w:space="0"/>
              <w:left w:val="single" w:color="auto" w:sz="4" w:space="0"/>
              <w:bottom w:val="single" w:color="auto" w:sz="4" w:space="0"/>
              <w:right w:val="single" w:color="auto" w:sz="4" w:space="0"/>
            </w:tcBorders>
            <w:tcW w:w="71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326" w:type="pct"/>
            <w:vAlign w:val="center"/>
            <w:textDirection w:val="lrTb"/>
            <w:noWrap w:val="false"/>
          </w:tcPr>
          <w:p>
            <w:pPr>
              <w:jc w:val="center"/>
              <w:rPr>
                <w:rFonts w:eastAsiaTheme="minorEastAsia"/>
                <w:bCs/>
                <w:szCs w:val="21"/>
              </w:rPr>
            </w:pPr>
            <w:r>
              <w:rPr>
                <w:rFonts w:eastAsiaTheme="minorEastAsia"/>
              </w:rPr>
              <w:t xml:space="preserve">空气储罐及配套管路</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widowControl/>
              <w:rPr>
                <w:rFonts w:eastAsiaTheme="minorEastAsia"/>
                <w:bCs/>
                <w:szCs w:val="21"/>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13" w:type="pct"/>
            <w:vMerge w:val="continue"/>
            <w:textDirection w:val="lrTb"/>
            <w:noWrap w:val="false"/>
          </w:tcPr>
          <w:p>
            <w:pPr>
              <w:jc w:val="center"/>
              <w:widowControl/>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jc w:val="center"/>
              <w:widowControl/>
              <w:rPr>
                <w:rFonts w:eastAsiaTheme="minorEastAsia"/>
                <w:bCs/>
                <w:szCs w:val="21"/>
              </w:rPr>
            </w:pPr>
            <w:r>
              <w:rPr>
                <w:rFonts w:eastAsiaTheme="minorEastAsia"/>
                <w:bCs/>
                <w:szCs w:val="21"/>
              </w:rPr>
              <w:t xml:space="preserve">32</w:t>
            </w:r>
            <w:r/>
          </w:p>
        </w:tc>
        <w:tc>
          <w:tcPr>
            <w:tcBorders>
              <w:top w:val="single" w:color="auto" w:sz="4" w:space="0"/>
              <w:left w:val="single" w:color="auto" w:sz="4" w:space="0"/>
              <w:bottom w:val="single" w:color="auto" w:sz="4" w:space="0"/>
              <w:right w:val="single" w:color="auto" w:sz="4" w:space="0"/>
            </w:tcBorders>
            <w:tcW w:w="71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326" w:type="pct"/>
            <w:vAlign w:val="center"/>
            <w:textDirection w:val="lrTb"/>
            <w:noWrap w:val="false"/>
          </w:tcPr>
          <w:p>
            <w:pPr>
              <w:jc w:val="center"/>
              <w:rPr>
                <w:rFonts w:eastAsiaTheme="minorEastAsia"/>
                <w:bCs/>
                <w:szCs w:val="21"/>
              </w:rPr>
            </w:pPr>
            <w:r>
              <w:rPr>
                <w:rFonts w:eastAsiaTheme="minorEastAsia"/>
              </w:rPr>
              <w:t xml:space="preserve">真空泵及配套管路</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13" w:type="pct"/>
            <w:vMerge w:val="continue"/>
            <w:textDirection w:val="lrTb"/>
            <w:noWrap w:val="false"/>
          </w:tcPr>
          <w:p>
            <w:pPr>
              <w:jc w:val="center"/>
              <w:widowControl/>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jc w:val="center"/>
              <w:widowControl/>
              <w:rPr>
                <w:rFonts w:eastAsiaTheme="minorEastAsia"/>
                <w:bCs/>
                <w:szCs w:val="21"/>
              </w:rPr>
            </w:pPr>
            <w:r>
              <w:rPr>
                <w:rFonts w:eastAsiaTheme="minorEastAsia"/>
                <w:bCs/>
                <w:szCs w:val="21"/>
              </w:rPr>
              <w:t xml:space="preserve">9</w:t>
            </w:r>
            <w:r/>
          </w:p>
        </w:tc>
        <w:tc>
          <w:tcPr>
            <w:tcBorders>
              <w:top w:val="single" w:color="auto" w:sz="4" w:space="0"/>
              <w:left w:val="single" w:color="auto" w:sz="4" w:space="0"/>
              <w:bottom w:val="single" w:color="auto" w:sz="4" w:space="0"/>
              <w:right w:val="single" w:color="auto" w:sz="4" w:space="0"/>
            </w:tcBorders>
            <w:tcW w:w="71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326" w:type="pct"/>
            <w:vAlign w:val="center"/>
            <w:textDirection w:val="lrTb"/>
            <w:noWrap w:val="false"/>
          </w:tcPr>
          <w:p>
            <w:pPr>
              <w:jc w:val="center"/>
              <w:rPr>
                <w:rFonts w:eastAsiaTheme="minorEastAsia"/>
                <w:bCs/>
                <w:szCs w:val="21"/>
              </w:rPr>
            </w:pPr>
            <w:r>
              <w:rPr>
                <w:rFonts w:eastAsiaTheme="minorEastAsia"/>
              </w:rPr>
              <w:t xml:space="preserve">清水水箱及配套管路</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13" w:type="pct"/>
            <w:vMerge w:val="continue"/>
            <w:textDirection w:val="lrTb"/>
            <w:noWrap w:val="false"/>
          </w:tcPr>
          <w:p>
            <w:pPr>
              <w:jc w:val="center"/>
              <w:widowControl/>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jc w:val="center"/>
              <w:widowControl/>
              <w:rPr>
                <w:rFonts w:eastAsiaTheme="minorEastAsia"/>
                <w:bCs/>
                <w:szCs w:val="21"/>
              </w:rPr>
            </w:pPr>
            <w:r>
              <w:rPr>
                <w:rFonts w:eastAsiaTheme="minorEastAsia"/>
                <w:bCs/>
                <w:szCs w:val="21"/>
              </w:rPr>
              <w:t xml:space="preserve">5.5</w:t>
            </w:r>
            <w:r/>
          </w:p>
        </w:tc>
        <w:tc>
          <w:tcPr>
            <w:tcBorders>
              <w:top w:val="single" w:color="auto" w:sz="4" w:space="0"/>
              <w:left w:val="single" w:color="auto" w:sz="4" w:space="0"/>
              <w:bottom w:val="single" w:color="auto" w:sz="4" w:space="0"/>
              <w:right w:val="single" w:color="auto" w:sz="4" w:space="0"/>
            </w:tcBorders>
            <w:tcW w:w="71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七</w:t>
            </w:r>
            <w:r/>
          </w:p>
        </w:tc>
        <w:tc>
          <w:tcPr>
            <w:tcBorders>
              <w:top w:val="single" w:color="auto" w:sz="4" w:space="0"/>
              <w:left w:val="single" w:color="auto" w:sz="4" w:space="0"/>
              <w:bottom w:val="single" w:color="auto" w:sz="4" w:space="0"/>
              <w:right w:val="single" w:color="auto" w:sz="4" w:space="0"/>
            </w:tcBorders>
            <w:tcW w:w="1326" w:type="pct"/>
            <w:vAlign w:val="center"/>
            <w:textDirection w:val="lrTb"/>
            <w:noWrap w:val="false"/>
          </w:tcPr>
          <w:p>
            <w:pPr>
              <w:jc w:val="center"/>
              <w:rPr>
                <w:rFonts w:eastAsiaTheme="minorEastAsia"/>
                <w:bCs/>
                <w:szCs w:val="21"/>
              </w:rPr>
            </w:pPr>
            <w:r>
              <w:rPr>
                <w:rFonts w:eastAsiaTheme="minorEastAsia"/>
              </w:rPr>
              <w:t xml:space="preserve">残液回收装置</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13" w:type="pct"/>
            <w:vMerge w:val="continue"/>
            <w:textDirection w:val="lrTb"/>
            <w:noWrap w:val="false"/>
          </w:tcPr>
          <w:p>
            <w:pPr>
              <w:jc w:val="center"/>
              <w:widowControl/>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jc w:val="center"/>
              <w:widowControl/>
              <w:rPr>
                <w:rFonts w:eastAsiaTheme="minorEastAsia"/>
                <w:bCs/>
                <w:szCs w:val="21"/>
              </w:rPr>
            </w:pPr>
            <w:r>
              <w:rPr>
                <w:rFonts w:eastAsiaTheme="minorEastAsia"/>
                <w:bCs/>
                <w:szCs w:val="21"/>
              </w:rPr>
              <w:t xml:space="preserve">5</w:t>
            </w:r>
            <w:r/>
          </w:p>
        </w:tc>
        <w:tc>
          <w:tcPr>
            <w:tcBorders>
              <w:top w:val="single" w:color="auto" w:sz="4" w:space="0"/>
              <w:left w:val="single" w:color="auto" w:sz="4" w:space="0"/>
              <w:bottom w:val="single" w:color="auto" w:sz="4" w:space="0"/>
              <w:right w:val="single" w:color="auto" w:sz="4" w:space="0"/>
            </w:tcBorders>
            <w:tcW w:w="71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八</w:t>
            </w:r>
            <w:r/>
          </w:p>
        </w:tc>
        <w:tc>
          <w:tcPr>
            <w:tcBorders>
              <w:top w:val="single" w:color="auto" w:sz="4" w:space="0"/>
              <w:left w:val="single" w:color="auto" w:sz="4" w:space="0"/>
              <w:bottom w:val="single" w:color="auto" w:sz="4" w:space="0"/>
              <w:right w:val="single" w:color="auto" w:sz="4" w:space="0"/>
            </w:tcBorders>
            <w:tcW w:w="1326" w:type="pct"/>
            <w:vAlign w:val="center"/>
            <w:textDirection w:val="lrTb"/>
            <w:noWrap w:val="false"/>
          </w:tcPr>
          <w:p>
            <w:pPr>
              <w:jc w:val="center"/>
              <w:rPr>
                <w:rFonts w:eastAsiaTheme="minorEastAsia"/>
                <w:bCs/>
                <w:szCs w:val="21"/>
              </w:rPr>
            </w:pPr>
            <w:r>
              <w:rPr>
                <w:rFonts w:eastAsiaTheme="minorEastAsia"/>
              </w:rPr>
              <w:t xml:space="preserve">检验专用扶梯</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13" w:type="pct"/>
            <w:vMerge w:val="continue"/>
            <w:textDirection w:val="lrTb"/>
            <w:noWrap w:val="false"/>
          </w:tcPr>
          <w:p>
            <w:pPr>
              <w:jc w:val="center"/>
              <w:widowControl/>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jc w:val="center"/>
              <w:widowControl/>
              <w:rPr>
                <w:rFonts w:eastAsiaTheme="minorEastAsia"/>
                <w:bCs/>
                <w:szCs w:val="21"/>
              </w:rPr>
            </w:pPr>
            <w:r>
              <w:rPr>
                <w:rFonts w:eastAsiaTheme="minorEastAsia"/>
                <w:bCs/>
                <w:szCs w:val="21"/>
              </w:rPr>
              <w:t xml:space="preserve">4.5</w:t>
            </w:r>
            <w:r/>
          </w:p>
        </w:tc>
        <w:tc>
          <w:tcPr>
            <w:tcBorders>
              <w:top w:val="single" w:color="auto" w:sz="4" w:space="0"/>
              <w:left w:val="single" w:color="auto" w:sz="4" w:space="0"/>
              <w:bottom w:val="single" w:color="auto" w:sz="4" w:space="0"/>
              <w:right w:val="single" w:color="auto" w:sz="4" w:space="0"/>
            </w:tcBorders>
            <w:tcW w:w="71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九</w:t>
            </w:r>
            <w:r/>
          </w:p>
        </w:tc>
        <w:tc>
          <w:tcPr>
            <w:tcBorders>
              <w:top w:val="single" w:color="auto" w:sz="4" w:space="0"/>
              <w:left w:val="single" w:color="auto" w:sz="4" w:space="0"/>
              <w:bottom w:val="single" w:color="auto" w:sz="4" w:space="0"/>
              <w:right w:val="single" w:color="auto" w:sz="4" w:space="0"/>
            </w:tcBorders>
            <w:tcW w:w="1326" w:type="pct"/>
            <w:vAlign w:val="center"/>
            <w:textDirection w:val="lrTb"/>
            <w:noWrap w:val="false"/>
          </w:tcPr>
          <w:p>
            <w:pPr>
              <w:jc w:val="center"/>
              <w:rPr>
                <w:rFonts w:eastAsiaTheme="minorEastAsia"/>
                <w:color w:val="000000"/>
                <w:szCs w:val="21"/>
                <w:lang w:bidi="ar"/>
              </w:rPr>
            </w:pPr>
            <w:r>
              <w:rPr>
                <w:rFonts w:eastAsiaTheme="minorEastAsia"/>
              </w:rPr>
              <w:t xml:space="preserve">液氮储罐</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13" w:type="pct"/>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28</w:t>
            </w:r>
            <w:r/>
          </w:p>
        </w:tc>
        <w:tc>
          <w:tcPr>
            <w:tcBorders>
              <w:top w:val="single" w:color="auto" w:sz="4" w:space="0"/>
              <w:left w:val="single" w:color="auto" w:sz="4" w:space="0"/>
              <w:bottom w:val="single" w:color="auto" w:sz="4" w:space="0"/>
              <w:right w:val="single" w:color="auto" w:sz="4" w:space="0"/>
            </w:tcBorders>
            <w:tcW w:w="71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r>
        <w:trPr>
          <w:jc w:val="center"/>
          <w:trHeight w:val="585" w:hRule="exact"/>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w:t>
            </w:r>
            <w:r/>
          </w:p>
        </w:tc>
        <w:tc>
          <w:tcPr>
            <w:tcBorders>
              <w:top w:val="single" w:color="auto" w:sz="4" w:space="0"/>
              <w:left w:val="single" w:color="auto" w:sz="4" w:space="0"/>
              <w:bottom w:val="single" w:color="auto" w:sz="4" w:space="0"/>
              <w:right w:val="single" w:color="auto" w:sz="4" w:space="0"/>
            </w:tcBorders>
            <w:tcW w:w="1326" w:type="pct"/>
            <w:vAlign w:val="center"/>
            <w:textDirection w:val="lrTb"/>
            <w:noWrap w:val="false"/>
          </w:tcPr>
          <w:p>
            <w:pPr>
              <w:jc w:val="center"/>
              <w:rPr>
                <w:rFonts w:eastAsiaTheme="minorEastAsia"/>
                <w:color w:val="000000"/>
                <w:szCs w:val="21"/>
                <w:lang w:bidi="ar"/>
              </w:rPr>
            </w:pPr>
            <w:r>
              <w:rPr>
                <w:rFonts w:eastAsiaTheme="minorEastAsia"/>
              </w:rPr>
              <w:t xml:space="preserve">氮气气化器、柱塞泵及配套管路</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2</w:t>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13" w:type="pct"/>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30</w:t>
            </w:r>
            <w:r/>
          </w:p>
        </w:tc>
        <w:tc>
          <w:tcPr>
            <w:tcBorders>
              <w:top w:val="single" w:color="auto" w:sz="4" w:space="0"/>
              <w:left w:val="single" w:color="auto" w:sz="4" w:space="0"/>
              <w:bottom w:val="single" w:color="auto" w:sz="4" w:space="0"/>
              <w:right w:val="single" w:color="auto" w:sz="4" w:space="0"/>
            </w:tcBorders>
            <w:tcW w:w="71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十一</w:t>
            </w:r>
            <w:r/>
          </w:p>
        </w:tc>
        <w:tc>
          <w:tcPr>
            <w:tcBorders>
              <w:top w:val="single" w:color="auto" w:sz="4" w:space="0"/>
              <w:left w:val="single" w:color="auto" w:sz="4" w:space="0"/>
              <w:bottom w:val="single" w:color="auto" w:sz="4" w:space="0"/>
              <w:right w:val="single" w:color="auto" w:sz="4" w:space="0"/>
            </w:tcBorders>
            <w:tcW w:w="1326" w:type="pct"/>
            <w:vAlign w:val="center"/>
            <w:textDirection w:val="lrTb"/>
            <w:noWrap w:val="false"/>
          </w:tcPr>
          <w:p>
            <w:pPr>
              <w:jc w:val="center"/>
              <w:rPr>
                <w:rFonts w:eastAsiaTheme="minorEastAsia"/>
                <w:color w:val="000000"/>
                <w:szCs w:val="21"/>
                <w:lang w:bidi="ar"/>
              </w:rPr>
            </w:pPr>
            <w:r>
              <w:rPr>
                <w:rFonts w:eastAsiaTheme="minorEastAsia"/>
              </w:rPr>
              <w:t xml:space="preserve">紧急切断阀综合检修台</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13" w:type="pct"/>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8</w:t>
            </w:r>
            <w:r/>
          </w:p>
        </w:tc>
        <w:tc>
          <w:tcPr>
            <w:tcBorders>
              <w:top w:val="single" w:color="auto" w:sz="4" w:space="0"/>
              <w:left w:val="single" w:color="auto" w:sz="4" w:space="0"/>
              <w:bottom w:val="single" w:color="auto" w:sz="4" w:space="0"/>
              <w:right w:val="single" w:color="auto" w:sz="4" w:space="0"/>
            </w:tcBorders>
            <w:tcW w:w="71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十二</w:t>
            </w:r>
            <w:r/>
          </w:p>
        </w:tc>
        <w:tc>
          <w:tcPr>
            <w:tcBorders>
              <w:top w:val="single" w:color="auto" w:sz="4" w:space="0"/>
              <w:left w:val="single" w:color="auto" w:sz="4" w:space="0"/>
              <w:bottom w:val="single" w:color="auto" w:sz="4" w:space="0"/>
              <w:right w:val="single" w:color="auto" w:sz="4" w:space="0"/>
            </w:tcBorders>
            <w:tcW w:w="1326" w:type="pct"/>
            <w:vAlign w:val="center"/>
            <w:textDirection w:val="lrTb"/>
            <w:noWrap w:val="false"/>
          </w:tcPr>
          <w:p>
            <w:pPr>
              <w:jc w:val="center"/>
              <w:rPr>
                <w:rFonts w:eastAsiaTheme="minorEastAsia"/>
                <w:color w:val="000000"/>
                <w:szCs w:val="21"/>
                <w:lang w:bidi="ar"/>
              </w:rPr>
            </w:pPr>
            <w:r>
              <w:rPr>
                <w:rFonts w:eastAsiaTheme="minorEastAsia"/>
              </w:rPr>
              <w:t xml:space="preserve">桥式起重机</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2</w:t>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13" w:type="pct"/>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14</w:t>
            </w:r>
            <w:r/>
          </w:p>
        </w:tc>
        <w:tc>
          <w:tcPr>
            <w:tcBorders>
              <w:top w:val="single" w:color="auto" w:sz="4" w:space="0"/>
              <w:left w:val="single" w:color="auto" w:sz="4" w:space="0"/>
              <w:bottom w:val="single" w:color="auto" w:sz="4" w:space="0"/>
              <w:right w:val="single" w:color="auto" w:sz="4" w:space="0"/>
            </w:tcBorders>
            <w:tcW w:w="71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十三</w:t>
            </w:r>
            <w:r/>
          </w:p>
        </w:tc>
        <w:tc>
          <w:tcPr>
            <w:tcBorders>
              <w:top w:val="single" w:color="auto" w:sz="4" w:space="0"/>
              <w:left w:val="single" w:color="auto" w:sz="4" w:space="0"/>
              <w:bottom w:val="single" w:color="auto" w:sz="4" w:space="0"/>
              <w:right w:val="single" w:color="auto" w:sz="4" w:space="0"/>
            </w:tcBorders>
            <w:tcW w:w="1326" w:type="pct"/>
            <w:vAlign w:val="center"/>
            <w:textDirection w:val="lrTb"/>
            <w:noWrap w:val="false"/>
          </w:tcPr>
          <w:p>
            <w:pPr>
              <w:jc w:val="center"/>
              <w:rPr>
                <w:rFonts w:eastAsiaTheme="minorEastAsia"/>
                <w:color w:val="000000"/>
                <w:szCs w:val="21"/>
                <w:lang w:bidi="ar"/>
              </w:rPr>
            </w:pPr>
            <w:r>
              <w:rPr>
                <w:rFonts w:eastAsiaTheme="minorEastAsia"/>
              </w:rPr>
              <w:t xml:space="preserve">撬装式设备平台</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13" w:type="pct"/>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26</w:t>
            </w:r>
            <w:r/>
          </w:p>
        </w:tc>
        <w:tc>
          <w:tcPr>
            <w:tcBorders>
              <w:top w:val="single" w:color="auto" w:sz="4" w:space="0"/>
              <w:left w:val="single" w:color="auto" w:sz="4" w:space="0"/>
              <w:bottom w:val="single" w:color="auto" w:sz="4" w:space="0"/>
              <w:right w:val="single" w:color="auto" w:sz="4" w:space="0"/>
            </w:tcBorders>
            <w:tcW w:w="71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十四</w:t>
            </w:r>
            <w:r/>
          </w:p>
        </w:tc>
        <w:tc>
          <w:tcPr>
            <w:tcBorders>
              <w:top w:val="single" w:color="auto" w:sz="4" w:space="0"/>
              <w:left w:val="single" w:color="auto" w:sz="4" w:space="0"/>
              <w:bottom w:val="single" w:color="auto" w:sz="4" w:space="0"/>
              <w:right w:val="single" w:color="auto" w:sz="4" w:space="0"/>
            </w:tcBorders>
            <w:tcW w:w="1326" w:type="pct"/>
            <w:vAlign w:val="center"/>
            <w:textDirection w:val="lrTb"/>
            <w:noWrap w:val="false"/>
          </w:tcPr>
          <w:p>
            <w:pPr>
              <w:jc w:val="center"/>
              <w:rPr>
                <w:rFonts w:eastAsiaTheme="minorEastAsia"/>
                <w:color w:val="000000"/>
                <w:szCs w:val="21"/>
                <w:lang w:bidi="ar"/>
              </w:rPr>
            </w:pPr>
            <w:r>
              <w:rPr>
                <w:rFonts w:eastAsiaTheme="minorEastAsia"/>
              </w:rPr>
              <w:t xml:space="preserve">辅助设备与设施</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bottom w:val="single" w:color="auto" w:sz="4" w:space="0"/>
              <w:right w:val="single" w:color="auto" w:sz="4" w:space="0"/>
            </w:tcBorders>
            <w:tcW w:w="213" w:type="pct"/>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8</w:t>
            </w:r>
            <w:r/>
          </w:p>
        </w:tc>
        <w:tc>
          <w:tcPr>
            <w:tcBorders>
              <w:top w:val="single" w:color="auto" w:sz="4" w:space="0"/>
              <w:left w:val="single" w:color="auto" w:sz="4" w:space="0"/>
              <w:bottom w:val="single" w:color="auto" w:sz="4" w:space="0"/>
              <w:right w:val="single" w:color="auto" w:sz="4" w:space="0"/>
            </w:tcBorders>
            <w:tcW w:w="71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bl>
    <w:p>
      <w:pPr>
        <w:ind w:firstLine="210"/>
        <w:spacing w:line="360" w:lineRule="auto"/>
      </w:pPr>
      <w:r>
        <w:rPr>
          <w:szCs w:val="21"/>
        </w:rPr>
        <w:t xml:space="preserve">7、合同履行期限：详见采购需求</w:t>
      </w:r>
      <w:r/>
    </w:p>
    <w:p>
      <w:pPr>
        <w:ind w:firstLine="210"/>
        <w:spacing w:line="360" w:lineRule="auto"/>
        <w:rPr>
          <w:szCs w:val="21"/>
        </w:rPr>
      </w:pPr>
      <w:r>
        <w:rPr>
          <w:szCs w:val="21"/>
        </w:rPr>
        <w:t xml:space="preserve">8、</w:t>
      </w:r>
      <w:r>
        <w:rPr>
          <w:b/>
          <w:bCs/>
          <w:color w:val="ff0000"/>
          <w:szCs w:val="21"/>
        </w:rPr>
        <w:t xml:space="preserve">本次采购不接受进口产品投标</w:t>
      </w:r>
      <w:r>
        <w:rPr>
          <w:color w:val="000000"/>
          <w:szCs w:val="21"/>
        </w:rPr>
        <w:t xml:space="preserve">（注：本</w:t>
      </w:r>
      <w:r>
        <w:rPr>
          <w:szCs w:val="21"/>
        </w:rPr>
        <w:t xml:space="preserve">文件所称进口产品是指通过中国海关报关验放进入中国境内且产自关境外的产品）</w:t>
      </w:r>
      <w:r/>
    </w:p>
    <w:p>
      <w:pPr>
        <w:ind w:firstLine="210"/>
        <w:spacing w:line="360" w:lineRule="auto"/>
        <w:rPr>
          <w:color w:val="ff0000"/>
          <w:szCs w:val="21"/>
        </w:rPr>
      </w:pPr>
      <w:r>
        <w:rPr>
          <w:szCs w:val="21"/>
        </w:rPr>
        <w:t xml:space="preserve">9、本项目不接受联合体投标，中标后不允许分包、转包</w:t>
      </w:r>
      <w:r/>
    </w:p>
    <w:p>
      <w:pPr>
        <w:ind w:left="210"/>
        <w:spacing w:line="360" w:lineRule="auto"/>
        <w:rPr>
          <w:szCs w:val="21"/>
        </w:rPr>
      </w:pPr>
      <w:r>
        <w:rPr>
          <w:szCs w:val="21"/>
        </w:rPr>
        <w:t xml:space="preserve">10、集中考察：不组织</w:t>
      </w:r>
      <w:r/>
    </w:p>
    <w:p>
      <w:pPr>
        <w:ind w:left="210"/>
        <w:spacing w:line="360" w:lineRule="auto"/>
        <w:rPr>
          <w:szCs w:val="21"/>
        </w:rPr>
      </w:pPr>
      <w:r>
        <w:rPr>
          <w:szCs w:val="21"/>
        </w:rPr>
        <w:t xml:space="preserve">11、采购标的对应中小企业划分标准所属行业：工业</w:t>
      </w:r>
      <w:r/>
    </w:p>
    <w:p>
      <w:pPr>
        <w:ind w:left="210"/>
        <w:spacing w:line="360" w:lineRule="auto"/>
        <w:rPr>
          <w:szCs w:val="21"/>
        </w:rPr>
      </w:pPr>
      <w:r>
        <w:rPr>
          <w:szCs w:val="21"/>
        </w:rPr>
        <w:t xml:space="preserve">12、本项目非专门面向中小企业采购。</w:t>
      </w:r>
      <w:r/>
    </w:p>
    <w:p>
      <w:pPr>
        <w:pStyle w:val="1319"/>
        <w:rPr>
          <w:bCs/>
        </w:rPr>
      </w:pPr>
      <w:r/>
      <w:bookmarkStart w:id="28" w:name="_Toc231822727"/>
      <w:r>
        <w:t xml:space="preserve">二、申请人的资格要求：</w:t>
      </w:r>
      <w:bookmarkEnd w:id="20"/>
      <w:r/>
      <w:bookmarkEnd w:id="21"/>
      <w:r/>
      <w:bookmarkEnd w:id="22"/>
      <w:r/>
      <w:bookmarkEnd w:id="23"/>
      <w:r/>
      <w:bookmarkEnd w:id="24"/>
      <w:r/>
      <w:bookmarkEnd w:id="25"/>
      <w:r/>
      <w:bookmarkEnd w:id="28"/>
      <w:r/>
      <w:r/>
    </w:p>
    <w:p>
      <w:pPr>
        <w:ind w:left="218"/>
        <w:spacing w:line="360" w:lineRule="auto"/>
        <w:rPr>
          <w:b/>
          <w:bCs/>
          <w:szCs w:val="21"/>
        </w:rPr>
      </w:pPr>
      <w:r>
        <w:rPr>
          <w:b/>
          <w:bCs/>
          <w:szCs w:val="21"/>
        </w:rPr>
        <w:t xml:space="preserve">1、满足《中华人民共和国政府采购法》第二十二条规定：</w:t>
      </w:r>
      <w:r/>
    </w:p>
    <w:p>
      <w:pPr>
        <w:ind w:left="216"/>
        <w:spacing w:line="360" w:lineRule="auto"/>
        <w:shd w:val="clear" w:color="auto" w:fill="ffffff"/>
        <w:widowControl/>
        <w:rPr>
          <w:szCs w:val="21"/>
        </w:rPr>
      </w:pPr>
      <w:r>
        <w:rPr>
          <w:szCs w:val="21"/>
        </w:rPr>
        <w:t xml:space="preserve">1)</w:t>
      </w:r>
      <w:r>
        <w:rPr>
          <w:szCs w:val="21"/>
        </w:rPr>
        <w:t xml:space="preserve">具有独立承担民事责任的能力，提供法人或其他组织的营业执照等证明文件，复印件加盖公章；</w:t>
      </w:r>
      <w:r/>
    </w:p>
    <w:p>
      <w:pPr>
        <w:ind w:left="216"/>
        <w:spacing w:line="360" w:lineRule="auto"/>
        <w:shd w:val="clear" w:color="auto" w:fill="ffffff"/>
        <w:widowControl/>
        <w:rPr>
          <w:szCs w:val="21"/>
        </w:rPr>
      </w:pPr>
      <w:r>
        <w:rPr>
          <w:szCs w:val="21"/>
        </w:rPr>
        <w:t xml:space="preserve">2)法人代表授权书（原件）及法定代表人、授权代表身份证复印件（如果是法定代表人直接参与投标的可以不提供授权书，但须提供法定代表人身份证复印件）；</w:t>
      </w:r>
      <w:r/>
    </w:p>
    <w:p>
      <w:pPr>
        <w:ind w:left="216"/>
        <w:spacing w:line="360" w:lineRule="auto"/>
        <w:shd w:val="clear" w:color="auto" w:fill="ffffff"/>
        <w:widowControl/>
        <w:rPr>
          <w:szCs w:val="21"/>
        </w:rPr>
      </w:pPr>
      <w:r>
        <w:rPr>
          <w:szCs w:val="21"/>
        </w:rPr>
        <w:t xml:space="preserve">3)具有良好的商业信誉和健全的财务会计制度，提供距开标时间十二个月内任意一月份的财务状况报告（至少包括资产负债表和利润表）（法人或者其他组织成立未满三个月的可以不提供）或其银行出具的</w:t>
      </w:r>
      <w:r>
        <w:rPr>
          <w:szCs w:val="21"/>
        </w:rPr>
        <w:t xml:space="preserve">资信证书（复印件）（开标前十二个月内），或其上一年度经审计的财务报告复印件，加盖公章；</w:t>
      </w:r>
      <w:r/>
    </w:p>
    <w:p>
      <w:pPr>
        <w:ind w:left="216"/>
        <w:spacing w:line="360" w:lineRule="auto"/>
        <w:shd w:val="clear" w:color="auto" w:fill="ffffff"/>
        <w:widowControl/>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left="216"/>
        <w:spacing w:line="360" w:lineRule="auto"/>
        <w:shd w:val="clear" w:color="auto" w:fill="ffffff"/>
        <w:rPr>
          <w:szCs w:val="21"/>
        </w:rPr>
      </w:pPr>
      <w:r>
        <w:rPr>
          <w:szCs w:val="21"/>
        </w:rPr>
        <w:t xml:space="preserve">5)参加政府采购活动近三年内（成立时间不足三年的、自成立时间起），在经营活动中没有重大违法记录（提供加盖公章的承诺书，格式自拟，重大违法记录是指供应商因违法经营受到刑事处罚或责令停产停业、吊销许可证或者执照、较大数额等行政处罚）；</w:t>
      </w:r>
      <w:r/>
    </w:p>
    <w:p>
      <w:pPr>
        <w:ind w:left="216"/>
        <w:spacing w:line="360" w:lineRule="auto"/>
        <w:shd w:val="clear" w:color="auto" w:fill="ffffff"/>
        <w:widowControl/>
        <w:rPr>
          <w:szCs w:val="21"/>
        </w:rPr>
      </w:pPr>
      <w:r>
        <w:rPr>
          <w:szCs w:val="21"/>
        </w:rPr>
        <w:t xml:space="preserve">6)有依法缴纳税收的良好记录，提供所属时期为距开标时间六</w:t>
      </w:r>
      <w:r>
        <w:rPr>
          <w:szCs w:val="21"/>
        </w:rPr>
        <w:t xml:space="preserve">个月内任意一月份的税收完税证明等相关证明材料复印件加盖公章（提供材料须体现所属时期，依法免税的应提供相应文件说明）；</w:t>
      </w:r>
      <w:r/>
    </w:p>
    <w:p>
      <w:pPr>
        <w:ind w:left="216"/>
        <w:spacing w:line="360" w:lineRule="auto"/>
        <w:shd w:val="clear" w:color="auto" w:fill="ffffff"/>
        <w:widowControl/>
        <w:rPr>
          <w:szCs w:val="21"/>
        </w:rPr>
      </w:pPr>
      <w:r>
        <w:rPr>
          <w:szCs w:val="21"/>
        </w:rPr>
        <w:t xml:space="preserve">7)有依法缴纳社会保障资金的良好记录，提供所属时期为距开标时间六个月内任意一月份的依法缴纳社会保障资金的凭据复印件加盖公章（提供材料须体现所属时期）；</w:t>
      </w:r>
      <w:r/>
    </w:p>
    <w:p>
      <w:pPr>
        <w:ind w:firstLine="211"/>
        <w:spacing w:line="360" w:lineRule="auto"/>
        <w:rPr>
          <w:szCs w:val="21"/>
        </w:rPr>
      </w:pPr>
      <w:r>
        <w:rPr>
          <w:b/>
          <w:bCs/>
          <w:szCs w:val="21"/>
        </w:rPr>
        <w:t xml:space="preserve">2、落实政府采购政策需满足的资格要求：</w:t>
      </w:r>
      <w:r>
        <w:rPr>
          <w:szCs w:val="21"/>
        </w:rPr>
        <w:t xml:space="preserve">无；</w:t>
      </w:r>
      <w:r/>
    </w:p>
    <w:p>
      <w:pPr>
        <w:ind w:left="218"/>
        <w:spacing w:line="360" w:lineRule="auto"/>
        <w:rPr>
          <w:b/>
          <w:bCs/>
          <w:szCs w:val="21"/>
        </w:rPr>
      </w:pPr>
      <w:r>
        <w:rPr>
          <w:b/>
          <w:bCs/>
          <w:szCs w:val="21"/>
        </w:rPr>
        <w:t xml:space="preserve">3、本项目的特定资格要求：无；</w:t>
      </w:r>
      <w:r/>
    </w:p>
    <w:p>
      <w:pPr>
        <w:ind w:left="218"/>
        <w:spacing w:line="360" w:lineRule="auto"/>
        <w:rPr>
          <w:b/>
          <w:bCs/>
          <w:szCs w:val="21"/>
        </w:rPr>
      </w:pPr>
      <w:r>
        <w:rPr>
          <w:b/>
          <w:bCs/>
          <w:szCs w:val="21"/>
        </w:rPr>
        <w:t xml:space="preserve">4、供应商存在下列情形的不得参加本次招标活动：</w:t>
      </w:r>
      <w:r/>
    </w:p>
    <w:p>
      <w:pPr>
        <w:ind w:left="218"/>
        <w:spacing w:line="360" w:lineRule="auto"/>
        <w:shd w:val="clear" w:color="auto" w:fill="ffffff"/>
        <w:widowControl/>
        <w:rPr>
          <w:color w:val="0000ff"/>
          <w:szCs w:val="21"/>
        </w:rPr>
      </w:pPr>
      <w:r>
        <w:rPr>
          <w:color w:val="000000"/>
          <w:szCs w:val="21"/>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3）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p>
    <w:p>
      <w:pPr>
        <w:pStyle w:val="1319"/>
        <w:rPr>
          <w:bCs/>
        </w:rPr>
      </w:pPr>
      <w:r/>
      <w:bookmarkStart w:id="29" w:name="_Toc13065"/>
      <w:r/>
      <w:bookmarkStart w:id="30" w:name="_Toc231822728"/>
      <w:r/>
      <w:bookmarkStart w:id="31" w:name="_Toc6688"/>
      <w:r>
        <w:t xml:space="preserve">三、获取招标文件</w:t>
      </w:r>
      <w:bookmarkEnd w:id="29"/>
      <w:r/>
      <w:bookmarkEnd w:id="30"/>
      <w:r/>
      <w:bookmarkEnd w:id="31"/>
      <w:r/>
      <w:r/>
    </w:p>
    <w:p>
      <w:pPr>
        <w:ind w:left="220" w:hanging="10"/>
        <w:spacing w:line="360" w:lineRule="auto"/>
        <w:rPr>
          <w:szCs w:val="21"/>
        </w:rPr>
      </w:pPr>
      <w:r>
        <w:rPr>
          <w:szCs w:val="21"/>
        </w:rPr>
        <w:t xml:space="preserve">1、时间：自招标公告发布之日起5个工作日，2026年08月05日起至2026年08月12日止，每天9：00—11：30，14：00—17：00（北京时间，节假日除外）；</w:t>
      </w:r>
      <w:r>
        <w:rPr>
          <w:b/>
          <w:bCs/>
          <w:szCs w:val="21"/>
        </w:rPr>
        <w:t xml:space="preserve">未在规定时间内报名的潜在投标人将失去投标资格。</w:t>
      </w:r>
      <w:r/>
    </w:p>
    <w:p>
      <w:pPr>
        <w:ind w:left="220" w:hanging="10"/>
        <w:spacing w:line="360" w:lineRule="auto"/>
        <w:rPr>
          <w:szCs w:val="21"/>
        </w:rPr>
      </w:pPr>
      <w:r>
        <w:rPr>
          <w:szCs w:val="21"/>
        </w:rPr>
        <w:t xml:space="preserve">2、地点：“苏采云”系统注册登记成功后免费下载</w:t>
      </w:r>
      <w:r/>
    </w:p>
    <w:p>
      <w:pPr>
        <w:ind w:left="220" w:hanging="10"/>
        <w:spacing w:line="360" w:lineRule="auto"/>
        <w:rPr>
          <w:szCs w:val="21"/>
        </w:rPr>
      </w:pPr>
      <w:r>
        <w:rPr>
          <w:szCs w:val="21"/>
        </w:rPr>
        <w:t xml:space="preserve">3、获取方式：本项目采用网上注册登记方式</w:t>
      </w:r>
      <w:r/>
    </w:p>
    <w:p>
      <w:pPr>
        <w:ind w:left="220" w:hanging="10"/>
        <w:spacing w:line="360" w:lineRule="auto"/>
        <w:rPr>
          <w:szCs w:val="21"/>
        </w:rPr>
      </w:pPr>
      <w:r/>
      <w:bookmarkStart w:id="244" w:name="_GoBack"/>
      <w:r/>
      <w:bookmarkEnd w:id="244"/>
      <w:r>
        <w:rPr>
          <w:szCs w:val="21"/>
        </w:rPr>
        <w:t xml:space="preserve">3.1潜在供应商访问电子招标响应交易平台的网络地址和方法：</w:t>
      </w:r>
      <w:r/>
    </w:p>
    <w:p>
      <w:pPr>
        <w:ind w:left="220" w:hanging="10"/>
        <w:spacing w:line="360" w:lineRule="auto"/>
        <w:rPr>
          <w:szCs w:val="21"/>
        </w:rPr>
      </w:pPr>
      <w:r>
        <w:rPr>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220" w:hanging="10"/>
        <w:spacing w:line="360" w:lineRule="auto"/>
        <w:rPr>
          <w:szCs w:val="21"/>
        </w:rPr>
      </w:pPr>
      <w:r>
        <w:rPr>
          <w:szCs w:val="21"/>
        </w:rPr>
        <w:t xml:space="preserve">3.2潜在供应商访问“苏采云”系统的网络地址和方法：“苏采云”系统的网址：http</w:t>
      </w:r>
      <w:r>
        <w:rPr>
          <w:rFonts w:hint="eastAsia"/>
          <w:szCs w:val="21"/>
        </w:rPr>
        <w:t xml:space="preserve">:</w:t>
      </w:r>
      <w:r>
        <w:rPr>
          <w:szCs w:val="21"/>
        </w:rPr>
        <w:t xml:space="preserve">//jszfcg.jsczt.cn/。</w:t>
      </w:r>
      <w:r/>
    </w:p>
    <w:p>
      <w:pPr>
        <w:ind w:left="220" w:hanging="10"/>
        <w:spacing w:line="360" w:lineRule="auto"/>
        <w:rPr>
          <w:szCs w:val="21"/>
        </w:rPr>
      </w:pPr>
      <w:r>
        <w:rPr>
          <w:szCs w:val="21"/>
        </w:rPr>
        <w:t xml:space="preserve">3.3“CA数字证书”的获取：</w:t>
      </w:r>
      <w:r/>
    </w:p>
    <w:p>
      <w:pPr>
        <w:ind w:left="220" w:hanging="10"/>
        <w:spacing w:line="360" w:lineRule="auto"/>
        <w:rPr>
          <w:szCs w:val="21"/>
        </w:rPr>
      </w:pPr>
      <w:r>
        <w:rPr>
          <w:szCs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220" w:hanging="10"/>
        <w:spacing w:line="360" w:lineRule="auto"/>
        <w:rPr>
          <w:szCs w:val="21"/>
        </w:rPr>
      </w:pPr>
      <w:r>
        <w:rPr>
          <w:szCs w:val="21"/>
        </w:rPr>
        <w:t xml:space="preserve">3.4采购文件（后缀名为“.kedt”）、供应商操作手册及政府采购客户端工具可通过“苏采云”系统--已报名项目--报名详情页面内相应链接进行下载。</w:t>
      </w:r>
      <w:r/>
    </w:p>
    <w:p>
      <w:pPr>
        <w:ind w:left="220" w:hanging="10"/>
        <w:spacing w:line="360" w:lineRule="auto"/>
        <w:rPr>
          <w:szCs w:val="21"/>
        </w:rPr>
      </w:pPr>
      <w:r>
        <w:rPr>
          <w:szCs w:val="21"/>
        </w:rPr>
        <w:t xml:space="preserve">3.5招标代理机构（采购代理机构）将数据电文形式的采购文件加载至“苏采云”系统，供潜在供应商下载或者查阅。</w:t>
      </w:r>
      <w:r/>
    </w:p>
    <w:p>
      <w:pPr>
        <w:ind w:left="220" w:hanging="10"/>
        <w:spacing w:line="360" w:lineRule="auto"/>
        <w:rPr>
          <w:szCs w:val="21"/>
        </w:rPr>
      </w:pPr>
      <w:r>
        <w:rPr>
          <w:szCs w:val="21"/>
        </w:rPr>
        <w:t xml:space="preserve">3.6请潜在投标单位提前安装相应的控件（详见《江苏省政府采购管理交易系统（苏采云）供应商操作手册》）并使用谷歌浏览器登录“苏采云”系统参与不见面开评标。</w:t>
      </w:r>
      <w:r/>
    </w:p>
    <w:p>
      <w:pPr>
        <w:pStyle w:val="1319"/>
        <w:rPr>
          <w:bCs/>
        </w:rPr>
      </w:pPr>
      <w:r/>
      <w:bookmarkStart w:id="32" w:name="_Toc29481"/>
      <w:r/>
      <w:bookmarkStart w:id="33" w:name="_Toc698"/>
      <w:r/>
      <w:bookmarkStart w:id="34" w:name="_Toc231822729"/>
      <w:r>
        <w:t xml:space="preserve">四、提交投标文件截止时间、开标时间和地点</w:t>
      </w:r>
      <w:bookmarkEnd w:id="32"/>
      <w:r/>
      <w:bookmarkEnd w:id="33"/>
      <w:r/>
      <w:bookmarkEnd w:id="34"/>
      <w:r/>
      <w:r/>
    </w:p>
    <w:p>
      <w:pPr>
        <w:pStyle w:val="1433"/>
        <w:rPr>
          <w:sz w:val="21"/>
        </w:rPr>
      </w:pPr>
      <w:r/>
      <w:bookmarkStart w:id="35" w:name="_Toc28359084"/>
      <w:r/>
      <w:bookmarkStart w:id="36" w:name="_Toc35393794"/>
      <w:r/>
      <w:bookmarkStart w:id="37" w:name="_Toc35393625"/>
      <w:r/>
      <w:bookmarkStart w:id="38" w:name="_Toc28359007"/>
      <w:r>
        <w:rPr>
          <w:sz w:val="21"/>
        </w:rPr>
        <w:t xml:space="preserve">1.投标截止时间：2026年08月26日09：30（北京时间）</w:t>
      </w:r>
      <w:r/>
    </w:p>
    <w:p>
      <w:pPr>
        <w:pStyle w:val="1433"/>
        <w:rPr>
          <w:sz w:val="21"/>
        </w:rPr>
      </w:pPr>
      <w:r>
        <w:rPr>
          <w:sz w:val="21"/>
        </w:rPr>
        <w:t xml:space="preserve">2.开标时间：2026年08月26日09：30（北京时间） </w:t>
      </w:r>
      <w:r/>
    </w:p>
    <w:p>
      <w:pPr>
        <w:pStyle w:val="1433"/>
        <w:rPr>
          <w:sz w:val="21"/>
        </w:rPr>
      </w:pPr>
      <w:r>
        <w:rPr>
          <w:sz w:val="21"/>
        </w:rPr>
        <w:t xml:space="preserve">3.开标地点：“苏采云”系统（网址： http</w:t>
      </w:r>
      <w:r>
        <w:rPr>
          <w:rFonts w:hint="eastAsia"/>
          <w:sz w:val="21"/>
        </w:rPr>
        <w:t xml:space="preserve">:</w:t>
      </w:r>
      <w:r>
        <w:rPr>
          <w:sz w:val="21"/>
        </w:rPr>
        <w:t xml:space="preserve">//jszfcg.jsczt.cn/）“开标大厅”，点击“苏采云”进入系统“开标大厅”。</w:t>
      </w:r>
      <w:r/>
    </w:p>
    <w:p>
      <w:pPr>
        <w:ind w:firstLine="420"/>
        <w:spacing w:line="360" w:lineRule="auto"/>
        <w:rPr>
          <w:szCs w:val="21"/>
        </w:rPr>
      </w:pPr>
      <w:r>
        <w:rPr>
          <w:szCs w:val="21"/>
        </w:rPr>
        <w:t xml:space="preserve">注：各供应商请关注开标大厅交流区，在开标结束后，请勿离开开标大厅。</w:t>
      </w:r>
      <w:r/>
    </w:p>
    <w:p>
      <w:pPr>
        <w:ind w:firstLine="420"/>
        <w:spacing w:line="360" w:lineRule="auto"/>
        <w:rPr>
          <w:bCs/>
          <w:szCs w:val="21"/>
          <w:u w:val="single"/>
        </w:rPr>
      </w:pPr>
      <w:r>
        <w:rPr>
          <w:szCs w:val="21"/>
        </w:rPr>
        <w:t xml:space="preserve">4.投标文件的解密：开标当天各供应商及时登录不见面开标大厅。响应文件递交截止时间后，采购人将在系统内公布投标</w:t>
      </w:r>
      <w:r>
        <w:rPr>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1319"/>
        <w:rPr>
          <w:bCs/>
        </w:rPr>
      </w:pPr>
      <w:r/>
      <w:bookmarkStart w:id="39" w:name="_Toc27623"/>
      <w:r/>
      <w:bookmarkStart w:id="40" w:name="_Toc32448"/>
      <w:r/>
      <w:bookmarkStart w:id="41" w:name="_Toc231822730"/>
      <w:r>
        <w:t xml:space="preserve">五、公告期限</w:t>
      </w:r>
      <w:bookmarkEnd w:id="35"/>
      <w:r/>
      <w:bookmarkEnd w:id="36"/>
      <w:r/>
      <w:bookmarkEnd w:id="37"/>
      <w:r/>
      <w:bookmarkEnd w:id="38"/>
      <w:r/>
      <w:bookmarkEnd w:id="39"/>
      <w:r/>
      <w:bookmarkEnd w:id="40"/>
      <w:r/>
      <w:bookmarkEnd w:id="41"/>
      <w:r/>
      <w:r/>
    </w:p>
    <w:p>
      <w:pPr>
        <w:ind w:left="210" w:firstLine="10"/>
        <w:spacing w:line="360" w:lineRule="auto"/>
        <w:rPr>
          <w:szCs w:val="21"/>
        </w:rPr>
      </w:pPr>
      <w:r>
        <w:rPr>
          <w:szCs w:val="21"/>
        </w:rPr>
        <w:t xml:space="preserve">自本公告发布之日起5个工作日。</w:t>
      </w:r>
      <w:r/>
    </w:p>
    <w:p>
      <w:pPr>
        <w:pStyle w:val="1319"/>
        <w:rPr>
          <w:bCs/>
        </w:rPr>
      </w:pPr>
      <w:r/>
      <w:bookmarkStart w:id="42" w:name="_Toc231822731"/>
      <w:r/>
      <w:bookmarkStart w:id="43" w:name="_Toc35393795"/>
      <w:r/>
      <w:bookmarkStart w:id="44" w:name="_Toc27208"/>
      <w:r/>
      <w:bookmarkStart w:id="45" w:name="_Toc35393626"/>
      <w:r/>
      <w:bookmarkStart w:id="46" w:name="_Toc4129"/>
      <w:r>
        <w:t xml:space="preserve">六、其他补充事宜</w:t>
      </w:r>
      <w:bookmarkEnd w:id="42"/>
      <w:r/>
      <w:bookmarkEnd w:id="43"/>
      <w:r/>
      <w:bookmarkEnd w:id="44"/>
      <w:r/>
      <w:bookmarkEnd w:id="45"/>
      <w:r/>
      <w:bookmarkEnd w:id="46"/>
      <w:r/>
      <w:bookmarkEnd w:id="2"/>
      <w:r/>
      <w:r/>
    </w:p>
    <w:p>
      <w:pPr>
        <w:pStyle w:val="1431"/>
        <w:spacing w:line="360" w:lineRule="auto"/>
        <w:rPr>
          <w:szCs w:val="21"/>
        </w:rPr>
      </w:pPr>
      <w:r>
        <w:rPr>
          <w:szCs w:val="21"/>
        </w:rPr>
        <w:t xml:space="preserve">1.本项目公告媒体：江苏政府采购网（http</w:t>
      </w:r>
      <w:r>
        <w:rPr>
          <w:rFonts w:hint="eastAsia"/>
          <w:szCs w:val="21"/>
        </w:rPr>
        <w:t xml:space="preserve">:</w:t>
      </w:r>
      <w:r>
        <w:rPr>
          <w:szCs w:val="21"/>
        </w:rPr>
        <w:t xml:space="preserve">//www.ccgp-jiangsu.gov.cn/）</w:t>
      </w:r>
      <w:r/>
    </w:p>
    <w:p>
      <w:pPr>
        <w:pStyle w:val="1431"/>
        <w:spacing w:line="360" w:lineRule="auto"/>
        <w:rPr>
          <w:szCs w:val="21"/>
        </w:rPr>
      </w:pPr>
      <w:r>
        <w:rPr>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431"/>
        <w:spacing w:line="360" w:lineRule="auto"/>
        <w:rPr>
          <w:szCs w:val="21"/>
        </w:rPr>
      </w:pPr>
      <w:r>
        <w:rPr>
          <w:szCs w:val="21"/>
        </w:rPr>
        <w:t xml:space="preserve">http</w:t>
      </w:r>
      <w:r>
        <w:rPr>
          <w:rFonts w:hint="eastAsia"/>
          <w:szCs w:val="21"/>
        </w:rPr>
        <w:t xml:space="preserve">:</w:t>
      </w:r>
      <w:r>
        <w:rPr>
          <w:szCs w:val="21"/>
        </w:rPr>
        <w:t xml:space="preserve">//www.ccgp-jiangsu.gov.cn/jiangsu/zlxz/ee/ee3a4bc5a3454aa2b0d9312230633ce9.html。</w:t>
      </w:r>
      <w:r/>
    </w:p>
    <w:p>
      <w:pPr>
        <w:pStyle w:val="1431"/>
        <w:spacing w:line="360" w:lineRule="auto"/>
        <w:rPr>
          <w:szCs w:val="21"/>
        </w:rPr>
      </w:pPr>
      <w:r>
        <w:rPr>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szCs w:val="21"/>
        </w:rPr>
      </w:pPr>
      <w:r>
        <w:rPr>
          <w:szCs w:val="21"/>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pStyle w:val="1412"/>
        <w:ind w:left="216" w:firstLine="0"/>
        <w:spacing w:line="360" w:lineRule="auto"/>
        <w:rPr>
          <w:rFonts w:ascii="Times New Roman" w:hAnsi="Times New Roman"/>
          <w:szCs w:val="21"/>
        </w:rPr>
      </w:pPr>
      <w:r>
        <w:rPr>
          <w:rFonts w:ascii="Times New Roman" w:hAnsi="Times New Roman"/>
          <w:szCs w:val="21"/>
        </w:rPr>
        <w:t xml:space="preserve">4.有关本次招标的事项若存在变动或修改，敬请及时关注在“江苏政府采购网”发布的更正公告。</w:t>
      </w:r>
      <w:r/>
    </w:p>
    <w:p>
      <w:pPr>
        <w:pStyle w:val="1319"/>
        <w:rPr>
          <w:bCs/>
        </w:rPr>
      </w:pPr>
      <w:r/>
      <w:bookmarkStart w:id="47" w:name="_Toc231822732"/>
      <w:r>
        <w:t xml:space="preserve">七、对本次招标提出询问，请按以下方式联系。</w:t>
      </w:r>
      <w:bookmarkEnd w:id="47"/>
      <w:r/>
      <w:r/>
    </w:p>
    <w:p>
      <w:pPr>
        <w:pStyle w:val="1357"/>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1、采购人信息</w:t>
      </w:r>
      <w:r/>
    </w:p>
    <w:p>
      <w:pPr>
        <w:pStyle w:val="1357"/>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称：江苏省特种设备安全监督检验研究院</w:t>
      </w:r>
      <w:r/>
    </w:p>
    <w:p>
      <w:pPr>
        <w:pStyle w:val="1357"/>
        <w:ind w:left="214" w:hanging="6"/>
        <w:spacing w:before="0" w:beforeAutospacing="0" w:after="0" w:afterAutospacing="0" w:line="360" w:lineRule="auto"/>
        <w:rPr>
          <w:rFonts w:ascii="Times New Roman" w:hAnsi="Times New Roman" w:eastAsia="宋体"/>
          <w:color w:val="auto"/>
          <w:sz w:val="21"/>
          <w:szCs w:val="21"/>
        </w:rPr>
      </w:pPr>
      <w:r/>
      <w:bookmarkStart w:id="48" w:name="_Toc28359086"/>
      <w:r/>
      <w:bookmarkStart w:id="49" w:name="_Toc28359009"/>
      <w:r>
        <w:rPr>
          <w:rFonts w:ascii="Times New Roman" w:hAnsi="Times New Roman" w:eastAsia="宋体"/>
          <w:color w:val="auto"/>
          <w:sz w:val="21"/>
          <w:szCs w:val="21"/>
        </w:rPr>
        <w:t xml:space="preserve">地址：江苏省南京市鼓楼区草场门大街107号龙江大厦</w:t>
      </w:r>
      <w:r/>
    </w:p>
    <w:p>
      <w:pPr>
        <w:pStyle w:val="1357"/>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联系人：李工</w:t>
      </w:r>
      <w:r/>
    </w:p>
    <w:p>
      <w:pPr>
        <w:pStyle w:val="1357"/>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电  话：025-89621099</w:t>
      </w:r>
      <w:r/>
    </w:p>
    <w:p>
      <w:pPr>
        <w:pStyle w:val="1357"/>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2、采购代理机构信息</w:t>
      </w:r>
      <w:bookmarkEnd w:id="48"/>
      <w:r/>
      <w:bookmarkEnd w:id="49"/>
      <w:r/>
      <w:r/>
    </w:p>
    <w:p>
      <w:pPr>
        <w:pStyle w:val="1357"/>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称：江苏美达机电贸易有限公司</w:t>
      </w:r>
      <w:r/>
    </w:p>
    <w:p>
      <w:pPr>
        <w:pStyle w:val="1357"/>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地　址：南京市长江路198号苏美达大厦6楼西</w:t>
      </w:r>
      <w:r/>
    </w:p>
    <w:p>
      <w:pPr>
        <w:ind w:left="218"/>
        <w:spacing w:line="360" w:lineRule="auto"/>
        <w:rPr>
          <w:szCs w:val="21"/>
        </w:rPr>
      </w:pPr>
      <w:r>
        <w:rPr>
          <w:szCs w:val="21"/>
        </w:rPr>
        <w:t xml:space="preserve">联系人：杨惠</w:t>
      </w:r>
      <w:r/>
    </w:p>
    <w:p>
      <w:pPr>
        <w:ind w:left="218"/>
        <w:spacing w:line="360" w:lineRule="auto"/>
        <w:rPr>
          <w:szCs w:val="21"/>
        </w:rPr>
      </w:pPr>
      <w:r>
        <w:rPr>
          <w:szCs w:val="21"/>
        </w:rPr>
        <w:t xml:space="preserve">电　话：025-84531273</w:t>
      </w:r>
      <w:r/>
    </w:p>
    <w:p>
      <w:pPr>
        <w:ind w:left="218"/>
        <w:spacing w:line="360" w:lineRule="auto"/>
        <w:rPr>
          <w:szCs w:val="21"/>
        </w:rPr>
      </w:pPr>
      <w:r>
        <w:rPr>
          <w:szCs w:val="21"/>
        </w:rPr>
        <w:t xml:space="preserve">3、项目联系方式</w:t>
      </w:r>
      <w:r/>
    </w:p>
    <w:p>
      <w:pPr>
        <w:ind w:left="218"/>
        <w:spacing w:line="360" w:lineRule="auto"/>
        <w:rPr>
          <w:szCs w:val="21"/>
        </w:rPr>
      </w:pPr>
      <w:r>
        <w:rPr>
          <w:szCs w:val="21"/>
        </w:rPr>
        <w:t xml:space="preserve">联系人：杨惠</w:t>
      </w:r>
      <w:r/>
    </w:p>
    <w:p>
      <w:pPr>
        <w:ind w:left="218"/>
        <w:spacing w:line="360" w:lineRule="auto"/>
        <w:rPr>
          <w:szCs w:val="21"/>
        </w:rPr>
      </w:pPr>
      <w:r>
        <w:rPr>
          <w:szCs w:val="21"/>
        </w:rPr>
        <w:t xml:space="preserve">电　话：025-84531273</w:t>
      </w:r>
      <w:r/>
    </w:p>
    <w:p>
      <w:pPr>
        <w:jc w:val="center"/>
        <w:spacing w:line="360" w:lineRule="auto"/>
        <w:rPr>
          <w:b/>
          <w:color w:val="000000"/>
          <w:szCs w:val="21"/>
        </w:rPr>
        <w:outlineLvl w:val="0"/>
      </w:pPr>
      <w:r>
        <w:rPr>
          <w:color w:val="000000"/>
          <w:szCs w:val="21"/>
        </w:rPr>
        <w:br w:type="page" w:clear="all"/>
      </w:r>
      <w:bookmarkStart w:id="50" w:name="_Toc231822733"/>
      <w:r/>
      <w:bookmarkStart w:id="51" w:name="_Toc5585"/>
      <w:r/>
      <w:bookmarkStart w:id="52" w:name="_Toc28996"/>
      <w:r>
        <w:rPr>
          <w:b/>
          <w:color w:val="000000"/>
          <w:sz w:val="28"/>
          <w:szCs w:val="28"/>
        </w:rPr>
        <w:t xml:space="preserve">第二章 投标人须知</w:t>
      </w:r>
      <w:bookmarkEnd w:id="50"/>
      <w:r/>
      <w:bookmarkEnd w:id="51"/>
      <w:r/>
      <w:bookmarkEnd w:id="52"/>
      <w:r/>
      <w:r/>
    </w:p>
    <w:p>
      <w:pPr>
        <w:spacing w:line="360" w:lineRule="auto"/>
        <w:shd w:val="clear" w:color="auto" w:fill="ffffff"/>
        <w:widowControl/>
        <w:rPr>
          <w:b/>
          <w:bCs/>
          <w:color w:val="000000"/>
          <w:szCs w:val="21"/>
        </w:rPr>
      </w:pPr>
      <w:r>
        <w:rPr>
          <w:b/>
          <w:bCs/>
          <w:color w:val="000000"/>
          <w:szCs w:val="21"/>
        </w:rPr>
        <w:t xml:space="preserve">投标人须知前附表</w:t>
      </w:r>
      <w:r/>
    </w:p>
    <w:tbl>
      <w:tblPr>
        <w:tblStyle w:val="13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8526"/>
      </w:tblGrid>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序号</w:t>
            </w:r>
            <w:r/>
          </w:p>
        </w:tc>
        <w:tc>
          <w:tcPr>
            <w:tcW w:w="4533" w:type="pct"/>
            <w:vAlign w:val="center"/>
            <w:textDirection w:val="lrTb"/>
            <w:noWrap w:val="false"/>
          </w:tcPr>
          <w:p>
            <w:pPr>
              <w:jc w:val="center"/>
              <w:spacing w:line="360" w:lineRule="auto"/>
              <w:rPr>
                <w:b/>
                <w:color w:val="000000"/>
                <w:szCs w:val="21"/>
              </w:rPr>
            </w:pPr>
            <w:r>
              <w:rPr>
                <w:b/>
                <w:color w:val="000000"/>
                <w:szCs w:val="21"/>
              </w:rPr>
              <w:t xml:space="preserve">主要内容</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1</w:t>
            </w:r>
            <w:r/>
          </w:p>
        </w:tc>
        <w:tc>
          <w:tcPr>
            <w:tcW w:w="4533" w:type="pct"/>
            <w:vAlign w:val="center"/>
            <w:textDirection w:val="lrTb"/>
            <w:noWrap w:val="false"/>
          </w:tcPr>
          <w:p>
            <w:pPr>
              <w:pStyle w:val="1357"/>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采购人：江苏省特种设备安全监督检验研究院</w:t>
            </w:r>
            <w:r/>
          </w:p>
          <w:p>
            <w:pPr>
              <w:pStyle w:val="1357"/>
              <w:spacing w:before="0" w:beforeAutospacing="0" w:after="0" w:afterAutospacing="0" w:line="360" w:lineRule="auto"/>
              <w:rPr>
                <w:rFonts w:ascii="Times New Roman" w:hAnsi="Times New Roman" w:eastAsia="宋体"/>
                <w:sz w:val="21"/>
                <w:szCs w:val="21"/>
              </w:rPr>
            </w:pPr>
            <w:r/>
            <w:bookmarkStart w:id="53" w:name="OLE_LINK13"/>
            <w:r>
              <w:rPr>
                <w:rFonts w:ascii="Times New Roman" w:hAnsi="Times New Roman" w:eastAsia="宋体"/>
                <w:sz w:val="21"/>
                <w:szCs w:val="21"/>
              </w:rPr>
              <w:t xml:space="preserve">地　址</w:t>
            </w:r>
            <w:bookmarkEnd w:id="53"/>
            <w:r>
              <w:rPr>
                <w:rFonts w:ascii="Times New Roman" w:hAnsi="Times New Roman" w:eastAsia="宋体"/>
                <w:sz w:val="21"/>
                <w:szCs w:val="21"/>
              </w:rPr>
              <w:t xml:space="preserve">：江苏省南京市鼓楼区草场门大街107号龙江大厦</w:t>
            </w:r>
            <w:r/>
          </w:p>
          <w:p>
            <w:pPr>
              <w:pStyle w:val="1357"/>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联系人</w:t>
            </w:r>
            <w:r>
              <w:rPr>
                <w:rFonts w:ascii="Times New Roman" w:hAnsi="Times New Roman" w:eastAsia="宋体"/>
                <w:color w:val="auto"/>
                <w:sz w:val="21"/>
                <w:szCs w:val="21"/>
              </w:rPr>
              <w:t xml:space="preserve">：李工</w:t>
            </w:r>
            <w:r/>
          </w:p>
          <w:p>
            <w:pPr>
              <w:pStyle w:val="1357"/>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电　话：025-89621099</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2</w:t>
            </w:r>
            <w:r/>
          </w:p>
        </w:tc>
        <w:tc>
          <w:tcPr>
            <w:tcW w:w="4533" w:type="pct"/>
            <w:vAlign w:val="center"/>
            <w:textDirection w:val="lrTb"/>
            <w:noWrap w:val="false"/>
          </w:tcPr>
          <w:p>
            <w:pPr>
              <w:pStyle w:val="1357"/>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采购代理机构：江苏美达机电贸易有限公司</w:t>
            </w:r>
            <w:r/>
          </w:p>
          <w:p>
            <w:pPr>
              <w:pStyle w:val="1357"/>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sz w:val="21"/>
                <w:szCs w:val="21"/>
              </w:rPr>
              <w:t xml:space="preserve">地　址：</w:t>
            </w:r>
            <w:r>
              <w:rPr>
                <w:rFonts w:ascii="Times New Roman" w:hAnsi="Times New Roman" w:eastAsia="宋体"/>
                <w:color w:val="auto"/>
                <w:sz w:val="21"/>
                <w:szCs w:val="21"/>
              </w:rPr>
              <w:t xml:space="preserve">南京市长江路198号苏美达大厦6楼西</w:t>
            </w:r>
            <w:r/>
          </w:p>
          <w:p>
            <w:pPr>
              <w:pStyle w:val="1357"/>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联系人：杨惠</w:t>
            </w:r>
            <w:r/>
          </w:p>
          <w:p>
            <w:pPr>
              <w:pStyle w:val="1357"/>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电　话：025-84531273</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3</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项目名称：罐车检验检测能力提升设备 </w:t>
            </w:r>
            <w:r/>
          </w:p>
          <w:p>
            <w:pPr>
              <w:spacing w:line="360" w:lineRule="auto"/>
              <w:shd w:val="clear" w:color="auto" w:fill="ffffff"/>
              <w:widowControl/>
              <w:rPr>
                <w:b/>
                <w:color w:val="000000"/>
                <w:szCs w:val="21"/>
              </w:rPr>
            </w:pPr>
            <w:r>
              <w:rPr>
                <w:color w:val="000000"/>
                <w:szCs w:val="21"/>
              </w:rPr>
              <w:t xml:space="preserve">采购编号：4297-2641SUMEC301（公告编号：</w:t>
            </w:r>
            <w:r>
              <w:rPr>
                <w:rFonts w:hint="eastAsia"/>
                <w:color w:val="000000"/>
                <w:szCs w:val="21"/>
              </w:rPr>
              <w:t xml:space="preserve">JSZC-320000-JSSB-G2026-0001</w:t>
            </w:r>
            <w:r>
              <w:rPr>
                <w:color w:val="000000"/>
                <w:szCs w:val="21"/>
              </w:rPr>
              <w:t xml:space="preserve">）</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4</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采购方式：</w:t>
            </w:r>
            <w:r>
              <w:rPr>
                <w:b/>
                <w:bCs/>
                <w:color w:val="000000"/>
                <w:szCs w:val="21"/>
              </w:rPr>
              <w:t xml:space="preserve">公开招标</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5</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投标有效期</w:t>
            </w:r>
            <w:r>
              <w:rPr>
                <w:color w:val="000000"/>
                <w:szCs w:val="21"/>
              </w:rPr>
              <w:t xml:space="preserve">：开标之日起90天</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6</w:t>
            </w:r>
            <w:r/>
          </w:p>
        </w:tc>
        <w:tc>
          <w:tcPr>
            <w:tcW w:w="4533" w:type="pct"/>
            <w:vAlign w:val="center"/>
            <w:textDirection w:val="lrTb"/>
            <w:noWrap w:val="false"/>
          </w:tcPr>
          <w:p>
            <w:pPr>
              <w:spacing w:line="360" w:lineRule="auto"/>
              <w:shd w:val="clear" w:color="auto" w:fill="ffffff"/>
              <w:widowControl/>
              <w:rPr>
                <w:b/>
                <w:bCs/>
                <w:color w:val="000000"/>
                <w:szCs w:val="21"/>
              </w:rPr>
            </w:pPr>
            <w:r>
              <w:rPr>
                <w:b/>
                <w:bCs/>
                <w:color w:val="000000"/>
                <w:szCs w:val="21"/>
              </w:rPr>
              <w:t xml:space="preserve">投标保证金：本次不收取投标保证金</w:t>
            </w:r>
            <w:r/>
          </w:p>
        </w:tc>
      </w:tr>
      <w:tr>
        <w:trPr>
          <w:trHeight w:val="559"/>
        </w:trPr>
        <w:tc>
          <w:tcPr>
            <w:tcW w:w="466" w:type="pct"/>
            <w:vAlign w:val="center"/>
            <w:textDirection w:val="lrTb"/>
            <w:noWrap w:val="false"/>
          </w:tcPr>
          <w:p>
            <w:pPr>
              <w:jc w:val="center"/>
              <w:spacing w:line="360" w:lineRule="auto"/>
              <w:rPr>
                <w:b/>
                <w:color w:val="000000"/>
                <w:szCs w:val="21"/>
              </w:rPr>
            </w:pPr>
            <w:r>
              <w:rPr>
                <w:b/>
                <w:color w:val="000000"/>
                <w:szCs w:val="21"/>
              </w:rPr>
              <w:t xml:space="preserve">7</w:t>
            </w:r>
            <w:r/>
          </w:p>
        </w:tc>
        <w:tc>
          <w:tcPr>
            <w:tcW w:w="4533" w:type="pct"/>
            <w:vAlign w:val="center"/>
            <w:textDirection w:val="lrTb"/>
            <w:noWrap w:val="false"/>
          </w:tcPr>
          <w:p>
            <w:pPr>
              <w:pStyle w:val="1357"/>
              <w:spacing w:before="0" w:beforeAutospacing="0" w:after="0" w:afterAutospacing="0" w:line="360" w:lineRule="auto"/>
              <w:rPr>
                <w:rFonts w:ascii="Times New Roman" w:hAnsi="Times New Roman"/>
                <w:szCs w:val="21"/>
              </w:rPr>
            </w:pPr>
            <w:r>
              <w:rPr>
                <w:rFonts w:ascii="Times New Roman" w:hAnsi="Times New Roman" w:eastAsia="宋体"/>
                <w:color w:val="auto"/>
                <w:sz w:val="21"/>
                <w:szCs w:val="21"/>
              </w:rPr>
              <w:t xml:space="preserve">投标文件接收截止时间：2026年08月26日09点30分（北京时间）</w:t>
            </w:r>
            <w:r/>
          </w:p>
          <w:p>
            <w:pPr>
              <w:jc w:val="left"/>
              <w:spacing w:line="360" w:lineRule="auto"/>
              <w:rPr>
                <w:color w:val="000000"/>
                <w:szCs w:val="21"/>
              </w:rPr>
            </w:pPr>
            <w:r>
              <w:rPr>
                <w:color w:val="000000"/>
                <w:szCs w:val="21"/>
              </w:rPr>
              <w:t xml:space="preserve">开标时间：同投标文件接收截止时间</w:t>
            </w:r>
            <w:r/>
          </w:p>
          <w:p>
            <w:pPr>
              <w:pStyle w:val="1373"/>
              <w:ind w:firstLine="0"/>
              <w:spacing w:line="360" w:lineRule="auto"/>
              <w:rPr>
                <w:rFonts w:ascii="Times New Roman"/>
                <w:color w:val="000000"/>
                <w:sz w:val="21"/>
                <w:szCs w:val="21"/>
              </w:rPr>
            </w:pPr>
            <w:r>
              <w:rPr>
                <w:rFonts w:ascii="Times New Roman"/>
                <w:color w:val="000000"/>
                <w:sz w:val="21"/>
                <w:szCs w:val="21"/>
              </w:rPr>
              <w:t xml:space="preserve">开标地点：“苏采云”政府采购交易系统网上开标大厅</w:t>
            </w:r>
            <w:r/>
          </w:p>
        </w:tc>
      </w:tr>
      <w:tr>
        <w:trPr>
          <w:trHeight w:val="1892"/>
        </w:trPr>
        <w:tc>
          <w:tcPr>
            <w:tcW w:w="466" w:type="pct"/>
            <w:vAlign w:val="center"/>
            <w:textDirection w:val="lrTb"/>
            <w:noWrap w:val="false"/>
          </w:tcPr>
          <w:p>
            <w:pPr>
              <w:jc w:val="center"/>
              <w:spacing w:line="360" w:lineRule="auto"/>
              <w:rPr>
                <w:b/>
                <w:color w:val="000000"/>
                <w:szCs w:val="21"/>
              </w:rPr>
            </w:pPr>
            <w:r>
              <w:rPr>
                <w:b/>
                <w:color w:val="000000"/>
                <w:szCs w:val="21"/>
              </w:rPr>
              <w:t xml:space="preserve">9</w:t>
            </w:r>
            <w:r/>
          </w:p>
        </w:tc>
        <w:tc>
          <w:tcPr>
            <w:tcW w:w="4533" w:type="pct"/>
            <w:vAlign w:val="center"/>
            <w:textDirection w:val="lrTb"/>
            <w:noWrap w:val="false"/>
          </w:tcPr>
          <w:p>
            <w:pPr>
              <w:spacing w:line="360" w:lineRule="auto"/>
              <w:rPr>
                <w:b/>
                <w:bCs/>
                <w:color w:val="000000"/>
                <w:szCs w:val="21"/>
              </w:rPr>
            </w:pPr>
            <w:r>
              <w:rPr>
                <w:b/>
                <w:bCs/>
                <w:color w:val="000000"/>
                <w:szCs w:val="21"/>
              </w:rPr>
              <w:t xml:space="preserve">投标报价：</w:t>
            </w:r>
            <w:r/>
          </w:p>
          <w:p>
            <w:pPr>
              <w:ind w:firstLine="211"/>
              <w:spacing w:line="360" w:lineRule="auto"/>
              <w:rPr>
                <w:bCs/>
                <w:color w:val="000000"/>
                <w:szCs w:val="21"/>
              </w:rPr>
            </w:pPr>
            <w:r>
              <w:rPr>
                <w:b/>
                <w:bCs/>
                <w:color w:val="000000"/>
                <w:szCs w:val="21"/>
              </w:rPr>
              <w:t xml:space="preserve">所有投标响应均以人民币报价</w:t>
            </w:r>
            <w:r>
              <w:rPr>
                <w:color w:val="000000"/>
                <w:szCs w:val="21"/>
              </w:rPr>
              <w:t xml:space="preserve">。投标人的投标响应报价应遵守“中华人民共和国价格法”。该报价为到江苏省特种设备安全监督检验研究院现场的全部费用，</w:t>
            </w:r>
            <w:r>
              <w:rPr>
                <w:rFonts w:eastAsiaTheme="minorEastAsia"/>
                <w:color w:val="000000"/>
                <w:szCs w:val="21"/>
              </w:rPr>
              <w:t xml:space="preserve">本次采购范围内全部设备、材料、随设备提供的备品配件及专用工具的价格、全部税费、包装费、运杂费（运抵买方指定地点）、保险费、安装费、调试费、买方操作维护人员培训费、验收检定费（取得法定计量检定机构有效溯源证书并证明合格）</w:t>
            </w:r>
            <w:r>
              <w:rPr>
                <w:color w:val="000000"/>
                <w:szCs w:val="21"/>
              </w:rPr>
              <w:t xml:space="preserve">及相关服务费等一切可能发生的费用。</w:t>
            </w:r>
            <w:r/>
          </w:p>
        </w:tc>
      </w:tr>
      <w:tr>
        <w:trPr>
          <w:trHeight w:val="505"/>
        </w:trPr>
        <w:tc>
          <w:tcPr>
            <w:tcW w:w="466" w:type="pct"/>
            <w:vAlign w:val="center"/>
            <w:textDirection w:val="lrTb"/>
            <w:noWrap w:val="false"/>
          </w:tcPr>
          <w:p>
            <w:pPr>
              <w:jc w:val="center"/>
              <w:spacing w:line="360" w:lineRule="auto"/>
              <w:rPr>
                <w:b/>
                <w:color w:val="000000"/>
                <w:szCs w:val="21"/>
              </w:rPr>
            </w:pPr>
            <w:r>
              <w:rPr>
                <w:b/>
                <w:color w:val="000000"/>
                <w:szCs w:val="21"/>
              </w:rPr>
              <w:t xml:space="preserve">10</w:t>
            </w:r>
            <w:r/>
          </w:p>
        </w:tc>
        <w:tc>
          <w:tcPr>
            <w:tcW w:w="4533" w:type="pct"/>
            <w:vAlign w:val="center"/>
            <w:textDirection w:val="lrTb"/>
            <w:noWrap w:val="false"/>
          </w:tcPr>
          <w:p>
            <w:pPr>
              <w:ind w:firstLine="15"/>
              <w:spacing w:line="360" w:lineRule="auto"/>
              <w:rPr>
                <w:b/>
                <w:color w:val="000000"/>
                <w:szCs w:val="21"/>
              </w:rPr>
            </w:pPr>
            <w:r>
              <w:rPr>
                <w:b/>
                <w:color w:val="000000"/>
                <w:szCs w:val="21"/>
              </w:rPr>
              <w:t xml:space="preserve">现场勘查要求：</w:t>
            </w:r>
            <w:r/>
          </w:p>
          <w:p>
            <w:pPr>
              <w:ind w:firstLine="15"/>
              <w:spacing w:line="360" w:lineRule="auto"/>
              <w:rPr>
                <w:bCs/>
                <w:color w:val="000000"/>
                <w:szCs w:val="21"/>
              </w:rPr>
            </w:pPr>
            <w:r>
              <w:rPr>
                <w:b/>
                <w:color w:val="000000"/>
                <w:szCs w:val="21"/>
              </w:rPr>
              <w:t xml:space="preserve">不组织，</w:t>
            </w:r>
            <w:r>
              <w:rPr>
                <w:color w:val="000000"/>
                <w:szCs w:val="21"/>
              </w:rPr>
              <w:t xml:space="preserve">投标人可自行联系采购人。未考察现场或考察工作不详细的投标人中标后，不得以不完全了解现场情况为理由而向采购人提出任何索赔或其他要求，对此采购人不承担任何责任并将不作任何答复。</w:t>
            </w:r>
            <w:r/>
          </w:p>
        </w:tc>
      </w:tr>
      <w:tr>
        <w:trPr>
          <w:trHeight w:val="1069"/>
        </w:trPr>
        <w:tc>
          <w:tcPr>
            <w:tcW w:w="466" w:type="pct"/>
            <w:vAlign w:val="center"/>
            <w:textDirection w:val="lrTb"/>
            <w:noWrap w:val="false"/>
          </w:tcPr>
          <w:p>
            <w:pPr>
              <w:jc w:val="center"/>
              <w:spacing w:line="360" w:lineRule="auto"/>
              <w:shd w:val="clear" w:color="auto" w:fill="ffffff"/>
              <w:widowControl/>
              <w:rPr>
                <w:color w:val="000000"/>
                <w:szCs w:val="21"/>
              </w:rPr>
            </w:pPr>
            <w:r>
              <w:rPr>
                <w:b/>
                <w:bCs/>
                <w:color w:val="000000"/>
                <w:szCs w:val="21"/>
              </w:rPr>
              <w:t xml:space="preserve">11</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投标报价中的投标价不得超过招标公告、招标文件规定的预算价，超过规定的预算价的投标文件，按无效投标处理。 </w:t>
            </w:r>
            <w:bookmarkEnd w:id="3"/>
            <w:r/>
            <w:bookmarkEnd w:id="4"/>
            <w:r/>
            <w:bookmarkEnd w:id="5"/>
            <w:r/>
            <w:bookmarkEnd w:id="6"/>
            <w:r/>
            <w:bookmarkEnd w:id="7"/>
            <w:r/>
            <w:bookmarkEnd w:id="8"/>
            <w:r/>
            <w:bookmarkEnd w:id="9"/>
            <w:r/>
            <w:r/>
          </w:p>
        </w:tc>
      </w:tr>
    </w:tbl>
    <w:p>
      <w:pPr>
        <w:rPr>
          <w:b/>
          <w:bCs/>
          <w:sz w:val="28"/>
          <w:szCs w:val="28"/>
        </w:rPr>
      </w:pPr>
      <w:r>
        <w:rPr>
          <w:b/>
          <w:bCs/>
          <w:sz w:val="28"/>
          <w:szCs w:val="28"/>
        </w:rPr>
        <w:br w:type="page" w:clear="all"/>
      </w:r>
      <w:r/>
    </w:p>
    <w:p>
      <w:pPr>
        <w:spacing w:line="360" w:lineRule="auto"/>
        <w:shd w:val="clear" w:color="auto" w:fill="ffffff"/>
        <w:widowControl/>
        <w:rPr>
          <w:b/>
          <w:bCs/>
          <w:szCs w:val="21"/>
        </w:rPr>
        <w:outlineLvl w:val="1"/>
      </w:pPr>
      <w:r/>
      <w:bookmarkStart w:id="54" w:name="_Toc231822734"/>
      <w:r>
        <w:rPr>
          <w:b/>
          <w:bCs/>
          <w:szCs w:val="21"/>
        </w:rPr>
        <w:t xml:space="preserve">一、总则</w:t>
      </w:r>
      <w:bookmarkEnd w:id="54"/>
      <w:r/>
      <w:r/>
    </w:p>
    <w:p>
      <w:pPr>
        <w:ind w:firstLine="420"/>
        <w:spacing w:line="360" w:lineRule="auto"/>
        <w:rPr>
          <w:b/>
          <w:szCs w:val="21"/>
          <w:lang w:val="zh-CN"/>
        </w:rPr>
      </w:pPr>
      <w:r/>
      <w:bookmarkStart w:id="55" w:name="_Toc231820594"/>
      <w:r>
        <w:rPr>
          <w:b/>
          <w:bCs/>
          <w:szCs w:val="21"/>
          <w:lang w:val="zh-CN"/>
        </w:rPr>
        <w:t xml:space="preserve">1.</w:t>
      </w:r>
      <w:r>
        <w:rPr>
          <w:b/>
          <w:szCs w:val="21"/>
          <w:lang w:val="zh-CN"/>
        </w:rPr>
        <w:t xml:space="preserve">适用法律</w:t>
      </w:r>
      <w:bookmarkEnd w:id="55"/>
      <w:r/>
      <w:r/>
    </w:p>
    <w:p>
      <w:pPr>
        <w:ind w:firstLine="420"/>
        <w:spacing w:line="360" w:lineRule="auto"/>
        <w:rPr>
          <w:szCs w:val="21"/>
          <w:lang w:val="zh-CN"/>
        </w:rPr>
      </w:pPr>
      <w:r>
        <w:rPr>
          <w:szCs w:val="21"/>
          <w:lang w:val="zh-CN"/>
        </w:rPr>
        <w:t xml:space="preserve">1.1 </w:t>
      </w:r>
      <w:r>
        <w:rPr>
          <w:szCs w:val="21"/>
        </w:rPr>
        <w:t xml:space="preserve">《中华人民共和国招标投标法》、</w:t>
      </w:r>
      <w:r>
        <w:rPr>
          <w:szCs w:val="21"/>
          <w:lang w:val="zh-CN"/>
        </w:rPr>
        <w:t xml:space="preserve">《中华人民共和国政府采购法》、《中华人民共和国政府采购法实施条例》、《政府采购货物和服务招标投标管理办法》等有关法律、规章和规定等。</w:t>
      </w:r>
      <w:r/>
    </w:p>
    <w:p>
      <w:pPr>
        <w:ind w:firstLine="420"/>
        <w:spacing w:line="360" w:lineRule="auto"/>
        <w:rPr>
          <w:b/>
          <w:szCs w:val="21"/>
          <w:lang w:val="zh-CN"/>
        </w:rPr>
      </w:pPr>
      <w:r/>
      <w:bookmarkStart w:id="56" w:name="_Toc231820595"/>
      <w:r>
        <w:rPr>
          <w:b/>
          <w:bCs/>
          <w:szCs w:val="21"/>
          <w:lang w:val="zh-CN"/>
        </w:rPr>
        <w:t xml:space="preserve">2.</w:t>
      </w:r>
      <w:r>
        <w:rPr>
          <w:b/>
          <w:szCs w:val="21"/>
          <w:lang w:val="zh-CN"/>
        </w:rPr>
        <w:t xml:space="preserve">定义</w:t>
      </w:r>
      <w:bookmarkEnd w:id="56"/>
      <w:r/>
      <w:r/>
    </w:p>
    <w:p>
      <w:pPr>
        <w:ind w:firstLine="420"/>
        <w:spacing w:line="360" w:lineRule="auto"/>
        <w:rPr>
          <w:bCs/>
          <w:szCs w:val="21"/>
        </w:rPr>
      </w:pPr>
      <w:r>
        <w:rPr>
          <w:szCs w:val="21"/>
        </w:rPr>
        <w:t xml:space="preserve">2.1本文件</w:t>
      </w:r>
      <w:r>
        <w:rPr>
          <w:bCs/>
          <w:szCs w:val="21"/>
        </w:rPr>
        <w:t xml:space="preserve">中采购代理机构为 </w:t>
      </w:r>
      <w:r>
        <w:rPr>
          <w:b/>
          <w:szCs w:val="21"/>
          <w:u w:val="single"/>
        </w:rPr>
        <w:t xml:space="preserve">江苏美达机电贸易有限公司</w:t>
      </w:r>
      <w:r>
        <w:rPr>
          <w:bCs/>
          <w:szCs w:val="21"/>
        </w:rPr>
        <w:t xml:space="preserve">；采购人为</w:t>
      </w:r>
      <w:r>
        <w:rPr>
          <w:b/>
          <w:szCs w:val="21"/>
          <w:u w:val="single"/>
        </w:rPr>
        <w:t xml:space="preserve">江苏省特种设备安全监督检验研究院</w:t>
      </w:r>
      <w:r>
        <w:rPr>
          <w:bCs/>
          <w:szCs w:val="21"/>
        </w:rPr>
        <w:t xml:space="preserve">；投标人（亦称供应商）系指参加投标竞争并满足招标文件资格要求规定的法人、其他组织或者自然人。</w:t>
      </w:r>
      <w:r/>
    </w:p>
    <w:p>
      <w:pPr>
        <w:ind w:firstLine="420"/>
        <w:spacing w:line="360" w:lineRule="auto"/>
        <w:rPr>
          <w:bCs/>
          <w:szCs w:val="21"/>
        </w:rPr>
      </w:pPr>
      <w:r>
        <w:rPr>
          <w:bCs/>
          <w:szCs w:val="21"/>
        </w:rPr>
        <w:t xml:space="preserve">2.2“货物和服务”指本文件中所述产品及相关货物和服务。</w:t>
      </w:r>
      <w:r/>
    </w:p>
    <w:p>
      <w:pPr>
        <w:ind w:firstLine="420"/>
        <w:spacing w:line="360" w:lineRule="auto"/>
        <w:rPr>
          <w:bCs/>
          <w:szCs w:val="21"/>
        </w:rPr>
      </w:pPr>
      <w:r>
        <w:rPr>
          <w:bCs/>
          <w:szCs w:val="21"/>
        </w:rPr>
        <w:t xml:space="preserve">2.3“用户或使用单位”指使用</w:t>
      </w:r>
      <w:r>
        <w:rPr>
          <w:szCs w:val="21"/>
          <w:lang w:val="zh-CN"/>
        </w:rPr>
        <w:t xml:space="preserve">货物、服务的</w:t>
      </w:r>
      <w:r>
        <w:rPr>
          <w:bCs/>
          <w:szCs w:val="21"/>
        </w:rPr>
        <w:t xml:space="preserve">单位。</w:t>
      </w:r>
      <w:r/>
    </w:p>
    <w:p>
      <w:pPr>
        <w:ind w:firstLine="420"/>
        <w:spacing w:line="360" w:lineRule="auto"/>
        <w:rPr>
          <w:b/>
          <w:szCs w:val="21"/>
          <w:lang w:val="zh-CN"/>
        </w:rPr>
      </w:pPr>
      <w:r/>
      <w:bookmarkStart w:id="57" w:name="_Toc231820596"/>
      <w:r>
        <w:rPr>
          <w:b/>
          <w:bCs/>
          <w:szCs w:val="21"/>
          <w:lang w:val="zh-CN"/>
        </w:rPr>
        <w:t xml:space="preserve">3.</w:t>
      </w:r>
      <w:r>
        <w:rPr>
          <w:b/>
          <w:szCs w:val="21"/>
          <w:lang w:val="zh-CN"/>
        </w:rPr>
        <w:t xml:space="preserve">政策功能</w:t>
      </w:r>
      <w:bookmarkEnd w:id="57"/>
      <w:r/>
      <w:r/>
    </w:p>
    <w:p>
      <w:pPr>
        <w:ind w:firstLine="422"/>
        <w:spacing w:line="360" w:lineRule="auto"/>
        <w:rPr>
          <w:bCs/>
          <w:szCs w:val="21"/>
        </w:rPr>
      </w:pPr>
      <w:r>
        <w:rPr>
          <w:b/>
          <w:szCs w:val="21"/>
        </w:rPr>
        <w:t xml:space="preserve"> </w:t>
      </w:r>
      <w:r>
        <w:rPr>
          <w:bCs/>
          <w:szCs w:val="21"/>
        </w:rPr>
        <w:t xml:space="preserve">3.1 促进中小企业发展政策</w:t>
      </w:r>
      <w:r/>
    </w:p>
    <w:p>
      <w:pPr>
        <w:ind w:firstLine="420"/>
        <w:spacing w:line="360" w:lineRule="auto"/>
        <w:rPr>
          <w:bCs/>
          <w:szCs w:val="21"/>
        </w:rPr>
      </w:pPr>
      <w:r>
        <w:rPr>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bCs/>
          <w:szCs w:val="21"/>
        </w:rPr>
      </w:pPr>
      <w:r>
        <w:rPr>
          <w:bCs/>
          <w:szCs w:val="21"/>
        </w:rPr>
        <w:t xml:space="preserve">3.2 节能产品、环境标志产品政策</w:t>
      </w:r>
      <w:r/>
    </w:p>
    <w:p>
      <w:pPr>
        <w:ind w:firstLine="420"/>
        <w:spacing w:line="360" w:lineRule="auto"/>
        <w:rPr>
          <w:bCs/>
          <w:szCs w:val="21"/>
        </w:rPr>
      </w:pPr>
      <w:r>
        <w:rPr>
          <w:bCs/>
          <w:szCs w:val="21"/>
        </w:rPr>
        <w:t xml:space="preserve">（1）政府采购节能产品、环境标志产品实施品目清单管理。</w:t>
      </w:r>
      <w:r/>
    </w:p>
    <w:p>
      <w:pPr>
        <w:ind w:firstLine="420"/>
        <w:spacing w:line="360" w:lineRule="auto"/>
        <w:rPr>
          <w:bCs/>
          <w:szCs w:val="21"/>
        </w:rPr>
      </w:pPr>
      <w:r>
        <w:rPr>
          <w:bCs/>
          <w:szCs w:val="21"/>
        </w:rPr>
        <w:t xml:space="preserve">（2）拟采购产品属于节能产品、环境标志产品品目清单规定必须强制采购的，实行强制采购。</w:t>
      </w:r>
      <w:r/>
    </w:p>
    <w:p>
      <w:pPr>
        <w:ind w:firstLine="420"/>
        <w:spacing w:line="360" w:lineRule="auto"/>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bCs/>
          <w:szCs w:val="21"/>
        </w:rPr>
      </w:pPr>
      <w:r>
        <w:rPr>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szCs w:val="21"/>
        </w:rPr>
      </w:pPr>
      <w:r>
        <w:rPr>
          <w:szCs w:val="21"/>
        </w:rPr>
        <w:t xml:space="preserve">3.3 采购本国产品的支持政策</w:t>
      </w:r>
      <w:r/>
    </w:p>
    <w:p>
      <w:pPr>
        <w:ind w:firstLine="420"/>
        <w:spacing w:line="360" w:lineRule="auto"/>
        <w:rPr>
          <w:szCs w:val="21"/>
        </w:rPr>
      </w:pPr>
      <w:r>
        <w:rPr>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szCs w:val="21"/>
        </w:rPr>
      </w:pPr>
      <w:r>
        <w:rPr>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szCs w:val="21"/>
        </w:rPr>
      </w:pPr>
      <w:r>
        <w:rPr>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szCs w:val="21"/>
        </w:rPr>
      </w:pPr>
      <w:r>
        <w:rPr>
          <w:szCs w:val="21"/>
        </w:rPr>
        <w:t xml:space="preserve">具体内容如下：</w:t>
      </w:r>
      <w:r/>
    </w:p>
    <w:p>
      <w:pPr>
        <w:ind w:firstLine="420"/>
        <w:spacing w:line="360" w:lineRule="auto"/>
        <w:rPr>
          <w:szCs w:val="21"/>
        </w:rPr>
      </w:pPr>
      <w:r>
        <w:rPr>
          <w:szCs w:val="21"/>
        </w:rPr>
        <w:t xml:space="preserve">3.3.1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szCs w:val="21"/>
        </w:rPr>
      </w:pPr>
      <w:r>
        <w:rPr>
          <w:szCs w:val="21"/>
        </w:rPr>
        <w:t xml:space="preserve">3.3.2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szCs w:val="21"/>
        </w:rPr>
      </w:pPr>
      <w:r>
        <w:rPr>
          <w:szCs w:val="21"/>
        </w:rPr>
        <w:t xml:space="preserve">3.3.3 供应商需按照招标文件的要求提供《关于符合本国产品标准的声明函》（以下简称《声明函》），如不提供将不享受本国产品价格评审优惠。</w:t>
      </w:r>
      <w:r/>
    </w:p>
    <w:p>
      <w:pPr>
        <w:ind w:firstLine="420"/>
        <w:spacing w:line="360" w:lineRule="auto"/>
        <w:rPr>
          <w:szCs w:val="21"/>
        </w:rPr>
      </w:pPr>
      <w:r>
        <w:rPr>
          <w:szCs w:val="21"/>
        </w:rPr>
        <w:t xml:space="preserve">3.3.4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szCs w:val="21"/>
        </w:rPr>
      </w:pPr>
      <w:r>
        <w:rPr>
          <w:szCs w:val="21"/>
        </w:rPr>
        <w:t xml:space="preserve">3.3.5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b/>
          <w:bCs/>
          <w:szCs w:val="21"/>
        </w:rPr>
      </w:pPr>
      <w:r>
        <w:rPr>
          <w:szCs w:val="21"/>
        </w:rPr>
        <w:t xml:space="preserve">3.4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bCs/>
          <w:szCs w:val="21"/>
        </w:rPr>
      </w:pPr>
      <w:r>
        <w:rPr>
          <w:bCs/>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bCs/>
          <w:szCs w:val="21"/>
        </w:rPr>
      </w:pPr>
      <w:r>
        <w:rPr>
          <w:bCs/>
          <w:szCs w:val="21"/>
        </w:rPr>
        <w:t xml:space="preserve">3.6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bCs/>
          <w:szCs w:val="21"/>
        </w:rPr>
      </w:pPr>
      <w:r>
        <w:rPr>
          <w:bCs/>
          <w:szCs w:val="21"/>
        </w:rPr>
        <w:t xml:space="preserve">3.7 为推进社会诚信体系建设，根据财政部等政策要求，在政府采购活动中查询、使用信用记录，推进政府采购领域联合惩戒工作。</w:t>
      </w:r>
      <w:r/>
    </w:p>
    <w:p>
      <w:pPr>
        <w:ind w:firstLine="420"/>
        <w:spacing w:line="360" w:lineRule="auto"/>
        <w:rPr>
          <w:bCs/>
          <w:szCs w:val="21"/>
        </w:rPr>
      </w:pPr>
      <w:r/>
      <w:bookmarkStart w:id="58" w:name="_Toc231820597"/>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bookmarkEnd w:id="58"/>
      <w:r/>
      <w:r/>
    </w:p>
    <w:p>
      <w:pPr>
        <w:ind w:firstLine="420"/>
        <w:spacing w:line="360" w:lineRule="auto"/>
        <w:rPr>
          <w:b/>
          <w:szCs w:val="21"/>
          <w:lang w:val="zh-CN"/>
        </w:rPr>
      </w:pPr>
      <w:r/>
      <w:bookmarkStart w:id="59" w:name="_Toc231820598"/>
      <w:r>
        <w:rPr>
          <w:b/>
          <w:bCs/>
          <w:szCs w:val="21"/>
          <w:lang w:val="zh-CN"/>
        </w:rPr>
        <w:t xml:space="preserve">4.</w:t>
      </w:r>
      <w:r>
        <w:rPr>
          <w:b/>
          <w:szCs w:val="21"/>
          <w:lang w:val="zh-CN"/>
        </w:rPr>
        <w:t xml:space="preserve">投标费用</w:t>
      </w:r>
      <w:bookmarkEnd w:id="59"/>
      <w:r/>
      <w:r/>
    </w:p>
    <w:p>
      <w:pPr>
        <w:ind w:firstLine="420"/>
        <w:spacing w:line="360" w:lineRule="auto"/>
        <w:rPr>
          <w:szCs w:val="21"/>
        </w:rPr>
      </w:pPr>
      <w:r>
        <w:rPr>
          <w:szCs w:val="21"/>
        </w:rPr>
        <w:t xml:space="preserve">4.1 供应商应自行承担所有与参加投标有关的费用，无论采购结果如何，代理机构和采购人在任何情况下均无义务和责任承担这些费用。</w:t>
      </w:r>
      <w:r/>
    </w:p>
    <w:p>
      <w:pPr>
        <w:ind w:firstLine="420"/>
        <w:spacing w:line="360" w:lineRule="auto"/>
        <w:rPr>
          <w:b/>
          <w:szCs w:val="21"/>
          <w:lang w:val="zh-CN"/>
        </w:rPr>
      </w:pPr>
      <w:r/>
      <w:bookmarkStart w:id="60" w:name="_Toc231820599"/>
      <w:r>
        <w:rPr>
          <w:b/>
          <w:bCs/>
          <w:szCs w:val="21"/>
          <w:lang w:val="zh-CN"/>
        </w:rPr>
        <w:t xml:space="preserve">5.</w:t>
      </w:r>
      <w:r>
        <w:rPr>
          <w:b/>
          <w:szCs w:val="21"/>
          <w:lang w:val="zh-CN"/>
        </w:rPr>
        <w:t xml:space="preserve">招标文件的约束力</w:t>
      </w:r>
      <w:bookmarkEnd w:id="60"/>
      <w:r/>
      <w:r/>
    </w:p>
    <w:p>
      <w:pPr>
        <w:ind w:firstLine="420"/>
        <w:spacing w:line="360" w:lineRule="auto"/>
        <w:rPr>
          <w:szCs w:val="21"/>
        </w:rPr>
      </w:pPr>
      <w:r>
        <w:rPr>
          <w:szCs w:val="21"/>
        </w:rPr>
        <w:t xml:space="preserve">5.1 供应商一旦参加本项目采购活动，即被认为接受了本招标文件的规定和约束。</w:t>
      </w:r>
      <w:r/>
    </w:p>
    <w:p>
      <w:pPr>
        <w:spacing w:line="360" w:lineRule="auto"/>
        <w:shd w:val="clear" w:color="auto" w:fill="ffffff"/>
        <w:widowControl/>
        <w:rPr>
          <w:b/>
          <w:bCs/>
          <w:szCs w:val="21"/>
        </w:rPr>
        <w:outlineLvl w:val="1"/>
      </w:pPr>
      <w:r/>
      <w:bookmarkStart w:id="61" w:name="_Toc231822735"/>
      <w:r>
        <w:rPr>
          <w:b/>
          <w:bCs/>
          <w:szCs w:val="21"/>
        </w:rPr>
        <w:t xml:space="preserve">二、招标文件</w:t>
      </w:r>
      <w:bookmarkEnd w:id="61"/>
      <w:r/>
      <w:r/>
    </w:p>
    <w:p>
      <w:pPr>
        <w:ind w:firstLine="420"/>
        <w:spacing w:line="360" w:lineRule="auto"/>
        <w:rPr>
          <w:b/>
          <w:szCs w:val="21"/>
          <w:lang w:val="zh-CN"/>
        </w:rPr>
      </w:pPr>
      <w:r/>
      <w:bookmarkStart w:id="62" w:name="_Toc231820601"/>
      <w:r>
        <w:rPr>
          <w:b/>
          <w:bCs/>
          <w:szCs w:val="21"/>
          <w:lang w:val="zh-CN"/>
        </w:rPr>
        <w:t xml:space="preserve">6.</w:t>
      </w:r>
      <w:r>
        <w:rPr>
          <w:b/>
          <w:szCs w:val="21"/>
          <w:lang w:val="zh-CN"/>
        </w:rPr>
        <w:t xml:space="preserve">招标文件构成</w:t>
      </w:r>
      <w:bookmarkEnd w:id="62"/>
      <w:r/>
      <w:r/>
    </w:p>
    <w:p>
      <w:pPr>
        <w:ind w:firstLine="420"/>
        <w:spacing w:line="360" w:lineRule="auto"/>
        <w:rPr>
          <w:szCs w:val="21"/>
        </w:rPr>
      </w:pPr>
      <w:r>
        <w:rPr>
          <w:szCs w:val="21"/>
        </w:rPr>
        <w:t xml:space="preserve">6.1 招标文件由以下部分组成：</w:t>
      </w:r>
      <w:r/>
    </w:p>
    <w:p>
      <w:pPr>
        <w:ind w:firstLine="840"/>
        <w:spacing w:line="360" w:lineRule="auto"/>
        <w:rPr>
          <w:szCs w:val="21"/>
        </w:rPr>
      </w:pPr>
      <w:r>
        <w:rPr>
          <w:szCs w:val="21"/>
        </w:rPr>
        <w:t xml:space="preserve">第一章  招标公告</w:t>
      </w:r>
      <w:r/>
    </w:p>
    <w:p>
      <w:pPr>
        <w:ind w:firstLine="840"/>
        <w:spacing w:line="360" w:lineRule="auto"/>
        <w:rPr>
          <w:szCs w:val="21"/>
        </w:rPr>
      </w:pPr>
      <w:r>
        <w:rPr>
          <w:szCs w:val="21"/>
        </w:rPr>
        <w:t xml:space="preserve">第二章  投标人须知</w:t>
      </w:r>
      <w:r/>
    </w:p>
    <w:p>
      <w:pPr>
        <w:ind w:firstLine="840"/>
        <w:spacing w:line="360" w:lineRule="auto"/>
        <w:rPr>
          <w:szCs w:val="21"/>
        </w:rPr>
      </w:pPr>
      <w:r>
        <w:rPr>
          <w:szCs w:val="21"/>
        </w:rPr>
        <w:t xml:space="preserve">第三章  评标标准</w:t>
      </w:r>
      <w:r/>
    </w:p>
    <w:p>
      <w:pPr>
        <w:ind w:firstLine="840"/>
        <w:spacing w:line="360" w:lineRule="auto"/>
        <w:rPr>
          <w:szCs w:val="21"/>
        </w:rPr>
      </w:pPr>
      <w:r>
        <w:rPr>
          <w:szCs w:val="21"/>
        </w:rPr>
        <w:t xml:space="preserve">第四章  招标技术规格及要求</w:t>
      </w:r>
      <w:r/>
    </w:p>
    <w:p>
      <w:pPr>
        <w:ind w:firstLine="840"/>
        <w:spacing w:line="360" w:lineRule="auto"/>
        <w:rPr>
          <w:szCs w:val="21"/>
        </w:rPr>
      </w:pPr>
      <w:r>
        <w:rPr>
          <w:szCs w:val="21"/>
        </w:rPr>
        <w:t xml:space="preserve">第五章  拟签订的合同文本</w:t>
      </w:r>
      <w:r/>
    </w:p>
    <w:p>
      <w:pPr>
        <w:ind w:firstLine="840"/>
        <w:spacing w:line="360" w:lineRule="auto"/>
        <w:rPr>
          <w:szCs w:val="21"/>
        </w:rPr>
      </w:pPr>
      <w:r>
        <w:rPr>
          <w:szCs w:val="21"/>
        </w:rPr>
        <w:t xml:space="preserve">第六章  投标文件格式及附件</w:t>
      </w:r>
      <w:r/>
    </w:p>
    <w:p>
      <w:pPr>
        <w:ind w:firstLine="420"/>
        <w:spacing w:line="360" w:lineRule="auto"/>
        <w:rPr>
          <w:szCs w:val="21"/>
        </w:rPr>
      </w:pPr>
      <w:r>
        <w:rPr>
          <w:szCs w:val="21"/>
        </w:rPr>
        <w:t xml:space="preserve">6.2</w:t>
      </w:r>
      <w:r>
        <w:rPr>
          <w:b/>
          <w:bCs/>
          <w:szCs w:val="21"/>
        </w:rPr>
        <w:t xml:space="preserve">招标的最小单位是包。招标技术规格及要求中未分包的，供应商对要求提供的服务不得部分投标；招标技术规格及要求中已经分包的，以包为单位投标</w:t>
      </w:r>
      <w:r>
        <w:rPr>
          <w:szCs w:val="21"/>
        </w:rPr>
        <w:t xml:space="preserve">。</w:t>
      </w:r>
      <w:r/>
    </w:p>
    <w:p>
      <w:pPr>
        <w:ind w:firstLine="420"/>
        <w:spacing w:line="360" w:lineRule="auto"/>
        <w:rPr>
          <w:szCs w:val="21"/>
        </w:rPr>
      </w:pPr>
      <w:r>
        <w:rPr>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szCs w:val="21"/>
        </w:rPr>
      </w:pPr>
      <w:r>
        <w:rPr>
          <w:szCs w:val="21"/>
        </w:rPr>
        <w:t xml:space="preserve">6.4供应商被视为充分熟悉本招标项目的各种情况以及与履行合同有关的一切其他情况。</w:t>
      </w:r>
      <w:r/>
    </w:p>
    <w:p>
      <w:pPr>
        <w:ind w:firstLine="420"/>
        <w:spacing w:line="360" w:lineRule="auto"/>
        <w:rPr>
          <w:b/>
          <w:szCs w:val="21"/>
          <w:lang w:val="zh-CN"/>
        </w:rPr>
      </w:pPr>
      <w:r/>
      <w:bookmarkStart w:id="63" w:name="_Toc231820602"/>
      <w:r>
        <w:rPr>
          <w:b/>
          <w:szCs w:val="21"/>
          <w:lang w:val="zh-CN"/>
        </w:rPr>
        <w:t xml:space="preserve">7.招标文件的澄清、补充或修改</w:t>
      </w:r>
      <w:bookmarkEnd w:id="63"/>
      <w:r/>
      <w:r/>
    </w:p>
    <w:p>
      <w:pPr>
        <w:ind w:firstLine="441"/>
        <w:spacing w:line="360" w:lineRule="auto"/>
        <w:rPr>
          <w:szCs w:val="21"/>
        </w:rPr>
      </w:pPr>
      <w:r>
        <w:rPr>
          <w:szCs w:val="21"/>
        </w:rPr>
        <w:t xml:space="preserve">7.1</w:t>
      </w:r>
      <w:r>
        <w:rPr>
          <w:szCs w:val="21"/>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将告知供应商向采购人提出。采购代理机构将用信函或传真等书面形式作出答复。采购代理机构认为有必要时可将答复内容（包括原提出的问题，但不包括问题的来源）分发给所有取得同一招标文件的供应商。</w:t>
      </w:r>
      <w:r/>
    </w:p>
    <w:p>
      <w:pPr>
        <w:ind w:firstLine="441"/>
        <w:spacing w:line="360" w:lineRule="auto"/>
        <w:rPr>
          <w:szCs w:val="21"/>
        </w:rPr>
      </w:pPr>
      <w:r>
        <w:rPr>
          <w:szCs w:val="21"/>
        </w:rPr>
        <w:t xml:space="preserve">7.2 </w:t>
      </w:r>
      <w:r>
        <w:rPr>
          <w:szCs w:val="21"/>
        </w:rPr>
        <w:t xml:space="preserve">采购代理机构对已发出的招标文件进行必要的澄清或者修改，将在投标截止时间15日前，以书面形式通知所有报名供应商，并同时在原招标公告媒体上发布更正公告。</w:t>
      </w:r>
      <w:r/>
    </w:p>
    <w:p>
      <w:pPr>
        <w:ind w:firstLine="441"/>
        <w:spacing w:line="360" w:lineRule="auto"/>
        <w:rPr>
          <w:szCs w:val="21"/>
        </w:rPr>
      </w:pPr>
      <w:r>
        <w:rPr>
          <w:szCs w:val="21"/>
        </w:rPr>
        <w:t xml:space="preserve">7.3 </w:t>
      </w:r>
      <w:r>
        <w:rPr>
          <w:szCs w:val="21"/>
        </w:rPr>
        <w:t xml:space="preserve">采购代理机构在招标文件要求提交投标文件截止时间前，有权决定延长投标截止时间和开标时间，并在原招标公告媒体上发布变更公告。</w:t>
      </w:r>
      <w:r/>
    </w:p>
    <w:p>
      <w:pPr>
        <w:ind w:firstLine="441"/>
        <w:spacing w:line="360" w:lineRule="auto"/>
        <w:rPr>
          <w:szCs w:val="21"/>
        </w:rPr>
      </w:pPr>
      <w:r>
        <w:rPr>
          <w:szCs w:val="21"/>
        </w:rPr>
        <w:t xml:space="preserve">7.4</w:t>
      </w:r>
      <w:r>
        <w:rPr>
          <w:szCs w:val="21"/>
        </w:rPr>
        <w:t xml:space="preserve"> 为使供应商在准备投标时，有合理的时间考虑招标文件的补充或修改，采购代理机构将视情况可能推迟投标截止时间和开标时间，并将此变更以信函或传真等形式通知所有的供应商。</w:t>
      </w:r>
      <w:r/>
    </w:p>
    <w:p>
      <w:pPr>
        <w:ind w:firstLine="441"/>
        <w:spacing w:line="360" w:lineRule="auto"/>
        <w:rPr>
          <w:bCs/>
          <w:szCs w:val="21"/>
        </w:rPr>
      </w:pPr>
      <w:r>
        <w:rPr>
          <w:szCs w:val="21"/>
        </w:rPr>
        <w:t xml:space="preserve">7.5 </w:t>
      </w:r>
      <w:r>
        <w:rPr>
          <w:szCs w:val="21"/>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p>
    <w:p>
      <w:pPr>
        <w:spacing w:line="360" w:lineRule="auto"/>
        <w:shd w:val="clear" w:color="auto" w:fill="ffffff"/>
        <w:widowControl/>
        <w:rPr>
          <w:b/>
          <w:bCs/>
          <w:szCs w:val="21"/>
        </w:rPr>
        <w:outlineLvl w:val="1"/>
      </w:pPr>
      <w:r/>
      <w:bookmarkStart w:id="64" w:name="_Toc231822736"/>
      <w:r>
        <w:rPr>
          <w:b/>
          <w:bCs/>
          <w:szCs w:val="21"/>
        </w:rPr>
        <w:t xml:space="preserve">三、投标文件的编制</w:t>
      </w:r>
      <w:bookmarkEnd w:id="64"/>
      <w:r/>
      <w:r/>
    </w:p>
    <w:p>
      <w:pPr>
        <w:ind w:firstLine="420"/>
        <w:spacing w:line="360" w:lineRule="auto"/>
        <w:rPr>
          <w:b/>
          <w:szCs w:val="21"/>
          <w:lang w:val="zh-CN"/>
        </w:rPr>
      </w:pPr>
      <w:r/>
      <w:bookmarkStart w:id="65" w:name="_Toc231820604"/>
      <w:r>
        <w:rPr>
          <w:b/>
          <w:szCs w:val="21"/>
          <w:lang w:val="zh-CN"/>
        </w:rPr>
        <w:t xml:space="preserve">8.投标文件的语言、计量单位、货币</w:t>
      </w:r>
      <w:bookmarkEnd w:id="65"/>
      <w:r/>
      <w:r/>
    </w:p>
    <w:p>
      <w:pPr>
        <w:ind w:firstLine="441"/>
        <w:spacing w:line="360" w:lineRule="auto"/>
        <w:rPr>
          <w:szCs w:val="21"/>
        </w:rPr>
      </w:pPr>
      <w:r>
        <w:rPr>
          <w:szCs w:val="21"/>
        </w:rPr>
        <w:t xml:space="preserve">8.1 供应商提交的投标文件（包括技术文件和资料、图纸中的说明）以及供应商与采购代理机构之间就有关投标的所有来往函电均应以简体中文书写。</w:t>
      </w:r>
      <w:r/>
    </w:p>
    <w:p>
      <w:pPr>
        <w:ind w:firstLine="441"/>
        <w:spacing w:line="360" w:lineRule="auto"/>
        <w:rPr>
          <w:szCs w:val="21"/>
        </w:rPr>
      </w:pPr>
      <w:r>
        <w:rPr>
          <w:szCs w:val="21"/>
        </w:rPr>
        <w:t xml:space="preserve">8.2供应商已印刷好的资料如产品样本、说明书等可以用其他语言，但其中要点应附有中文译文。对不同文本投标文件的解释发生异议的，以中文翻译文本为准。</w:t>
      </w:r>
      <w:r/>
    </w:p>
    <w:p>
      <w:pPr>
        <w:ind w:firstLine="441"/>
        <w:spacing w:line="360" w:lineRule="auto"/>
        <w:rPr>
          <w:szCs w:val="21"/>
        </w:rPr>
      </w:pPr>
      <w:r>
        <w:rPr>
          <w:szCs w:val="21"/>
        </w:rPr>
        <w:t xml:space="preserve">8.3 除招标文件中有特殊要求外，招标文件中所使用的计量单位应为国家法定计量单位。</w:t>
      </w:r>
      <w:r/>
    </w:p>
    <w:p>
      <w:pPr>
        <w:ind w:firstLine="441"/>
        <w:spacing w:line="360" w:lineRule="auto"/>
        <w:rPr>
          <w:szCs w:val="21"/>
        </w:rPr>
      </w:pPr>
      <w:r>
        <w:rPr>
          <w:szCs w:val="21"/>
        </w:rPr>
        <w:t xml:space="preserve">8.4 本招标文件所表述的时间均为北京时间。</w:t>
      </w:r>
      <w:r/>
    </w:p>
    <w:p>
      <w:pPr>
        <w:ind w:firstLine="441"/>
        <w:spacing w:line="360" w:lineRule="auto"/>
        <w:rPr>
          <w:szCs w:val="21"/>
        </w:rPr>
      </w:pPr>
      <w:r>
        <w:rPr>
          <w:szCs w:val="21"/>
        </w:rPr>
        <w:t xml:space="preserve">8.5 所有投标投标报价具体详见投标人须知前附表。</w:t>
      </w:r>
      <w:r/>
    </w:p>
    <w:p>
      <w:pPr>
        <w:ind w:firstLine="420"/>
        <w:spacing w:line="360" w:lineRule="auto"/>
        <w:rPr>
          <w:b/>
          <w:szCs w:val="21"/>
          <w:lang w:val="zh-CN"/>
        </w:rPr>
      </w:pPr>
      <w:r/>
      <w:bookmarkStart w:id="66" w:name="_Toc231820605"/>
      <w:r>
        <w:rPr>
          <w:b/>
          <w:szCs w:val="21"/>
          <w:lang w:val="zh-CN"/>
        </w:rPr>
        <w:t xml:space="preserve">9.联合体（根据采购项目是否接受联合体投标而定）</w:t>
      </w:r>
      <w:bookmarkEnd w:id="66"/>
      <w:r/>
      <w:r/>
    </w:p>
    <w:p>
      <w:pPr>
        <w:ind w:firstLine="441"/>
        <w:spacing w:line="360" w:lineRule="auto"/>
        <w:rPr>
          <w:szCs w:val="21"/>
        </w:rPr>
      </w:pPr>
      <w:r>
        <w:rPr>
          <w:szCs w:val="21"/>
        </w:rPr>
        <w:t xml:space="preserve">9.1两个以上的自然人、法人或者其他组织可以组成一个联合体，以一个供应商的身份共同参加政府采购。</w:t>
      </w:r>
      <w:r/>
    </w:p>
    <w:p>
      <w:pPr>
        <w:ind w:firstLine="441"/>
        <w:spacing w:line="360" w:lineRule="auto"/>
        <w:rPr>
          <w:szCs w:val="21"/>
        </w:rPr>
      </w:pPr>
      <w:r>
        <w:rPr>
          <w:szCs w:val="21"/>
        </w:rPr>
        <w:t xml:space="preserve">9.2鼓励大中型企业和其他自然人、法人或者其他组织与小型、微型企业组成联合体共同参加非专门面向中小企业的政府采购活动。</w:t>
      </w:r>
      <w:r/>
    </w:p>
    <w:p>
      <w:pPr>
        <w:ind w:firstLine="441"/>
        <w:spacing w:line="360" w:lineRule="auto"/>
        <w:rPr>
          <w:szCs w:val="21"/>
        </w:rPr>
      </w:pPr>
      <w:r>
        <w:rPr>
          <w:szCs w:val="21"/>
        </w:rPr>
        <w:t xml:space="preserve">9.</w:t>
      </w:r>
      <w:r>
        <w:rPr>
          <w:szCs w:val="21"/>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41"/>
        <w:spacing w:line="360" w:lineRule="auto"/>
        <w:rPr>
          <w:szCs w:val="21"/>
        </w:rPr>
      </w:pPr>
      <w:r>
        <w:rPr>
          <w:szCs w:val="21"/>
        </w:rPr>
        <w:t xml:space="preserve">9.4 联合体各方之间应当签订联合体协议，明确约定联合体各方承担的工作和相应的责任，并将联合体协议连同投标文件一并提交。</w:t>
      </w:r>
      <w:r/>
    </w:p>
    <w:p>
      <w:pPr>
        <w:ind w:firstLine="441"/>
        <w:spacing w:line="360" w:lineRule="auto"/>
        <w:rPr>
          <w:szCs w:val="21"/>
        </w:rPr>
      </w:pPr>
      <w:r>
        <w:rPr>
          <w:szCs w:val="21"/>
        </w:rPr>
        <w:t xml:space="preserve">9.5 以联合体形式参加政府采购活动的，联合体各方不得再单独参加或者与其他供应商另外组成联合体参加同一合同项下的政府采购活动。</w:t>
      </w:r>
      <w:r/>
    </w:p>
    <w:p>
      <w:pPr>
        <w:ind w:firstLine="420"/>
        <w:spacing w:line="360" w:lineRule="auto"/>
        <w:rPr>
          <w:b/>
          <w:szCs w:val="21"/>
          <w:lang w:val="zh-CN"/>
        </w:rPr>
      </w:pPr>
      <w:r/>
      <w:bookmarkStart w:id="67" w:name="_Toc231820606"/>
      <w:r>
        <w:rPr>
          <w:b/>
          <w:szCs w:val="21"/>
          <w:lang w:val="zh-CN"/>
        </w:rPr>
        <w:t xml:space="preserve">10.投标文件的组成（相应内容上传至投标客户端，并签电子公章）</w:t>
      </w:r>
      <w:bookmarkEnd w:id="67"/>
      <w:r/>
      <w:r/>
    </w:p>
    <w:p>
      <w:pPr>
        <w:ind w:firstLine="441"/>
        <w:spacing w:line="360" w:lineRule="auto"/>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供应商应当根据招标文件要求编制投标文件，投标文件应对招标文件提出的要求和条件作出实质性响应，并在《商务条款偏离表》和《技术条款偏离表》等处逐条标明满足与否。对带星号（“</w:t>
      </w:r>
      <w:r>
        <w:rPr>
          <w:rFonts w:ascii="Segoe UI Symbol" w:hAnsi="Segoe UI Symbol" w:cs="Segoe UI Symbol"/>
          <w:szCs w:val="21"/>
        </w:rPr>
        <w:t xml:space="preserve">★</w:t>
      </w:r>
      <w:r>
        <w:rPr>
          <w:szCs w:val="21"/>
        </w:rPr>
        <w:t xml:space="preserve">”）的技术条款必须在投标文件中提供技术支持资料（如白皮书、彩页、手册、检测报告等），未提供技术支持资料的，或未对招标文件做出实质性响应，将导致投标文件被视为无效，若评分细则另有规定的以评分细则规定为准。</w:t>
      </w:r>
      <w:r/>
    </w:p>
    <w:p>
      <w:pPr>
        <w:ind w:firstLine="441"/>
        <w:spacing w:line="360" w:lineRule="auto"/>
        <w:rPr>
          <w:szCs w:val="21"/>
        </w:rPr>
      </w:pPr>
      <w:r>
        <w:rPr>
          <w:szCs w:val="21"/>
        </w:rPr>
        <w:t xml:space="preserve">10.2 投标文件由商务部分、技术部分以及其他部分组成。</w:t>
      </w:r>
      <w:r/>
    </w:p>
    <w:p>
      <w:pPr>
        <w:ind w:firstLine="441"/>
        <w:spacing w:line="360" w:lineRule="auto"/>
        <w:rPr>
          <w:szCs w:val="21"/>
        </w:rPr>
      </w:pPr>
      <w:r>
        <w:rPr>
          <w:szCs w:val="21"/>
        </w:rPr>
        <w:t xml:space="preserve">10.3 投标文件的商务部分：</w:t>
      </w:r>
      <w:r/>
    </w:p>
    <w:p>
      <w:pPr>
        <w:ind w:firstLine="441"/>
        <w:spacing w:line="360" w:lineRule="auto"/>
        <w:rPr>
          <w:szCs w:val="21"/>
        </w:rPr>
      </w:pPr>
      <w:r>
        <w:rPr>
          <w:szCs w:val="21"/>
        </w:rPr>
        <w:t xml:space="preserve">商务部分是证明供应商有资格参加投标和中标后有能力履行合同的文件，这些文件应能满足招标的要求，包括但不限于下列文件，其中加※项目不得有缺失或无效。</w:t>
      </w:r>
      <w:r/>
    </w:p>
    <w:p>
      <w:pPr>
        <w:ind w:firstLine="441"/>
        <w:spacing w:line="360" w:lineRule="auto"/>
        <w:rPr>
          <w:szCs w:val="21"/>
        </w:rPr>
      </w:pPr>
      <w:r>
        <w:rPr>
          <w:szCs w:val="21"/>
        </w:rPr>
        <w:t xml:space="preserve">（1）※ 投标函（投标申请及声明）；</w:t>
      </w:r>
      <w:r/>
    </w:p>
    <w:p>
      <w:pPr>
        <w:ind w:firstLine="441"/>
        <w:spacing w:line="360" w:lineRule="auto"/>
        <w:rPr>
          <w:szCs w:val="21"/>
        </w:rPr>
      </w:pPr>
      <w:r>
        <w:rPr>
          <w:szCs w:val="21"/>
        </w:rPr>
        <w:t xml:space="preserve">（2）※法人代表授权书（原件）及法定代表人、授权代表身份证复印件； </w:t>
      </w:r>
      <w:r/>
    </w:p>
    <w:p>
      <w:pPr>
        <w:ind w:firstLine="441"/>
        <w:spacing w:line="360" w:lineRule="auto"/>
        <w:rPr>
          <w:szCs w:val="21"/>
        </w:rPr>
      </w:pPr>
      <w:r>
        <w:rPr>
          <w:szCs w:val="21"/>
        </w:rPr>
        <w:t xml:space="preserve">（3）※投标人资格条件证明文件；</w:t>
      </w:r>
      <w:r/>
    </w:p>
    <w:p>
      <w:pPr>
        <w:ind w:firstLine="441"/>
        <w:spacing w:line="360" w:lineRule="auto"/>
        <w:rPr>
          <w:szCs w:val="21"/>
        </w:rPr>
      </w:pPr>
      <w:r>
        <w:rPr>
          <w:szCs w:val="21"/>
        </w:rPr>
        <w:t xml:space="preserve">（4）※开标一览表（格式见附件）</w:t>
      </w:r>
      <w:r/>
    </w:p>
    <w:p>
      <w:pPr>
        <w:ind w:firstLine="441"/>
        <w:spacing w:line="360" w:lineRule="auto"/>
        <w:rPr>
          <w:szCs w:val="21"/>
        </w:rPr>
      </w:pPr>
      <w:r>
        <w:rPr>
          <w:szCs w:val="21"/>
        </w:rPr>
        <w:t xml:space="preserve">1）价格部分是对投标价格构成的说明，招标文件如没有特别说明的话，对每一项产品/服务仅接受一个价格。</w:t>
      </w:r>
      <w:r/>
    </w:p>
    <w:p>
      <w:pPr>
        <w:ind w:firstLine="441"/>
        <w:spacing w:line="360" w:lineRule="auto"/>
        <w:rPr>
          <w:szCs w:val="21"/>
        </w:rPr>
      </w:pPr>
      <w:r>
        <w:rPr>
          <w:szCs w:val="21"/>
        </w:rPr>
        <w:t xml:space="preserve">2）报价应包含完成本项目发生的所有含税费用、支付给员工的工资和国家强制缴纳的各种社会保障资金，以及供应商认为需要的其他费用等。</w:t>
      </w:r>
      <w:r/>
    </w:p>
    <w:p>
      <w:pPr>
        <w:ind w:firstLine="441"/>
        <w:spacing w:line="360" w:lineRule="auto"/>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41"/>
        <w:spacing w:line="360" w:lineRule="auto"/>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p>
    <w:p>
      <w:pPr>
        <w:ind w:firstLine="441"/>
        <w:spacing w:line="360" w:lineRule="auto"/>
        <w:rPr>
          <w:szCs w:val="21"/>
        </w:rPr>
      </w:pPr>
      <w:r>
        <w:rPr>
          <w:szCs w:val="21"/>
        </w:rPr>
        <w:t xml:space="preserve">（5）《商务条款偏离表》；</w:t>
      </w:r>
      <w:r/>
    </w:p>
    <w:p>
      <w:pPr>
        <w:ind w:firstLine="441"/>
        <w:spacing w:line="360" w:lineRule="auto"/>
        <w:rPr>
          <w:szCs w:val="21"/>
        </w:rPr>
      </w:pPr>
      <w:r>
        <w:rPr>
          <w:szCs w:val="21"/>
        </w:rPr>
        <w:t xml:space="preserve">（6）《南京市政府采购供应商信用记录表》（如招标公告中要求提供）；</w:t>
      </w:r>
      <w:r/>
    </w:p>
    <w:p>
      <w:pPr>
        <w:ind w:firstLine="441"/>
        <w:spacing w:line="360" w:lineRule="auto"/>
        <w:rPr>
          <w:szCs w:val="21"/>
        </w:rPr>
      </w:pPr>
      <w:r>
        <w:rPr>
          <w:szCs w:val="21"/>
        </w:rPr>
        <w:t xml:space="preserve">（7）※分项报价表（格式见附件）；</w:t>
      </w:r>
      <w:r/>
    </w:p>
    <w:p>
      <w:pPr>
        <w:ind w:firstLine="441"/>
        <w:spacing w:line="360" w:lineRule="auto"/>
        <w:rPr>
          <w:szCs w:val="21"/>
        </w:rPr>
      </w:pPr>
      <w:r>
        <w:rPr>
          <w:szCs w:val="21"/>
        </w:rPr>
        <w:t xml:space="preserve">（8）第三章评标标准中对应的其它所需证明材料（如有自行添加）；</w:t>
      </w:r>
      <w:r/>
    </w:p>
    <w:p>
      <w:pPr>
        <w:ind w:firstLine="441"/>
        <w:spacing w:line="360" w:lineRule="auto"/>
        <w:rPr>
          <w:szCs w:val="21"/>
        </w:rPr>
      </w:pPr>
      <w:r>
        <w:rPr>
          <w:szCs w:val="21"/>
        </w:rPr>
        <w:t xml:space="preserve">（9）要求采购人提供的配合（如有自拟并自行添加）；</w:t>
      </w:r>
      <w:r/>
    </w:p>
    <w:p>
      <w:pPr>
        <w:ind w:firstLine="441"/>
        <w:spacing w:line="360" w:lineRule="auto"/>
        <w:rPr>
          <w:szCs w:val="21"/>
        </w:rPr>
      </w:pPr>
      <w:r>
        <w:rPr>
          <w:szCs w:val="21"/>
        </w:rPr>
        <w:t xml:space="preserve">（10）供应商认为需要提供的其他资格证明文件和商务资料。</w:t>
      </w:r>
      <w:r/>
    </w:p>
    <w:p>
      <w:pPr>
        <w:ind w:firstLine="441"/>
        <w:spacing w:line="360" w:lineRule="auto"/>
        <w:rPr>
          <w:szCs w:val="21"/>
        </w:rPr>
      </w:pPr>
      <w:r>
        <w:rPr>
          <w:szCs w:val="21"/>
        </w:rPr>
        <w:t xml:space="preserve">10.4 投标文件的技术部分：</w:t>
      </w:r>
      <w:r/>
    </w:p>
    <w:p>
      <w:pPr>
        <w:ind w:firstLine="441"/>
        <w:spacing w:line="360" w:lineRule="auto"/>
        <w:rPr>
          <w:szCs w:val="21"/>
        </w:rPr>
      </w:pPr>
      <w:r>
        <w:rPr>
          <w:szCs w:val="21"/>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p>
    <w:p>
      <w:pPr>
        <w:ind w:firstLine="441"/>
        <w:spacing w:line="360" w:lineRule="auto"/>
        <w:rPr>
          <w:szCs w:val="21"/>
        </w:rPr>
      </w:pPr>
      <w:r>
        <w:rPr>
          <w:szCs w:val="21"/>
        </w:rPr>
        <w:t xml:space="preserve">（1） 货物、服务内容的详细说明；</w:t>
      </w:r>
      <w:r/>
    </w:p>
    <w:p>
      <w:pPr>
        <w:ind w:firstLine="441"/>
        <w:spacing w:line="360" w:lineRule="auto"/>
        <w:rPr>
          <w:szCs w:val="21"/>
        </w:rPr>
      </w:pPr>
      <w:r>
        <w:rPr>
          <w:szCs w:val="21"/>
        </w:rPr>
        <w:t xml:space="preserve">（2）※《技术条款偏离表》；</w:t>
      </w:r>
      <w:r/>
    </w:p>
    <w:p>
      <w:pPr>
        <w:ind w:firstLine="441"/>
        <w:spacing w:line="360" w:lineRule="auto"/>
        <w:rPr>
          <w:szCs w:val="21"/>
        </w:rPr>
      </w:pPr>
      <w:r>
        <w:rPr>
          <w:szCs w:val="21"/>
        </w:rPr>
        <w:t xml:space="preserve">（3）投标产品配置清单及技术说明；</w:t>
      </w:r>
      <w:r/>
    </w:p>
    <w:p>
      <w:pPr>
        <w:ind w:firstLine="441"/>
        <w:spacing w:line="360" w:lineRule="auto"/>
        <w:rPr>
          <w:szCs w:val="21"/>
        </w:rPr>
      </w:pPr>
      <w:r>
        <w:rPr>
          <w:szCs w:val="21"/>
        </w:rPr>
        <w:t xml:space="preserve">（4）货物安装、验收标准、货物技术资料；</w:t>
      </w:r>
      <w:r/>
    </w:p>
    <w:p>
      <w:pPr>
        <w:ind w:firstLine="441"/>
        <w:spacing w:line="360" w:lineRule="auto"/>
        <w:rPr>
          <w:szCs w:val="21"/>
        </w:rPr>
      </w:pPr>
      <w:r>
        <w:rPr>
          <w:szCs w:val="21"/>
        </w:rPr>
        <w:t xml:space="preserve">（5）项目集成（实施）方案；</w:t>
      </w:r>
      <w:r/>
    </w:p>
    <w:p>
      <w:pPr>
        <w:ind w:firstLine="441"/>
        <w:spacing w:line="360" w:lineRule="auto"/>
        <w:rPr>
          <w:szCs w:val="21"/>
        </w:rPr>
      </w:pPr>
      <w:r>
        <w:rPr>
          <w:szCs w:val="21"/>
        </w:rPr>
        <w:t xml:space="preserve">（6）服务承诺；</w:t>
      </w:r>
      <w:r/>
    </w:p>
    <w:p>
      <w:pPr>
        <w:ind w:firstLine="441"/>
        <w:spacing w:line="360" w:lineRule="auto"/>
        <w:rPr>
          <w:szCs w:val="21"/>
        </w:rPr>
      </w:pPr>
      <w:r>
        <w:rPr>
          <w:szCs w:val="21"/>
        </w:rPr>
        <w:t xml:space="preserve">（7）供应商认为需要提供的其他技术资料。</w:t>
      </w:r>
      <w:r/>
    </w:p>
    <w:p>
      <w:pPr>
        <w:ind w:firstLine="441"/>
        <w:spacing w:line="360" w:lineRule="auto"/>
        <w:rPr>
          <w:szCs w:val="21"/>
        </w:rPr>
      </w:pPr>
      <w:r>
        <w:rPr>
          <w:szCs w:val="21"/>
        </w:rPr>
        <w:t xml:space="preserve">10.5 投标文件的其他部分：</w:t>
      </w:r>
      <w:r/>
    </w:p>
    <w:p>
      <w:pPr>
        <w:ind w:firstLine="441"/>
        <w:spacing w:line="360" w:lineRule="auto"/>
        <w:rPr>
          <w:szCs w:val="21"/>
        </w:rPr>
      </w:pPr>
      <w:r>
        <w:rPr>
          <w:szCs w:val="21"/>
        </w:rPr>
        <w:t xml:space="preserve">其他部分由供应商根据编制投标文件需要提供的其他相关文件。</w:t>
      </w:r>
      <w:r/>
    </w:p>
    <w:p>
      <w:pPr>
        <w:ind w:firstLine="441"/>
        <w:spacing w:line="360" w:lineRule="auto"/>
        <w:rPr>
          <w:szCs w:val="21"/>
        </w:rPr>
      </w:pPr>
      <w:r/>
      <w:bookmarkStart w:id="68" w:name="_Toc231820607"/>
      <w:r>
        <w:rPr>
          <w:szCs w:val="21"/>
        </w:rPr>
        <w:t xml:space="preserve">注：投标人递交的投标文件，所有内容均应真实有效；投标人所提供的产品或服务，必须满足国家相关强制性规定要求（如CCC认证、计量器具生产许可证、医疗器械注册证、电器电子产品有害物质限制使用标识等）；一旦成为中标候选人后，由于因投标人违反国家相关强制性规定或弄虚作假，而给招标人造成损失，一切责任和后果均由投标人承担。</w:t>
      </w:r>
      <w:bookmarkEnd w:id="68"/>
      <w:r/>
      <w:r/>
    </w:p>
    <w:p>
      <w:pPr>
        <w:ind w:firstLine="420"/>
        <w:spacing w:line="360" w:lineRule="auto"/>
        <w:rPr>
          <w:b/>
          <w:szCs w:val="21"/>
          <w:lang w:val="zh-CN"/>
        </w:rPr>
      </w:pPr>
      <w:r/>
      <w:bookmarkStart w:id="69" w:name="_Toc231820608"/>
      <w:r>
        <w:rPr>
          <w:b/>
          <w:szCs w:val="21"/>
          <w:lang w:val="zh-CN"/>
        </w:rPr>
        <w:t xml:space="preserve">11.投标文件的有效期</w:t>
      </w:r>
      <w:bookmarkEnd w:id="69"/>
      <w:r/>
      <w:r/>
    </w:p>
    <w:p>
      <w:pPr>
        <w:ind w:firstLine="441"/>
        <w:spacing w:line="360" w:lineRule="auto"/>
        <w:rPr>
          <w:szCs w:val="21"/>
        </w:rPr>
      </w:pPr>
      <w:r>
        <w:rPr>
          <w:szCs w:val="21"/>
        </w:rPr>
        <w:t xml:space="preserve">11.1自开标之日起90天内，投标文件应保持有效，有效期短于此规定的投标文件将视为无效。</w:t>
      </w:r>
      <w:r/>
    </w:p>
    <w:p>
      <w:pPr>
        <w:ind w:firstLine="441"/>
        <w:spacing w:line="360" w:lineRule="auto"/>
        <w:rPr>
          <w:szCs w:val="21"/>
        </w:rPr>
      </w:pPr>
      <w:r>
        <w:rPr>
          <w:szCs w:val="21"/>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ind w:firstLine="420"/>
        <w:spacing w:line="360" w:lineRule="auto"/>
        <w:rPr>
          <w:b/>
          <w:szCs w:val="21"/>
          <w:lang w:val="zh-CN"/>
        </w:rPr>
      </w:pPr>
      <w:r/>
      <w:bookmarkStart w:id="70" w:name="_Toc231820609"/>
      <w:r>
        <w:rPr>
          <w:b/>
          <w:szCs w:val="21"/>
          <w:lang w:val="zh-CN"/>
        </w:rPr>
        <w:t xml:space="preserve">12.投标文件的签署及其形式</w:t>
      </w:r>
      <w:bookmarkEnd w:id="70"/>
      <w:r/>
      <w:r/>
    </w:p>
    <w:p>
      <w:pPr>
        <w:ind w:firstLine="441"/>
        <w:spacing w:line="360" w:lineRule="auto"/>
        <w:rPr>
          <w:szCs w:val="21"/>
        </w:rPr>
      </w:pPr>
      <w:r>
        <w:rPr>
          <w:szCs w:val="21"/>
        </w:rPr>
        <w:t xml:space="preserve">12.1 投标人应由其法定代表人或法定代表人授权代表在规定的网上投标时间，凭 CA 证书登录“苏采云”系统在线编制投标文件（电子数据），并在投标截止时间之前上传投标文件。</w:t>
      </w:r>
      <w:r/>
    </w:p>
    <w:p>
      <w:pPr>
        <w:ind w:firstLine="441"/>
        <w:spacing w:line="360" w:lineRule="auto"/>
        <w:rPr>
          <w:szCs w:val="21"/>
        </w:rPr>
      </w:pPr>
      <w:r>
        <w:rPr>
          <w:szCs w:val="21"/>
        </w:rPr>
        <w:t xml:space="preserve">12.2 投标人应对 CA 证书妥善保管，如被他人盗用投标，因此带来的结果均由投标人自行承担。</w:t>
      </w:r>
      <w:r/>
    </w:p>
    <w:p>
      <w:pPr>
        <w:ind w:firstLine="441"/>
        <w:spacing w:line="360" w:lineRule="auto"/>
        <w:rPr>
          <w:szCs w:val="21"/>
        </w:rPr>
      </w:pPr>
      <w:r>
        <w:rPr>
          <w:szCs w:val="21"/>
        </w:rPr>
        <w:t xml:space="preserve">12.3 投标人应当对招标文件提出的要求和条件作出实质性响应，并在电子投标系统逐条应答。</w:t>
      </w:r>
      <w:r/>
    </w:p>
    <w:p>
      <w:pPr>
        <w:ind w:firstLine="441"/>
        <w:spacing w:line="360" w:lineRule="auto"/>
        <w:rPr>
          <w:szCs w:val="21"/>
        </w:rPr>
      </w:pPr>
      <w:r>
        <w:rPr>
          <w:szCs w:val="21"/>
        </w:rPr>
        <w:t xml:space="preserve">12.4 投标人应对要求提供的资格证明文件（如资质证书、资格证书）、技术资料（如白皮书、彩页、手册、检测报告等）扫描上传至投标系统。</w:t>
      </w:r>
      <w:r/>
    </w:p>
    <w:p>
      <w:pPr>
        <w:spacing w:line="360" w:lineRule="auto"/>
        <w:shd w:val="clear" w:color="auto" w:fill="ffffff"/>
        <w:widowControl/>
        <w:rPr>
          <w:b/>
          <w:bCs/>
          <w:szCs w:val="21"/>
        </w:rPr>
        <w:outlineLvl w:val="1"/>
      </w:pPr>
      <w:r/>
      <w:bookmarkStart w:id="71" w:name="_Toc231822737"/>
      <w:r>
        <w:rPr>
          <w:b/>
          <w:bCs/>
          <w:szCs w:val="21"/>
        </w:rPr>
        <w:t xml:space="preserve">四、投标文件的递交</w:t>
      </w:r>
      <w:bookmarkEnd w:id="71"/>
      <w:r/>
      <w:r/>
    </w:p>
    <w:p>
      <w:pPr>
        <w:ind w:firstLine="420"/>
        <w:spacing w:line="360" w:lineRule="auto"/>
        <w:rPr>
          <w:bCs/>
          <w:szCs w:val="21"/>
        </w:rPr>
      </w:pPr>
      <w:r>
        <w:rPr>
          <w:bCs/>
          <w:szCs w:val="21"/>
        </w:rPr>
        <w:t xml:space="preserve">13.电子投标文件的递交</w:t>
      </w:r>
      <w:r/>
    </w:p>
    <w:p>
      <w:pPr>
        <w:ind w:firstLine="420"/>
        <w:spacing w:line="360" w:lineRule="auto"/>
        <w:rPr>
          <w:bCs/>
          <w:szCs w:val="21"/>
        </w:rPr>
      </w:pPr>
      <w:r>
        <w:rPr>
          <w:bCs/>
          <w:szCs w:val="21"/>
        </w:rPr>
        <w:t xml:space="preserve">13.1 投标人应当按照规定，在投标截止时间前制作并上传电子投标文件。</w:t>
      </w:r>
      <w:r/>
    </w:p>
    <w:p>
      <w:pPr>
        <w:ind w:firstLine="420"/>
        <w:spacing w:line="360" w:lineRule="auto"/>
        <w:rPr>
          <w:bCs/>
          <w:szCs w:val="21"/>
        </w:rPr>
      </w:pPr>
      <w:r>
        <w:rPr>
          <w:bCs/>
          <w:szCs w:val="21"/>
        </w:rPr>
        <w:t xml:space="preserve">14.投标截止日期</w:t>
      </w:r>
      <w:r/>
    </w:p>
    <w:p>
      <w:pPr>
        <w:ind w:firstLine="420"/>
        <w:spacing w:line="360" w:lineRule="auto"/>
        <w:rPr>
          <w:bCs/>
          <w:szCs w:val="21"/>
        </w:rPr>
      </w:pPr>
      <w:r>
        <w:rPr>
          <w:bCs/>
          <w:szCs w:val="21"/>
        </w:rPr>
        <w:t xml:space="preserve">14.1 投标人上传电子投标文件的时间不得迟于招标公告中规定的投标截止时间。</w:t>
      </w:r>
      <w:r/>
    </w:p>
    <w:p>
      <w:pPr>
        <w:ind w:firstLine="420"/>
        <w:spacing w:line="360" w:lineRule="auto"/>
        <w:rPr>
          <w:bCs/>
          <w:szCs w:val="21"/>
        </w:rPr>
      </w:pPr>
      <w:r>
        <w:rPr>
          <w:bCs/>
          <w:szCs w:val="21"/>
        </w:rPr>
        <w:t xml:space="preserve">投标人应充分考虑到网络环境、网络带宽等风险因素，如因投标人自身原因造成的电子投标文件上传不成功的作无效投标处理。</w:t>
      </w:r>
      <w:r/>
    </w:p>
    <w:p>
      <w:pPr>
        <w:ind w:firstLine="420"/>
        <w:spacing w:line="360" w:lineRule="auto"/>
        <w:rPr>
          <w:bCs/>
          <w:szCs w:val="21"/>
        </w:rPr>
      </w:pPr>
      <w:r>
        <w:rPr>
          <w:bCs/>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b/>
          <w:bCs/>
          <w:color w:val="000000"/>
          <w:szCs w:val="21"/>
        </w:rPr>
      </w:pPr>
      <w:r/>
      <w:bookmarkStart w:id="72" w:name="_Toc16938543"/>
      <w:r/>
      <w:bookmarkStart w:id="73" w:name="_Toc20823299"/>
      <w:r/>
      <w:bookmarkStart w:id="74" w:name="_Toc513029227"/>
      <w:r>
        <w:rPr>
          <w:b/>
          <w:bCs/>
          <w:color w:val="000000"/>
          <w:szCs w:val="21"/>
        </w:rPr>
        <w:t xml:space="preserve">15.投标文件</w:t>
      </w:r>
      <w:bookmarkEnd w:id="72"/>
      <w:r/>
      <w:bookmarkEnd w:id="73"/>
      <w:r/>
      <w:bookmarkEnd w:id="74"/>
      <w:r>
        <w:rPr>
          <w:b/>
          <w:bCs/>
          <w:color w:val="000000"/>
          <w:szCs w:val="21"/>
        </w:rPr>
        <w:t xml:space="preserve">的拒收</w:t>
      </w:r>
      <w:r/>
    </w:p>
    <w:p>
      <w:pPr>
        <w:ind w:firstLine="420"/>
        <w:spacing w:line="360" w:lineRule="auto"/>
        <w:shd w:val="clear" w:color="auto" w:fill="ffffff"/>
        <w:widowControl/>
        <w:rPr>
          <w:color w:val="000000"/>
          <w:szCs w:val="21"/>
        </w:rPr>
      </w:pPr>
      <w:r>
        <w:rPr>
          <w:color w:val="000000"/>
          <w:szCs w:val="21"/>
        </w:rPr>
        <w:t xml:space="preserve">15.1 采购人及采购代理机构拒绝接收在其规定的投标截止时间后上传的任何投标文件。</w:t>
      </w:r>
      <w:r/>
    </w:p>
    <w:p>
      <w:pPr>
        <w:ind w:firstLine="422"/>
        <w:spacing w:line="360" w:lineRule="auto"/>
        <w:shd w:val="clear" w:color="auto" w:fill="ffffff"/>
        <w:widowControl/>
        <w:rPr>
          <w:b/>
          <w:bCs/>
          <w:color w:val="000000"/>
          <w:szCs w:val="21"/>
        </w:rPr>
      </w:pPr>
      <w:r/>
      <w:bookmarkStart w:id="75" w:name="_Toc513029228"/>
      <w:r/>
      <w:bookmarkStart w:id="76" w:name="_Toc16938544"/>
      <w:r/>
      <w:bookmarkStart w:id="77" w:name="_Toc20823300"/>
      <w:r>
        <w:rPr>
          <w:b/>
          <w:bCs/>
          <w:color w:val="000000"/>
          <w:szCs w:val="21"/>
        </w:rPr>
        <w:t xml:space="preserve">16.投标文件的撤回和修改</w:t>
      </w:r>
      <w:bookmarkEnd w:id="75"/>
      <w:r/>
      <w:bookmarkEnd w:id="76"/>
      <w:r/>
      <w:bookmarkEnd w:id="77"/>
      <w:r/>
      <w:r/>
    </w:p>
    <w:p>
      <w:pPr>
        <w:ind w:firstLine="420"/>
        <w:spacing w:line="360" w:lineRule="auto"/>
        <w:shd w:val="clear" w:color="auto" w:fill="ffffff"/>
        <w:widowControl/>
        <w:rPr>
          <w:color w:val="000000"/>
          <w:szCs w:val="21"/>
        </w:rPr>
      </w:pPr>
      <w:r>
        <w:rPr>
          <w:color w:val="000000"/>
          <w:szCs w:val="21"/>
        </w:rPr>
        <w:t xml:space="preserve">16.1 投标文件的撤回</w:t>
      </w:r>
      <w:r/>
    </w:p>
    <w:p>
      <w:pPr>
        <w:ind w:firstLine="420"/>
        <w:spacing w:line="360" w:lineRule="auto"/>
        <w:shd w:val="clear" w:color="auto" w:fill="ffffff"/>
        <w:widowControl/>
        <w:rPr>
          <w:color w:val="000000"/>
          <w:szCs w:val="21"/>
        </w:rPr>
      </w:pPr>
      <w:r>
        <w:rPr>
          <w:color w:val="000000"/>
          <w:szCs w:val="21"/>
        </w:rPr>
        <w:t xml:space="preserve">16.1.1 电子投标文件的撤回</w:t>
      </w:r>
      <w:r/>
    </w:p>
    <w:p>
      <w:pPr>
        <w:ind w:firstLine="420"/>
        <w:spacing w:line="360" w:lineRule="auto"/>
        <w:shd w:val="clear" w:color="auto" w:fill="ffffff"/>
        <w:widowControl/>
        <w:rPr>
          <w:color w:val="000000"/>
          <w:szCs w:val="21"/>
        </w:rPr>
      </w:pPr>
      <w:r>
        <w:rPr>
          <w:color w:val="000000"/>
          <w:szCs w:val="21"/>
        </w:rPr>
        <w:t xml:space="preserve">投标人可在投标截止时间前，撤回其电子投标文件。</w:t>
      </w:r>
      <w:r/>
    </w:p>
    <w:p>
      <w:pPr>
        <w:ind w:firstLine="420"/>
        <w:spacing w:line="360" w:lineRule="auto"/>
        <w:shd w:val="clear" w:color="auto" w:fill="ffffff"/>
        <w:widowControl/>
        <w:rPr>
          <w:color w:val="000000"/>
          <w:szCs w:val="21"/>
        </w:rPr>
      </w:pPr>
      <w:r>
        <w:rPr>
          <w:color w:val="000000"/>
          <w:szCs w:val="21"/>
        </w:rPr>
        <w:t xml:space="preserve">16.1.2 投标人撤回电子投标文件，则认为其不再参与本项目投标活动。</w:t>
      </w:r>
      <w:r/>
    </w:p>
    <w:p>
      <w:pPr>
        <w:ind w:firstLine="420"/>
        <w:spacing w:line="360" w:lineRule="auto"/>
        <w:shd w:val="clear" w:color="auto" w:fill="ffffff"/>
        <w:widowControl/>
        <w:rPr>
          <w:color w:val="000000"/>
          <w:szCs w:val="21"/>
        </w:rPr>
      </w:pPr>
      <w:r>
        <w:rPr>
          <w:color w:val="000000"/>
          <w:szCs w:val="21"/>
        </w:rPr>
        <w:t xml:space="preserve">16.2 投标文件的修改</w:t>
      </w:r>
      <w:r/>
    </w:p>
    <w:p>
      <w:pPr>
        <w:ind w:firstLine="420"/>
        <w:spacing w:line="360" w:lineRule="auto"/>
        <w:shd w:val="clear" w:color="auto" w:fill="ffffff"/>
        <w:widowControl/>
        <w:rPr>
          <w:color w:val="000000"/>
          <w:szCs w:val="21"/>
        </w:rPr>
      </w:pPr>
      <w:r>
        <w:rPr>
          <w:color w:val="000000"/>
          <w:szCs w:val="21"/>
        </w:rPr>
        <w:t xml:space="preserve">16.2.1 投标人可在投标截止时间前，对其电子投标文件进行修改。</w:t>
      </w:r>
      <w:r/>
    </w:p>
    <w:p>
      <w:pPr>
        <w:ind w:firstLine="420"/>
        <w:spacing w:line="360" w:lineRule="auto"/>
        <w:shd w:val="clear" w:color="auto" w:fill="ffffff"/>
        <w:widowControl/>
        <w:rPr>
          <w:color w:val="000000"/>
          <w:szCs w:val="21"/>
        </w:rPr>
      </w:pPr>
      <w:r>
        <w:rPr>
          <w:color w:val="000000"/>
          <w:szCs w:val="21"/>
        </w:rPr>
        <w:t xml:space="preserve">16.2.2 在投标截止时间之后，投标人不得对其电子投标文件作任何修改。</w:t>
      </w:r>
      <w:r/>
    </w:p>
    <w:p>
      <w:pPr>
        <w:ind w:firstLine="420"/>
        <w:spacing w:line="360" w:lineRule="auto"/>
        <w:shd w:val="clear" w:color="auto" w:fill="ffffff"/>
        <w:widowControl/>
        <w:rPr>
          <w:color w:val="000000"/>
          <w:szCs w:val="21"/>
        </w:rPr>
      </w:pPr>
      <w:r/>
      <w:bookmarkStart w:id="78" w:name="_Toc231820611"/>
      <w:r>
        <w:rPr>
          <w:color w:val="000000"/>
          <w:szCs w:val="21"/>
        </w:rPr>
        <w:t xml:space="preserve">16.3 在投标截止时间至招标文件中规定的投标有效期满之间的这段时间内，投标人不得撤回其投标。</w:t>
      </w:r>
      <w:bookmarkEnd w:id="78"/>
      <w:r/>
      <w:r/>
    </w:p>
    <w:p>
      <w:pPr>
        <w:ind w:firstLine="422"/>
        <w:spacing w:line="360" w:lineRule="auto"/>
        <w:shd w:val="clear" w:color="auto" w:fill="ffffff"/>
        <w:widowControl/>
        <w:rPr>
          <w:b/>
          <w:bCs/>
          <w:szCs w:val="21"/>
        </w:rPr>
        <w:outlineLvl w:val="1"/>
      </w:pPr>
      <w:r/>
      <w:bookmarkStart w:id="79" w:name="_Toc231822738"/>
      <w:r>
        <w:rPr>
          <w:b/>
          <w:bCs/>
          <w:szCs w:val="21"/>
        </w:rPr>
        <w:t xml:space="preserve">五、开标与评标</w:t>
      </w:r>
      <w:bookmarkEnd w:id="79"/>
      <w:r/>
      <w:r/>
    </w:p>
    <w:p>
      <w:pPr>
        <w:ind w:firstLine="422"/>
        <w:spacing w:line="360" w:lineRule="auto"/>
        <w:rPr>
          <w:b/>
          <w:szCs w:val="21"/>
        </w:rPr>
      </w:pPr>
      <w:r/>
      <w:bookmarkStart w:id="80" w:name="_Toc231820613"/>
      <w:r>
        <w:rPr>
          <w:b/>
          <w:szCs w:val="21"/>
        </w:rPr>
        <w:t xml:space="preserve">17.开标</w:t>
      </w:r>
      <w:bookmarkEnd w:id="80"/>
      <w:r/>
      <w:r/>
    </w:p>
    <w:p>
      <w:pPr>
        <w:ind w:firstLine="420"/>
        <w:spacing w:line="360" w:lineRule="auto"/>
        <w:rPr>
          <w:bCs/>
          <w:szCs w:val="21"/>
        </w:rPr>
      </w:pPr>
      <w:r>
        <w:rPr>
          <w:bCs/>
          <w:szCs w:val="21"/>
        </w:rPr>
        <w:t xml:space="preserve">17.1 开标时间及地点。开标应当在招标文件确定的提交投标文件截止时间的同一时间公开进行；开标地点应当为招标文件中预先确定的地点。</w:t>
      </w:r>
      <w:r/>
    </w:p>
    <w:p>
      <w:pPr>
        <w:ind w:firstLine="420"/>
        <w:spacing w:line="360" w:lineRule="auto"/>
        <w:rPr>
          <w:bCs/>
          <w:szCs w:val="21"/>
        </w:rPr>
      </w:pPr>
      <w:r>
        <w:rPr>
          <w:bCs/>
          <w:szCs w:val="21"/>
        </w:rPr>
        <w:t xml:space="preserve">17.2 由电子招标投标交易平台主持，邀请投标人参加。</w:t>
      </w:r>
      <w:r/>
    </w:p>
    <w:p>
      <w:pPr>
        <w:ind w:firstLine="420"/>
        <w:spacing w:line="360" w:lineRule="auto"/>
        <w:rPr>
          <w:bCs/>
          <w:szCs w:val="21"/>
        </w:rPr>
      </w:pPr>
      <w:r>
        <w:rPr>
          <w:bCs/>
          <w:szCs w:val="21"/>
        </w:rPr>
        <w:t xml:space="preserve">17.3 所有投标单位使用 CA 证书在开标时间时解密各自投标文件，由工作人员操作系统进行开标。投标人不足3家的，不得开标。</w:t>
      </w:r>
      <w:r/>
    </w:p>
    <w:p>
      <w:pPr>
        <w:ind w:firstLine="420"/>
        <w:spacing w:line="360" w:lineRule="auto"/>
        <w:rPr>
          <w:bCs/>
          <w:szCs w:val="21"/>
        </w:rPr>
      </w:pPr>
      <w:r>
        <w:rPr>
          <w:bCs/>
          <w:szCs w:val="21"/>
        </w:rPr>
        <w:t xml:space="preserve">17.4 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b/>
          <w:szCs w:val="21"/>
        </w:rPr>
      </w:pPr>
      <w:r>
        <w:rPr>
          <w:b/>
          <w:szCs w:val="21"/>
        </w:rPr>
        <w:t xml:space="preserve">18.资格性审查</w:t>
      </w:r>
      <w:r/>
    </w:p>
    <w:p>
      <w:pPr>
        <w:ind w:firstLine="420"/>
        <w:spacing w:line="360" w:lineRule="auto"/>
        <w:rPr>
          <w:bCs/>
          <w:szCs w:val="21"/>
        </w:rPr>
      </w:pPr>
      <w:r>
        <w:rPr>
          <w:bCs/>
          <w:szCs w:val="21"/>
        </w:rPr>
        <w:t xml:space="preserve">18.1 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bCs/>
          <w:szCs w:val="21"/>
        </w:rPr>
      </w:pPr>
      <w:r>
        <w:rPr>
          <w:bCs/>
          <w:szCs w:val="21"/>
        </w:rPr>
        <w:t xml:space="preserve">18.2 信用信息查询</w:t>
      </w:r>
      <w:r/>
    </w:p>
    <w:p>
      <w:pPr>
        <w:ind w:firstLine="420"/>
        <w:spacing w:line="360" w:lineRule="auto"/>
        <w:rPr>
          <w:bCs/>
          <w:szCs w:val="21"/>
        </w:rPr>
      </w:pPr>
      <w:r>
        <w:rPr>
          <w:bCs/>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bCs/>
          <w:szCs w:val="21"/>
        </w:rPr>
      </w:pPr>
      <w:r>
        <w:rPr>
          <w:bCs/>
          <w:szCs w:val="21"/>
        </w:rPr>
        <w:t xml:space="preserve">18.3 通过资格性审查合格的投标人不足3家的，不得评标。</w:t>
      </w:r>
      <w:r/>
    </w:p>
    <w:p>
      <w:pPr>
        <w:ind w:firstLine="422"/>
        <w:spacing w:line="360" w:lineRule="auto"/>
        <w:rPr>
          <w:b/>
          <w:szCs w:val="21"/>
        </w:rPr>
      </w:pPr>
      <w:r>
        <w:rPr>
          <w:b/>
          <w:szCs w:val="21"/>
        </w:rPr>
        <w:t xml:space="preserve">19.评标 </w:t>
      </w:r>
      <w:r/>
    </w:p>
    <w:p>
      <w:pPr>
        <w:ind w:firstLine="420"/>
        <w:spacing w:line="360" w:lineRule="auto"/>
        <w:rPr>
          <w:bCs/>
          <w:szCs w:val="21"/>
        </w:rPr>
      </w:pPr>
      <w:r>
        <w:rPr>
          <w:bCs/>
          <w:szCs w:val="21"/>
        </w:rPr>
        <w:t xml:space="preserve">19.1 评标组织</w:t>
      </w:r>
      <w:r/>
    </w:p>
    <w:p>
      <w:pPr>
        <w:ind w:firstLine="420"/>
        <w:spacing w:line="360" w:lineRule="auto"/>
        <w:rPr>
          <w:bCs/>
          <w:szCs w:val="21"/>
        </w:rPr>
      </w:pPr>
      <w:r>
        <w:rPr>
          <w:bCs/>
          <w:szCs w:val="21"/>
        </w:rPr>
        <w:t xml:space="preserve">评标工作由采购代理机构负责组织，具体评标事务由依法组建的评标委员会负责，并独立履行下列职责：</w:t>
      </w:r>
      <w:r/>
    </w:p>
    <w:p>
      <w:pPr>
        <w:ind w:firstLine="420"/>
        <w:spacing w:line="360" w:lineRule="auto"/>
        <w:rPr>
          <w:bCs/>
          <w:szCs w:val="21"/>
        </w:rPr>
      </w:pPr>
      <w:r>
        <w:rPr>
          <w:bCs/>
          <w:szCs w:val="21"/>
        </w:rPr>
        <w:t xml:space="preserve">（1）审查、评价投标文件是否符合招标文件的商务、技术等实质性要求；</w:t>
      </w:r>
      <w:r/>
    </w:p>
    <w:p>
      <w:pPr>
        <w:ind w:firstLine="420"/>
        <w:spacing w:line="360" w:lineRule="auto"/>
        <w:rPr>
          <w:bCs/>
          <w:szCs w:val="21"/>
        </w:rPr>
      </w:pPr>
      <w:r>
        <w:rPr>
          <w:bCs/>
          <w:szCs w:val="21"/>
        </w:rPr>
        <w:t xml:space="preserve">（2）要求投标人对投标文件有关事项作出澄清或者说明；</w:t>
      </w:r>
      <w:r/>
    </w:p>
    <w:p>
      <w:pPr>
        <w:ind w:firstLine="420"/>
        <w:spacing w:line="360" w:lineRule="auto"/>
        <w:rPr>
          <w:bCs/>
          <w:szCs w:val="21"/>
        </w:rPr>
      </w:pPr>
      <w:r>
        <w:rPr>
          <w:bCs/>
          <w:szCs w:val="21"/>
        </w:rPr>
        <w:t xml:space="preserve">（3）对投标文件进行比较和评价；</w:t>
      </w:r>
      <w:r/>
    </w:p>
    <w:p>
      <w:pPr>
        <w:ind w:firstLine="420"/>
        <w:spacing w:line="360" w:lineRule="auto"/>
        <w:rPr>
          <w:bCs/>
          <w:szCs w:val="21"/>
        </w:rPr>
      </w:pPr>
      <w:r>
        <w:rPr>
          <w:bCs/>
          <w:szCs w:val="21"/>
        </w:rPr>
        <w:t xml:space="preserve">（4）确定中标候选人名单，以及根据采购人委托直接确定中标人；</w:t>
      </w:r>
      <w:r/>
    </w:p>
    <w:p>
      <w:pPr>
        <w:ind w:firstLine="420"/>
        <w:spacing w:line="360" w:lineRule="auto"/>
        <w:rPr>
          <w:bCs/>
          <w:szCs w:val="21"/>
        </w:rPr>
      </w:pPr>
      <w:r>
        <w:rPr>
          <w:bCs/>
          <w:szCs w:val="21"/>
        </w:rPr>
        <w:t xml:space="preserve">（5）向采购人、采购代理机构或者有关部门报告评标中发现的违法行为。</w:t>
      </w:r>
      <w:r/>
    </w:p>
    <w:p>
      <w:pPr>
        <w:ind w:firstLine="420"/>
        <w:spacing w:line="360" w:lineRule="auto"/>
        <w:rPr>
          <w:bCs/>
          <w:szCs w:val="21"/>
        </w:rPr>
      </w:pPr>
      <w:r>
        <w:rPr>
          <w:bCs/>
          <w:szCs w:val="21"/>
        </w:rPr>
        <w:t xml:space="preserve">19.2 评标委员会由采购人代表和有关技术、经济等方面的专家组成，独立开展评审工作且评标委员会人员构成符合有关规定。</w:t>
      </w:r>
      <w:r/>
    </w:p>
    <w:p>
      <w:pPr>
        <w:ind w:firstLine="420"/>
        <w:spacing w:line="360" w:lineRule="auto"/>
        <w:rPr>
          <w:bCs/>
          <w:szCs w:val="21"/>
        </w:rPr>
      </w:pPr>
      <w:r/>
      <w:bookmarkStart w:id="81" w:name="_Toc16288"/>
      <w:r>
        <w:rPr>
          <w:bCs/>
          <w:szCs w:val="21"/>
        </w:rPr>
        <w:t xml:space="preserve">19.3 对投标文件的符合性审查</w:t>
      </w:r>
      <w:bookmarkEnd w:id="81"/>
      <w:r/>
      <w:r/>
    </w:p>
    <w:p>
      <w:pPr>
        <w:ind w:firstLine="420"/>
        <w:spacing w:line="360" w:lineRule="auto"/>
        <w:rPr>
          <w:bCs/>
          <w:szCs w:val="21"/>
        </w:rPr>
      </w:pPr>
      <w:r>
        <w:rPr>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19.4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19.5评标委员会在初审中，对明显的文字和算术错误的修正原则如下：</w:t>
      </w:r>
      <w:r/>
    </w:p>
    <w:p>
      <w:pPr>
        <w:ind w:firstLine="420"/>
        <w:spacing w:line="360" w:lineRule="auto"/>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（2）投标文件的大写金额与小写金额不一致的，以大写金额为准；</w:t>
      </w:r>
      <w:r/>
    </w:p>
    <w:p>
      <w:pPr>
        <w:ind w:firstLine="420"/>
        <w:spacing w:line="360" w:lineRule="auto"/>
        <w:rPr>
          <w:bCs/>
          <w:szCs w:val="21"/>
        </w:rPr>
      </w:pPr>
      <w:r>
        <w:rPr>
          <w:bCs/>
          <w:szCs w:val="21"/>
        </w:rPr>
        <w:t xml:space="preserve">（3）总价金额与单价金额不一致的，以单价金额计算结果为准；</w:t>
      </w:r>
      <w:r/>
    </w:p>
    <w:p>
      <w:pPr>
        <w:ind w:firstLine="420"/>
        <w:spacing w:line="360" w:lineRule="auto"/>
        <w:rPr>
          <w:bCs/>
          <w:szCs w:val="21"/>
        </w:rPr>
      </w:pPr>
      <w:r>
        <w:rPr>
          <w:bCs/>
          <w:szCs w:val="21"/>
        </w:rPr>
        <w:t xml:space="preserve">（4）单价金额小数点有明显错位的，以总价金额为准，并修改单价金额；</w:t>
      </w:r>
      <w:r/>
    </w:p>
    <w:p>
      <w:pPr>
        <w:ind w:firstLine="420"/>
        <w:spacing w:line="360" w:lineRule="auto"/>
        <w:rPr>
          <w:bCs/>
          <w:szCs w:val="21"/>
        </w:rPr>
      </w:pPr>
      <w:r>
        <w:rPr>
          <w:bCs/>
          <w:szCs w:val="21"/>
        </w:rPr>
        <w:t xml:space="preserve">（5）对不同文字文本投标文件的解释发生异议的，以中文文本为准；</w:t>
      </w:r>
      <w:r/>
    </w:p>
    <w:p>
      <w:pPr>
        <w:ind w:firstLine="420"/>
        <w:spacing w:line="360" w:lineRule="auto"/>
        <w:shd w:val="clear" w:color="auto" w:fill="ffffff"/>
        <w:widowControl/>
        <w:rPr>
          <w:szCs w:val="21"/>
        </w:rPr>
      </w:pPr>
      <w:r>
        <w:rPr>
          <w:bCs/>
          <w:szCs w:val="21"/>
        </w:rPr>
        <w:t xml:space="preserve">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bCs/>
          <w:szCs w:val="21"/>
        </w:rPr>
      </w:pPr>
      <w:r>
        <w:rPr>
          <w:b/>
          <w:szCs w:val="21"/>
        </w:rPr>
        <w:t xml:space="preserve">19.6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bCs/>
          <w:szCs w:val="21"/>
        </w:rPr>
      </w:pPr>
      <w:r>
        <w:rPr>
          <w:b/>
          <w:szCs w:val="21"/>
        </w:rPr>
        <w:t xml:space="preserve">评标过程中出现下列情形之一的，评标委员会应当启动异常低价投标（响应）审查程序：</w:t>
      </w:r>
      <w:r/>
    </w:p>
    <w:p>
      <w:pPr>
        <w:ind w:firstLine="420"/>
        <w:spacing w:line="360" w:lineRule="auto"/>
        <w:rPr>
          <w:bCs/>
          <w:szCs w:val="21"/>
        </w:rPr>
      </w:pPr>
      <w:r>
        <w:rPr>
          <w:rFonts w:ascii="Cambria Math" w:hAnsi="Cambria Math" w:cs="Cambria Math"/>
          <w:bCs/>
          <w:szCs w:val="21"/>
        </w:rPr>
        <w:t xml:space="preserve">①</w:t>
      </w:r>
      <w:r>
        <w:rPr>
          <w:bCs/>
          <w:szCs w:val="21"/>
        </w:rPr>
        <w:t xml:space="preserve">投标（响应）报价低于全部通过符合性审查供应商投标（响应）报价平均值65%的，即投标（响应）报价＜全部通过符合性审查供应商投标（响应）报价平均值×65%；</w:t>
      </w:r>
      <w:r/>
    </w:p>
    <w:p>
      <w:pPr>
        <w:ind w:firstLine="420"/>
        <w:spacing w:line="360" w:lineRule="auto"/>
        <w:rPr>
          <w:bCs/>
          <w:szCs w:val="21"/>
        </w:rPr>
      </w:pPr>
      <w:r>
        <w:rPr>
          <w:rFonts w:ascii="Cambria Math" w:hAnsi="Cambria Math" w:cs="Cambria Math"/>
          <w:bCs/>
          <w:szCs w:val="21"/>
        </w:rPr>
        <w:t xml:space="preserve">②</w:t>
      </w:r>
      <w:r>
        <w:rPr>
          <w:bCs/>
          <w:szCs w:val="21"/>
        </w:rPr>
        <w:t xml:space="preserve">投标（响应）报价低于通过符合性审查的次低报价供应商投标（响应）报价65%的，即投标（响应）报价＜通过符合性审查的次低报价供应商投标（响应）报价×65%；</w:t>
      </w:r>
      <w:r/>
    </w:p>
    <w:p>
      <w:pPr>
        <w:ind w:firstLine="420"/>
        <w:spacing w:line="360" w:lineRule="auto"/>
        <w:rPr>
          <w:bCs/>
          <w:szCs w:val="21"/>
        </w:rPr>
      </w:pPr>
      <w:r>
        <w:rPr>
          <w:rFonts w:ascii="Cambria Math" w:hAnsi="Cambria Math" w:cs="Cambria Math"/>
          <w:bCs/>
          <w:szCs w:val="21"/>
        </w:rPr>
        <w:t xml:space="preserve">③</w:t>
      </w:r>
      <w:r>
        <w:rPr>
          <w:bCs/>
          <w:szCs w:val="21"/>
        </w:rPr>
        <w:t xml:space="preserve">投标（响应）报价低于采购项目最高限价65%的，即投标（响应）报价＜采购项目最高限价×65%；</w:t>
      </w:r>
      <w:r/>
    </w:p>
    <w:p>
      <w:pPr>
        <w:ind w:firstLine="420"/>
        <w:spacing w:line="360" w:lineRule="auto"/>
        <w:rPr>
          <w:bCs/>
          <w:szCs w:val="21"/>
        </w:rPr>
      </w:pPr>
      <w:r>
        <w:rPr>
          <w:rFonts w:ascii="Cambria Math" w:hAnsi="Cambria Math" w:cs="Cambria Math"/>
          <w:bCs/>
          <w:szCs w:val="21"/>
        </w:rPr>
        <w:t xml:space="preserve">④</w:t>
      </w:r>
      <w:r>
        <w:rPr>
          <w:bCs/>
          <w:szCs w:val="21"/>
        </w:rPr>
        <w:t xml:space="preserve">评标委员会基于专业判断，认为供应商报价过低，有可能影响产品质量或者不能诚信履约的其他情形。</w:t>
      </w:r>
      <w:r/>
    </w:p>
    <w:p>
      <w:pPr>
        <w:ind w:firstLine="420"/>
        <w:spacing w:line="360" w:lineRule="auto"/>
        <w:rPr>
          <w:bCs/>
          <w:szCs w:val="21"/>
        </w:rPr>
      </w:pPr>
      <w:r>
        <w:rPr>
          <w:bCs/>
          <w:szCs w:val="21"/>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bCs/>
          <w:szCs w:val="21"/>
        </w:rPr>
      </w:pPr>
      <w:r>
        <w:rPr>
          <w:bCs/>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bCs/>
          <w:szCs w:val="21"/>
        </w:rPr>
      </w:pPr>
      <w:r>
        <w:rPr>
          <w:bCs/>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bCs/>
          <w:szCs w:val="21"/>
        </w:rPr>
      </w:pPr>
      <w:r>
        <w:rPr>
          <w:bCs/>
          <w:szCs w:val="21"/>
        </w:rPr>
        <w:t xml:space="preserve">19.7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2"/>
        <w:spacing w:line="360" w:lineRule="auto"/>
        <w:rPr>
          <w:b/>
          <w:szCs w:val="21"/>
        </w:rPr>
      </w:pPr>
      <w:r/>
      <w:bookmarkStart w:id="82" w:name="_Toc231820614"/>
      <w:r>
        <w:rPr>
          <w:b/>
          <w:szCs w:val="21"/>
        </w:rPr>
        <w:t xml:space="preserve">20.投标文件的澄清</w:t>
      </w:r>
      <w:bookmarkEnd w:id="82"/>
      <w:r/>
      <w:r/>
    </w:p>
    <w:p>
      <w:pPr>
        <w:ind w:firstLine="420"/>
        <w:spacing w:line="360" w:lineRule="auto"/>
        <w:rPr>
          <w:bCs/>
          <w:szCs w:val="21"/>
        </w:rPr>
      </w:pPr>
      <w:r>
        <w:rPr>
          <w:bCs/>
          <w:szCs w:val="21"/>
        </w:rPr>
        <w:t xml:space="preserve">20.1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bCs/>
          <w:szCs w:val="21"/>
        </w:rPr>
      </w:pPr>
      <w:r>
        <w:rPr>
          <w:bCs/>
          <w:szCs w:val="21"/>
        </w:rPr>
        <w:t xml:space="preserve">20.2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bCs/>
          <w:szCs w:val="21"/>
        </w:rPr>
      </w:pPr>
      <w:r>
        <w:rPr>
          <w:bCs/>
          <w:szCs w:val="21"/>
        </w:rPr>
        <w:t xml:space="preserve">20.3 供应商澄清、说明或者补正不得超出投标文件的范围或者改变投标文件的实质性内容。供应商拒不按照要求对投标文件进行澄清、说明或者补正的，视其放弃该项权利。</w:t>
      </w:r>
      <w:r/>
    </w:p>
    <w:p>
      <w:pPr>
        <w:ind w:firstLine="422"/>
        <w:spacing w:line="360" w:lineRule="auto"/>
        <w:rPr>
          <w:b/>
          <w:szCs w:val="21"/>
        </w:rPr>
      </w:pPr>
      <w:r/>
      <w:bookmarkStart w:id="83" w:name="_Toc231820615"/>
      <w:r>
        <w:rPr>
          <w:b/>
          <w:szCs w:val="21"/>
        </w:rPr>
        <w:t xml:space="preserve">21.对投标文件的详细评审</w:t>
      </w:r>
      <w:bookmarkEnd w:id="83"/>
      <w:r/>
      <w:r/>
    </w:p>
    <w:p>
      <w:pPr>
        <w:ind w:firstLine="420"/>
        <w:spacing w:line="360" w:lineRule="auto"/>
        <w:rPr>
          <w:szCs w:val="21"/>
        </w:rPr>
      </w:pPr>
      <w:r>
        <w:rPr>
          <w:bCs/>
          <w:szCs w:val="21"/>
        </w:rPr>
        <w:t xml:space="preserve">21.1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21.2评标委员会按照招标文件中规定的评标方法和标准，对符合性审查合格的投标文件进行商务和技术评估，综合比较与评价。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21.3除评标方法和评标标准另有规定外，评标采用综合评分法。即投标文件满足招标文件全部实质性要求，且按照评审因素的量化指标评审得分最高的供应商为中标候选供应商的评标方法。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21.4评审因素包括投标报价、技术或者服务水平、履约能力、售后服务等</w:t>
      </w:r>
      <w:r/>
    </w:p>
    <w:p>
      <w:pPr>
        <w:ind w:firstLine="420"/>
        <w:spacing w:line="360" w:lineRule="auto"/>
        <w:rPr>
          <w:bCs/>
          <w:szCs w:val="21"/>
        </w:rPr>
      </w:pPr>
      <w:r>
        <w:rPr>
          <w:bCs/>
          <w:szCs w:val="21"/>
        </w:rPr>
        <w:t xml:space="preserve">21.5评标标准详见文件第三章。</w:t>
      </w:r>
      <w:r/>
    </w:p>
    <w:p>
      <w:pPr>
        <w:ind w:firstLine="422"/>
        <w:spacing w:line="360" w:lineRule="auto"/>
        <w:rPr>
          <w:b/>
          <w:szCs w:val="21"/>
        </w:rPr>
      </w:pPr>
      <w:r/>
      <w:bookmarkStart w:id="84" w:name="_Toc231820616"/>
      <w:r>
        <w:rPr>
          <w:b/>
          <w:szCs w:val="21"/>
        </w:rPr>
        <w:t xml:space="preserve">22.评标过程的保密与公正</w:t>
      </w:r>
      <w:bookmarkEnd w:id="84"/>
      <w:r/>
      <w:r/>
    </w:p>
    <w:p>
      <w:pPr>
        <w:ind w:firstLine="420"/>
        <w:spacing w:line="360" w:lineRule="auto"/>
        <w:rPr>
          <w:bCs/>
          <w:szCs w:val="21"/>
        </w:rPr>
      </w:pPr>
      <w:r>
        <w:rPr>
          <w:bCs/>
          <w:szCs w:val="21"/>
        </w:rPr>
        <w:t xml:space="preserve">22.1公开开标后，直至向中标的供应商授予合同时止，凡是与审查、澄清、评价和比较投标的有关资料以及授标建议等，采购人、评委、采购代理机构均不得向供应商或与评标无关的其他人员透露。</w:t>
      </w:r>
      <w:r/>
    </w:p>
    <w:p>
      <w:pPr>
        <w:ind w:firstLine="420"/>
        <w:spacing w:line="360" w:lineRule="auto"/>
        <w:rPr>
          <w:bCs/>
          <w:szCs w:val="21"/>
        </w:rPr>
      </w:pPr>
      <w:r>
        <w:rPr>
          <w:bCs/>
          <w:szCs w:val="21"/>
        </w:rPr>
        <w:t xml:space="preserve">22.2在评标过程中，供应商不得以任何行为影响评标过程，否则其投标文件将被作为无效投标文件。</w:t>
      </w:r>
      <w:r/>
    </w:p>
    <w:p>
      <w:pPr>
        <w:ind w:firstLine="420"/>
        <w:spacing w:line="360" w:lineRule="auto"/>
        <w:rPr>
          <w:bCs/>
          <w:szCs w:val="21"/>
        </w:rPr>
      </w:pPr>
      <w:r>
        <w:rPr>
          <w:bCs/>
          <w:szCs w:val="21"/>
        </w:rPr>
        <w:t xml:space="preserve">22.3 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22.4 在评标期间，采购代理机构将指定联络员与供应商进行联络。</w:t>
      </w:r>
      <w:r/>
    </w:p>
    <w:p>
      <w:pPr>
        <w:ind w:firstLine="422"/>
        <w:spacing w:line="360" w:lineRule="auto"/>
        <w:rPr>
          <w:b/>
          <w:szCs w:val="21"/>
        </w:rPr>
      </w:pPr>
      <w:r/>
      <w:bookmarkStart w:id="85" w:name="_Toc231820617"/>
      <w:r>
        <w:rPr>
          <w:b/>
          <w:szCs w:val="21"/>
        </w:rPr>
        <w:t xml:space="preserve">23.无效投标条款和废标条款</w:t>
      </w:r>
      <w:bookmarkEnd w:id="85"/>
      <w:r/>
      <w:r/>
    </w:p>
    <w:p>
      <w:pPr>
        <w:ind w:firstLine="420"/>
        <w:spacing w:line="360" w:lineRule="auto"/>
        <w:rPr>
          <w:bCs/>
          <w:szCs w:val="21"/>
        </w:rPr>
      </w:pPr>
      <w:r>
        <w:rPr>
          <w:bCs/>
          <w:szCs w:val="21"/>
        </w:rPr>
        <w:t xml:space="preserve">23.1无效投标条款</w:t>
      </w:r>
      <w:r/>
    </w:p>
    <w:p>
      <w:pPr>
        <w:ind w:firstLine="420"/>
        <w:jc w:val="left"/>
        <w:spacing w:line="360" w:lineRule="auto"/>
        <w:shd w:val="clear" w:color="auto" w:fill="ffffff"/>
        <w:widowControl/>
        <w:tabs>
          <w:tab w:val="left" w:pos="767" w:leader="none"/>
        </w:tabs>
        <w:rPr>
          <w:szCs w:val="21"/>
        </w:rPr>
      </w:pPr>
      <w:r>
        <w:rPr>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szCs w:val="21"/>
        </w:rPr>
      </w:pPr>
      <w:r>
        <w:rPr>
          <w:bCs/>
          <w:szCs w:val="21"/>
        </w:rPr>
        <w:t xml:space="preserve">（2）</w:t>
      </w:r>
      <w:r>
        <w:rPr>
          <w:szCs w:val="21"/>
        </w:rPr>
        <w:t xml:space="preserve">投标人未按照招标文件要求上传电子投标文件的。</w:t>
      </w:r>
      <w:r/>
    </w:p>
    <w:p>
      <w:pPr>
        <w:ind w:firstLine="420"/>
        <w:jc w:val="left"/>
        <w:spacing w:line="360" w:lineRule="auto"/>
        <w:shd w:val="clear" w:color="auto" w:fill="ffffff"/>
        <w:widowControl/>
        <w:rPr>
          <w:szCs w:val="21"/>
        </w:rPr>
      </w:pPr>
      <w:r>
        <w:rPr>
          <w:bCs/>
          <w:szCs w:val="21"/>
        </w:rPr>
        <w:t xml:space="preserve">（3）供应商不具备招标文件中规定资格要求的</w:t>
      </w:r>
      <w:r>
        <w:rPr>
          <w:szCs w:val="21"/>
        </w:rPr>
        <w:t xml:space="preserve">；</w:t>
      </w:r>
      <w:r/>
    </w:p>
    <w:p>
      <w:pPr>
        <w:ind w:firstLine="420"/>
        <w:spacing w:line="360" w:lineRule="auto"/>
        <w:rPr>
          <w:szCs w:val="21"/>
        </w:rPr>
      </w:pPr>
      <w:r>
        <w:rPr>
          <w:bCs/>
          <w:szCs w:val="21"/>
        </w:rPr>
        <w:t xml:space="preserve">（4）供应商在报价时采用选择性报价；</w:t>
      </w:r>
      <w:r/>
    </w:p>
    <w:p>
      <w:pPr>
        <w:ind w:firstLine="420"/>
        <w:jc w:val="left"/>
        <w:spacing w:line="360" w:lineRule="auto"/>
        <w:shd w:val="clear" w:color="auto" w:fill="ffffff"/>
        <w:widowControl/>
        <w:rPr>
          <w:szCs w:val="21"/>
        </w:rPr>
      </w:pPr>
      <w:r>
        <w:rPr>
          <w:szCs w:val="21"/>
        </w:rPr>
        <w:t xml:space="preserve">（</w:t>
      </w:r>
      <w:r>
        <w:rPr>
          <w:bCs/>
          <w:szCs w:val="21"/>
        </w:rPr>
        <w:t xml:space="preserve">5</w:t>
      </w:r>
      <w:r>
        <w:rPr>
          <w:szCs w:val="21"/>
        </w:rPr>
        <w:t xml:space="preserve">）报价超过招标文件中规定的预算金额或者最高限价的；</w:t>
      </w:r>
      <w:r/>
    </w:p>
    <w:p>
      <w:pPr>
        <w:ind w:firstLine="420"/>
        <w:jc w:val="left"/>
        <w:spacing w:line="360" w:lineRule="auto"/>
        <w:shd w:val="clear" w:color="auto" w:fill="ffffff"/>
        <w:widowControl/>
        <w:rPr>
          <w:szCs w:val="21"/>
        </w:rPr>
      </w:pPr>
      <w:r>
        <w:rPr>
          <w:szCs w:val="21"/>
        </w:rPr>
        <w:t xml:space="preserve">（6）投标文件含有采购人不能接受的附加条件的；</w:t>
      </w:r>
      <w:r/>
    </w:p>
    <w:p>
      <w:pPr>
        <w:ind w:firstLine="420"/>
        <w:jc w:val="left"/>
        <w:spacing w:line="360" w:lineRule="auto"/>
        <w:shd w:val="clear" w:color="auto" w:fill="ffffff"/>
        <w:widowControl/>
        <w:rPr>
          <w:szCs w:val="21"/>
        </w:rPr>
      </w:pPr>
      <w:r>
        <w:rPr>
          <w:szCs w:val="21"/>
        </w:rPr>
        <w:t xml:space="preserve">（</w:t>
      </w:r>
      <w:r>
        <w:rPr>
          <w:bCs/>
          <w:szCs w:val="21"/>
        </w:rPr>
        <w:t xml:space="preserve">7</w:t>
      </w:r>
      <w:r>
        <w:rPr>
          <w:szCs w:val="21"/>
        </w:rPr>
        <w:t xml:space="preserve">）不同供应商的投标文件由同一单位或者个人编制；</w:t>
      </w:r>
      <w:r/>
    </w:p>
    <w:p>
      <w:pPr>
        <w:ind w:firstLine="420"/>
        <w:jc w:val="left"/>
        <w:spacing w:line="360" w:lineRule="auto"/>
        <w:shd w:val="clear" w:color="auto" w:fill="ffffff"/>
        <w:widowControl/>
        <w:rPr>
          <w:szCs w:val="21"/>
        </w:rPr>
      </w:pPr>
      <w:r>
        <w:rPr>
          <w:szCs w:val="21"/>
        </w:rPr>
        <w:t xml:space="preserve">（8）不同供应商委托同一单位或者个人办理投标事宜；</w:t>
      </w:r>
      <w:r/>
    </w:p>
    <w:p>
      <w:pPr>
        <w:ind w:firstLine="420"/>
        <w:jc w:val="left"/>
        <w:spacing w:line="360" w:lineRule="auto"/>
        <w:shd w:val="clear" w:color="auto" w:fill="ffffff"/>
        <w:widowControl/>
        <w:rPr>
          <w:szCs w:val="21"/>
        </w:rPr>
      </w:pPr>
      <w:r>
        <w:rPr>
          <w:szCs w:val="21"/>
        </w:rPr>
        <w:t xml:space="preserve">（9）不同供应商的投标文件载明的项目管理成员或联系人员为同一人；</w:t>
      </w:r>
      <w:r/>
    </w:p>
    <w:p>
      <w:pPr>
        <w:ind w:firstLine="420"/>
        <w:jc w:val="left"/>
        <w:spacing w:line="360" w:lineRule="auto"/>
        <w:shd w:val="clear" w:color="auto" w:fill="ffffff"/>
        <w:widowControl/>
        <w:rPr>
          <w:szCs w:val="21"/>
        </w:rPr>
      </w:pPr>
      <w:r>
        <w:rPr>
          <w:szCs w:val="21"/>
        </w:rPr>
        <w:t xml:space="preserve">（10）不同供应商的投标文件异常一致或者投标报价呈规律性差异；</w:t>
      </w:r>
      <w:r/>
    </w:p>
    <w:p>
      <w:pPr>
        <w:ind w:firstLine="420"/>
        <w:jc w:val="left"/>
        <w:spacing w:line="360" w:lineRule="auto"/>
        <w:shd w:val="clear" w:color="auto" w:fill="ffffff"/>
        <w:widowControl/>
        <w:rPr>
          <w:szCs w:val="21"/>
        </w:rPr>
      </w:pPr>
      <w:r>
        <w:rPr>
          <w:szCs w:val="21"/>
        </w:rPr>
        <w:t xml:space="preserve">（11）不同供应商的投标文件相互混装；</w:t>
      </w:r>
      <w:r/>
    </w:p>
    <w:p>
      <w:pPr>
        <w:ind w:firstLine="420"/>
        <w:spacing w:line="360" w:lineRule="auto"/>
        <w:rPr>
          <w:bCs/>
          <w:szCs w:val="21"/>
        </w:rPr>
      </w:pPr>
      <w:r>
        <w:rPr>
          <w:bCs/>
          <w:szCs w:val="21"/>
        </w:rPr>
        <w:t xml:space="preserve">（12）不同供应商的负责人为同一人或者存在控股、管理关系的；</w:t>
      </w:r>
      <w:r/>
    </w:p>
    <w:p>
      <w:pPr>
        <w:ind w:firstLine="420"/>
        <w:spacing w:line="360" w:lineRule="auto"/>
        <w:rPr>
          <w:bCs/>
          <w:szCs w:val="21"/>
        </w:rPr>
      </w:pPr>
      <w:r>
        <w:rPr>
          <w:bCs/>
          <w:szCs w:val="21"/>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szCs w:val="21"/>
        </w:rPr>
      </w:pPr>
      <w:r>
        <w:rPr>
          <w:szCs w:val="21"/>
        </w:rPr>
        <w:t xml:space="preserve">（</w:t>
      </w:r>
      <w:r>
        <w:rPr>
          <w:bCs/>
          <w:szCs w:val="21"/>
        </w:rPr>
        <w:t xml:space="preserve">14</w:t>
      </w:r>
      <w:r>
        <w:rPr>
          <w:szCs w:val="21"/>
        </w:rPr>
        <w:t xml:space="preserve">）提供虚假材料的（包括工商营业执照、财务报表、资格证明文件等）；</w:t>
      </w:r>
      <w:r/>
    </w:p>
    <w:p>
      <w:pPr>
        <w:ind w:firstLine="420"/>
        <w:spacing w:line="360" w:lineRule="auto"/>
        <w:rPr>
          <w:szCs w:val="21"/>
        </w:rPr>
      </w:pPr>
      <w:r>
        <w:rPr>
          <w:bCs/>
          <w:szCs w:val="21"/>
        </w:rPr>
        <w:t xml:space="preserve">（15）未通过符合性检查的；</w:t>
      </w:r>
      <w:r/>
    </w:p>
    <w:p>
      <w:pPr>
        <w:ind w:firstLine="420"/>
        <w:jc w:val="left"/>
        <w:spacing w:line="360" w:lineRule="auto"/>
        <w:shd w:val="clear" w:color="auto" w:fill="ffffff"/>
        <w:widowControl/>
        <w:rPr>
          <w:szCs w:val="21"/>
        </w:rPr>
      </w:pPr>
      <w:r>
        <w:rPr>
          <w:szCs w:val="21"/>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szCs w:val="21"/>
        </w:rPr>
      </w:pPr>
      <w:r>
        <w:rPr>
          <w:szCs w:val="21"/>
        </w:rPr>
        <w:t xml:space="preserve">（</w:t>
      </w:r>
      <w:r>
        <w:rPr>
          <w:bCs/>
          <w:szCs w:val="21"/>
        </w:rPr>
        <w:t xml:space="preserve">17</w:t>
      </w:r>
      <w:r>
        <w:rPr>
          <w:szCs w:val="21"/>
        </w:rPr>
        <w:t xml:space="preserve">）不符合招标文件中规定的其他实质性要求的；</w:t>
      </w:r>
      <w:r/>
    </w:p>
    <w:p>
      <w:pPr>
        <w:ind w:firstLine="420"/>
        <w:jc w:val="left"/>
        <w:spacing w:line="360" w:lineRule="auto"/>
        <w:shd w:val="clear" w:color="auto" w:fill="ffffff"/>
        <w:widowControl/>
        <w:rPr>
          <w:bCs/>
          <w:szCs w:val="21"/>
        </w:rPr>
      </w:pPr>
      <w:r>
        <w:rPr>
          <w:szCs w:val="21"/>
        </w:rPr>
        <w:t xml:space="preserve">（</w:t>
      </w:r>
      <w:r>
        <w:rPr>
          <w:bCs/>
          <w:szCs w:val="21"/>
        </w:rPr>
        <w:t xml:space="preserve">18</w:t>
      </w:r>
      <w:r>
        <w:rPr>
          <w:szCs w:val="21"/>
        </w:rPr>
        <w:t xml:space="preserve">）法律法规和招标文件规定的其他无效情形。</w:t>
      </w:r>
      <w:r/>
    </w:p>
    <w:p>
      <w:pPr>
        <w:ind w:firstLine="420"/>
        <w:spacing w:line="360" w:lineRule="auto"/>
        <w:rPr>
          <w:bCs/>
          <w:szCs w:val="21"/>
        </w:rPr>
      </w:pPr>
      <w:r>
        <w:rPr>
          <w:bCs/>
          <w:szCs w:val="21"/>
        </w:rPr>
        <w:t xml:space="preserve">23.2废标条款：</w:t>
      </w:r>
      <w:r/>
    </w:p>
    <w:p>
      <w:pPr>
        <w:ind w:firstLine="420"/>
        <w:spacing w:line="360" w:lineRule="auto"/>
        <w:rPr>
          <w:bCs/>
          <w:szCs w:val="21"/>
        </w:rPr>
      </w:pPr>
      <w:r>
        <w:rPr>
          <w:bCs/>
          <w:szCs w:val="21"/>
        </w:rPr>
        <w:t xml:space="preserve">（1）符合专业条件的供应商或者对招标文件作实质响应的供应商不足三家的；</w:t>
      </w:r>
      <w:r/>
    </w:p>
    <w:p>
      <w:pPr>
        <w:ind w:firstLine="420"/>
        <w:spacing w:line="360" w:lineRule="auto"/>
        <w:rPr>
          <w:bCs/>
          <w:szCs w:val="21"/>
        </w:rPr>
      </w:pPr>
      <w:r>
        <w:rPr>
          <w:bCs/>
          <w:szCs w:val="21"/>
        </w:rPr>
        <w:t xml:space="preserve">（2）出现影响采购公正的违法、违规行为的；</w:t>
      </w:r>
      <w:r/>
    </w:p>
    <w:p>
      <w:pPr>
        <w:ind w:firstLine="420"/>
        <w:spacing w:line="360" w:lineRule="auto"/>
        <w:rPr>
          <w:bCs/>
          <w:szCs w:val="21"/>
        </w:rPr>
      </w:pPr>
      <w:r>
        <w:rPr>
          <w:bCs/>
          <w:szCs w:val="21"/>
        </w:rPr>
        <w:t xml:space="preserve">（3）因重大变故，采购任务取消的；</w:t>
      </w:r>
      <w:r/>
    </w:p>
    <w:p>
      <w:pPr>
        <w:ind w:firstLine="420"/>
        <w:spacing w:line="360" w:lineRule="auto"/>
        <w:rPr>
          <w:bCs/>
          <w:szCs w:val="21"/>
        </w:rPr>
      </w:pPr>
      <w:r>
        <w:rPr>
          <w:bCs/>
          <w:szCs w:val="21"/>
        </w:rPr>
        <w:t xml:space="preserve">（4）评标委员会认定投标文件存在歧义、重大缺陷导致评审工作无法进行的，或者招标文件内容违反国家有关强制性规定的。</w:t>
      </w:r>
      <w:r/>
    </w:p>
    <w:p>
      <w:pPr>
        <w:ind w:firstLine="422"/>
        <w:spacing w:line="360" w:lineRule="auto"/>
        <w:rPr>
          <w:b/>
          <w:szCs w:val="21"/>
        </w:rPr>
      </w:pPr>
      <w:r/>
      <w:bookmarkStart w:id="86" w:name="_Toc231820618"/>
      <w:r>
        <w:rPr>
          <w:b/>
          <w:szCs w:val="21"/>
        </w:rPr>
        <w:t xml:space="preserve">24.投标截止时间结束参加投标的供应商不足三家的处理</w:t>
      </w:r>
      <w:bookmarkEnd w:id="86"/>
      <w:r/>
      <w:r/>
    </w:p>
    <w:p>
      <w:pPr>
        <w:ind w:firstLine="420"/>
        <w:spacing w:line="360" w:lineRule="auto"/>
        <w:rPr>
          <w:bCs/>
          <w:szCs w:val="21"/>
        </w:rPr>
      </w:pPr>
      <w:r>
        <w:rPr>
          <w:bCs/>
          <w:szCs w:val="21"/>
        </w:rPr>
        <w:t xml:space="preserve">24.1如出现投标截止时间结束后参加投标的供应商不足三家的情况，不得开标。此采购项目予以废标。废标后，除采购任务取消情形外，重新组织招标；如果需要采用其他方式采购，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24.2在评标期间，出现符合专业条件的供应商或者对招标文件做出实质响应的供应商不足三家情形的，此采购项目予以废标。废标后，除采购任务取消情形外，重新组织招标；如果需要采取其他方式采购的，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24.3供应商若不接受采购方式的改变，应在规定的时间内书面向评标委员会说明，未在规定时间内提交书面说明的视为接受采购方式的改变。</w:t>
      </w:r>
      <w:r/>
    </w:p>
    <w:p>
      <w:pPr>
        <w:spacing w:line="360" w:lineRule="auto"/>
        <w:shd w:val="clear" w:color="auto" w:fill="ffffff"/>
        <w:widowControl/>
        <w:rPr>
          <w:b/>
          <w:bCs/>
          <w:szCs w:val="21"/>
        </w:rPr>
        <w:outlineLvl w:val="1"/>
      </w:pPr>
      <w:r/>
      <w:bookmarkStart w:id="87" w:name="_Toc231822739"/>
      <w:r>
        <w:rPr>
          <w:b/>
          <w:bCs/>
          <w:szCs w:val="21"/>
        </w:rPr>
        <w:t xml:space="preserve">六、授标</w:t>
      </w:r>
      <w:bookmarkEnd w:id="87"/>
      <w:r/>
      <w:r/>
    </w:p>
    <w:p>
      <w:pPr>
        <w:ind w:firstLine="422"/>
        <w:spacing w:line="360" w:lineRule="auto"/>
        <w:rPr>
          <w:b/>
          <w:szCs w:val="21"/>
        </w:rPr>
      </w:pPr>
      <w:r/>
      <w:bookmarkStart w:id="88" w:name="_Toc231820620"/>
      <w:r>
        <w:rPr>
          <w:b/>
          <w:szCs w:val="21"/>
        </w:rPr>
        <w:t xml:space="preserve">25.确定中标供应商</w:t>
      </w:r>
      <w:bookmarkEnd w:id="88"/>
      <w:r/>
      <w:r/>
    </w:p>
    <w:p>
      <w:pPr>
        <w:ind w:firstLine="420"/>
        <w:spacing w:line="360" w:lineRule="auto"/>
        <w:rPr>
          <w:szCs w:val="21"/>
        </w:rPr>
      </w:pPr>
      <w:r>
        <w:rPr>
          <w:szCs w:val="21"/>
        </w:rPr>
        <w:t xml:space="preserve">25.1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szCs w:val="21"/>
        </w:rPr>
      </w:pPr>
      <w:r>
        <w:rPr>
          <w:szCs w:val="21"/>
        </w:rPr>
        <w:t xml:space="preserve">25.2 采购人应根据评标委员会推荐的中标候选供应商确定中标供应商。</w:t>
      </w:r>
      <w:r/>
    </w:p>
    <w:p>
      <w:pPr>
        <w:ind w:firstLine="420"/>
        <w:spacing w:line="360" w:lineRule="auto"/>
        <w:rPr>
          <w:szCs w:val="21"/>
        </w:rPr>
      </w:pPr>
      <w:r>
        <w:rPr>
          <w:szCs w:val="21"/>
        </w:rPr>
        <w:t xml:space="preserve">25.3评标委员会根据全体评标成员签字的原始评标记录和评标结果编写评标报告。</w:t>
      </w:r>
      <w:r/>
    </w:p>
    <w:p>
      <w:pPr>
        <w:ind w:firstLine="420"/>
        <w:spacing w:line="360" w:lineRule="auto"/>
        <w:rPr>
          <w:szCs w:val="21"/>
        </w:rPr>
      </w:pPr>
      <w:r>
        <w:rPr>
          <w:szCs w:val="21"/>
        </w:rPr>
        <w:t xml:space="preserve">25.4评审结束后，采购代理机构自评审结束之日起2个工作日内将评审报告送交采购人。采购人自收到评审报告之日起5个工作日内在评审报告推荐的中标或者成交候选供应商中按顺序确定中标或者成交供应商。采购代理机构自中标、成交供应商确定之日起2个工作日内，发出中标、成交通知书，并在省级以上人民政府财政部门指定的媒体上公告中标、成交结果，招标文件、竞争性谈判文件、询价通知书随中标、成交结果同时公告。</w:t>
      </w:r>
      <w:r/>
    </w:p>
    <w:p>
      <w:pPr>
        <w:ind w:firstLine="420"/>
        <w:spacing w:line="360" w:lineRule="auto"/>
        <w:rPr>
          <w:szCs w:val="21"/>
        </w:rPr>
      </w:pPr>
      <w:r>
        <w:rPr>
          <w:szCs w:val="21"/>
        </w:rPr>
        <w:t xml:space="preserve">25.5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szCs w:val="21"/>
        </w:rPr>
      </w:pPr>
      <w:r>
        <w:rPr>
          <w:szCs w:val="21"/>
        </w:rPr>
        <w:t xml:space="preserve">25.6 若评标委员会发现供应商的投标文件中有弄虚作假行为，则该供应商将失去中标资格。</w:t>
      </w:r>
      <w:r/>
    </w:p>
    <w:p>
      <w:pPr>
        <w:ind w:firstLine="422"/>
        <w:spacing w:line="360" w:lineRule="auto"/>
        <w:rPr>
          <w:b/>
          <w:szCs w:val="21"/>
        </w:rPr>
      </w:pPr>
      <w:r/>
      <w:bookmarkStart w:id="89" w:name="_Toc231820621"/>
      <w:r>
        <w:rPr>
          <w:b/>
          <w:szCs w:val="21"/>
        </w:rPr>
        <w:t xml:space="preserve">26.中标的通知</w:t>
      </w:r>
      <w:bookmarkEnd w:id="89"/>
      <w:r/>
      <w:r/>
    </w:p>
    <w:p>
      <w:pPr>
        <w:ind w:firstLine="420"/>
        <w:spacing w:line="360" w:lineRule="auto"/>
        <w:rPr>
          <w:bCs/>
          <w:szCs w:val="21"/>
        </w:rPr>
      </w:pPr>
      <w:r>
        <w:rPr>
          <w:bCs/>
          <w:szCs w:val="21"/>
        </w:rPr>
        <w:t xml:space="preserve">26.1定标后，采购代理机构将定标结果通知所有的供应商，并向中标供应商发出中标通知书。</w:t>
      </w:r>
      <w:r/>
    </w:p>
    <w:p>
      <w:pPr>
        <w:ind w:firstLine="420"/>
        <w:spacing w:line="360" w:lineRule="auto"/>
        <w:rPr>
          <w:bCs/>
          <w:szCs w:val="21"/>
        </w:rPr>
      </w:pPr>
      <w:r>
        <w:rPr>
          <w:bCs/>
          <w:szCs w:val="21"/>
        </w:rPr>
        <w:t xml:space="preserve">26.2中标供应商在收到中标通知书后，应郑重保证履行中标供应商应履行的，含招标代理服务费在内的一切义务和责任。</w:t>
      </w:r>
      <w:r/>
    </w:p>
    <w:p>
      <w:pPr>
        <w:ind w:firstLine="420"/>
        <w:spacing w:line="360" w:lineRule="auto"/>
        <w:rPr>
          <w:bCs/>
          <w:szCs w:val="21"/>
        </w:rPr>
      </w:pPr>
      <w:r>
        <w:rPr>
          <w:bCs/>
          <w:szCs w:val="21"/>
        </w:rPr>
        <w:t xml:space="preserve">26.3中标通知书是合同的组成部分。</w:t>
      </w:r>
      <w:r/>
    </w:p>
    <w:p>
      <w:pPr>
        <w:ind w:firstLine="422"/>
        <w:spacing w:line="360" w:lineRule="auto"/>
        <w:rPr>
          <w:b/>
          <w:szCs w:val="21"/>
        </w:rPr>
      </w:pPr>
      <w:r/>
      <w:bookmarkStart w:id="90" w:name="_Toc231820622"/>
      <w:r>
        <w:rPr>
          <w:b/>
          <w:szCs w:val="21"/>
        </w:rPr>
        <w:t xml:space="preserve">27.签订合同</w:t>
      </w:r>
      <w:bookmarkEnd w:id="90"/>
      <w:r/>
      <w:r/>
    </w:p>
    <w:p>
      <w:pPr>
        <w:ind w:firstLine="420"/>
        <w:spacing w:line="360" w:lineRule="auto"/>
        <w:rPr>
          <w:bCs/>
          <w:szCs w:val="21"/>
        </w:rPr>
      </w:pPr>
      <w:r>
        <w:rPr>
          <w:bCs/>
          <w:szCs w:val="21"/>
        </w:rPr>
        <w:t xml:space="preserve">27.1中标供应商应当自中标通知书发出之日起三十日内，按照招标文件和投标文件的约定与采购人签订采购合同，所签订的合同不得对招标文件和投标文件作实质性修改。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rPr>
          <w:bCs/>
          <w:szCs w:val="21"/>
        </w:rPr>
      </w:pPr>
      <w:r>
        <w:rPr>
          <w:bCs/>
          <w:szCs w:val="21"/>
        </w:rPr>
        <w:t xml:space="preserve">27.2招标文件、中标供应商的投标文件及评标过程中有关澄清、说明或者补正文件均应作为合同附件。</w:t>
      </w:r>
      <w:r/>
    </w:p>
    <w:p>
      <w:pPr>
        <w:ind w:firstLine="420"/>
        <w:spacing w:line="360" w:lineRule="auto"/>
        <w:rPr>
          <w:bCs/>
          <w:szCs w:val="21"/>
        </w:rPr>
      </w:pPr>
      <w:r>
        <w:rPr>
          <w:bCs/>
          <w:szCs w:val="21"/>
        </w:rPr>
        <w:t xml:space="preserve">27.3若中标供应商未能按规定签约，依照政府采购法第七十七条第一款的规定，政府采购监督管理部门将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在这种情况下采购人可以另选中标供应商或重新招标。</w:t>
      </w:r>
      <w:r/>
    </w:p>
    <w:p>
      <w:pPr>
        <w:ind w:firstLine="420"/>
        <w:spacing w:line="360" w:lineRule="auto"/>
        <w:rPr>
          <w:bCs/>
          <w:szCs w:val="21"/>
        </w:rPr>
      </w:pPr>
      <w:r>
        <w:rPr>
          <w:bCs/>
          <w:szCs w:val="21"/>
        </w:rPr>
        <w:t xml:space="preserve">27.4 采购合同履行中，采购人需追加与合同标的相同的货物的，在不改变合同其他条款的前提下，可以与供应商协商签订补充合同，但所有补充合同的采购金额不得超过原合同采购金额的百分之十。</w:t>
      </w:r>
      <w:r/>
    </w:p>
    <w:p>
      <w:pPr>
        <w:ind w:firstLine="422"/>
        <w:spacing w:line="360" w:lineRule="auto"/>
        <w:rPr>
          <w:b/>
          <w:szCs w:val="21"/>
        </w:rPr>
      </w:pPr>
      <w:r/>
      <w:bookmarkStart w:id="91" w:name="第三章_评标标准"/>
      <w:r/>
      <w:bookmarkEnd w:id="91"/>
      <w:r/>
      <w:bookmarkStart w:id="92" w:name="_bookmark2"/>
      <w:r/>
      <w:bookmarkEnd w:id="92"/>
      <w:r/>
      <w:bookmarkStart w:id="93" w:name="_Toc231820623"/>
      <w:r/>
      <w:bookmarkStart w:id="94" w:name="_Toc12982"/>
      <w:r>
        <w:rPr>
          <w:b/>
          <w:szCs w:val="21"/>
        </w:rPr>
        <w:t xml:space="preserve">28.招标代理服务费</w:t>
      </w:r>
      <w:bookmarkEnd w:id="93"/>
      <w:r/>
      <w:bookmarkEnd w:id="94"/>
      <w:r/>
      <w:r/>
    </w:p>
    <w:p>
      <w:pPr>
        <w:ind w:firstLine="420"/>
        <w:jc w:val="left"/>
        <w:spacing w:line="360" w:lineRule="auto"/>
        <w:rPr>
          <w:szCs w:val="21"/>
        </w:rPr>
      </w:pPr>
      <w:r>
        <w:rPr>
          <w:rFonts w:hint="eastAsia"/>
          <w:bCs/>
          <w:szCs w:val="21"/>
        </w:rPr>
        <w:t xml:space="preserve">因</w:t>
      </w:r>
      <w:r>
        <w:rPr>
          <w:bCs/>
          <w:szCs w:val="21"/>
        </w:rPr>
        <w:t xml:space="preserve">项目预算</w:t>
      </w:r>
      <w:r>
        <w:rPr>
          <w:rFonts w:hint="eastAsia"/>
          <w:bCs/>
          <w:szCs w:val="21"/>
        </w:rPr>
        <w:t xml:space="preserve">中</w:t>
      </w:r>
      <w:r>
        <w:rPr>
          <w:bCs/>
          <w:szCs w:val="21"/>
        </w:rPr>
        <w:t xml:space="preserve">已包含招标代理服务费用，</w:t>
      </w:r>
      <w:r>
        <w:rPr>
          <w:rFonts w:hint="eastAsia"/>
          <w:bCs/>
          <w:szCs w:val="21"/>
        </w:rPr>
        <w:t xml:space="preserve">故本次项目</w:t>
      </w:r>
      <w:r>
        <w:rPr>
          <w:bCs/>
          <w:szCs w:val="21"/>
        </w:rPr>
        <w:t xml:space="preserve">服务费</w:t>
      </w:r>
      <w:r>
        <w:rPr>
          <w:rFonts w:hint="eastAsia"/>
          <w:bCs/>
          <w:szCs w:val="21"/>
        </w:rPr>
        <w:t xml:space="preserve">由</w:t>
      </w:r>
      <w:r>
        <w:rPr>
          <w:bCs/>
          <w:szCs w:val="21"/>
        </w:rPr>
        <w:t xml:space="preserve">中标供应商</w:t>
      </w:r>
      <w:r>
        <w:rPr>
          <w:rFonts w:hint="eastAsia"/>
          <w:bCs/>
          <w:szCs w:val="21"/>
        </w:rPr>
        <w:t xml:space="preserve">直接向招标代理机构支付。</w:t>
      </w:r>
      <w:r>
        <w:rPr>
          <w:bCs/>
          <w:szCs w:val="21"/>
        </w:rPr>
        <w:t xml:space="preserve">中标服务费采用差额定率累进计费方式。中标供应商在领取中标通知书时需参照“国家计委关于印发《招标代理服务收费管理暂行办法》的通知（计价格[2002]1980号）”中规定的</w:t>
      </w:r>
      <w:r>
        <w:rPr>
          <w:b/>
          <w:szCs w:val="21"/>
        </w:rPr>
        <w:t xml:space="preserve">收费标准，下浮20%（最低收费 3000 元整）</w:t>
      </w:r>
      <w:r>
        <w:rPr>
          <w:bCs/>
          <w:szCs w:val="21"/>
        </w:rPr>
        <w:t xml:space="preserve">向采购代理机构交付每包的招标代理服务费，招标代理服务费一次付清。</w:t>
      </w:r>
      <w:r/>
    </w:p>
    <w:p>
      <w:pPr>
        <w:ind w:left="430" w:hanging="10"/>
        <w:spacing w:line="360" w:lineRule="auto"/>
        <w:rPr>
          <w:b/>
          <w:bCs/>
          <w:szCs w:val="21"/>
        </w:rPr>
      </w:pPr>
      <w:r>
        <w:rPr>
          <w:szCs w:val="21"/>
        </w:rPr>
        <w:t xml:space="preserve">例如：某货物招标代理业务中标金额为1000万元，计算招标代理服务收费额如下：</w:t>
      </w:r>
      <w:r/>
    </w:p>
    <w:p>
      <w:pPr>
        <w:ind w:left="571" w:hanging="151"/>
        <w:spacing w:line="360" w:lineRule="auto"/>
        <w:rPr>
          <w:szCs w:val="21"/>
        </w:rPr>
      </w:pPr>
      <w:r>
        <w:rPr>
          <w:szCs w:val="21"/>
        </w:rPr>
        <w:t xml:space="preserve">100 × 1.2% = 1.2（万元）</w:t>
      </w:r>
      <w:r/>
    </w:p>
    <w:p>
      <w:pPr>
        <w:ind w:left="571" w:hanging="151"/>
        <w:spacing w:line="360" w:lineRule="auto"/>
        <w:rPr>
          <w:szCs w:val="21"/>
        </w:rPr>
      </w:pPr>
      <w:r>
        <w:rPr>
          <w:szCs w:val="21"/>
        </w:rPr>
        <w:t xml:space="preserve">(500-100) × 0.88% = 3.52（万元）</w:t>
      </w:r>
      <w:r/>
    </w:p>
    <w:p>
      <w:pPr>
        <w:ind w:left="571" w:hanging="151"/>
        <w:spacing w:line="360" w:lineRule="auto"/>
        <w:rPr>
          <w:szCs w:val="21"/>
        </w:rPr>
      </w:pPr>
      <w:r>
        <w:rPr>
          <w:szCs w:val="21"/>
        </w:rPr>
        <w:t xml:space="preserve">(1000-500) × 0.64% = 3.2（万元）</w:t>
      </w:r>
      <w:r/>
    </w:p>
    <w:p>
      <w:pPr>
        <w:ind w:left="571" w:hanging="151"/>
        <w:spacing w:line="360" w:lineRule="auto"/>
        <w:rPr>
          <w:szCs w:val="21"/>
        </w:rPr>
      </w:pPr>
      <w:r>
        <w:rPr>
          <w:szCs w:val="21"/>
        </w:rPr>
        <w:t xml:space="preserve">合计收费 = 1.2 + 3.52 + 3.2 = 7.92（万元）</w:t>
      </w:r>
      <w:r/>
    </w:p>
    <w:tbl>
      <w:tblPr>
        <w:tblStyle w:val="1325"/>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1973"/>
        <w:gridCol w:w="1387"/>
        <w:gridCol w:w="2026"/>
        <w:gridCol w:w="1378"/>
      </w:tblGrid>
      <w:tr>
        <w:trPr>
          <w:jc w:val="center"/>
          <w:trHeight w:val="675"/>
        </w:trPr>
        <w:tc>
          <w:tcPr>
            <w:tcW w:w="2122" w:type="dxa"/>
            <w:vAlign w:val="center"/>
            <w:textDirection w:val="lrTb"/>
            <w:noWrap w:val="false"/>
          </w:tcPr>
          <w:p>
            <w:pPr>
              <w:ind w:firstLine="420"/>
              <w:spacing w:line="340" w:lineRule="exact"/>
              <w:rPr>
                <w:szCs w:val="21"/>
              </w:rPr>
            </w:pPr>
            <w:r>
              <w:rPr>
                <w:szCs w:val="21"/>
              </w:rPr>
              <w:t xml:space="preserve">中标金额（万元）</w:t>
            </w:r>
            <w:r/>
          </w:p>
        </w:tc>
        <w:tc>
          <w:tcPr>
            <w:tcW w:w="1973" w:type="dxa"/>
            <w:vAlign w:val="center"/>
            <w:textDirection w:val="lrTb"/>
            <w:noWrap w:val="false"/>
          </w:tcPr>
          <w:p>
            <w:pPr>
              <w:jc w:val="center"/>
              <w:spacing w:line="340" w:lineRule="exact"/>
              <w:rPr>
                <w:szCs w:val="21"/>
              </w:rPr>
            </w:pPr>
            <w:r>
              <w:rPr>
                <w:szCs w:val="21"/>
              </w:rPr>
              <w:t xml:space="preserve">货物招标收费标准</w:t>
            </w:r>
            <w:r/>
          </w:p>
        </w:tc>
        <w:tc>
          <w:tcPr>
            <w:tcW w:w="1387" w:type="dxa"/>
            <w:vAlign w:val="center"/>
            <w:textDirection w:val="lrTb"/>
            <w:noWrap w:val="false"/>
          </w:tcPr>
          <w:p>
            <w:pPr>
              <w:jc w:val="center"/>
              <w:spacing w:line="340" w:lineRule="exact"/>
              <w:rPr>
                <w:szCs w:val="21"/>
              </w:rPr>
            </w:pPr>
            <w:r>
              <w:rPr>
                <w:szCs w:val="21"/>
              </w:rPr>
              <w:t xml:space="preserve">我公司收费</w:t>
            </w:r>
            <w:r/>
          </w:p>
        </w:tc>
        <w:tc>
          <w:tcPr>
            <w:tcW w:w="2026" w:type="dxa"/>
            <w:vAlign w:val="center"/>
            <w:textDirection w:val="lrTb"/>
            <w:noWrap w:val="false"/>
          </w:tcPr>
          <w:p>
            <w:pPr>
              <w:jc w:val="center"/>
              <w:spacing w:line="340" w:lineRule="exact"/>
              <w:rPr>
                <w:szCs w:val="21"/>
              </w:rPr>
            </w:pPr>
            <w:r>
              <w:rPr>
                <w:szCs w:val="21"/>
              </w:rPr>
              <w:t xml:space="preserve">服务招标收费标准</w:t>
            </w:r>
            <w:r/>
          </w:p>
        </w:tc>
        <w:tc>
          <w:tcPr>
            <w:tcW w:w="1378" w:type="dxa"/>
            <w:vAlign w:val="center"/>
            <w:textDirection w:val="lrTb"/>
            <w:noWrap w:val="false"/>
          </w:tcPr>
          <w:p>
            <w:pPr>
              <w:jc w:val="center"/>
              <w:spacing w:line="340" w:lineRule="exact"/>
              <w:rPr>
                <w:szCs w:val="21"/>
              </w:rPr>
            </w:pPr>
            <w:r>
              <w:rPr>
                <w:szCs w:val="21"/>
              </w:rPr>
              <w:t xml:space="preserve">我公司收费</w:t>
            </w:r>
            <w:r/>
          </w:p>
        </w:tc>
      </w:tr>
      <w:tr>
        <w:trPr>
          <w:jc w:val="center"/>
          <w:trHeight w:val="347"/>
        </w:trPr>
        <w:tc>
          <w:tcPr>
            <w:tcW w:w="2122" w:type="dxa"/>
            <w:vAlign w:val="center"/>
            <w:textDirection w:val="lrTb"/>
            <w:noWrap w:val="false"/>
          </w:tcPr>
          <w:p>
            <w:pPr>
              <w:jc w:val="center"/>
              <w:spacing w:line="300" w:lineRule="exact"/>
              <w:rPr>
                <w:szCs w:val="21"/>
              </w:rPr>
            </w:pPr>
            <w:r>
              <w:rPr>
                <w:szCs w:val="21"/>
              </w:rPr>
              <w:t xml:space="preserve">100以下</w:t>
            </w:r>
            <w:r/>
          </w:p>
        </w:tc>
        <w:tc>
          <w:tcPr>
            <w:tcW w:w="1973" w:type="dxa"/>
            <w:vAlign w:val="center"/>
            <w:textDirection w:val="lrTb"/>
            <w:noWrap w:val="false"/>
          </w:tcPr>
          <w:p>
            <w:pPr>
              <w:ind w:firstLine="420"/>
              <w:jc w:val="center"/>
              <w:spacing w:line="300" w:lineRule="exact"/>
              <w:rPr>
                <w:szCs w:val="21"/>
              </w:rPr>
            </w:pPr>
            <w:r>
              <w:rPr>
                <w:szCs w:val="21"/>
              </w:rPr>
              <w:t xml:space="preserve">1.5%</w:t>
            </w:r>
            <w:r/>
          </w:p>
        </w:tc>
        <w:tc>
          <w:tcPr>
            <w:tcW w:w="1387" w:type="dxa"/>
            <w:vAlign w:val="center"/>
            <w:textDirection w:val="lrTb"/>
            <w:noWrap w:val="false"/>
          </w:tcPr>
          <w:p>
            <w:pPr>
              <w:ind w:firstLine="420"/>
              <w:spacing w:line="300" w:lineRule="exact"/>
              <w:rPr>
                <w:szCs w:val="21"/>
              </w:rPr>
            </w:pPr>
            <w:r>
              <w:rPr>
                <w:szCs w:val="21"/>
              </w:rPr>
              <w:t xml:space="preserve">1.2%</w:t>
            </w:r>
            <w:r/>
          </w:p>
        </w:tc>
        <w:tc>
          <w:tcPr>
            <w:tcW w:w="2026" w:type="dxa"/>
            <w:vAlign w:val="center"/>
            <w:textDirection w:val="lrTb"/>
            <w:noWrap w:val="false"/>
          </w:tcPr>
          <w:p>
            <w:pPr>
              <w:ind w:firstLine="420"/>
              <w:spacing w:line="300" w:lineRule="exact"/>
              <w:rPr>
                <w:szCs w:val="21"/>
              </w:rPr>
            </w:pPr>
            <w:r>
              <w:rPr>
                <w:szCs w:val="21"/>
              </w:rPr>
              <w:t xml:space="preserve">1.5%</w:t>
            </w:r>
            <w:r/>
          </w:p>
        </w:tc>
        <w:tc>
          <w:tcPr>
            <w:tcW w:w="1378" w:type="dxa"/>
            <w:vAlign w:val="center"/>
            <w:textDirection w:val="lrTb"/>
            <w:noWrap w:val="false"/>
          </w:tcPr>
          <w:p>
            <w:pPr>
              <w:ind w:firstLine="420"/>
              <w:spacing w:line="300" w:lineRule="exact"/>
              <w:rPr>
                <w:szCs w:val="21"/>
              </w:rPr>
            </w:pPr>
            <w:r>
              <w:rPr>
                <w:szCs w:val="21"/>
              </w:rPr>
              <w:t xml:space="preserve">1.2%</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100-500</w:t>
            </w:r>
            <w:r/>
          </w:p>
        </w:tc>
        <w:tc>
          <w:tcPr>
            <w:tcW w:w="1973" w:type="dxa"/>
            <w:vAlign w:val="center"/>
            <w:textDirection w:val="lrTb"/>
            <w:noWrap w:val="false"/>
          </w:tcPr>
          <w:p>
            <w:pPr>
              <w:ind w:firstLine="420"/>
              <w:jc w:val="center"/>
              <w:spacing w:line="300" w:lineRule="exact"/>
              <w:rPr>
                <w:szCs w:val="21"/>
              </w:rPr>
            </w:pPr>
            <w:r>
              <w:rPr>
                <w:szCs w:val="21"/>
              </w:rPr>
              <w:t xml:space="preserve">1.1%</w:t>
            </w:r>
            <w:r/>
          </w:p>
        </w:tc>
        <w:tc>
          <w:tcPr>
            <w:tcW w:w="1387" w:type="dxa"/>
            <w:vAlign w:val="center"/>
            <w:textDirection w:val="lrTb"/>
            <w:noWrap w:val="false"/>
          </w:tcPr>
          <w:p>
            <w:pPr>
              <w:ind w:firstLine="420"/>
              <w:spacing w:line="300" w:lineRule="exact"/>
              <w:rPr>
                <w:szCs w:val="21"/>
              </w:rPr>
            </w:pPr>
            <w:r>
              <w:rPr>
                <w:szCs w:val="21"/>
              </w:rPr>
              <w:t xml:space="preserve">0.88%</w:t>
            </w:r>
            <w:r/>
          </w:p>
        </w:tc>
        <w:tc>
          <w:tcPr>
            <w:tcW w:w="2026" w:type="dxa"/>
            <w:vAlign w:val="center"/>
            <w:textDirection w:val="lrTb"/>
            <w:noWrap w:val="false"/>
          </w:tcPr>
          <w:p>
            <w:pPr>
              <w:ind w:firstLine="420"/>
              <w:spacing w:line="300" w:lineRule="exact"/>
              <w:rPr>
                <w:szCs w:val="21"/>
              </w:rPr>
            </w:pPr>
            <w:r>
              <w:rPr>
                <w:szCs w:val="21"/>
              </w:rPr>
              <w:t xml:space="preserve">0.8%</w:t>
            </w:r>
            <w:r/>
          </w:p>
        </w:tc>
        <w:tc>
          <w:tcPr>
            <w:tcW w:w="1378" w:type="dxa"/>
            <w:vAlign w:val="center"/>
            <w:textDirection w:val="lrTb"/>
            <w:noWrap w:val="false"/>
          </w:tcPr>
          <w:p>
            <w:pPr>
              <w:ind w:firstLine="420"/>
              <w:spacing w:line="300" w:lineRule="exact"/>
              <w:rPr>
                <w:szCs w:val="21"/>
              </w:rPr>
            </w:pPr>
            <w:r>
              <w:rPr>
                <w:szCs w:val="21"/>
              </w:rPr>
              <w:t xml:space="preserve">0.64%</w:t>
            </w:r>
            <w:r/>
          </w:p>
        </w:tc>
      </w:tr>
      <w:tr>
        <w:trPr>
          <w:jc w:val="center"/>
        </w:trPr>
        <w:tc>
          <w:tcPr>
            <w:tcW w:w="2122" w:type="dxa"/>
            <w:vAlign w:val="center"/>
            <w:textDirection w:val="lrTb"/>
            <w:noWrap w:val="false"/>
          </w:tcPr>
          <w:p>
            <w:pPr>
              <w:jc w:val="center"/>
              <w:spacing w:line="300" w:lineRule="exact"/>
              <w:rPr>
                <w:szCs w:val="21"/>
              </w:rPr>
            </w:pPr>
            <w:r>
              <w:rPr>
                <w:szCs w:val="21"/>
              </w:rPr>
              <w:t xml:space="preserve">500-1000</w:t>
            </w:r>
            <w:r/>
          </w:p>
        </w:tc>
        <w:tc>
          <w:tcPr>
            <w:tcW w:w="1973" w:type="dxa"/>
            <w:vAlign w:val="center"/>
            <w:textDirection w:val="lrTb"/>
            <w:noWrap w:val="false"/>
          </w:tcPr>
          <w:p>
            <w:pPr>
              <w:ind w:firstLine="420"/>
              <w:jc w:val="center"/>
              <w:spacing w:line="300" w:lineRule="exact"/>
              <w:rPr>
                <w:szCs w:val="21"/>
              </w:rPr>
            </w:pPr>
            <w:r>
              <w:rPr>
                <w:szCs w:val="21"/>
              </w:rPr>
              <w:t xml:space="preserve">0.8%</w:t>
            </w:r>
            <w:r/>
          </w:p>
        </w:tc>
        <w:tc>
          <w:tcPr>
            <w:tcW w:w="1387" w:type="dxa"/>
            <w:vAlign w:val="center"/>
            <w:textDirection w:val="lrTb"/>
            <w:noWrap w:val="false"/>
          </w:tcPr>
          <w:p>
            <w:pPr>
              <w:ind w:firstLine="420"/>
              <w:spacing w:line="300" w:lineRule="exact"/>
              <w:rPr>
                <w:szCs w:val="21"/>
              </w:rPr>
            </w:pPr>
            <w:r>
              <w:rPr>
                <w:szCs w:val="21"/>
              </w:rPr>
              <w:t xml:space="preserve">0.64%</w:t>
            </w:r>
            <w:r/>
          </w:p>
        </w:tc>
        <w:tc>
          <w:tcPr>
            <w:tcW w:w="2026" w:type="dxa"/>
            <w:vAlign w:val="center"/>
            <w:textDirection w:val="lrTb"/>
            <w:noWrap w:val="false"/>
          </w:tcPr>
          <w:p>
            <w:pPr>
              <w:ind w:firstLine="420"/>
              <w:spacing w:line="300" w:lineRule="exact"/>
              <w:rPr>
                <w:szCs w:val="21"/>
              </w:rPr>
            </w:pPr>
            <w:r>
              <w:rPr>
                <w:szCs w:val="21"/>
              </w:rPr>
              <w:t xml:space="preserve">0.45%</w:t>
            </w:r>
            <w:r/>
          </w:p>
        </w:tc>
        <w:tc>
          <w:tcPr>
            <w:tcW w:w="1378" w:type="dxa"/>
            <w:vAlign w:val="center"/>
            <w:textDirection w:val="lrTb"/>
            <w:noWrap w:val="false"/>
          </w:tcPr>
          <w:p>
            <w:pPr>
              <w:ind w:firstLine="420"/>
              <w:spacing w:line="300" w:lineRule="exact"/>
              <w:rPr>
                <w:szCs w:val="21"/>
              </w:rPr>
            </w:pPr>
            <w:r>
              <w:rPr>
                <w:szCs w:val="21"/>
              </w:rPr>
              <w:t xml:space="preserve">0.36%</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1000-5000</w:t>
            </w:r>
            <w:r/>
          </w:p>
        </w:tc>
        <w:tc>
          <w:tcPr>
            <w:tcW w:w="1973" w:type="dxa"/>
            <w:vAlign w:val="center"/>
            <w:textDirection w:val="lrTb"/>
            <w:noWrap w:val="false"/>
          </w:tcPr>
          <w:p>
            <w:pPr>
              <w:ind w:firstLine="420"/>
              <w:jc w:val="center"/>
              <w:spacing w:line="300" w:lineRule="exact"/>
              <w:rPr>
                <w:szCs w:val="21"/>
              </w:rPr>
            </w:pPr>
            <w:r>
              <w:rPr>
                <w:szCs w:val="21"/>
              </w:rPr>
              <w:t xml:space="preserve">0.5%</w:t>
            </w:r>
            <w:r/>
          </w:p>
        </w:tc>
        <w:tc>
          <w:tcPr>
            <w:tcW w:w="1387" w:type="dxa"/>
            <w:vAlign w:val="center"/>
            <w:textDirection w:val="lrTb"/>
            <w:noWrap w:val="false"/>
          </w:tcPr>
          <w:p>
            <w:pPr>
              <w:ind w:firstLine="420"/>
              <w:spacing w:line="300" w:lineRule="exact"/>
              <w:rPr>
                <w:szCs w:val="21"/>
              </w:rPr>
            </w:pPr>
            <w:r>
              <w:rPr>
                <w:szCs w:val="21"/>
              </w:rPr>
              <w:t xml:space="preserve">0.4%</w:t>
            </w:r>
            <w:r/>
          </w:p>
        </w:tc>
        <w:tc>
          <w:tcPr>
            <w:tcW w:w="2026" w:type="dxa"/>
            <w:vAlign w:val="center"/>
            <w:textDirection w:val="lrTb"/>
            <w:noWrap w:val="false"/>
          </w:tcPr>
          <w:p>
            <w:pPr>
              <w:ind w:firstLine="420"/>
              <w:spacing w:line="300" w:lineRule="exact"/>
              <w:rPr>
                <w:szCs w:val="21"/>
              </w:rPr>
            </w:pPr>
            <w:r>
              <w:rPr>
                <w:szCs w:val="21"/>
              </w:rPr>
              <w:t xml:space="preserve">0.25%</w:t>
            </w:r>
            <w:r/>
          </w:p>
        </w:tc>
        <w:tc>
          <w:tcPr>
            <w:tcW w:w="1378" w:type="dxa"/>
            <w:vAlign w:val="center"/>
            <w:textDirection w:val="lrTb"/>
            <w:noWrap w:val="false"/>
          </w:tcPr>
          <w:p>
            <w:pPr>
              <w:ind w:firstLine="420"/>
              <w:spacing w:line="300" w:lineRule="exact"/>
              <w:rPr>
                <w:szCs w:val="21"/>
              </w:rPr>
            </w:pPr>
            <w:r>
              <w:rPr>
                <w:szCs w:val="21"/>
              </w:rPr>
              <w:t xml:space="preserve">0.2%</w:t>
            </w:r>
            <w:r/>
          </w:p>
        </w:tc>
      </w:tr>
      <w:tr>
        <w:trPr>
          <w:jc w:val="center"/>
        </w:trPr>
        <w:tc>
          <w:tcPr>
            <w:tcW w:w="2122" w:type="dxa"/>
            <w:vAlign w:val="center"/>
            <w:textDirection w:val="lrTb"/>
            <w:noWrap w:val="false"/>
          </w:tcPr>
          <w:p>
            <w:pPr>
              <w:jc w:val="center"/>
              <w:spacing w:line="300" w:lineRule="exact"/>
              <w:rPr>
                <w:szCs w:val="21"/>
              </w:rPr>
            </w:pPr>
            <w:r>
              <w:rPr>
                <w:szCs w:val="21"/>
              </w:rPr>
              <w:t xml:space="preserve">5000-10000</w:t>
            </w:r>
            <w:r/>
          </w:p>
        </w:tc>
        <w:tc>
          <w:tcPr>
            <w:tcW w:w="1973" w:type="dxa"/>
            <w:vAlign w:val="center"/>
            <w:textDirection w:val="lrTb"/>
            <w:noWrap w:val="false"/>
          </w:tcPr>
          <w:p>
            <w:pPr>
              <w:ind w:firstLine="420"/>
              <w:jc w:val="center"/>
              <w:spacing w:line="300" w:lineRule="exact"/>
              <w:rPr>
                <w:szCs w:val="21"/>
              </w:rPr>
            </w:pPr>
            <w:r>
              <w:rPr>
                <w:szCs w:val="21"/>
              </w:rPr>
              <w:t xml:space="preserve">0.25%</w:t>
            </w:r>
            <w:r/>
          </w:p>
        </w:tc>
        <w:tc>
          <w:tcPr>
            <w:tcW w:w="1387" w:type="dxa"/>
            <w:vAlign w:val="center"/>
            <w:textDirection w:val="lrTb"/>
            <w:noWrap w:val="false"/>
          </w:tcPr>
          <w:p>
            <w:pPr>
              <w:ind w:firstLine="420"/>
              <w:spacing w:line="300" w:lineRule="exact"/>
              <w:rPr>
                <w:szCs w:val="21"/>
              </w:rPr>
            </w:pPr>
            <w:r>
              <w:rPr>
                <w:szCs w:val="21"/>
              </w:rPr>
              <w:t xml:space="preserve">0.2%</w:t>
            </w:r>
            <w:r/>
          </w:p>
        </w:tc>
        <w:tc>
          <w:tcPr>
            <w:tcW w:w="2026" w:type="dxa"/>
            <w:vAlign w:val="center"/>
            <w:textDirection w:val="lrTb"/>
            <w:noWrap w:val="false"/>
          </w:tcPr>
          <w:p>
            <w:pPr>
              <w:ind w:firstLine="420"/>
              <w:spacing w:line="300" w:lineRule="exact"/>
              <w:rPr>
                <w:szCs w:val="21"/>
              </w:rPr>
            </w:pPr>
            <w:r>
              <w:rPr>
                <w:szCs w:val="21"/>
              </w:rPr>
              <w:t xml:space="preserve">0.1%</w:t>
            </w:r>
            <w:r/>
          </w:p>
        </w:tc>
        <w:tc>
          <w:tcPr>
            <w:tcW w:w="1378" w:type="dxa"/>
            <w:vAlign w:val="center"/>
            <w:textDirection w:val="lrTb"/>
            <w:noWrap w:val="false"/>
          </w:tcPr>
          <w:p>
            <w:pPr>
              <w:ind w:firstLine="420"/>
              <w:spacing w:line="300" w:lineRule="exact"/>
              <w:rPr>
                <w:szCs w:val="21"/>
              </w:rPr>
            </w:pPr>
            <w:r>
              <w:rPr>
                <w:szCs w:val="21"/>
              </w:rPr>
              <w:t xml:space="preserve">0.08%</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10000-100000</w:t>
            </w:r>
            <w:r/>
          </w:p>
        </w:tc>
        <w:tc>
          <w:tcPr>
            <w:tcW w:w="1973" w:type="dxa"/>
            <w:vAlign w:val="center"/>
            <w:textDirection w:val="lrTb"/>
            <w:noWrap w:val="false"/>
          </w:tcPr>
          <w:p>
            <w:pPr>
              <w:ind w:firstLine="420"/>
              <w:jc w:val="center"/>
              <w:spacing w:line="300" w:lineRule="exact"/>
              <w:rPr>
                <w:szCs w:val="21"/>
              </w:rPr>
            </w:pPr>
            <w:r>
              <w:rPr>
                <w:szCs w:val="21"/>
              </w:rPr>
              <w:t xml:space="preserve">0.05%</w:t>
            </w:r>
            <w:r/>
          </w:p>
        </w:tc>
        <w:tc>
          <w:tcPr>
            <w:tcW w:w="1387" w:type="dxa"/>
            <w:vAlign w:val="center"/>
            <w:textDirection w:val="lrTb"/>
            <w:noWrap w:val="false"/>
          </w:tcPr>
          <w:p>
            <w:pPr>
              <w:ind w:firstLine="420"/>
              <w:spacing w:line="300" w:lineRule="exact"/>
              <w:rPr>
                <w:szCs w:val="21"/>
              </w:rPr>
            </w:pPr>
            <w:r>
              <w:rPr>
                <w:szCs w:val="21"/>
              </w:rPr>
              <w:t xml:space="preserve">0.04%</w:t>
            </w:r>
            <w:r/>
          </w:p>
        </w:tc>
        <w:tc>
          <w:tcPr>
            <w:tcW w:w="2026" w:type="dxa"/>
            <w:vAlign w:val="center"/>
            <w:textDirection w:val="lrTb"/>
            <w:noWrap w:val="false"/>
          </w:tcPr>
          <w:p>
            <w:pPr>
              <w:ind w:firstLine="420"/>
              <w:spacing w:line="300" w:lineRule="exact"/>
              <w:rPr>
                <w:szCs w:val="21"/>
              </w:rPr>
            </w:pPr>
            <w:r>
              <w:rPr>
                <w:szCs w:val="21"/>
              </w:rPr>
              <w:t xml:space="preserve">0.05%</w:t>
            </w:r>
            <w:r/>
          </w:p>
        </w:tc>
        <w:tc>
          <w:tcPr>
            <w:tcW w:w="1378" w:type="dxa"/>
            <w:vAlign w:val="center"/>
            <w:textDirection w:val="lrTb"/>
            <w:noWrap w:val="false"/>
          </w:tcPr>
          <w:p>
            <w:pPr>
              <w:ind w:firstLine="420"/>
              <w:spacing w:line="300" w:lineRule="exact"/>
              <w:rPr>
                <w:szCs w:val="21"/>
              </w:rPr>
            </w:pPr>
            <w:r>
              <w:rPr>
                <w:szCs w:val="21"/>
              </w:rPr>
              <w:t xml:space="preserve">0.04%</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1000000以上</w:t>
            </w:r>
            <w:r/>
          </w:p>
        </w:tc>
        <w:tc>
          <w:tcPr>
            <w:tcW w:w="1973" w:type="dxa"/>
            <w:vAlign w:val="center"/>
            <w:textDirection w:val="lrTb"/>
            <w:noWrap w:val="false"/>
          </w:tcPr>
          <w:p>
            <w:pPr>
              <w:ind w:firstLine="420"/>
              <w:jc w:val="center"/>
              <w:spacing w:line="300" w:lineRule="exact"/>
              <w:rPr>
                <w:szCs w:val="21"/>
              </w:rPr>
            </w:pPr>
            <w:r>
              <w:rPr>
                <w:szCs w:val="21"/>
              </w:rPr>
              <w:t xml:space="preserve">0.01%</w:t>
            </w:r>
            <w:r/>
          </w:p>
        </w:tc>
        <w:tc>
          <w:tcPr>
            <w:tcW w:w="1387" w:type="dxa"/>
            <w:vAlign w:val="center"/>
            <w:textDirection w:val="lrTb"/>
            <w:noWrap w:val="false"/>
          </w:tcPr>
          <w:p>
            <w:pPr>
              <w:ind w:firstLine="420"/>
              <w:spacing w:line="300" w:lineRule="exact"/>
              <w:rPr>
                <w:szCs w:val="21"/>
              </w:rPr>
            </w:pPr>
            <w:r>
              <w:rPr>
                <w:szCs w:val="21"/>
              </w:rPr>
              <w:t xml:space="preserve">0.008%</w:t>
            </w:r>
            <w:r/>
          </w:p>
        </w:tc>
        <w:tc>
          <w:tcPr>
            <w:tcW w:w="2026" w:type="dxa"/>
            <w:vAlign w:val="center"/>
            <w:textDirection w:val="lrTb"/>
            <w:noWrap w:val="false"/>
          </w:tcPr>
          <w:p>
            <w:pPr>
              <w:ind w:firstLine="420"/>
              <w:spacing w:line="300" w:lineRule="exact"/>
              <w:rPr>
                <w:szCs w:val="21"/>
              </w:rPr>
            </w:pPr>
            <w:r>
              <w:rPr>
                <w:szCs w:val="21"/>
              </w:rPr>
              <w:t xml:space="preserve">0.01%</w:t>
            </w:r>
            <w:r/>
          </w:p>
        </w:tc>
        <w:tc>
          <w:tcPr>
            <w:tcW w:w="1378" w:type="dxa"/>
            <w:vAlign w:val="center"/>
            <w:textDirection w:val="lrTb"/>
            <w:noWrap w:val="false"/>
          </w:tcPr>
          <w:p>
            <w:pPr>
              <w:ind w:firstLine="420"/>
              <w:spacing w:line="300" w:lineRule="exact"/>
              <w:rPr>
                <w:szCs w:val="21"/>
              </w:rPr>
            </w:pPr>
            <w:r>
              <w:rPr>
                <w:szCs w:val="21"/>
              </w:rPr>
              <w:t xml:space="preserve">0.008%</w:t>
            </w:r>
            <w:r/>
          </w:p>
        </w:tc>
      </w:tr>
    </w:tbl>
    <w:p>
      <w:pPr>
        <w:ind w:firstLine="422"/>
        <w:jc w:val="left"/>
        <w:spacing w:line="360" w:lineRule="auto"/>
        <w:rPr>
          <w:b/>
          <w:szCs w:val="21"/>
        </w:rPr>
      </w:pPr>
      <w:r>
        <w:rPr>
          <w:b/>
          <w:szCs w:val="21"/>
        </w:rPr>
      </w:r>
      <w:r/>
    </w:p>
    <w:p>
      <w:pPr>
        <w:ind w:firstLine="422"/>
        <w:jc w:val="left"/>
        <w:spacing w:line="360" w:lineRule="auto"/>
        <w:rPr>
          <w:b/>
          <w:bCs/>
          <w:szCs w:val="21"/>
          <w:lang w:val="zh-CN"/>
        </w:rPr>
      </w:pPr>
      <w:r>
        <w:rPr>
          <w:b/>
          <w:bCs/>
          <w:szCs w:val="21"/>
          <w:lang w:val="zh-CN"/>
        </w:rPr>
        <w:t xml:space="preserve">服务费受理账户信息</w:t>
      </w:r>
      <w:r/>
    </w:p>
    <w:p>
      <w:pPr>
        <w:ind w:firstLine="420"/>
        <w:jc w:val="left"/>
        <w:spacing w:line="360" w:lineRule="auto"/>
        <w:rPr>
          <w:bCs/>
          <w:szCs w:val="21"/>
        </w:rPr>
      </w:pPr>
      <w:r>
        <w:rPr>
          <w:bCs/>
          <w:szCs w:val="21"/>
        </w:rPr>
        <w:t xml:space="preserve">开户名称：江苏美达机电贸易有限公司</w:t>
      </w:r>
      <w:r/>
    </w:p>
    <w:p>
      <w:pPr>
        <w:ind w:firstLine="420"/>
        <w:jc w:val="left"/>
        <w:spacing w:line="360" w:lineRule="auto"/>
        <w:rPr>
          <w:bCs/>
          <w:szCs w:val="21"/>
        </w:rPr>
      </w:pPr>
      <w:r>
        <w:rPr>
          <w:bCs/>
          <w:szCs w:val="21"/>
        </w:rPr>
        <w:t xml:space="preserve">开户银行：中信银行股份有限公司南京城中支行</w:t>
      </w:r>
      <w:r/>
    </w:p>
    <w:p>
      <w:pPr>
        <w:ind w:firstLine="420"/>
        <w:jc w:val="left"/>
        <w:spacing w:line="360" w:lineRule="auto"/>
        <w:rPr>
          <w:b/>
          <w:bCs/>
          <w:szCs w:val="21"/>
        </w:rPr>
      </w:pPr>
      <w:r>
        <w:rPr>
          <w:bCs/>
          <w:szCs w:val="21"/>
        </w:rPr>
        <w:t xml:space="preserve">人民币账号：7351110182300007918</w:t>
      </w:r>
      <w:r/>
    </w:p>
    <w:p>
      <w:pPr>
        <w:spacing w:line="360" w:lineRule="auto"/>
        <w:shd w:val="clear" w:color="auto" w:fill="ffffff"/>
        <w:widowControl/>
        <w:rPr>
          <w:b/>
          <w:bCs/>
          <w:szCs w:val="21"/>
        </w:rPr>
        <w:outlineLvl w:val="1"/>
      </w:pPr>
      <w:r/>
      <w:bookmarkStart w:id="95" w:name="_Toc231822740"/>
      <w:r>
        <w:rPr>
          <w:b/>
          <w:bCs/>
          <w:szCs w:val="21"/>
        </w:rPr>
        <w:t xml:space="preserve">七、质疑</w:t>
      </w:r>
      <w:bookmarkEnd w:id="95"/>
      <w:r/>
      <w:r/>
    </w:p>
    <w:p>
      <w:pPr>
        <w:ind w:firstLine="422"/>
        <w:spacing w:line="360" w:lineRule="auto"/>
        <w:rPr>
          <w:b/>
          <w:szCs w:val="21"/>
        </w:rPr>
      </w:pPr>
      <w:r/>
      <w:bookmarkStart w:id="96" w:name="_Toc231820625"/>
      <w:r>
        <w:rPr>
          <w:b/>
          <w:szCs w:val="21"/>
        </w:rPr>
        <w:t xml:space="preserve">29、质疑</w:t>
      </w:r>
      <w:bookmarkEnd w:id="96"/>
      <w:r/>
      <w:r/>
    </w:p>
    <w:p>
      <w:pPr>
        <w:ind w:firstLine="420"/>
        <w:spacing w:line="360" w:lineRule="auto"/>
        <w:rPr>
          <w:bCs/>
          <w:szCs w:val="21"/>
        </w:rPr>
      </w:pPr>
      <w:r>
        <w:rPr>
          <w:bCs/>
          <w:szCs w:val="21"/>
        </w:rPr>
        <w:t xml:space="preserve">29.1 供应商对招标活动事项有疑问的，可以向采购代理机构提出询问，采购代理机构将依法作出答复，但答复的内容不涉及商业秘密。</w:t>
      </w:r>
      <w:r/>
    </w:p>
    <w:p>
      <w:pPr>
        <w:ind w:firstLine="420"/>
        <w:spacing w:line="360" w:lineRule="auto"/>
        <w:rPr>
          <w:bCs/>
          <w:szCs w:val="21"/>
        </w:rPr>
      </w:pPr>
      <w:r>
        <w:rPr>
          <w:bCs/>
          <w:szCs w:val="21"/>
        </w:rPr>
        <w:t xml:space="preserve">29.2 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29.3供应商须在法定质疑期内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29.4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szCs w:val="21"/>
        </w:rPr>
      </w:pPr>
      <w:r>
        <w:rPr>
          <w:szCs w:val="21"/>
        </w:rPr>
        <w:t xml:space="preserve">29.5质疑供应商若对项目的某一分包进行质疑，质疑函中应列明具体分包号。</w:t>
      </w:r>
      <w:r/>
    </w:p>
    <w:p>
      <w:pPr>
        <w:ind w:firstLine="420"/>
        <w:spacing w:line="360" w:lineRule="auto"/>
        <w:rPr>
          <w:szCs w:val="21"/>
        </w:rPr>
      </w:pPr>
      <w:r>
        <w:rPr>
          <w:szCs w:val="21"/>
        </w:rPr>
        <w:t xml:space="preserve">29.6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szCs w:val="21"/>
        </w:rPr>
      </w:pPr>
      <w:r>
        <w:rPr>
          <w:szCs w:val="21"/>
        </w:rPr>
        <w:t xml:space="preserve">（1）供应商的姓名或者名称、地址、邮编、联系人及联系电话；</w:t>
      </w:r>
      <w:r/>
    </w:p>
    <w:p>
      <w:pPr>
        <w:ind w:firstLine="420"/>
        <w:spacing w:line="360" w:lineRule="auto"/>
        <w:rPr>
          <w:bCs/>
          <w:szCs w:val="21"/>
        </w:rPr>
      </w:pPr>
      <w:r>
        <w:rPr>
          <w:bCs/>
          <w:szCs w:val="21"/>
        </w:rPr>
        <w:t xml:space="preserve">（2）质疑项目的名称、编号；</w:t>
      </w:r>
      <w:r/>
    </w:p>
    <w:p>
      <w:pPr>
        <w:ind w:firstLine="420"/>
        <w:spacing w:line="360" w:lineRule="auto"/>
        <w:rPr>
          <w:bCs/>
          <w:szCs w:val="21"/>
        </w:rPr>
      </w:pPr>
      <w:r>
        <w:rPr>
          <w:bCs/>
          <w:szCs w:val="21"/>
        </w:rPr>
        <w:t xml:space="preserve">（3）具体、明确的质疑事项和与质疑事项相关的请求；</w:t>
      </w:r>
      <w:r/>
    </w:p>
    <w:p>
      <w:pPr>
        <w:ind w:firstLine="420"/>
        <w:spacing w:line="360" w:lineRule="auto"/>
        <w:rPr>
          <w:bCs/>
          <w:szCs w:val="21"/>
        </w:rPr>
      </w:pPr>
      <w:r>
        <w:rPr>
          <w:bCs/>
          <w:szCs w:val="21"/>
        </w:rPr>
        <w:t xml:space="preserve">（4）事实依据；</w:t>
      </w:r>
      <w:r/>
    </w:p>
    <w:p>
      <w:pPr>
        <w:ind w:firstLine="420"/>
        <w:spacing w:line="360" w:lineRule="auto"/>
        <w:rPr>
          <w:bCs/>
          <w:szCs w:val="21"/>
        </w:rPr>
      </w:pPr>
      <w:r>
        <w:rPr>
          <w:bCs/>
          <w:szCs w:val="21"/>
        </w:rPr>
        <w:t xml:space="preserve">（5）必要的法律依据</w:t>
      </w:r>
      <w:r/>
    </w:p>
    <w:p>
      <w:pPr>
        <w:ind w:firstLine="420"/>
        <w:spacing w:line="360" w:lineRule="auto"/>
        <w:rPr>
          <w:bCs/>
          <w:szCs w:val="21"/>
        </w:rPr>
      </w:pPr>
      <w:r>
        <w:rPr>
          <w:bCs/>
          <w:szCs w:val="21"/>
        </w:rPr>
        <w:t xml:space="preserve">（6）提出质疑的日期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szCs w:val="21"/>
        </w:rPr>
      </w:pPr>
      <w:r>
        <w:rPr>
          <w:bCs/>
          <w:szCs w:val="21"/>
        </w:rPr>
        <w:t xml:space="preserve">29.7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ind w:firstLine="420"/>
        <w:spacing w:line="360" w:lineRule="auto"/>
        <w:rPr>
          <w:bCs/>
          <w:szCs w:val="21"/>
        </w:rPr>
      </w:pPr>
      <w:r>
        <w:rPr>
          <w:bCs/>
          <w:szCs w:val="21"/>
        </w:rPr>
        <w:t xml:space="preserve">29.8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szCs w:val="21"/>
        </w:rPr>
      </w:pPr>
      <w:r>
        <w:rPr>
          <w:bCs/>
          <w:szCs w:val="21"/>
        </w:rPr>
        <w:t xml:space="preserve">29.9本项目质疑函的接收人和联系方式详见第一章采购代理机构联系方式。</w:t>
      </w:r>
      <w:r/>
    </w:p>
    <w:p>
      <w:pPr>
        <w:ind w:firstLine="420"/>
        <w:spacing w:line="360" w:lineRule="auto"/>
        <w:rPr>
          <w:bCs/>
          <w:color w:val="000000"/>
          <w:szCs w:val="21"/>
        </w:rPr>
      </w:pPr>
      <w:r>
        <w:rPr>
          <w:bCs/>
          <w:color w:val="000000"/>
          <w:szCs w:val="21"/>
        </w:rPr>
        <w:t xml:space="preserve">29.10 采购代理机构在收到书面质疑后七个工作日内作出答复，并以书面形式通知质疑供应商和其他有关供应商，答复的内容不涉及商业秘密。</w:t>
      </w:r>
      <w:r/>
    </w:p>
    <w:p>
      <w:pPr>
        <w:ind w:firstLine="422"/>
        <w:spacing w:line="360" w:lineRule="auto"/>
        <w:rPr>
          <w:b/>
          <w:szCs w:val="21"/>
        </w:rPr>
      </w:pPr>
      <w:r>
        <w:rPr>
          <w:b/>
          <w:szCs w:val="21"/>
        </w:rPr>
        <w:t xml:space="preserve">30、投诉</w:t>
      </w:r>
      <w:r/>
    </w:p>
    <w:p>
      <w:pPr>
        <w:ind w:firstLine="420"/>
        <w:spacing w:line="360" w:lineRule="auto"/>
        <w:rPr>
          <w:bCs/>
          <w:szCs w:val="21"/>
        </w:rPr>
      </w:pPr>
      <w:r>
        <w:rPr>
          <w:bCs/>
          <w:szCs w:val="21"/>
        </w:rPr>
        <w:t xml:space="preserve">30.1提出质疑的供应商对采购代理机构的答复不满意或者采购代理机构未在规定的时间内作出答复的，可以在答复期满后十五个工作日内向同级政府采购监督管理部门投诉。</w:t>
      </w:r>
      <w:r/>
    </w:p>
    <w:p>
      <w:pPr>
        <w:ind w:firstLine="420"/>
        <w:spacing w:line="360" w:lineRule="auto"/>
        <w:rPr>
          <w:bCs/>
          <w:szCs w:val="21"/>
        </w:rPr>
      </w:pPr>
      <w:r>
        <w:rPr>
          <w:bCs/>
          <w:szCs w:val="21"/>
        </w:rPr>
        <w:t xml:space="preserve">30.2供应商投诉应当有明确的请求和必要的证明材料。供应商投诉的事项不得超出已质疑事项的范围。</w:t>
      </w:r>
      <w:r/>
    </w:p>
    <w:p>
      <w:pPr>
        <w:ind w:firstLine="420"/>
        <w:spacing w:line="360" w:lineRule="auto"/>
        <w:rPr>
          <w:bCs/>
          <w:szCs w:val="21"/>
        </w:rPr>
      </w:pPr>
      <w:r>
        <w:rPr>
          <w:bCs/>
          <w:szCs w:val="21"/>
        </w:rPr>
        <w:t xml:space="preserve">30.3投诉人对政府采购监督管理部门的投诉处理决定不服或者政府采购监督管理部门逾期未作处理的，可以依法申请行政复议或者向人民法院提起行政诉讼。</w:t>
      </w:r>
      <w:r/>
    </w:p>
    <w:p>
      <w:pPr>
        <w:ind w:firstLine="420"/>
        <w:spacing w:line="360" w:lineRule="auto"/>
        <w:rPr>
          <w:bCs/>
          <w:szCs w:val="21"/>
        </w:rPr>
      </w:pPr>
      <w:r>
        <w:rPr>
          <w:bCs/>
          <w:szCs w:val="21"/>
        </w:rPr>
        <w:t xml:space="preserve">30.4投诉人有下列行为之一的，属于严重失信行为，由财政部门列入不良行为记录名单，  禁止其一至三年内参加政府采购活动。</w:t>
      </w:r>
      <w:r/>
    </w:p>
    <w:p>
      <w:pPr>
        <w:ind w:firstLine="420"/>
        <w:spacing w:line="360" w:lineRule="auto"/>
        <w:rPr>
          <w:bCs/>
          <w:szCs w:val="21"/>
        </w:rPr>
      </w:pPr>
      <w:r>
        <w:rPr>
          <w:bCs/>
          <w:szCs w:val="21"/>
        </w:rPr>
        <w:t xml:space="preserve">30.5投诉人在全国范围 12 个月内三次以上投诉查无实据的；</w:t>
      </w:r>
      <w:r/>
    </w:p>
    <w:p>
      <w:pPr>
        <w:ind w:firstLine="420"/>
        <w:spacing w:line="360" w:lineRule="auto"/>
        <w:rPr>
          <w:bCs/>
          <w:szCs w:val="21"/>
        </w:rPr>
      </w:pPr>
      <w:r>
        <w:rPr>
          <w:bCs/>
          <w:szCs w:val="21"/>
        </w:rPr>
        <w:t xml:space="preserve">30.6采用捏造事实、提供虚假材料或者以非法手段取得证明材料等方式进行虚假、恶意投诉。</w:t>
      </w:r>
      <w:r/>
    </w:p>
    <w:p>
      <w:pPr>
        <w:ind w:firstLine="420"/>
        <w:spacing w:line="360" w:lineRule="auto"/>
        <w:rPr>
          <w:bCs/>
          <w:szCs w:val="21"/>
        </w:rPr>
        <w:sectPr>
          <w:footnotePr/>
          <w:endnotePr/>
          <w:type w:val="nextPage"/>
          <w:pgSz w:w="11910" w:h="16840" w:orient="portrait"/>
          <w:pgMar w:top="1247" w:right="1247" w:bottom="1247" w:left="1247" w:header="850" w:footer="964" w:gutter="0"/>
          <w:cols w:num="1" w:sep="0" w:space="720" w:equalWidth="1"/>
          <w:docGrid w:linePitch="360"/>
        </w:sectPr>
      </w:pPr>
      <w:r>
        <w:rPr>
          <w:bCs/>
          <w:szCs w:val="21"/>
        </w:rPr>
        <w:t xml:space="preserve">30.7证据来源的合法性存在明显疑问，投诉人无法证明其取得方式合法的，视为以非法手段取得证明材料。</w:t>
      </w:r>
      <w:r/>
    </w:p>
    <w:p>
      <w:pPr>
        <w:jc w:val="center"/>
        <w:spacing w:line="360" w:lineRule="auto"/>
        <w:shd w:val="clear" w:color="auto" w:fill="ffffff"/>
        <w:widowControl/>
        <w:outlineLvl w:val="0"/>
      </w:pPr>
      <w:r/>
      <w:bookmarkStart w:id="97" w:name="_Toc231822741"/>
      <w:r>
        <w:rPr>
          <w:b/>
          <w:sz w:val="28"/>
          <w:szCs w:val="28"/>
        </w:rPr>
        <w:t xml:space="preserve">第三章 评标标准</w:t>
      </w:r>
      <w:bookmarkEnd w:id="97"/>
      <w:r/>
      <w:bookmarkStart w:id="98" w:name="_Toc142623417"/>
      <w:r/>
      <w:bookmarkEnd w:id="98"/>
      <w:r/>
      <w:bookmarkStart w:id="99" w:name="_Toc25032666"/>
      <w:r/>
      <w:bookmarkEnd w:id="99"/>
      <w:r/>
      <w:bookmarkStart w:id="100" w:name="_Toc189726853"/>
      <w:r/>
      <w:bookmarkEnd w:id="100"/>
      <w:r/>
      <w:bookmarkStart w:id="101" w:name="_Toc163629751"/>
      <w:r/>
      <w:bookmarkEnd w:id="101"/>
      <w:r/>
      <w:bookmarkStart w:id="102" w:name="_Hlk297273538"/>
      <w:r/>
      <w:bookmarkEnd w:id="102"/>
      <w:r/>
      <w:bookmarkStart w:id="103" w:name="_Toc521839351"/>
      <w:r/>
      <w:bookmarkEnd w:id="103"/>
      <w:r/>
      <w:bookmarkStart w:id="104" w:name="_Toc522347554"/>
      <w:r/>
      <w:bookmarkEnd w:id="104"/>
      <w:r/>
      <w:r/>
    </w:p>
    <w:p>
      <w:pPr>
        <w:ind w:firstLine="420"/>
        <w:spacing w:line="360" w:lineRule="auto"/>
        <w:rPr>
          <w:color w:val="000000"/>
          <w:szCs w:val="21"/>
        </w:rPr>
      </w:pPr>
      <w:r>
        <w:rPr>
          <w:color w:val="000000"/>
          <w:szCs w:val="21"/>
        </w:rPr>
        <w:t xml:space="preserve">本项目采用</w:t>
      </w:r>
      <w:r>
        <w:rPr>
          <w:b/>
          <w:bCs/>
          <w:color w:val="000000"/>
          <w:szCs w:val="21"/>
        </w:rPr>
        <w:t xml:space="preserve">综合评分法</w:t>
      </w:r>
      <w:r>
        <w:rPr>
          <w:color w:val="000000"/>
          <w:szCs w:val="21"/>
        </w:rPr>
        <w:t xml:space="preserve">确定中标候选人。评标委员会将按以下评标办法和标准进行评分。</w:t>
      </w:r>
      <w:r/>
    </w:p>
    <w:p>
      <w:pPr>
        <w:ind w:firstLine="420"/>
        <w:spacing w:line="360" w:lineRule="auto"/>
        <w:rPr>
          <w:color w:val="000000"/>
          <w:szCs w:val="21"/>
        </w:rPr>
      </w:pPr>
      <w:r>
        <w:rPr>
          <w:color w:val="000000"/>
          <w:szCs w:val="21"/>
        </w:rPr>
        <w:t xml:space="preserve">总分值为100分，</w:t>
      </w:r>
      <w:r>
        <w:rPr>
          <w:color w:val="000000"/>
          <w:szCs w:val="21"/>
        </w:rPr>
        <w:t xml:space="preserve">小数点后保留两位。评审后得分由高到低顺序排列，得分相同的，按投标报价由低到高顺序排列，得分</w:t>
      </w:r>
      <w:r>
        <w:rPr>
          <w:color w:val="000000"/>
          <w:szCs w:val="21"/>
        </w:rPr>
        <w:t xml:space="preserve">且投标报价相同的，</w:t>
      </w:r>
      <w:r>
        <w:rPr>
          <w:szCs w:val="21"/>
        </w:rPr>
        <w:t xml:space="preserve">按技术指标优劣顺序排列</w:t>
      </w:r>
      <w:r>
        <w:rPr>
          <w:color w:val="000000"/>
          <w:szCs w:val="21"/>
        </w:rPr>
        <w:t xml:space="preserve">。评标委员会根据最终排名向采购人推荐中标候选人。</w:t>
      </w:r>
      <w:r/>
    </w:p>
    <w:tbl>
      <w:tblPr>
        <w:tblStyle w:val="1325"/>
        <w:tblW w:w="96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21"/>
        <w:gridCol w:w="7250"/>
      </w:tblGrid>
      <w:tr>
        <w:trPr>
          <w:trHeight w:val="449"/>
        </w:trPr>
        <w:tc>
          <w:tcPr>
            <w:tcBorders>
              <w:right w:val="single" w:color="auto" w:sz="4" w:space="0"/>
            </w:tcBorders>
            <w:tcW w:w="548" w:type="dxa"/>
            <w:textDirection w:val="lrTb"/>
            <w:noWrap w:val="false"/>
          </w:tcPr>
          <w:p>
            <w:pPr>
              <w:jc w:val="center"/>
              <w:spacing w:line="420" w:lineRule="exact"/>
              <w:widowControl/>
              <w:rPr>
                <w:szCs w:val="21"/>
              </w:rPr>
            </w:pPr>
            <w:r>
              <w:rPr>
                <w:b/>
                <w:bCs/>
                <w:szCs w:val="21"/>
              </w:rPr>
              <w:t xml:space="preserve">序号</w:t>
            </w:r>
            <w:r/>
          </w:p>
        </w:tc>
        <w:tc>
          <w:tcPr>
            <w:tcBorders>
              <w:left w:val="single" w:color="auto" w:sz="4" w:space="0"/>
            </w:tcBorders>
            <w:tcW w:w="1821" w:type="dxa"/>
            <w:textDirection w:val="lrTb"/>
            <w:noWrap w:val="false"/>
          </w:tcPr>
          <w:p>
            <w:pPr>
              <w:jc w:val="center"/>
              <w:spacing w:line="420" w:lineRule="exact"/>
              <w:widowControl/>
              <w:rPr>
                <w:szCs w:val="21"/>
              </w:rPr>
            </w:pPr>
            <w:r>
              <w:rPr>
                <w:b/>
                <w:bCs/>
                <w:szCs w:val="21"/>
              </w:rPr>
              <w:t xml:space="preserve">评审因素</w:t>
            </w:r>
            <w:r/>
          </w:p>
        </w:tc>
        <w:tc>
          <w:tcPr>
            <w:tcW w:w="7250" w:type="dxa"/>
            <w:textDirection w:val="lrTb"/>
            <w:noWrap w:val="false"/>
          </w:tcPr>
          <w:p>
            <w:pPr>
              <w:jc w:val="center"/>
              <w:spacing w:line="420" w:lineRule="exact"/>
              <w:tabs>
                <w:tab w:val="left" w:pos="2582" w:leader="none"/>
                <w:tab w:val="center" w:pos="3701" w:leader="none"/>
              </w:tabs>
              <w:rPr>
                <w:szCs w:val="21"/>
              </w:rPr>
            </w:pPr>
            <w:r>
              <w:rPr>
                <w:b/>
                <w:bCs/>
                <w:szCs w:val="21"/>
              </w:rPr>
              <w:t xml:space="preserve">评分标准</w:t>
            </w:r>
            <w:r/>
          </w:p>
        </w:tc>
      </w:tr>
      <w:tr>
        <w:trPr>
          <w:trHeight w:val="1149"/>
        </w:trPr>
        <w:tc>
          <w:tcPr>
            <w:tcBorders>
              <w:right w:val="single" w:color="auto" w:sz="4" w:space="0"/>
            </w:tcBorders>
            <w:tcW w:w="548" w:type="dxa"/>
            <w:vAlign w:val="center"/>
            <w:textDirection w:val="lrTb"/>
            <w:noWrap w:val="false"/>
          </w:tcPr>
          <w:p>
            <w:pPr>
              <w:jc w:val="center"/>
              <w:spacing w:line="420" w:lineRule="exact"/>
              <w:widowControl/>
              <w:rPr>
                <w:b/>
                <w:bCs/>
                <w:szCs w:val="21"/>
              </w:rPr>
            </w:pPr>
            <w:r>
              <w:rPr>
                <w:b/>
                <w:bCs/>
                <w:szCs w:val="21"/>
              </w:rPr>
              <w:t xml:space="preserve">1</w:t>
            </w:r>
            <w:r/>
          </w:p>
        </w:tc>
        <w:tc>
          <w:tcPr>
            <w:tcBorders>
              <w:left w:val="single" w:color="auto" w:sz="4" w:space="0"/>
            </w:tcBorders>
            <w:tcW w:w="1821" w:type="dxa"/>
            <w:vAlign w:val="center"/>
            <w:textDirection w:val="lrTb"/>
            <w:noWrap w:val="false"/>
          </w:tcPr>
          <w:p>
            <w:pPr>
              <w:jc w:val="center"/>
              <w:spacing w:line="420" w:lineRule="exact"/>
              <w:widowControl/>
              <w:rPr>
                <w:b/>
                <w:bCs/>
                <w:szCs w:val="21"/>
              </w:rPr>
            </w:pPr>
            <w:r>
              <w:rPr>
                <w:b/>
                <w:bCs/>
                <w:szCs w:val="21"/>
              </w:rPr>
              <w:t xml:space="preserve">价格分（30分）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满足招标文件要求且投标价格最低的有效投标报价为评标基准价，其价格分为30分。</w:t>
            </w:r>
            <w:r/>
          </w:p>
          <w:p>
            <w:pPr>
              <w:ind w:firstLine="420"/>
              <w:spacing w:line="420" w:lineRule="exact"/>
              <w:tabs>
                <w:tab w:val="left" w:pos="900" w:leader="none"/>
              </w:tabs>
              <w:rPr>
                <w:bCs/>
                <w:szCs w:val="21"/>
              </w:rPr>
            </w:pPr>
            <w:r>
              <w:rPr>
                <w:bCs/>
                <w:szCs w:val="21"/>
              </w:rPr>
              <w:t xml:space="preserve">其他投标人的价格分统一按照下列公式计算：投标报价得分=(评标基准价／投标报价)×30，小数点后保留两位。</w:t>
            </w:r>
            <w:r/>
          </w:p>
        </w:tc>
      </w:tr>
      <w:tr>
        <w:trPr>
          <w:trHeight w:val="185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2</w:t>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技术参数</w:t>
            </w:r>
            <w:r/>
          </w:p>
          <w:p>
            <w:pPr>
              <w:jc w:val="center"/>
              <w:spacing w:line="420" w:lineRule="exact"/>
              <w:rPr>
                <w:b/>
                <w:szCs w:val="21"/>
              </w:rPr>
            </w:pPr>
            <w:r>
              <w:rPr>
                <w:b/>
                <w:szCs w:val="21"/>
              </w:rPr>
              <w:t xml:space="preserve">（30分）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根据投标人提供的产品的技术性能说明、技术偏离等情况描述，由评委进行客观评价。</w:t>
            </w:r>
            <w:r/>
          </w:p>
          <w:p>
            <w:pPr>
              <w:ind w:firstLine="420"/>
              <w:spacing w:line="420" w:lineRule="exact"/>
              <w:tabs>
                <w:tab w:val="left" w:pos="900" w:leader="none"/>
              </w:tabs>
              <w:rPr>
                <w:bCs/>
                <w:szCs w:val="21"/>
              </w:rPr>
            </w:pPr>
            <w:r>
              <w:rPr>
                <w:bCs/>
                <w:szCs w:val="21"/>
              </w:rPr>
              <w:t xml:space="preserve">技术参数标注“</w:t>
            </w:r>
            <w:r>
              <w:rPr>
                <w:rFonts w:ascii="Segoe UI Symbol" w:hAnsi="Segoe UI Symbol" w:cs="Segoe UI Symbol"/>
                <w:bCs/>
                <w:szCs w:val="21"/>
              </w:rPr>
              <w:t xml:space="preserve">★</w:t>
            </w:r>
            <w:r>
              <w:rPr>
                <w:bCs/>
                <w:szCs w:val="21"/>
              </w:rPr>
              <w:t xml:space="preserve">”为主要技术参数，每有1个不满足的扣3分，未标注的为一般参数，每有1个不满足的扣2分。要求投标人提供可以满足“</w:t>
            </w:r>
            <w:r>
              <w:rPr>
                <w:rFonts w:ascii="Segoe UI Symbol" w:hAnsi="Segoe UI Symbol" w:cs="Segoe UI Symbol"/>
                <w:szCs w:val="21"/>
              </w:rPr>
              <w:t xml:space="preserve">★</w:t>
            </w:r>
            <w:r>
              <w:rPr>
                <w:bCs/>
                <w:szCs w:val="21"/>
              </w:rPr>
              <w:t xml:space="preserve">”技术参数的详细技术资料（有效的满足参数的检验报告或产品彩页或技术白皮书等评标委员会认可的相关证明材料并加盖公章，如“</w:t>
            </w:r>
            <w:r>
              <w:rPr>
                <w:rFonts w:ascii="Segoe UI Symbol" w:hAnsi="Segoe UI Symbol" w:cs="Segoe UI Symbol"/>
                <w:szCs w:val="21"/>
              </w:rPr>
              <w:t xml:space="preserve">★</w:t>
            </w:r>
            <w:r>
              <w:rPr>
                <w:bCs/>
                <w:szCs w:val="21"/>
              </w:rPr>
              <w:t xml:space="preserve">”技术参数有具体要求的，提供材料以要求为准）。完全按照招标文件技术参数复制作为投标文件技术参数的以及未提供详细技术资料的，评标委员会有可能视为不满足。</w:t>
            </w:r>
            <w:r/>
          </w:p>
        </w:tc>
      </w:tr>
      <w:tr>
        <w:trPr>
          <w:trHeight w:val="1328"/>
        </w:trPr>
        <w:tc>
          <w:tcPr>
            <w:tcBorders>
              <w:right w:val="single" w:color="auto" w:sz="4" w:space="0"/>
            </w:tcBorders>
            <w:tcW w:w="548" w:type="dxa"/>
            <w:vAlign w:val="center"/>
            <w:vMerge w:val="continue"/>
            <w:textDirection w:val="lrTb"/>
            <w:noWrap w:val="false"/>
          </w:tcPr>
          <w:p>
            <w:pPr>
              <w:jc w:val="center"/>
              <w:spacing w:line="420" w:lineRule="exact"/>
              <w:rPr>
                <w:b/>
                <w:szCs w:val="21"/>
              </w:rPr>
            </w:pPr>
            <w:r>
              <w:rPr>
                <w:b/>
                <w:szCs w:val="21"/>
              </w:rPr>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产品详细配置、</w:t>
            </w:r>
            <w:r/>
          </w:p>
          <w:p>
            <w:pPr>
              <w:jc w:val="center"/>
              <w:spacing w:line="420" w:lineRule="exact"/>
              <w:rPr>
                <w:b/>
                <w:szCs w:val="21"/>
              </w:rPr>
            </w:pPr>
            <w:r>
              <w:rPr>
                <w:b/>
                <w:szCs w:val="21"/>
              </w:rPr>
              <w:t xml:space="preserve">备品备件</w:t>
            </w:r>
            <w:r/>
          </w:p>
          <w:p>
            <w:pPr>
              <w:jc w:val="center"/>
              <w:spacing w:line="420" w:lineRule="exact"/>
              <w:rPr>
                <w:b/>
                <w:szCs w:val="21"/>
              </w:rPr>
            </w:pPr>
            <w:r>
              <w:rPr>
                <w:b/>
                <w:szCs w:val="21"/>
              </w:rPr>
              <w:t xml:space="preserve">（10分）</w:t>
            </w:r>
            <w:r/>
          </w:p>
        </w:tc>
        <w:tc>
          <w:tcPr>
            <w:tcW w:w="7250" w:type="dxa"/>
            <w:textDirection w:val="lrTb"/>
            <w:noWrap w:val="false"/>
          </w:tcPr>
          <w:p>
            <w:pPr>
              <w:ind w:firstLine="420"/>
              <w:spacing w:line="420" w:lineRule="exact"/>
              <w:tabs>
                <w:tab w:val="left" w:pos="900" w:leader="none"/>
              </w:tabs>
              <w:rPr>
                <w:rFonts w:eastAsia="方正仿宋简体"/>
              </w:rPr>
            </w:pPr>
            <w:r>
              <w:rPr>
                <w:bCs/>
                <w:szCs w:val="21"/>
              </w:rPr>
              <w:t xml:space="preserve">评标委员根据投标人提供的所投产品的详细配置、备品备件等满足招标文件要求的情况进行综合评分：方案详细，全面，满足招标文件要求的，得10分；方案较为详细，全面，基本满足招标文件要求的，得7分；方案不详细，不全面，但能满足招标文件要求的，得4分；方案不能满足招标文件要求或者未提供的不得分。</w:t>
            </w:r>
            <w:r/>
          </w:p>
        </w:tc>
      </w:tr>
      <w:tr>
        <w:trPr>
          <w:cantSplit/>
          <w:trHeight w:val="856"/>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3</w:t>
            </w:r>
            <w:r/>
          </w:p>
        </w:tc>
        <w:tc>
          <w:tcPr>
            <w:tcBorders>
              <w:left w:val="single" w:color="auto" w:sz="4" w:space="0"/>
              <w:right w:val="single" w:color="auto" w:sz="4" w:space="0"/>
            </w:tcBorders>
            <w:tcW w:w="1821" w:type="dxa"/>
            <w:vAlign w:val="center"/>
            <w:textDirection w:val="lrTb"/>
            <w:noWrap w:val="false"/>
          </w:tcPr>
          <w:p>
            <w:pPr>
              <w:jc w:val="center"/>
              <w:spacing w:line="420" w:lineRule="exact"/>
              <w:tabs>
                <w:tab w:val="left" w:pos="900" w:leader="none"/>
              </w:tabs>
              <w:rPr>
                <w:b/>
                <w:szCs w:val="21"/>
              </w:rPr>
            </w:pPr>
            <w:r>
              <w:rPr>
                <w:b/>
                <w:szCs w:val="21"/>
              </w:rPr>
              <w:t xml:space="preserve">业绩</w:t>
            </w:r>
            <w:r/>
          </w:p>
          <w:p>
            <w:pPr>
              <w:jc w:val="center"/>
              <w:spacing w:line="420" w:lineRule="exact"/>
              <w:tabs>
                <w:tab w:val="left" w:pos="900" w:leader="none"/>
              </w:tabs>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以投标人（或所投品牌制造商）提供的2023年7月份以来（以合同签订时间为准）同类产品</w:t>
            </w:r>
            <w:r>
              <w:rPr>
                <w:rFonts w:hint="eastAsia"/>
                <w:lang w:eastAsia="zh-CN"/>
              </w:rPr>
              <w:t xml:space="preserve">（</w:t>
            </w:r>
            <w:r>
              <w:rPr>
                <w:rFonts w:hint="eastAsia"/>
              </w:rPr>
              <w:t xml:space="preserve">至少包含核心产品</w:t>
            </w:r>
            <w:r>
              <w:rPr>
                <w:rFonts w:hint="eastAsia"/>
                <w:lang w:eastAsia="zh-CN"/>
              </w:rPr>
              <w:t xml:space="preserve">）</w:t>
            </w:r>
            <w:r>
              <w:t xml:space="preserve">业绩证明材料（提供合同复印件及对应的发票并加盖公章，原件备查），每提供1份得2分，最高得10分。（未提供或提供的评委不认可的</w:t>
            </w:r>
            <w:r>
              <w:rPr>
                <w:bCs/>
              </w:rPr>
              <w:t xml:space="preserve">不得分</w:t>
            </w:r>
            <w:r>
              <w:t xml:space="preserve">）。</w:t>
            </w:r>
            <w:r/>
          </w:p>
        </w:tc>
      </w:tr>
      <w:tr>
        <w:trPr>
          <w:cantSplit/>
          <w:trHeight w:val="597"/>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4</w:t>
            </w:r>
            <w:r/>
          </w:p>
        </w:tc>
        <w:tc>
          <w:tcPr>
            <w:tcBorders>
              <w:left w:val="single" w:color="auto" w:sz="4" w:space="0"/>
              <w:right w:val="single" w:color="auto" w:sz="4" w:space="0"/>
            </w:tcBorders>
            <w:tcW w:w="1821" w:type="dxa"/>
            <w:vAlign w:val="center"/>
            <w:textDirection w:val="lrTb"/>
            <w:noWrap w:val="false"/>
          </w:tcPr>
          <w:p>
            <w:pPr>
              <w:jc w:val="center"/>
              <w:spacing w:line="420" w:lineRule="exact"/>
              <w:rPr>
                <w:b/>
                <w:szCs w:val="21"/>
              </w:rPr>
            </w:pPr>
            <w:r>
              <w:rPr>
                <w:b/>
                <w:szCs w:val="21"/>
              </w:rPr>
              <w:t xml:space="preserve">供货方案</w:t>
            </w:r>
            <w:r/>
          </w:p>
          <w:p>
            <w:pPr>
              <w:jc w:val="center"/>
              <w:spacing w:line="420" w:lineRule="exact"/>
              <w:rPr>
                <w:b/>
                <w:szCs w:val="21"/>
              </w:rPr>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评标委员根据投标人针对本项目的采购方案（包括购买、包装、运输）、仪器校准检定要求、仪器使用应急替换方案、进度、质量、安全控制措施等进行综合评分：上述方案具有全面性、科学性、合理性和可操作性的得10分；上述方案略有瑕疵，具有的科学性、合理性和可操作性一般的得7分；上述方案片面，且具有的科学性、合理性和可操作性较差的得4分；未提供不得分。</w:t>
            </w:r>
            <w:r/>
          </w:p>
        </w:tc>
      </w:tr>
      <w:tr>
        <w:trPr>
          <w:cantSplit/>
          <w:trHeight w:val="647"/>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5</w:t>
            </w:r>
            <w:r/>
          </w:p>
        </w:tc>
        <w:tc>
          <w:tcPr>
            <w:tcBorders>
              <w:left w:val="single" w:color="auto" w:sz="4" w:space="0"/>
              <w:right w:val="single" w:color="auto" w:sz="4" w:space="0"/>
            </w:tcBorders>
            <w:tcW w:w="1821" w:type="dxa"/>
            <w:vAlign w:val="center"/>
            <w:vMerge w:val="restart"/>
            <w:textDirection w:val="lrTb"/>
            <w:noWrap w:val="false"/>
          </w:tcPr>
          <w:p>
            <w:pPr>
              <w:jc w:val="center"/>
              <w:spacing w:line="360" w:lineRule="auto"/>
              <w:rPr>
                <w:b/>
                <w:szCs w:val="21"/>
              </w:rPr>
            </w:pPr>
            <w:r>
              <w:rPr>
                <w:b/>
                <w:szCs w:val="21"/>
              </w:rPr>
              <w:t xml:space="preserve">售后服务方案</w:t>
            </w:r>
            <w:r/>
          </w:p>
          <w:p>
            <w:pPr>
              <w:jc w:val="center"/>
              <w:spacing w:line="360" w:lineRule="auto"/>
              <w:rPr>
                <w:b/>
                <w:szCs w:val="21"/>
              </w:rPr>
            </w:pPr>
            <w:r>
              <w:rPr>
                <w:b/>
                <w:szCs w:val="21"/>
              </w:rPr>
              <w:t xml:space="preserve">（10分）</w:t>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szCs w:val="22"/>
              </w:rPr>
            </w:pPr>
            <w:r>
              <w:rPr>
                <w:szCs w:val="22"/>
              </w:rPr>
              <w:t xml:space="preserve">（1）质保期在满足招标文件要求（1年）的基础上，每增加1年得2分，最多得4分。</w:t>
            </w:r>
            <w:r/>
          </w:p>
        </w:tc>
      </w:tr>
      <w:tr>
        <w:trPr>
          <w:cantSplit/>
          <w:trHeight w:val="1205"/>
        </w:trPr>
        <w:tc>
          <w:tcPr>
            <w:tcBorders>
              <w:right w:val="single" w:color="auto" w:sz="4" w:space="0"/>
            </w:tcBorders>
            <w:tcW w:w="548" w:type="dxa"/>
            <w:vAlign w:val="center"/>
            <w:vMerge w:val="continue"/>
            <w:textDirection w:val="lrTb"/>
            <w:noWrap w:val="false"/>
          </w:tcPr>
          <w:p>
            <w:pPr>
              <w:jc w:val="center"/>
              <w:spacing w:line="420" w:lineRule="exact"/>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jc w:val="center"/>
              <w:spacing w:line="360" w:lineRule="auto"/>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rFonts w:eastAsia="黑体"/>
              </w:rPr>
            </w:pPr>
            <w:r>
              <w:rPr>
                <w:szCs w:val="22"/>
              </w:rPr>
              <w:t xml:space="preserve">（2）质保期内售后服务承诺，由评委综合比较，服务体系完善，人员配备充足可靠的，得2分；服务体系设置一般，人员配备一般的，得1分；不提供的本项评审不得分。</w:t>
            </w:r>
            <w:r/>
          </w:p>
        </w:tc>
      </w:tr>
      <w:tr>
        <w:trPr>
          <w:cantSplit/>
          <w:trHeight w:val="1490"/>
        </w:trPr>
        <w:tc>
          <w:tcPr>
            <w:tcBorders>
              <w:right w:val="single" w:color="auto" w:sz="4" w:space="0"/>
            </w:tcBorders>
            <w:tcW w:w="548" w:type="dxa"/>
            <w:vAlign w:val="center"/>
            <w:vMerge w:val="continue"/>
            <w:textDirection w:val="lrTb"/>
            <w:noWrap w:val="false"/>
          </w:tcPr>
          <w:p>
            <w:pPr>
              <w:spacing w:line="420" w:lineRule="exact"/>
              <w:tabs>
                <w:tab w:val="left" w:pos="900" w:leader="none"/>
              </w:tabs>
            </w:p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spacing w:line="360" w:lineRule="auto"/>
              <w:tabs>
                <w:tab w:val="left" w:pos="900" w:leader="none"/>
              </w:tabs>
              <w:rPr>
                <w:b/>
                <w:szCs w:val="21"/>
              </w:rPr>
            </w:pPr>
            <w:r>
              <w:rPr>
                <w:szCs w:val="22"/>
              </w:rPr>
              <w:t xml:space="preserve">（3）投标人提供质保期满后服务承诺，质保期外配件价格清单及折扣率情况</w:t>
            </w:r>
            <w:r>
              <w:rPr>
                <w:rFonts w:hint="eastAsia"/>
                <w:szCs w:val="22"/>
              </w:rPr>
              <w:t xml:space="preserve">（</w:t>
            </w:r>
            <w:r>
              <w:rPr>
                <w:szCs w:val="22"/>
              </w:rPr>
              <w:t xml:space="preserve">作为附件在投标文件中提供</w:t>
            </w:r>
            <w:r>
              <w:rPr>
                <w:rFonts w:hint="eastAsia"/>
                <w:szCs w:val="22"/>
              </w:rPr>
              <w:t xml:space="preserve">）</w:t>
            </w:r>
            <w:r>
              <w:rPr>
                <w:szCs w:val="22"/>
              </w:rPr>
              <w:t xml:space="preserve">，由</w:t>
            </w:r>
            <w:r>
              <w:rPr>
                <w:bCs/>
                <w:szCs w:val="21"/>
              </w:rPr>
              <w:t xml:space="preserve">评委</w:t>
            </w:r>
            <w:r>
              <w:rPr>
                <w:szCs w:val="22"/>
              </w:rPr>
              <w:t xml:space="preserve">综合评分：价格清单详细和折扣率高的，得2分；价格清单提供和折扣率一般的，得1分；</w:t>
            </w:r>
            <w:r>
              <w:rPr>
                <w:bCs/>
                <w:szCs w:val="21"/>
              </w:rPr>
              <w:t xml:space="preserve">提供不完整的本项评审不得分</w:t>
            </w:r>
            <w:r>
              <w:rPr>
                <w:szCs w:val="22"/>
              </w:rPr>
              <w:t xml:space="preserve">。</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b/>
                <w:szCs w:val="21"/>
              </w:rPr>
            </w:pPr>
            <w:r>
              <w:rPr>
                <w:szCs w:val="22"/>
              </w:rPr>
              <w:t xml:space="preserve">（4）用户培训方案，由</w:t>
            </w:r>
            <w:r>
              <w:rPr>
                <w:bCs/>
                <w:szCs w:val="21"/>
              </w:rPr>
              <w:t xml:space="preserve">评委</w:t>
            </w:r>
            <w:r>
              <w:rPr>
                <w:szCs w:val="22"/>
              </w:rPr>
              <w:t xml:space="preserve">综合评分：方案设置合理，人员配置完善的，得2分；方案设置相对合理，人员配置相对完善的，得1分；</w:t>
            </w:r>
            <w:r>
              <w:rPr>
                <w:bCs/>
                <w:szCs w:val="21"/>
              </w:rPr>
              <w:t xml:space="preserve">不提供的本项评审不得分</w:t>
            </w:r>
            <w:r>
              <w:rPr>
                <w:szCs w:val="22"/>
              </w:rPr>
              <w:t xml:space="preserve">。</w:t>
            </w:r>
            <w:r/>
          </w:p>
        </w:tc>
      </w:tr>
    </w:tbl>
    <w:p>
      <w:pPr>
        <w:spacing w:line="360" w:lineRule="auto"/>
        <w:rPr>
          <w:b/>
          <w:bCs/>
          <w:color w:val="000000"/>
          <w:szCs w:val="21"/>
        </w:rPr>
      </w:pPr>
      <w:r>
        <w:rPr>
          <w:b/>
          <w:bCs/>
          <w:color w:val="000000"/>
          <w:szCs w:val="21"/>
        </w:rPr>
        <w:t xml:space="preserve">说明：所有认证、证明和业绩均以有效清晰的证明文件的复印件并加盖公章为依据，原件备查。证明文件在投标文件或索引表中应标注详细页码。</w:t>
      </w:r>
      <w:r/>
    </w:p>
    <w:p>
      <w:r/>
      <w:r/>
    </w:p>
    <w:p>
      <w:r>
        <w:br w:type="page" w:clear="all"/>
      </w:r>
      <w:r/>
    </w:p>
    <w:p>
      <w:pPr>
        <w:jc w:val="center"/>
        <w:spacing w:line="360" w:lineRule="auto"/>
        <w:rPr>
          <w:b/>
          <w:color w:val="000000"/>
          <w:sz w:val="28"/>
          <w:szCs w:val="28"/>
        </w:rPr>
        <w:outlineLvl w:val="0"/>
      </w:pPr>
      <w:r/>
      <w:bookmarkStart w:id="105" w:name="_Toc231822742"/>
      <w:r>
        <w:rPr>
          <w:b/>
          <w:color w:val="000000"/>
          <w:sz w:val="28"/>
          <w:szCs w:val="28"/>
        </w:rPr>
        <w:t xml:space="preserve">第四章 招标技术规格及要求</w:t>
      </w:r>
      <w:bookmarkEnd w:id="105"/>
      <w:r/>
      <w:r/>
    </w:p>
    <w:p>
      <w:pPr>
        <w:pStyle w:val="1424"/>
        <w:numPr>
          <w:ilvl w:val="0"/>
          <w:numId w:val="2"/>
        </w:numPr>
        <w:spacing w:line="360" w:lineRule="auto"/>
        <w:rPr>
          <w:rFonts w:ascii="Times New Roman" w:hAnsi="Times New Roman" w:cs="Times New Roman"/>
          <w:color w:val="000000"/>
          <w:szCs w:val="21"/>
        </w:rPr>
      </w:pPr>
      <w:r>
        <w:rPr>
          <w:rFonts w:ascii="Times New Roman" w:hAnsi="Times New Roman" w:cs="Times New Roman"/>
          <w:b/>
          <w:bCs/>
          <w:color w:val="000000"/>
          <w:szCs w:val="21"/>
        </w:rPr>
        <w:t xml:space="preserve">采购清单</w:t>
      </w:r>
      <w:r/>
    </w:p>
    <w:tbl>
      <w:tblPr>
        <w:tblStyle w:val="1325"/>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660"/>
        <w:gridCol w:w="3390"/>
        <w:gridCol w:w="1020"/>
        <w:gridCol w:w="1731"/>
        <w:gridCol w:w="1065"/>
        <w:gridCol w:w="1594"/>
      </w:tblGrid>
      <w:tr>
        <w:trPr>
          <w:jc w:val="center"/>
          <w:trHeight w:val="680" w:hRule="exact"/>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品目</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设备名称</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数量</w:t>
            </w:r>
            <w:r/>
          </w:p>
          <w:p>
            <w:pPr>
              <w:ind w:right="-107"/>
              <w:jc w:val="center"/>
              <w:tabs>
                <w:tab w:val="left" w:pos="4788" w:leader="none"/>
              </w:tabs>
              <w:rPr>
                <w:rFonts w:eastAsiaTheme="minorEastAsia"/>
                <w:bCs/>
                <w:szCs w:val="21"/>
              </w:rPr>
            </w:pPr>
            <w:r>
              <w:rPr>
                <w:rFonts w:eastAsiaTheme="minorEastAsia"/>
                <w:bCs/>
                <w:szCs w:val="21"/>
              </w:rPr>
              <w:t xml:space="preserve">(台/套)</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项目预算金额</w:t>
            </w:r>
            <w:r/>
          </w:p>
          <w:p>
            <w:pPr>
              <w:ind w:right="-107"/>
              <w:jc w:val="center"/>
              <w:tabs>
                <w:tab w:val="left" w:pos="4788" w:leader="none"/>
              </w:tabs>
              <w:rPr>
                <w:rFonts w:eastAsiaTheme="minorEastAsia"/>
                <w:bCs/>
                <w:szCs w:val="21"/>
              </w:rPr>
            </w:pPr>
            <w:r>
              <w:rPr>
                <w:rFonts w:eastAsiaTheme="minorEastAsia"/>
                <w:bCs/>
                <w:szCs w:val="21"/>
              </w:rPr>
              <w:t xml:space="preserve">(万元/人民币)</w:t>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备注</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center"/>
              <w:spacing w:line="360" w:lineRule="auto"/>
              <w:rPr>
                <w:rFonts w:eastAsiaTheme="minorEastAsia"/>
                <w:bCs/>
                <w:szCs w:val="21"/>
              </w:rPr>
            </w:pPr>
            <w:r>
              <w:rPr>
                <w:rFonts w:eastAsiaTheme="minorEastAsia"/>
                <w:bCs/>
                <w:szCs w:val="21"/>
              </w:rPr>
              <w:t xml:space="preserve">检验工位专用装置</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eastAsiaTheme="minorEastAsia"/>
                <w:bCs/>
                <w:szCs w:val="21"/>
              </w:rPr>
            </w:pPr>
            <w:r>
              <w:rPr>
                <w:rFonts w:eastAsiaTheme="minorEastAsia"/>
                <w:bCs/>
                <w:szCs w:val="21"/>
              </w:rPr>
              <w:t xml:space="preserve">3</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widowControl/>
              <w:rPr>
                <w:rFonts w:eastAsiaTheme="minorEastAsia"/>
                <w:bCs/>
                <w:szCs w:val="21"/>
                <w:highlight w:val="yellow"/>
              </w:rPr>
            </w:pPr>
            <w:r>
              <w:rPr>
                <w:rFonts w:eastAsiaTheme="minorEastAsia"/>
                <w:bCs/>
                <w:szCs w:val="21"/>
              </w:rPr>
              <w:t xml:space="preserve">9</w:t>
            </w:r>
            <w:r/>
          </w:p>
        </w:tc>
        <w:tc>
          <w:tcPr>
            <w:tcBorders>
              <w:top w:val="single" w:color="auto" w:sz="4" w:space="0"/>
              <w:left w:val="single" w:color="auto" w:sz="4" w:space="0"/>
              <w:bottom w:val="single" w:color="auto" w:sz="4" w:space="0"/>
              <w:right w:val="single" w:color="auto" w:sz="4" w:space="0"/>
            </w:tcBorders>
            <w:tcW w:w="563" w:type="pct"/>
            <w:vAlign w:val="center"/>
            <w:vMerge w:val="restart"/>
            <w:textDirection w:val="lrTb"/>
            <w:noWrap w:val="false"/>
          </w:tcPr>
          <w:p>
            <w:pPr>
              <w:ind w:right="-107"/>
              <w:jc w:val="center"/>
              <w:tabs>
                <w:tab w:val="left" w:pos="4788" w:leader="none"/>
              </w:tabs>
              <w:rPr>
                <w:rFonts w:eastAsiaTheme="minorEastAsia"/>
                <w:bCs/>
                <w:szCs w:val="21"/>
              </w:rPr>
            </w:pPr>
            <w:r>
              <w:rPr>
                <w:szCs w:val="21"/>
              </w:rPr>
              <w:t xml:space="preserve">合同签订后3个月内货到江苏省特种设备安全监督检验研究院指定地点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三个工位</w:t>
            </w:r>
            <w:r/>
          </w:p>
        </w:tc>
      </w:tr>
      <w:tr>
        <w:trPr>
          <w:jc w:val="center"/>
          <w:trHeight w:val="1021" w:hRule="exact"/>
        </w:trPr>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center"/>
              <w:spacing w:line="360" w:lineRule="auto"/>
              <w:rPr>
                <w:rFonts w:eastAsiaTheme="minorEastAsia"/>
                <w:bCs/>
                <w:szCs w:val="21"/>
              </w:rPr>
            </w:pPr>
            <w:r>
              <w:rPr>
                <w:rFonts w:eastAsiaTheme="minorEastAsia"/>
                <w:bCs/>
                <w:szCs w:val="21"/>
              </w:rPr>
              <w:t xml:space="preserve">气密试验自动控制系统</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eastAsiaTheme="minorEastAsia"/>
                <w:bCs/>
                <w:szCs w:val="21"/>
              </w:rPr>
            </w:pPr>
            <w:r>
              <w:rPr>
                <w:rFonts w:eastAsiaTheme="minorEastAsia"/>
                <w:bCs/>
                <w:szCs w:val="21"/>
              </w:rPr>
              <w:t xml:space="preserve">4</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widowControl/>
              <w:rPr>
                <w:rFonts w:eastAsiaTheme="minorEastAsia"/>
                <w:bCs/>
                <w:szCs w:val="21"/>
                <w:highlight w:val="yellow"/>
              </w:rPr>
            </w:pPr>
            <w:r>
              <w:rPr>
                <w:rFonts w:eastAsiaTheme="minorEastAsia"/>
                <w:bCs/>
                <w:szCs w:val="21"/>
              </w:rPr>
              <w:t xml:space="preserve">14</w:t>
            </w:r>
            <w:r/>
          </w:p>
        </w:tc>
        <w:tc>
          <w:tcPr>
            <w:tcBorders>
              <w:top w:val="single" w:color="auto" w:sz="4" w:space="0"/>
              <w:left w:val="single" w:color="auto" w:sz="4" w:space="0"/>
              <w:bottom w:val="single" w:color="auto" w:sz="4" w:space="0"/>
              <w:right w:val="single" w:color="auto" w:sz="4" w:space="0"/>
            </w:tcBorders>
            <w:tcW w:w="56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四套装置，独立控制，参数可分别设置与调节。</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center"/>
              <w:spacing w:line="360" w:lineRule="auto"/>
              <w:rPr>
                <w:rFonts w:eastAsiaTheme="minorEastAsia"/>
                <w:bCs/>
                <w:szCs w:val="21"/>
              </w:rPr>
            </w:pPr>
            <w:r>
              <w:rPr>
                <w:rFonts w:eastAsiaTheme="minorEastAsia"/>
                <w:bCs/>
                <w:szCs w:val="21"/>
              </w:rPr>
              <w:t xml:space="preserve">空压机系统(含冷干机)</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eastAsiaTheme="minorEastAsia"/>
                <w:bCs/>
                <w:szCs w:val="21"/>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widowControl/>
              <w:rPr>
                <w:rFonts w:eastAsiaTheme="minorEastAsia"/>
                <w:bCs/>
                <w:szCs w:val="21"/>
                <w:highlight w:val="yellow"/>
              </w:rPr>
            </w:pPr>
            <w:r>
              <w:rPr>
                <w:rFonts w:eastAsiaTheme="minorEastAsia"/>
                <w:bCs/>
                <w:szCs w:val="21"/>
              </w:rPr>
              <w:t xml:space="preserve">26</w:t>
            </w:r>
            <w:r/>
          </w:p>
        </w:tc>
        <w:tc>
          <w:tcPr>
            <w:tcBorders>
              <w:top w:val="single" w:color="auto" w:sz="4" w:space="0"/>
              <w:left w:val="single" w:color="auto" w:sz="4" w:space="0"/>
              <w:bottom w:val="single" w:color="auto" w:sz="4" w:space="0"/>
              <w:right w:val="single" w:color="auto" w:sz="4" w:space="0"/>
            </w:tcBorders>
            <w:tcW w:w="56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center"/>
              <w:rPr>
                <w:rFonts w:eastAsiaTheme="minorEastAsia"/>
                <w:bCs/>
                <w:szCs w:val="21"/>
              </w:rPr>
            </w:pPr>
            <w:r>
              <w:rPr>
                <w:rFonts w:eastAsiaTheme="minorEastAsia"/>
              </w:rPr>
              <w:t xml:space="preserve">空气储罐及配套管路</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eastAsiaTheme="minorEastAsia"/>
                <w:bCs/>
                <w:szCs w:val="21"/>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widowControl/>
              <w:rPr>
                <w:rFonts w:eastAsiaTheme="minorEastAsia"/>
                <w:bCs/>
                <w:szCs w:val="21"/>
                <w:highlight w:val="yellow"/>
              </w:rPr>
            </w:pPr>
            <w:r>
              <w:rPr>
                <w:rFonts w:eastAsiaTheme="minorEastAsia"/>
                <w:bCs/>
                <w:szCs w:val="21"/>
              </w:rPr>
              <w:t xml:space="preserve">32</w:t>
            </w:r>
            <w:r/>
          </w:p>
        </w:tc>
        <w:tc>
          <w:tcPr>
            <w:tcBorders>
              <w:top w:val="single" w:color="auto" w:sz="4" w:space="0"/>
              <w:left w:val="single" w:color="auto" w:sz="4" w:space="0"/>
              <w:bottom w:val="single" w:color="auto" w:sz="4" w:space="0"/>
              <w:right w:val="single" w:color="auto" w:sz="4" w:space="0"/>
            </w:tcBorders>
            <w:tcW w:w="56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center"/>
              <w:rPr>
                <w:rFonts w:eastAsiaTheme="minorEastAsia"/>
                <w:bCs/>
                <w:szCs w:val="21"/>
              </w:rPr>
            </w:pPr>
            <w:r>
              <w:rPr>
                <w:rFonts w:eastAsiaTheme="minorEastAsia"/>
              </w:rPr>
              <w:t xml:space="preserve">真空泵及配套管路</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widowControl/>
              <w:rPr>
                <w:rFonts w:eastAsiaTheme="minorEastAsia"/>
                <w:bCs/>
                <w:szCs w:val="21"/>
                <w:highlight w:val="yellow"/>
              </w:rPr>
            </w:pPr>
            <w:r>
              <w:rPr>
                <w:rFonts w:eastAsiaTheme="minorEastAsia"/>
                <w:bCs/>
                <w:szCs w:val="21"/>
              </w:rPr>
              <w:t xml:space="preserve">9</w:t>
            </w:r>
            <w:r/>
          </w:p>
        </w:tc>
        <w:tc>
          <w:tcPr>
            <w:tcBorders>
              <w:top w:val="single" w:color="auto" w:sz="4" w:space="0"/>
              <w:left w:val="single" w:color="auto" w:sz="4" w:space="0"/>
              <w:bottom w:val="single" w:color="auto" w:sz="4" w:space="0"/>
              <w:right w:val="single" w:color="auto" w:sz="4" w:space="0"/>
            </w:tcBorders>
            <w:tcW w:w="56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center"/>
              <w:rPr>
                <w:rFonts w:eastAsiaTheme="minorEastAsia"/>
                <w:bCs/>
                <w:szCs w:val="21"/>
              </w:rPr>
            </w:pPr>
            <w:r>
              <w:rPr>
                <w:rFonts w:eastAsiaTheme="minorEastAsia"/>
              </w:rPr>
              <w:t xml:space="preserve">清水水箱及配套管路</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widowControl/>
              <w:rPr>
                <w:rFonts w:eastAsiaTheme="minorEastAsia"/>
                <w:bCs/>
                <w:szCs w:val="21"/>
                <w:highlight w:val="yellow"/>
              </w:rPr>
            </w:pPr>
            <w:r>
              <w:rPr>
                <w:rFonts w:eastAsiaTheme="minorEastAsia"/>
                <w:bCs/>
                <w:szCs w:val="21"/>
              </w:rPr>
              <w:t xml:space="preserve">5.5</w:t>
            </w:r>
            <w:r/>
          </w:p>
        </w:tc>
        <w:tc>
          <w:tcPr>
            <w:tcBorders>
              <w:top w:val="single" w:color="auto" w:sz="4" w:space="0"/>
              <w:left w:val="single" w:color="auto" w:sz="4" w:space="0"/>
              <w:bottom w:val="single" w:color="auto" w:sz="4" w:space="0"/>
              <w:right w:val="single" w:color="auto" w:sz="4" w:space="0"/>
            </w:tcBorders>
            <w:tcW w:w="56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七</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center"/>
              <w:rPr>
                <w:rFonts w:eastAsiaTheme="minorEastAsia"/>
                <w:bCs/>
                <w:szCs w:val="21"/>
              </w:rPr>
            </w:pPr>
            <w:r>
              <w:rPr>
                <w:rFonts w:eastAsiaTheme="minorEastAsia"/>
              </w:rPr>
              <w:t xml:space="preserve">残液回收装置</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widowControl/>
              <w:rPr>
                <w:rFonts w:eastAsiaTheme="minorEastAsia"/>
                <w:bCs/>
                <w:szCs w:val="21"/>
                <w:highlight w:val="yellow"/>
              </w:rPr>
            </w:pPr>
            <w:r>
              <w:rPr>
                <w:rFonts w:eastAsiaTheme="minorEastAsia"/>
                <w:bCs/>
                <w:szCs w:val="21"/>
              </w:rPr>
              <w:t xml:space="preserve">5</w:t>
            </w:r>
            <w:r/>
          </w:p>
        </w:tc>
        <w:tc>
          <w:tcPr>
            <w:tcBorders>
              <w:top w:val="single" w:color="auto" w:sz="4" w:space="0"/>
              <w:left w:val="single" w:color="auto" w:sz="4" w:space="0"/>
              <w:bottom w:val="single" w:color="auto" w:sz="4" w:space="0"/>
              <w:right w:val="single" w:color="auto" w:sz="4" w:space="0"/>
            </w:tcBorders>
            <w:tcW w:w="56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八</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center"/>
              <w:rPr>
                <w:rFonts w:eastAsiaTheme="minorEastAsia"/>
                <w:bCs/>
                <w:szCs w:val="21"/>
              </w:rPr>
            </w:pPr>
            <w:r>
              <w:rPr>
                <w:rFonts w:eastAsiaTheme="minorEastAsia"/>
              </w:rPr>
              <w:t xml:space="preserve">检验专用扶梯</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widowControl/>
              <w:rPr>
                <w:rFonts w:eastAsiaTheme="minorEastAsia"/>
                <w:bCs/>
                <w:szCs w:val="21"/>
                <w:highlight w:val="yellow"/>
              </w:rPr>
            </w:pPr>
            <w:r>
              <w:rPr>
                <w:rFonts w:eastAsiaTheme="minorEastAsia"/>
                <w:bCs/>
                <w:szCs w:val="21"/>
              </w:rPr>
              <w:t xml:space="preserve">4.5</w:t>
            </w:r>
            <w:r/>
          </w:p>
        </w:tc>
        <w:tc>
          <w:tcPr>
            <w:tcBorders>
              <w:top w:val="single" w:color="auto" w:sz="4" w:space="0"/>
              <w:left w:val="single" w:color="auto" w:sz="4" w:space="0"/>
              <w:bottom w:val="single" w:color="auto" w:sz="4" w:space="0"/>
              <w:right w:val="single" w:color="auto" w:sz="4" w:space="0"/>
            </w:tcBorders>
            <w:tcW w:w="56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九</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center"/>
              <w:rPr>
                <w:rFonts w:eastAsiaTheme="minorEastAsia"/>
                <w:color w:val="000000"/>
                <w:szCs w:val="21"/>
                <w:lang w:bidi="ar"/>
              </w:rPr>
            </w:pPr>
            <w:r>
              <w:rPr>
                <w:rFonts w:eastAsiaTheme="minorEastAsia"/>
              </w:rPr>
              <w:t xml:space="preserve">液氮储罐</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widowControl/>
              <w:rPr>
                <w:rFonts w:eastAsiaTheme="minorEastAsia"/>
                <w:color w:val="000000"/>
                <w:szCs w:val="21"/>
                <w:highlight w:val="yellow"/>
                <w:lang w:bidi="ar"/>
              </w:rPr>
            </w:pPr>
            <w:r>
              <w:rPr>
                <w:rFonts w:eastAsiaTheme="minorEastAsia"/>
                <w:color w:val="000000"/>
                <w:szCs w:val="21"/>
                <w:lang w:bidi="ar"/>
              </w:rPr>
              <w:t xml:space="preserve">28</w:t>
            </w:r>
            <w:r/>
          </w:p>
        </w:tc>
        <w:tc>
          <w:tcPr>
            <w:tcBorders>
              <w:top w:val="single" w:color="auto" w:sz="4" w:space="0"/>
              <w:left w:val="single" w:color="auto" w:sz="4" w:space="0"/>
              <w:bottom w:val="single" w:color="auto" w:sz="4" w:space="0"/>
              <w:right w:val="single" w:color="auto" w:sz="4" w:space="0"/>
            </w:tcBorders>
            <w:tcW w:w="56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center"/>
              <w:rPr>
                <w:rFonts w:eastAsiaTheme="minorEastAsia"/>
                <w:color w:val="000000"/>
                <w:szCs w:val="21"/>
                <w:lang w:bidi="ar"/>
              </w:rPr>
            </w:pPr>
            <w:r>
              <w:rPr>
                <w:rFonts w:eastAsiaTheme="minorEastAsia"/>
              </w:rPr>
              <w:t xml:space="preserve">氮气气化器、柱塞泵及配套管路</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2</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widowControl/>
              <w:rPr>
                <w:rFonts w:eastAsiaTheme="minorEastAsia"/>
                <w:color w:val="000000"/>
                <w:szCs w:val="21"/>
                <w:highlight w:val="yellow"/>
                <w:lang w:bidi="ar"/>
              </w:rPr>
            </w:pPr>
            <w:r>
              <w:rPr>
                <w:rFonts w:eastAsiaTheme="minorEastAsia"/>
                <w:color w:val="000000"/>
                <w:szCs w:val="21"/>
                <w:lang w:bidi="ar"/>
              </w:rPr>
              <w:t xml:space="preserve">30</w:t>
            </w:r>
            <w:r/>
          </w:p>
        </w:tc>
        <w:tc>
          <w:tcPr>
            <w:tcBorders>
              <w:top w:val="single" w:color="auto" w:sz="4" w:space="0"/>
              <w:left w:val="single" w:color="auto" w:sz="4" w:space="0"/>
              <w:bottom w:val="single" w:color="auto" w:sz="4" w:space="0"/>
              <w:right w:val="single" w:color="auto" w:sz="4" w:space="0"/>
            </w:tcBorders>
            <w:tcW w:w="56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十一</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center"/>
              <w:rPr>
                <w:rFonts w:eastAsiaTheme="minorEastAsia"/>
                <w:color w:val="000000"/>
                <w:szCs w:val="21"/>
                <w:lang w:bidi="ar"/>
              </w:rPr>
            </w:pPr>
            <w:r>
              <w:rPr>
                <w:rFonts w:eastAsiaTheme="minorEastAsia"/>
              </w:rPr>
              <w:t xml:space="preserve">紧急切断阀综合检修台</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widowControl/>
              <w:rPr>
                <w:rFonts w:eastAsiaTheme="minorEastAsia"/>
                <w:color w:val="000000"/>
                <w:szCs w:val="21"/>
                <w:highlight w:val="yellow"/>
                <w:lang w:bidi="ar"/>
              </w:rPr>
            </w:pPr>
            <w:r>
              <w:rPr>
                <w:rFonts w:eastAsiaTheme="minorEastAsia"/>
                <w:color w:val="000000"/>
                <w:szCs w:val="21"/>
                <w:lang w:bidi="ar"/>
              </w:rPr>
              <w:t xml:space="preserve">8</w:t>
            </w:r>
            <w:r/>
          </w:p>
        </w:tc>
        <w:tc>
          <w:tcPr>
            <w:tcBorders>
              <w:top w:val="single" w:color="auto" w:sz="4" w:space="0"/>
              <w:left w:val="single" w:color="auto" w:sz="4" w:space="0"/>
              <w:bottom w:val="single" w:color="auto" w:sz="4" w:space="0"/>
              <w:right w:val="single" w:color="auto" w:sz="4" w:space="0"/>
            </w:tcBorders>
            <w:tcW w:w="56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十二</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center"/>
              <w:rPr>
                <w:rFonts w:eastAsiaTheme="minorEastAsia"/>
                <w:color w:val="000000"/>
                <w:szCs w:val="21"/>
                <w:lang w:bidi="ar"/>
              </w:rPr>
            </w:pPr>
            <w:r>
              <w:rPr>
                <w:rFonts w:eastAsiaTheme="minorEastAsia"/>
              </w:rPr>
              <w:t xml:space="preserve">桥式起重机</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2</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widowControl/>
              <w:rPr>
                <w:rFonts w:eastAsiaTheme="minorEastAsia"/>
                <w:color w:val="000000"/>
                <w:szCs w:val="21"/>
                <w:highlight w:val="yellow"/>
                <w:lang w:bidi="ar"/>
              </w:rPr>
            </w:pPr>
            <w:r>
              <w:rPr>
                <w:rFonts w:eastAsiaTheme="minorEastAsia"/>
                <w:color w:val="000000"/>
                <w:szCs w:val="21"/>
                <w:lang w:bidi="ar"/>
              </w:rPr>
              <w:t xml:space="preserve">14</w:t>
            </w:r>
            <w:r/>
          </w:p>
        </w:tc>
        <w:tc>
          <w:tcPr>
            <w:tcBorders>
              <w:top w:val="single" w:color="auto" w:sz="4" w:space="0"/>
              <w:left w:val="single" w:color="auto" w:sz="4" w:space="0"/>
              <w:bottom w:val="single" w:color="auto" w:sz="4" w:space="0"/>
              <w:right w:val="single" w:color="auto" w:sz="4" w:space="0"/>
            </w:tcBorders>
            <w:tcW w:w="56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十三</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center"/>
              <w:rPr>
                <w:rFonts w:eastAsiaTheme="minorEastAsia"/>
                <w:color w:val="000000"/>
                <w:szCs w:val="21"/>
                <w:lang w:bidi="ar"/>
              </w:rPr>
            </w:pPr>
            <w:r>
              <w:rPr>
                <w:rFonts w:eastAsiaTheme="minorEastAsia"/>
              </w:rPr>
              <w:t xml:space="preserve">撬装式设备平台</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widowControl/>
              <w:rPr>
                <w:rFonts w:eastAsiaTheme="minorEastAsia"/>
                <w:color w:val="000000"/>
                <w:szCs w:val="21"/>
                <w:highlight w:val="yellow"/>
                <w:lang w:bidi="ar"/>
              </w:rPr>
            </w:pPr>
            <w:r>
              <w:rPr>
                <w:rFonts w:eastAsiaTheme="minorEastAsia"/>
                <w:color w:val="000000"/>
                <w:szCs w:val="21"/>
                <w:lang w:bidi="ar"/>
              </w:rPr>
              <w:t xml:space="preserve">26</w:t>
            </w:r>
            <w:r/>
          </w:p>
        </w:tc>
        <w:tc>
          <w:tcPr>
            <w:tcBorders>
              <w:top w:val="single" w:color="auto" w:sz="4" w:space="0"/>
              <w:left w:val="single" w:color="auto" w:sz="4" w:space="0"/>
              <w:bottom w:val="single" w:color="auto" w:sz="4" w:space="0"/>
              <w:right w:val="single" w:color="auto" w:sz="4" w:space="0"/>
            </w:tcBorders>
            <w:tcW w:w="56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十四</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center"/>
              <w:rPr>
                <w:rFonts w:eastAsiaTheme="minorEastAsia"/>
                <w:color w:val="000000"/>
                <w:szCs w:val="21"/>
                <w:lang w:bidi="ar"/>
              </w:rPr>
            </w:pPr>
            <w:r>
              <w:rPr>
                <w:rFonts w:eastAsiaTheme="minorEastAsia"/>
              </w:rPr>
              <w:t xml:space="preserve">辅助设备与设施</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widowControl/>
              <w:rPr>
                <w:rFonts w:eastAsiaTheme="minorEastAsia"/>
                <w:color w:val="000000"/>
                <w:szCs w:val="21"/>
                <w:highlight w:val="yellow"/>
                <w:lang w:bidi="ar"/>
              </w:rPr>
            </w:pPr>
            <w:r>
              <w:rPr>
                <w:rFonts w:eastAsiaTheme="minorEastAsia"/>
                <w:color w:val="000000"/>
                <w:szCs w:val="21"/>
                <w:lang w:bidi="ar"/>
              </w:rPr>
              <w:t xml:space="preserve">8</w:t>
            </w:r>
            <w:r/>
          </w:p>
        </w:tc>
        <w:tc>
          <w:tcPr>
            <w:tcBorders>
              <w:top w:val="single" w:color="auto" w:sz="4" w:space="0"/>
              <w:left w:val="single" w:color="auto" w:sz="4" w:space="0"/>
              <w:bottom w:val="single" w:color="auto" w:sz="4" w:space="0"/>
              <w:right w:val="single" w:color="auto" w:sz="4" w:space="0"/>
            </w:tcBorders>
            <w:tcW w:w="56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bl>
    <w:p>
      <w:pPr>
        <w:jc w:val="left"/>
        <w:spacing w:line="360" w:lineRule="auto"/>
        <w:widowControl/>
        <w:rPr>
          <w:b/>
          <w:color w:val="000000"/>
          <w:szCs w:val="21"/>
        </w:rPr>
      </w:pPr>
      <w:r/>
      <w:bookmarkStart w:id="106" w:name="_Toc15467"/>
      <w:r/>
      <w:bookmarkStart w:id="107" w:name="_Toc20052"/>
      <w:r>
        <w:rPr>
          <w:b/>
          <w:color w:val="000000"/>
          <w:szCs w:val="21"/>
        </w:rPr>
        <w:t xml:space="preserve">注：1.投标人需按照上述清单分别报价，并合并计入投标总价。</w:t>
      </w:r>
      <w:r/>
    </w:p>
    <w:p>
      <w:pPr>
        <w:ind w:firstLine="422"/>
        <w:jc w:val="left"/>
        <w:spacing w:line="360" w:lineRule="auto"/>
        <w:widowControl/>
        <w:rPr>
          <w:b/>
          <w:color w:val="000000"/>
          <w:szCs w:val="21"/>
        </w:rPr>
      </w:pPr>
      <w:r>
        <w:rPr>
          <w:b/>
          <w:color w:val="000000"/>
          <w:szCs w:val="21"/>
        </w:rPr>
        <w:t xml:space="preserve">2.投标人的投标总价不得超过每个品目所对应的预算金额，否则作无效响应处理。</w:t>
      </w:r>
      <w:r/>
    </w:p>
    <w:p>
      <w:pPr>
        <w:ind w:firstLine="422"/>
        <w:jc w:val="left"/>
        <w:spacing w:line="360" w:lineRule="auto"/>
        <w:widowControl/>
        <w:rPr>
          <w:b/>
          <w:szCs w:val="21"/>
        </w:rPr>
      </w:pPr>
      <w:r>
        <w:rPr>
          <w:b/>
          <w:bCs/>
          <w:szCs w:val="21"/>
        </w:rPr>
        <w:t xml:space="preserve">3.投标人报价为最终报价，如因国家政策调整，增加的税费由投标人自行承担。</w:t>
      </w:r>
      <w:r/>
    </w:p>
    <w:p>
      <w:pPr>
        <w:ind w:firstLine="422"/>
        <w:jc w:val="left"/>
        <w:spacing w:line="360" w:lineRule="auto"/>
        <w:widowControl/>
        <w:rPr>
          <w:b/>
          <w:bCs/>
          <w:color w:val="000000"/>
          <w:szCs w:val="21"/>
          <w:highlight w:val="yellow"/>
        </w:rPr>
      </w:pPr>
      <w:r>
        <w:rPr>
          <w:b/>
          <w:bCs/>
          <w:szCs w:val="21"/>
        </w:rPr>
        <w:t xml:space="preserve">4.招标文件中标注的“</w:t>
      </w:r>
      <w:r>
        <w:rPr>
          <w:rFonts w:ascii="Segoe UI Symbol" w:hAnsi="Segoe UI Symbol" w:cs="Segoe UI Symbol"/>
          <w:b/>
          <w:bCs/>
          <w:szCs w:val="21"/>
        </w:rPr>
        <w:t xml:space="preserve">★</w:t>
      </w:r>
      <w:r>
        <w:rPr>
          <w:b/>
          <w:bCs/>
          <w:szCs w:val="21"/>
        </w:rPr>
        <w:t xml:space="preserve">”条款，若严重不满足，经评委一致认定的作无效投标处理。</w:t>
      </w:r>
      <w:r/>
    </w:p>
    <w:p>
      <w:pPr>
        <w:spacing w:line="360" w:lineRule="auto"/>
        <w:rPr>
          <w:b/>
          <w:color w:val="000000"/>
          <w:szCs w:val="21"/>
        </w:rPr>
      </w:pPr>
      <w:r>
        <w:rPr>
          <w:b/>
          <w:color w:val="000000"/>
          <w:szCs w:val="21"/>
        </w:rPr>
        <w:t xml:space="preserve">二、技术参数：</w:t>
      </w:r>
      <w:r/>
    </w:p>
    <w:p>
      <w:pPr>
        <w:spacing w:line="360" w:lineRule="auto"/>
        <w:rPr>
          <w:b/>
          <w:color w:val="000000"/>
          <w:szCs w:val="21"/>
        </w:rPr>
      </w:pPr>
      <w:r>
        <w:rPr>
          <w:b/>
          <w:color w:val="000000"/>
          <w:szCs w:val="21"/>
        </w:rPr>
        <w:t xml:space="preserve">注：1.本技术要求提出的是最低限度的技术条件。投标人应注意在技术要求中如果出现了参考品牌或规格型号，其目的是为了方便投标人直观和准确地把握相应材料和产品的技术标准，不具指定或唯一的意思表示，投标人应当参考所列品牌的材料和产品，采购相当于或高于所列品牌技术标准的材料和产品。</w:t>
      </w:r>
      <w:r/>
    </w:p>
    <w:p>
      <w:pPr>
        <w:ind w:left="422"/>
        <w:spacing w:line="360" w:lineRule="auto"/>
        <w:tabs>
          <w:tab w:val="left" w:pos="312" w:leader="none"/>
        </w:tabs>
        <w:rPr>
          <w:b/>
          <w:color w:val="000000"/>
          <w:szCs w:val="21"/>
        </w:rPr>
      </w:pPr>
      <w:r>
        <w:rPr>
          <w:b/>
          <w:color w:val="000000"/>
          <w:szCs w:val="21"/>
        </w:rPr>
        <w:t xml:space="preserve">2.技术参数中提到的证明材料，均需投标人在投标文件中提供复印件并加盖公章，原件备查。</w:t>
      </w:r>
      <w:r/>
    </w:p>
    <w:p>
      <w:pPr>
        <w:spacing w:line="360" w:lineRule="auto"/>
        <w:rPr>
          <w:b/>
          <w:color w:val="000000"/>
          <w:szCs w:val="21"/>
        </w:rPr>
      </w:pPr>
      <w:r>
        <w:rPr>
          <w:b/>
          <w:color w:val="000000"/>
          <w:szCs w:val="21"/>
        </w:rPr>
      </w:r>
      <w:bookmarkEnd w:id="106"/>
      <w:r/>
      <w:bookmarkEnd w:id="107"/>
      <w:r/>
      <w:r/>
    </w:p>
    <w:p>
      <w:pPr>
        <w:jc w:val="center"/>
        <w:spacing w:line="360" w:lineRule="auto"/>
        <w:rPr>
          <w:b/>
          <w:bCs/>
          <w:szCs w:val="21"/>
        </w:rPr>
      </w:pPr>
      <w:r/>
      <w:bookmarkStart w:id="108" w:name="OLE_LINK6"/>
      <w:r/>
      <w:bookmarkStart w:id="109" w:name="OLE_LINK3"/>
      <w:r>
        <w:rPr>
          <w:b/>
          <w:bCs/>
          <w:szCs w:val="21"/>
        </w:rPr>
        <w:t xml:space="preserve">品目一 </w:t>
      </w:r>
      <w:bookmarkEnd w:id="108"/>
      <w:r>
        <w:rPr>
          <w:b/>
          <w:bCs/>
          <w:szCs w:val="21"/>
        </w:rPr>
        <w:t xml:space="preserve">检验工位专用装置</w:t>
      </w:r>
      <w:r/>
    </w:p>
    <w:p>
      <w:pPr>
        <w:ind w:firstLine="210"/>
        <w:spacing w:line="360" w:lineRule="auto"/>
        <w:rPr>
          <w:rFonts w:eastAsiaTheme="minorEastAsia"/>
          <w:szCs w:val="21"/>
        </w:rPr>
      </w:pPr>
      <w:r>
        <w:rPr>
          <w:rFonts w:eastAsiaTheme="minorEastAsia"/>
          <w:szCs w:val="21"/>
        </w:rPr>
        <w:t xml:space="preserve">1、</w:t>
      </w:r>
      <w:r>
        <w:rPr>
          <w:rFonts w:eastAsiaTheme="minorEastAsia"/>
          <w:bCs/>
          <w:szCs w:val="21"/>
        </w:rPr>
        <w:t xml:space="preserve">一个检验工位包括氮气、压缩空气、真空、排空四种配套管路；</w:t>
      </w:r>
      <w:r/>
    </w:p>
    <w:p>
      <w:pPr>
        <w:ind w:firstLine="210"/>
        <w:spacing w:line="360" w:lineRule="auto"/>
        <w:rPr>
          <w:rFonts w:eastAsiaTheme="minorEastAsia"/>
          <w:szCs w:val="21"/>
        </w:rPr>
      </w:pPr>
      <w:r>
        <w:rPr>
          <w:rFonts w:eastAsiaTheme="minorEastAsia"/>
          <w:szCs w:val="21"/>
        </w:rPr>
        <w:t xml:space="preserve">2、</w:t>
      </w:r>
      <w:r>
        <w:rPr>
          <w:rFonts w:eastAsiaTheme="minorEastAsia"/>
          <w:bCs/>
          <w:szCs w:val="21"/>
        </w:rPr>
        <w:t xml:space="preserve">DN50罐车专用接头4个（不锈钢接头）；</w:t>
      </w:r>
      <w:r/>
    </w:p>
    <w:p>
      <w:pPr>
        <w:ind w:firstLine="210"/>
        <w:spacing w:line="360" w:lineRule="auto"/>
        <w:rPr>
          <w:rFonts w:eastAsiaTheme="minorEastAsia"/>
          <w:szCs w:val="21"/>
        </w:rPr>
      </w:pPr>
      <w:r>
        <w:rPr>
          <w:rFonts w:eastAsiaTheme="minorEastAsia"/>
          <w:szCs w:val="21"/>
        </w:rPr>
        <w:t xml:space="preserve">3、</w:t>
      </w:r>
      <w:r>
        <w:rPr>
          <w:rFonts w:eastAsiaTheme="minorEastAsia"/>
          <w:bCs/>
          <w:szCs w:val="21"/>
        </w:rPr>
        <w:t xml:space="preserve">DN50软管4根（罐车专用不锈钢软管，两根10米长，两根5米长，并配专用连接接头）</w:t>
      </w:r>
      <w:r>
        <w:rPr>
          <w:rFonts w:eastAsiaTheme="minorEastAsia"/>
          <w:szCs w:val="21"/>
        </w:rPr>
        <w:t xml:space="preserve">；</w:t>
      </w:r>
      <w:r/>
    </w:p>
    <w:p>
      <w:pPr>
        <w:ind w:firstLine="210"/>
        <w:spacing w:line="360" w:lineRule="auto"/>
        <w:rPr>
          <w:rFonts w:eastAsiaTheme="minorEastAsia"/>
          <w:szCs w:val="21"/>
        </w:rPr>
      </w:pPr>
      <w:r>
        <w:rPr>
          <w:rFonts w:eastAsiaTheme="minorEastAsia"/>
          <w:szCs w:val="21"/>
        </w:rPr>
        <w:t xml:space="preserve">4、</w:t>
      </w:r>
      <w:r>
        <w:rPr>
          <w:rFonts w:eastAsiaTheme="minorEastAsia"/>
          <w:bCs/>
          <w:szCs w:val="21"/>
        </w:rPr>
        <w:t xml:space="preserve">采购的接头软管等压力等级不低于4.0MPa</w:t>
      </w:r>
      <w:r>
        <w:rPr>
          <w:rFonts w:eastAsiaTheme="minorEastAsia"/>
          <w:szCs w:val="21"/>
        </w:rPr>
        <w:t xml:space="preserve">；</w:t>
      </w:r>
      <w:r/>
    </w:p>
    <w:p>
      <w:pPr>
        <w:ind w:firstLine="210"/>
        <w:spacing w:line="360" w:lineRule="auto"/>
        <w:rPr>
          <w:szCs w:val="21"/>
        </w:rPr>
      </w:pPr>
      <w:r>
        <w:rPr>
          <w:rFonts w:eastAsiaTheme="minorEastAsia"/>
          <w:szCs w:val="21"/>
        </w:rPr>
        <w:t xml:space="preserve">5、</w:t>
      </w:r>
      <w:r>
        <w:rPr>
          <w:rFonts w:eastAsiaTheme="minorEastAsia"/>
          <w:bCs/>
          <w:szCs w:val="21"/>
        </w:rPr>
        <w:t xml:space="preserve">接口为快速连接装置；</w:t>
      </w:r>
      <w:bookmarkEnd w:id="109"/>
      <w:r/>
      <w:r/>
    </w:p>
    <w:p>
      <w:pPr>
        <w:jc w:val="center"/>
        <w:spacing w:line="360" w:lineRule="auto"/>
        <w:rPr>
          <w:b/>
          <w:bCs/>
          <w:szCs w:val="21"/>
        </w:rPr>
      </w:pPr>
      <w:r/>
      <w:bookmarkStart w:id="110" w:name="OLE_LINK4"/>
      <w:r>
        <w:rPr>
          <w:b/>
          <w:bCs/>
          <w:szCs w:val="21"/>
        </w:rPr>
        <w:t xml:space="preserve">品目二 气密试验自动控制系统</w:t>
      </w:r>
      <w:r/>
    </w:p>
    <w:p>
      <w:pPr>
        <w:ind w:firstLine="210"/>
        <w:spacing w:line="360" w:lineRule="auto"/>
        <w:rPr>
          <w:rFonts w:eastAsiaTheme="minorEastAsia"/>
          <w:szCs w:val="21"/>
        </w:rPr>
      </w:pPr>
      <w:r>
        <w:rPr>
          <w:rFonts w:eastAsiaTheme="minorEastAsia"/>
          <w:szCs w:val="21"/>
        </w:rPr>
        <w:t xml:space="preserve">1、</w:t>
      </w:r>
      <w:r>
        <w:rPr>
          <w:rFonts w:eastAsiaTheme="minorEastAsia"/>
          <w:bCs/>
          <w:szCs w:val="21"/>
        </w:rPr>
        <w:t xml:space="preserve">压力控制范围：0.4～4MPa；</w:t>
      </w:r>
      <w:r/>
    </w:p>
    <w:p>
      <w:pPr>
        <w:ind w:firstLine="210"/>
        <w:spacing w:line="360" w:lineRule="auto"/>
        <w:rPr>
          <w:rFonts w:eastAsiaTheme="minorEastAsia"/>
          <w:szCs w:val="21"/>
        </w:rPr>
      </w:pPr>
      <w:r>
        <w:rPr>
          <w:rFonts w:eastAsiaTheme="minorEastAsia"/>
          <w:szCs w:val="21"/>
        </w:rPr>
        <w:t xml:space="preserve">2、</w:t>
      </w:r>
      <w:r>
        <w:rPr>
          <w:rFonts w:eastAsiaTheme="minorEastAsia"/>
          <w:bCs/>
          <w:szCs w:val="21"/>
        </w:rPr>
        <w:t xml:space="preserve">压力调节精度：±0.02MPa；</w:t>
      </w:r>
      <w:r/>
    </w:p>
    <w:p>
      <w:pPr>
        <w:ind w:firstLine="210"/>
        <w:spacing w:line="360" w:lineRule="auto"/>
        <w:rPr>
          <w:rFonts w:eastAsiaTheme="minorEastAsia"/>
          <w:szCs w:val="21"/>
        </w:rPr>
      </w:pPr>
      <w:r>
        <w:rPr>
          <w:rFonts w:eastAsiaTheme="minorEastAsia"/>
          <w:szCs w:val="21"/>
        </w:rPr>
        <w:t xml:space="preserve">3、</w:t>
      </w:r>
      <w:r>
        <w:rPr>
          <w:rFonts w:eastAsiaTheme="minorEastAsia"/>
          <w:bCs/>
          <w:szCs w:val="21"/>
        </w:rPr>
        <w:t xml:space="preserve">启停压差：0.05～0.3MPa 连续可调</w:t>
      </w:r>
      <w:r>
        <w:rPr>
          <w:rFonts w:eastAsiaTheme="minorEastAsia"/>
          <w:szCs w:val="21"/>
        </w:rPr>
        <w:t xml:space="preserve">；</w:t>
      </w:r>
      <w:r/>
    </w:p>
    <w:p>
      <w:pPr>
        <w:ind w:firstLine="210"/>
        <w:spacing w:line="360" w:lineRule="auto"/>
        <w:rPr>
          <w:rFonts w:eastAsiaTheme="minorEastAsia"/>
          <w:szCs w:val="21"/>
        </w:rPr>
      </w:pPr>
      <w:r>
        <w:rPr>
          <w:rFonts w:eastAsiaTheme="minorEastAsia"/>
          <w:szCs w:val="21"/>
        </w:rPr>
        <w:t xml:space="preserve">4、</w:t>
      </w:r>
      <w:r>
        <w:rPr>
          <w:rFonts w:eastAsiaTheme="minorEastAsia"/>
          <w:bCs/>
          <w:szCs w:val="21"/>
        </w:rPr>
        <w:t xml:space="preserve">延时功能：启动延时0～30s、停机延时0～120s可调</w:t>
      </w:r>
      <w:r>
        <w:rPr>
          <w:rFonts w:eastAsiaTheme="minorEastAsia"/>
          <w:szCs w:val="21"/>
        </w:rPr>
        <w:t xml:space="preserve">；</w:t>
      </w:r>
      <w:r/>
    </w:p>
    <w:p>
      <w:pPr>
        <w:ind w:firstLine="210"/>
        <w:spacing w:line="360" w:lineRule="auto"/>
        <w:rPr>
          <w:rFonts w:eastAsiaTheme="minorEastAsia"/>
          <w:bCs/>
          <w:szCs w:val="21"/>
        </w:rPr>
      </w:pPr>
      <w:r>
        <w:rPr>
          <w:rFonts w:eastAsiaTheme="minorEastAsia"/>
          <w:szCs w:val="21"/>
        </w:rPr>
        <w:t xml:space="preserve">5、</w:t>
      </w:r>
      <w:r>
        <w:rPr>
          <w:rFonts w:eastAsiaTheme="minorEastAsia"/>
          <w:bCs/>
          <w:szCs w:val="21"/>
        </w:rPr>
        <w:t xml:space="preserve">控制输出：继电器无源触点，容量AC220V/10A；</w:t>
      </w:r>
      <w:r/>
    </w:p>
    <w:p>
      <w:pPr>
        <w:ind w:firstLine="210"/>
        <w:spacing w:line="360" w:lineRule="auto"/>
        <w:rPr>
          <w:rFonts w:eastAsiaTheme="minorEastAsia"/>
          <w:bCs/>
          <w:szCs w:val="21"/>
        </w:rPr>
      </w:pPr>
      <w:r>
        <w:rPr>
          <w:rFonts w:eastAsiaTheme="minorEastAsia"/>
          <w:bCs/>
          <w:szCs w:val="21"/>
        </w:rPr>
        <w:t xml:space="preserve">6、适用电机功率：1.5kW～132kW空压机电机；</w:t>
      </w:r>
      <w:r/>
    </w:p>
    <w:p>
      <w:pPr>
        <w:ind w:firstLine="210"/>
        <w:spacing w:line="360" w:lineRule="auto"/>
        <w:rPr>
          <w:rFonts w:eastAsiaTheme="minorEastAsia"/>
          <w:bCs/>
          <w:szCs w:val="21"/>
        </w:rPr>
      </w:pPr>
      <w:r>
        <w:rPr>
          <w:rFonts w:eastAsiaTheme="minorEastAsia"/>
          <w:bCs/>
          <w:szCs w:val="21"/>
        </w:rPr>
        <w:t xml:space="preserve">7、整机功耗：≤10W；</w:t>
      </w:r>
      <w:r/>
    </w:p>
    <w:p>
      <w:pPr>
        <w:ind w:firstLine="210"/>
        <w:spacing w:line="360" w:lineRule="auto"/>
        <w:rPr>
          <w:rFonts w:eastAsiaTheme="minorEastAsia"/>
          <w:bCs/>
          <w:szCs w:val="21"/>
        </w:rPr>
      </w:pPr>
      <w:r>
        <w:rPr>
          <w:rFonts w:eastAsiaTheme="minorEastAsia"/>
          <w:bCs/>
          <w:szCs w:val="21"/>
        </w:rPr>
        <w:t xml:space="preserve">8、防护等级：≥IP54；</w:t>
      </w:r>
      <w:r/>
    </w:p>
    <w:p>
      <w:pPr>
        <w:ind w:firstLine="210"/>
        <w:spacing w:line="360" w:lineRule="auto"/>
        <w:rPr>
          <w:rFonts w:eastAsiaTheme="minorEastAsia"/>
          <w:bCs/>
          <w:szCs w:val="21"/>
        </w:rPr>
      </w:pPr>
      <w:r>
        <w:rPr>
          <w:rFonts w:eastAsiaTheme="minorEastAsia"/>
          <w:bCs/>
          <w:szCs w:val="21"/>
        </w:rPr>
        <w:t xml:space="preserve">9、工作环境：温度-20℃～+60℃，湿度≤90%无凝露，海拔≤2000m；</w:t>
      </w:r>
      <w:r/>
    </w:p>
    <w:p>
      <w:pPr>
        <w:ind w:firstLine="210"/>
        <w:spacing w:line="360" w:lineRule="auto"/>
        <w:rPr>
          <w:rFonts w:eastAsiaTheme="minorEastAsia"/>
          <w:bCs/>
          <w:szCs w:val="21"/>
        </w:rPr>
      </w:pPr>
      <w:r>
        <w:rPr>
          <w:rFonts w:eastAsiaTheme="minorEastAsia"/>
          <w:bCs/>
          <w:szCs w:val="21"/>
        </w:rPr>
        <w:t xml:space="preserve">10、绝缘强度：≥2kV/1min；</w:t>
      </w:r>
      <w:r/>
    </w:p>
    <w:p>
      <w:pPr>
        <w:ind w:firstLine="210"/>
        <w:spacing w:line="360" w:lineRule="auto"/>
        <w:rPr>
          <w:rFonts w:eastAsiaTheme="minorEastAsia"/>
          <w:bCs/>
          <w:szCs w:val="21"/>
        </w:rPr>
      </w:pPr>
      <w:r>
        <w:rPr>
          <w:rFonts w:eastAsiaTheme="minorEastAsia"/>
          <w:bCs/>
          <w:szCs w:val="21"/>
        </w:rPr>
        <w:t xml:space="preserve">11、自动控制：根据储气罐压力自动启停，压力达标停机、低压自动启动；</w:t>
      </w:r>
      <w:r/>
    </w:p>
    <w:p>
      <w:pPr>
        <w:ind w:firstLine="210"/>
        <w:spacing w:line="360" w:lineRule="auto"/>
        <w:rPr>
          <w:rFonts w:eastAsiaTheme="minorEastAsia"/>
          <w:bCs/>
          <w:szCs w:val="21"/>
        </w:rPr>
      </w:pPr>
      <w:r>
        <w:rPr>
          <w:rFonts w:eastAsiaTheme="minorEastAsia"/>
          <w:bCs/>
          <w:szCs w:val="21"/>
        </w:rPr>
        <w:t xml:space="preserve">12、模式切换：手动/自动双模式，检修可切换手动，日常运行自动模式；</w:t>
      </w:r>
      <w:r/>
    </w:p>
    <w:p>
      <w:pPr>
        <w:ind w:firstLine="210"/>
        <w:spacing w:line="360" w:lineRule="auto"/>
        <w:rPr>
          <w:rFonts w:eastAsiaTheme="minorEastAsia"/>
          <w:bCs/>
          <w:szCs w:val="21"/>
        </w:rPr>
      </w:pPr>
      <w:r>
        <w:rPr>
          <w:rFonts w:eastAsiaTheme="minorEastAsia"/>
          <w:bCs/>
          <w:szCs w:val="21"/>
        </w:rPr>
        <w:t xml:space="preserve">13、延时保护：上电延时启动，避免电网冲击，防止空压机频繁启停；</w:t>
      </w:r>
      <w:r/>
    </w:p>
    <w:p>
      <w:pPr>
        <w:ind w:firstLine="210"/>
        <w:spacing w:line="360" w:lineRule="auto"/>
        <w:rPr>
          <w:rFonts w:eastAsiaTheme="minorEastAsia"/>
          <w:bCs/>
          <w:szCs w:val="21"/>
        </w:rPr>
      </w:pPr>
      <w:r>
        <w:rPr>
          <w:rFonts w:eastAsiaTheme="minorEastAsia"/>
          <w:bCs/>
          <w:szCs w:val="21"/>
        </w:rPr>
        <w:t xml:space="preserve">14、运行监测：LED面板实时显示电源、运行、停机、故障状态；</w:t>
      </w:r>
      <w:r/>
    </w:p>
    <w:p>
      <w:pPr>
        <w:ind w:firstLine="210"/>
        <w:spacing w:line="360" w:lineRule="auto"/>
        <w:rPr>
          <w:rFonts w:eastAsiaTheme="minorEastAsia"/>
          <w:bCs/>
          <w:szCs w:val="21"/>
        </w:rPr>
      </w:pPr>
      <w:r>
        <w:rPr>
          <w:rFonts w:eastAsiaTheme="minorEastAsia"/>
          <w:bCs/>
          <w:szCs w:val="21"/>
        </w:rPr>
        <w:t xml:space="preserve">15、参数设定：现场轻触按键可调压力上下限、延时时间等参数；</w:t>
      </w:r>
      <w:r/>
    </w:p>
    <w:p>
      <w:pPr>
        <w:ind w:firstLine="210"/>
        <w:spacing w:line="360" w:lineRule="auto"/>
        <w:rPr>
          <w:rFonts w:eastAsiaTheme="minorEastAsia"/>
          <w:bCs/>
          <w:szCs w:val="21"/>
        </w:rPr>
      </w:pPr>
      <w:r>
        <w:rPr>
          <w:rFonts w:eastAsiaTheme="minorEastAsia"/>
          <w:bCs/>
          <w:szCs w:val="21"/>
        </w:rPr>
        <w:t xml:space="preserve">16、外壳：阻燃ABS工程塑料/冷轧钢板，防尘、抗震动、耐腐蚀；</w:t>
      </w:r>
      <w:r/>
    </w:p>
    <w:p>
      <w:pPr>
        <w:ind w:firstLine="210"/>
        <w:spacing w:line="360" w:lineRule="auto"/>
        <w:rPr>
          <w:rFonts w:eastAsiaTheme="minorEastAsia"/>
          <w:bCs/>
          <w:szCs w:val="21"/>
        </w:rPr>
      </w:pPr>
      <w:r>
        <w:rPr>
          <w:rFonts w:eastAsiaTheme="minorEastAsia"/>
          <w:bCs/>
          <w:szCs w:val="21"/>
        </w:rPr>
        <w:t xml:space="preserve">17、传感元件：工业级扩散硅压力传感器，耐油污、测量精准；</w:t>
      </w:r>
      <w:r/>
    </w:p>
    <w:p>
      <w:pPr>
        <w:ind w:firstLine="210"/>
        <w:spacing w:line="360" w:lineRule="auto"/>
        <w:rPr>
          <w:rFonts w:eastAsiaTheme="minorEastAsia"/>
          <w:bCs/>
          <w:szCs w:val="21"/>
        </w:rPr>
      </w:pPr>
      <w:r>
        <w:rPr>
          <w:rFonts w:eastAsiaTheme="minorEastAsia"/>
          <w:bCs/>
          <w:szCs w:val="21"/>
        </w:rPr>
        <w:t xml:space="preserve">18、主控单元：工业级单片机，抗干扰性强，运行稳定；</w:t>
      </w:r>
      <w:r/>
    </w:p>
    <w:p>
      <w:pPr>
        <w:ind w:firstLine="210"/>
        <w:spacing w:line="360" w:lineRule="auto"/>
        <w:rPr>
          <w:rFonts w:eastAsiaTheme="minorEastAsia"/>
          <w:bCs/>
          <w:szCs w:val="21"/>
        </w:rPr>
      </w:pPr>
      <w:r>
        <w:rPr>
          <w:rFonts w:eastAsiaTheme="minorEastAsia"/>
          <w:bCs/>
          <w:szCs w:val="21"/>
        </w:rPr>
        <w:t xml:space="preserve">19、接线端子：铜质阻燃端子，接线牢固，现场布线,以现场测量为准；</w:t>
      </w:r>
      <w:r/>
    </w:p>
    <w:p>
      <w:pPr>
        <w:ind w:firstLine="210"/>
        <w:spacing w:line="360" w:lineRule="auto"/>
        <w:rPr>
          <w:bCs/>
          <w:szCs w:val="21"/>
        </w:rPr>
      </w:pPr>
      <w:r>
        <w:rPr>
          <w:rFonts w:eastAsiaTheme="minorEastAsia"/>
          <w:bCs/>
          <w:szCs w:val="21"/>
        </w:rPr>
        <w:t xml:space="preserve">20、系统控制模式下可控制空气压缩机或气体储罐阀门.并显示当前状态；</w:t>
      </w:r>
      <w:bookmarkEnd w:id="110"/>
      <w:r/>
      <w:r/>
    </w:p>
    <w:p>
      <w:pPr>
        <w:jc w:val="center"/>
        <w:spacing w:line="360" w:lineRule="auto"/>
        <w:rPr>
          <w:b/>
          <w:bCs/>
          <w:szCs w:val="21"/>
        </w:rPr>
      </w:pPr>
      <w:r/>
      <w:bookmarkStart w:id="111" w:name="OLE_LINK5"/>
      <w:r>
        <w:rPr>
          <w:b/>
          <w:bCs/>
          <w:szCs w:val="21"/>
        </w:rPr>
        <w:t xml:space="preserve">品目三 空压机系统（含冷干机）</w:t>
      </w:r>
      <w:bookmarkEnd w:id="111"/>
      <w:r/>
      <w:r/>
    </w:p>
    <w:p>
      <w:pPr>
        <w:ind w:firstLine="210"/>
        <w:spacing w:line="360" w:lineRule="auto"/>
        <w:rPr>
          <w:rFonts w:eastAsiaTheme="minorEastAsia"/>
          <w:szCs w:val="21"/>
        </w:rPr>
      </w:pPr>
      <w:r/>
      <w:bookmarkStart w:id="112" w:name="OLE_LINK1"/>
      <w:r>
        <w:rPr>
          <w:rFonts w:eastAsiaTheme="minorEastAsia"/>
          <w:szCs w:val="21"/>
        </w:rPr>
        <w:t xml:space="preserve">1、</w:t>
      </w:r>
      <w:r>
        <w:rPr>
          <w:rFonts w:eastAsiaTheme="minorEastAsia"/>
          <w:bCs/>
          <w:szCs w:val="21"/>
        </w:rPr>
        <w:t xml:space="preserve">额定排气压力：≥4 mpa；</w:t>
      </w:r>
      <w:r/>
    </w:p>
    <w:p>
      <w:pPr>
        <w:ind w:firstLine="210"/>
        <w:spacing w:line="360" w:lineRule="auto"/>
        <w:rPr>
          <w:rFonts w:eastAsiaTheme="minorEastAsia"/>
          <w:szCs w:val="21"/>
        </w:rPr>
      </w:pPr>
      <w:r>
        <w:rPr>
          <w:rFonts w:eastAsiaTheme="minorEastAsia"/>
          <w:szCs w:val="21"/>
        </w:rPr>
        <w:t xml:space="preserve">2、</w:t>
      </w:r>
      <w:r>
        <w:rPr>
          <w:rFonts w:eastAsiaTheme="minorEastAsia"/>
          <w:bCs/>
          <w:szCs w:val="21"/>
        </w:rPr>
        <w:t xml:space="preserve">额定排气量：≥4 m³/min；</w:t>
      </w:r>
      <w:r/>
    </w:p>
    <w:p>
      <w:pPr>
        <w:ind w:firstLine="210"/>
        <w:spacing w:line="360" w:lineRule="auto"/>
        <w:rPr>
          <w:rFonts w:eastAsiaTheme="minorEastAsia"/>
          <w:szCs w:val="21"/>
        </w:rPr>
      </w:pPr>
      <w:r>
        <w:rPr>
          <w:rFonts w:eastAsiaTheme="minorEastAsia"/>
          <w:szCs w:val="21"/>
        </w:rPr>
        <w:t xml:space="preserve">3、</w:t>
      </w:r>
      <w:r>
        <w:rPr>
          <w:rFonts w:eastAsiaTheme="minorEastAsia"/>
          <w:bCs/>
          <w:szCs w:val="21"/>
        </w:rPr>
        <w:t xml:space="preserve">整机出口管径：G1</w:t>
      </w:r>
      <w:r>
        <w:rPr>
          <w:rFonts w:eastAsiaTheme="minorEastAsia"/>
          <w:szCs w:val="21"/>
        </w:rPr>
        <w:t xml:space="preserve">；</w:t>
      </w:r>
      <w:r/>
    </w:p>
    <w:p>
      <w:pPr>
        <w:ind w:firstLine="210"/>
        <w:spacing w:line="360" w:lineRule="auto"/>
        <w:rPr>
          <w:rFonts w:eastAsiaTheme="minorEastAsia"/>
          <w:szCs w:val="21"/>
        </w:rPr>
      </w:pPr>
      <w:r>
        <w:rPr>
          <w:rFonts w:eastAsiaTheme="minorEastAsia"/>
          <w:szCs w:val="21"/>
        </w:rPr>
        <w:t xml:space="preserve">4、</w:t>
      </w:r>
      <w:r>
        <w:rPr>
          <w:rFonts w:eastAsiaTheme="minorEastAsia"/>
          <w:bCs/>
          <w:szCs w:val="21"/>
        </w:rPr>
        <w:t xml:space="preserve">冷却方式：风冷</w:t>
      </w:r>
      <w:r>
        <w:rPr>
          <w:rFonts w:eastAsiaTheme="minorEastAsia"/>
          <w:szCs w:val="21"/>
        </w:rPr>
        <w:t xml:space="preserve">；</w:t>
      </w:r>
      <w:r/>
    </w:p>
    <w:p>
      <w:pPr>
        <w:ind w:firstLine="210"/>
        <w:spacing w:line="360" w:lineRule="auto"/>
        <w:rPr>
          <w:rFonts w:eastAsiaTheme="minorEastAsia"/>
          <w:bCs/>
          <w:szCs w:val="21"/>
        </w:rPr>
      </w:pPr>
      <w:r>
        <w:rPr>
          <w:rFonts w:eastAsiaTheme="minorEastAsia"/>
          <w:szCs w:val="21"/>
        </w:rPr>
        <w:t xml:space="preserve">5、</w:t>
      </w:r>
      <w:r>
        <w:rPr>
          <w:rFonts w:eastAsiaTheme="minorEastAsia"/>
          <w:bCs/>
          <w:szCs w:val="21"/>
        </w:rPr>
        <w:t xml:space="preserve">环境温度：0-46℃；</w:t>
      </w:r>
      <w:r/>
    </w:p>
    <w:p>
      <w:pPr>
        <w:ind w:firstLine="210"/>
        <w:spacing w:line="360" w:lineRule="auto"/>
        <w:rPr>
          <w:rFonts w:eastAsiaTheme="minorEastAsia"/>
          <w:bCs/>
          <w:szCs w:val="21"/>
        </w:rPr>
      </w:pPr>
      <w:r>
        <w:rPr>
          <w:rFonts w:eastAsiaTheme="minorEastAsia"/>
          <w:bCs/>
          <w:szCs w:val="21"/>
        </w:rPr>
        <w:t xml:space="preserve">6、螺杆压缩机级数：单级；</w:t>
      </w:r>
      <w:r/>
    </w:p>
    <w:p>
      <w:pPr>
        <w:ind w:firstLine="210"/>
        <w:spacing w:line="360" w:lineRule="auto"/>
        <w:rPr>
          <w:rFonts w:eastAsiaTheme="minorEastAsia"/>
          <w:bCs/>
          <w:szCs w:val="21"/>
        </w:rPr>
      </w:pPr>
      <w:r>
        <w:rPr>
          <w:rFonts w:eastAsiaTheme="minorEastAsia"/>
          <w:bCs/>
          <w:szCs w:val="21"/>
        </w:rPr>
        <w:t xml:space="preserve">7、排气含油量：≤3ppm；</w:t>
      </w:r>
      <w:r/>
    </w:p>
    <w:p>
      <w:pPr>
        <w:ind w:firstLine="210"/>
        <w:spacing w:line="360" w:lineRule="auto"/>
        <w:rPr>
          <w:rFonts w:eastAsiaTheme="minorEastAsia"/>
          <w:bCs/>
          <w:szCs w:val="21"/>
        </w:rPr>
      </w:pPr>
      <w:r>
        <w:rPr>
          <w:rFonts w:eastAsiaTheme="minorEastAsia"/>
          <w:bCs/>
          <w:szCs w:val="21"/>
        </w:rPr>
        <w:t xml:space="preserve">8、螺杆机传动方式：直连；</w:t>
      </w:r>
      <w:r/>
    </w:p>
    <w:p>
      <w:pPr>
        <w:ind w:firstLine="210"/>
        <w:spacing w:line="360" w:lineRule="auto"/>
        <w:rPr>
          <w:rFonts w:eastAsiaTheme="minorEastAsia"/>
          <w:bCs/>
          <w:szCs w:val="21"/>
        </w:rPr>
      </w:pPr>
      <w:r>
        <w:rPr>
          <w:rFonts w:eastAsiaTheme="minorEastAsia"/>
          <w:bCs/>
          <w:szCs w:val="21"/>
        </w:rPr>
        <w:t xml:space="preserve">9、吸气状态压力：≤0.1Mpa；</w:t>
      </w:r>
      <w:r/>
    </w:p>
    <w:p>
      <w:pPr>
        <w:ind w:firstLine="210"/>
        <w:spacing w:line="360" w:lineRule="auto"/>
        <w:rPr>
          <w:rFonts w:eastAsiaTheme="minorEastAsia"/>
          <w:bCs/>
          <w:szCs w:val="21"/>
        </w:rPr>
      </w:pPr>
      <w:r>
        <w:rPr>
          <w:rFonts w:eastAsiaTheme="minorEastAsia"/>
          <w:bCs/>
          <w:szCs w:val="21"/>
        </w:rPr>
        <w:t xml:space="preserve">10、额定功率：≥30Kw；</w:t>
      </w:r>
      <w:r/>
    </w:p>
    <w:p>
      <w:pPr>
        <w:ind w:firstLine="210"/>
        <w:spacing w:line="360" w:lineRule="auto"/>
        <w:rPr>
          <w:rFonts w:eastAsiaTheme="minorEastAsia"/>
          <w:bCs/>
          <w:szCs w:val="21"/>
        </w:rPr>
      </w:pPr>
      <w:r>
        <w:rPr>
          <w:rFonts w:eastAsiaTheme="minorEastAsia"/>
          <w:bCs/>
          <w:szCs w:val="21"/>
        </w:rPr>
        <w:t xml:space="preserve">11、绝缘等级：F级；</w:t>
      </w:r>
      <w:r/>
    </w:p>
    <w:p>
      <w:pPr>
        <w:ind w:firstLine="210"/>
        <w:spacing w:line="360" w:lineRule="auto"/>
        <w:rPr>
          <w:rFonts w:eastAsiaTheme="minorEastAsia"/>
          <w:bCs/>
          <w:szCs w:val="21"/>
        </w:rPr>
      </w:pPr>
      <w:r>
        <w:rPr>
          <w:rFonts w:eastAsiaTheme="minorEastAsia"/>
          <w:bCs/>
          <w:szCs w:val="21"/>
        </w:rPr>
        <w:t xml:space="preserve">12、压降：≤0.02mpa；</w:t>
      </w:r>
      <w:r/>
    </w:p>
    <w:p>
      <w:pPr>
        <w:ind w:firstLine="210"/>
        <w:spacing w:line="360" w:lineRule="auto"/>
        <w:rPr>
          <w:rFonts w:eastAsiaTheme="minorEastAsia"/>
          <w:bCs/>
          <w:szCs w:val="21"/>
        </w:rPr>
      </w:pPr>
      <w:r>
        <w:rPr>
          <w:rFonts w:eastAsiaTheme="minorEastAsia"/>
          <w:bCs/>
          <w:szCs w:val="21"/>
        </w:rPr>
        <w:t xml:space="preserve">13、露点温度：2～11℃；</w:t>
      </w:r>
      <w:r/>
    </w:p>
    <w:p>
      <w:pPr>
        <w:ind w:firstLine="210"/>
        <w:spacing w:line="360" w:lineRule="auto"/>
        <w:rPr>
          <w:rFonts w:eastAsiaTheme="minorEastAsia"/>
          <w:bCs/>
          <w:szCs w:val="21"/>
        </w:rPr>
      </w:pPr>
      <w:r>
        <w:rPr>
          <w:rFonts w:eastAsiaTheme="minorEastAsia"/>
          <w:bCs/>
          <w:szCs w:val="21"/>
        </w:rPr>
        <w:t xml:space="preserve">14、空气出入口管径：</w:t>
      </w:r>
      <w:bookmarkStart w:id="113" w:name="OLE_LINK2"/>
      <w:r>
        <w:rPr>
          <w:rFonts w:eastAsiaTheme="minorEastAsia"/>
          <w:bCs/>
          <w:szCs w:val="21"/>
        </w:rPr>
        <w:t xml:space="preserve">G1-1/2”inch</w:t>
      </w:r>
      <w:bookmarkEnd w:id="113"/>
      <w:r>
        <w:rPr>
          <w:rFonts w:eastAsiaTheme="minorEastAsia"/>
          <w:bCs/>
          <w:szCs w:val="21"/>
        </w:rPr>
        <w:t xml:space="preserve">；</w:t>
      </w:r>
      <w:r/>
    </w:p>
    <w:p>
      <w:pPr>
        <w:ind w:firstLine="210"/>
        <w:spacing w:line="360" w:lineRule="auto"/>
        <w:rPr>
          <w:rFonts w:eastAsiaTheme="minorEastAsia"/>
          <w:bCs/>
          <w:szCs w:val="21"/>
        </w:rPr>
      </w:pPr>
      <w:r>
        <w:rPr>
          <w:rFonts w:eastAsiaTheme="minorEastAsia"/>
          <w:bCs/>
          <w:szCs w:val="21"/>
        </w:rPr>
        <w:t xml:space="preserve">15、压缩机功率：≥1Kw；</w:t>
      </w:r>
      <w:r/>
    </w:p>
    <w:p>
      <w:pPr>
        <w:ind w:firstLine="210"/>
        <w:spacing w:line="360" w:lineRule="auto"/>
        <w:rPr>
          <w:rFonts w:eastAsiaTheme="minorEastAsia"/>
          <w:bCs/>
          <w:szCs w:val="21"/>
        </w:rPr>
      </w:pPr>
      <w:r>
        <w:rPr>
          <w:rFonts w:eastAsiaTheme="minorEastAsia"/>
          <w:bCs/>
          <w:szCs w:val="21"/>
        </w:rPr>
        <w:t xml:space="preserve">16、压缩机：全封闭旋转式；</w:t>
      </w:r>
      <w:r/>
    </w:p>
    <w:p>
      <w:pPr>
        <w:ind w:firstLine="210"/>
        <w:spacing w:line="360" w:lineRule="auto"/>
        <w:rPr>
          <w:rFonts w:eastAsiaTheme="minorEastAsia"/>
          <w:bCs/>
          <w:szCs w:val="21"/>
        </w:rPr>
      </w:pPr>
      <w:r>
        <w:rPr>
          <w:rFonts w:eastAsiaTheme="minorEastAsia"/>
          <w:bCs/>
          <w:szCs w:val="21"/>
        </w:rPr>
        <w:t xml:space="preserve">17、冷凝器：纯铜套铝翅片式；</w:t>
      </w:r>
      <w:r/>
    </w:p>
    <w:p>
      <w:pPr>
        <w:ind w:firstLine="210"/>
        <w:spacing w:line="360" w:lineRule="auto"/>
        <w:rPr>
          <w:rFonts w:eastAsiaTheme="minorEastAsia"/>
          <w:bCs/>
          <w:szCs w:val="21"/>
        </w:rPr>
      </w:pPr>
      <w:r>
        <w:rPr>
          <w:rFonts w:eastAsiaTheme="minorEastAsia"/>
          <w:bCs/>
          <w:szCs w:val="21"/>
        </w:rPr>
        <w:t xml:space="preserve">18、节流阀管：毛细管；</w:t>
      </w:r>
      <w:r/>
    </w:p>
    <w:p>
      <w:pPr>
        <w:ind w:firstLine="210"/>
        <w:spacing w:line="360" w:lineRule="auto"/>
        <w:rPr>
          <w:rFonts w:eastAsiaTheme="minorEastAsia"/>
          <w:bCs/>
          <w:szCs w:val="21"/>
        </w:rPr>
      </w:pPr>
      <w:r>
        <w:rPr>
          <w:rFonts w:eastAsiaTheme="minorEastAsia"/>
          <w:bCs/>
          <w:szCs w:val="21"/>
        </w:rPr>
        <w:t xml:space="preserve">19、热气旁路阀：截止阀式；</w:t>
      </w:r>
      <w:r/>
    </w:p>
    <w:p>
      <w:pPr>
        <w:ind w:firstLine="210"/>
        <w:spacing w:line="360" w:lineRule="auto"/>
        <w:rPr>
          <w:bCs/>
          <w:szCs w:val="21"/>
        </w:rPr>
      </w:pPr>
      <w:r>
        <w:rPr>
          <w:rFonts w:eastAsiaTheme="minorEastAsia"/>
          <w:bCs/>
          <w:szCs w:val="21"/>
        </w:rPr>
        <w:t xml:space="preserve">20、PLC控制、远程信号干接点及远程通讯接口；</w:t>
      </w:r>
      <w:r/>
    </w:p>
    <w:p>
      <w:pPr>
        <w:jc w:val="center"/>
        <w:spacing w:line="360" w:lineRule="auto"/>
        <w:rPr>
          <w:b/>
          <w:bCs/>
          <w:szCs w:val="21"/>
        </w:rPr>
      </w:pPr>
      <w:r>
        <w:rPr>
          <w:b/>
          <w:bCs/>
          <w:szCs w:val="21"/>
        </w:rPr>
        <w:t xml:space="preserve">品目四 空气储罐及配套管路</w:t>
      </w:r>
      <w:r/>
    </w:p>
    <w:p>
      <w:pPr>
        <w:ind w:firstLine="210"/>
        <w:spacing w:line="360" w:lineRule="auto"/>
        <w:rPr>
          <w:rFonts w:eastAsiaTheme="minorEastAsia"/>
          <w:szCs w:val="21"/>
        </w:rPr>
      </w:pPr>
      <w:r>
        <w:rPr>
          <w:rFonts w:eastAsiaTheme="minorEastAsia"/>
          <w:szCs w:val="21"/>
        </w:rPr>
        <w:t xml:space="preserve">1、</w:t>
      </w:r>
      <w:r>
        <w:rPr>
          <w:rFonts w:eastAsiaTheme="minorEastAsia"/>
          <w:bCs/>
          <w:szCs w:val="21"/>
        </w:rPr>
        <w:t xml:space="preserve">设计压力：≥2.1MPa；</w:t>
      </w:r>
      <w:r/>
    </w:p>
    <w:p>
      <w:pPr>
        <w:ind w:firstLine="210"/>
        <w:spacing w:line="360" w:lineRule="auto"/>
        <w:rPr>
          <w:rFonts w:eastAsiaTheme="minorEastAsia"/>
          <w:szCs w:val="21"/>
        </w:rPr>
      </w:pPr>
      <w:r>
        <w:rPr>
          <w:rFonts w:eastAsiaTheme="minorEastAsia"/>
          <w:szCs w:val="21"/>
        </w:rPr>
        <w:t xml:space="preserve">2、</w:t>
      </w:r>
      <w:r>
        <w:rPr>
          <w:rFonts w:eastAsiaTheme="minorEastAsia"/>
          <w:bCs/>
          <w:szCs w:val="21"/>
        </w:rPr>
        <w:t xml:space="preserve">工作压力：≥2.0MPa；</w:t>
      </w:r>
      <w:r/>
    </w:p>
    <w:p>
      <w:pPr>
        <w:ind w:firstLine="210"/>
        <w:spacing w:line="360" w:lineRule="auto"/>
        <w:rPr>
          <w:rFonts w:eastAsiaTheme="minorEastAsia"/>
          <w:szCs w:val="21"/>
        </w:rPr>
      </w:pPr>
      <w:r>
        <w:rPr>
          <w:rFonts w:eastAsiaTheme="minorEastAsia"/>
          <w:szCs w:val="21"/>
        </w:rPr>
        <w:t xml:space="preserve">3、</w:t>
      </w:r>
      <w:r>
        <w:rPr>
          <w:rFonts w:eastAsiaTheme="minorEastAsia"/>
          <w:bCs/>
          <w:szCs w:val="21"/>
        </w:rPr>
        <w:t xml:space="preserve">设计温度：≥150℃</w:t>
      </w:r>
      <w:r>
        <w:rPr>
          <w:rFonts w:eastAsiaTheme="minorEastAsia"/>
          <w:szCs w:val="21"/>
        </w:rPr>
        <w:t xml:space="preserve">；</w:t>
      </w:r>
      <w:r/>
    </w:p>
    <w:p>
      <w:pPr>
        <w:ind w:firstLine="210"/>
        <w:spacing w:line="360" w:lineRule="auto"/>
        <w:rPr>
          <w:rFonts w:eastAsiaTheme="minorEastAsia"/>
          <w:szCs w:val="21"/>
        </w:rPr>
      </w:pPr>
      <w:r>
        <w:rPr>
          <w:rFonts w:eastAsiaTheme="minorEastAsia"/>
          <w:szCs w:val="21"/>
        </w:rPr>
        <w:t xml:space="preserve">4、</w:t>
      </w:r>
      <w:r>
        <w:rPr>
          <w:rFonts w:eastAsiaTheme="minorEastAsia"/>
          <w:bCs/>
          <w:szCs w:val="21"/>
        </w:rPr>
        <w:t xml:space="preserve">工作温度：≥140℃</w:t>
      </w:r>
      <w:r>
        <w:rPr>
          <w:rFonts w:eastAsiaTheme="minorEastAsia"/>
          <w:szCs w:val="21"/>
        </w:rPr>
        <w:t xml:space="preserve">；</w:t>
      </w:r>
      <w:r/>
    </w:p>
    <w:p>
      <w:pPr>
        <w:ind w:firstLine="210"/>
        <w:spacing w:line="360" w:lineRule="auto"/>
        <w:rPr>
          <w:rFonts w:eastAsiaTheme="minorEastAsia"/>
          <w:bCs/>
          <w:szCs w:val="21"/>
        </w:rPr>
      </w:pPr>
      <w:r>
        <w:rPr>
          <w:rFonts w:eastAsiaTheme="minorEastAsia"/>
          <w:szCs w:val="21"/>
        </w:rPr>
        <w:t xml:space="preserve">5、</w:t>
      </w:r>
      <w:r>
        <w:rPr>
          <w:rFonts w:eastAsiaTheme="minorEastAsia"/>
          <w:bCs/>
          <w:szCs w:val="21"/>
        </w:rPr>
        <w:t xml:space="preserve">介质：空气,氮气；</w:t>
      </w:r>
      <w:r/>
    </w:p>
    <w:p>
      <w:pPr>
        <w:ind w:firstLine="210"/>
        <w:spacing w:line="360" w:lineRule="auto"/>
        <w:rPr>
          <w:rFonts w:eastAsiaTheme="minorEastAsia"/>
          <w:bCs/>
          <w:szCs w:val="21"/>
        </w:rPr>
      </w:pPr>
      <w:r>
        <w:rPr>
          <w:rFonts w:eastAsiaTheme="minorEastAsia"/>
          <w:bCs/>
          <w:szCs w:val="21"/>
        </w:rPr>
        <w:t xml:space="preserve">6、介质特性：无毒,非易燃；</w:t>
      </w:r>
      <w:r/>
    </w:p>
    <w:p>
      <w:pPr>
        <w:ind w:firstLine="210"/>
        <w:spacing w:line="360" w:lineRule="auto"/>
        <w:rPr>
          <w:rFonts w:eastAsiaTheme="minorEastAsia"/>
          <w:bCs/>
          <w:szCs w:val="21"/>
        </w:rPr>
      </w:pPr>
      <w:r>
        <w:rPr>
          <w:rFonts w:eastAsiaTheme="minorEastAsia"/>
          <w:bCs/>
          <w:szCs w:val="21"/>
        </w:rPr>
        <w:t xml:space="preserve">7、安全阀开启压力：≥2.05MPa；</w:t>
      </w:r>
      <w:r/>
    </w:p>
    <w:p>
      <w:pPr>
        <w:ind w:firstLine="210"/>
        <w:spacing w:line="360" w:lineRule="auto"/>
        <w:rPr>
          <w:rFonts w:eastAsiaTheme="minorEastAsia"/>
          <w:bCs/>
          <w:szCs w:val="21"/>
        </w:rPr>
      </w:pPr>
      <w:r>
        <w:rPr>
          <w:rFonts w:eastAsiaTheme="minorEastAsia"/>
          <w:bCs/>
          <w:szCs w:val="21"/>
        </w:rPr>
        <w:t xml:space="preserve">8、容器类别：II类；</w:t>
      </w:r>
      <w:r/>
    </w:p>
    <w:p>
      <w:pPr>
        <w:ind w:firstLine="210"/>
        <w:spacing w:line="360" w:lineRule="auto"/>
        <w:rPr>
          <w:rFonts w:eastAsiaTheme="minorEastAsia"/>
          <w:bCs/>
          <w:szCs w:val="21"/>
        </w:rPr>
      </w:pPr>
      <w:r>
        <w:rPr>
          <w:rFonts w:eastAsiaTheme="minorEastAsia"/>
          <w:bCs/>
          <w:szCs w:val="21"/>
        </w:rPr>
        <w:t xml:space="preserve">9、全容积：≥30m³；</w:t>
      </w:r>
      <w:r/>
    </w:p>
    <w:p>
      <w:pPr>
        <w:ind w:firstLine="210"/>
        <w:spacing w:line="360" w:lineRule="auto"/>
        <w:rPr>
          <w:rFonts w:eastAsiaTheme="minorEastAsia"/>
          <w:bCs/>
          <w:szCs w:val="21"/>
        </w:rPr>
      </w:pPr>
      <w:r>
        <w:rPr>
          <w:rFonts w:eastAsiaTheme="minorEastAsia"/>
          <w:bCs/>
          <w:szCs w:val="21"/>
        </w:rPr>
        <w:t xml:space="preserve">10、焊接接头系数：0.85/1；</w:t>
      </w:r>
      <w:r/>
    </w:p>
    <w:p>
      <w:pPr>
        <w:ind w:firstLine="210"/>
        <w:spacing w:line="360" w:lineRule="auto"/>
        <w:rPr>
          <w:rFonts w:eastAsiaTheme="minorEastAsia"/>
          <w:bCs/>
          <w:szCs w:val="21"/>
        </w:rPr>
      </w:pPr>
      <w:r>
        <w:rPr>
          <w:rFonts w:eastAsiaTheme="minorEastAsia"/>
          <w:bCs/>
          <w:szCs w:val="21"/>
        </w:rPr>
        <w:t xml:space="preserve">11、空载质量：≥7400kg；</w:t>
      </w:r>
      <w:r/>
    </w:p>
    <w:p>
      <w:pPr>
        <w:ind w:firstLine="210"/>
        <w:spacing w:line="360" w:lineRule="auto"/>
        <w:rPr>
          <w:rFonts w:eastAsiaTheme="minorEastAsia"/>
          <w:bCs/>
          <w:szCs w:val="21"/>
        </w:rPr>
      </w:pPr>
      <w:r>
        <w:rPr>
          <w:rFonts w:eastAsiaTheme="minorEastAsia"/>
          <w:bCs/>
          <w:szCs w:val="21"/>
        </w:rPr>
        <w:t xml:space="preserve">12、设计使用年限：≥15年；</w:t>
      </w:r>
      <w:r/>
    </w:p>
    <w:p>
      <w:pPr>
        <w:ind w:firstLine="210"/>
        <w:spacing w:line="360" w:lineRule="auto"/>
        <w:rPr>
          <w:rFonts w:eastAsiaTheme="minorEastAsia"/>
          <w:bCs/>
          <w:szCs w:val="21"/>
        </w:rPr>
      </w:pPr>
      <w:r>
        <w:rPr>
          <w:rFonts w:eastAsiaTheme="minorEastAsia"/>
          <w:bCs/>
          <w:szCs w:val="21"/>
        </w:rPr>
        <w:t xml:space="preserve">13、焊接规程：NB/T47015-2023；</w:t>
      </w:r>
      <w:r/>
    </w:p>
    <w:p>
      <w:pPr>
        <w:ind w:firstLine="210"/>
        <w:spacing w:line="360" w:lineRule="auto"/>
        <w:rPr>
          <w:rFonts w:eastAsiaTheme="minorEastAsia"/>
          <w:szCs w:val="21"/>
        </w:rPr>
      </w:pPr>
      <w:r>
        <w:rPr>
          <w:rFonts w:eastAsiaTheme="minorEastAsia"/>
          <w:bCs/>
          <w:szCs w:val="21"/>
        </w:rPr>
        <w:t xml:space="preserve">14、制造,检验及验收标准GB/T150.1-4-2024（压力容器）,TSG 21-2016（固定式压力容器安全技术监察规程）；</w:t>
      </w:r>
      <w:bookmarkEnd w:id="112"/>
      <w:r/>
      <w:r/>
    </w:p>
    <w:p>
      <w:pPr>
        <w:jc w:val="center"/>
        <w:spacing w:line="360" w:lineRule="auto"/>
        <w:rPr>
          <w:b/>
          <w:bCs/>
          <w:szCs w:val="21"/>
        </w:rPr>
      </w:pPr>
      <w:r>
        <w:rPr>
          <w:b/>
          <w:bCs/>
          <w:szCs w:val="21"/>
        </w:rPr>
        <w:t xml:space="preserve">品目五 真空泵及配套管路</w:t>
      </w:r>
      <w:r/>
    </w:p>
    <w:p>
      <w:pPr>
        <w:ind w:firstLine="210"/>
        <w:spacing w:line="360" w:lineRule="auto"/>
        <w:rPr>
          <w:rFonts w:eastAsiaTheme="minorEastAsia"/>
          <w:szCs w:val="21"/>
        </w:rPr>
      </w:pPr>
      <w:r>
        <w:rPr>
          <w:rFonts w:eastAsiaTheme="minorEastAsia"/>
          <w:szCs w:val="21"/>
        </w:rPr>
        <w:t xml:space="preserve">1、</w:t>
      </w:r>
      <w:r>
        <w:rPr>
          <w:rFonts w:eastAsiaTheme="minorEastAsia"/>
          <w:bCs/>
          <w:szCs w:val="21"/>
        </w:rPr>
        <w:t xml:space="preserve">抽速率（额定排气量）：≥200L/S（720m³/h）；</w:t>
      </w:r>
      <w:r/>
    </w:p>
    <w:p>
      <w:pPr>
        <w:ind w:firstLine="210"/>
        <w:spacing w:line="360" w:lineRule="auto"/>
        <w:rPr>
          <w:rFonts w:eastAsiaTheme="minorEastAsia"/>
          <w:szCs w:val="21"/>
        </w:rPr>
      </w:pPr>
      <w:r>
        <w:rPr>
          <w:rFonts w:eastAsiaTheme="minorEastAsia"/>
          <w:szCs w:val="21"/>
        </w:rPr>
        <w:t xml:space="preserve">2、</w:t>
      </w:r>
      <w:r>
        <w:rPr>
          <w:rFonts w:eastAsiaTheme="minorEastAsia"/>
          <w:bCs/>
          <w:szCs w:val="21"/>
        </w:rPr>
        <w:t xml:space="preserve">真空度：≥35Pa；</w:t>
      </w:r>
      <w:r/>
    </w:p>
    <w:p>
      <w:pPr>
        <w:ind w:firstLine="210"/>
        <w:spacing w:line="360" w:lineRule="auto"/>
        <w:rPr>
          <w:rFonts w:eastAsiaTheme="minorEastAsia"/>
          <w:szCs w:val="21"/>
        </w:rPr>
      </w:pPr>
      <w:r>
        <w:rPr>
          <w:rFonts w:eastAsiaTheme="minorEastAsia"/>
          <w:szCs w:val="21"/>
        </w:rPr>
        <w:t xml:space="preserve">3、</w:t>
      </w:r>
      <w:r>
        <w:rPr>
          <w:rFonts w:eastAsiaTheme="minorEastAsia"/>
          <w:bCs/>
          <w:szCs w:val="21"/>
        </w:rPr>
        <w:t xml:space="preserve">功率：≥15kW</w:t>
      </w:r>
      <w:r>
        <w:rPr>
          <w:rFonts w:eastAsiaTheme="minorEastAsia"/>
          <w:szCs w:val="21"/>
        </w:rPr>
        <w:t xml:space="preserve">；</w:t>
      </w:r>
      <w:r/>
    </w:p>
    <w:p>
      <w:pPr>
        <w:ind w:firstLine="210"/>
        <w:spacing w:line="360" w:lineRule="auto"/>
        <w:rPr>
          <w:rFonts w:eastAsiaTheme="minorEastAsia"/>
          <w:szCs w:val="21"/>
        </w:rPr>
      </w:pPr>
      <w:r>
        <w:rPr>
          <w:rFonts w:eastAsiaTheme="minorEastAsia"/>
          <w:szCs w:val="21"/>
        </w:rPr>
        <w:t xml:space="preserve">4、</w:t>
      </w:r>
      <w:r>
        <w:rPr>
          <w:rFonts w:eastAsiaTheme="minorEastAsia"/>
          <w:bCs/>
          <w:szCs w:val="21"/>
        </w:rPr>
        <w:t xml:space="preserve">环境温度≤40℃</w:t>
      </w:r>
      <w:r>
        <w:rPr>
          <w:rFonts w:eastAsiaTheme="minorEastAsia"/>
          <w:szCs w:val="21"/>
        </w:rPr>
        <w:t xml:space="preserve">；</w:t>
      </w:r>
      <w:r/>
    </w:p>
    <w:p>
      <w:pPr>
        <w:ind w:firstLine="210"/>
        <w:spacing w:line="360" w:lineRule="auto"/>
        <w:rPr>
          <w:rFonts w:eastAsiaTheme="minorEastAsia"/>
          <w:bCs/>
          <w:szCs w:val="21"/>
        </w:rPr>
      </w:pPr>
      <w:r>
        <w:rPr>
          <w:rFonts w:eastAsiaTheme="minorEastAsia"/>
          <w:szCs w:val="21"/>
        </w:rPr>
        <w:t xml:space="preserve">5、</w:t>
      </w:r>
      <w:r>
        <w:rPr>
          <w:rFonts w:eastAsiaTheme="minorEastAsia"/>
          <w:bCs/>
          <w:szCs w:val="21"/>
        </w:rPr>
        <w:t xml:space="preserve">冷却方式：风冷；</w:t>
      </w:r>
      <w:r/>
    </w:p>
    <w:p>
      <w:pPr>
        <w:ind w:firstLine="210"/>
        <w:spacing w:line="360" w:lineRule="auto"/>
        <w:rPr>
          <w:rFonts w:eastAsiaTheme="minorEastAsia"/>
          <w:bCs/>
          <w:szCs w:val="21"/>
        </w:rPr>
      </w:pPr>
      <w:r>
        <w:rPr>
          <w:rFonts w:eastAsiaTheme="minorEastAsia"/>
          <w:bCs/>
          <w:szCs w:val="21"/>
        </w:rPr>
        <w:t xml:space="preserve">6、排气温度≤95℃；</w:t>
      </w:r>
      <w:r/>
    </w:p>
    <w:p>
      <w:pPr>
        <w:ind w:firstLine="210"/>
        <w:spacing w:line="360" w:lineRule="auto"/>
        <w:rPr>
          <w:rFonts w:eastAsiaTheme="minorEastAsia"/>
          <w:bCs/>
          <w:szCs w:val="21"/>
        </w:rPr>
      </w:pPr>
      <w:r>
        <w:rPr>
          <w:rFonts w:eastAsiaTheme="minorEastAsia"/>
          <w:bCs/>
          <w:szCs w:val="21"/>
        </w:rPr>
        <w:t xml:space="preserve">7、阴阳转子型线：RW116；</w:t>
      </w:r>
      <w:r/>
    </w:p>
    <w:p>
      <w:pPr>
        <w:ind w:firstLine="210"/>
        <w:spacing w:line="360" w:lineRule="auto"/>
        <w:rPr>
          <w:rFonts w:eastAsiaTheme="minorEastAsia"/>
          <w:bCs/>
          <w:szCs w:val="21"/>
        </w:rPr>
      </w:pPr>
      <w:r>
        <w:rPr>
          <w:rFonts w:eastAsiaTheme="minorEastAsia"/>
          <w:bCs/>
          <w:szCs w:val="21"/>
        </w:rPr>
        <w:t xml:space="preserve">8、机组噪声≤80dB（A）；</w:t>
      </w:r>
      <w:r/>
    </w:p>
    <w:p>
      <w:pPr>
        <w:ind w:firstLine="210"/>
        <w:spacing w:line="360" w:lineRule="auto"/>
        <w:rPr>
          <w:rFonts w:eastAsiaTheme="minorEastAsia"/>
          <w:bCs/>
          <w:szCs w:val="21"/>
        </w:rPr>
      </w:pPr>
      <w:r>
        <w:rPr>
          <w:rFonts w:eastAsiaTheme="minorEastAsia"/>
          <w:bCs/>
          <w:szCs w:val="21"/>
        </w:rPr>
        <w:t xml:space="preserve">9、机组重量≤720kg；</w:t>
      </w:r>
      <w:r/>
    </w:p>
    <w:p>
      <w:pPr>
        <w:ind w:firstLine="210"/>
        <w:spacing w:line="360" w:lineRule="auto"/>
        <w:rPr>
          <w:rFonts w:eastAsiaTheme="minorEastAsia"/>
          <w:bCs/>
          <w:szCs w:val="21"/>
        </w:rPr>
      </w:pPr>
      <w:r>
        <w:rPr>
          <w:rFonts w:eastAsiaTheme="minorEastAsia"/>
          <w:bCs/>
          <w:szCs w:val="21"/>
        </w:rPr>
        <w:t xml:space="preserve">10、额定功率≥22kw；</w:t>
      </w:r>
      <w:r/>
    </w:p>
    <w:p>
      <w:pPr>
        <w:ind w:firstLine="210"/>
        <w:spacing w:line="360" w:lineRule="auto"/>
        <w:rPr>
          <w:rFonts w:eastAsiaTheme="minorEastAsia"/>
          <w:bCs/>
          <w:szCs w:val="21"/>
        </w:rPr>
      </w:pPr>
      <w:r>
        <w:rPr>
          <w:rFonts w:eastAsiaTheme="minorEastAsia"/>
          <w:bCs/>
          <w:szCs w:val="21"/>
        </w:rPr>
        <w:t xml:space="preserve">11、传动方式：同轴；</w:t>
      </w:r>
      <w:r/>
    </w:p>
    <w:p>
      <w:pPr>
        <w:ind w:firstLine="210"/>
        <w:spacing w:line="360" w:lineRule="auto"/>
        <w:rPr>
          <w:rFonts w:eastAsiaTheme="minorEastAsia"/>
          <w:bCs/>
          <w:szCs w:val="21"/>
        </w:rPr>
      </w:pPr>
      <w:r>
        <w:rPr>
          <w:rFonts w:eastAsiaTheme="minorEastAsia"/>
          <w:bCs/>
          <w:szCs w:val="21"/>
        </w:rPr>
        <w:t xml:space="preserve">12、额定电压：380v；</w:t>
      </w:r>
      <w:r/>
    </w:p>
    <w:p>
      <w:pPr>
        <w:ind w:firstLine="210"/>
        <w:spacing w:line="360" w:lineRule="auto"/>
        <w:rPr>
          <w:rFonts w:eastAsiaTheme="minorEastAsia"/>
          <w:bCs/>
          <w:szCs w:val="21"/>
        </w:rPr>
      </w:pPr>
      <w:r>
        <w:rPr>
          <w:rFonts w:eastAsiaTheme="minorEastAsia"/>
          <w:bCs/>
          <w:szCs w:val="21"/>
        </w:rPr>
        <w:t xml:space="preserve">13、额定电流：≥43A；</w:t>
      </w:r>
      <w:r/>
    </w:p>
    <w:p>
      <w:pPr>
        <w:ind w:firstLine="210"/>
        <w:spacing w:line="360" w:lineRule="auto"/>
        <w:rPr>
          <w:rFonts w:eastAsiaTheme="minorEastAsia"/>
          <w:bCs/>
          <w:szCs w:val="21"/>
        </w:rPr>
      </w:pPr>
      <w:r>
        <w:rPr>
          <w:rFonts w:eastAsiaTheme="minorEastAsia"/>
          <w:bCs/>
          <w:szCs w:val="21"/>
        </w:rPr>
        <w:t xml:space="preserve">14、额定频率：≥320Hz；</w:t>
      </w:r>
      <w:r/>
    </w:p>
    <w:p>
      <w:pPr>
        <w:ind w:firstLine="210"/>
        <w:spacing w:line="360" w:lineRule="auto"/>
        <w:rPr>
          <w:rFonts w:eastAsiaTheme="minorEastAsia"/>
          <w:bCs/>
          <w:szCs w:val="21"/>
        </w:rPr>
      </w:pPr>
      <w:r>
        <w:rPr>
          <w:rFonts w:eastAsiaTheme="minorEastAsia"/>
          <w:bCs/>
          <w:szCs w:val="21"/>
        </w:rPr>
        <w:t xml:space="preserve">15、额定转速：≥4800rpm；</w:t>
      </w:r>
      <w:r/>
    </w:p>
    <w:p>
      <w:pPr>
        <w:ind w:firstLine="210"/>
        <w:spacing w:line="360" w:lineRule="auto"/>
        <w:rPr>
          <w:rFonts w:eastAsiaTheme="minorEastAsia"/>
          <w:bCs/>
          <w:szCs w:val="21"/>
        </w:rPr>
      </w:pPr>
      <w:r>
        <w:rPr>
          <w:rFonts w:eastAsiaTheme="minorEastAsia"/>
          <w:bCs/>
          <w:szCs w:val="21"/>
        </w:rPr>
        <w:t xml:space="preserve">16、防护等级：≥IP65；</w:t>
      </w:r>
      <w:r/>
    </w:p>
    <w:p>
      <w:pPr>
        <w:ind w:firstLine="210"/>
        <w:spacing w:line="360" w:lineRule="auto"/>
        <w:rPr>
          <w:rFonts w:eastAsiaTheme="minorEastAsia"/>
          <w:bCs/>
          <w:szCs w:val="21"/>
        </w:rPr>
      </w:pPr>
      <w:r>
        <w:rPr>
          <w:rFonts w:eastAsiaTheme="minorEastAsia"/>
          <w:bCs/>
          <w:szCs w:val="21"/>
        </w:rPr>
        <w:t xml:space="preserve">17、绝缘等级：F；</w:t>
      </w:r>
      <w:r/>
    </w:p>
    <w:p>
      <w:pPr>
        <w:ind w:firstLine="210"/>
        <w:spacing w:line="360" w:lineRule="auto"/>
        <w:rPr>
          <w:rFonts w:eastAsiaTheme="minorEastAsia"/>
          <w:bCs/>
          <w:szCs w:val="21"/>
        </w:rPr>
      </w:pPr>
      <w:r>
        <w:rPr>
          <w:rFonts w:eastAsiaTheme="minorEastAsia"/>
          <w:bCs/>
          <w:szCs w:val="21"/>
        </w:rPr>
        <w:t xml:space="preserve">18、效率：≥96%；</w:t>
      </w:r>
      <w:r/>
    </w:p>
    <w:p>
      <w:pPr>
        <w:ind w:firstLine="210"/>
        <w:spacing w:line="360" w:lineRule="auto"/>
        <w:rPr>
          <w:rFonts w:eastAsiaTheme="minorEastAsia"/>
          <w:color w:val="333333"/>
          <w:szCs w:val="21"/>
        </w:rPr>
      </w:pPr>
      <w:r>
        <w:rPr>
          <w:rFonts w:eastAsiaTheme="minorEastAsia"/>
          <w:bCs/>
          <w:szCs w:val="21"/>
        </w:rPr>
        <w:t xml:space="preserve">19、进/出口管径：80/65 inch；</w:t>
      </w:r>
      <w:r/>
    </w:p>
    <w:p>
      <w:pPr>
        <w:jc w:val="center"/>
        <w:spacing w:line="360" w:lineRule="auto"/>
        <w:rPr>
          <w:b/>
          <w:bCs/>
          <w:szCs w:val="21"/>
        </w:rPr>
      </w:pPr>
      <w:r>
        <w:rPr>
          <w:b/>
          <w:bCs/>
          <w:szCs w:val="21"/>
        </w:rPr>
        <w:t xml:space="preserve">品目六 清水水箱及配套管路</w:t>
      </w:r>
      <w:r/>
    </w:p>
    <w:p>
      <w:pPr>
        <w:ind w:firstLine="210"/>
        <w:spacing w:line="360" w:lineRule="auto"/>
        <w:rPr>
          <w:rFonts w:eastAsiaTheme="minorEastAsia"/>
          <w:szCs w:val="21"/>
        </w:rPr>
      </w:pPr>
      <w:r>
        <w:rPr>
          <w:rFonts w:eastAsiaTheme="minorEastAsia"/>
          <w:szCs w:val="21"/>
        </w:rPr>
        <w:t xml:space="preserve">1、</w:t>
      </w:r>
      <w:r>
        <w:rPr>
          <w:rFonts w:eastAsiaTheme="minorEastAsia"/>
          <w:bCs/>
          <w:szCs w:val="21"/>
        </w:rPr>
        <w:t xml:space="preserve">容积：≥72m³；</w:t>
      </w:r>
      <w:r/>
    </w:p>
    <w:p>
      <w:pPr>
        <w:ind w:firstLine="210"/>
        <w:spacing w:line="360" w:lineRule="auto"/>
        <w:rPr>
          <w:rFonts w:eastAsiaTheme="minorEastAsia"/>
          <w:szCs w:val="21"/>
        </w:rPr>
      </w:pPr>
      <w:r>
        <w:rPr>
          <w:rFonts w:eastAsiaTheme="minorEastAsia"/>
          <w:szCs w:val="21"/>
        </w:rPr>
        <w:t xml:space="preserve">2、</w:t>
      </w:r>
      <w:r>
        <w:rPr>
          <w:rFonts w:eastAsiaTheme="minorEastAsia"/>
          <w:bCs/>
          <w:szCs w:val="21"/>
        </w:rPr>
        <w:t xml:space="preserve">长*宽*高：≥6m*4m*3m；</w:t>
      </w:r>
      <w:r/>
    </w:p>
    <w:p>
      <w:pPr>
        <w:ind w:firstLine="210"/>
        <w:spacing w:line="360" w:lineRule="auto"/>
        <w:rPr>
          <w:rFonts w:eastAsiaTheme="minorEastAsia"/>
          <w:szCs w:val="21"/>
        </w:rPr>
      </w:pPr>
      <w:r>
        <w:rPr>
          <w:rFonts w:eastAsiaTheme="minorEastAsia"/>
          <w:szCs w:val="21"/>
        </w:rPr>
        <w:t xml:space="preserve">3、</w:t>
      </w:r>
      <w:r>
        <w:rPr>
          <w:rFonts w:eastAsiaTheme="minorEastAsia"/>
          <w:bCs/>
          <w:szCs w:val="21"/>
        </w:rPr>
        <w:t xml:space="preserve">顶板厚度：≥1.5mm</w:t>
      </w:r>
      <w:r>
        <w:rPr>
          <w:rFonts w:eastAsiaTheme="minorEastAsia"/>
          <w:szCs w:val="21"/>
        </w:rPr>
        <w:t xml:space="preserve">；</w:t>
      </w:r>
      <w:r/>
    </w:p>
    <w:p>
      <w:pPr>
        <w:ind w:firstLine="210"/>
        <w:spacing w:line="360" w:lineRule="auto"/>
        <w:rPr>
          <w:rFonts w:eastAsiaTheme="minorEastAsia"/>
          <w:szCs w:val="21"/>
        </w:rPr>
      </w:pPr>
      <w:r>
        <w:rPr>
          <w:rFonts w:eastAsiaTheme="minorEastAsia"/>
          <w:szCs w:val="21"/>
        </w:rPr>
        <w:t xml:space="preserve">4、</w:t>
      </w:r>
      <w:r>
        <w:rPr>
          <w:rFonts w:eastAsiaTheme="minorEastAsia"/>
          <w:bCs/>
          <w:szCs w:val="21"/>
        </w:rPr>
        <w:t xml:space="preserve">底板厚度：≥2mm</w:t>
      </w:r>
      <w:r>
        <w:rPr>
          <w:rFonts w:eastAsiaTheme="minorEastAsia"/>
          <w:szCs w:val="21"/>
        </w:rPr>
        <w:t xml:space="preserve">；</w:t>
      </w:r>
      <w:r/>
    </w:p>
    <w:p>
      <w:pPr>
        <w:ind w:firstLine="210"/>
        <w:spacing w:line="360" w:lineRule="auto"/>
        <w:rPr>
          <w:rFonts w:eastAsiaTheme="minorEastAsia"/>
          <w:bCs/>
          <w:szCs w:val="21"/>
        </w:rPr>
      </w:pPr>
      <w:r>
        <w:rPr>
          <w:rFonts w:eastAsiaTheme="minorEastAsia"/>
          <w:szCs w:val="21"/>
        </w:rPr>
        <w:t xml:space="preserve">5、</w:t>
      </w:r>
      <w:r>
        <w:rPr>
          <w:rFonts w:eastAsiaTheme="minorEastAsia"/>
          <w:bCs/>
          <w:szCs w:val="21"/>
        </w:rPr>
        <w:t xml:space="preserve">侧板厚度：≥1.5mm；</w:t>
      </w:r>
      <w:r/>
    </w:p>
    <w:p>
      <w:pPr>
        <w:ind w:firstLine="210"/>
        <w:spacing w:line="360" w:lineRule="auto"/>
        <w:rPr>
          <w:rFonts w:eastAsiaTheme="minorEastAsia"/>
          <w:bCs/>
          <w:szCs w:val="21"/>
        </w:rPr>
      </w:pPr>
      <w:r>
        <w:rPr>
          <w:rFonts w:eastAsiaTheme="minorEastAsia"/>
          <w:bCs/>
          <w:szCs w:val="21"/>
        </w:rPr>
        <w:t xml:space="preserve">6、基础梁：≥4300mm；</w:t>
      </w:r>
      <w:r/>
    </w:p>
    <w:p>
      <w:pPr>
        <w:ind w:firstLine="210"/>
        <w:spacing w:line="360" w:lineRule="auto"/>
        <w:rPr>
          <w:rFonts w:eastAsiaTheme="minorEastAsia"/>
          <w:bCs/>
          <w:szCs w:val="21"/>
        </w:rPr>
      </w:pPr>
      <w:r>
        <w:rPr>
          <w:rFonts w:eastAsiaTheme="minorEastAsia"/>
          <w:bCs/>
          <w:szCs w:val="21"/>
        </w:rPr>
        <w:t xml:space="preserve">7、基础梁数量：≥7根；</w:t>
      </w:r>
      <w:r/>
    </w:p>
    <w:p>
      <w:pPr>
        <w:ind w:firstLine="210"/>
        <w:spacing w:line="360" w:lineRule="auto"/>
        <w:rPr>
          <w:rFonts w:eastAsiaTheme="minorEastAsia"/>
          <w:bCs/>
          <w:szCs w:val="21"/>
        </w:rPr>
      </w:pPr>
      <w:r>
        <w:rPr>
          <w:rFonts w:eastAsiaTheme="minorEastAsia"/>
          <w:bCs/>
          <w:szCs w:val="21"/>
        </w:rPr>
        <w:t xml:space="preserve">8、水箱重量：≤2900kg；</w:t>
      </w:r>
      <w:r/>
    </w:p>
    <w:p>
      <w:pPr>
        <w:ind w:firstLine="210"/>
        <w:spacing w:line="360" w:lineRule="auto"/>
        <w:rPr>
          <w:rFonts w:eastAsiaTheme="minorEastAsia"/>
          <w:bCs/>
          <w:szCs w:val="21"/>
        </w:rPr>
      </w:pPr>
      <w:r>
        <w:rPr>
          <w:rFonts w:eastAsiaTheme="minorEastAsia"/>
          <w:bCs/>
          <w:szCs w:val="21"/>
        </w:rPr>
        <w:t xml:space="preserve">9、配套管路安装到位；</w:t>
      </w:r>
      <w:r/>
    </w:p>
    <w:p>
      <w:pPr>
        <w:jc w:val="center"/>
        <w:spacing w:line="360" w:lineRule="auto"/>
        <w:rPr>
          <w:b/>
          <w:bCs/>
          <w:szCs w:val="21"/>
        </w:rPr>
      </w:pPr>
      <w:r>
        <w:rPr>
          <w:b/>
          <w:bCs/>
          <w:szCs w:val="21"/>
        </w:rPr>
        <w:t xml:space="preserve">品目七 残液回收装置</w:t>
      </w:r>
      <w:r/>
    </w:p>
    <w:p>
      <w:pPr>
        <w:ind w:firstLine="210"/>
        <w:spacing w:line="360" w:lineRule="auto"/>
        <w:rPr>
          <w:rFonts w:eastAsiaTheme="minorEastAsia"/>
          <w:szCs w:val="21"/>
        </w:rPr>
      </w:pPr>
      <w:r>
        <w:rPr>
          <w:rFonts w:eastAsiaTheme="minorEastAsia"/>
          <w:szCs w:val="21"/>
        </w:rPr>
        <w:t xml:space="preserve">1、</w:t>
      </w:r>
      <w:r>
        <w:rPr>
          <w:rFonts w:eastAsiaTheme="minorEastAsia"/>
          <w:bCs/>
          <w:szCs w:val="21"/>
        </w:rPr>
        <w:t xml:space="preserve">容积：≥72m³；</w:t>
      </w:r>
      <w:r/>
    </w:p>
    <w:p>
      <w:pPr>
        <w:ind w:firstLine="210"/>
        <w:spacing w:line="360" w:lineRule="auto"/>
        <w:rPr>
          <w:rFonts w:eastAsiaTheme="minorEastAsia"/>
          <w:szCs w:val="21"/>
        </w:rPr>
      </w:pPr>
      <w:r>
        <w:rPr>
          <w:rFonts w:eastAsiaTheme="minorEastAsia"/>
          <w:szCs w:val="21"/>
        </w:rPr>
        <w:t xml:space="preserve">2、</w:t>
      </w:r>
      <w:r>
        <w:rPr>
          <w:rFonts w:eastAsiaTheme="minorEastAsia"/>
          <w:bCs/>
          <w:szCs w:val="21"/>
        </w:rPr>
        <w:t xml:space="preserve">长*宽*高：≥6m*4m*3m；</w:t>
      </w:r>
      <w:r/>
    </w:p>
    <w:p>
      <w:pPr>
        <w:ind w:firstLine="210"/>
        <w:spacing w:line="360" w:lineRule="auto"/>
        <w:rPr>
          <w:rFonts w:eastAsiaTheme="minorEastAsia"/>
          <w:szCs w:val="21"/>
        </w:rPr>
      </w:pPr>
      <w:r>
        <w:rPr>
          <w:rFonts w:eastAsiaTheme="minorEastAsia"/>
          <w:szCs w:val="21"/>
        </w:rPr>
        <w:t xml:space="preserve">3、</w:t>
      </w:r>
      <w:r>
        <w:rPr>
          <w:rFonts w:eastAsiaTheme="minorEastAsia"/>
          <w:bCs/>
          <w:szCs w:val="21"/>
        </w:rPr>
        <w:t xml:space="preserve">顶板厚度</w:t>
      </w:r>
      <w:bookmarkStart w:id="114" w:name="OLE_LINK7"/>
      <w:r>
        <w:rPr>
          <w:rFonts w:eastAsiaTheme="minorEastAsia"/>
          <w:bCs/>
          <w:szCs w:val="21"/>
        </w:rPr>
        <w:t xml:space="preserve">：≥</w:t>
      </w:r>
      <w:bookmarkEnd w:id="114"/>
      <w:r>
        <w:rPr>
          <w:rFonts w:eastAsiaTheme="minorEastAsia"/>
          <w:bCs/>
          <w:szCs w:val="21"/>
        </w:rPr>
        <w:t xml:space="preserve">1.5mm</w:t>
      </w:r>
      <w:r>
        <w:rPr>
          <w:rFonts w:eastAsiaTheme="minorEastAsia"/>
          <w:szCs w:val="21"/>
        </w:rPr>
        <w:t xml:space="preserve">；</w:t>
      </w:r>
      <w:r/>
    </w:p>
    <w:p>
      <w:pPr>
        <w:ind w:firstLine="210"/>
        <w:spacing w:line="360" w:lineRule="auto"/>
        <w:rPr>
          <w:rFonts w:eastAsiaTheme="minorEastAsia"/>
          <w:szCs w:val="21"/>
        </w:rPr>
      </w:pPr>
      <w:r>
        <w:rPr>
          <w:rFonts w:eastAsiaTheme="minorEastAsia"/>
          <w:szCs w:val="21"/>
        </w:rPr>
        <w:t xml:space="preserve">4、</w:t>
      </w:r>
      <w:r>
        <w:rPr>
          <w:rFonts w:eastAsiaTheme="minorEastAsia"/>
          <w:bCs/>
          <w:szCs w:val="21"/>
        </w:rPr>
        <w:t xml:space="preserve">底板厚度：≥2mm</w:t>
      </w:r>
      <w:r>
        <w:rPr>
          <w:rFonts w:eastAsiaTheme="minorEastAsia"/>
          <w:szCs w:val="21"/>
        </w:rPr>
        <w:t xml:space="preserve">；</w:t>
      </w:r>
      <w:r/>
    </w:p>
    <w:p>
      <w:pPr>
        <w:ind w:firstLine="210"/>
        <w:spacing w:line="360" w:lineRule="auto"/>
        <w:rPr>
          <w:rFonts w:eastAsiaTheme="minorEastAsia"/>
          <w:bCs/>
          <w:szCs w:val="21"/>
        </w:rPr>
      </w:pPr>
      <w:r>
        <w:rPr>
          <w:rFonts w:eastAsiaTheme="minorEastAsia"/>
          <w:szCs w:val="21"/>
        </w:rPr>
        <w:t xml:space="preserve">5、</w:t>
      </w:r>
      <w:r>
        <w:rPr>
          <w:rFonts w:eastAsiaTheme="minorEastAsia"/>
          <w:bCs/>
          <w:szCs w:val="21"/>
        </w:rPr>
        <w:t xml:space="preserve">侧板厚度：≥1.5mm；</w:t>
      </w:r>
      <w:r/>
    </w:p>
    <w:p>
      <w:pPr>
        <w:ind w:firstLine="210"/>
        <w:spacing w:line="360" w:lineRule="auto"/>
        <w:rPr>
          <w:rFonts w:eastAsiaTheme="minorEastAsia"/>
          <w:bCs/>
          <w:szCs w:val="21"/>
        </w:rPr>
      </w:pPr>
      <w:r>
        <w:rPr>
          <w:rFonts w:eastAsiaTheme="minorEastAsia"/>
          <w:bCs/>
          <w:szCs w:val="21"/>
        </w:rPr>
        <w:t xml:space="preserve">6、基础梁：≥4300mm；</w:t>
      </w:r>
      <w:r/>
    </w:p>
    <w:p>
      <w:pPr>
        <w:ind w:firstLine="210"/>
        <w:spacing w:line="360" w:lineRule="auto"/>
        <w:rPr>
          <w:rFonts w:eastAsiaTheme="minorEastAsia"/>
          <w:bCs/>
          <w:szCs w:val="21"/>
        </w:rPr>
      </w:pPr>
      <w:r>
        <w:rPr>
          <w:rFonts w:eastAsiaTheme="minorEastAsia"/>
          <w:bCs/>
          <w:szCs w:val="21"/>
        </w:rPr>
        <w:t xml:space="preserve">7、基础梁数量：≥7根；</w:t>
      </w:r>
      <w:r/>
    </w:p>
    <w:p>
      <w:pPr>
        <w:ind w:firstLine="210"/>
        <w:spacing w:line="360" w:lineRule="auto"/>
        <w:rPr>
          <w:rFonts w:eastAsiaTheme="minorEastAsia"/>
          <w:color w:val="333333"/>
          <w:szCs w:val="21"/>
        </w:rPr>
      </w:pPr>
      <w:r>
        <w:rPr>
          <w:rFonts w:eastAsiaTheme="minorEastAsia"/>
          <w:bCs/>
          <w:szCs w:val="21"/>
        </w:rPr>
        <w:t xml:space="preserve">8、重量：≤2900kg；</w:t>
      </w:r>
      <w:r/>
    </w:p>
    <w:p>
      <w:pPr>
        <w:jc w:val="center"/>
        <w:spacing w:line="360" w:lineRule="auto"/>
        <w:rPr>
          <w:b/>
          <w:bCs/>
          <w:szCs w:val="21"/>
        </w:rPr>
      </w:pPr>
      <w:r>
        <w:rPr>
          <w:b/>
          <w:bCs/>
          <w:szCs w:val="21"/>
        </w:rPr>
        <w:t xml:space="preserve">品目八 检验专用扶梯</w:t>
      </w:r>
      <w:r/>
    </w:p>
    <w:p>
      <w:pPr>
        <w:ind w:firstLine="210"/>
        <w:spacing w:line="360" w:lineRule="auto"/>
        <w:rPr>
          <w:rFonts w:eastAsiaTheme="minorEastAsia"/>
          <w:szCs w:val="21"/>
        </w:rPr>
      </w:pPr>
      <w:r>
        <w:rPr>
          <w:rFonts w:eastAsiaTheme="minorEastAsia"/>
          <w:szCs w:val="21"/>
        </w:rPr>
        <w:t xml:space="preserve">1、</w:t>
      </w:r>
      <w:r>
        <w:rPr>
          <w:rFonts w:eastAsiaTheme="minorEastAsia"/>
          <w:bCs/>
          <w:szCs w:val="21"/>
        </w:rPr>
        <w:t xml:space="preserve">专用梯爬梯及围栏全部为高强度铝合金；</w:t>
      </w:r>
      <w:r/>
    </w:p>
    <w:p>
      <w:pPr>
        <w:ind w:firstLine="210"/>
        <w:spacing w:line="360" w:lineRule="auto"/>
        <w:rPr>
          <w:rFonts w:eastAsiaTheme="minorEastAsia"/>
          <w:szCs w:val="21"/>
        </w:rPr>
      </w:pPr>
      <w:r>
        <w:rPr>
          <w:rFonts w:eastAsiaTheme="minorEastAsia"/>
          <w:szCs w:val="21"/>
        </w:rPr>
        <w:t xml:space="preserve">2、</w:t>
      </w:r>
      <w:r>
        <w:rPr>
          <w:rFonts w:eastAsiaTheme="minorEastAsia"/>
          <w:bCs/>
          <w:szCs w:val="21"/>
        </w:rPr>
        <w:t xml:space="preserve">专用梯地盘为Q235B（轮毂除外）；</w:t>
      </w:r>
      <w:r/>
    </w:p>
    <w:p>
      <w:pPr>
        <w:ind w:firstLine="210"/>
        <w:spacing w:line="360" w:lineRule="auto"/>
        <w:rPr>
          <w:rFonts w:eastAsiaTheme="minorEastAsia"/>
          <w:szCs w:val="21"/>
        </w:rPr>
      </w:pPr>
      <w:r>
        <w:rPr>
          <w:rFonts w:eastAsiaTheme="minorEastAsia"/>
          <w:szCs w:val="21"/>
        </w:rPr>
        <w:t xml:space="preserve">3、</w:t>
      </w:r>
      <w:r>
        <w:rPr>
          <w:rFonts w:eastAsiaTheme="minorEastAsia"/>
          <w:bCs/>
          <w:szCs w:val="21"/>
        </w:rPr>
        <w:t xml:space="preserve">紧固件全部为304不锈钢</w:t>
      </w:r>
      <w:r>
        <w:rPr>
          <w:rFonts w:eastAsiaTheme="minorEastAsia"/>
          <w:szCs w:val="21"/>
        </w:rPr>
        <w:t xml:space="preserve">；</w:t>
      </w:r>
      <w:r/>
    </w:p>
    <w:p>
      <w:pPr>
        <w:ind w:firstLine="210"/>
        <w:spacing w:line="360" w:lineRule="auto"/>
        <w:rPr>
          <w:rFonts w:eastAsiaTheme="minorEastAsia"/>
          <w:szCs w:val="21"/>
        </w:rPr>
      </w:pPr>
      <w:r>
        <w:rPr>
          <w:rFonts w:eastAsiaTheme="minorEastAsia"/>
          <w:szCs w:val="21"/>
        </w:rPr>
        <w:t xml:space="preserve">4、</w:t>
      </w:r>
      <w:r>
        <w:rPr>
          <w:rFonts w:eastAsiaTheme="minorEastAsia"/>
          <w:bCs/>
          <w:szCs w:val="21"/>
        </w:rPr>
        <w:t xml:space="preserve">前脚轮为定向,≥直径300mm,后脚轮为转向,直径≥200mm</w:t>
      </w:r>
      <w:r>
        <w:rPr>
          <w:rFonts w:eastAsiaTheme="minorEastAsia"/>
          <w:szCs w:val="21"/>
        </w:rPr>
        <w:t xml:space="preserve">；</w:t>
      </w:r>
      <w:r/>
    </w:p>
    <w:p>
      <w:pPr>
        <w:ind w:firstLine="210"/>
        <w:spacing w:line="360" w:lineRule="auto"/>
        <w:rPr>
          <w:rFonts w:eastAsiaTheme="minorEastAsia"/>
          <w:bCs/>
          <w:szCs w:val="21"/>
        </w:rPr>
      </w:pPr>
      <w:r>
        <w:rPr>
          <w:rFonts w:eastAsiaTheme="minorEastAsia"/>
          <w:szCs w:val="21"/>
        </w:rPr>
        <w:t xml:space="preserve">5、</w:t>
      </w:r>
      <w:r>
        <w:rPr>
          <w:rFonts w:eastAsiaTheme="minorEastAsia"/>
          <w:bCs/>
          <w:szCs w:val="21"/>
        </w:rPr>
        <w:t xml:space="preserve">加装导电链条；</w:t>
      </w:r>
      <w:r/>
    </w:p>
    <w:p>
      <w:pPr>
        <w:ind w:firstLine="210"/>
        <w:spacing w:line="360" w:lineRule="auto"/>
        <w:rPr>
          <w:rFonts w:eastAsiaTheme="minorEastAsia"/>
          <w:bCs/>
          <w:szCs w:val="21"/>
        </w:rPr>
      </w:pPr>
      <w:r>
        <w:rPr>
          <w:rFonts w:eastAsiaTheme="minorEastAsia"/>
          <w:bCs/>
          <w:szCs w:val="21"/>
        </w:rPr>
        <w:t xml:space="preserve">6、</w:t>
      </w:r>
      <w:r>
        <w:rPr>
          <w:rFonts w:eastAsiaTheme="minorEastAsia"/>
        </w:rPr>
        <w:t xml:space="preserve">中标后</w:t>
      </w:r>
      <w:r>
        <w:rPr>
          <w:rFonts w:eastAsiaTheme="minorEastAsia"/>
          <w:bCs/>
          <w:szCs w:val="21"/>
        </w:rPr>
        <w:t xml:space="preserve">提供同型号监测报告,维护手册,质保卡,合格证等；</w:t>
      </w:r>
      <w:r/>
    </w:p>
    <w:p>
      <w:pPr>
        <w:ind w:firstLine="210"/>
        <w:spacing w:line="360" w:lineRule="auto"/>
        <w:rPr>
          <w:rFonts w:eastAsiaTheme="minorEastAsia"/>
          <w:bCs/>
          <w:szCs w:val="21"/>
        </w:rPr>
      </w:pPr>
      <w:r>
        <w:rPr>
          <w:rFonts w:eastAsiaTheme="minorEastAsia"/>
          <w:bCs/>
          <w:szCs w:val="21"/>
        </w:rPr>
        <w:t xml:space="preserve">7、地盘尺寸：≥（2300~4000）*W1100mm；</w:t>
      </w:r>
      <w:r/>
    </w:p>
    <w:p>
      <w:pPr>
        <w:ind w:firstLine="210"/>
        <w:spacing w:line="360" w:lineRule="auto"/>
        <w:rPr>
          <w:rFonts w:eastAsiaTheme="minorEastAsia"/>
          <w:bCs/>
          <w:szCs w:val="21"/>
        </w:rPr>
      </w:pPr>
      <w:r>
        <w:rPr>
          <w:rFonts w:eastAsiaTheme="minorEastAsia"/>
          <w:bCs/>
          <w:szCs w:val="21"/>
        </w:rPr>
        <w:t xml:space="preserve">8、通道尺寸：≥800mm*550mm；</w:t>
      </w:r>
      <w:r/>
    </w:p>
    <w:p>
      <w:pPr>
        <w:ind w:firstLine="210"/>
        <w:spacing w:line="360" w:lineRule="auto"/>
        <w:rPr>
          <w:rFonts w:eastAsiaTheme="minorEastAsia"/>
          <w:bCs/>
          <w:szCs w:val="21"/>
        </w:rPr>
      </w:pPr>
      <w:r>
        <w:rPr>
          <w:rFonts w:eastAsiaTheme="minorEastAsia"/>
          <w:bCs/>
          <w:szCs w:val="21"/>
        </w:rPr>
        <w:t xml:space="preserve">9、安全围笼：≥1300mm*1500mm；</w:t>
      </w:r>
      <w:r/>
    </w:p>
    <w:p>
      <w:pPr>
        <w:ind w:firstLine="210"/>
        <w:spacing w:line="360" w:lineRule="auto"/>
        <w:rPr>
          <w:rFonts w:eastAsiaTheme="minorEastAsia"/>
          <w:bCs/>
          <w:szCs w:val="21"/>
        </w:rPr>
      </w:pPr>
      <w:r>
        <w:rPr>
          <w:rFonts w:eastAsiaTheme="minorEastAsia"/>
          <w:bCs/>
          <w:szCs w:val="21"/>
        </w:rPr>
        <w:t xml:space="preserve">10、护栏高度：≥1100mm；</w:t>
      </w:r>
      <w:r/>
    </w:p>
    <w:p>
      <w:pPr>
        <w:ind w:firstLine="210"/>
        <w:spacing w:line="360" w:lineRule="auto"/>
        <w:rPr>
          <w:rFonts w:eastAsiaTheme="minorEastAsia"/>
          <w:bCs/>
          <w:szCs w:val="21"/>
        </w:rPr>
      </w:pPr>
      <w:r>
        <w:rPr>
          <w:rFonts w:eastAsiaTheme="minorEastAsia"/>
          <w:bCs/>
          <w:szCs w:val="21"/>
        </w:rPr>
        <w:t xml:space="preserve">11、最大使用高度：≥4500mm；</w:t>
      </w:r>
      <w:r/>
    </w:p>
    <w:p>
      <w:pPr>
        <w:ind w:firstLine="210"/>
        <w:spacing w:line="360" w:lineRule="auto"/>
        <w:rPr>
          <w:rFonts w:eastAsiaTheme="minorEastAsia"/>
          <w:bCs/>
          <w:szCs w:val="21"/>
        </w:rPr>
      </w:pPr>
      <w:r>
        <w:rPr>
          <w:rFonts w:eastAsiaTheme="minorEastAsia"/>
          <w:bCs/>
          <w:szCs w:val="21"/>
        </w:rPr>
        <w:t xml:space="preserve">12、最小使用高度：≥3100mm；</w:t>
      </w:r>
      <w:r/>
    </w:p>
    <w:p>
      <w:pPr>
        <w:ind w:firstLine="210"/>
        <w:spacing w:line="360" w:lineRule="auto"/>
        <w:rPr>
          <w:rFonts w:eastAsiaTheme="minorEastAsia"/>
          <w:bCs/>
          <w:szCs w:val="21"/>
        </w:rPr>
      </w:pPr>
      <w:r>
        <w:rPr>
          <w:rFonts w:eastAsiaTheme="minorEastAsia"/>
          <w:bCs/>
          <w:szCs w:val="21"/>
        </w:rPr>
        <w:t xml:space="preserve">13、梯子台阶宽：≥100mm；</w:t>
      </w:r>
      <w:r/>
    </w:p>
    <w:p>
      <w:pPr>
        <w:ind w:firstLine="210"/>
        <w:spacing w:line="360" w:lineRule="auto"/>
        <w:rPr>
          <w:rFonts w:eastAsiaTheme="minorEastAsia"/>
          <w:bCs/>
          <w:szCs w:val="21"/>
        </w:rPr>
      </w:pPr>
      <w:r>
        <w:rPr>
          <w:rFonts w:eastAsiaTheme="minorEastAsia"/>
          <w:bCs/>
          <w:szCs w:val="21"/>
        </w:rPr>
        <w:t xml:space="preserve">14、梯子角度：≥68度；</w:t>
      </w:r>
      <w:r/>
    </w:p>
    <w:p>
      <w:pPr>
        <w:ind w:firstLine="210"/>
        <w:spacing w:line="360" w:lineRule="auto"/>
        <w:rPr>
          <w:rFonts w:eastAsiaTheme="minorEastAsia"/>
          <w:bCs/>
          <w:szCs w:val="21"/>
        </w:rPr>
      </w:pPr>
      <w:r>
        <w:rPr>
          <w:rFonts w:eastAsiaTheme="minorEastAsia"/>
          <w:bCs/>
          <w:szCs w:val="21"/>
        </w:rPr>
        <w:t xml:space="preserve">15、悬空载重：≥150kg；</w:t>
      </w:r>
      <w:r/>
    </w:p>
    <w:p>
      <w:pPr>
        <w:jc w:val="center"/>
        <w:spacing w:line="360" w:lineRule="auto"/>
        <w:rPr>
          <w:b/>
          <w:bCs/>
          <w:szCs w:val="21"/>
        </w:rPr>
      </w:pPr>
      <w:r>
        <w:rPr>
          <w:b/>
          <w:bCs/>
          <w:szCs w:val="21"/>
        </w:rPr>
        <w:t xml:space="preserve">品目九 液氮储罐</w:t>
      </w:r>
      <w:r/>
    </w:p>
    <w:p>
      <w:pPr>
        <w:ind w:firstLine="210"/>
        <w:spacing w:line="360" w:lineRule="auto"/>
        <w:rPr>
          <w:rFonts w:eastAsiaTheme="minorEastAsia"/>
          <w:bCs/>
          <w:szCs w:val="21"/>
        </w:rPr>
      </w:pPr>
      <w:r>
        <w:rPr>
          <w:rFonts w:eastAsiaTheme="minorEastAsia"/>
          <w:bCs/>
          <w:szCs w:val="21"/>
        </w:rPr>
        <w:t xml:space="preserve">1、工作压力：≥2.0 MPa；</w:t>
      </w:r>
      <w:r/>
    </w:p>
    <w:p>
      <w:pPr>
        <w:ind w:firstLine="210"/>
        <w:spacing w:line="360" w:lineRule="auto"/>
        <w:rPr>
          <w:rFonts w:eastAsiaTheme="minorEastAsia"/>
          <w:szCs w:val="21"/>
        </w:rPr>
      </w:pPr>
      <w:r>
        <w:rPr>
          <w:rFonts w:eastAsiaTheme="minorEastAsia"/>
          <w:szCs w:val="21"/>
        </w:rPr>
        <w:t xml:space="preserve">2、</w:t>
      </w:r>
      <w:r>
        <w:rPr>
          <w:rFonts w:eastAsiaTheme="minorEastAsia"/>
          <w:bCs/>
          <w:szCs w:val="21"/>
        </w:rPr>
        <w:t xml:space="preserve">设计压力：≥2.1 MPa；</w:t>
      </w:r>
      <w:r/>
    </w:p>
    <w:p>
      <w:pPr>
        <w:ind w:firstLine="210"/>
        <w:spacing w:line="360" w:lineRule="auto"/>
        <w:rPr>
          <w:rFonts w:eastAsiaTheme="minorEastAsia"/>
          <w:szCs w:val="21"/>
        </w:rPr>
      </w:pPr>
      <w:r>
        <w:rPr>
          <w:rFonts w:ascii="Segoe UI Symbol" w:hAnsi="Segoe UI Symbol" w:cs="Segoe UI Symbol" w:eastAsiaTheme="minorEastAsia"/>
          <w:szCs w:val="21"/>
          <w:lang w:bidi="ar"/>
        </w:rPr>
        <w:t xml:space="preserve">★</w:t>
      </w:r>
      <w:r>
        <w:rPr>
          <w:rFonts w:eastAsiaTheme="minorEastAsia"/>
          <w:szCs w:val="21"/>
        </w:rPr>
        <w:t xml:space="preserve">3、</w:t>
      </w:r>
      <w:r>
        <w:rPr>
          <w:rFonts w:eastAsiaTheme="minorEastAsia"/>
          <w:bCs/>
          <w:szCs w:val="21"/>
        </w:rPr>
        <w:t xml:space="preserve">最低设计温度：≤-196℃</w:t>
      </w:r>
      <w:r>
        <w:rPr>
          <w:rFonts w:eastAsiaTheme="minorEastAsia"/>
          <w:szCs w:val="21"/>
        </w:rPr>
        <w:t xml:space="preserve">；</w:t>
      </w:r>
      <w:r/>
    </w:p>
    <w:p>
      <w:pPr>
        <w:ind w:firstLine="210"/>
        <w:spacing w:line="360" w:lineRule="auto"/>
        <w:rPr>
          <w:rFonts w:eastAsiaTheme="minorEastAsia"/>
          <w:szCs w:val="21"/>
        </w:rPr>
      </w:pPr>
      <w:r>
        <w:rPr>
          <w:rFonts w:ascii="Segoe UI Symbol" w:hAnsi="Segoe UI Symbol" w:cs="Segoe UI Symbol" w:eastAsiaTheme="minorEastAsia"/>
          <w:szCs w:val="21"/>
          <w:lang w:bidi="ar"/>
        </w:rPr>
        <w:t xml:space="preserve">★</w:t>
      </w:r>
      <w:r>
        <w:rPr>
          <w:rFonts w:eastAsiaTheme="minorEastAsia"/>
          <w:szCs w:val="21"/>
        </w:rPr>
        <w:t xml:space="preserve">4、</w:t>
      </w:r>
      <w:r>
        <w:rPr>
          <w:rFonts w:eastAsiaTheme="minorEastAsia"/>
          <w:bCs/>
          <w:szCs w:val="21"/>
        </w:rPr>
        <w:t xml:space="preserve">有效容积：≥20 m³</w:t>
      </w:r>
      <w:r>
        <w:rPr>
          <w:rFonts w:eastAsiaTheme="minorEastAsia"/>
          <w:szCs w:val="21"/>
        </w:rPr>
        <w:t xml:space="preserve">；</w:t>
      </w:r>
      <w:r/>
    </w:p>
    <w:p>
      <w:pPr>
        <w:ind w:firstLine="210"/>
        <w:spacing w:line="360" w:lineRule="auto"/>
        <w:rPr>
          <w:rFonts w:eastAsiaTheme="minorEastAsia"/>
          <w:bCs/>
          <w:szCs w:val="21"/>
        </w:rPr>
      </w:pPr>
      <w:r>
        <w:rPr>
          <w:rFonts w:ascii="Segoe UI Symbol" w:hAnsi="Segoe UI Symbol" w:cs="Segoe UI Symbol" w:eastAsiaTheme="minorEastAsia"/>
          <w:szCs w:val="21"/>
          <w:lang w:bidi="ar"/>
        </w:rPr>
        <w:t xml:space="preserve">★</w:t>
      </w:r>
      <w:r>
        <w:rPr>
          <w:rFonts w:eastAsiaTheme="minorEastAsia"/>
          <w:szCs w:val="21"/>
        </w:rPr>
        <w:t xml:space="preserve">5、</w:t>
      </w:r>
      <w:r>
        <w:rPr>
          <w:rFonts w:eastAsiaTheme="minorEastAsia"/>
          <w:bCs/>
          <w:szCs w:val="21"/>
        </w:rPr>
        <w:t xml:space="preserve">静态蒸发率：≤0.44%/d；</w:t>
      </w:r>
      <w:r/>
    </w:p>
    <w:p>
      <w:pPr>
        <w:ind w:firstLine="210"/>
        <w:spacing w:line="360" w:lineRule="auto"/>
        <w:rPr>
          <w:rFonts w:eastAsiaTheme="minorEastAsia"/>
          <w:bCs/>
          <w:szCs w:val="21"/>
        </w:rPr>
      </w:pPr>
      <w:r>
        <w:rPr>
          <w:rFonts w:ascii="Segoe UI Symbol" w:hAnsi="Segoe UI Symbol" w:cs="Segoe UI Symbol" w:eastAsiaTheme="minorEastAsia"/>
          <w:szCs w:val="21"/>
          <w:lang w:bidi="ar"/>
        </w:rPr>
        <w:t xml:space="preserve">★</w:t>
      </w:r>
      <w:r>
        <w:rPr>
          <w:rFonts w:eastAsiaTheme="minorEastAsia"/>
          <w:bCs/>
          <w:szCs w:val="21"/>
        </w:rPr>
        <w:t xml:space="preserve">6、真空夹层漏率：≤5×10</w:t>
      </w:r>
      <w:r>
        <w:rPr>
          <w:rFonts w:eastAsiaTheme="minorEastAsia"/>
          <w:bCs/>
          <w:szCs w:val="21"/>
          <w:vertAlign w:val="superscript"/>
        </w:rPr>
        <w:t xml:space="preserve">-13</w:t>
      </w:r>
      <w:r>
        <w:rPr>
          <w:rFonts w:eastAsiaTheme="minorEastAsia"/>
          <w:bCs/>
          <w:szCs w:val="21"/>
        </w:rPr>
        <w:t xml:space="preserve"> Pa•m³/s；</w:t>
      </w:r>
      <w:r/>
    </w:p>
    <w:p>
      <w:pPr>
        <w:ind w:firstLine="210"/>
        <w:spacing w:line="360" w:lineRule="auto"/>
        <w:rPr>
          <w:rFonts w:eastAsiaTheme="minorEastAsia"/>
          <w:bCs/>
          <w:szCs w:val="21"/>
        </w:rPr>
      </w:pPr>
      <w:r>
        <w:rPr>
          <w:rFonts w:ascii="Segoe UI Symbol" w:hAnsi="Segoe UI Symbol" w:cs="Segoe UI Symbol" w:eastAsiaTheme="minorEastAsia"/>
          <w:szCs w:val="21"/>
          <w:lang w:bidi="ar"/>
        </w:rPr>
        <w:t xml:space="preserve">★</w:t>
      </w:r>
      <w:r>
        <w:rPr>
          <w:rFonts w:eastAsiaTheme="minorEastAsia"/>
          <w:bCs/>
          <w:szCs w:val="21"/>
        </w:rPr>
        <w:t xml:space="preserve">7、封结真空度：≤3 Pa；</w:t>
      </w:r>
      <w:r/>
    </w:p>
    <w:p>
      <w:pPr>
        <w:ind w:firstLine="210"/>
        <w:spacing w:line="360" w:lineRule="auto"/>
        <w:rPr>
          <w:rFonts w:eastAsiaTheme="minorEastAsia"/>
          <w:bCs/>
          <w:szCs w:val="21"/>
        </w:rPr>
      </w:pPr>
      <w:r>
        <w:rPr>
          <w:rFonts w:eastAsiaTheme="minorEastAsia"/>
          <w:bCs/>
          <w:szCs w:val="21"/>
        </w:rPr>
        <w:t xml:space="preserve">8、最高设计温度：≥50℃；</w:t>
      </w:r>
      <w:r/>
    </w:p>
    <w:p>
      <w:pPr>
        <w:ind w:firstLine="210"/>
        <w:spacing w:line="360" w:lineRule="auto"/>
        <w:rPr>
          <w:rFonts w:eastAsiaTheme="minorEastAsia"/>
          <w:bCs/>
          <w:szCs w:val="21"/>
        </w:rPr>
      </w:pPr>
      <w:r>
        <w:rPr>
          <w:rFonts w:eastAsiaTheme="minorEastAsia"/>
          <w:bCs/>
          <w:szCs w:val="21"/>
        </w:rPr>
        <w:t xml:space="preserve">9、额定充满率：≥0.95；</w:t>
      </w:r>
      <w:r/>
    </w:p>
    <w:p>
      <w:pPr>
        <w:ind w:firstLine="210"/>
        <w:spacing w:line="360" w:lineRule="auto"/>
        <w:rPr>
          <w:rFonts w:eastAsiaTheme="minorEastAsia"/>
          <w:bCs/>
          <w:szCs w:val="21"/>
        </w:rPr>
      </w:pPr>
      <w:r>
        <w:rPr>
          <w:rFonts w:eastAsiaTheme="minorEastAsia"/>
          <w:bCs/>
          <w:szCs w:val="21"/>
        </w:rPr>
        <w:t xml:space="preserve">10、主体材料：S30408（GB/T 713）；</w:t>
      </w:r>
      <w:r/>
    </w:p>
    <w:p>
      <w:pPr>
        <w:ind w:firstLine="210"/>
        <w:spacing w:line="360" w:lineRule="auto"/>
        <w:rPr>
          <w:rFonts w:eastAsiaTheme="minorEastAsia"/>
          <w:bCs/>
          <w:szCs w:val="21"/>
        </w:rPr>
      </w:pPr>
      <w:r>
        <w:rPr>
          <w:rFonts w:ascii="Segoe UI Symbol" w:hAnsi="Segoe UI Symbol" w:cs="Segoe UI Symbol" w:eastAsiaTheme="minorEastAsia"/>
          <w:szCs w:val="21"/>
          <w:lang w:bidi="ar"/>
        </w:rPr>
        <w:t xml:space="preserve">★</w:t>
      </w:r>
      <w:r>
        <w:rPr>
          <w:rFonts w:eastAsiaTheme="minorEastAsia"/>
          <w:bCs/>
          <w:szCs w:val="21"/>
        </w:rPr>
        <w:t xml:space="preserve">11、焊接接头系数：≥1.0；</w:t>
      </w:r>
      <w:r/>
    </w:p>
    <w:p>
      <w:pPr>
        <w:ind w:firstLine="210"/>
        <w:spacing w:line="360" w:lineRule="auto"/>
        <w:rPr>
          <w:rFonts w:eastAsiaTheme="minorEastAsia"/>
          <w:bCs/>
          <w:szCs w:val="21"/>
        </w:rPr>
      </w:pPr>
      <w:r>
        <w:rPr>
          <w:rFonts w:eastAsiaTheme="minorEastAsia"/>
          <w:bCs/>
          <w:szCs w:val="21"/>
        </w:rPr>
        <w:t xml:space="preserve">12、A/B类接头无损检测：100%RT+PT；</w:t>
      </w:r>
      <w:r/>
    </w:p>
    <w:p>
      <w:pPr>
        <w:ind w:firstLine="210"/>
        <w:spacing w:line="360" w:lineRule="auto"/>
        <w:rPr>
          <w:rFonts w:eastAsiaTheme="minorEastAsia"/>
          <w:bCs/>
          <w:szCs w:val="21"/>
        </w:rPr>
      </w:pPr>
      <w:r>
        <w:rPr>
          <w:rFonts w:eastAsiaTheme="minorEastAsia"/>
          <w:bCs/>
          <w:szCs w:val="21"/>
        </w:rPr>
        <w:t xml:space="preserve">13、安全阀整定压力：≥2.1 MPa；</w:t>
      </w:r>
      <w:r/>
    </w:p>
    <w:p>
      <w:pPr>
        <w:ind w:firstLine="210"/>
        <w:spacing w:line="360" w:lineRule="auto"/>
        <w:rPr>
          <w:rFonts w:eastAsiaTheme="minorEastAsia"/>
          <w:bCs/>
          <w:szCs w:val="21"/>
        </w:rPr>
      </w:pPr>
      <w:r>
        <w:rPr>
          <w:rFonts w:eastAsiaTheme="minorEastAsia"/>
          <w:bCs/>
          <w:szCs w:val="21"/>
        </w:rPr>
        <w:t xml:space="preserve">14、爆破片爆破压力：≥2.3 MPa；</w:t>
      </w:r>
      <w:r/>
    </w:p>
    <w:p>
      <w:pPr>
        <w:ind w:firstLine="210"/>
        <w:spacing w:line="360" w:lineRule="auto"/>
        <w:rPr>
          <w:rFonts w:eastAsiaTheme="minorEastAsia"/>
          <w:bCs/>
          <w:szCs w:val="21"/>
        </w:rPr>
      </w:pPr>
      <w:r>
        <w:rPr>
          <w:rFonts w:eastAsiaTheme="minorEastAsia"/>
          <w:bCs/>
          <w:szCs w:val="21"/>
        </w:rPr>
        <w:t xml:space="preserve">15、C/D类接头无损检测：100%PT；</w:t>
      </w:r>
      <w:r/>
    </w:p>
    <w:p>
      <w:pPr>
        <w:ind w:firstLine="210"/>
        <w:spacing w:line="360" w:lineRule="auto"/>
        <w:rPr>
          <w:rFonts w:eastAsiaTheme="minorEastAsia"/>
          <w:bCs/>
          <w:szCs w:val="21"/>
        </w:rPr>
      </w:pPr>
      <w:r>
        <w:rPr>
          <w:rFonts w:eastAsiaTheme="minorEastAsia"/>
          <w:bCs/>
          <w:szCs w:val="21"/>
        </w:rPr>
        <w:t xml:space="preserve">16、抗震设防烈度：≥7度；</w:t>
      </w:r>
      <w:r/>
    </w:p>
    <w:p>
      <w:pPr>
        <w:ind w:firstLine="210"/>
        <w:spacing w:line="360" w:lineRule="auto"/>
        <w:rPr>
          <w:rFonts w:eastAsiaTheme="minorEastAsia"/>
          <w:bCs/>
          <w:szCs w:val="21"/>
        </w:rPr>
      </w:pPr>
      <w:r>
        <w:rPr>
          <w:rFonts w:eastAsiaTheme="minorEastAsia"/>
          <w:bCs/>
          <w:szCs w:val="21"/>
        </w:rPr>
        <w:t xml:space="preserve">17、设计使用年限：≥20年；</w:t>
      </w:r>
      <w:r/>
    </w:p>
    <w:p>
      <w:pPr>
        <w:ind w:firstLine="210"/>
        <w:spacing w:line="360" w:lineRule="auto"/>
        <w:rPr>
          <w:rFonts w:eastAsiaTheme="minorEastAsia"/>
          <w:bCs/>
          <w:szCs w:val="21"/>
        </w:rPr>
      </w:pPr>
      <w:r>
        <w:rPr>
          <w:rFonts w:eastAsiaTheme="minorEastAsia"/>
          <w:bCs/>
          <w:szCs w:val="21"/>
        </w:rPr>
        <w:t xml:space="preserve">18、空重：≤9200kg；</w:t>
      </w:r>
      <w:r/>
    </w:p>
    <w:p>
      <w:pPr>
        <w:jc w:val="center"/>
        <w:spacing w:line="360" w:lineRule="auto"/>
        <w:rPr>
          <w:b/>
          <w:bCs/>
          <w:szCs w:val="21"/>
        </w:rPr>
      </w:pPr>
      <w:r>
        <w:rPr>
          <w:b/>
          <w:bCs/>
          <w:szCs w:val="21"/>
        </w:rPr>
        <w:t xml:space="preserve">品目十 氮气气化器、柱塞泵及配套管路</w:t>
      </w:r>
      <w:r/>
    </w:p>
    <w:p>
      <w:pPr>
        <w:pStyle w:val="1357"/>
        <w:spacing w:before="0" w:beforeAutospacing="0" w:after="0" w:afterAutospacing="0" w:line="360" w:lineRule="auto"/>
        <w:rPr>
          <w:rFonts w:ascii="Times New Roman" w:hAnsi="Times New Roman" w:eastAsiaTheme="minorEastAsia"/>
          <w:color w:val="333333"/>
          <w:sz w:val="21"/>
          <w:szCs w:val="21"/>
        </w:rPr>
      </w:pPr>
      <w:r>
        <w:rPr>
          <w:rFonts w:ascii="Times New Roman" w:hAnsi="Times New Roman" w:eastAsiaTheme="minorEastAsia"/>
          <w:bCs/>
          <w:sz w:val="21"/>
          <w:szCs w:val="21"/>
        </w:rPr>
        <w:t xml:space="preserve">（一）、</w:t>
      </w:r>
      <w:r>
        <w:rPr>
          <w:rFonts w:ascii="Times New Roman" w:hAnsi="Times New Roman" w:eastAsiaTheme="minorEastAsia"/>
          <w:color w:val="333333"/>
          <w:sz w:val="21"/>
          <w:szCs w:val="21"/>
        </w:rPr>
        <w:t xml:space="preserve">气化器：</w:t>
      </w:r>
      <w:r/>
    </w:p>
    <w:p>
      <w:pPr>
        <w:pStyle w:val="1357"/>
        <w:ind w:firstLine="210"/>
        <w:spacing w:before="0" w:beforeAutospacing="0" w:after="0" w:afterAutospacing="0" w:line="360" w:lineRule="auto"/>
        <w:rPr>
          <w:rFonts w:ascii="Times New Roman" w:hAnsi="Times New Roman" w:eastAsiaTheme="minorEastAsia"/>
          <w:bCs/>
          <w:color w:val="auto"/>
          <w:sz w:val="21"/>
          <w:szCs w:val="21"/>
        </w:rPr>
      </w:pPr>
      <w:r>
        <w:rPr>
          <w:rFonts w:ascii="Times New Roman" w:hAnsi="Times New Roman" w:eastAsiaTheme="minorEastAsia"/>
          <w:bCs/>
          <w:color w:val="auto"/>
          <w:sz w:val="21"/>
          <w:szCs w:val="21"/>
        </w:rPr>
        <w:t xml:space="preserve">1、气化量</w:t>
      </w:r>
      <w:r>
        <w:rPr>
          <w:rFonts w:ascii="Times New Roman" w:hAnsi="Times New Roman" w:eastAsiaTheme="minorEastAsia"/>
          <w:bCs/>
          <w:sz w:val="21"/>
          <w:szCs w:val="21"/>
        </w:rPr>
        <w:t xml:space="preserve">：</w:t>
      </w:r>
      <w:r>
        <w:rPr>
          <w:rFonts w:ascii="Times New Roman" w:hAnsi="Times New Roman" w:eastAsiaTheme="minorEastAsia"/>
          <w:bCs/>
          <w:color w:val="auto"/>
          <w:sz w:val="21"/>
          <w:szCs w:val="21"/>
        </w:rPr>
        <w:t xml:space="preserve">≥80Nm³/h； </w:t>
      </w:r>
      <w:r/>
    </w:p>
    <w:p>
      <w:pPr>
        <w:pStyle w:val="1357"/>
        <w:ind w:firstLine="210"/>
        <w:spacing w:before="0" w:beforeAutospacing="0" w:after="0" w:afterAutospacing="0" w:line="360" w:lineRule="auto"/>
        <w:rPr>
          <w:rFonts w:ascii="Times New Roman" w:hAnsi="Times New Roman" w:eastAsiaTheme="minorEastAsia"/>
          <w:bCs/>
          <w:color w:val="auto"/>
          <w:sz w:val="21"/>
          <w:szCs w:val="21"/>
        </w:rPr>
      </w:pPr>
      <w:r>
        <w:rPr>
          <w:rFonts w:ascii="Times New Roman" w:hAnsi="Times New Roman" w:eastAsiaTheme="minorEastAsia"/>
          <w:bCs/>
          <w:color w:val="auto"/>
          <w:sz w:val="21"/>
          <w:szCs w:val="21"/>
        </w:rPr>
        <w:t xml:space="preserve">2、进口介质：LN2/LAr/L02；</w:t>
      </w:r>
      <w:r/>
    </w:p>
    <w:p>
      <w:pPr>
        <w:pStyle w:val="1357"/>
        <w:ind w:firstLine="210"/>
        <w:spacing w:before="0" w:beforeAutospacing="0" w:after="0" w:afterAutospacing="0" w:line="360" w:lineRule="auto"/>
        <w:rPr>
          <w:rFonts w:ascii="Times New Roman" w:hAnsi="Times New Roman" w:eastAsiaTheme="minorEastAsia"/>
          <w:bCs/>
          <w:color w:val="auto"/>
          <w:sz w:val="21"/>
          <w:szCs w:val="21"/>
        </w:rPr>
      </w:pPr>
      <w:r>
        <w:rPr>
          <w:rFonts w:ascii="Times New Roman" w:hAnsi="Times New Roman" w:eastAsiaTheme="minorEastAsia"/>
          <w:bCs/>
          <w:color w:val="auto"/>
          <w:sz w:val="21"/>
          <w:szCs w:val="21"/>
        </w:rPr>
        <w:t xml:space="preserve">3、出口介质：GN2/GAr/G02；</w:t>
      </w:r>
      <w:r/>
    </w:p>
    <w:p>
      <w:pPr>
        <w:pStyle w:val="1357"/>
        <w:ind w:firstLine="210"/>
        <w:spacing w:before="0" w:beforeAutospacing="0" w:after="0" w:afterAutospacing="0" w:line="360" w:lineRule="auto"/>
        <w:rPr>
          <w:rFonts w:ascii="Times New Roman" w:hAnsi="Times New Roman" w:eastAsiaTheme="minorEastAsia"/>
          <w:bCs/>
          <w:color w:val="auto"/>
          <w:sz w:val="21"/>
          <w:szCs w:val="21"/>
        </w:rPr>
      </w:pPr>
      <w:r>
        <w:rPr>
          <w:rFonts w:ascii="Times New Roman" w:hAnsi="Times New Roman" w:eastAsiaTheme="minorEastAsia"/>
          <w:bCs/>
          <w:color w:val="auto"/>
          <w:sz w:val="21"/>
          <w:szCs w:val="21"/>
        </w:rPr>
        <w:t xml:space="preserve">4、</w:t>
      </w:r>
      <w:r>
        <w:rPr>
          <w:rFonts w:ascii="Times New Roman" w:hAnsi="Times New Roman" w:eastAsiaTheme="minorEastAsia"/>
          <w:bCs/>
          <w:sz w:val="21"/>
          <w:szCs w:val="21"/>
        </w:rPr>
        <w:t xml:space="preserve">设计压力：≥3.0Mpa</w:t>
      </w:r>
      <w:r>
        <w:rPr>
          <w:rFonts w:ascii="Times New Roman" w:hAnsi="Times New Roman" w:eastAsiaTheme="minorEastAsia"/>
          <w:bCs/>
          <w:color w:val="auto"/>
          <w:sz w:val="21"/>
          <w:szCs w:val="21"/>
        </w:rPr>
        <w:t xml:space="preserve">；</w:t>
      </w:r>
      <w:r/>
    </w:p>
    <w:p>
      <w:pPr>
        <w:pStyle w:val="1357"/>
        <w:ind w:firstLine="210"/>
        <w:spacing w:before="0" w:beforeAutospacing="0" w:after="0" w:afterAutospacing="0" w:line="360" w:lineRule="auto"/>
        <w:rPr>
          <w:rFonts w:ascii="Times New Roman" w:hAnsi="Times New Roman" w:eastAsiaTheme="minorEastAsia"/>
          <w:bCs/>
          <w:color w:val="auto"/>
          <w:sz w:val="21"/>
          <w:szCs w:val="21"/>
        </w:rPr>
      </w:pPr>
      <w:r>
        <w:rPr>
          <w:rFonts w:ascii="Times New Roman" w:hAnsi="Times New Roman" w:eastAsiaTheme="minorEastAsia"/>
          <w:bCs/>
          <w:color w:val="auto"/>
          <w:sz w:val="21"/>
          <w:szCs w:val="21"/>
        </w:rPr>
        <w:t xml:space="preserve">5、</w:t>
      </w:r>
      <w:r>
        <w:rPr>
          <w:rFonts w:ascii="Times New Roman" w:hAnsi="Times New Roman" w:eastAsiaTheme="minorEastAsia"/>
          <w:bCs/>
          <w:sz w:val="21"/>
          <w:szCs w:val="21"/>
        </w:rPr>
        <w:t xml:space="preserve">最高工作压力：≥2.5Mpa</w:t>
      </w:r>
      <w:r>
        <w:rPr>
          <w:rFonts w:ascii="Times New Roman" w:hAnsi="Times New Roman" w:eastAsiaTheme="minorEastAsia"/>
          <w:bCs/>
          <w:color w:val="auto"/>
          <w:sz w:val="21"/>
          <w:szCs w:val="21"/>
        </w:rPr>
        <w:t xml:space="preserve">；</w:t>
      </w:r>
      <w:r/>
    </w:p>
    <w:p>
      <w:pPr>
        <w:pStyle w:val="1357"/>
        <w:ind w:firstLine="210"/>
        <w:spacing w:before="0" w:beforeAutospacing="0" w:after="0" w:afterAutospacing="0" w:line="360" w:lineRule="auto"/>
        <w:rPr>
          <w:rFonts w:ascii="Times New Roman" w:hAnsi="Times New Roman" w:eastAsiaTheme="minorEastAsia"/>
          <w:bCs/>
          <w:color w:val="auto"/>
          <w:sz w:val="21"/>
          <w:szCs w:val="21"/>
        </w:rPr>
      </w:pPr>
      <w:r>
        <w:rPr>
          <w:rFonts w:ascii="Times New Roman" w:hAnsi="Times New Roman" w:eastAsiaTheme="minorEastAsia"/>
          <w:bCs/>
          <w:color w:val="auto"/>
          <w:sz w:val="21"/>
          <w:szCs w:val="21"/>
        </w:rPr>
        <w:t xml:space="preserve">6、</w:t>
      </w:r>
      <w:r>
        <w:rPr>
          <w:rFonts w:ascii="Times New Roman" w:hAnsi="Times New Roman" w:eastAsiaTheme="minorEastAsia"/>
          <w:bCs/>
          <w:sz w:val="21"/>
          <w:szCs w:val="21"/>
        </w:rPr>
        <w:t xml:space="preserve">设计温度：</w:t>
      </w:r>
      <w:r>
        <w:rPr>
          <w:rFonts w:ascii="Times New Roman" w:hAnsi="Times New Roman" w:eastAsiaTheme="minorEastAsia"/>
          <w:bCs/>
          <w:sz w:val="21"/>
          <w:szCs w:val="21"/>
          <w:lang w:bidi="ar"/>
        </w:rPr>
        <w:t xml:space="preserve">≤</w:t>
      </w:r>
      <w:r>
        <w:rPr>
          <w:rFonts w:ascii="Times New Roman" w:hAnsi="Times New Roman" w:eastAsiaTheme="minorEastAsia"/>
          <w:bCs/>
          <w:sz w:val="21"/>
          <w:szCs w:val="21"/>
        </w:rPr>
        <w:t xml:space="preserve">-196℃</w:t>
      </w:r>
      <w:r>
        <w:rPr>
          <w:rFonts w:ascii="Times New Roman" w:hAnsi="Times New Roman" w:eastAsiaTheme="minorEastAsia"/>
          <w:bCs/>
          <w:color w:val="auto"/>
          <w:sz w:val="21"/>
          <w:szCs w:val="21"/>
        </w:rPr>
        <w:t xml:space="preserve">；</w:t>
      </w:r>
      <w:r/>
    </w:p>
    <w:p>
      <w:pPr>
        <w:pStyle w:val="1357"/>
        <w:ind w:firstLine="210"/>
        <w:spacing w:before="0" w:beforeAutospacing="0" w:after="0" w:afterAutospacing="0" w:line="360" w:lineRule="auto"/>
        <w:rPr>
          <w:rFonts w:ascii="Times New Roman" w:hAnsi="Times New Roman" w:eastAsiaTheme="minorEastAsia"/>
          <w:bCs/>
          <w:color w:val="auto"/>
          <w:sz w:val="21"/>
          <w:szCs w:val="21"/>
        </w:rPr>
      </w:pPr>
      <w:r>
        <w:rPr>
          <w:rFonts w:ascii="Times New Roman" w:hAnsi="Times New Roman" w:eastAsiaTheme="minorEastAsia"/>
          <w:bCs/>
          <w:color w:val="auto"/>
          <w:sz w:val="21"/>
          <w:szCs w:val="21"/>
        </w:rPr>
        <w:t xml:space="preserve">7、</w:t>
      </w:r>
      <w:r>
        <w:rPr>
          <w:rFonts w:ascii="Times New Roman" w:hAnsi="Times New Roman" w:eastAsiaTheme="minorEastAsia"/>
          <w:bCs/>
          <w:sz w:val="21"/>
          <w:szCs w:val="21"/>
        </w:rPr>
        <w:t xml:space="preserve">进口温度：</w:t>
      </w:r>
      <w:r>
        <w:rPr>
          <w:rFonts w:ascii="Times New Roman" w:hAnsi="Times New Roman" w:eastAsiaTheme="minorEastAsia"/>
          <w:bCs/>
          <w:sz w:val="21"/>
          <w:szCs w:val="21"/>
          <w:lang w:bidi="ar"/>
        </w:rPr>
        <w:t xml:space="preserve">≤</w:t>
      </w:r>
      <w:r>
        <w:rPr>
          <w:rFonts w:ascii="Times New Roman" w:hAnsi="Times New Roman" w:eastAsiaTheme="minorEastAsia"/>
          <w:bCs/>
          <w:sz w:val="21"/>
          <w:szCs w:val="21"/>
        </w:rPr>
        <w:t xml:space="preserve">-196℃</w:t>
      </w:r>
      <w:r>
        <w:rPr>
          <w:rFonts w:ascii="Times New Roman" w:hAnsi="Times New Roman" w:eastAsiaTheme="minorEastAsia"/>
          <w:bCs/>
          <w:color w:val="auto"/>
          <w:sz w:val="21"/>
          <w:szCs w:val="21"/>
        </w:rPr>
        <w:t xml:space="preserve">；</w:t>
      </w:r>
      <w:r/>
    </w:p>
    <w:p>
      <w:pPr>
        <w:pStyle w:val="1357"/>
        <w:ind w:firstLine="210"/>
        <w:spacing w:before="0" w:beforeAutospacing="0" w:after="0" w:afterAutospacing="0" w:line="360" w:lineRule="auto"/>
        <w:rPr>
          <w:rFonts w:ascii="Times New Roman" w:hAnsi="Times New Roman" w:eastAsiaTheme="minorEastAsia"/>
          <w:color w:val="333333"/>
          <w:sz w:val="21"/>
          <w:szCs w:val="21"/>
        </w:rPr>
      </w:pPr>
      <w:r>
        <w:rPr>
          <w:rFonts w:ascii="Times New Roman" w:hAnsi="Times New Roman" w:eastAsiaTheme="minorEastAsia"/>
          <w:color w:val="333333"/>
          <w:sz w:val="21"/>
          <w:szCs w:val="21"/>
        </w:rPr>
        <w:t xml:space="preserve">8、</w:t>
      </w:r>
      <w:r>
        <w:rPr>
          <w:rFonts w:ascii="Times New Roman" w:hAnsi="Times New Roman" w:eastAsiaTheme="minorEastAsia"/>
          <w:bCs/>
          <w:sz w:val="21"/>
          <w:szCs w:val="21"/>
        </w:rPr>
        <w:t xml:space="preserve">出口温度：不低于环境温度 10℃</w:t>
      </w:r>
      <w:r>
        <w:rPr>
          <w:rFonts w:ascii="Times New Roman" w:hAnsi="Times New Roman" w:eastAsiaTheme="minorEastAsia"/>
          <w:color w:val="333333"/>
          <w:sz w:val="21"/>
          <w:szCs w:val="21"/>
        </w:rPr>
        <w:t xml:space="preserve">；</w:t>
      </w:r>
      <w:r/>
    </w:p>
    <w:p>
      <w:pPr>
        <w:pStyle w:val="1357"/>
        <w:spacing w:before="0" w:beforeAutospacing="0" w:after="0" w:afterAutospacing="0" w:line="360" w:lineRule="auto"/>
        <w:rPr>
          <w:rFonts w:ascii="Times New Roman" w:hAnsi="Times New Roman" w:eastAsiaTheme="minorEastAsia"/>
          <w:color w:val="333333"/>
          <w:sz w:val="21"/>
          <w:szCs w:val="21"/>
        </w:rPr>
      </w:pPr>
      <w:r>
        <w:rPr>
          <w:rFonts w:ascii="Times New Roman" w:hAnsi="Times New Roman" w:eastAsiaTheme="minorEastAsia"/>
          <w:sz w:val="21"/>
          <w:szCs w:val="21"/>
          <w:lang w:bidi="ar"/>
        </w:rPr>
        <w:t xml:space="preserve">  </w:t>
      </w:r>
      <w:r>
        <w:rPr>
          <w:rFonts w:ascii="Times New Roman" w:hAnsi="Times New Roman" w:eastAsiaTheme="minorEastAsia"/>
          <w:color w:val="333333"/>
          <w:sz w:val="21"/>
          <w:szCs w:val="21"/>
        </w:rPr>
        <w:t xml:space="preserve">9、</w:t>
      </w:r>
      <w:r>
        <w:rPr>
          <w:rFonts w:ascii="Times New Roman" w:hAnsi="Times New Roman" w:eastAsiaTheme="minorEastAsia"/>
          <w:bCs/>
          <w:sz w:val="21"/>
          <w:szCs w:val="21"/>
        </w:rPr>
        <w:t xml:space="preserve">连续运行时间：</w:t>
      </w:r>
      <w:r>
        <w:rPr>
          <w:rFonts w:ascii="Times New Roman" w:hAnsi="Times New Roman" w:eastAsiaTheme="minorEastAsia"/>
          <w:bCs/>
          <w:color w:val="auto"/>
          <w:sz w:val="21"/>
          <w:szCs w:val="21"/>
        </w:rPr>
        <w:t xml:space="preserve">≥</w:t>
      </w:r>
      <w:r>
        <w:rPr>
          <w:rFonts w:ascii="Times New Roman" w:hAnsi="Times New Roman" w:eastAsiaTheme="minorEastAsia"/>
          <w:bCs/>
          <w:sz w:val="21"/>
          <w:szCs w:val="21"/>
        </w:rPr>
        <w:t xml:space="preserve">8H</w:t>
      </w:r>
      <w:r>
        <w:rPr>
          <w:rFonts w:ascii="Times New Roman" w:hAnsi="Times New Roman" w:eastAsiaTheme="minorEastAsia"/>
          <w:color w:val="333333"/>
          <w:sz w:val="21"/>
          <w:szCs w:val="21"/>
        </w:rPr>
        <w:t xml:space="preserve">；</w:t>
      </w:r>
      <w:r/>
    </w:p>
    <w:p>
      <w:pPr>
        <w:pStyle w:val="1357"/>
        <w:ind w:firstLine="210"/>
        <w:spacing w:before="0" w:beforeAutospacing="0" w:after="0" w:afterAutospacing="0" w:line="360" w:lineRule="auto"/>
        <w:rPr>
          <w:rFonts w:ascii="Times New Roman" w:hAnsi="Times New Roman" w:eastAsiaTheme="minorEastAsia"/>
          <w:color w:val="333333"/>
          <w:sz w:val="21"/>
          <w:szCs w:val="21"/>
        </w:rPr>
      </w:pPr>
      <w:r>
        <w:rPr>
          <w:rFonts w:ascii="Times New Roman" w:hAnsi="Times New Roman" w:eastAsiaTheme="minorEastAsia"/>
          <w:color w:val="333333"/>
          <w:sz w:val="21"/>
          <w:szCs w:val="21"/>
        </w:rPr>
        <w:t xml:space="preserve">10、</w:t>
      </w:r>
      <w:r>
        <w:rPr>
          <w:rFonts w:ascii="Times New Roman" w:hAnsi="Times New Roman" w:eastAsiaTheme="minorEastAsia"/>
          <w:bCs/>
          <w:sz w:val="21"/>
          <w:szCs w:val="21"/>
        </w:rPr>
        <w:t xml:space="preserve">设计使用年限：</w:t>
      </w:r>
      <w:r>
        <w:rPr>
          <w:rFonts w:ascii="Times New Roman" w:hAnsi="Times New Roman" w:eastAsiaTheme="minorEastAsia"/>
          <w:bCs/>
          <w:color w:val="auto"/>
          <w:sz w:val="21"/>
          <w:szCs w:val="21"/>
        </w:rPr>
        <w:t xml:space="preserve">≥</w:t>
      </w:r>
      <w:r>
        <w:rPr>
          <w:rFonts w:ascii="Times New Roman" w:hAnsi="Times New Roman" w:eastAsiaTheme="minorEastAsia"/>
          <w:bCs/>
          <w:sz w:val="21"/>
          <w:szCs w:val="21"/>
        </w:rPr>
        <w:t xml:space="preserve">20年</w:t>
      </w:r>
      <w:r>
        <w:rPr>
          <w:rFonts w:ascii="Times New Roman" w:hAnsi="Times New Roman" w:eastAsiaTheme="minorEastAsia"/>
          <w:color w:val="333333"/>
          <w:sz w:val="21"/>
          <w:szCs w:val="21"/>
        </w:rPr>
        <w:t xml:space="preserve">；</w:t>
      </w:r>
      <w:r/>
    </w:p>
    <w:p>
      <w:pPr>
        <w:spacing w:line="360" w:lineRule="auto"/>
        <w:rPr>
          <w:rFonts w:eastAsiaTheme="minorEastAsia"/>
          <w:bCs/>
          <w:szCs w:val="21"/>
        </w:rPr>
      </w:pPr>
      <w:r>
        <w:rPr>
          <w:rFonts w:eastAsiaTheme="minorEastAsia"/>
          <w:bCs/>
          <w:szCs w:val="21"/>
        </w:rPr>
        <w:t xml:space="preserve">（二）、氮气稳压工艺罐</w:t>
      </w:r>
      <w:r/>
    </w:p>
    <w:p>
      <w:pPr>
        <w:ind w:firstLine="210"/>
        <w:spacing w:line="360" w:lineRule="auto"/>
        <w:rPr>
          <w:rFonts w:eastAsiaTheme="minorEastAsia"/>
          <w:bCs/>
          <w:szCs w:val="21"/>
        </w:rPr>
      </w:pPr>
      <w:r>
        <w:rPr>
          <w:rFonts w:eastAsiaTheme="minorEastAsia"/>
          <w:bCs/>
          <w:szCs w:val="21"/>
        </w:rPr>
        <w:t xml:space="preserve">1、容积：≥0.6m³；</w:t>
      </w:r>
      <w:r/>
    </w:p>
    <w:p>
      <w:pPr>
        <w:ind w:firstLine="210"/>
        <w:spacing w:line="360" w:lineRule="auto"/>
        <w:rPr>
          <w:rFonts w:eastAsiaTheme="minorEastAsia"/>
          <w:bCs/>
          <w:szCs w:val="21"/>
        </w:rPr>
      </w:pPr>
      <w:r>
        <w:rPr>
          <w:rFonts w:eastAsiaTheme="minorEastAsia"/>
          <w:bCs/>
          <w:szCs w:val="21"/>
        </w:rPr>
        <w:t xml:space="preserve">2、工作压力：≥25bar；</w:t>
      </w:r>
      <w:r/>
    </w:p>
    <w:p>
      <w:pPr>
        <w:ind w:firstLine="210"/>
        <w:spacing w:line="360" w:lineRule="auto"/>
        <w:rPr>
          <w:rFonts w:eastAsiaTheme="minorEastAsia"/>
          <w:bCs/>
          <w:szCs w:val="21"/>
        </w:rPr>
      </w:pPr>
      <w:r>
        <w:rPr>
          <w:rFonts w:eastAsiaTheme="minorEastAsia"/>
          <w:bCs/>
          <w:szCs w:val="21"/>
        </w:rPr>
        <w:t xml:space="preserve">3、净重：≤350kg；</w:t>
      </w:r>
      <w:r/>
    </w:p>
    <w:p>
      <w:pPr>
        <w:ind w:firstLine="210"/>
        <w:spacing w:line="360" w:lineRule="auto"/>
        <w:rPr>
          <w:rFonts w:eastAsiaTheme="minorEastAsia"/>
          <w:bCs/>
          <w:szCs w:val="21"/>
        </w:rPr>
      </w:pPr>
      <w:r>
        <w:rPr>
          <w:rFonts w:eastAsiaTheme="minorEastAsia"/>
          <w:bCs/>
          <w:szCs w:val="21"/>
        </w:rPr>
        <w:t xml:space="preserve">4、材质：碳钢；</w:t>
      </w:r>
      <w:r/>
    </w:p>
    <w:p>
      <w:pPr>
        <w:spacing w:line="360" w:lineRule="auto"/>
        <w:rPr>
          <w:rFonts w:eastAsiaTheme="minorEastAsia"/>
          <w:bCs/>
          <w:szCs w:val="21"/>
        </w:rPr>
      </w:pPr>
      <w:r>
        <w:rPr>
          <w:rFonts w:eastAsiaTheme="minorEastAsia"/>
          <w:bCs/>
          <w:szCs w:val="21"/>
        </w:rPr>
        <w:t xml:space="preserve">（三）、氮气增压机</w:t>
      </w:r>
      <w:r/>
    </w:p>
    <w:p>
      <w:pPr>
        <w:ind w:firstLine="210"/>
        <w:spacing w:line="360" w:lineRule="auto"/>
        <w:rPr>
          <w:rFonts w:eastAsiaTheme="minorEastAsia"/>
          <w:bCs/>
          <w:szCs w:val="21"/>
        </w:rPr>
      </w:pPr>
      <w:r>
        <w:rPr>
          <w:rFonts w:eastAsiaTheme="minorEastAsia"/>
          <w:bCs/>
          <w:szCs w:val="21"/>
        </w:rPr>
        <w:t xml:space="preserve">1、介质：氮气；</w:t>
      </w:r>
      <w:r/>
    </w:p>
    <w:p>
      <w:pPr>
        <w:ind w:firstLine="210"/>
        <w:spacing w:line="360" w:lineRule="auto"/>
        <w:rPr>
          <w:rFonts w:eastAsiaTheme="minorEastAsia"/>
          <w:bCs/>
          <w:szCs w:val="21"/>
        </w:rPr>
      </w:pPr>
      <w:r>
        <w:rPr>
          <w:rFonts w:eastAsiaTheme="minorEastAsia"/>
          <w:bCs/>
          <w:szCs w:val="21"/>
        </w:rPr>
        <w:t xml:space="preserve">2、氮气处理量：≥80Nm³/h；</w:t>
      </w:r>
      <w:r/>
    </w:p>
    <w:p>
      <w:pPr>
        <w:ind w:firstLine="210"/>
        <w:spacing w:line="360" w:lineRule="auto"/>
        <w:rPr>
          <w:rFonts w:eastAsiaTheme="minorEastAsia"/>
          <w:bCs/>
          <w:szCs w:val="21"/>
        </w:rPr>
      </w:pPr>
      <w:r>
        <w:rPr>
          <w:rFonts w:eastAsiaTheme="minorEastAsia"/>
          <w:bCs/>
          <w:szCs w:val="21"/>
        </w:rPr>
        <w:t xml:space="preserve">3、进气压力：≥5bar/Rc1；</w:t>
      </w:r>
      <w:r/>
    </w:p>
    <w:p>
      <w:pPr>
        <w:ind w:firstLine="210"/>
        <w:spacing w:line="360" w:lineRule="auto"/>
        <w:rPr>
          <w:rFonts w:eastAsiaTheme="minorEastAsia"/>
          <w:bCs/>
          <w:szCs w:val="21"/>
        </w:rPr>
      </w:pPr>
      <w:r>
        <w:rPr>
          <w:rFonts w:eastAsiaTheme="minorEastAsia"/>
          <w:bCs/>
          <w:szCs w:val="21"/>
        </w:rPr>
        <w:t xml:space="preserve">4、出气压力：≥30bar/Rc1/2；</w:t>
      </w:r>
      <w:r/>
    </w:p>
    <w:p>
      <w:pPr>
        <w:ind w:firstLine="210"/>
        <w:spacing w:line="360" w:lineRule="auto"/>
        <w:rPr>
          <w:rFonts w:eastAsiaTheme="minorEastAsia"/>
          <w:bCs/>
          <w:szCs w:val="21"/>
        </w:rPr>
      </w:pPr>
      <w:r>
        <w:rPr>
          <w:rFonts w:eastAsiaTheme="minorEastAsia"/>
          <w:bCs/>
          <w:szCs w:val="21"/>
        </w:rPr>
        <w:t xml:space="preserve">5、冷却方式：风冷；</w:t>
      </w:r>
      <w:r/>
    </w:p>
    <w:p>
      <w:pPr>
        <w:ind w:firstLine="210"/>
        <w:spacing w:line="360" w:lineRule="auto"/>
        <w:rPr>
          <w:rFonts w:eastAsiaTheme="minorEastAsia"/>
          <w:bCs/>
          <w:szCs w:val="21"/>
        </w:rPr>
      </w:pPr>
      <w:r>
        <w:rPr>
          <w:rFonts w:eastAsiaTheme="minorEastAsia"/>
          <w:bCs/>
          <w:szCs w:val="21"/>
        </w:rPr>
        <w:t xml:space="preserve">6、压缩水平：二级压缩；</w:t>
      </w:r>
      <w:r/>
    </w:p>
    <w:p>
      <w:pPr>
        <w:pStyle w:val="1357"/>
        <w:ind w:firstLine="210"/>
        <w:spacing w:before="0" w:beforeAutospacing="0" w:after="0" w:afterAutospacing="0" w:line="360" w:lineRule="auto"/>
        <w:rPr>
          <w:rFonts w:ascii="Times New Roman" w:hAnsi="Times New Roman" w:eastAsiaTheme="minorEastAsia"/>
          <w:color w:val="333333"/>
          <w:sz w:val="21"/>
          <w:szCs w:val="21"/>
        </w:rPr>
      </w:pPr>
      <w:r>
        <w:rPr>
          <w:rFonts w:ascii="Times New Roman" w:hAnsi="Times New Roman" w:eastAsiaTheme="minorEastAsia"/>
          <w:bCs/>
          <w:sz w:val="21"/>
          <w:szCs w:val="21"/>
        </w:rPr>
        <w:t xml:space="preserve">7、转速：≥720r/min</w:t>
      </w:r>
      <w:r>
        <w:rPr>
          <w:rFonts w:ascii="Times New Roman" w:hAnsi="Times New Roman" w:eastAsiaTheme="minorEastAsia"/>
          <w:bCs/>
          <w:szCs w:val="21"/>
        </w:rPr>
        <w:t xml:space="preserve">；</w:t>
      </w:r>
      <w:r/>
    </w:p>
    <w:p>
      <w:pPr>
        <w:jc w:val="center"/>
        <w:spacing w:line="360" w:lineRule="auto"/>
        <w:rPr>
          <w:b/>
          <w:bCs/>
          <w:szCs w:val="21"/>
        </w:rPr>
      </w:pPr>
      <w:r>
        <w:rPr>
          <w:b/>
          <w:bCs/>
          <w:szCs w:val="21"/>
        </w:rPr>
        <w:t xml:space="preserve">品目十一 紧急切断阀综合检修台</w:t>
      </w:r>
      <w:r/>
    </w:p>
    <w:p>
      <w:pPr>
        <w:ind w:firstLine="210"/>
        <w:jc w:val="left"/>
        <w:spacing w:line="360" w:lineRule="auto"/>
        <w:rPr>
          <w:rFonts w:eastAsiaTheme="minorEastAsia"/>
          <w:bCs/>
          <w:szCs w:val="21"/>
        </w:rPr>
      </w:pPr>
      <w:r>
        <w:rPr>
          <w:rFonts w:eastAsiaTheme="minorEastAsia"/>
          <w:bCs/>
          <w:szCs w:val="21"/>
        </w:rPr>
        <w:t xml:space="preserve">1、最高压力3.0MPa；</w:t>
      </w:r>
      <w:r/>
    </w:p>
    <w:p>
      <w:pPr>
        <w:ind w:firstLine="210"/>
        <w:jc w:val="left"/>
        <w:spacing w:line="360" w:lineRule="auto"/>
        <w:rPr>
          <w:rFonts w:eastAsiaTheme="minorEastAsia"/>
          <w:bCs/>
          <w:szCs w:val="21"/>
        </w:rPr>
      </w:pPr>
      <w:r>
        <w:rPr>
          <w:rFonts w:eastAsiaTheme="minorEastAsia"/>
          <w:bCs/>
          <w:szCs w:val="21"/>
        </w:rPr>
        <w:t xml:space="preserve">2、工作台为碳钢材质、承重能力：≥1000Kg。桌面尺寸≥长：1800mm*宽800mm*高750mm；</w:t>
      </w:r>
      <w:r/>
    </w:p>
    <w:p>
      <w:pPr>
        <w:ind w:firstLine="210"/>
        <w:jc w:val="left"/>
        <w:spacing w:line="360" w:lineRule="auto"/>
        <w:rPr>
          <w:rFonts w:eastAsiaTheme="minorEastAsia"/>
          <w:bCs/>
          <w:szCs w:val="21"/>
        </w:rPr>
      </w:pPr>
      <w:r>
        <w:rPr>
          <w:rFonts w:eastAsiaTheme="minorEastAsia"/>
          <w:bCs/>
          <w:szCs w:val="21"/>
        </w:rPr>
        <w:t xml:space="preserve">3、配备小型无刷多功能桌面车床一台；</w:t>
      </w:r>
      <w:r/>
    </w:p>
    <w:p>
      <w:pPr>
        <w:jc w:val="left"/>
        <w:spacing w:line="360" w:lineRule="auto"/>
        <w:rPr>
          <w:rFonts w:eastAsiaTheme="minorEastAsia"/>
          <w:bCs/>
          <w:szCs w:val="21"/>
        </w:rPr>
      </w:pPr>
      <w:r>
        <w:rPr>
          <w:rFonts w:eastAsiaTheme="minorEastAsia"/>
          <w:bCs/>
          <w:szCs w:val="21"/>
        </w:rPr>
        <w:t xml:space="preserve">车床尺寸：≥长740mm*宽250mm*高300mm；</w:t>
      </w:r>
      <w:r/>
    </w:p>
    <w:p>
      <w:pPr>
        <w:jc w:val="left"/>
        <w:spacing w:line="360" w:lineRule="auto"/>
        <w:rPr>
          <w:rFonts w:eastAsiaTheme="minorEastAsia"/>
          <w:bCs/>
          <w:szCs w:val="21"/>
        </w:rPr>
      </w:pPr>
      <w:r>
        <w:rPr>
          <w:rFonts w:eastAsiaTheme="minorEastAsia"/>
          <w:bCs/>
          <w:szCs w:val="21"/>
        </w:rPr>
        <w:t xml:space="preserve">车床功率：≥700W；</w:t>
      </w:r>
      <w:r/>
    </w:p>
    <w:p>
      <w:pPr>
        <w:jc w:val="left"/>
        <w:spacing w:line="360" w:lineRule="auto"/>
        <w:rPr>
          <w:rFonts w:eastAsiaTheme="minorEastAsia"/>
          <w:bCs/>
          <w:szCs w:val="21"/>
        </w:rPr>
      </w:pPr>
      <w:r>
        <w:rPr>
          <w:rFonts w:eastAsiaTheme="minorEastAsia"/>
          <w:bCs/>
          <w:szCs w:val="21"/>
        </w:rPr>
        <w:t xml:space="preserve">车床可加工直径：≤80mm；</w:t>
      </w:r>
      <w:r/>
    </w:p>
    <w:p>
      <w:pPr>
        <w:jc w:val="left"/>
        <w:spacing w:line="360" w:lineRule="auto"/>
        <w:rPr>
          <w:rFonts w:eastAsiaTheme="minorEastAsia"/>
          <w:bCs/>
          <w:szCs w:val="21"/>
        </w:rPr>
      </w:pPr>
      <w:r>
        <w:rPr>
          <w:rFonts w:eastAsiaTheme="minorEastAsia"/>
          <w:bCs/>
          <w:szCs w:val="21"/>
        </w:rPr>
        <w:t xml:space="preserve">车床可加工长度：≤270mm；</w:t>
      </w:r>
      <w:r/>
    </w:p>
    <w:p>
      <w:pPr>
        <w:ind w:firstLine="210"/>
        <w:jc w:val="left"/>
        <w:spacing w:line="360" w:lineRule="auto"/>
        <w:rPr>
          <w:rFonts w:eastAsiaTheme="minorEastAsia"/>
          <w:bCs/>
          <w:szCs w:val="21"/>
        </w:rPr>
      </w:pPr>
      <w:r>
        <w:rPr>
          <w:rFonts w:eastAsiaTheme="minorEastAsia"/>
          <w:bCs/>
          <w:szCs w:val="21"/>
        </w:rPr>
        <w:t xml:space="preserve">4、超声波清洗机；</w:t>
      </w:r>
      <w:r/>
    </w:p>
    <w:p>
      <w:pPr>
        <w:jc w:val="left"/>
        <w:spacing w:line="360" w:lineRule="auto"/>
        <w:rPr>
          <w:rFonts w:eastAsiaTheme="minorEastAsia"/>
          <w:bCs/>
          <w:szCs w:val="21"/>
        </w:rPr>
      </w:pPr>
      <w:r>
        <w:rPr>
          <w:rFonts w:eastAsiaTheme="minorEastAsia"/>
          <w:bCs/>
          <w:szCs w:val="21"/>
        </w:rPr>
        <w:t xml:space="preserve">技术参数：电源功率≥240W，振动频率≥40KHZ；</w:t>
      </w:r>
      <w:r/>
    </w:p>
    <w:p>
      <w:pPr>
        <w:jc w:val="left"/>
        <w:spacing w:line="360" w:lineRule="auto"/>
        <w:rPr>
          <w:rFonts w:eastAsiaTheme="minorEastAsia"/>
          <w:bCs/>
          <w:szCs w:val="21"/>
        </w:rPr>
      </w:pPr>
      <w:r>
        <w:rPr>
          <w:rFonts w:eastAsiaTheme="minorEastAsia"/>
          <w:bCs/>
          <w:szCs w:val="21"/>
        </w:rPr>
        <w:t xml:space="preserve">清洗槽尺寸：≥长300mm*宽240mm*深150mm；</w:t>
      </w:r>
      <w:r/>
    </w:p>
    <w:p>
      <w:pPr>
        <w:ind w:firstLine="210"/>
        <w:jc w:val="left"/>
        <w:spacing w:line="360" w:lineRule="auto"/>
        <w:rPr>
          <w:rFonts w:eastAsiaTheme="minorEastAsia"/>
          <w:bCs/>
          <w:szCs w:val="21"/>
        </w:rPr>
      </w:pPr>
      <w:r>
        <w:rPr>
          <w:rFonts w:eastAsiaTheme="minorEastAsia"/>
          <w:bCs/>
          <w:szCs w:val="21"/>
        </w:rPr>
        <w:t xml:space="preserve">5、工具挂板1个：挂板材质钢板，挂板尺寸为≥长1500mm*高500mm；</w:t>
      </w:r>
      <w:r/>
    </w:p>
    <w:p>
      <w:pPr>
        <w:ind w:firstLine="210"/>
        <w:jc w:val="left"/>
        <w:spacing w:line="360" w:lineRule="auto"/>
        <w:rPr>
          <w:rFonts w:eastAsiaTheme="minorEastAsia"/>
          <w:bCs/>
          <w:szCs w:val="21"/>
        </w:rPr>
      </w:pPr>
      <w:r>
        <w:rPr>
          <w:rFonts w:eastAsiaTheme="minorEastAsia"/>
          <w:bCs/>
          <w:szCs w:val="21"/>
        </w:rPr>
        <w:t xml:space="preserve">6、配备气源接口、电源接口；</w:t>
      </w:r>
      <w:r/>
    </w:p>
    <w:p>
      <w:pPr>
        <w:ind w:firstLine="210"/>
        <w:jc w:val="left"/>
        <w:spacing w:line="360" w:lineRule="auto"/>
        <w:rPr>
          <w:rFonts w:eastAsiaTheme="minorEastAsia"/>
          <w:bCs/>
          <w:szCs w:val="21"/>
        </w:rPr>
      </w:pPr>
      <w:r>
        <w:rPr>
          <w:rFonts w:eastAsiaTheme="minorEastAsia"/>
          <w:bCs/>
          <w:szCs w:val="21"/>
        </w:rPr>
        <w:t xml:space="preserve">7、工作台夹具需求：能有效牢靠的固定夹紧QGJ43F-25P（DN25/DN50）两种型号的紧急切断阀，能实现接近360°的旋转、且具有半自动化任意一角度停留，固定方便拆解维护；</w:t>
      </w:r>
      <w:r/>
    </w:p>
    <w:p>
      <w:pPr>
        <w:jc w:val="center"/>
        <w:spacing w:line="360" w:lineRule="auto"/>
        <w:rPr>
          <w:b/>
          <w:bCs/>
          <w:szCs w:val="21"/>
        </w:rPr>
      </w:pPr>
      <w:r>
        <w:rPr>
          <w:b/>
          <w:bCs/>
          <w:szCs w:val="21"/>
        </w:rPr>
        <w:t xml:space="preserve">品目十二 桥式起重机</w:t>
      </w:r>
      <w:r/>
    </w:p>
    <w:p>
      <w:pPr>
        <w:ind w:firstLine="420"/>
        <w:spacing w:line="360" w:lineRule="auto"/>
        <w:rPr>
          <w:rFonts w:eastAsiaTheme="minorEastAsia"/>
          <w:bCs/>
          <w:szCs w:val="21"/>
        </w:rPr>
      </w:pPr>
      <w:r>
        <w:rPr>
          <w:rFonts w:eastAsiaTheme="minorEastAsia"/>
          <w:bCs/>
          <w:szCs w:val="21"/>
        </w:rPr>
        <w:t xml:space="preserve">起重质量：≥2T、跨度约19米；</w:t>
      </w:r>
      <w:r/>
    </w:p>
    <w:p>
      <w:pPr>
        <w:ind w:firstLine="420"/>
        <w:spacing w:line="360" w:lineRule="auto"/>
        <w:rPr>
          <w:rFonts w:eastAsiaTheme="minorEastAsia"/>
          <w:bCs/>
          <w:szCs w:val="21"/>
        </w:rPr>
      </w:pPr>
      <w:r>
        <w:rPr>
          <w:rFonts w:eastAsiaTheme="minorEastAsia"/>
          <w:bCs/>
          <w:szCs w:val="21"/>
        </w:rPr>
        <w:t xml:space="preserve">（一）、材料及外购件控制</w:t>
      </w:r>
      <w:r/>
    </w:p>
    <w:p>
      <w:pPr>
        <w:ind w:firstLine="420"/>
        <w:spacing w:line="360" w:lineRule="auto"/>
        <w:rPr>
          <w:rFonts w:eastAsiaTheme="minorEastAsia"/>
          <w:bCs/>
          <w:szCs w:val="21"/>
        </w:rPr>
      </w:pPr>
      <w:r>
        <w:rPr>
          <w:rFonts w:eastAsiaTheme="minorEastAsia"/>
          <w:bCs/>
          <w:szCs w:val="21"/>
        </w:rPr>
        <w:t xml:space="preserve">1、制造起重机用的材料符合国家标准， 车轮和各轴类及吊钩满足相应的规范和标准。</w:t>
      </w:r>
      <w:r/>
    </w:p>
    <w:p>
      <w:pPr>
        <w:ind w:firstLine="420"/>
        <w:spacing w:line="360" w:lineRule="auto"/>
        <w:rPr>
          <w:rFonts w:eastAsiaTheme="minorEastAsia"/>
          <w:bCs/>
          <w:szCs w:val="21"/>
        </w:rPr>
      </w:pPr>
      <w:r>
        <w:rPr>
          <w:rFonts w:eastAsiaTheme="minorEastAsia"/>
          <w:bCs/>
          <w:szCs w:val="21"/>
        </w:rPr>
        <w:t xml:space="preserve">2、所有钢板无锈迹，在其本身及末端不得有任何缺陷，即无气孔、坑、裂缝和毛刺等可视缺陷。</w:t>
      </w:r>
      <w:r/>
    </w:p>
    <w:p>
      <w:pPr>
        <w:ind w:firstLine="420"/>
        <w:spacing w:line="360" w:lineRule="auto"/>
        <w:rPr>
          <w:rFonts w:eastAsiaTheme="minorEastAsia"/>
          <w:bCs/>
          <w:szCs w:val="21"/>
        </w:rPr>
      </w:pPr>
      <w:r>
        <w:rPr>
          <w:rFonts w:eastAsiaTheme="minorEastAsia"/>
          <w:bCs/>
          <w:szCs w:val="21"/>
        </w:rPr>
        <w:t xml:space="preserve">3、所有联接材料和紧固件（焊条、螺栓、螺母等）设计选用符合国家认可的标准，并且与主构材料强度相协调。</w:t>
      </w:r>
      <w:r/>
    </w:p>
    <w:p>
      <w:pPr>
        <w:ind w:firstLine="420"/>
        <w:spacing w:line="360" w:lineRule="auto"/>
        <w:rPr>
          <w:rFonts w:eastAsiaTheme="minorEastAsia"/>
          <w:bCs/>
          <w:szCs w:val="21"/>
        </w:rPr>
      </w:pPr>
      <w:r>
        <w:rPr>
          <w:rFonts w:eastAsiaTheme="minorEastAsia"/>
          <w:bCs/>
          <w:szCs w:val="21"/>
        </w:rPr>
        <w:t xml:space="preserve">（二）、金属结构</w:t>
      </w:r>
      <w:r/>
    </w:p>
    <w:p>
      <w:pPr>
        <w:ind w:firstLine="420"/>
        <w:spacing w:line="360" w:lineRule="auto"/>
        <w:rPr>
          <w:rFonts w:eastAsiaTheme="minorEastAsia"/>
          <w:bCs/>
          <w:szCs w:val="21"/>
        </w:rPr>
      </w:pPr>
      <w:r>
        <w:rPr>
          <w:rFonts w:eastAsiaTheme="minorEastAsia"/>
          <w:bCs/>
          <w:szCs w:val="21"/>
        </w:rPr>
        <w:t xml:space="preserve">1、金属结构件主要包括：主梁、端梁、轨道等。</w:t>
      </w:r>
      <w:r/>
    </w:p>
    <w:p>
      <w:pPr>
        <w:ind w:firstLine="420"/>
        <w:spacing w:line="360" w:lineRule="auto"/>
        <w:rPr>
          <w:rFonts w:eastAsiaTheme="minorEastAsia"/>
          <w:bCs/>
          <w:szCs w:val="21"/>
        </w:rPr>
      </w:pPr>
      <w:r>
        <w:rPr>
          <w:rFonts w:eastAsiaTheme="minorEastAsia"/>
          <w:bCs/>
          <w:szCs w:val="21"/>
        </w:rPr>
        <w:t xml:space="preserve">2、起重机钢结构采用的钢板、型材、主要受力构件，其材质要求均按国家标准和部颁标准，质量检验部门根据材料质保书验证合格后方能入库使用。</w:t>
      </w:r>
      <w:r/>
    </w:p>
    <w:p>
      <w:pPr>
        <w:ind w:firstLine="420"/>
        <w:spacing w:line="360" w:lineRule="auto"/>
        <w:rPr>
          <w:rFonts w:eastAsiaTheme="minorEastAsia"/>
          <w:bCs/>
          <w:szCs w:val="21"/>
        </w:rPr>
      </w:pPr>
      <w:r>
        <w:rPr>
          <w:rFonts w:eastAsiaTheme="minorEastAsia"/>
          <w:bCs/>
          <w:szCs w:val="21"/>
        </w:rPr>
        <w:t xml:space="preserve">3、起重机的金属结构设计应有足够的刚度和强度。</w:t>
      </w:r>
      <w:r/>
    </w:p>
    <w:p>
      <w:pPr>
        <w:ind w:firstLine="420"/>
        <w:spacing w:line="360" w:lineRule="auto"/>
        <w:rPr>
          <w:rFonts w:eastAsiaTheme="minorEastAsia"/>
          <w:bCs/>
          <w:szCs w:val="21"/>
        </w:rPr>
      </w:pPr>
      <w:r>
        <w:rPr>
          <w:rFonts w:eastAsiaTheme="minorEastAsia"/>
          <w:bCs/>
          <w:szCs w:val="21"/>
        </w:rPr>
        <w:t xml:space="preserve">4、主梁角焊缝采用CO</w:t>
      </w:r>
      <w:r>
        <w:rPr>
          <w:rFonts w:eastAsiaTheme="minorEastAsia"/>
          <w:bCs/>
          <w:szCs w:val="21"/>
          <w:vertAlign w:val="subscript"/>
        </w:rPr>
        <w:t xml:space="preserve">2</w:t>
      </w:r>
      <w:r>
        <w:rPr>
          <w:rFonts w:eastAsiaTheme="minorEastAsia"/>
          <w:bCs/>
          <w:szCs w:val="21"/>
        </w:rPr>
        <w:t xml:space="preserve">气体保护焊，钢板拼接采用埋弧焊，并进行无损探伤。</w:t>
      </w:r>
      <w:r/>
    </w:p>
    <w:p>
      <w:pPr>
        <w:ind w:firstLine="420"/>
        <w:spacing w:line="360" w:lineRule="auto"/>
        <w:rPr>
          <w:rFonts w:eastAsiaTheme="minorEastAsia"/>
          <w:bCs/>
          <w:szCs w:val="21"/>
        </w:rPr>
      </w:pPr>
      <w:r>
        <w:rPr>
          <w:rFonts w:eastAsiaTheme="minorEastAsia"/>
          <w:bCs/>
          <w:szCs w:val="21"/>
        </w:rPr>
        <w:t xml:space="preserve">5、对焊丝、焊条、焊药的质量进行检验，对焊缝坡口进行焊前处理，杜绝烧穿、裂纹、未焊透、咬边、夹渣、熔瘤等现象出现。主梁面板及腹板对接焊缝内在质量X射线探伤达到GB/T3323中的Ⅱ级规定，超声波探伤达到JB/T10559中的Ⅰ级规定。</w:t>
      </w:r>
      <w:r/>
    </w:p>
    <w:p>
      <w:pPr>
        <w:ind w:firstLine="420"/>
        <w:spacing w:line="360" w:lineRule="auto"/>
        <w:rPr>
          <w:rFonts w:eastAsiaTheme="minorEastAsia"/>
          <w:bCs/>
          <w:szCs w:val="21"/>
        </w:rPr>
      </w:pPr>
      <w:r>
        <w:rPr>
          <w:rFonts w:eastAsiaTheme="minorEastAsia"/>
          <w:bCs/>
          <w:szCs w:val="21"/>
        </w:rPr>
        <w:t xml:space="preserve">6、构件结构设计合理，便于维修、保养。</w:t>
      </w:r>
      <w:r/>
    </w:p>
    <w:p>
      <w:pPr>
        <w:ind w:firstLine="420"/>
        <w:spacing w:line="360" w:lineRule="auto"/>
        <w:rPr>
          <w:rFonts w:eastAsiaTheme="minorEastAsia"/>
          <w:bCs/>
          <w:szCs w:val="21"/>
        </w:rPr>
      </w:pPr>
      <w:r>
        <w:rPr>
          <w:rFonts w:eastAsiaTheme="minorEastAsia"/>
          <w:bCs/>
          <w:szCs w:val="21"/>
        </w:rPr>
        <w:t xml:space="preserve">7、钢材表面进行除锈处理，面漆颜色为橙色。</w:t>
      </w:r>
      <w:r/>
    </w:p>
    <w:p>
      <w:pPr>
        <w:ind w:firstLine="420"/>
        <w:spacing w:line="360" w:lineRule="auto"/>
        <w:rPr>
          <w:rFonts w:eastAsiaTheme="minorEastAsia"/>
          <w:bCs/>
          <w:szCs w:val="21"/>
        </w:rPr>
      </w:pPr>
      <w:r>
        <w:rPr>
          <w:rFonts w:eastAsiaTheme="minorEastAsia"/>
          <w:bCs/>
          <w:szCs w:val="21"/>
        </w:rPr>
        <w:t xml:space="preserve">8、各机构设计有良好的可拆装性，以方便维护和保养。</w:t>
      </w:r>
      <w:r/>
    </w:p>
    <w:p>
      <w:pPr>
        <w:ind w:firstLine="420"/>
        <w:spacing w:line="360" w:lineRule="auto"/>
        <w:rPr>
          <w:rFonts w:eastAsiaTheme="minorEastAsia"/>
          <w:bCs/>
          <w:szCs w:val="21"/>
        </w:rPr>
      </w:pPr>
      <w:r>
        <w:rPr>
          <w:rFonts w:eastAsiaTheme="minorEastAsia"/>
          <w:bCs/>
          <w:szCs w:val="21"/>
        </w:rPr>
        <w:t xml:space="preserve">9、构件分割状态需充分考虑运输和吊装要求。</w:t>
      </w:r>
      <w:r/>
    </w:p>
    <w:p>
      <w:pPr>
        <w:ind w:firstLine="420"/>
        <w:spacing w:line="360" w:lineRule="auto"/>
        <w:rPr>
          <w:rFonts w:eastAsiaTheme="minorEastAsia"/>
          <w:bCs/>
          <w:szCs w:val="21"/>
        </w:rPr>
      </w:pPr>
      <w:r>
        <w:rPr>
          <w:rFonts w:eastAsiaTheme="minorEastAsia"/>
          <w:bCs/>
          <w:szCs w:val="21"/>
        </w:rPr>
        <w:t xml:space="preserve">10、在主梁上设置限吊吨位字样，以警示安全。</w:t>
      </w:r>
      <w:r/>
    </w:p>
    <w:p>
      <w:pPr>
        <w:ind w:firstLine="420"/>
        <w:spacing w:line="360" w:lineRule="auto"/>
        <w:rPr>
          <w:rFonts w:eastAsiaTheme="minorEastAsia"/>
          <w:bCs/>
          <w:szCs w:val="21"/>
        </w:rPr>
      </w:pPr>
      <w:r>
        <w:rPr>
          <w:rFonts w:eastAsiaTheme="minorEastAsia"/>
          <w:bCs/>
          <w:szCs w:val="21"/>
        </w:rPr>
        <w:t xml:space="preserve">（三）、电气部分</w:t>
      </w:r>
      <w:r/>
    </w:p>
    <w:p>
      <w:pPr>
        <w:ind w:firstLine="420"/>
        <w:spacing w:line="360" w:lineRule="auto"/>
        <w:rPr>
          <w:rFonts w:eastAsiaTheme="minorEastAsia"/>
          <w:bCs/>
          <w:szCs w:val="21"/>
        </w:rPr>
      </w:pPr>
      <w:r>
        <w:rPr>
          <w:rFonts w:eastAsiaTheme="minorEastAsia"/>
          <w:bCs/>
          <w:szCs w:val="21"/>
        </w:rPr>
        <w:t xml:space="preserve">1、电气设备的设计、选择及安装符合规格书中所定标准，符合整机工作环境，并须考虑到机上工作振动因素。</w:t>
      </w:r>
      <w:r/>
    </w:p>
    <w:p>
      <w:pPr>
        <w:ind w:firstLine="420"/>
        <w:spacing w:line="360" w:lineRule="auto"/>
        <w:rPr>
          <w:rFonts w:eastAsiaTheme="minorEastAsia"/>
          <w:bCs/>
          <w:szCs w:val="21"/>
        </w:rPr>
      </w:pPr>
      <w:r>
        <w:rPr>
          <w:rFonts w:eastAsiaTheme="minorEastAsia"/>
          <w:bCs/>
          <w:szCs w:val="21"/>
        </w:rPr>
        <w:t xml:space="preserve">2、电气设备选用质量可靠、易互换、维修方便的产品。</w:t>
      </w:r>
      <w:r/>
    </w:p>
    <w:p>
      <w:pPr>
        <w:ind w:firstLine="420"/>
        <w:spacing w:line="360" w:lineRule="auto"/>
        <w:rPr>
          <w:rFonts w:eastAsiaTheme="minorEastAsia"/>
          <w:bCs/>
          <w:szCs w:val="21"/>
        </w:rPr>
      </w:pPr>
      <w:r>
        <w:rPr>
          <w:rFonts w:eastAsiaTheme="minorEastAsia"/>
          <w:bCs/>
          <w:szCs w:val="21"/>
        </w:rPr>
        <w:t xml:space="preserve">3、电气设备的选择与工作环境、设备参数和工作级别一致。</w:t>
      </w:r>
      <w:r/>
    </w:p>
    <w:p>
      <w:pPr>
        <w:ind w:firstLine="420"/>
        <w:spacing w:line="360" w:lineRule="auto"/>
        <w:rPr>
          <w:rFonts w:eastAsiaTheme="minorEastAsia"/>
          <w:bCs/>
          <w:szCs w:val="21"/>
        </w:rPr>
      </w:pPr>
      <w:r>
        <w:rPr>
          <w:rFonts w:eastAsiaTheme="minorEastAsia"/>
          <w:bCs/>
          <w:szCs w:val="21"/>
        </w:rPr>
        <w:t xml:space="preserve">4、起重机电气设备金属外壳及金属线管，均须有可靠的接地。</w:t>
      </w:r>
      <w:r/>
    </w:p>
    <w:p>
      <w:pPr>
        <w:ind w:firstLine="420"/>
        <w:spacing w:line="360" w:lineRule="auto"/>
        <w:rPr>
          <w:rFonts w:eastAsiaTheme="minorEastAsia"/>
          <w:bCs/>
          <w:szCs w:val="21"/>
        </w:rPr>
      </w:pPr>
      <w:r>
        <w:rPr>
          <w:rFonts w:eastAsiaTheme="minorEastAsia"/>
          <w:bCs/>
          <w:szCs w:val="21"/>
        </w:rPr>
        <w:t xml:space="preserve">（四）、安全防护装置</w:t>
      </w:r>
      <w:r/>
    </w:p>
    <w:p>
      <w:pPr>
        <w:ind w:firstLine="420"/>
        <w:spacing w:line="360" w:lineRule="auto"/>
        <w:rPr>
          <w:rFonts w:eastAsiaTheme="minorEastAsia"/>
          <w:bCs/>
          <w:szCs w:val="21"/>
        </w:rPr>
      </w:pPr>
      <w:r>
        <w:rPr>
          <w:rFonts w:eastAsiaTheme="minorEastAsia"/>
          <w:bCs/>
          <w:szCs w:val="21"/>
        </w:rPr>
        <w:t xml:space="preserve">1、大车运行机构设置行程限位开关。</w:t>
      </w:r>
      <w:r/>
    </w:p>
    <w:p>
      <w:pPr>
        <w:ind w:firstLine="420"/>
        <w:spacing w:line="360" w:lineRule="auto"/>
        <w:rPr>
          <w:rFonts w:eastAsiaTheme="minorEastAsia"/>
          <w:bCs/>
          <w:szCs w:val="21"/>
        </w:rPr>
      </w:pPr>
      <w:r>
        <w:rPr>
          <w:rFonts w:eastAsiaTheme="minorEastAsia"/>
          <w:bCs/>
          <w:szCs w:val="21"/>
        </w:rPr>
        <w:t xml:space="preserve">2、小车运行机构设置行程限位开关。</w:t>
      </w:r>
      <w:r/>
    </w:p>
    <w:p>
      <w:pPr>
        <w:ind w:firstLine="420"/>
        <w:spacing w:line="360" w:lineRule="auto"/>
        <w:rPr>
          <w:rFonts w:eastAsiaTheme="minorEastAsia"/>
          <w:bCs/>
          <w:szCs w:val="21"/>
        </w:rPr>
      </w:pPr>
      <w:r>
        <w:rPr>
          <w:rFonts w:eastAsiaTheme="minorEastAsia"/>
          <w:bCs/>
          <w:szCs w:val="21"/>
        </w:rPr>
        <w:t xml:space="preserve">3、起升机构采用高度限位。</w:t>
      </w:r>
      <w:r/>
    </w:p>
    <w:p>
      <w:pPr>
        <w:ind w:firstLine="420"/>
        <w:spacing w:line="360" w:lineRule="auto"/>
        <w:rPr>
          <w:rFonts w:eastAsiaTheme="minorEastAsia"/>
          <w:bCs/>
          <w:szCs w:val="21"/>
        </w:rPr>
      </w:pPr>
      <w:r>
        <w:rPr>
          <w:rFonts w:eastAsiaTheme="minorEastAsia"/>
          <w:bCs/>
          <w:szCs w:val="21"/>
        </w:rPr>
        <w:t xml:space="preserve">4、起重机设有短路保护、失压保护、过流保护以及各种必要的联锁保护装置等。</w:t>
      </w:r>
      <w:r/>
    </w:p>
    <w:p>
      <w:pPr>
        <w:ind w:firstLine="420"/>
        <w:spacing w:line="360" w:lineRule="auto"/>
        <w:rPr>
          <w:rFonts w:eastAsiaTheme="minorEastAsia"/>
          <w:bCs/>
          <w:szCs w:val="21"/>
        </w:rPr>
      </w:pPr>
      <w:r>
        <w:rPr>
          <w:rFonts w:eastAsiaTheme="minorEastAsia"/>
          <w:bCs/>
          <w:szCs w:val="21"/>
        </w:rPr>
        <w:t xml:space="preserve">（五）、操纵形式</w:t>
      </w:r>
      <w:r/>
    </w:p>
    <w:p>
      <w:pPr>
        <w:ind w:firstLine="420"/>
        <w:spacing w:line="360" w:lineRule="auto"/>
        <w:rPr>
          <w:rFonts w:eastAsiaTheme="minorEastAsia"/>
          <w:bCs/>
          <w:szCs w:val="21"/>
        </w:rPr>
      </w:pPr>
      <w:r>
        <w:rPr>
          <w:rFonts w:eastAsiaTheme="minorEastAsia"/>
          <w:bCs/>
          <w:szCs w:val="21"/>
        </w:rPr>
        <w:t xml:space="preserve">遥控方式。</w:t>
      </w:r>
      <w:r/>
    </w:p>
    <w:p>
      <w:pPr>
        <w:ind w:firstLine="420"/>
        <w:spacing w:line="360" w:lineRule="auto"/>
        <w:rPr>
          <w:rFonts w:eastAsiaTheme="minorEastAsia"/>
          <w:bCs/>
          <w:szCs w:val="21"/>
        </w:rPr>
      </w:pPr>
      <w:r>
        <w:rPr>
          <w:rFonts w:eastAsiaTheme="minorEastAsia"/>
          <w:bCs/>
          <w:szCs w:val="21"/>
        </w:rPr>
        <w:t xml:space="preserve">（六）、油漆要求</w:t>
      </w:r>
      <w:r/>
    </w:p>
    <w:p>
      <w:pPr>
        <w:ind w:firstLine="420"/>
        <w:spacing w:line="360" w:lineRule="auto"/>
        <w:rPr>
          <w:rFonts w:eastAsiaTheme="minorEastAsia"/>
          <w:bCs/>
          <w:szCs w:val="21"/>
        </w:rPr>
      </w:pPr>
      <w:r>
        <w:rPr>
          <w:rFonts w:eastAsiaTheme="minorEastAsia"/>
          <w:bCs/>
          <w:szCs w:val="21"/>
        </w:rPr>
        <w:t xml:space="preserve">钢板在制作之前进行抛丸预处理一道底漆二道面漆，最后一道油漆现场安装完毕进行，漆膜厚度</w:t>
      </w:r>
      <w:r>
        <w:rPr>
          <w:rFonts w:eastAsiaTheme="minorEastAsia"/>
        </w:rPr>
        <w:t xml:space="preserve">≥</w:t>
      </w:r>
      <w:r>
        <w:rPr>
          <w:rFonts w:eastAsiaTheme="minorEastAsia"/>
          <w:bCs/>
          <w:szCs w:val="21"/>
        </w:rPr>
        <w:t xml:space="preserve">105um。</w:t>
      </w:r>
      <w:r/>
    </w:p>
    <w:p>
      <w:pPr>
        <w:jc w:val="center"/>
        <w:spacing w:line="360" w:lineRule="auto"/>
        <w:rPr>
          <w:b/>
          <w:bCs/>
          <w:szCs w:val="21"/>
        </w:rPr>
      </w:pPr>
      <w:r>
        <w:rPr>
          <w:b/>
          <w:bCs/>
          <w:szCs w:val="21"/>
        </w:rPr>
        <w:t xml:space="preserve">品目十三 撬装式设备平台</w:t>
      </w:r>
      <w:r/>
    </w:p>
    <w:p>
      <w:pPr>
        <w:ind w:firstLine="420"/>
        <w:jc w:val="left"/>
        <w:spacing w:line="360" w:lineRule="auto"/>
        <w:rPr>
          <w:rFonts w:eastAsiaTheme="minorEastAsia"/>
          <w:bCs/>
          <w:szCs w:val="21"/>
        </w:rPr>
      </w:pPr>
      <w:r>
        <w:rPr>
          <w:rFonts w:eastAsiaTheme="minorEastAsia"/>
          <w:bCs/>
          <w:szCs w:val="21"/>
        </w:rPr>
        <w:t xml:space="preserve">（一）、技术参数：</w:t>
      </w:r>
      <w:r/>
    </w:p>
    <w:p>
      <w:pPr>
        <w:ind w:firstLine="420"/>
        <w:jc w:val="left"/>
        <w:spacing w:line="360" w:lineRule="auto"/>
        <w:rPr>
          <w:rFonts w:eastAsiaTheme="minorEastAsia"/>
          <w:bCs/>
          <w:szCs w:val="21"/>
        </w:rPr>
      </w:pPr>
      <w:r>
        <w:rPr>
          <w:rFonts w:eastAsiaTheme="minorEastAsia"/>
          <w:bCs/>
          <w:szCs w:val="21"/>
        </w:rPr>
        <w:t xml:space="preserve">1、外形尺寸：总长≥12000mm，总宽≥2000mm，平台面高度≥800mm（根据实际使用需求调整）；</w:t>
      </w:r>
      <w:r/>
    </w:p>
    <w:p>
      <w:pPr>
        <w:ind w:firstLine="420"/>
        <w:jc w:val="left"/>
        <w:spacing w:line="360" w:lineRule="auto"/>
        <w:rPr>
          <w:rFonts w:eastAsiaTheme="minorEastAsia"/>
          <w:bCs/>
          <w:szCs w:val="21"/>
        </w:rPr>
      </w:pPr>
      <w:r>
        <w:rPr>
          <w:rFonts w:eastAsiaTheme="minorEastAsia"/>
          <w:bCs/>
          <w:szCs w:val="21"/>
        </w:rPr>
        <w:t xml:space="preserve">2、整体结构形式：整体撬装模块化焊接/螺栓连接结构，一体化成型，具备整体吊装、运输、移位条件，无分体散件；</w:t>
      </w:r>
      <w:r/>
    </w:p>
    <w:p>
      <w:pPr>
        <w:ind w:firstLine="420"/>
        <w:jc w:val="left"/>
        <w:spacing w:line="360" w:lineRule="auto"/>
        <w:rPr>
          <w:rFonts w:eastAsiaTheme="minorEastAsia"/>
          <w:bCs/>
          <w:szCs w:val="21"/>
        </w:rPr>
      </w:pPr>
      <w:r>
        <w:rPr>
          <w:rFonts w:eastAsiaTheme="minorEastAsia"/>
          <w:bCs/>
          <w:szCs w:val="21"/>
        </w:rPr>
        <w:t xml:space="preserve">3、对角线公差：≤±5mm，保证平台整体规整度；</w:t>
      </w:r>
      <w:r/>
    </w:p>
    <w:p>
      <w:pPr>
        <w:ind w:firstLine="420"/>
        <w:jc w:val="left"/>
        <w:spacing w:line="360" w:lineRule="auto"/>
        <w:rPr>
          <w:rFonts w:eastAsiaTheme="minorEastAsia"/>
          <w:bCs/>
          <w:szCs w:val="21"/>
        </w:rPr>
      </w:pPr>
      <w:r>
        <w:rPr>
          <w:rFonts w:eastAsiaTheme="minorEastAsia"/>
          <w:bCs/>
          <w:szCs w:val="21"/>
        </w:rPr>
        <w:t xml:space="preserve">4、平面度：平台承载面整体平面度≤3mm/m²，累计平面度≤10mm/全长；</w:t>
      </w:r>
      <w:r/>
    </w:p>
    <w:p>
      <w:pPr>
        <w:ind w:firstLine="420"/>
        <w:jc w:val="left"/>
        <w:spacing w:line="360" w:lineRule="auto"/>
        <w:rPr>
          <w:rFonts w:eastAsiaTheme="minorEastAsia"/>
          <w:bCs/>
          <w:szCs w:val="21"/>
        </w:rPr>
      </w:pPr>
      <w:r>
        <w:rPr>
          <w:rFonts w:eastAsiaTheme="minorEastAsia"/>
          <w:bCs/>
          <w:szCs w:val="21"/>
        </w:rPr>
        <w:t xml:space="preserve">（二）、结构设计参数</w:t>
      </w:r>
      <w:r/>
    </w:p>
    <w:p>
      <w:pPr>
        <w:ind w:firstLine="420"/>
        <w:jc w:val="left"/>
        <w:spacing w:line="360" w:lineRule="auto"/>
        <w:rPr>
          <w:rFonts w:eastAsiaTheme="minorEastAsia"/>
          <w:bCs/>
          <w:szCs w:val="21"/>
        </w:rPr>
      </w:pPr>
      <w:r>
        <w:rPr>
          <w:rFonts w:eastAsiaTheme="minorEastAsia"/>
          <w:bCs/>
          <w:szCs w:val="21"/>
        </w:rPr>
        <w:t xml:space="preserve">1、框架结构：采用主横梁+纵梁+支撑立柱一体化承重框架，主承重梁选用型钢焊接，受力均匀，无应力集中；</w:t>
      </w:r>
      <w:r/>
    </w:p>
    <w:p>
      <w:pPr>
        <w:ind w:firstLine="420"/>
        <w:jc w:val="left"/>
        <w:spacing w:line="360" w:lineRule="auto"/>
        <w:rPr>
          <w:rFonts w:eastAsiaTheme="minorEastAsia"/>
          <w:bCs/>
          <w:szCs w:val="21"/>
        </w:rPr>
      </w:pPr>
      <w:r>
        <w:rPr>
          <w:rFonts w:eastAsiaTheme="minorEastAsia"/>
          <w:bCs/>
          <w:szCs w:val="21"/>
        </w:rPr>
        <w:t xml:space="preserve">2、承重能力：</w:t>
      </w:r>
      <w:r/>
    </w:p>
    <w:p>
      <w:pPr>
        <w:ind w:firstLine="420"/>
        <w:jc w:val="left"/>
        <w:spacing w:line="360" w:lineRule="auto"/>
        <w:rPr>
          <w:rFonts w:eastAsiaTheme="minorEastAsia"/>
          <w:bCs/>
          <w:szCs w:val="21"/>
        </w:rPr>
      </w:pPr>
      <w:r>
        <w:rPr>
          <w:rFonts w:eastAsiaTheme="minorEastAsia"/>
          <w:bCs/>
          <w:szCs w:val="21"/>
        </w:rPr>
        <w:t xml:space="preserve">1）额定均布载荷：≥5kN/㎡；</w:t>
      </w:r>
      <w:r/>
    </w:p>
    <w:p>
      <w:pPr>
        <w:ind w:firstLine="420"/>
        <w:jc w:val="left"/>
        <w:spacing w:line="360" w:lineRule="auto"/>
        <w:rPr>
          <w:rFonts w:eastAsiaTheme="minorEastAsia"/>
          <w:bCs/>
          <w:szCs w:val="21"/>
        </w:rPr>
      </w:pPr>
      <w:r>
        <w:rPr>
          <w:rFonts w:eastAsiaTheme="minorEastAsia"/>
          <w:bCs/>
          <w:szCs w:val="21"/>
        </w:rPr>
        <w:t xml:space="preserve">2） 最大集中载荷：≥10kN（平台中心区域）；</w:t>
      </w:r>
      <w:r/>
    </w:p>
    <w:p>
      <w:pPr>
        <w:ind w:firstLine="420"/>
        <w:jc w:val="left"/>
        <w:spacing w:line="360" w:lineRule="auto"/>
        <w:rPr>
          <w:rFonts w:eastAsiaTheme="minorEastAsia"/>
          <w:bCs/>
          <w:szCs w:val="21"/>
        </w:rPr>
      </w:pPr>
      <w:r>
        <w:rPr>
          <w:rFonts w:eastAsiaTheme="minorEastAsia"/>
          <w:bCs/>
          <w:szCs w:val="21"/>
        </w:rPr>
        <w:t xml:space="preserve">3）极限承载安全系数：≥2.5；</w:t>
      </w:r>
      <w:r/>
    </w:p>
    <w:p>
      <w:pPr>
        <w:ind w:firstLine="420"/>
        <w:jc w:val="left"/>
        <w:spacing w:line="360" w:lineRule="auto"/>
        <w:rPr>
          <w:rFonts w:eastAsiaTheme="minorEastAsia"/>
          <w:bCs/>
          <w:szCs w:val="21"/>
        </w:rPr>
      </w:pPr>
      <w:r>
        <w:rPr>
          <w:rFonts w:eastAsiaTheme="minorEastAsia"/>
          <w:bCs/>
          <w:szCs w:val="21"/>
        </w:rPr>
        <w:t xml:space="preserve">3、抗变形性能：满载工况下，平台最大挠度≤1/500跨度，卸载后无永久变形；</w:t>
      </w:r>
      <w:r/>
    </w:p>
    <w:p>
      <w:pPr>
        <w:ind w:firstLine="420"/>
        <w:jc w:val="left"/>
        <w:spacing w:line="360" w:lineRule="auto"/>
        <w:rPr>
          <w:rFonts w:eastAsiaTheme="minorEastAsia"/>
          <w:bCs/>
          <w:szCs w:val="21"/>
        </w:rPr>
      </w:pPr>
      <w:r>
        <w:rPr>
          <w:rFonts w:eastAsiaTheme="minorEastAsia"/>
          <w:bCs/>
          <w:szCs w:val="21"/>
        </w:rPr>
        <w:t xml:space="preserve">4、抗震等级：满足GB 50981-2014《建筑机电工程抗震设计规范》，抗震设防烈度</w:t>
      </w:r>
      <w:r>
        <w:rPr>
          <w:rFonts w:eastAsiaTheme="minorEastAsia"/>
        </w:rPr>
        <w:t xml:space="preserve">≥</w:t>
      </w:r>
      <w:r>
        <w:rPr>
          <w:rFonts w:eastAsiaTheme="minorEastAsia"/>
          <w:bCs/>
          <w:szCs w:val="21"/>
        </w:rPr>
        <w:t xml:space="preserve">7度；</w:t>
      </w:r>
      <w:r/>
    </w:p>
    <w:p>
      <w:pPr>
        <w:ind w:firstLine="420"/>
        <w:jc w:val="left"/>
        <w:spacing w:line="360" w:lineRule="auto"/>
        <w:rPr>
          <w:rFonts w:eastAsiaTheme="minorEastAsia"/>
          <w:bCs/>
          <w:szCs w:val="21"/>
        </w:rPr>
      </w:pPr>
      <w:r>
        <w:rPr>
          <w:rFonts w:eastAsiaTheme="minorEastAsia"/>
          <w:bCs/>
          <w:szCs w:val="21"/>
        </w:rPr>
        <w:t xml:space="preserve">（三）、材质技术要求</w:t>
      </w:r>
      <w:r/>
    </w:p>
    <w:p>
      <w:pPr>
        <w:ind w:firstLine="420"/>
        <w:jc w:val="left"/>
        <w:spacing w:line="360" w:lineRule="auto"/>
        <w:rPr>
          <w:rFonts w:eastAsiaTheme="minorEastAsia"/>
          <w:bCs/>
          <w:szCs w:val="21"/>
        </w:rPr>
      </w:pPr>
      <w:r>
        <w:rPr>
          <w:rFonts w:eastAsiaTheme="minorEastAsia"/>
          <w:bCs/>
          <w:szCs w:val="21"/>
        </w:rPr>
        <w:t xml:space="preserve">1、框架主材：主框架采用Q235B碳素结构钢，型材规格：主横梁≥16#工字钢，纵梁≥10#槽钢，支撑立柱≥80×80×4mm方管；</w:t>
      </w:r>
      <w:r/>
    </w:p>
    <w:p>
      <w:pPr>
        <w:ind w:firstLine="420"/>
        <w:jc w:val="left"/>
        <w:spacing w:line="360" w:lineRule="auto"/>
        <w:rPr>
          <w:rFonts w:eastAsiaTheme="minorEastAsia"/>
          <w:bCs/>
          <w:szCs w:val="21"/>
        </w:rPr>
      </w:pPr>
      <w:r>
        <w:rPr>
          <w:rFonts w:eastAsiaTheme="minorEastAsia"/>
          <w:bCs/>
          <w:szCs w:val="21"/>
        </w:rPr>
        <w:t xml:space="preserve">2、平台面板：选用4mm厚花纹钢板（扁豆型），面板与框架满焊/螺栓固定，连接牢固无松动；</w:t>
      </w:r>
      <w:r/>
    </w:p>
    <w:p>
      <w:pPr>
        <w:ind w:firstLine="420"/>
        <w:jc w:val="left"/>
        <w:spacing w:line="360" w:lineRule="auto"/>
        <w:rPr>
          <w:rFonts w:eastAsiaTheme="minorEastAsia"/>
          <w:bCs/>
          <w:szCs w:val="21"/>
        </w:rPr>
      </w:pPr>
      <w:r>
        <w:rPr>
          <w:rFonts w:eastAsiaTheme="minorEastAsia"/>
          <w:bCs/>
          <w:szCs w:val="21"/>
        </w:rPr>
        <w:t xml:space="preserve">3、防腐材质：</w:t>
      </w:r>
      <w:r/>
    </w:p>
    <w:p>
      <w:pPr>
        <w:ind w:firstLine="420"/>
        <w:jc w:val="left"/>
        <w:spacing w:line="360" w:lineRule="auto"/>
        <w:rPr>
          <w:rFonts w:eastAsiaTheme="minorEastAsia"/>
          <w:bCs/>
          <w:szCs w:val="21"/>
        </w:rPr>
      </w:pPr>
      <w:r>
        <w:rPr>
          <w:rFonts w:eastAsiaTheme="minorEastAsia"/>
          <w:bCs/>
          <w:szCs w:val="21"/>
        </w:rPr>
        <w:t xml:space="preserve">1）表面处理：整体抛丸除锈，除锈等级达到Sa2.5级以上；</w:t>
      </w:r>
      <w:r/>
    </w:p>
    <w:p>
      <w:pPr>
        <w:ind w:firstLine="420"/>
        <w:jc w:val="left"/>
        <w:spacing w:line="360" w:lineRule="auto"/>
        <w:rPr>
          <w:rFonts w:eastAsiaTheme="minorEastAsia"/>
          <w:bCs/>
          <w:szCs w:val="21"/>
        </w:rPr>
      </w:pPr>
      <w:r>
        <w:rPr>
          <w:rFonts w:eastAsiaTheme="minorEastAsia"/>
          <w:bCs/>
          <w:szCs w:val="21"/>
        </w:rPr>
        <w:t xml:space="preserve">2） 防腐涂层：底漆采用环氧富锌底漆（干膜厚度≥40μm），面漆采用丙烯酸聚氨酯面漆（干膜厚度≥60μm），总涂层厚度≥100μm，耐盐雾、耐腐蚀、抗老化</w:t>
      </w:r>
      <w:r/>
    </w:p>
    <w:p>
      <w:pPr>
        <w:ind w:firstLine="420"/>
        <w:jc w:val="left"/>
        <w:spacing w:line="360" w:lineRule="auto"/>
        <w:rPr>
          <w:rFonts w:eastAsiaTheme="minorEastAsia"/>
          <w:bCs/>
          <w:szCs w:val="21"/>
        </w:rPr>
      </w:pPr>
      <w:r>
        <w:rPr>
          <w:rFonts w:eastAsiaTheme="minorEastAsia"/>
          <w:bCs/>
          <w:szCs w:val="21"/>
        </w:rPr>
        <w:t xml:space="preserve">4、紧固件：全部采用</w:t>
      </w:r>
      <w:r>
        <w:rPr>
          <w:rFonts w:eastAsiaTheme="minorEastAsia"/>
        </w:rPr>
        <w:t xml:space="preserve">≥</w:t>
      </w:r>
      <w:r>
        <w:rPr>
          <w:rFonts w:eastAsiaTheme="minorEastAsia"/>
          <w:bCs/>
          <w:szCs w:val="21"/>
        </w:rPr>
        <w:t xml:space="preserve">8.8级高强度镀锌螺栓，防松防滑，避免使用过程中松动；</w:t>
      </w:r>
      <w:r/>
    </w:p>
    <w:p>
      <w:pPr>
        <w:ind w:firstLine="420"/>
        <w:jc w:val="left"/>
        <w:spacing w:line="360" w:lineRule="auto"/>
        <w:rPr>
          <w:rFonts w:eastAsiaTheme="minorEastAsia"/>
          <w:bCs/>
          <w:szCs w:val="21"/>
        </w:rPr>
      </w:pPr>
      <w:r>
        <w:rPr>
          <w:rFonts w:eastAsiaTheme="minorEastAsia"/>
          <w:bCs/>
          <w:szCs w:val="21"/>
        </w:rPr>
        <w:t xml:space="preserve">（四）、功能配套指标</w:t>
      </w:r>
      <w:r/>
    </w:p>
    <w:p>
      <w:pPr>
        <w:ind w:firstLine="420"/>
        <w:jc w:val="left"/>
        <w:spacing w:line="360" w:lineRule="auto"/>
        <w:rPr>
          <w:rFonts w:eastAsiaTheme="minorEastAsia"/>
          <w:bCs/>
          <w:szCs w:val="21"/>
        </w:rPr>
      </w:pPr>
      <w:r>
        <w:rPr>
          <w:rFonts w:eastAsiaTheme="minorEastAsia"/>
          <w:bCs/>
          <w:szCs w:val="21"/>
        </w:rPr>
        <w:t xml:space="preserve">1、吊装配置：平台四角设置专用吊装耳板/吊环，吊点承重≥整体满载重量的2倍，满足整体一次性吊装要求，吊装耳板与主框架满焊连接；</w:t>
      </w:r>
      <w:r/>
    </w:p>
    <w:p>
      <w:pPr>
        <w:ind w:firstLine="420"/>
        <w:jc w:val="left"/>
        <w:spacing w:line="360" w:lineRule="auto"/>
        <w:rPr>
          <w:rFonts w:eastAsiaTheme="minorEastAsia"/>
          <w:bCs/>
          <w:szCs w:val="21"/>
        </w:rPr>
      </w:pPr>
      <w:r>
        <w:rPr>
          <w:rFonts w:eastAsiaTheme="minorEastAsia"/>
          <w:bCs/>
          <w:szCs w:val="21"/>
        </w:rPr>
        <w:t xml:space="preserve">2、防滑设计：面板采用花纹防滑处理，平台四周设置≥100mm高挡边/踢脚板，防止工具、物料滑落；</w:t>
      </w:r>
      <w:r/>
    </w:p>
    <w:p>
      <w:pPr>
        <w:ind w:firstLine="420"/>
        <w:jc w:val="left"/>
        <w:spacing w:line="360" w:lineRule="auto"/>
        <w:rPr>
          <w:rFonts w:eastAsiaTheme="minorEastAsia"/>
          <w:bCs/>
          <w:szCs w:val="21"/>
        </w:rPr>
      </w:pPr>
      <w:r>
        <w:rPr>
          <w:rFonts w:eastAsiaTheme="minorEastAsia"/>
          <w:bCs/>
          <w:szCs w:val="21"/>
        </w:rPr>
        <w:t xml:space="preserve">3、防护配置：平台单侧/双侧设置可拆卸式安全护栏，护栏高度≥1100mm，横杆≥2道，立杆间距≤1000mm，护栏材质与框架一致，连接牢固；</w:t>
      </w:r>
      <w:r/>
    </w:p>
    <w:p>
      <w:pPr>
        <w:ind w:firstLine="420"/>
        <w:jc w:val="left"/>
        <w:spacing w:line="360" w:lineRule="auto"/>
        <w:rPr>
          <w:rFonts w:eastAsiaTheme="minorEastAsia"/>
          <w:bCs/>
          <w:szCs w:val="21"/>
        </w:rPr>
      </w:pPr>
      <w:r>
        <w:rPr>
          <w:rFonts w:eastAsiaTheme="minorEastAsia"/>
          <w:bCs/>
          <w:szCs w:val="21"/>
        </w:rPr>
        <w:t xml:space="preserve">4、接地装置：预留防静电/防雷接地端子，接地电阻≤4Ω，满足电气设备防静电安全要求；</w:t>
      </w:r>
      <w:r/>
    </w:p>
    <w:p>
      <w:pPr>
        <w:ind w:firstLine="420"/>
        <w:jc w:val="left"/>
        <w:spacing w:line="360" w:lineRule="auto"/>
        <w:rPr>
          <w:rFonts w:eastAsiaTheme="minorEastAsia"/>
          <w:bCs/>
          <w:szCs w:val="21"/>
        </w:rPr>
      </w:pPr>
      <w:r>
        <w:rPr>
          <w:rFonts w:eastAsiaTheme="minorEastAsia"/>
          <w:bCs/>
          <w:szCs w:val="21"/>
        </w:rPr>
        <w:t xml:space="preserve">5、管线预留：可根据需求，预留管线穿孔、电缆桥架安装位，开孔边缘做钝化、防腐处理；</w:t>
      </w:r>
      <w:r/>
    </w:p>
    <w:p>
      <w:pPr>
        <w:ind w:firstLine="420"/>
        <w:jc w:val="left"/>
        <w:spacing w:line="360" w:lineRule="auto"/>
        <w:rPr>
          <w:rFonts w:eastAsiaTheme="minorEastAsia"/>
          <w:bCs/>
          <w:szCs w:val="21"/>
        </w:rPr>
      </w:pPr>
      <w:r>
        <w:rPr>
          <w:rFonts w:eastAsiaTheme="minorEastAsia"/>
          <w:bCs/>
          <w:szCs w:val="21"/>
        </w:rPr>
        <w:t xml:space="preserve">（五）、运输与安装指标</w:t>
      </w:r>
      <w:r/>
    </w:p>
    <w:p>
      <w:pPr>
        <w:ind w:firstLine="420"/>
        <w:jc w:val="left"/>
        <w:spacing w:line="360" w:lineRule="auto"/>
        <w:rPr>
          <w:rFonts w:eastAsiaTheme="minorEastAsia"/>
          <w:bCs/>
          <w:szCs w:val="21"/>
        </w:rPr>
      </w:pPr>
      <w:r>
        <w:rPr>
          <w:rFonts w:eastAsiaTheme="minorEastAsia"/>
          <w:bCs/>
          <w:szCs w:val="21"/>
        </w:rPr>
        <w:t xml:space="preserve">1、整体重量：空载自重≤3500kg（不含附属设备），便于吊装转运；</w:t>
      </w:r>
      <w:r/>
    </w:p>
    <w:p>
      <w:pPr>
        <w:ind w:firstLine="420"/>
        <w:jc w:val="left"/>
        <w:spacing w:line="360" w:lineRule="auto"/>
        <w:rPr>
          <w:rFonts w:eastAsiaTheme="minorEastAsia"/>
          <w:bCs/>
          <w:szCs w:val="21"/>
        </w:rPr>
      </w:pPr>
      <w:r>
        <w:rPr>
          <w:rFonts w:eastAsiaTheme="minorEastAsia"/>
          <w:bCs/>
          <w:szCs w:val="21"/>
        </w:rPr>
        <w:t xml:space="preserve">2、安装方式：落地式直接放置，底部设置可调平支撑脚/底座垫板，适配不同平整地面，安装无需土建预埋，快速就位；</w:t>
      </w:r>
      <w:r/>
    </w:p>
    <w:p>
      <w:pPr>
        <w:ind w:firstLine="420"/>
        <w:jc w:val="left"/>
        <w:spacing w:line="360" w:lineRule="auto"/>
        <w:rPr>
          <w:rFonts w:eastAsiaTheme="minorEastAsia"/>
          <w:bCs/>
          <w:szCs w:val="21"/>
        </w:rPr>
      </w:pPr>
      <w:r>
        <w:rPr>
          <w:rFonts w:eastAsiaTheme="minorEastAsia"/>
          <w:bCs/>
          <w:szCs w:val="21"/>
        </w:rPr>
        <w:t xml:space="preserve">3、环境适配性：</w:t>
      </w:r>
      <w:r/>
    </w:p>
    <w:p>
      <w:pPr>
        <w:ind w:firstLine="420"/>
        <w:jc w:val="left"/>
        <w:spacing w:line="360" w:lineRule="auto"/>
        <w:rPr>
          <w:rFonts w:eastAsiaTheme="minorEastAsia"/>
          <w:bCs/>
          <w:szCs w:val="21"/>
        </w:rPr>
      </w:pPr>
      <w:r>
        <w:rPr>
          <w:rFonts w:eastAsiaTheme="minorEastAsia"/>
          <w:bCs/>
          <w:szCs w:val="21"/>
        </w:rPr>
        <w:t xml:space="preserve">1）工作环境温度：-20℃~+60℃；</w:t>
      </w:r>
      <w:r/>
    </w:p>
    <w:p>
      <w:pPr>
        <w:ind w:firstLine="420"/>
        <w:jc w:val="left"/>
        <w:spacing w:line="360" w:lineRule="auto"/>
        <w:rPr>
          <w:rFonts w:eastAsiaTheme="minorEastAsia"/>
          <w:bCs/>
          <w:szCs w:val="21"/>
        </w:rPr>
      </w:pPr>
      <w:r>
        <w:rPr>
          <w:rFonts w:eastAsiaTheme="minorEastAsia"/>
          <w:bCs/>
          <w:szCs w:val="21"/>
        </w:rPr>
        <w:t xml:space="preserve">2）适应湿度：≤95%（无冷凝）；</w:t>
      </w:r>
      <w:r/>
    </w:p>
    <w:p>
      <w:pPr>
        <w:ind w:firstLine="420"/>
        <w:jc w:val="left"/>
        <w:spacing w:line="360" w:lineRule="auto"/>
        <w:rPr>
          <w:rFonts w:eastAsiaTheme="minorEastAsia"/>
          <w:bCs/>
          <w:szCs w:val="21"/>
        </w:rPr>
      </w:pPr>
      <w:r>
        <w:rPr>
          <w:rFonts w:eastAsiaTheme="minorEastAsia"/>
          <w:bCs/>
          <w:szCs w:val="21"/>
        </w:rPr>
        <w:t xml:space="preserve">（六）、质量与验收标准</w:t>
      </w:r>
      <w:r/>
    </w:p>
    <w:p>
      <w:pPr>
        <w:ind w:firstLine="420"/>
        <w:jc w:val="left"/>
        <w:spacing w:line="360" w:lineRule="auto"/>
        <w:rPr>
          <w:rFonts w:eastAsiaTheme="minorEastAsia"/>
          <w:bCs/>
          <w:szCs w:val="21"/>
        </w:rPr>
      </w:pPr>
      <w:r>
        <w:rPr>
          <w:rFonts w:eastAsiaTheme="minorEastAsia"/>
          <w:bCs/>
          <w:szCs w:val="21"/>
        </w:rPr>
        <w:t xml:space="preserve">1、制造标准：符合GB 50205-2020《钢结构工程施工质量验收标准》、现行撬装式设备通用技术要求；</w:t>
      </w:r>
      <w:r/>
    </w:p>
    <w:p>
      <w:pPr>
        <w:ind w:firstLine="420"/>
        <w:jc w:val="left"/>
        <w:spacing w:line="360" w:lineRule="auto"/>
        <w:rPr>
          <w:rFonts w:eastAsiaTheme="minorEastAsia"/>
          <w:bCs/>
          <w:szCs w:val="21"/>
        </w:rPr>
      </w:pPr>
      <w:r>
        <w:rPr>
          <w:rFonts w:eastAsiaTheme="minorEastAsia"/>
          <w:bCs/>
          <w:szCs w:val="21"/>
        </w:rPr>
        <w:t xml:space="preserve">2、焊接质量：所有承重焊缝为全熔透焊，焊缝高度≥6mm，无气孔、夹渣、裂纹、未焊透等缺陷，焊缝做无损探伤检测；</w:t>
      </w:r>
      <w:r/>
    </w:p>
    <w:p>
      <w:pPr>
        <w:ind w:firstLine="420"/>
        <w:jc w:val="left"/>
        <w:spacing w:line="360" w:lineRule="auto"/>
        <w:rPr>
          <w:rFonts w:eastAsiaTheme="minorEastAsia"/>
          <w:bCs/>
          <w:szCs w:val="21"/>
        </w:rPr>
      </w:pPr>
      <w:r>
        <w:rPr>
          <w:rFonts w:eastAsiaTheme="minorEastAsia"/>
          <w:bCs/>
          <w:szCs w:val="21"/>
        </w:rPr>
        <w:t xml:space="preserve">3、涂层验收：涂层附着力达标，无起皱、脱落、漏涂，厚度符合设计要求；</w:t>
      </w:r>
      <w:r/>
    </w:p>
    <w:p>
      <w:pPr>
        <w:jc w:val="center"/>
        <w:spacing w:line="360" w:lineRule="auto"/>
        <w:rPr>
          <w:rFonts w:eastAsiaTheme="minorEastAsia"/>
          <w:b/>
          <w:bCs/>
          <w:szCs w:val="21"/>
        </w:rPr>
      </w:pPr>
      <w:r>
        <w:rPr>
          <w:rFonts w:eastAsiaTheme="minorEastAsia"/>
          <w:b/>
          <w:bCs/>
          <w:szCs w:val="21"/>
        </w:rPr>
        <w:t xml:space="preserve">品目十四 辅助设备与设施</w:t>
      </w:r>
      <w:r/>
    </w:p>
    <w:p>
      <w:pPr>
        <w:pStyle w:val="1357"/>
        <w:ind w:firstLine="420"/>
        <w:spacing w:before="0" w:beforeAutospacing="0" w:after="0" w:afterAutospacing="0" w:line="360" w:lineRule="auto"/>
        <w:rPr>
          <w:rFonts w:ascii="Times New Roman" w:hAnsi="Times New Roman" w:eastAsiaTheme="minorEastAsia"/>
          <w:color w:val="333333"/>
          <w:sz w:val="21"/>
          <w:szCs w:val="21"/>
        </w:rPr>
      </w:pPr>
      <w:r>
        <w:rPr>
          <w:rFonts w:ascii="Times New Roman" w:hAnsi="Times New Roman" w:eastAsiaTheme="minorEastAsia"/>
          <w:bCs/>
          <w:sz w:val="21"/>
          <w:szCs w:val="21"/>
        </w:rPr>
        <w:t xml:space="preserve">（一）、</w:t>
      </w:r>
      <w:r>
        <w:rPr>
          <w:rFonts w:ascii="Times New Roman" w:hAnsi="Times New Roman" w:eastAsiaTheme="minorEastAsia"/>
          <w:color w:val="333333"/>
          <w:sz w:val="21"/>
          <w:szCs w:val="21"/>
        </w:rPr>
        <w:t xml:space="preserve">鼓风机</w:t>
      </w:r>
      <w:r/>
    </w:p>
    <w:p>
      <w:pPr>
        <w:ind w:firstLine="420"/>
        <w:spacing w:line="360" w:lineRule="auto"/>
        <w:rPr>
          <w:rFonts w:eastAsiaTheme="minorEastAsia"/>
          <w:bCs/>
          <w:szCs w:val="21"/>
        </w:rPr>
      </w:pPr>
      <w:r>
        <w:rPr>
          <w:rFonts w:eastAsiaTheme="minorEastAsia"/>
          <w:bCs/>
          <w:szCs w:val="21"/>
        </w:rPr>
        <w:t xml:space="preserve">1、含配</w:t>
      </w:r>
      <w:r>
        <w:rPr>
          <w:rFonts w:eastAsiaTheme="minorEastAsia"/>
          <w:szCs w:val="21"/>
        </w:rPr>
        <w:t xml:space="preserve">不少于</w:t>
      </w:r>
      <w:r>
        <w:rPr>
          <w:rFonts w:eastAsiaTheme="minorEastAsia"/>
          <w:bCs/>
          <w:szCs w:val="21"/>
        </w:rPr>
        <w:t xml:space="preserve">8米风管；</w:t>
      </w:r>
      <w:r/>
    </w:p>
    <w:p>
      <w:pPr>
        <w:ind w:firstLine="420"/>
        <w:spacing w:line="360" w:lineRule="auto"/>
        <w:rPr>
          <w:rFonts w:eastAsiaTheme="minorEastAsia"/>
          <w:bCs/>
          <w:szCs w:val="21"/>
        </w:rPr>
      </w:pPr>
      <w:r>
        <w:rPr>
          <w:rFonts w:eastAsiaTheme="minorEastAsia"/>
          <w:bCs/>
          <w:szCs w:val="21"/>
        </w:rPr>
        <w:t xml:space="preserve">2、风量：1500-2100m³/h；</w:t>
      </w:r>
      <w:r/>
    </w:p>
    <w:p>
      <w:pPr>
        <w:ind w:firstLine="420"/>
        <w:spacing w:line="360" w:lineRule="auto"/>
        <w:rPr>
          <w:rFonts w:eastAsiaTheme="minorEastAsia"/>
          <w:bCs/>
          <w:szCs w:val="21"/>
        </w:rPr>
      </w:pPr>
      <w:r>
        <w:rPr>
          <w:rFonts w:eastAsiaTheme="minorEastAsia"/>
          <w:bCs/>
          <w:szCs w:val="21"/>
        </w:rPr>
        <w:t xml:space="preserve">3、静压力：250-420Pa；</w:t>
      </w:r>
      <w:r/>
    </w:p>
    <w:p>
      <w:pPr>
        <w:ind w:firstLine="420"/>
        <w:spacing w:line="360" w:lineRule="auto"/>
        <w:rPr>
          <w:rFonts w:eastAsiaTheme="minorEastAsia"/>
          <w:bCs/>
          <w:szCs w:val="21"/>
        </w:rPr>
      </w:pPr>
      <w:r>
        <w:rPr>
          <w:rFonts w:eastAsiaTheme="minorEastAsia"/>
          <w:bCs/>
          <w:szCs w:val="21"/>
        </w:rPr>
        <w:t xml:space="preserve">4、功率：</w:t>
      </w:r>
      <w:r>
        <w:rPr>
          <w:rFonts w:eastAsiaTheme="minorEastAsia"/>
          <w:szCs w:val="21"/>
        </w:rPr>
        <w:t xml:space="preserve">≥</w:t>
      </w:r>
      <w:r>
        <w:rPr>
          <w:rFonts w:eastAsiaTheme="minorEastAsia"/>
          <w:bCs/>
          <w:szCs w:val="21"/>
        </w:rPr>
        <w:t xml:space="preserve">0.15KW；</w:t>
      </w:r>
      <w:r/>
    </w:p>
    <w:p>
      <w:pPr>
        <w:ind w:firstLine="420"/>
        <w:spacing w:line="360" w:lineRule="auto"/>
        <w:rPr>
          <w:rFonts w:eastAsiaTheme="minorEastAsia"/>
          <w:bCs/>
          <w:szCs w:val="21"/>
        </w:rPr>
      </w:pPr>
      <w:r>
        <w:rPr>
          <w:rFonts w:eastAsiaTheme="minorEastAsia"/>
          <w:bCs/>
          <w:szCs w:val="21"/>
        </w:rPr>
        <w:t xml:space="preserve">5、转速：</w:t>
      </w:r>
      <w:r>
        <w:rPr>
          <w:rFonts w:eastAsiaTheme="minorEastAsia"/>
          <w:szCs w:val="21"/>
        </w:rPr>
        <w:t xml:space="preserve">≥</w:t>
      </w:r>
      <w:r>
        <w:rPr>
          <w:rFonts w:eastAsiaTheme="minorEastAsia"/>
          <w:bCs/>
          <w:szCs w:val="21"/>
        </w:rPr>
        <w:t xml:space="preserve">2800r/min；</w:t>
      </w:r>
      <w:r/>
    </w:p>
    <w:p>
      <w:pPr>
        <w:ind w:firstLine="420"/>
        <w:spacing w:line="360" w:lineRule="auto"/>
        <w:rPr>
          <w:rFonts w:eastAsiaTheme="minorEastAsia"/>
          <w:bCs/>
          <w:szCs w:val="21"/>
        </w:rPr>
      </w:pPr>
      <w:r>
        <w:rPr>
          <w:rFonts w:eastAsiaTheme="minorEastAsia"/>
          <w:bCs/>
          <w:szCs w:val="21"/>
        </w:rPr>
        <w:t xml:space="preserve">6、频率：50-60Hz；</w:t>
      </w:r>
      <w:r/>
    </w:p>
    <w:p>
      <w:pPr>
        <w:pStyle w:val="1357"/>
        <w:ind w:firstLine="420"/>
        <w:spacing w:before="0" w:beforeAutospacing="0" w:after="0" w:afterAutospacing="0" w:line="360" w:lineRule="auto"/>
        <w:rPr>
          <w:rFonts w:ascii="Times New Roman" w:hAnsi="Times New Roman" w:eastAsiaTheme="minorEastAsia"/>
          <w:color w:val="333333"/>
          <w:sz w:val="21"/>
          <w:szCs w:val="21"/>
        </w:rPr>
      </w:pPr>
      <w:r>
        <w:rPr>
          <w:rFonts w:ascii="Times New Roman" w:hAnsi="Times New Roman" w:eastAsiaTheme="minorEastAsia"/>
          <w:bCs/>
          <w:sz w:val="21"/>
          <w:szCs w:val="21"/>
        </w:rPr>
        <w:t xml:space="preserve">7、电压：220V-240V</w:t>
      </w:r>
      <w:r>
        <w:rPr>
          <w:rFonts w:ascii="Times New Roman" w:hAnsi="Times New Roman" w:eastAsiaTheme="minorEastAsia"/>
          <w:bCs/>
          <w:szCs w:val="21"/>
        </w:rPr>
        <w:t xml:space="preserve">；</w:t>
      </w:r>
      <w:r/>
    </w:p>
    <w:p>
      <w:pPr>
        <w:pStyle w:val="1357"/>
        <w:ind w:firstLine="420"/>
        <w:spacing w:before="0" w:beforeAutospacing="0" w:after="0" w:afterAutospacing="0" w:line="360" w:lineRule="auto"/>
        <w:rPr>
          <w:rFonts w:ascii="Times New Roman" w:hAnsi="Times New Roman" w:eastAsiaTheme="minorEastAsia"/>
          <w:color w:val="333333"/>
          <w:sz w:val="21"/>
          <w:szCs w:val="21"/>
        </w:rPr>
      </w:pPr>
      <w:r>
        <w:rPr>
          <w:rFonts w:ascii="Times New Roman" w:hAnsi="Times New Roman" w:eastAsiaTheme="minorEastAsia"/>
          <w:bCs/>
          <w:sz w:val="21"/>
          <w:szCs w:val="21"/>
        </w:rPr>
        <w:t xml:space="preserve">（二）、</w:t>
      </w:r>
      <w:r>
        <w:rPr>
          <w:rFonts w:ascii="Times New Roman" w:hAnsi="Times New Roman" w:eastAsiaTheme="minorEastAsia"/>
          <w:sz w:val="21"/>
          <w:szCs w:val="21"/>
        </w:rPr>
        <w:t xml:space="preserve">防爆通风机</w:t>
      </w:r>
      <w:r/>
    </w:p>
    <w:p>
      <w:pPr>
        <w:ind w:firstLine="420"/>
        <w:spacing w:line="360" w:lineRule="auto"/>
        <w:rPr>
          <w:rFonts w:eastAsiaTheme="minorEastAsia"/>
          <w:bCs/>
          <w:szCs w:val="21"/>
        </w:rPr>
      </w:pPr>
      <w:r>
        <w:rPr>
          <w:rFonts w:eastAsiaTheme="minorEastAsia"/>
          <w:bCs/>
          <w:szCs w:val="21"/>
        </w:rPr>
        <w:t xml:space="preserve">1、含配不少于8米风管；</w:t>
      </w:r>
      <w:r/>
    </w:p>
    <w:p>
      <w:pPr>
        <w:ind w:firstLine="420"/>
        <w:spacing w:line="360" w:lineRule="auto"/>
        <w:rPr>
          <w:rFonts w:eastAsiaTheme="minorEastAsia"/>
          <w:bCs/>
          <w:szCs w:val="21"/>
        </w:rPr>
      </w:pPr>
      <w:r>
        <w:rPr>
          <w:rFonts w:eastAsiaTheme="minorEastAsia"/>
          <w:bCs/>
          <w:szCs w:val="21"/>
        </w:rPr>
        <w:t xml:space="preserve">2、风量：≥20m³/min； </w:t>
      </w:r>
      <w:r/>
    </w:p>
    <w:p>
      <w:pPr>
        <w:ind w:firstLine="420"/>
        <w:spacing w:line="360" w:lineRule="auto"/>
        <w:rPr>
          <w:rFonts w:eastAsiaTheme="minorEastAsia"/>
          <w:bCs/>
          <w:szCs w:val="21"/>
        </w:rPr>
      </w:pPr>
      <w:r>
        <w:rPr>
          <w:rFonts w:eastAsiaTheme="minorEastAsia"/>
          <w:bCs/>
          <w:szCs w:val="21"/>
        </w:rPr>
        <w:t xml:space="preserve">3、静压力：250-420Pa；</w:t>
      </w:r>
      <w:r/>
    </w:p>
    <w:p>
      <w:pPr>
        <w:ind w:firstLine="420"/>
        <w:spacing w:line="360" w:lineRule="auto"/>
        <w:rPr>
          <w:rFonts w:eastAsiaTheme="minorEastAsia"/>
          <w:bCs/>
          <w:szCs w:val="21"/>
        </w:rPr>
      </w:pPr>
      <w:r>
        <w:rPr>
          <w:rFonts w:eastAsiaTheme="minorEastAsia"/>
          <w:bCs/>
          <w:szCs w:val="21"/>
        </w:rPr>
        <w:t xml:space="preserve">4、功率：</w:t>
      </w:r>
      <w:r>
        <w:rPr>
          <w:rFonts w:eastAsiaTheme="minorEastAsia"/>
          <w:szCs w:val="21"/>
        </w:rPr>
        <w:t xml:space="preserve">≥</w:t>
      </w:r>
      <w:r>
        <w:rPr>
          <w:rFonts w:eastAsiaTheme="minorEastAsia"/>
          <w:bCs/>
          <w:szCs w:val="21"/>
        </w:rPr>
        <w:t xml:space="preserve">0.15KW； </w:t>
      </w:r>
      <w:r/>
    </w:p>
    <w:p>
      <w:pPr>
        <w:ind w:firstLine="420"/>
        <w:spacing w:line="360" w:lineRule="auto"/>
        <w:rPr>
          <w:rFonts w:eastAsiaTheme="minorEastAsia"/>
          <w:bCs/>
          <w:szCs w:val="21"/>
        </w:rPr>
      </w:pPr>
      <w:r>
        <w:rPr>
          <w:rFonts w:eastAsiaTheme="minorEastAsia"/>
          <w:bCs/>
          <w:szCs w:val="21"/>
        </w:rPr>
        <w:t xml:space="preserve">5、转速：≥2800r/min；</w:t>
      </w:r>
      <w:r/>
    </w:p>
    <w:p>
      <w:pPr>
        <w:ind w:firstLine="420"/>
        <w:spacing w:line="360" w:lineRule="auto"/>
        <w:rPr>
          <w:rFonts w:eastAsiaTheme="minorEastAsia"/>
          <w:bCs/>
          <w:szCs w:val="21"/>
        </w:rPr>
      </w:pPr>
      <w:r>
        <w:rPr>
          <w:rFonts w:eastAsiaTheme="minorEastAsia"/>
          <w:bCs/>
          <w:szCs w:val="21"/>
        </w:rPr>
        <w:t xml:space="preserve">6、频率：50-60Hz；</w:t>
      </w:r>
      <w:r/>
    </w:p>
    <w:p>
      <w:pPr>
        <w:ind w:firstLine="420"/>
        <w:spacing w:line="360" w:lineRule="auto"/>
        <w:rPr>
          <w:rFonts w:eastAsiaTheme="minorEastAsia"/>
          <w:bCs/>
          <w:szCs w:val="21"/>
        </w:rPr>
      </w:pPr>
      <w:r>
        <w:rPr>
          <w:rFonts w:eastAsiaTheme="minorEastAsia"/>
          <w:bCs/>
          <w:szCs w:val="21"/>
        </w:rPr>
        <w:t xml:space="preserve">7、防爆等级：Ex db IIB T4 Gb；</w:t>
      </w:r>
      <w:r/>
    </w:p>
    <w:p>
      <w:pPr>
        <w:pStyle w:val="1357"/>
        <w:ind w:firstLine="420"/>
        <w:spacing w:before="0" w:beforeAutospacing="0" w:after="0" w:afterAutospacing="0" w:line="360" w:lineRule="auto"/>
        <w:rPr>
          <w:rFonts w:ascii="Times New Roman" w:hAnsi="Times New Roman" w:eastAsiaTheme="minorEastAsia"/>
          <w:bCs/>
          <w:sz w:val="21"/>
          <w:szCs w:val="21"/>
        </w:rPr>
      </w:pPr>
      <w:r>
        <w:rPr>
          <w:rFonts w:ascii="Times New Roman" w:hAnsi="Times New Roman" w:eastAsiaTheme="minorEastAsia"/>
          <w:bCs/>
          <w:sz w:val="21"/>
          <w:szCs w:val="21"/>
        </w:rPr>
        <w:t xml:space="preserve">8、防护等级：</w:t>
      </w:r>
      <w:r>
        <w:rPr>
          <w:rFonts w:ascii="Times New Roman" w:hAnsi="Times New Roman" w:eastAsiaTheme="minorEastAsia"/>
          <w:sz w:val="21"/>
          <w:szCs w:val="21"/>
        </w:rPr>
        <w:t xml:space="preserve">≥</w:t>
      </w:r>
      <w:r>
        <w:rPr>
          <w:rFonts w:ascii="Times New Roman" w:hAnsi="Times New Roman" w:eastAsiaTheme="minorEastAsia"/>
          <w:bCs/>
          <w:sz w:val="21"/>
          <w:szCs w:val="21"/>
        </w:rPr>
        <w:t xml:space="preserve">IP55</w:t>
      </w:r>
      <w:r>
        <w:rPr>
          <w:rFonts w:ascii="Times New Roman" w:hAnsi="Times New Roman" w:eastAsiaTheme="minorEastAsia"/>
          <w:bCs/>
          <w:szCs w:val="21"/>
        </w:rPr>
        <w:t xml:space="preserve">；</w:t>
      </w:r>
      <w:r/>
    </w:p>
    <w:p>
      <w:pPr>
        <w:pStyle w:val="1357"/>
        <w:ind w:firstLine="420"/>
        <w:spacing w:before="0" w:beforeAutospacing="0" w:after="0" w:afterAutospacing="0" w:line="360" w:lineRule="auto"/>
        <w:rPr>
          <w:rFonts w:ascii="Times New Roman" w:hAnsi="Times New Roman" w:eastAsiaTheme="minorEastAsia"/>
          <w:color w:val="333333"/>
          <w:sz w:val="21"/>
          <w:szCs w:val="21"/>
        </w:rPr>
      </w:pPr>
      <w:r>
        <w:rPr>
          <w:rFonts w:ascii="Times New Roman" w:hAnsi="Times New Roman" w:eastAsiaTheme="minorEastAsia"/>
          <w:bCs/>
          <w:sz w:val="21"/>
          <w:szCs w:val="21"/>
        </w:rPr>
        <w:t xml:space="preserve">（三）、</w:t>
      </w:r>
      <w:r>
        <w:rPr>
          <w:rFonts w:ascii="Times New Roman" w:hAnsi="Times New Roman" w:eastAsiaTheme="minorEastAsia"/>
          <w:sz w:val="21"/>
          <w:szCs w:val="21"/>
        </w:rPr>
        <w:t xml:space="preserve">车间地沟盖板</w:t>
      </w:r>
      <w:r/>
    </w:p>
    <w:p>
      <w:pPr>
        <w:ind w:firstLine="420"/>
        <w:spacing w:line="360" w:lineRule="auto"/>
        <w:rPr>
          <w:rFonts w:eastAsiaTheme="minorEastAsia"/>
          <w:bCs/>
          <w:szCs w:val="21"/>
        </w:rPr>
      </w:pPr>
      <w:r>
        <w:rPr>
          <w:rFonts w:eastAsiaTheme="minorEastAsia"/>
          <w:bCs/>
          <w:szCs w:val="21"/>
        </w:rPr>
        <w:t xml:space="preserve">1、车间两侧采用塑料栅格板，盖住地沟，配支撑件并安装。</w:t>
      </w:r>
      <w:r/>
    </w:p>
    <w:p>
      <w:pPr>
        <w:pStyle w:val="1357"/>
        <w:ind w:firstLine="420"/>
        <w:spacing w:before="0" w:beforeAutospacing="0" w:after="0" w:afterAutospacing="0" w:line="360" w:lineRule="auto"/>
        <w:rPr>
          <w:rFonts w:ascii="Times New Roman" w:hAnsi="Times New Roman" w:eastAsiaTheme="minorEastAsia"/>
          <w:bCs/>
          <w:sz w:val="21"/>
          <w:szCs w:val="21"/>
        </w:rPr>
      </w:pPr>
      <w:r>
        <w:rPr>
          <w:rFonts w:ascii="Times New Roman" w:hAnsi="Times New Roman" w:eastAsiaTheme="minorEastAsia"/>
          <w:bCs/>
          <w:sz w:val="21"/>
          <w:szCs w:val="21"/>
        </w:rPr>
        <w:t xml:space="preserve">2、栅格板宽约0.6m，厚40mm、长约86米，以现场测量为准，确保强度足够。</w:t>
      </w:r>
      <w:r/>
    </w:p>
    <w:p>
      <w:pPr>
        <w:pStyle w:val="1357"/>
        <w:ind w:firstLine="420"/>
        <w:spacing w:before="0" w:beforeAutospacing="0" w:after="0" w:afterAutospacing="0" w:line="360" w:lineRule="auto"/>
        <w:rPr>
          <w:rFonts w:ascii="Times New Roman" w:hAnsi="Times New Roman" w:eastAsiaTheme="minorEastAsia"/>
          <w:color w:val="333333"/>
          <w:sz w:val="21"/>
          <w:szCs w:val="21"/>
        </w:rPr>
      </w:pPr>
      <w:r>
        <w:rPr>
          <w:rFonts w:ascii="Times New Roman" w:hAnsi="Times New Roman" w:eastAsiaTheme="minorEastAsia"/>
          <w:bCs/>
          <w:sz w:val="21"/>
          <w:szCs w:val="21"/>
        </w:rPr>
        <w:t xml:space="preserve">（四）、</w:t>
      </w:r>
      <w:r>
        <w:rPr>
          <w:rFonts w:ascii="Times New Roman" w:hAnsi="Times New Roman" w:eastAsiaTheme="minorEastAsia"/>
          <w:sz w:val="21"/>
          <w:szCs w:val="21"/>
        </w:rPr>
        <w:t xml:space="preserve">安全绳支架与安全钢丝绳</w:t>
      </w:r>
      <w:r/>
    </w:p>
    <w:p>
      <w:pPr>
        <w:pStyle w:val="1357"/>
        <w:ind w:firstLine="420"/>
        <w:spacing w:before="0" w:beforeAutospacing="0" w:after="0" w:afterAutospacing="0" w:line="360" w:lineRule="auto"/>
        <w:rPr>
          <w:rFonts w:ascii="Times New Roman" w:hAnsi="Times New Roman" w:eastAsiaTheme="minorEastAsia"/>
          <w:bCs/>
          <w:sz w:val="21"/>
          <w:szCs w:val="21"/>
        </w:rPr>
      </w:pPr>
      <w:r>
        <w:rPr>
          <w:rFonts w:ascii="Times New Roman" w:hAnsi="Times New Roman" w:eastAsiaTheme="minorEastAsia"/>
          <w:bCs/>
          <w:sz w:val="21"/>
          <w:szCs w:val="21"/>
        </w:rPr>
        <w:t xml:space="preserve">在车间东西两立柱上安装横梁，横梁向两侧伸出约3米，横梁间架设钢丝绳两根（每根长约45米），方便检验人员在罐顶系安全带，实现安全带高挂低用，必要时中间加一组支撑横梁。</w:t>
      </w:r>
      <w:r/>
    </w:p>
    <w:p>
      <w:pPr>
        <w:pStyle w:val="1357"/>
        <w:ind w:firstLine="420"/>
        <w:spacing w:before="0" w:beforeAutospacing="0" w:after="0" w:afterAutospacing="0" w:line="360" w:lineRule="auto"/>
        <w:rPr>
          <w:rFonts w:ascii="Times New Roman" w:hAnsi="Times New Roman" w:eastAsiaTheme="minorEastAsia"/>
          <w:color w:val="333333"/>
          <w:sz w:val="21"/>
          <w:szCs w:val="21"/>
        </w:rPr>
      </w:pPr>
      <w:r>
        <w:rPr>
          <w:rFonts w:ascii="Times New Roman" w:hAnsi="Times New Roman" w:eastAsiaTheme="minorEastAsia"/>
          <w:bCs/>
          <w:sz w:val="21"/>
          <w:szCs w:val="21"/>
        </w:rPr>
        <w:t xml:space="preserve">注：横梁与钢丝绳应进行设计,以现场测量为准，确保强度足够。</w:t>
      </w:r>
      <w:r/>
    </w:p>
    <w:p>
      <w:pPr>
        <w:spacing w:line="360" w:lineRule="auto"/>
        <w:rPr>
          <w:b/>
          <w:bCs/>
          <w:szCs w:val="21"/>
        </w:rPr>
      </w:pPr>
      <w:r>
        <w:rPr>
          <w:b/>
          <w:bCs/>
          <w:szCs w:val="21"/>
        </w:rPr>
        <w:t xml:space="preserve">三、商务条款：（以上品目均适用）</w:t>
      </w:r>
      <w:r/>
    </w:p>
    <w:p>
      <w:pPr>
        <w:ind w:left="210"/>
        <w:spacing w:line="360" w:lineRule="auto"/>
        <w:rPr>
          <w:rFonts w:eastAsiaTheme="minorEastAsia"/>
          <w:b/>
          <w:bCs/>
          <w:szCs w:val="21"/>
        </w:rPr>
      </w:pPr>
      <w:r>
        <w:rPr>
          <w:rFonts w:eastAsiaTheme="minorEastAsia"/>
          <w:b/>
          <w:bCs/>
          <w:szCs w:val="21"/>
        </w:rPr>
        <w:t xml:space="preserve">1、投标报价：</w:t>
      </w:r>
      <w:r/>
    </w:p>
    <w:p>
      <w:pPr>
        <w:ind w:firstLine="210"/>
        <w:spacing w:line="360" w:lineRule="auto"/>
        <w:rPr>
          <w:rFonts w:eastAsiaTheme="minorEastAsia"/>
          <w:szCs w:val="21"/>
        </w:rPr>
      </w:pPr>
      <w:r>
        <w:rPr>
          <w:rFonts w:eastAsiaTheme="minorEastAsia"/>
          <w:szCs w:val="21"/>
        </w:rPr>
        <w:t xml:space="preserve">1.1</w:t>
      </w:r>
      <w:r>
        <w:rPr>
          <w:rFonts w:eastAsiaTheme="minorEastAsia"/>
          <w:color w:val="000000"/>
          <w:szCs w:val="21"/>
        </w:rPr>
        <w:t xml:space="preserve">应包括本次采购范围内全部设备、材料、随设备提供的备品配件及专用工具的价格、全部税费、包装费、运杂费（运抵买方指定地点）、保险费、安装费、调试费、买方操作维护人员培训费、检验检定费（取得法定计量检定机构有效溯源证书并证明合格）及供应商认为需要的其他费用等，本合同执行期间合同总价款不变。</w:t>
      </w:r>
      <w:r/>
    </w:p>
    <w:p>
      <w:pPr>
        <w:ind w:left="216"/>
        <w:spacing w:line="360" w:lineRule="auto"/>
        <w:rPr>
          <w:rFonts w:eastAsiaTheme="minorEastAsia"/>
          <w:szCs w:val="21"/>
        </w:rPr>
      </w:pPr>
      <w:r>
        <w:rPr>
          <w:rFonts w:eastAsiaTheme="minorEastAsia"/>
          <w:szCs w:val="21"/>
        </w:rPr>
        <w:t xml:space="preserve">1.2在安装、调试、验收过程中，如发现有漏项、缺件，卖方应无条件、无偿补齐，所发生的一切费用，视为已包含在卖方投标时的投标报价之中，且并不因此而影响交付买方使用的时间。</w:t>
      </w:r>
      <w:r/>
    </w:p>
    <w:p>
      <w:pPr>
        <w:ind w:firstLine="211"/>
        <w:jc w:val="left"/>
        <w:spacing w:line="360" w:lineRule="auto"/>
        <w:tabs>
          <w:tab w:val="left" w:pos="4785" w:leader="none"/>
        </w:tabs>
        <w:rPr>
          <w:rFonts w:eastAsiaTheme="minorEastAsia"/>
          <w:b/>
          <w:bCs/>
          <w:color w:val="000000"/>
          <w:szCs w:val="21"/>
        </w:rPr>
      </w:pPr>
      <w:r>
        <w:rPr>
          <w:rFonts w:eastAsiaTheme="minorEastAsia"/>
          <w:b/>
          <w:bCs/>
          <w:color w:val="000000"/>
          <w:szCs w:val="21"/>
        </w:rPr>
        <w:t xml:space="preserve">2、</w:t>
      </w:r>
      <m:oMath>
        <m:r>
          <w:rPr>
            <w:rFonts w:ascii="Cambria Math" w:hAnsi="Cambria Math"/>
            <w:color w:val="000000"/>
            <w:szCs w:val="21"/>
          </w:rPr>
          <m:rPr>
            <m:sty m:val="b"/>
          </m:rPr>
          <m:t>付款方式及期限</m:t>
        </m:r>
      </m:oMath>
      <w:r/>
      <w:r/>
    </w:p>
    <w:p>
      <w:pPr>
        <w:ind w:left="218"/>
        <w:jc w:val="left"/>
        <w:spacing w:line="360" w:lineRule="auto"/>
        <w:rPr>
          <w:rFonts w:eastAsiaTheme="minorEastAsia"/>
          <w:color w:val="000000"/>
          <w:szCs w:val="21"/>
        </w:rPr>
      </w:pPr>
      <w:r>
        <w:rPr>
          <w:rFonts w:eastAsiaTheme="minorEastAsia"/>
          <w:color w:val="000000"/>
          <w:szCs w:val="21"/>
        </w:rPr>
        <w:t xml:space="preserve">2.1合同签订生效后，买方向卖方支付合同总价的50%；卖方在按照合同规定的期限内将设备、材料全部运抵交货地点，并安装调试结束，初步验收合格后，买方收到卖方提供的合同总价10%的履约保函后向卖方支付合同总价的50%；在设备通过买方验收合格且满12个月无质量问题后的15个工作日内，买方将无息退还卖方的履约保函。</w:t>
      </w:r>
      <w:r/>
    </w:p>
    <w:p>
      <w:pPr>
        <w:ind w:left="218"/>
        <w:jc w:val="left"/>
        <w:spacing w:line="360" w:lineRule="auto"/>
        <w:rPr>
          <w:rFonts w:eastAsiaTheme="minorEastAsia"/>
          <w:color w:val="000000"/>
          <w:szCs w:val="21"/>
        </w:rPr>
      </w:pPr>
      <w:r>
        <w:rPr>
          <w:rFonts w:eastAsiaTheme="minorEastAsia"/>
          <w:color w:val="000000"/>
          <w:szCs w:val="21"/>
        </w:rPr>
        <w:t xml:space="preserve">2.2履约保函</w:t>
      </w:r>
      <w:r/>
    </w:p>
    <w:p>
      <w:pPr>
        <w:ind w:left="218"/>
        <w:jc w:val="left"/>
        <w:spacing w:line="360" w:lineRule="auto"/>
        <w:rPr>
          <w:rFonts w:eastAsiaTheme="minorEastAsia"/>
          <w:color w:val="000000"/>
          <w:szCs w:val="21"/>
        </w:rPr>
      </w:pPr>
      <w:r>
        <w:rPr>
          <w:rFonts w:eastAsiaTheme="minorEastAsia"/>
          <w:color w:val="000000"/>
          <w:szCs w:val="21"/>
        </w:rPr>
        <w:t xml:space="preserve">（1）履约保函金额：合同总价10%；</w:t>
      </w:r>
      <w:r/>
    </w:p>
    <w:p>
      <w:pPr>
        <w:ind w:left="218"/>
        <w:jc w:val="left"/>
        <w:spacing w:line="360" w:lineRule="auto"/>
        <w:rPr>
          <w:rFonts w:eastAsiaTheme="minorEastAsia"/>
          <w:color w:val="000000"/>
          <w:szCs w:val="21"/>
        </w:rPr>
      </w:pPr>
      <w:r>
        <w:rPr>
          <w:rFonts w:eastAsiaTheme="minorEastAsia"/>
          <w:color w:val="000000"/>
          <w:szCs w:val="21"/>
        </w:rPr>
        <w:t xml:space="preserve">（2）履约保函的形式：卖方应当以支票、汇票、本票或者金融机构、担保机构出具的保函等非现金形式提交；</w:t>
      </w:r>
      <w:r/>
    </w:p>
    <w:p>
      <w:pPr>
        <w:ind w:left="218"/>
        <w:jc w:val="left"/>
        <w:spacing w:line="360" w:lineRule="auto"/>
        <w:rPr>
          <w:rFonts w:eastAsiaTheme="minorEastAsia"/>
          <w:color w:val="000000"/>
          <w:szCs w:val="21"/>
        </w:rPr>
      </w:pPr>
      <w:r>
        <w:rPr>
          <w:rFonts w:eastAsiaTheme="minorEastAsia"/>
          <w:color w:val="000000"/>
          <w:szCs w:val="21"/>
        </w:rPr>
        <w:t xml:space="preserve">（3）履约保函的退还</w:t>
      </w:r>
      <w:r>
        <w:rPr>
          <w:rFonts w:hint="eastAsia" w:eastAsiaTheme="minorEastAsia"/>
          <w:color w:val="000000"/>
          <w:szCs w:val="21"/>
        </w:rPr>
        <w:t xml:space="preserve">：</w:t>
      </w:r>
      <w:r>
        <w:rPr>
          <w:rFonts w:eastAsiaTheme="minorEastAsia"/>
          <w:color w:val="000000"/>
          <w:szCs w:val="21"/>
        </w:rPr>
        <w:t xml:space="preserve">在设备通过买方验收合格且满12个月无质量问题后的15个工作日内，买方将无息退还卖方的履约保函。</w:t>
      </w:r>
      <w:r/>
    </w:p>
    <w:p>
      <w:pPr>
        <w:ind w:firstLine="211"/>
        <w:jc w:val="left"/>
        <w:spacing w:line="360" w:lineRule="auto"/>
        <w:tabs>
          <w:tab w:val="left" w:pos="4785" w:leader="none"/>
        </w:tabs>
        <w:rPr>
          <w:rFonts w:eastAsiaTheme="minorEastAsia"/>
          <w:b/>
          <w:bCs/>
          <w:color w:val="000000"/>
          <w:szCs w:val="21"/>
        </w:rPr>
      </w:pPr>
      <w:r>
        <w:rPr>
          <w:rFonts w:eastAsiaTheme="minorEastAsia"/>
          <w:b/>
          <w:bCs/>
          <w:color w:val="000000"/>
          <w:szCs w:val="21"/>
        </w:rPr>
        <w:t xml:space="preserve">3、交货期及交货地点：</w:t>
      </w:r>
      <w:r/>
    </w:p>
    <w:p>
      <w:pPr>
        <w:ind w:left="218"/>
        <w:jc w:val="left"/>
        <w:spacing w:line="360" w:lineRule="auto"/>
        <w:rPr>
          <w:rFonts w:eastAsiaTheme="minorEastAsia"/>
          <w:color w:val="000000"/>
          <w:szCs w:val="21"/>
        </w:rPr>
      </w:pPr>
      <w:r>
        <w:rPr>
          <w:rFonts w:eastAsiaTheme="minorEastAsia"/>
          <w:color w:val="000000"/>
          <w:szCs w:val="21"/>
        </w:rPr>
        <w:t xml:space="preserve">3.1交货期</w:t>
      </w:r>
      <w:r>
        <w:rPr>
          <w:rFonts w:hint="eastAsia" w:eastAsiaTheme="minorEastAsia"/>
          <w:color w:val="000000"/>
          <w:szCs w:val="21"/>
        </w:rPr>
        <w:t xml:space="preserve">：</w:t>
      </w:r>
      <w:r>
        <w:rPr>
          <w:rFonts w:eastAsiaTheme="minorEastAsia"/>
          <w:color w:val="000000"/>
          <w:szCs w:val="21"/>
          <w:u w:val="single"/>
        </w:rPr>
        <w:t xml:space="preserve">详见本章采购清单</w:t>
      </w:r>
      <w:r>
        <w:rPr>
          <w:rFonts w:eastAsiaTheme="minorEastAsia"/>
          <w:color w:val="000000"/>
          <w:szCs w:val="21"/>
        </w:rPr>
        <w:t xml:space="preserve">。</w:t>
      </w:r>
      <w:r/>
    </w:p>
    <w:p>
      <w:pPr>
        <w:ind w:left="218"/>
        <w:jc w:val="left"/>
        <w:spacing w:line="360" w:lineRule="auto"/>
        <w:rPr>
          <w:rFonts w:eastAsiaTheme="minorEastAsia"/>
          <w:color w:val="000000"/>
          <w:szCs w:val="21"/>
        </w:rPr>
      </w:pPr>
      <w:r>
        <w:rPr>
          <w:rFonts w:eastAsiaTheme="minorEastAsia"/>
          <w:color w:val="000000"/>
          <w:szCs w:val="21"/>
        </w:rPr>
        <w:t xml:space="preserve">3.2交货地点</w:t>
      </w:r>
      <w:r>
        <w:rPr>
          <w:rFonts w:hint="eastAsia" w:eastAsiaTheme="minorEastAsia"/>
          <w:color w:val="000000"/>
          <w:szCs w:val="21"/>
        </w:rPr>
        <w:t xml:space="preserve">：</w:t>
      </w:r>
      <w:r>
        <w:rPr>
          <w:rFonts w:eastAsiaTheme="minorEastAsia"/>
          <w:color w:val="000000"/>
          <w:szCs w:val="21"/>
        </w:rPr>
        <w:t xml:space="preserve">江苏省特种设备安全监督检验研究院指定地点。</w:t>
      </w:r>
      <w:r/>
    </w:p>
    <w:p>
      <w:pPr>
        <w:ind w:left="218"/>
        <w:jc w:val="left"/>
        <w:spacing w:line="360" w:lineRule="auto"/>
        <w:rPr>
          <w:rFonts w:eastAsiaTheme="minorEastAsia"/>
          <w:b/>
          <w:bCs/>
          <w:color w:val="000000"/>
          <w:szCs w:val="21"/>
        </w:rPr>
      </w:pPr>
      <w:r>
        <w:rPr>
          <w:rFonts w:eastAsiaTheme="minorEastAsia"/>
          <w:b/>
          <w:bCs/>
          <w:color w:val="000000"/>
          <w:szCs w:val="21"/>
        </w:rPr>
        <w:t xml:space="preserve">4、设备包装要求：</w:t>
      </w:r>
      <w:r/>
    </w:p>
    <w:p>
      <w:pPr>
        <w:ind w:left="210" w:firstLine="420"/>
        <w:jc w:val="left"/>
        <w:spacing w:line="360" w:lineRule="auto"/>
        <w:rPr>
          <w:rFonts w:eastAsiaTheme="minorEastAsia"/>
        </w:rPr>
      </w:pPr>
      <w:r>
        <w:rPr>
          <w:rFonts w:eastAsiaTheme="minorEastAsia"/>
        </w:rPr>
        <w:t xml:space="preserve">应采用相应的标准保护措施进行包装，使包装适应于远距离运输、防潮、防震、防锈和防粗暴装卸，确保货物安全无损运抵现场。费用包含在投标总价中。</w:t>
      </w:r>
      <w:r/>
    </w:p>
    <w:p>
      <w:pPr>
        <w:numPr>
          <w:ilvl w:val="0"/>
          <w:numId w:val="3"/>
        </w:numPr>
        <w:ind w:firstLine="211"/>
        <w:jc w:val="left"/>
        <w:spacing w:line="360" w:lineRule="auto"/>
        <w:rPr>
          <w:rFonts w:eastAsiaTheme="minorEastAsia"/>
          <w:b/>
          <w:bCs/>
          <w:color w:val="000000"/>
          <w:szCs w:val="21"/>
        </w:rPr>
      </w:pPr>
      <w:r>
        <w:rPr>
          <w:rFonts w:eastAsiaTheme="minorEastAsia"/>
          <w:b/>
          <w:bCs/>
          <w:color w:val="000000"/>
          <w:szCs w:val="21"/>
        </w:rPr>
        <w:t xml:space="preserve">安装、调试和验收</w:t>
      </w:r>
      <w:r/>
    </w:p>
    <w:p>
      <w:pPr>
        <w:ind w:firstLine="210"/>
        <w:spacing w:line="360" w:lineRule="auto"/>
        <w:rPr>
          <w:color w:val="000000"/>
          <w:szCs w:val="21"/>
        </w:rPr>
      </w:pPr>
      <w:r>
        <w:rPr>
          <w:color w:val="000000"/>
          <w:szCs w:val="21"/>
        </w:rPr>
        <w:t xml:space="preserve">5.1合同签订后，卖方将设备的实验室预安装条件发给用户，对所需的实验室环境条件，结合用户的实际情况进行指导并提出建议。接到用户安装要求后，协商时间，安排技术服务工程师和用户一起开箱验货，核实与合同的内容及数量后，现场进行免费安装、调试，调试完成后验收。</w:t>
      </w:r>
      <w:r/>
    </w:p>
    <w:p>
      <w:pPr>
        <w:ind w:firstLine="210"/>
        <w:spacing w:line="360" w:lineRule="auto"/>
        <w:rPr>
          <w:color w:val="000000"/>
          <w:szCs w:val="21"/>
        </w:rPr>
      </w:pPr>
      <w:r>
        <w:rPr>
          <w:color w:val="000000"/>
          <w:szCs w:val="21"/>
        </w:rPr>
        <w:t xml:space="preserve">5.2调试检验验收要求</w:t>
      </w:r>
      <w:r>
        <w:rPr>
          <w:bCs/>
          <w:szCs w:val="21"/>
        </w:rPr>
        <w:t xml:space="preserve">：</w:t>
      </w:r>
      <w:r>
        <w:rPr>
          <w:color w:val="000000"/>
          <w:szCs w:val="21"/>
        </w:rPr>
        <w:t xml:space="preserve">设备和配件是否齐全，外观是否完好，设备各部分功能是否能正常使用，所提供设备及零配件规格是否与买方要求相符。</w:t>
      </w:r>
      <w:r/>
    </w:p>
    <w:p>
      <w:pPr>
        <w:ind w:firstLine="210"/>
        <w:spacing w:line="360" w:lineRule="auto"/>
        <w:rPr>
          <w:rFonts w:eastAsiaTheme="minorEastAsia"/>
        </w:rPr>
      </w:pPr>
      <w:r>
        <w:rPr>
          <w:color w:val="000000"/>
          <w:szCs w:val="21"/>
        </w:rPr>
        <w:t xml:space="preserve">5.3最终验收要求</w:t>
      </w:r>
      <w:r>
        <w:rPr>
          <w:rFonts w:hint="eastAsia"/>
          <w:bCs/>
          <w:szCs w:val="21"/>
        </w:rPr>
        <w:t xml:space="preserve">：</w:t>
      </w:r>
      <w:r>
        <w:rPr>
          <w:color w:val="000000"/>
          <w:szCs w:val="21"/>
        </w:rPr>
        <w:t xml:space="preserve">技术指标要求符合招标要求。</w:t>
      </w:r>
      <w:r/>
    </w:p>
    <w:p>
      <w:pPr>
        <w:ind w:firstLine="211"/>
        <w:spacing w:line="360" w:lineRule="auto"/>
        <w:rPr>
          <w:rFonts w:eastAsiaTheme="minorEastAsia"/>
          <w:b/>
          <w:szCs w:val="21"/>
        </w:rPr>
      </w:pPr>
      <w:r>
        <w:rPr>
          <w:rFonts w:eastAsiaTheme="minorEastAsia"/>
          <w:b/>
          <w:szCs w:val="21"/>
        </w:rPr>
        <w:t xml:space="preserve">6、免费培训</w:t>
      </w:r>
      <w:r/>
    </w:p>
    <w:p>
      <w:pPr>
        <w:ind w:left="218"/>
        <w:spacing w:line="360" w:lineRule="auto"/>
        <w:rPr>
          <w:rFonts w:eastAsiaTheme="minorEastAsia"/>
          <w:szCs w:val="21"/>
        </w:rPr>
      </w:pPr>
      <w:r>
        <w:rPr>
          <w:rFonts w:eastAsiaTheme="minorEastAsia"/>
          <w:szCs w:val="21"/>
        </w:rPr>
        <w:t xml:space="preserve">6.1现场培训</w:t>
      </w:r>
      <w:r>
        <w:rPr>
          <w:rFonts w:hint="eastAsia"/>
          <w:bCs/>
          <w:szCs w:val="21"/>
        </w:rPr>
        <w:t xml:space="preserve">：</w:t>
      </w:r>
      <w:r>
        <w:rPr>
          <w:rFonts w:eastAsiaTheme="minorEastAsia"/>
          <w:szCs w:val="21"/>
        </w:rPr>
        <w:t xml:space="preserve">设备安装调试验收结束后，由专业技术工程师进行免费现场技术培训，熟悉设备结构，软件操作及简单的日常维护，并免费提供应用支持，样品免费测试，帮助客户建立分析方法和分析方法开发。</w:t>
      </w:r>
      <w:r/>
    </w:p>
    <w:p>
      <w:pPr>
        <w:ind w:left="218"/>
        <w:spacing w:line="360" w:lineRule="auto"/>
        <w:rPr>
          <w:rFonts w:eastAsiaTheme="minorEastAsia"/>
          <w:szCs w:val="21"/>
        </w:rPr>
      </w:pPr>
      <w:r>
        <w:rPr>
          <w:rFonts w:eastAsiaTheme="minorEastAsia"/>
          <w:szCs w:val="21"/>
        </w:rPr>
        <w:t xml:space="preserve">6.2国内培训</w:t>
      </w:r>
      <w:r>
        <w:rPr>
          <w:rFonts w:hint="eastAsia"/>
          <w:bCs/>
          <w:szCs w:val="21"/>
        </w:rPr>
        <w:t xml:space="preserve">：</w:t>
      </w:r>
      <w:r>
        <w:rPr>
          <w:rFonts w:eastAsiaTheme="minorEastAsia"/>
          <w:szCs w:val="21"/>
        </w:rPr>
        <w:t xml:space="preserve">免费提供买方2人培训（培训费免费，交通和食宿费由买方自理），由专职工程师进行培训。</w:t>
      </w:r>
      <w:r/>
    </w:p>
    <w:p>
      <w:pPr>
        <w:ind w:left="218"/>
        <w:spacing w:line="360" w:lineRule="auto"/>
        <w:rPr>
          <w:rFonts w:eastAsiaTheme="minorEastAsia"/>
          <w:b/>
          <w:bCs/>
          <w:szCs w:val="21"/>
        </w:rPr>
      </w:pPr>
      <w:r>
        <w:rPr>
          <w:rFonts w:eastAsiaTheme="minorEastAsia"/>
          <w:b/>
          <w:bCs/>
          <w:szCs w:val="21"/>
        </w:rPr>
        <w:t xml:space="preserve">7、技术服务</w:t>
      </w:r>
      <w:r/>
    </w:p>
    <w:p>
      <w:pPr>
        <w:pStyle w:val="1367"/>
        <w:ind w:firstLine="210"/>
        <w:spacing w:line="360" w:lineRule="auto"/>
        <w:rPr>
          <w:rFonts w:ascii="Times New Roman" w:hAnsi="Times New Roman" w:cs="Times New Roman" w:eastAsiaTheme="minorEastAsia"/>
          <w:sz w:val="21"/>
          <w:szCs w:val="21"/>
          <w:lang w:val="en-US"/>
        </w:rPr>
      </w:pPr>
      <w:r>
        <w:rPr>
          <w:rFonts w:ascii="Times New Roman" w:hAnsi="Times New Roman" w:cs="Times New Roman" w:eastAsiaTheme="minorEastAsia"/>
          <w:sz w:val="21"/>
          <w:szCs w:val="21"/>
          <w:lang w:val="en-US"/>
        </w:rPr>
        <w:t xml:space="preserve">7.1提供终身技术服务和支持。</w:t>
      </w:r>
      <w:r/>
    </w:p>
    <w:p>
      <w:pPr>
        <w:pStyle w:val="1367"/>
        <w:ind w:firstLine="210"/>
        <w:spacing w:line="360" w:lineRule="auto"/>
        <w:rPr>
          <w:rFonts w:ascii="Times New Roman" w:hAnsi="Times New Roman" w:cs="Times New Roman" w:eastAsiaTheme="minorEastAsia"/>
          <w:sz w:val="21"/>
          <w:szCs w:val="21"/>
          <w:lang w:val="en-US"/>
        </w:rPr>
      </w:pPr>
      <w:r>
        <w:rPr>
          <w:rFonts w:ascii="Times New Roman" w:hAnsi="Times New Roman" w:cs="Times New Roman" w:eastAsiaTheme="minorEastAsia"/>
          <w:sz w:val="21"/>
          <w:szCs w:val="21"/>
          <w:lang w:val="en-US"/>
        </w:rPr>
        <w:t xml:space="preserve">7.2保修期内卖方免费提供保修零件。</w:t>
      </w:r>
      <w:r/>
    </w:p>
    <w:p>
      <w:pPr>
        <w:ind w:left="218"/>
        <w:spacing w:line="360" w:lineRule="auto"/>
        <w:rPr>
          <w:rFonts w:eastAsiaTheme="minorEastAsia"/>
          <w:b/>
          <w:bCs/>
          <w:szCs w:val="21"/>
        </w:rPr>
      </w:pPr>
      <w:r>
        <w:rPr>
          <w:rFonts w:eastAsiaTheme="minorEastAsia"/>
          <w:b/>
          <w:bCs/>
          <w:szCs w:val="21"/>
        </w:rPr>
        <w:t xml:space="preserve">8、质保及售后服务：</w:t>
      </w:r>
      <w:r/>
    </w:p>
    <w:p>
      <w:pPr>
        <w:ind w:firstLine="210"/>
        <w:spacing w:line="360" w:lineRule="auto"/>
        <w:rPr>
          <w:rFonts w:eastAsiaTheme="minorEastAsia"/>
          <w:szCs w:val="21"/>
        </w:rPr>
      </w:pPr>
      <w:r>
        <w:rPr>
          <w:rFonts w:eastAsiaTheme="minorEastAsia"/>
          <w:szCs w:val="21"/>
        </w:rPr>
        <w:t xml:space="preserve">8.1卖方所供设备、材料及安装的质量保证期：安装验收合格后1年。</w:t>
      </w:r>
      <w:r/>
    </w:p>
    <w:p>
      <w:pPr>
        <w:ind w:firstLine="210"/>
        <w:spacing w:line="360" w:lineRule="auto"/>
        <w:rPr>
          <w:rFonts w:eastAsiaTheme="minorEastAsia"/>
          <w:szCs w:val="21"/>
        </w:rPr>
      </w:pPr>
      <w:r>
        <w:rPr>
          <w:rFonts w:eastAsiaTheme="minorEastAsia"/>
          <w:szCs w:val="21"/>
        </w:rPr>
        <w:t xml:space="preserve">8.2在质保期内，因乙方所供设备、材料制造质量或安装问题出现设备故障时，卖方在接到买方通知（包括书面通知、电话、传真、电子邮件等）2小时内予以回复，8小时内提出解决方案，36小时内派有经验的技术人员到达工作现场，履行保修义务，免费予以排除故障、修复，无法修复应更换所供设备。卖方还应支付因更换所发生的运输、保险、安装、检测等有关的全部费用。</w:t>
      </w:r>
      <w:r/>
    </w:p>
    <w:p>
      <w:pPr>
        <w:ind w:firstLine="210"/>
        <w:jc w:val="left"/>
        <w:spacing w:line="360" w:lineRule="auto"/>
        <w:tabs>
          <w:tab w:val="left" w:pos="4785" w:leader="none"/>
        </w:tabs>
        <w:rPr>
          <w:rFonts w:eastAsiaTheme="minorEastAsia"/>
          <w:szCs w:val="21"/>
        </w:rPr>
      </w:pPr>
      <w:r>
        <w:rPr>
          <w:rFonts w:eastAsiaTheme="minorEastAsia"/>
          <w:szCs w:val="21"/>
        </w:rPr>
        <w:t xml:space="preserve">8.3在质保期内，因买方使用不当原因出现设备故障时，卖方在接买方通知后，应在8.2条款中所述的时限内响应并派设备厂家工程师赶到买方现场，帮助排除故障、修复或更换零部件，需购买零部件时，仅收取成本费。</w:t>
      </w:r>
      <w:r/>
    </w:p>
    <w:p>
      <w:pPr>
        <w:ind w:left="218"/>
        <w:spacing w:line="360" w:lineRule="auto"/>
        <w:rPr>
          <w:b/>
          <w:bCs/>
          <w:color w:val="000000"/>
          <w:szCs w:val="21"/>
        </w:rPr>
      </w:pPr>
      <w:r>
        <w:rPr>
          <w:rFonts w:eastAsiaTheme="minorEastAsia"/>
          <w:szCs w:val="21"/>
        </w:rPr>
        <w:t xml:space="preserve">8.4质保期满后，如设备出现故障，卖方在接买方通知后，仍应在上述时限内响应、派设备厂家工程师赶到买方现场，帮助排除故障、修复或更换零部件，需购买零部件时，酌情收取成本费。</w:t>
      </w:r>
      <w:r/>
    </w:p>
    <w:p>
      <w:pPr>
        <w:rPr>
          <w:b/>
          <w:color w:val="000000"/>
          <w:sz w:val="28"/>
          <w:szCs w:val="28"/>
        </w:rPr>
      </w:pPr>
      <w:r>
        <w:rPr>
          <w:b/>
          <w:color w:val="000000"/>
          <w:sz w:val="28"/>
          <w:szCs w:val="28"/>
        </w:rPr>
        <w:br w:type="page" w:clear="all"/>
      </w:r>
      <w:r/>
    </w:p>
    <w:p>
      <w:pPr>
        <w:jc w:val="center"/>
        <w:spacing w:line="360" w:lineRule="auto"/>
        <w:rPr>
          <w:b/>
          <w:sz w:val="28"/>
          <w:szCs w:val="28"/>
        </w:rPr>
        <w:outlineLvl w:val="0"/>
      </w:pPr>
      <w:r/>
      <w:bookmarkStart w:id="115" w:name="_Toc231822743"/>
      <w:r>
        <w:rPr>
          <w:b/>
          <w:color w:val="000000"/>
          <w:sz w:val="28"/>
          <w:szCs w:val="28"/>
        </w:rPr>
        <w:t xml:space="preserve">第五章 </w:t>
      </w:r>
      <w:r>
        <w:rPr>
          <w:b/>
          <w:sz w:val="28"/>
          <w:szCs w:val="28"/>
        </w:rPr>
        <w:t xml:space="preserve">政府采购合同</w:t>
      </w:r>
      <w:bookmarkEnd w:id="115"/>
      <w:r/>
      <w:r/>
    </w:p>
    <w:p>
      <w:pPr>
        <w:pStyle w:val="1347"/>
        <w:ind w:left="1400" w:hanging="560"/>
        <w:jc w:val="center"/>
        <w:rPr>
          <w:sz w:val="28"/>
          <w:szCs w:val="28"/>
        </w:rPr>
      </w:pPr>
      <w:r>
        <w:rPr>
          <w:sz w:val="28"/>
          <w:szCs w:val="28"/>
        </w:rPr>
        <w:t xml:space="preserve">（拟签订的合同文本）</w:t>
      </w:r>
      <w:r/>
    </w:p>
    <w:p>
      <w:pPr>
        <w:pStyle w:val="1347"/>
        <w:ind w:left="1400" w:hanging="560"/>
        <w:jc w:val="center"/>
        <w:rPr>
          <w:sz w:val="28"/>
          <w:szCs w:val="28"/>
        </w:rPr>
      </w:pPr>
      <w:r>
        <w:rPr>
          <w:sz w:val="28"/>
          <w:szCs w:val="28"/>
        </w:rPr>
      </w:r>
      <w:r/>
    </w:p>
    <w:p>
      <w:pPr>
        <w:pStyle w:val="1347"/>
        <w:ind w:left="1400" w:hanging="560"/>
        <w:jc w:val="center"/>
        <w:rPr>
          <w:sz w:val="28"/>
          <w:szCs w:val="28"/>
        </w:rPr>
      </w:pPr>
      <w:r>
        <w:rPr>
          <w:sz w:val="28"/>
          <w:szCs w:val="28"/>
        </w:rPr>
      </w:r>
      <w:r/>
    </w:p>
    <w:p>
      <w:pPr>
        <w:pStyle w:val="1347"/>
        <w:ind w:left="1400" w:hanging="560"/>
        <w:jc w:val="center"/>
        <w:rPr>
          <w:sz w:val="28"/>
          <w:szCs w:val="28"/>
        </w:rPr>
      </w:pPr>
      <w:r>
        <w:rPr>
          <w:sz w:val="28"/>
          <w:szCs w:val="28"/>
        </w:rPr>
      </w:r>
      <w:r/>
    </w:p>
    <w:p>
      <w:pPr>
        <w:jc w:val="center"/>
        <w:spacing w:line="360" w:lineRule="auto"/>
        <w:rPr>
          <w:b/>
          <w:sz w:val="28"/>
          <w:szCs w:val="28"/>
        </w:rPr>
      </w:pPr>
      <w:r>
        <w:rPr>
          <w:b/>
          <w:sz w:val="28"/>
          <w:szCs w:val="28"/>
        </w:rPr>
        <w:t xml:space="preserve">政府采购合同</w:t>
      </w:r>
      <w:r/>
    </w:p>
    <w:p>
      <w:pPr>
        <w:pStyle w:val="1347"/>
        <w:ind w:left="1402" w:hanging="562"/>
        <w:rPr>
          <w:b/>
          <w:sz w:val="28"/>
          <w:szCs w:val="28"/>
        </w:rPr>
      </w:pPr>
      <w:r>
        <w:rPr>
          <w:b/>
          <w:sz w:val="28"/>
          <w:szCs w:val="28"/>
        </w:rPr>
      </w:r>
      <w:r/>
    </w:p>
    <w:p>
      <w:pPr>
        <w:pStyle w:val="1347"/>
        <w:ind w:left="1402" w:hanging="562"/>
        <w:rPr>
          <w:b/>
          <w:sz w:val="28"/>
          <w:szCs w:val="28"/>
        </w:rPr>
      </w:pPr>
      <w:r>
        <w:rPr>
          <w:b/>
          <w:sz w:val="28"/>
          <w:szCs w:val="28"/>
        </w:rPr>
      </w:r>
      <w:r/>
    </w:p>
    <w:p>
      <w:pPr>
        <w:pStyle w:val="1347"/>
        <w:ind w:left="1402" w:hanging="562"/>
        <w:rPr>
          <w:b/>
          <w:sz w:val="28"/>
          <w:szCs w:val="28"/>
        </w:rPr>
      </w:pPr>
      <w:r>
        <w:rPr>
          <w:b/>
          <w:sz w:val="28"/>
          <w:szCs w:val="28"/>
        </w:rPr>
      </w:r>
      <w:r/>
    </w:p>
    <w:p>
      <w:pPr>
        <w:pStyle w:val="1347"/>
        <w:ind w:left="1402" w:hanging="562"/>
        <w:rPr>
          <w:b/>
          <w:sz w:val="28"/>
          <w:szCs w:val="28"/>
        </w:rPr>
      </w:pPr>
      <w:r>
        <w:rPr>
          <w:b/>
          <w:sz w:val="28"/>
          <w:szCs w:val="28"/>
        </w:rPr>
      </w:r>
      <w:r/>
    </w:p>
    <w:p>
      <w:pPr>
        <w:pStyle w:val="1347"/>
        <w:ind w:left="1402" w:hanging="562"/>
        <w:rPr>
          <w:b/>
          <w:sz w:val="28"/>
          <w:szCs w:val="28"/>
        </w:rPr>
      </w:pPr>
      <w:r>
        <w:rPr>
          <w:b/>
          <w:sz w:val="28"/>
          <w:szCs w:val="28"/>
        </w:rPr>
      </w:r>
      <w:r/>
    </w:p>
    <w:p>
      <w:pPr>
        <w:pStyle w:val="1347"/>
        <w:ind w:left="1402" w:hanging="562"/>
        <w:rPr>
          <w:b/>
          <w:sz w:val="28"/>
          <w:szCs w:val="28"/>
        </w:rPr>
      </w:pPr>
      <w:r>
        <w:rPr>
          <w:b/>
          <w:sz w:val="28"/>
          <w:szCs w:val="28"/>
        </w:rPr>
        <w:t xml:space="preserve">   </w:t>
      </w:r>
      <w:r/>
    </w:p>
    <w:p>
      <w:pPr>
        <w:pStyle w:val="1347"/>
        <w:ind w:left="1402" w:hanging="562"/>
        <w:rPr>
          <w:b/>
          <w:sz w:val="28"/>
          <w:szCs w:val="28"/>
        </w:rPr>
      </w:pPr>
      <w:r>
        <w:rPr>
          <w:b/>
          <w:sz w:val="28"/>
          <w:szCs w:val="28"/>
        </w:rPr>
      </w:r>
      <w:r/>
    </w:p>
    <w:p>
      <w:pPr>
        <w:pStyle w:val="1347"/>
        <w:ind w:left="1402" w:hanging="562"/>
        <w:rPr>
          <w:b/>
          <w:sz w:val="28"/>
          <w:szCs w:val="28"/>
        </w:rPr>
      </w:pPr>
      <w:r>
        <w:rPr>
          <w:b/>
          <w:sz w:val="28"/>
          <w:szCs w:val="28"/>
        </w:rPr>
      </w:r>
      <w:r/>
    </w:p>
    <w:p>
      <w:pPr>
        <w:pStyle w:val="1347"/>
        <w:ind w:left="1402" w:hanging="562"/>
        <w:rPr>
          <w:b/>
          <w:sz w:val="28"/>
          <w:szCs w:val="28"/>
        </w:rPr>
      </w:pPr>
      <w:r>
        <w:rPr>
          <w:b/>
          <w:sz w:val="28"/>
          <w:szCs w:val="28"/>
        </w:rPr>
      </w:r>
      <w:r/>
    </w:p>
    <w:p>
      <w:pPr>
        <w:pStyle w:val="1347"/>
        <w:ind w:left="1402" w:hanging="562"/>
        <w:spacing w:line="360" w:lineRule="auto"/>
        <w:rPr>
          <w:b/>
          <w:sz w:val="28"/>
          <w:szCs w:val="28"/>
        </w:rPr>
      </w:pPr>
      <w:r>
        <w:rPr>
          <w:b/>
          <w:sz w:val="28"/>
          <w:szCs w:val="28"/>
        </w:rPr>
        <w:t xml:space="preserve">合同编号：</w:t>
      </w:r>
      <w:r>
        <w:rPr>
          <w:b/>
          <w:sz w:val="28"/>
          <w:szCs w:val="28"/>
          <w:u w:val="single"/>
        </w:rPr>
        <w:t xml:space="preserve">                     </w:t>
      </w:r>
      <w:r/>
    </w:p>
    <w:p>
      <w:pPr>
        <w:pStyle w:val="1347"/>
        <w:ind w:left="1402" w:hanging="562"/>
        <w:spacing w:line="360" w:lineRule="auto"/>
        <w:rPr>
          <w:b/>
          <w:sz w:val="28"/>
          <w:szCs w:val="28"/>
        </w:rPr>
      </w:pPr>
      <w:r>
        <w:rPr>
          <w:b/>
          <w:sz w:val="28"/>
          <w:szCs w:val="28"/>
        </w:rPr>
        <w:t xml:space="preserve">项目名称：</w:t>
      </w:r>
      <w:r>
        <w:rPr>
          <w:b/>
          <w:sz w:val="28"/>
          <w:szCs w:val="28"/>
          <w:u w:val="single"/>
        </w:rPr>
        <w:t xml:space="preserve">                     </w:t>
      </w:r>
      <w:r/>
    </w:p>
    <w:p>
      <w:pPr>
        <w:pStyle w:val="1347"/>
        <w:ind w:left="1402" w:hanging="562"/>
        <w:spacing w:line="360" w:lineRule="auto"/>
        <w:rPr>
          <w:b/>
          <w:sz w:val="28"/>
          <w:szCs w:val="28"/>
        </w:rPr>
      </w:pPr>
      <w:r>
        <w:rPr>
          <w:b/>
          <w:sz w:val="28"/>
          <w:szCs w:val="28"/>
        </w:rPr>
        <w:t xml:space="preserve">采购人（甲方）：</w:t>
      </w:r>
      <w:r>
        <w:rPr>
          <w:b/>
          <w:sz w:val="28"/>
          <w:szCs w:val="28"/>
          <w:u w:val="single"/>
        </w:rPr>
        <w:t xml:space="preserve">               </w:t>
      </w:r>
      <w:r/>
    </w:p>
    <w:p>
      <w:pPr>
        <w:pStyle w:val="1347"/>
        <w:ind w:left="1402" w:hanging="562"/>
        <w:spacing w:line="360" w:lineRule="auto"/>
        <w:rPr>
          <w:b/>
          <w:sz w:val="28"/>
          <w:szCs w:val="28"/>
        </w:rPr>
      </w:pPr>
      <w:r>
        <w:rPr>
          <w:b/>
          <w:sz w:val="28"/>
          <w:szCs w:val="28"/>
        </w:rPr>
        <w:t xml:space="preserve">供应商（乙方）：</w:t>
      </w:r>
      <w:r>
        <w:rPr>
          <w:b/>
          <w:sz w:val="28"/>
          <w:szCs w:val="28"/>
          <w:u w:val="single"/>
        </w:rPr>
        <w:t xml:space="preserve">               </w:t>
      </w:r>
      <w:r/>
    </w:p>
    <w:p>
      <w:pPr>
        <w:pStyle w:val="1347"/>
        <w:ind w:left="1402" w:hanging="562"/>
        <w:spacing w:line="360" w:lineRule="auto"/>
        <w:rPr>
          <w:b/>
          <w:sz w:val="28"/>
          <w:szCs w:val="28"/>
          <w:u w:val="single"/>
        </w:rPr>
      </w:pPr>
      <w:r>
        <w:rPr>
          <w:b/>
          <w:sz w:val="28"/>
          <w:szCs w:val="28"/>
        </w:rPr>
        <w:t xml:space="preserve">签订日期：</w:t>
      </w:r>
      <w:r>
        <w:rPr>
          <w:b/>
          <w:sz w:val="28"/>
          <w:szCs w:val="28"/>
          <w:u w:val="single"/>
        </w:rPr>
        <w:t xml:space="preserve">                     </w:t>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t xml:space="preserve">甲方：江苏省特种设备安全监督检验研究院</w:t>
      </w:r>
      <w:r/>
    </w:p>
    <w:p>
      <w:pPr>
        <w:spacing w:line="360" w:lineRule="auto"/>
        <w:rPr>
          <w:b/>
          <w:bCs/>
          <w:szCs w:val="21"/>
        </w:rPr>
      </w:pPr>
      <w:r>
        <w:rPr>
          <w:b/>
          <w:bCs/>
          <w:szCs w:val="21"/>
        </w:rPr>
        <w:t xml:space="preserve">乙方：</w:t>
      </w:r>
      <w:r/>
    </w:p>
    <w:p>
      <w:pPr>
        <w:spacing w:line="360" w:lineRule="auto"/>
        <w:rPr>
          <w:b/>
          <w:bCs/>
          <w:szCs w:val="21"/>
        </w:rPr>
      </w:pPr>
      <w:r>
        <w:rPr>
          <w:b/>
          <w:bCs/>
          <w:szCs w:val="21"/>
        </w:rPr>
        <w:t xml:space="preserve">采购代理机构：</w:t>
      </w:r>
      <w:r/>
    </w:p>
    <w:p>
      <w:pPr>
        <w:ind w:left="108" w:firstLine="420"/>
        <w:jc w:val="left"/>
        <w:spacing w:line="360" w:lineRule="auto"/>
        <w:tabs>
          <w:tab w:val="left" w:pos="4785" w:leader="none"/>
        </w:tabs>
        <w:rPr>
          <w:szCs w:val="21"/>
        </w:rPr>
      </w:pPr>
      <w:r>
        <w:rPr>
          <w:szCs w:val="21"/>
        </w:rPr>
        <w:t xml:space="preserve">一、说明：</w:t>
      </w:r>
      <w:r/>
    </w:p>
    <w:p>
      <w:pPr>
        <w:ind w:left="108" w:firstLine="420"/>
        <w:jc w:val="left"/>
        <w:spacing w:line="360" w:lineRule="auto"/>
        <w:tabs>
          <w:tab w:val="left" w:pos="4785" w:leader="none"/>
        </w:tabs>
        <w:rPr>
          <w:szCs w:val="21"/>
        </w:rPr>
      </w:pPr>
      <w:r>
        <w:rPr>
          <w:szCs w:val="21"/>
        </w:rPr>
        <w:t xml:space="preserve">受甲方委托，采购代理机构于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日组织了</w:t>
      </w:r>
      <w:r>
        <w:rPr>
          <w:szCs w:val="21"/>
          <w:u w:val="single"/>
        </w:rPr>
        <w:t xml:space="preserve">江苏省特种设备安全监督检验研究院所需检测设备</w:t>
      </w:r>
      <w:r>
        <w:rPr>
          <w:szCs w:val="21"/>
        </w:rPr>
        <w:t xml:space="preserve">采购项目（项目编号：</w:t>
      </w:r>
      <w:r>
        <w:rPr>
          <w:szCs w:val="21"/>
          <w:u w:val="single"/>
        </w:rPr>
        <w:t xml:space="preserve">       </w:t>
      </w:r>
      <w:r>
        <w:rPr>
          <w:szCs w:val="21"/>
        </w:rPr>
        <w:t xml:space="preserve">）的评审活动，经评委认真严格地评审，确定由乙方成交。</w:t>
      </w:r>
      <w:r/>
    </w:p>
    <w:p>
      <w:pPr>
        <w:ind w:left="108" w:firstLine="420"/>
        <w:jc w:val="left"/>
        <w:spacing w:line="360" w:lineRule="auto"/>
        <w:tabs>
          <w:tab w:val="left" w:pos="4785" w:leader="none"/>
        </w:tabs>
        <w:rPr>
          <w:szCs w:val="21"/>
        </w:rPr>
      </w:pPr>
      <w:r>
        <w:rPr>
          <w:szCs w:val="21"/>
        </w:rPr>
        <w:t xml:space="preserve">二、合同条款：</w:t>
      </w:r>
      <w:r/>
    </w:p>
    <w:p>
      <w:pPr>
        <w:ind w:left="108" w:firstLine="420"/>
        <w:jc w:val="left"/>
        <w:spacing w:line="360" w:lineRule="auto"/>
        <w:tabs>
          <w:tab w:val="left" w:pos="4785" w:leader="none"/>
        </w:tabs>
        <w:rPr>
          <w:szCs w:val="21"/>
        </w:rPr>
      </w:pPr>
      <w:r>
        <w:rPr>
          <w:szCs w:val="21"/>
        </w:rPr>
        <w:t xml:space="preserve">合同由甲乙双方签订，并依据</w:t>
      </w:r>
      <w:r>
        <w:rPr>
          <w:szCs w:val="21"/>
          <w:u w:val="single"/>
        </w:rPr>
        <w:t xml:space="preserve">       </w:t>
      </w:r>
      <w:r>
        <w:rPr>
          <w:szCs w:val="21"/>
        </w:rPr>
        <w:t xml:space="preserve">号招标文件规定，按下列合同条款甲方同意购入，乙方同意出售下列设备及服务。</w:t>
      </w:r>
      <w:r/>
    </w:p>
    <w:p>
      <w:pPr>
        <w:pStyle w:val="1377"/>
        <w:ind w:left="0" w:firstLine="420"/>
        <w:spacing w:line="360" w:lineRule="auto"/>
        <w:tabs>
          <w:tab w:val="left" w:pos="4785" w:leader="none"/>
        </w:tabs>
        <w:rPr>
          <w:rFonts w:ascii="Times New Roman" w:hAnsi="Times New Roman" w:cs="Times New Roman"/>
          <w:color w:val="000000"/>
          <w:sz w:val="21"/>
          <w:szCs w:val="21"/>
          <w:lang w:eastAsia="zh-CN"/>
        </w:rPr>
      </w:pPr>
      <w:r>
        <w:rPr>
          <w:rFonts w:ascii="Times New Roman" w:hAnsi="Times New Roman" w:cs="Times New Roman"/>
          <w:color w:val="000000"/>
          <w:sz w:val="21"/>
          <w:szCs w:val="21"/>
          <w:lang w:eastAsia="zh-CN"/>
        </w:rPr>
        <w:t xml:space="preserve">1.设备名称、型号规格、数量及服务内容。</w:t>
      </w:r>
      <w:r/>
    </w:p>
    <w:tbl>
      <w:tblPr>
        <w:tblStyle w:val="132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771"/>
        <w:gridCol w:w="661"/>
        <w:gridCol w:w="3135"/>
        <w:gridCol w:w="491"/>
        <w:gridCol w:w="848"/>
        <w:gridCol w:w="2769"/>
      </w:tblGrid>
      <w:tr>
        <w:trPr>
          <w:jc w:val="center"/>
          <w:trHeight w:val="19"/>
        </w:trPr>
        <w:tc>
          <w:tcPr>
            <w:tcW w:w="808" w:type="dxa"/>
            <w:vAlign w:val="center"/>
            <w:textDirection w:val="lrTb"/>
            <w:noWrap w:val="false"/>
          </w:tcPr>
          <w:p>
            <w:pPr>
              <w:pStyle w:val="1431"/>
              <w:ind w:firstLine="0"/>
              <w:jc w:val="center"/>
              <w:spacing w:line="440" w:lineRule="exact"/>
              <w:tabs>
                <w:tab w:val="left" w:pos="-235" w:leader="none"/>
              </w:tabs>
              <w:rPr>
                <w:szCs w:val="21"/>
              </w:rPr>
            </w:pPr>
            <w:r>
              <w:rPr>
                <w:szCs w:val="21"/>
              </w:rPr>
              <w:t xml:space="preserve">产品名称</w:t>
            </w:r>
            <w:r/>
          </w:p>
        </w:tc>
        <w:tc>
          <w:tcPr>
            <w:tcW w:w="802" w:type="dxa"/>
            <w:vAlign w:val="center"/>
            <w:textDirection w:val="lrTb"/>
            <w:noWrap w:val="false"/>
          </w:tcPr>
          <w:p>
            <w:pPr>
              <w:pStyle w:val="1431"/>
              <w:ind w:firstLine="0"/>
              <w:jc w:val="center"/>
              <w:spacing w:line="440" w:lineRule="exact"/>
              <w:tabs>
                <w:tab w:val="left" w:pos="-235" w:leader="none"/>
              </w:tabs>
              <w:rPr>
                <w:szCs w:val="21"/>
              </w:rPr>
            </w:pPr>
            <w:r>
              <w:rPr>
                <w:szCs w:val="21"/>
              </w:rPr>
              <w:t xml:space="preserve">品牌</w:t>
            </w:r>
            <w:r/>
          </w:p>
        </w:tc>
        <w:tc>
          <w:tcPr>
            <w:tcW w:w="682" w:type="dxa"/>
            <w:vAlign w:val="center"/>
            <w:textDirection w:val="lrTb"/>
            <w:noWrap w:val="false"/>
          </w:tcPr>
          <w:p>
            <w:pPr>
              <w:pStyle w:val="1431"/>
              <w:ind w:firstLine="0"/>
              <w:jc w:val="center"/>
              <w:spacing w:line="440" w:lineRule="exact"/>
              <w:tabs>
                <w:tab w:val="left" w:pos="-235" w:leader="none"/>
              </w:tabs>
              <w:rPr>
                <w:szCs w:val="21"/>
              </w:rPr>
            </w:pPr>
            <w:r>
              <w:rPr>
                <w:szCs w:val="21"/>
              </w:rPr>
              <w:t xml:space="preserve">型号</w:t>
            </w:r>
            <w:r/>
          </w:p>
        </w:tc>
        <w:tc>
          <w:tcPr>
            <w:tcW w:w="555" w:type="dxa"/>
            <w:vAlign w:val="center"/>
            <w:textDirection w:val="lrTb"/>
            <w:noWrap w:val="false"/>
          </w:tcPr>
          <w:p>
            <w:pPr>
              <w:pStyle w:val="1431"/>
              <w:ind w:firstLine="0"/>
              <w:jc w:val="center"/>
              <w:spacing w:line="440" w:lineRule="exact"/>
              <w:tabs>
                <w:tab w:val="left" w:pos="-235" w:leader="none"/>
              </w:tabs>
              <w:rPr>
                <w:szCs w:val="21"/>
              </w:rPr>
            </w:pPr>
            <w:r>
              <w:rPr>
                <w:szCs w:val="21"/>
              </w:rPr>
              <w:t xml:space="preserve">单位</w:t>
            </w:r>
            <w:r/>
          </w:p>
        </w:tc>
        <w:tc>
          <w:tcPr>
            <w:tcW w:w="497" w:type="dxa"/>
            <w:vAlign w:val="center"/>
            <w:textDirection w:val="lrTb"/>
            <w:noWrap w:val="false"/>
          </w:tcPr>
          <w:p>
            <w:pPr>
              <w:pStyle w:val="1431"/>
              <w:ind w:firstLine="0"/>
              <w:jc w:val="center"/>
              <w:spacing w:line="440" w:lineRule="exact"/>
              <w:tabs>
                <w:tab w:val="left" w:pos="-235" w:leader="none"/>
              </w:tabs>
              <w:rPr>
                <w:szCs w:val="21"/>
              </w:rPr>
            </w:pPr>
            <w:r>
              <w:rPr>
                <w:szCs w:val="21"/>
              </w:rPr>
              <w:t xml:space="preserve">数量</w:t>
            </w:r>
            <w:r/>
          </w:p>
        </w:tc>
        <w:tc>
          <w:tcPr>
            <w:tcW w:w="848" w:type="dxa"/>
            <w:vAlign w:val="center"/>
            <w:textDirection w:val="lrTb"/>
            <w:noWrap w:val="false"/>
          </w:tcPr>
          <w:p>
            <w:pPr>
              <w:pStyle w:val="1431"/>
              <w:ind w:firstLine="0"/>
              <w:jc w:val="center"/>
              <w:spacing w:line="440" w:lineRule="exact"/>
              <w:tabs>
                <w:tab w:val="left" w:pos="-235" w:leader="none"/>
              </w:tabs>
              <w:rPr>
                <w:szCs w:val="21"/>
              </w:rPr>
            </w:pPr>
            <w:r>
              <w:rPr>
                <w:szCs w:val="21"/>
              </w:rPr>
              <w:t xml:space="preserve">单价（元）</w:t>
            </w:r>
            <w:r/>
          </w:p>
        </w:tc>
        <w:tc>
          <w:tcPr>
            <w:tcW w:w="806" w:type="dxa"/>
            <w:vAlign w:val="center"/>
            <w:textDirection w:val="lrTb"/>
            <w:noWrap w:val="false"/>
          </w:tcPr>
          <w:p>
            <w:pPr>
              <w:pStyle w:val="1431"/>
              <w:ind w:firstLine="0"/>
              <w:jc w:val="center"/>
              <w:spacing w:line="440" w:lineRule="exact"/>
              <w:tabs>
                <w:tab w:val="left" w:pos="-235" w:leader="none"/>
              </w:tabs>
              <w:rPr>
                <w:szCs w:val="21"/>
              </w:rPr>
            </w:pPr>
            <w:r>
              <w:rPr>
                <w:szCs w:val="21"/>
              </w:rPr>
              <w:t xml:space="preserve">总价（元）</w:t>
            </w:r>
            <w:r/>
          </w:p>
        </w:tc>
      </w:tr>
      <w:tr>
        <w:trPr>
          <w:jc w:val="center"/>
          <w:trHeight w:val="19"/>
        </w:trPr>
        <w:tc>
          <w:tcPr>
            <w:tcW w:w="808" w:type="dxa"/>
            <w:vAlign w:val="center"/>
            <w:textDirection w:val="lrTb"/>
            <w:noWrap w:val="false"/>
          </w:tcPr>
          <w:p>
            <w:pPr>
              <w:jc w:val="center"/>
              <w:widowControl/>
              <w:rPr>
                <w:szCs w:val="21"/>
              </w:rPr>
            </w:pPr>
            <w:r>
              <w:rPr>
                <w:szCs w:val="21"/>
              </w:rPr>
            </w:r>
            <w:r/>
          </w:p>
        </w:tc>
        <w:tc>
          <w:tcPr>
            <w:tcW w:w="802" w:type="dxa"/>
            <w:vAlign w:val="center"/>
            <w:textDirection w:val="lrTb"/>
            <w:noWrap w:val="false"/>
          </w:tcPr>
          <w:p>
            <w:pPr>
              <w:pStyle w:val="1431"/>
              <w:ind w:firstLine="0"/>
              <w:jc w:val="center"/>
              <w:spacing w:line="440" w:lineRule="exact"/>
              <w:tabs>
                <w:tab w:val="left" w:pos="-235" w:leader="none"/>
              </w:tabs>
              <w:rPr>
                <w:bCs/>
                <w:szCs w:val="21"/>
              </w:rPr>
            </w:pPr>
            <w:r>
              <w:rPr>
                <w:bCs/>
                <w:szCs w:val="21"/>
              </w:rPr>
            </w:r>
            <w:r/>
          </w:p>
        </w:tc>
        <w:tc>
          <w:tcPr>
            <w:tcW w:w="682" w:type="dxa"/>
            <w:vAlign w:val="center"/>
            <w:textDirection w:val="lrTb"/>
            <w:noWrap w:val="false"/>
          </w:tcPr>
          <w:p>
            <w:pPr>
              <w:pStyle w:val="1431"/>
              <w:ind w:firstLine="0"/>
              <w:jc w:val="center"/>
              <w:spacing w:line="440" w:lineRule="exact"/>
              <w:tabs>
                <w:tab w:val="left" w:pos="-235" w:leader="none"/>
              </w:tabs>
              <w:rPr>
                <w:bCs/>
                <w:szCs w:val="21"/>
              </w:rPr>
            </w:pPr>
            <w:r>
              <w:rPr>
                <w:bCs/>
                <w:szCs w:val="21"/>
              </w:rPr>
            </w:r>
            <w:r/>
          </w:p>
        </w:tc>
        <w:tc>
          <w:tcPr>
            <w:tcW w:w="555" w:type="dxa"/>
            <w:vAlign w:val="center"/>
            <w:textDirection w:val="lrTb"/>
            <w:noWrap w:val="false"/>
          </w:tcPr>
          <w:p>
            <w:pPr>
              <w:pStyle w:val="1431"/>
              <w:ind w:firstLine="0"/>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widowControl/>
              <w:rPr>
                <w:szCs w:val="21"/>
              </w:rPr>
            </w:pPr>
            <w:r>
              <w:rPr>
                <w:szCs w:val="21"/>
              </w:rPr>
            </w:r>
            <w:r/>
          </w:p>
        </w:tc>
        <w:tc>
          <w:tcPr>
            <w:tcW w:w="848" w:type="dxa"/>
            <w:vAlign w:val="center"/>
            <w:textDirection w:val="lrTb"/>
            <w:noWrap w:val="false"/>
          </w:tcPr>
          <w:p>
            <w:pPr>
              <w:pStyle w:val="1431"/>
              <w:ind w:firstLine="0"/>
              <w:jc w:val="center"/>
              <w:spacing w:line="440" w:lineRule="exact"/>
              <w:tabs>
                <w:tab w:val="left" w:pos="-235" w:leader="none"/>
              </w:tabs>
              <w:rPr>
                <w:szCs w:val="21"/>
              </w:rPr>
            </w:pPr>
            <w:r>
              <w:rPr>
                <w:szCs w:val="21"/>
              </w:rPr>
            </w:r>
            <w:r/>
          </w:p>
        </w:tc>
        <w:tc>
          <w:tcPr>
            <w:tcW w:w="806" w:type="dxa"/>
            <w:vAlign w:val="center"/>
            <w:textDirection w:val="lrTb"/>
            <w:noWrap w:val="false"/>
          </w:tcPr>
          <w:p>
            <w:pPr>
              <w:pStyle w:val="1431"/>
              <w:ind w:firstLine="0"/>
              <w:jc w:val="center"/>
              <w:spacing w:line="440" w:lineRule="exact"/>
              <w:tabs>
                <w:tab w:val="left" w:pos="-235" w:leader="none"/>
              </w:tabs>
              <w:rPr>
                <w:szCs w:val="21"/>
              </w:rPr>
            </w:pPr>
            <w:r>
              <w:rPr>
                <w:szCs w:val="21"/>
              </w:rPr>
            </w:r>
            <w:r/>
          </w:p>
        </w:tc>
      </w:tr>
      <w:tr>
        <w:trPr>
          <w:jc w:val="center"/>
          <w:trHeight w:val="19"/>
        </w:trPr>
        <w:tc>
          <w:tcPr>
            <w:tcW w:w="808" w:type="dxa"/>
            <w:vAlign w:val="center"/>
            <w:textDirection w:val="lrTb"/>
            <w:noWrap w:val="false"/>
          </w:tcPr>
          <w:p>
            <w:pPr>
              <w:jc w:val="center"/>
              <w:widowControl/>
              <w:rPr>
                <w:szCs w:val="21"/>
              </w:rPr>
            </w:pPr>
            <w:r>
              <w:rPr>
                <w:szCs w:val="21"/>
              </w:rPr>
            </w:r>
            <w:r/>
          </w:p>
        </w:tc>
        <w:tc>
          <w:tcPr>
            <w:tcW w:w="802" w:type="dxa"/>
            <w:vAlign w:val="center"/>
            <w:textDirection w:val="lrTb"/>
            <w:noWrap w:val="false"/>
          </w:tcPr>
          <w:p>
            <w:pPr>
              <w:pStyle w:val="1431"/>
              <w:ind w:firstLine="0"/>
              <w:jc w:val="center"/>
              <w:spacing w:line="440" w:lineRule="exact"/>
              <w:tabs>
                <w:tab w:val="left" w:pos="-235" w:leader="none"/>
              </w:tabs>
              <w:rPr>
                <w:szCs w:val="21"/>
              </w:rPr>
            </w:pPr>
            <w:r>
              <w:rPr>
                <w:szCs w:val="21"/>
              </w:rPr>
            </w:r>
            <w:r/>
          </w:p>
        </w:tc>
        <w:tc>
          <w:tcPr>
            <w:tcW w:w="682" w:type="dxa"/>
            <w:vAlign w:val="center"/>
            <w:textDirection w:val="lrTb"/>
            <w:noWrap w:val="false"/>
          </w:tcPr>
          <w:p>
            <w:pPr>
              <w:pStyle w:val="1431"/>
              <w:ind w:firstLine="0"/>
              <w:jc w:val="center"/>
              <w:spacing w:line="440" w:lineRule="exact"/>
              <w:tabs>
                <w:tab w:val="left" w:pos="-235" w:leader="none"/>
              </w:tabs>
              <w:rPr>
                <w:bCs/>
                <w:szCs w:val="21"/>
              </w:rPr>
            </w:pPr>
            <w:r>
              <w:rPr>
                <w:bCs/>
                <w:szCs w:val="21"/>
              </w:rPr>
            </w:r>
            <w:r/>
          </w:p>
        </w:tc>
        <w:tc>
          <w:tcPr>
            <w:tcW w:w="555" w:type="dxa"/>
            <w:vAlign w:val="center"/>
            <w:textDirection w:val="lrTb"/>
            <w:noWrap w:val="false"/>
          </w:tcPr>
          <w:p>
            <w:pPr>
              <w:pStyle w:val="1431"/>
              <w:ind w:firstLine="0"/>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rPr>
                <w:szCs w:val="21"/>
              </w:rPr>
            </w:pPr>
            <w:r>
              <w:rPr>
                <w:szCs w:val="21"/>
              </w:rPr>
            </w:r>
            <w:r/>
          </w:p>
        </w:tc>
        <w:tc>
          <w:tcPr>
            <w:tcW w:w="848" w:type="dxa"/>
            <w:vAlign w:val="center"/>
            <w:textDirection w:val="lrTb"/>
            <w:noWrap w:val="false"/>
          </w:tcPr>
          <w:p>
            <w:pPr>
              <w:pStyle w:val="1431"/>
              <w:ind w:firstLine="0"/>
              <w:jc w:val="center"/>
              <w:spacing w:line="440" w:lineRule="exact"/>
              <w:tabs>
                <w:tab w:val="left" w:pos="-235" w:leader="none"/>
              </w:tabs>
              <w:rPr>
                <w:szCs w:val="21"/>
              </w:rPr>
            </w:pPr>
            <w:r>
              <w:rPr>
                <w:szCs w:val="21"/>
              </w:rPr>
            </w:r>
            <w:r/>
          </w:p>
        </w:tc>
        <w:tc>
          <w:tcPr>
            <w:tcW w:w="806" w:type="dxa"/>
            <w:vAlign w:val="center"/>
            <w:textDirection w:val="lrTb"/>
            <w:noWrap w:val="false"/>
          </w:tcPr>
          <w:p>
            <w:pPr>
              <w:pStyle w:val="1431"/>
              <w:ind w:firstLine="0"/>
              <w:jc w:val="center"/>
              <w:spacing w:line="440" w:lineRule="exact"/>
              <w:tabs>
                <w:tab w:val="left" w:pos="-235" w:leader="none"/>
              </w:tabs>
              <w:rPr>
                <w:szCs w:val="21"/>
              </w:rPr>
            </w:pPr>
            <w:r>
              <w:rPr>
                <w:szCs w:val="21"/>
              </w:rPr>
            </w:r>
            <w:r/>
          </w:p>
        </w:tc>
      </w:tr>
      <w:tr>
        <w:trPr>
          <w:jc w:val="center"/>
          <w:trHeight w:val="19"/>
        </w:trPr>
        <w:tc>
          <w:tcPr>
            <w:tcW w:w="808" w:type="dxa"/>
            <w:vAlign w:val="center"/>
            <w:textDirection w:val="lrTb"/>
            <w:noWrap w:val="false"/>
          </w:tcPr>
          <w:p>
            <w:pPr>
              <w:jc w:val="center"/>
              <w:widowControl/>
            </w:pPr>
            <w:r/>
            <w:r/>
          </w:p>
        </w:tc>
        <w:tc>
          <w:tcPr>
            <w:tcW w:w="802" w:type="dxa"/>
            <w:vAlign w:val="center"/>
            <w:textDirection w:val="lrTb"/>
            <w:noWrap w:val="false"/>
          </w:tcPr>
          <w:p>
            <w:pPr>
              <w:pStyle w:val="1431"/>
              <w:ind w:firstLine="0"/>
              <w:jc w:val="center"/>
              <w:spacing w:line="440" w:lineRule="exact"/>
              <w:tabs>
                <w:tab w:val="left" w:pos="-235" w:leader="none"/>
              </w:tabs>
              <w:rPr>
                <w:szCs w:val="21"/>
              </w:rPr>
            </w:pPr>
            <w:r>
              <w:rPr>
                <w:szCs w:val="21"/>
              </w:rPr>
            </w:r>
            <w:r/>
          </w:p>
        </w:tc>
        <w:tc>
          <w:tcPr>
            <w:tcW w:w="682" w:type="dxa"/>
            <w:vAlign w:val="center"/>
            <w:textDirection w:val="lrTb"/>
            <w:noWrap w:val="false"/>
          </w:tcPr>
          <w:p>
            <w:pPr>
              <w:pStyle w:val="1431"/>
              <w:ind w:firstLine="0"/>
              <w:jc w:val="center"/>
              <w:spacing w:line="440" w:lineRule="exact"/>
              <w:tabs>
                <w:tab w:val="left" w:pos="-235" w:leader="none"/>
              </w:tabs>
              <w:rPr>
                <w:bCs/>
                <w:szCs w:val="21"/>
              </w:rPr>
            </w:pPr>
            <w:r>
              <w:rPr>
                <w:bCs/>
                <w:szCs w:val="21"/>
              </w:rPr>
            </w:r>
            <w:r/>
          </w:p>
        </w:tc>
        <w:tc>
          <w:tcPr>
            <w:tcW w:w="555" w:type="dxa"/>
            <w:vAlign w:val="center"/>
            <w:textDirection w:val="lrTb"/>
            <w:noWrap w:val="false"/>
          </w:tcPr>
          <w:p>
            <w:pPr>
              <w:pStyle w:val="1431"/>
              <w:ind w:firstLine="0"/>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rPr>
                <w:szCs w:val="21"/>
              </w:rPr>
            </w:pPr>
            <w:r>
              <w:rPr>
                <w:szCs w:val="21"/>
              </w:rPr>
            </w:r>
            <w:r/>
          </w:p>
        </w:tc>
        <w:tc>
          <w:tcPr>
            <w:tcW w:w="848" w:type="dxa"/>
            <w:vAlign w:val="center"/>
            <w:textDirection w:val="lrTb"/>
            <w:noWrap w:val="false"/>
          </w:tcPr>
          <w:p>
            <w:pPr>
              <w:pStyle w:val="1431"/>
              <w:ind w:firstLine="0"/>
              <w:jc w:val="center"/>
              <w:spacing w:line="440" w:lineRule="exact"/>
              <w:tabs>
                <w:tab w:val="left" w:pos="-235" w:leader="none"/>
              </w:tabs>
              <w:rPr>
                <w:szCs w:val="21"/>
              </w:rPr>
            </w:pPr>
            <w:r>
              <w:rPr>
                <w:szCs w:val="21"/>
              </w:rPr>
            </w:r>
            <w:r/>
          </w:p>
        </w:tc>
        <w:tc>
          <w:tcPr>
            <w:tcW w:w="806" w:type="dxa"/>
            <w:vAlign w:val="center"/>
            <w:textDirection w:val="lrTb"/>
            <w:noWrap w:val="false"/>
          </w:tcPr>
          <w:p>
            <w:pPr>
              <w:pStyle w:val="1431"/>
              <w:ind w:firstLine="0"/>
              <w:jc w:val="center"/>
              <w:spacing w:line="440" w:lineRule="exact"/>
              <w:tabs>
                <w:tab w:val="left" w:pos="-235" w:leader="none"/>
              </w:tabs>
              <w:rPr>
                <w:szCs w:val="21"/>
              </w:rPr>
            </w:pPr>
            <w:r>
              <w:rPr>
                <w:szCs w:val="21"/>
              </w:rPr>
            </w:r>
            <w:r/>
          </w:p>
        </w:tc>
      </w:tr>
      <w:tr>
        <w:trPr>
          <w:jc w:val="center"/>
          <w:trHeight w:val="19"/>
        </w:trPr>
        <w:tc>
          <w:tcPr>
            <w:tcW w:w="808" w:type="dxa"/>
            <w:vAlign w:val="center"/>
            <w:textDirection w:val="lrTb"/>
            <w:noWrap w:val="false"/>
          </w:tcPr>
          <w:p>
            <w:pPr>
              <w:jc w:val="center"/>
              <w:widowControl/>
            </w:pPr>
            <w:r/>
            <w:r/>
          </w:p>
        </w:tc>
        <w:tc>
          <w:tcPr>
            <w:tcW w:w="802" w:type="dxa"/>
            <w:vAlign w:val="center"/>
            <w:textDirection w:val="lrTb"/>
            <w:noWrap w:val="false"/>
          </w:tcPr>
          <w:p>
            <w:pPr>
              <w:pStyle w:val="1431"/>
              <w:ind w:firstLine="0"/>
              <w:jc w:val="center"/>
              <w:spacing w:line="440" w:lineRule="exact"/>
              <w:tabs>
                <w:tab w:val="left" w:pos="-235" w:leader="none"/>
              </w:tabs>
              <w:rPr>
                <w:szCs w:val="21"/>
              </w:rPr>
            </w:pPr>
            <w:r>
              <w:rPr>
                <w:szCs w:val="21"/>
              </w:rPr>
            </w:r>
            <w:r/>
          </w:p>
        </w:tc>
        <w:tc>
          <w:tcPr>
            <w:tcW w:w="682" w:type="dxa"/>
            <w:vAlign w:val="center"/>
            <w:textDirection w:val="lrTb"/>
            <w:noWrap w:val="false"/>
          </w:tcPr>
          <w:p>
            <w:pPr>
              <w:pStyle w:val="1431"/>
              <w:ind w:firstLine="0"/>
              <w:jc w:val="center"/>
              <w:spacing w:line="440" w:lineRule="exact"/>
              <w:tabs>
                <w:tab w:val="left" w:pos="-235" w:leader="none"/>
              </w:tabs>
              <w:rPr>
                <w:bCs/>
                <w:szCs w:val="21"/>
              </w:rPr>
            </w:pPr>
            <w:r>
              <w:rPr>
                <w:bCs/>
                <w:szCs w:val="21"/>
              </w:rPr>
            </w:r>
            <w:r/>
          </w:p>
        </w:tc>
        <w:tc>
          <w:tcPr>
            <w:tcW w:w="555" w:type="dxa"/>
            <w:vAlign w:val="center"/>
            <w:textDirection w:val="lrTb"/>
            <w:noWrap w:val="false"/>
          </w:tcPr>
          <w:p>
            <w:pPr>
              <w:pStyle w:val="1431"/>
              <w:ind w:firstLine="0"/>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rPr>
                <w:szCs w:val="21"/>
              </w:rPr>
            </w:pPr>
            <w:r>
              <w:rPr>
                <w:szCs w:val="21"/>
              </w:rPr>
            </w:r>
            <w:r/>
          </w:p>
        </w:tc>
        <w:tc>
          <w:tcPr>
            <w:tcW w:w="848" w:type="dxa"/>
            <w:vAlign w:val="center"/>
            <w:textDirection w:val="lrTb"/>
            <w:noWrap w:val="false"/>
          </w:tcPr>
          <w:p>
            <w:pPr>
              <w:pStyle w:val="1431"/>
              <w:ind w:firstLine="0"/>
              <w:jc w:val="center"/>
              <w:spacing w:line="440" w:lineRule="exact"/>
              <w:tabs>
                <w:tab w:val="left" w:pos="-235" w:leader="none"/>
              </w:tabs>
              <w:rPr>
                <w:szCs w:val="21"/>
              </w:rPr>
            </w:pPr>
            <w:r>
              <w:rPr>
                <w:szCs w:val="21"/>
              </w:rPr>
            </w:r>
            <w:r/>
          </w:p>
        </w:tc>
        <w:tc>
          <w:tcPr>
            <w:tcW w:w="806" w:type="dxa"/>
            <w:vAlign w:val="center"/>
            <w:textDirection w:val="lrTb"/>
            <w:noWrap w:val="false"/>
          </w:tcPr>
          <w:p>
            <w:pPr>
              <w:pStyle w:val="1431"/>
              <w:ind w:firstLine="0"/>
              <w:jc w:val="center"/>
              <w:spacing w:line="440" w:lineRule="exact"/>
              <w:tabs>
                <w:tab w:val="left" w:pos="-235" w:leader="none"/>
              </w:tabs>
              <w:rPr>
                <w:szCs w:val="21"/>
              </w:rPr>
            </w:pPr>
            <w:r>
              <w:rPr>
                <w:szCs w:val="21"/>
              </w:rPr>
            </w:r>
            <w:r/>
          </w:p>
        </w:tc>
      </w:tr>
      <w:tr>
        <w:trPr>
          <w:jc w:val="center"/>
          <w:trHeight w:val="19"/>
        </w:trPr>
        <w:tc>
          <w:tcPr>
            <w:gridSpan w:val="4"/>
            <w:tcW w:w="5673" w:type="dxa"/>
            <w:vAlign w:val="center"/>
            <w:textDirection w:val="lrTb"/>
            <w:noWrap w:val="false"/>
          </w:tcPr>
          <w:p>
            <w:pPr>
              <w:pStyle w:val="1431"/>
              <w:ind w:firstLine="0"/>
              <w:jc w:val="center"/>
              <w:spacing w:line="440" w:lineRule="exact"/>
              <w:tabs>
                <w:tab w:val="left" w:pos="-235" w:leader="none"/>
              </w:tabs>
              <w:rPr>
                <w:szCs w:val="21"/>
              </w:rPr>
            </w:pPr>
            <w:r>
              <w:rPr>
                <w:bCs/>
                <w:szCs w:val="21"/>
              </w:rPr>
              <w:t xml:space="preserve">合计（元）</w:t>
            </w:r>
            <w:r/>
          </w:p>
        </w:tc>
        <w:tc>
          <w:tcPr>
            <w:gridSpan w:val="3"/>
            <w:tcW w:w="4289" w:type="dxa"/>
            <w:vAlign w:val="center"/>
            <w:textDirection w:val="lrTb"/>
            <w:noWrap w:val="false"/>
          </w:tcPr>
          <w:p>
            <w:pPr>
              <w:pStyle w:val="1431"/>
              <w:ind w:firstLine="0"/>
              <w:spacing w:line="440" w:lineRule="exact"/>
              <w:tabs>
                <w:tab w:val="left" w:pos="-235" w:leader="none"/>
              </w:tabs>
              <w:rPr>
                <w:szCs w:val="21"/>
              </w:rPr>
            </w:pPr>
            <w:r>
              <w:rPr>
                <w:szCs w:val="21"/>
              </w:rPr>
              <w:t xml:space="preserve">￥</w:t>
            </w:r>
            <w:r/>
          </w:p>
        </w:tc>
      </w:tr>
    </w:tbl>
    <w:p>
      <w:pPr>
        <w:ind w:firstLine="420"/>
        <w:jc w:val="left"/>
        <w:spacing w:line="360" w:lineRule="auto"/>
        <w:tabs>
          <w:tab w:val="left" w:pos="4785" w:leader="none"/>
        </w:tabs>
        <w:rPr>
          <w:bCs/>
          <w:szCs w:val="21"/>
        </w:rPr>
      </w:pPr>
      <w:r>
        <w:rPr>
          <w:szCs w:val="21"/>
        </w:rPr>
        <w:t xml:space="preserve">2.合同总价（大写）：</w:t>
      </w:r>
      <w:r>
        <w:rPr>
          <w:b/>
          <w:bCs/>
          <w:szCs w:val="21"/>
        </w:rPr>
        <w:t xml:space="preserve">人民币</w:t>
      </w:r>
      <w:r>
        <w:rPr>
          <w:b/>
          <w:bCs/>
          <w:szCs w:val="21"/>
          <w:u w:val="single"/>
        </w:rPr>
        <w:t xml:space="preserve">               </w:t>
      </w:r>
      <w:r>
        <w:rPr>
          <w:szCs w:val="21"/>
        </w:rPr>
        <w:t xml:space="preserve">。</w:t>
      </w:r>
      <w:r>
        <w:rPr>
          <w:bCs/>
          <w:szCs w:val="21"/>
        </w:rPr>
        <w:t xml:space="preserve">（含税）</w:t>
      </w:r>
      <w:r/>
    </w:p>
    <w:p>
      <w:pPr>
        <w:ind w:firstLine="1470"/>
        <w:jc w:val="left"/>
        <w:spacing w:line="360" w:lineRule="auto"/>
        <w:tabs>
          <w:tab w:val="left" w:pos="4785" w:leader="none"/>
        </w:tabs>
        <w:rPr>
          <w:bCs/>
          <w:szCs w:val="21"/>
        </w:rPr>
      </w:pPr>
      <w:r>
        <w:rPr>
          <w:bCs/>
          <w:szCs w:val="21"/>
        </w:rPr>
        <w:t xml:space="preserve">（小写）：</w:t>
      </w:r>
      <w:r>
        <w:rPr>
          <w:b/>
          <w:bCs/>
          <w:szCs w:val="21"/>
        </w:rPr>
        <w:t xml:space="preserve">￥</w:t>
      </w:r>
      <w:r>
        <w:rPr>
          <w:b/>
          <w:bCs/>
          <w:szCs w:val="21"/>
          <w:u w:val="single"/>
        </w:rPr>
        <w:t xml:space="preserve">       </w:t>
      </w:r>
      <w:r>
        <w:rPr>
          <w:b/>
          <w:bCs/>
          <w:szCs w:val="21"/>
        </w:rPr>
        <w:t xml:space="preserve">元。</w:t>
      </w:r>
      <w:r/>
    </w:p>
    <w:p>
      <w:pPr>
        <w:ind w:firstLine="420"/>
        <w:spacing w:line="360" w:lineRule="auto"/>
        <w:rPr>
          <w:szCs w:val="21"/>
        </w:rPr>
      </w:pPr>
      <w:r>
        <w:rPr>
          <w:szCs w:val="21"/>
        </w:rPr>
        <w:t xml:space="preserve">2.1合同总</w:t>
      </w:r>
      <w:r>
        <w:rPr>
          <w:bCs/>
          <w:szCs w:val="21"/>
        </w:rPr>
        <w:t xml:space="preserve">价，</w:t>
      </w:r>
      <w:r>
        <w:rPr>
          <w:szCs w:val="21"/>
        </w:rPr>
        <w:t xml:space="preserve">应包括本次采购范围内全部设备、材料、随设备提供的备品配件及专用工具的价格、全部税费、包装费、运杂费（运抵买方指定地点）、保险费、安装费、调试费、买方操作维护人员培训费、验收检定费（取得法定计量检定机构有效溯源证书并证明合格）及供应商认为需要的其他费用等，本合同执行期间合同总价款不变。</w:t>
      </w:r>
      <w:r/>
    </w:p>
    <w:p>
      <w:pPr>
        <w:ind w:firstLine="420"/>
        <w:jc w:val="left"/>
        <w:spacing w:line="360" w:lineRule="auto"/>
        <w:tabs>
          <w:tab w:val="left" w:pos="4785" w:leader="none"/>
        </w:tabs>
        <w:rPr>
          <w:szCs w:val="21"/>
        </w:rPr>
      </w:pPr>
      <w:r>
        <w:rPr>
          <w:szCs w:val="21"/>
        </w:rPr>
        <w:t xml:space="preserve">2.2 在安装、调试、验收过程中，如发现有漏项、缺件，乙方应无条件、无偿补齐，所发生的一切费用，视为已包含在乙方投标时的投标报价之中，且并不因此而影响交付甲方使用的时间。</w:t>
      </w:r>
      <w:r/>
    </w:p>
    <w:p>
      <w:pPr>
        <w:ind w:left="108" w:firstLine="420"/>
        <w:jc w:val="left"/>
        <w:spacing w:line="440" w:lineRule="exact"/>
        <w:tabs>
          <w:tab w:val="left" w:pos="4785" w:leader="none"/>
        </w:tabs>
        <w:rPr>
          <w:szCs w:val="21"/>
        </w:rPr>
      </w:pPr>
      <w:r>
        <w:rPr>
          <w:szCs w:val="21"/>
        </w:rPr>
        <w:t xml:space="preserve">3. 交付使用时间：</w:t>
      </w:r>
      <w:r>
        <w:rPr>
          <w:b/>
          <w:szCs w:val="21"/>
          <w:u w:val="single"/>
        </w:rPr>
        <w:t xml:space="preserve">合同签订后</w:t>
      </w:r>
      <w:r>
        <w:rPr>
          <w:rFonts w:hint="eastAsia"/>
          <w:b/>
          <w:szCs w:val="21"/>
          <w:u w:val="single"/>
        </w:rPr>
        <w:t xml:space="preserve">  </w:t>
      </w:r>
      <w:r>
        <w:rPr>
          <w:b/>
          <w:szCs w:val="21"/>
          <w:u w:val="single"/>
        </w:rPr>
        <w:t xml:space="preserve">个月内供齐所有货物及服务，完成安装、调试及初步验收。</w:t>
      </w:r>
      <w:r/>
    </w:p>
    <w:p>
      <w:pPr>
        <w:ind w:firstLine="525"/>
        <w:spacing w:line="440" w:lineRule="exact"/>
        <w:rPr>
          <w:szCs w:val="21"/>
        </w:rPr>
      </w:pPr>
      <w:r>
        <w:rPr>
          <w:szCs w:val="21"/>
        </w:rPr>
        <w:t xml:space="preserve">4. 收货人：</w:t>
      </w:r>
      <w:r>
        <w:rPr>
          <w:b/>
          <w:szCs w:val="21"/>
          <w:u w:val="single"/>
        </w:rPr>
        <w:t xml:space="preserve">江苏省特种设备安全监督检验研究院</w:t>
      </w:r>
      <w:r>
        <w:rPr>
          <w:szCs w:val="21"/>
          <w:u w:val="single"/>
        </w:rPr>
        <w:t xml:space="preserve">。</w:t>
      </w:r>
      <w:r/>
    </w:p>
    <w:p>
      <w:pPr>
        <w:pStyle w:val="1431"/>
        <w:ind w:firstLine="525"/>
        <w:spacing w:line="440" w:lineRule="exact"/>
        <w:tabs>
          <w:tab w:val="left" w:pos="-235" w:leader="none"/>
        </w:tabs>
        <w:rPr>
          <w:szCs w:val="21"/>
          <w:u w:val="single"/>
        </w:rPr>
      </w:pPr>
      <w:r>
        <w:rPr>
          <w:szCs w:val="21"/>
        </w:rPr>
        <w:t xml:space="preserve">5. 交货地点：</w:t>
      </w:r>
      <w:r>
        <w:rPr>
          <w:b/>
          <w:bCs/>
          <w:szCs w:val="21"/>
          <w:u w:val="single"/>
        </w:rPr>
        <w:t xml:space="preserve">甲方指定地点。</w:t>
      </w:r>
      <w:r/>
    </w:p>
    <w:p>
      <w:pPr>
        <w:pStyle w:val="1431"/>
        <w:ind w:firstLine="525"/>
        <w:spacing w:line="440" w:lineRule="exact"/>
        <w:tabs>
          <w:tab w:val="left" w:pos="-235" w:leader="none"/>
        </w:tabs>
        <w:rPr>
          <w:szCs w:val="21"/>
          <w:u w:val="single"/>
        </w:rPr>
      </w:pPr>
      <w:r>
        <w:rPr>
          <w:szCs w:val="21"/>
        </w:rPr>
        <w:t xml:space="preserve">6. 设备的制造应符合下列标准或规范并据此验收：</w:t>
      </w:r>
      <w:r>
        <w:rPr>
          <w:b/>
          <w:bCs/>
          <w:szCs w:val="21"/>
          <w:u w:val="single"/>
        </w:rPr>
        <w:t xml:space="preserve">招标文件、投标文件、双方签订的技术协议和国家的相关标准。</w:t>
      </w:r>
      <w:r>
        <w:t xml:space="preserve">（上述标准或规范不一致时，则以要求较高者为准。）</w:t>
      </w:r>
      <w:r/>
    </w:p>
    <w:p>
      <w:pPr>
        <w:ind w:left="108" w:firstLine="420"/>
        <w:jc w:val="left"/>
        <w:spacing w:line="440" w:lineRule="exact"/>
        <w:tabs>
          <w:tab w:val="left" w:pos="4785" w:leader="none"/>
        </w:tabs>
        <w:rPr>
          <w:szCs w:val="21"/>
        </w:rPr>
      </w:pPr>
      <w:r>
        <w:rPr>
          <w:szCs w:val="21"/>
        </w:rPr>
        <w:t xml:space="preserve">7. 包装要求：全部货物的外包装，必须采用防漏、防潮、防震、防锈、防盗和考虑到可能会发生的野蛮装卸等长途内陆运输及多次装卸之需要。</w:t>
      </w:r>
      <w:r/>
    </w:p>
    <w:p>
      <w:pPr>
        <w:ind w:firstLine="420"/>
        <w:jc w:val="left"/>
        <w:spacing w:line="360" w:lineRule="auto"/>
        <w:tabs>
          <w:tab w:val="left" w:pos="4785" w:leader="none"/>
        </w:tabs>
        <w:rPr>
          <w:szCs w:val="21"/>
        </w:rPr>
      </w:pPr>
      <w:r>
        <w:rPr>
          <w:szCs w:val="21"/>
        </w:rPr>
        <w:t xml:space="preserve">8. 甲方付款方式及期限：</w:t>
      </w:r>
      <w:r/>
    </w:p>
    <w:p>
      <w:pPr>
        <w:ind w:firstLine="420"/>
        <w:jc w:val="left"/>
        <w:spacing w:line="360" w:lineRule="auto"/>
        <w:tabs>
          <w:tab w:val="left" w:pos="4785" w:leader="none"/>
        </w:tabs>
        <w:rPr>
          <w:szCs w:val="21"/>
        </w:rPr>
      </w:pPr>
      <w:r>
        <w:rPr>
          <w:szCs w:val="21"/>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firstLine="420"/>
        <w:jc w:val="left"/>
        <w:spacing w:line="360" w:lineRule="auto"/>
        <w:tabs>
          <w:tab w:val="left" w:pos="4785" w:leader="none"/>
        </w:tabs>
        <w:rPr>
          <w:szCs w:val="21"/>
        </w:rPr>
      </w:pPr>
      <w:r>
        <w:rPr>
          <w:szCs w:val="21"/>
        </w:rPr>
        <w:t xml:space="preserve">8.2履约保函</w:t>
      </w:r>
      <w:r/>
    </w:p>
    <w:p>
      <w:pPr>
        <w:ind w:firstLine="420"/>
        <w:jc w:val="left"/>
        <w:spacing w:line="360" w:lineRule="auto"/>
        <w:tabs>
          <w:tab w:val="left" w:pos="4785" w:leader="none"/>
        </w:tabs>
        <w:rPr>
          <w:szCs w:val="21"/>
        </w:rPr>
      </w:pPr>
      <w:r>
        <w:rPr>
          <w:szCs w:val="21"/>
        </w:rPr>
        <w:t xml:space="preserve">（1）履约保函金额：合同总价10%；</w:t>
      </w:r>
      <w:r/>
    </w:p>
    <w:p>
      <w:pPr>
        <w:ind w:firstLine="420"/>
        <w:jc w:val="left"/>
        <w:spacing w:line="360" w:lineRule="auto"/>
        <w:tabs>
          <w:tab w:val="left" w:pos="4785" w:leader="none"/>
        </w:tabs>
        <w:rPr>
          <w:szCs w:val="21"/>
        </w:rPr>
      </w:pPr>
      <w:r>
        <w:rPr>
          <w:szCs w:val="21"/>
        </w:rPr>
        <w:t xml:space="preserve">（2）履约保函的形式：乙方应当以支票、汇票、本票或者金融机构、担保机构出具的保函等非现金形式提交；</w:t>
      </w:r>
      <w:r/>
    </w:p>
    <w:p>
      <w:pPr>
        <w:ind w:firstLine="420"/>
        <w:jc w:val="left"/>
        <w:spacing w:line="360" w:lineRule="auto"/>
        <w:tabs>
          <w:tab w:val="left" w:pos="4785" w:leader="none"/>
        </w:tabs>
        <w:rPr>
          <w:szCs w:val="21"/>
        </w:rPr>
      </w:pPr>
      <w:r>
        <w:rPr>
          <w:szCs w:val="21"/>
        </w:rPr>
        <w:t xml:space="preserve">（3）履约保函的退还：在设备通过甲方验收合格且满12个月无质量问题后的15个工作日内，甲方将无息退还乙方的履约保函；</w:t>
      </w:r>
      <w:r/>
    </w:p>
    <w:p>
      <w:pPr>
        <w:ind w:firstLine="420"/>
        <w:jc w:val="left"/>
        <w:spacing w:line="360" w:lineRule="auto"/>
        <w:tabs>
          <w:tab w:val="left" w:pos="4785" w:leader="none"/>
        </w:tabs>
        <w:rPr>
          <w:szCs w:val="21"/>
        </w:rPr>
      </w:pPr>
      <w:r>
        <w:rPr>
          <w:szCs w:val="21"/>
        </w:rPr>
        <w:t xml:space="preserve">（4）逾期退还履约保函的处理：甲方未按照规定退还履约保函的（因乙方自身原因导致无法及时退还的除外），由财政部门依照《中华人民共和国政府采购法》等有关规定处理；</w:t>
      </w:r>
      <w:r/>
    </w:p>
    <w:p>
      <w:pPr>
        <w:ind w:firstLine="420"/>
        <w:jc w:val="left"/>
        <w:spacing w:line="360" w:lineRule="auto"/>
        <w:tabs>
          <w:tab w:val="left" w:pos="4785" w:leader="none"/>
        </w:tabs>
        <w:rPr>
          <w:szCs w:val="21"/>
        </w:rPr>
      </w:pPr>
      <w:r>
        <w:rPr>
          <w:szCs w:val="21"/>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4"/>
        </w:numPr>
        <w:ind w:firstLine="420"/>
        <w:jc w:val="left"/>
        <w:spacing w:line="360" w:lineRule="auto"/>
        <w:tabs>
          <w:tab w:val="left" w:pos="4785" w:leader="none"/>
        </w:tabs>
        <w:rPr>
          <w:szCs w:val="21"/>
        </w:rPr>
      </w:pPr>
      <w:r>
        <w:rPr>
          <w:szCs w:val="21"/>
        </w:rPr>
        <w:t xml:space="preserve">交付和验收</w:t>
      </w:r>
      <w:r/>
    </w:p>
    <w:p>
      <w:pPr>
        <w:ind w:firstLine="630"/>
        <w:jc w:val="left"/>
        <w:spacing w:line="360" w:lineRule="auto"/>
        <w:rPr>
          <w:szCs w:val="21"/>
        </w:rPr>
      </w:pPr>
      <w:r>
        <w:rPr>
          <w:szCs w:val="21"/>
        </w:rPr>
        <w:t xml:space="preserve">9.1乙方应当在合同签订后，根据招标文件及投标文件的要求完成服务事项。</w:t>
      </w:r>
      <w:r/>
    </w:p>
    <w:p>
      <w:pPr>
        <w:ind w:firstLine="630"/>
        <w:jc w:val="left"/>
        <w:spacing w:line="360" w:lineRule="auto"/>
        <w:rPr>
          <w:szCs w:val="21"/>
        </w:rPr>
      </w:pPr>
      <w:r>
        <w:rPr>
          <w:szCs w:val="21"/>
        </w:rPr>
        <w:t xml:space="preserve">9.2验收标准：按行业通行标准和乙方投标文件的承诺（不低于国家相关标准）。</w:t>
      </w:r>
      <w:r/>
    </w:p>
    <w:p>
      <w:pPr>
        <w:ind w:firstLine="630"/>
        <w:jc w:val="left"/>
        <w:spacing w:line="360" w:lineRule="auto"/>
        <w:rPr>
          <w:szCs w:val="21"/>
        </w:rPr>
      </w:pPr>
      <w:r>
        <w:rPr>
          <w:szCs w:val="21"/>
        </w:rPr>
        <w:t xml:space="preserve">9.3验收方式：所提供的设备（含服务）符合招标文件及投标文件、双方签订的技术协议和国家的相关标准，综合验收合格后，经甲方项目负责人确认填写项目验收报告。</w:t>
      </w:r>
      <w:r/>
    </w:p>
    <w:p>
      <w:pPr>
        <w:ind w:firstLine="420"/>
        <w:jc w:val="left"/>
        <w:spacing w:line="360" w:lineRule="auto"/>
        <w:tabs>
          <w:tab w:val="left" w:pos="4785" w:leader="none"/>
        </w:tabs>
        <w:rPr>
          <w:szCs w:val="21"/>
        </w:rPr>
      </w:pPr>
      <w:r>
        <w:rPr>
          <w:szCs w:val="21"/>
        </w:rPr>
        <w:t xml:space="preserve">10. 质保期及售后服务</w:t>
      </w:r>
      <w:r/>
    </w:p>
    <w:p>
      <w:pPr>
        <w:ind w:firstLine="420"/>
        <w:jc w:val="left"/>
        <w:spacing w:line="360" w:lineRule="auto"/>
        <w:tabs>
          <w:tab w:val="left" w:pos="4785" w:leader="none"/>
        </w:tabs>
        <w:rPr>
          <w:b/>
          <w:bCs/>
          <w:szCs w:val="21"/>
        </w:rPr>
      </w:pPr>
      <w:r>
        <w:rPr>
          <w:szCs w:val="21"/>
        </w:rPr>
        <w:t xml:space="preserve">10.1 乙方所供设备、材料及安装的质量保证期：</w:t>
      </w:r>
      <w:r>
        <w:rPr>
          <w:b/>
          <w:bCs/>
          <w:szCs w:val="21"/>
          <w:u w:val="single"/>
        </w:rPr>
        <w:t xml:space="preserve">安装验收合格后</w:t>
      </w:r>
      <w:r>
        <w:rPr>
          <w:rFonts w:hint="eastAsia"/>
          <w:b/>
          <w:bCs/>
          <w:szCs w:val="21"/>
          <w:u w:val="single"/>
        </w:rPr>
        <w:t xml:space="preserve">  </w:t>
      </w:r>
      <w:r>
        <w:rPr>
          <w:b/>
          <w:bCs/>
          <w:szCs w:val="21"/>
          <w:u w:val="single"/>
        </w:rPr>
        <w:t xml:space="preserve">年。</w:t>
      </w:r>
      <w:r/>
    </w:p>
    <w:p>
      <w:pPr>
        <w:ind w:firstLine="420"/>
        <w:jc w:val="left"/>
        <w:spacing w:line="360" w:lineRule="auto"/>
        <w:tabs>
          <w:tab w:val="left" w:pos="4785" w:leader="none"/>
        </w:tabs>
        <w:rPr>
          <w:szCs w:val="21"/>
        </w:rPr>
      </w:pPr>
      <w:r>
        <w:rPr>
          <w:szCs w:val="21"/>
        </w:rPr>
        <w:t xml:space="preserve">10.2 在质保期内，因乙方所供设备、材料制造质量或安装问题出现设备故障时，乙方在接到甲方通知（包括书面通知、电话、传真、电子邮件等）2小时内予以回复，8小时内提出解决方案，36小时内派有经验的技术人员到达工作现场，履行保修义务，免费予以排除故障、修复，无法修复应更换所供设备。乙方还应支付因更换所发生的运输、保险、安装、检测等有关的全部费用。</w:t>
      </w:r>
      <w:r/>
    </w:p>
    <w:p>
      <w:pPr>
        <w:ind w:firstLine="420"/>
        <w:jc w:val="left"/>
        <w:spacing w:line="360" w:lineRule="auto"/>
        <w:tabs>
          <w:tab w:val="left" w:pos="4785" w:leader="none"/>
        </w:tabs>
        <w:rPr>
          <w:szCs w:val="21"/>
        </w:rPr>
      </w:pPr>
      <w:r>
        <w:rPr>
          <w:szCs w:val="21"/>
        </w:rPr>
        <w:t xml:space="preserve">10.3 在质保期内，因甲方使用不当原因出现设备故障时，乙方在接甲方通知后，应在10.2条款中所述的时限内响应并派设备厂家工程师赶到甲方现场，帮助排除故障、修复或更换零部件，需购买零部件时，仅收取成本费。</w:t>
      </w:r>
      <w:r/>
    </w:p>
    <w:p>
      <w:pPr>
        <w:ind w:firstLine="420"/>
        <w:jc w:val="left"/>
        <w:spacing w:line="360" w:lineRule="auto"/>
        <w:tabs>
          <w:tab w:val="left" w:pos="4785" w:leader="none"/>
        </w:tabs>
        <w:rPr>
          <w:szCs w:val="21"/>
        </w:rPr>
      </w:pPr>
      <w:r>
        <w:rPr>
          <w:szCs w:val="21"/>
        </w:rPr>
        <w:t xml:space="preserve">10.4 质保期满后，如设备出现故障，乙方在接甲方通知后，仍应在上述时限内响应、派设备厂家工程师赶到甲方现场，帮助排除故障、修复或更换零部件，需购买零部件时，酌情收取成本费。</w:t>
      </w:r>
      <w:r/>
    </w:p>
    <w:p>
      <w:pPr>
        <w:ind w:firstLine="420"/>
        <w:jc w:val="left"/>
        <w:spacing w:line="360" w:lineRule="auto"/>
        <w:tabs>
          <w:tab w:val="left" w:pos="4785" w:leader="none"/>
        </w:tabs>
        <w:rPr>
          <w:szCs w:val="21"/>
        </w:rPr>
      </w:pPr>
      <w:r>
        <w:rPr>
          <w:szCs w:val="21"/>
        </w:rPr>
        <w:t xml:space="preserve">11. 技术资料</w:t>
      </w:r>
      <w:r/>
    </w:p>
    <w:p>
      <w:pPr>
        <w:ind w:firstLine="420"/>
        <w:jc w:val="left"/>
        <w:spacing w:line="360" w:lineRule="auto"/>
        <w:tabs>
          <w:tab w:val="left" w:pos="4785" w:leader="none"/>
        </w:tabs>
        <w:rPr>
          <w:szCs w:val="21"/>
        </w:rPr>
      </w:pPr>
      <w:r>
        <w:rPr>
          <w:szCs w:val="21"/>
        </w:rPr>
        <w:t xml:space="preserve">按第四章技术规格、参数及其他要求中的要求提供相关资料（见附件）。</w:t>
      </w:r>
      <w:r/>
    </w:p>
    <w:p>
      <w:pPr>
        <w:ind w:firstLine="420"/>
        <w:jc w:val="left"/>
        <w:spacing w:line="360" w:lineRule="auto"/>
        <w:tabs>
          <w:tab w:val="left" w:pos="4785" w:leader="none"/>
        </w:tabs>
        <w:rPr>
          <w:szCs w:val="21"/>
        </w:rPr>
      </w:pPr>
      <w:r>
        <w:rPr>
          <w:szCs w:val="21"/>
        </w:rPr>
        <w:t xml:space="preserve">12.货物风险承担</w:t>
      </w:r>
      <w:r/>
    </w:p>
    <w:p>
      <w:pPr>
        <w:ind w:firstLine="420"/>
        <w:jc w:val="left"/>
        <w:spacing w:line="360" w:lineRule="auto"/>
        <w:tabs>
          <w:tab w:val="left" w:pos="4785" w:leader="none"/>
        </w:tabs>
        <w:rPr>
          <w:szCs w:val="21"/>
        </w:rPr>
      </w:pPr>
      <w:r>
        <w:rPr>
          <w:szCs w:val="21"/>
        </w:rPr>
        <w:t xml:space="preserve">12.1乙方应当按照甲方指定的地点交货，需要运输的货物，乙方应当妥善保障货物在运输过程中的安全。</w:t>
      </w:r>
      <w:r/>
    </w:p>
    <w:p>
      <w:pPr>
        <w:ind w:firstLine="420"/>
        <w:jc w:val="left"/>
        <w:spacing w:line="360" w:lineRule="auto"/>
        <w:tabs>
          <w:tab w:val="left" w:pos="4785" w:leader="none"/>
        </w:tabs>
        <w:rPr>
          <w:szCs w:val="21"/>
        </w:rPr>
      </w:pPr>
      <w:r>
        <w:rPr>
          <w:szCs w:val="21"/>
        </w:rPr>
        <w:t xml:space="preserve">12.2乙方将货物运输至甲方指定的地点后，应当及时通知甲方进行接收，由甲方进行检验。</w:t>
      </w:r>
      <w:r/>
    </w:p>
    <w:p>
      <w:pPr>
        <w:ind w:firstLine="420"/>
        <w:jc w:val="left"/>
        <w:spacing w:line="360" w:lineRule="auto"/>
        <w:tabs>
          <w:tab w:val="left" w:pos="4785" w:leader="none"/>
        </w:tabs>
        <w:rPr>
          <w:szCs w:val="21"/>
        </w:rPr>
      </w:pPr>
      <w:r>
        <w:rPr>
          <w:szCs w:val="21"/>
        </w:rPr>
        <w:t xml:space="preserve">12.3在货物验收合格之前毁损、灭失的风险由乙方承担，因甲方原因造成货物毁损、灭失的除外。</w:t>
      </w:r>
      <w:r/>
    </w:p>
    <w:p>
      <w:pPr>
        <w:ind w:firstLine="420"/>
        <w:jc w:val="left"/>
        <w:spacing w:line="360" w:lineRule="auto"/>
        <w:tabs>
          <w:tab w:val="left" w:pos="4785" w:leader="none"/>
        </w:tabs>
        <w:rPr>
          <w:szCs w:val="21"/>
        </w:rPr>
      </w:pPr>
      <w:r>
        <w:rPr>
          <w:szCs w:val="21"/>
        </w:rPr>
        <w:t xml:space="preserve">13. 乙方的违约责任</w:t>
      </w:r>
      <w:r/>
    </w:p>
    <w:p>
      <w:pPr>
        <w:ind w:firstLine="420"/>
        <w:jc w:val="left"/>
        <w:spacing w:line="360" w:lineRule="auto"/>
        <w:tabs>
          <w:tab w:val="left" w:pos="4785" w:leader="none"/>
        </w:tabs>
        <w:rPr>
          <w:szCs w:val="21"/>
        </w:rPr>
      </w:pPr>
      <w:r>
        <w:rPr>
          <w:szCs w:val="21"/>
        </w:rPr>
        <w:t xml:space="preserve">13.1乙方未按合同规定的质量要求交货，甲方有权拒收，由此造成的直接损失和间接损失由乙方承担。</w:t>
      </w:r>
      <w:r/>
    </w:p>
    <w:p>
      <w:pPr>
        <w:ind w:firstLine="420"/>
        <w:jc w:val="left"/>
        <w:spacing w:line="360" w:lineRule="auto"/>
        <w:widowControl/>
        <w:rPr>
          <w:szCs w:val="21"/>
        </w:rPr>
      </w:pPr>
      <w:r>
        <w:rPr>
          <w:szCs w:val="21"/>
        </w:rPr>
        <w:t xml:space="preserve">13.2乙方逾期交付的，每逾期1天，乙方应向甲方支付合同总价款的5‰的逾期违约金。</w:t>
      </w:r>
      <w:r/>
    </w:p>
    <w:p>
      <w:pPr>
        <w:ind w:firstLine="420"/>
        <w:jc w:val="left"/>
        <w:spacing w:line="360" w:lineRule="auto"/>
        <w:tabs>
          <w:tab w:val="left" w:pos="4785" w:leader="none"/>
        </w:tabs>
        <w:rPr>
          <w:szCs w:val="21"/>
        </w:rPr>
      </w:pPr>
      <w:r>
        <w:rPr>
          <w:szCs w:val="21"/>
        </w:rPr>
        <w:t xml:space="preserve">13.3货物有合格证及说明书等资料的，在交付货物时，乙方应当一并交付合格证及说明书等资料，未交付的甲方有权拒绝接收。因此造成的损失由乙方承担。</w:t>
      </w:r>
      <w:r/>
    </w:p>
    <w:p>
      <w:pPr>
        <w:ind w:firstLine="420"/>
        <w:spacing w:line="360" w:lineRule="auto"/>
        <w:tabs>
          <w:tab w:val="left" w:pos="4785" w:leader="none"/>
        </w:tabs>
        <w:rPr>
          <w:szCs w:val="21"/>
        </w:rPr>
      </w:pPr>
      <w:r>
        <w:rPr>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bookmarkStart w:id="116" w:name="OLE_LINK11"/>
      <w:r>
        <w:rPr>
          <w:szCs w:val="21"/>
        </w:rPr>
        <w:t xml:space="preserve">违约金标准：合同金额50万（含）以下的违约金按照合同总价款的20%计算，合同金额50万至100万（含）的违约金按照合同总价款的10%计算，合同金额超过100万的违约金按照合同总价款的5%计算</w:t>
      </w:r>
      <w:bookmarkEnd w:id="116"/>
      <w:r>
        <w:rPr>
          <w:szCs w:val="21"/>
        </w:rPr>
        <w:t xml:space="preserve">）。</w:t>
      </w:r>
      <w:r/>
    </w:p>
    <w:p>
      <w:pPr>
        <w:ind w:firstLine="420"/>
        <w:jc w:val="left"/>
        <w:spacing w:line="360" w:lineRule="auto"/>
        <w:widowControl/>
        <w:rPr>
          <w:szCs w:val="21"/>
        </w:rPr>
      </w:pPr>
      <w:r>
        <w:rPr>
          <w:szCs w:val="21"/>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jc w:val="left"/>
        <w:spacing w:line="360" w:lineRule="auto"/>
        <w:tabs>
          <w:tab w:val="left" w:pos="4785" w:leader="none"/>
        </w:tabs>
        <w:rPr>
          <w:szCs w:val="21"/>
        </w:rPr>
      </w:pPr>
      <w:r>
        <w:rPr>
          <w:szCs w:val="21"/>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360" w:lineRule="auto"/>
        <w:widowControl/>
        <w:rPr>
          <w:szCs w:val="21"/>
        </w:rPr>
      </w:pPr>
      <w:r>
        <w:rPr>
          <w:szCs w:val="21"/>
        </w:rPr>
        <w:t xml:space="preserve">13.7乙方所交付的货物或服务不符合合同规定的，甲方有权拒收。甲方拒收的，</w:t>
      </w:r>
      <w:bookmarkStart w:id="117" w:name="OLE_LINK9"/>
      <w:r>
        <w:rPr>
          <w:szCs w:val="21"/>
        </w:rPr>
        <w:t xml:space="preserve">乙方应向甲方支付违约金</w:t>
      </w:r>
      <w:bookmarkStart w:id="118" w:name="OLE_LINK8"/>
      <w:r>
        <w:rPr>
          <w:szCs w:val="21"/>
        </w:rPr>
        <w:t xml:space="preserve">（违约金标准：合同金额50万（含）以下的违约金按照合同总价款的20%计算，合同金额50万至100万（含）的违约金按照合同总价款的10%计算，合同金额超过100万的违约金按照合同总价款的5%计算）</w:t>
      </w:r>
      <w:bookmarkEnd w:id="117"/>
      <w:r/>
      <w:bookmarkEnd w:id="118"/>
      <w:r>
        <w:rPr>
          <w:szCs w:val="21"/>
        </w:rPr>
        <w:t xml:space="preserve">。甲方未拒收的，采购代理机构发现后将向有关部门反映，并责成乙方按照采购结果提供服务。</w:t>
      </w:r>
      <w:r/>
    </w:p>
    <w:p>
      <w:pPr>
        <w:ind w:firstLine="420"/>
        <w:jc w:val="left"/>
        <w:spacing w:line="360" w:lineRule="auto"/>
        <w:tabs>
          <w:tab w:val="left" w:pos="4785" w:leader="none"/>
        </w:tabs>
        <w:rPr>
          <w:szCs w:val="21"/>
        </w:rPr>
      </w:pPr>
      <w:r>
        <w:rPr>
          <w:szCs w:val="21"/>
        </w:rPr>
        <w:t xml:space="preserve">13.8乙方履行义务不符合合同约定时，甲方将扣减合同总价款10%的尾款，同时甲方有权按照本合同的约定追究乙方的违约责任。</w:t>
      </w:r>
      <w:r/>
    </w:p>
    <w:p>
      <w:pPr>
        <w:ind w:firstLine="420"/>
        <w:jc w:val="left"/>
        <w:spacing w:line="360" w:lineRule="auto"/>
        <w:tabs>
          <w:tab w:val="left" w:pos="4785" w:leader="none"/>
        </w:tabs>
        <w:rPr>
          <w:szCs w:val="21"/>
        </w:rPr>
      </w:pPr>
      <w:r>
        <w:rPr>
          <w:szCs w:val="21"/>
        </w:rPr>
        <w:t xml:space="preserve">13.9乙方应当向甲方提供合法且符合甲方要求的发票，乙方未提供发票之前甲方有权拒绝支付合同款项，由此造成的损失由乙方承担，因乙方未提供发票导致甲方未支付货款的，并不因此免除乙方按约定供货的义务。</w:t>
      </w:r>
      <w:r>
        <w:rPr>
          <w:szCs w:val="21"/>
        </w:rPr>
        <w:tab/>
      </w:r>
      <w:r/>
    </w:p>
    <w:p>
      <w:pPr>
        <w:ind w:firstLine="420"/>
        <w:jc w:val="left"/>
        <w:spacing w:line="360" w:lineRule="auto"/>
        <w:tabs>
          <w:tab w:val="left" w:pos="4785" w:leader="none"/>
        </w:tabs>
        <w:rPr>
          <w:szCs w:val="21"/>
        </w:rPr>
      </w:pPr>
      <w:r>
        <w:rPr>
          <w:szCs w:val="21"/>
        </w:rPr>
        <w:t xml:space="preserve">14.甲方的违约责任</w:t>
      </w:r>
      <w:r/>
    </w:p>
    <w:p>
      <w:pPr>
        <w:ind w:firstLine="420"/>
        <w:jc w:val="left"/>
        <w:spacing w:line="360" w:lineRule="auto"/>
        <w:tabs>
          <w:tab w:val="left" w:pos="4785" w:leader="none"/>
        </w:tabs>
        <w:rPr>
          <w:szCs w:val="21"/>
        </w:rPr>
      </w:pPr>
      <w:r>
        <w:rPr>
          <w:szCs w:val="21"/>
        </w:rPr>
        <w:t xml:space="preserve">14.1甲方未按合同规定的时间和要求向乙方提供技术资料等，乙方交付时间顺延。</w:t>
      </w:r>
      <w:r/>
    </w:p>
    <w:p>
      <w:pPr>
        <w:ind w:firstLine="420"/>
        <w:jc w:val="left"/>
        <w:spacing w:line="360" w:lineRule="auto"/>
        <w:tabs>
          <w:tab w:val="left" w:pos="4785" w:leader="none"/>
        </w:tabs>
        <w:rPr>
          <w:szCs w:val="21"/>
        </w:rPr>
      </w:pPr>
      <w:r>
        <w:rPr>
          <w:szCs w:val="21"/>
        </w:rPr>
        <w:t xml:space="preserve">15. 乙方供给甲方的设备、材料及乙方自己的施工用具，进入甲方现场后的保管，由乙方负责；乙方在甲方现场安装、调试、验收人员的安全、保险、食宿、交通由乙方负责。</w:t>
      </w:r>
      <w:r/>
    </w:p>
    <w:p>
      <w:pPr>
        <w:ind w:firstLine="420"/>
        <w:jc w:val="left"/>
        <w:spacing w:line="360" w:lineRule="auto"/>
        <w:tabs>
          <w:tab w:val="left" w:pos="4785" w:leader="none"/>
        </w:tabs>
        <w:rPr>
          <w:szCs w:val="21"/>
        </w:rPr>
      </w:pPr>
      <w:r>
        <w:rPr>
          <w:szCs w:val="21"/>
        </w:rPr>
        <w:t xml:space="preserve">16. 乙方在设备安装、调试、验收过程中，甲方提供下列条件和配合，超出下列范围的由乙方自理：</w:t>
      </w:r>
      <w:r>
        <w:rPr>
          <w:szCs w:val="21"/>
          <w:u w:val="single"/>
        </w:rPr>
        <w:t xml:space="preserve">无</w:t>
      </w:r>
      <w:r>
        <w:rPr>
          <w:szCs w:val="21"/>
        </w:rPr>
        <w:t xml:space="preserve">。</w:t>
      </w:r>
      <w:r/>
    </w:p>
    <w:p>
      <w:pPr>
        <w:ind w:firstLine="420"/>
        <w:jc w:val="left"/>
        <w:spacing w:line="360" w:lineRule="auto"/>
        <w:tabs>
          <w:tab w:val="left" w:pos="4785" w:leader="none"/>
        </w:tabs>
        <w:rPr>
          <w:szCs w:val="21"/>
        </w:rPr>
      </w:pPr>
      <w:r>
        <w:rPr>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szCs w:val="21"/>
          <w:lang w:val="zh-CN"/>
        </w:rPr>
        <w:t xml:space="preserve">甲方为解决纠纷支付的律师费、诉讼费、差旅费等合理费用</w:t>
      </w:r>
      <w:r>
        <w:rPr>
          <w:szCs w:val="21"/>
        </w:rPr>
        <w:t xml:space="preserve">。</w:t>
      </w:r>
      <w:r/>
    </w:p>
    <w:p>
      <w:pPr>
        <w:ind w:firstLine="420"/>
        <w:jc w:val="left"/>
        <w:spacing w:line="360" w:lineRule="auto"/>
        <w:tabs>
          <w:tab w:val="left" w:pos="4785" w:leader="none"/>
        </w:tabs>
        <w:rPr>
          <w:szCs w:val="21"/>
        </w:rPr>
      </w:pPr>
      <w:r>
        <w:rPr>
          <w:szCs w:val="21"/>
        </w:rPr>
        <w:t xml:space="preserve">18. 合同的生效：本合同一式陆份，各份具有同等法律效力，自甲乙双方签字、盖章并加盖骑缝章之日起生效。</w:t>
      </w:r>
      <w:r/>
    </w:p>
    <w:p>
      <w:pPr>
        <w:ind w:firstLine="420"/>
        <w:jc w:val="left"/>
        <w:spacing w:line="360" w:lineRule="auto"/>
        <w:tabs>
          <w:tab w:val="left" w:pos="4785" w:leader="none"/>
        </w:tabs>
        <w:rPr>
          <w:szCs w:val="21"/>
        </w:rPr>
      </w:pPr>
      <w:r>
        <w:rPr>
          <w:szCs w:val="21"/>
        </w:rPr>
        <w:t xml:space="preserve">19. 未尽事宜、双方协商解决，并按《中华人民共和国民法典》的规定调整。</w:t>
      </w:r>
      <w:r/>
    </w:p>
    <w:p>
      <w:pPr>
        <w:ind w:firstLine="420"/>
        <w:jc w:val="left"/>
        <w:spacing w:line="360" w:lineRule="auto"/>
        <w:tabs>
          <w:tab w:val="left" w:pos="4785" w:leader="none"/>
        </w:tabs>
        <w:rPr>
          <w:szCs w:val="21"/>
        </w:rPr>
      </w:pPr>
      <w:r>
        <w:rPr>
          <w:szCs w:val="21"/>
        </w:rPr>
        <w:t xml:space="preserve">20. 招标文件、成交通知书、乙方的投标文件及投标承诺书是签订本合同的依据，本合同未尽事项首先依据招标文件、成交通知书、乙方的投标文件及投标承诺书进行履行，双方也可以在不违背本合同实质性内容的基础上达成补充协议，补充协议与本合同具有相同的法律效力。</w:t>
      </w:r>
      <w:r/>
    </w:p>
    <w:p>
      <w:pPr>
        <w:ind w:firstLine="420"/>
        <w:jc w:val="left"/>
        <w:spacing w:line="360" w:lineRule="auto"/>
        <w:tabs>
          <w:tab w:val="left" w:pos="4785" w:leader="none"/>
        </w:tabs>
        <w:rPr>
          <w:szCs w:val="21"/>
        </w:rPr>
      </w:pPr>
      <w:r>
        <w:rPr>
          <w:szCs w:val="21"/>
        </w:rPr>
        <w:t xml:space="preserve">三、合同的变更和终止</w:t>
      </w:r>
      <w:r/>
    </w:p>
    <w:p>
      <w:pPr>
        <w:ind w:firstLine="420"/>
        <w:jc w:val="left"/>
        <w:spacing w:line="360" w:lineRule="auto"/>
        <w:tabs>
          <w:tab w:val="left" w:pos="4785" w:leader="none"/>
        </w:tabs>
        <w:rPr>
          <w:szCs w:val="21"/>
        </w:rPr>
      </w:pPr>
      <w:r>
        <w:rPr>
          <w:szCs w:val="21"/>
        </w:rPr>
        <w:t xml:space="preserve">1、除《政府采购法》第50条第二款规定的情形外，本合同一经签订，甲乙双方不得擅自变更、中止或终止合同。</w:t>
      </w:r>
      <w:r/>
    </w:p>
    <w:p>
      <w:pPr>
        <w:ind w:firstLine="420"/>
        <w:jc w:val="left"/>
        <w:spacing w:line="360" w:lineRule="auto"/>
        <w:tabs>
          <w:tab w:val="left" w:pos="4785" w:leader="none"/>
        </w:tabs>
        <w:rPr>
          <w:szCs w:val="21"/>
        </w:rPr>
      </w:pPr>
      <w:r>
        <w:rPr>
          <w:szCs w:val="21"/>
        </w:rPr>
        <w:t xml:space="preserve">2、除发生法律规定的不能预见、不能避免并不能克服的客观情况外，甲乙双方不得放弃或拒绝履行合同。</w:t>
      </w:r>
      <w:r/>
    </w:p>
    <w:p>
      <w:pPr>
        <w:ind w:firstLine="420"/>
        <w:jc w:val="left"/>
        <w:spacing w:line="360" w:lineRule="auto"/>
        <w:tabs>
          <w:tab w:val="left" w:pos="4785" w:leader="none"/>
        </w:tabs>
        <w:rPr>
          <w:szCs w:val="21"/>
        </w:rPr>
      </w:pPr>
      <w:r>
        <w:rPr>
          <w:szCs w:val="21"/>
        </w:rPr>
        <w:t xml:space="preserve">3、在不改变合同其他条款的前提下，甲方有权在合同价款百分之十的范围内追加与合同标的相同的货物或服务，并就此与乙方签订补充合同，乙方不得拒绝。</w:t>
      </w:r>
      <w:r/>
    </w:p>
    <w:p>
      <w:pPr>
        <w:ind w:firstLine="420"/>
        <w:jc w:val="left"/>
        <w:spacing w:line="360" w:lineRule="auto"/>
        <w:tabs>
          <w:tab w:val="left" w:pos="4785" w:leader="none"/>
        </w:tabs>
        <w:rPr>
          <w:szCs w:val="21"/>
        </w:rPr>
      </w:pPr>
      <w:r>
        <w:rPr>
          <w:szCs w:val="21"/>
        </w:rPr>
        <w:t xml:space="preserve">四、合同权利义务的转让</w:t>
      </w:r>
      <w:r/>
    </w:p>
    <w:p>
      <w:pPr>
        <w:ind w:firstLine="420"/>
        <w:jc w:val="left"/>
        <w:spacing w:line="360" w:lineRule="auto"/>
        <w:tabs>
          <w:tab w:val="left" w:pos="4785" w:leader="none"/>
        </w:tabs>
        <w:rPr>
          <w:szCs w:val="21"/>
        </w:rPr>
      </w:pPr>
      <w:r>
        <w:rPr>
          <w:szCs w:val="21"/>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360" w:lineRule="auto"/>
        <w:tabs>
          <w:tab w:val="left" w:pos="4785" w:leader="none"/>
        </w:tabs>
        <w:rPr>
          <w:szCs w:val="21"/>
        </w:rPr>
      </w:pPr>
      <w:r>
        <w:rPr>
          <w:szCs w:val="21"/>
        </w:rPr>
        <w:t xml:space="preserve">五、货物、服务的购买或租赁权利瑕疵</w:t>
      </w:r>
      <w:r/>
    </w:p>
    <w:p>
      <w:pPr>
        <w:ind w:firstLine="420"/>
        <w:jc w:val="left"/>
        <w:spacing w:line="360" w:lineRule="auto"/>
        <w:tabs>
          <w:tab w:val="left" w:pos="4785" w:leader="none"/>
        </w:tabs>
        <w:rPr>
          <w:szCs w:val="21"/>
        </w:rPr>
      </w:pPr>
      <w:r>
        <w:rPr>
          <w:szCs w:val="21"/>
        </w:rPr>
        <w:t xml:space="preserve">乙方应保证提供的货物、设备或服务不存在所有权、抵押权、使用权、知识产权等权利瑕疵。</w:t>
      </w:r>
      <w:r/>
    </w:p>
    <w:p>
      <w:pPr>
        <w:ind w:firstLine="420"/>
        <w:jc w:val="left"/>
        <w:spacing w:line="360" w:lineRule="auto"/>
        <w:tabs>
          <w:tab w:val="left" w:pos="4785" w:leader="none"/>
        </w:tabs>
        <w:rPr>
          <w:szCs w:val="21"/>
        </w:rPr>
      </w:pPr>
      <w:r>
        <w:rPr>
          <w:szCs w:val="21"/>
        </w:rPr>
        <w:t xml:space="preserve">六、争议解决条款</w:t>
      </w:r>
      <w:r/>
    </w:p>
    <w:p>
      <w:pPr>
        <w:ind w:firstLine="420"/>
        <w:jc w:val="left"/>
        <w:spacing w:line="360" w:lineRule="auto"/>
        <w:tabs>
          <w:tab w:val="left" w:pos="4785" w:leader="none"/>
        </w:tabs>
        <w:rPr>
          <w:szCs w:val="21"/>
        </w:rPr>
      </w:pPr>
      <w:r>
        <w:rPr>
          <w:szCs w:val="21"/>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360" w:lineRule="auto"/>
        <w:tabs>
          <w:tab w:val="left" w:pos="4785" w:leader="none"/>
        </w:tabs>
        <w:rPr>
          <w:szCs w:val="21"/>
        </w:rPr>
      </w:pPr>
      <w:r>
        <w:rPr>
          <w:szCs w:val="21"/>
        </w:rPr>
        <w:t xml:space="preserve">七、廉洁条款</w:t>
      </w:r>
      <w:r/>
    </w:p>
    <w:p>
      <w:pPr>
        <w:ind w:firstLine="420"/>
        <w:jc w:val="left"/>
        <w:spacing w:line="360" w:lineRule="auto"/>
        <w:tabs>
          <w:tab w:val="left" w:pos="4785" w:leader="none"/>
        </w:tabs>
        <w:rPr>
          <w:szCs w:val="21"/>
        </w:rPr>
      </w:pPr>
      <w:r>
        <w:rPr>
          <w:szCs w:val="21"/>
        </w:rPr>
        <w:t xml:space="preserve">合同签订前、履行期间及履行完毕后，乙方应当遵守廉洁原则，不得向甲方工作人员行贿、变相行贿，不得以任何理由向甲方工作人员及第三方赠送礼品、礼金、各种有价证券及其他支付凭证，不以任何理由为甲方工作人员报销应由个人支付的费用。一旦发生上述事由，甲方有权无条件解除本合同。</w:t>
      </w:r>
      <w:r/>
    </w:p>
    <w:p>
      <w:pPr>
        <w:ind w:firstLine="420"/>
        <w:jc w:val="left"/>
        <w:spacing w:line="360" w:lineRule="auto"/>
        <w:tabs>
          <w:tab w:val="left" w:pos="4785" w:leader="none"/>
        </w:tabs>
        <w:rPr>
          <w:szCs w:val="21"/>
        </w:rPr>
      </w:pPr>
      <w:r>
        <w:rPr>
          <w:szCs w:val="21"/>
        </w:rPr>
        <w:t xml:space="preserve">八、保密条款</w:t>
      </w:r>
      <w:r/>
    </w:p>
    <w:p>
      <w:pPr>
        <w:ind w:firstLine="420"/>
        <w:jc w:val="left"/>
        <w:spacing w:line="360" w:lineRule="auto"/>
        <w:tabs>
          <w:tab w:val="left" w:pos="4785" w:leader="none"/>
        </w:tabs>
        <w:rPr>
          <w:szCs w:val="21"/>
        </w:rPr>
      </w:pPr>
      <w:r>
        <w:rPr>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ind w:firstLine="420"/>
        <w:jc w:val="left"/>
        <w:spacing w:line="360" w:lineRule="auto"/>
        <w:tabs>
          <w:tab w:val="left" w:pos="4785" w:leader="none"/>
        </w:tabs>
        <w:rPr>
          <w:rFonts w:eastAsiaTheme="minorEastAsia"/>
          <w:szCs w:val="21"/>
        </w:rPr>
      </w:pPr>
      <w:r>
        <w:rPr>
          <w:rFonts w:eastAsiaTheme="minorEastAsia"/>
          <w:szCs w:val="21"/>
        </w:rPr>
        <w:t xml:space="preserve">九、不可抗力</w:t>
      </w:r>
      <w:r/>
    </w:p>
    <w:p>
      <w:pPr>
        <w:ind w:firstLine="420"/>
        <w:jc w:val="left"/>
        <w:spacing w:line="360" w:lineRule="auto"/>
        <w:tabs>
          <w:tab w:val="left" w:pos="4785" w:leader="none"/>
        </w:tabs>
        <w:rPr>
          <w:rFonts w:eastAsiaTheme="minorEastAsia"/>
          <w:szCs w:val="21"/>
        </w:rPr>
      </w:pPr>
      <w:r>
        <w:rPr>
          <w:rFonts w:eastAsiaTheme="minorEastAsia"/>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jc w:val="left"/>
        <w:spacing w:line="360" w:lineRule="auto"/>
        <w:tabs>
          <w:tab w:val="left" w:pos="4785" w:leader="none"/>
        </w:tabs>
        <w:rPr>
          <w:szCs w:val="21"/>
        </w:rPr>
      </w:pPr>
      <w:r>
        <w:rPr>
          <w:szCs w:val="21"/>
        </w:rPr>
        <w:t xml:space="preserve">十、送达条款</w:t>
      </w:r>
      <w:r/>
    </w:p>
    <w:p>
      <w:pPr>
        <w:ind w:firstLine="420"/>
        <w:jc w:val="left"/>
        <w:spacing w:line="360" w:lineRule="auto"/>
        <w:tabs>
          <w:tab w:val="left" w:pos="4785" w:leader="none"/>
        </w:tabs>
        <w:rPr>
          <w:szCs w:val="21"/>
        </w:rPr>
      </w:pPr>
      <w:r>
        <w:rPr>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ind w:firstLine="420"/>
        <w:jc w:val="left"/>
        <w:spacing w:line="360" w:lineRule="auto"/>
        <w:tabs>
          <w:tab w:val="left" w:pos="4785" w:leader="none"/>
        </w:tabs>
        <w:rPr>
          <w:rFonts w:eastAsiaTheme="minorEastAsia"/>
          <w:szCs w:val="21"/>
        </w:rPr>
      </w:pPr>
      <w:r>
        <w:rPr>
          <w:rFonts w:eastAsiaTheme="minorEastAsia"/>
          <w:szCs w:val="21"/>
        </w:rPr>
        <w:t xml:space="preserve">十一、其他</w:t>
      </w:r>
      <w:r/>
    </w:p>
    <w:p>
      <w:pPr>
        <w:ind w:left="420"/>
        <w:jc w:val="left"/>
        <w:spacing w:line="360" w:lineRule="auto"/>
        <w:tabs>
          <w:tab w:val="left" w:pos="4785" w:leader="none"/>
        </w:tabs>
        <w:rPr>
          <w:rFonts w:eastAsiaTheme="minorEastAsia"/>
          <w:szCs w:val="21"/>
        </w:rPr>
      </w:pPr>
      <w:r>
        <w:rPr>
          <w:rFonts w:eastAsiaTheme="minorEastAsia"/>
          <w:szCs w:val="21"/>
        </w:rPr>
        <w:t xml:space="preserve">1、合同的生效：本合同一式陆份，自甲乙双方签字并加盖骑缝章之日起生效。</w:t>
      </w:r>
      <w:r/>
    </w:p>
    <w:p>
      <w:pPr>
        <w:ind w:left="420"/>
        <w:jc w:val="left"/>
        <w:spacing w:line="360" w:lineRule="auto"/>
        <w:tabs>
          <w:tab w:val="left" w:pos="4785" w:leader="none"/>
        </w:tabs>
        <w:rPr>
          <w:rFonts w:eastAsiaTheme="minorEastAsia"/>
          <w:szCs w:val="21"/>
        </w:rPr>
      </w:pPr>
      <w:r>
        <w:rPr>
          <w:rFonts w:eastAsiaTheme="minorEastAsia"/>
          <w:szCs w:val="21"/>
        </w:rPr>
        <w:t xml:space="preserve">2、未尽事宜、双方协商解决，并按《中华人民共和国民法典》及相关法律、法规的规定调整。</w:t>
      </w:r>
      <w:r/>
    </w:p>
    <w:p>
      <w:pPr>
        <w:ind w:firstLine="420"/>
        <w:jc w:val="left"/>
        <w:spacing w:line="360" w:lineRule="auto"/>
        <w:tabs>
          <w:tab w:val="left" w:pos="4785" w:leader="none"/>
        </w:tabs>
        <w:rPr>
          <w:rFonts w:eastAsiaTheme="minorEastAsia"/>
          <w:szCs w:val="21"/>
        </w:rPr>
      </w:pPr>
      <w:r>
        <w:rPr>
          <w:rFonts w:eastAsiaTheme="minorEastAsia"/>
          <w:szCs w:val="21"/>
        </w:rPr>
        <w:t xml:space="preserve">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20"/>
        <w:jc w:val="left"/>
        <w:spacing w:line="440" w:lineRule="exact"/>
        <w:widowControl/>
        <w:rPr>
          <w:szCs w:val="21"/>
        </w:rPr>
      </w:pPr>
      <w:r>
        <w:rPr>
          <w:szCs w:val="21"/>
        </w:rPr>
        <w:t xml:space="preserve">（以下无正文）</w:t>
      </w:r>
      <w:r/>
    </w:p>
    <w:tbl>
      <w:tblPr>
        <w:tblStyle w:val="1325"/>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29"/>
        </w:trPr>
        <w:tc>
          <w:tcPr>
            <w:tcW w:w="4946" w:type="dxa"/>
            <w:textDirection w:val="lrTb"/>
            <w:noWrap w:val="false"/>
          </w:tcPr>
          <w:p>
            <w:pPr>
              <w:spacing w:line="400" w:lineRule="exact"/>
              <w:rPr>
                <w:szCs w:val="21"/>
              </w:rPr>
            </w:pPr>
            <w:r>
              <w:rPr>
                <w:szCs w:val="21"/>
              </w:rPr>
              <w:t xml:space="preserve">甲方（盖章）：</w:t>
            </w:r>
            <w:r/>
          </w:p>
          <w:p>
            <w:pPr>
              <w:spacing w:line="400" w:lineRule="exact"/>
              <w:rPr>
                <w:szCs w:val="21"/>
              </w:rPr>
            </w:pPr>
            <w:r>
              <w:rPr>
                <w:szCs w:val="21"/>
              </w:rPr>
              <w:t xml:space="preserve">单位名称：江苏省特种设备安全监督检验研究院</w:t>
            </w:r>
            <w:r/>
          </w:p>
          <w:p>
            <w:pPr>
              <w:spacing w:line="400" w:lineRule="exact"/>
              <w:rPr>
                <w:szCs w:val="21"/>
              </w:rPr>
            </w:pPr>
            <w:r>
              <w:rPr>
                <w:szCs w:val="21"/>
              </w:rPr>
              <w:t xml:space="preserve">单位地址：江苏省南京市鼓楼区草场门大街107号龙江大厦</w:t>
            </w:r>
            <w:r/>
          </w:p>
          <w:p>
            <w:pPr>
              <w:spacing w:line="400" w:lineRule="exact"/>
              <w:rPr>
                <w:szCs w:val="21"/>
              </w:rPr>
            </w:pPr>
            <w:r>
              <w:rPr>
                <w:szCs w:val="21"/>
              </w:rPr>
              <w:t xml:space="preserve">法定代表人：</w:t>
            </w:r>
            <w:r/>
          </w:p>
          <w:p>
            <w:pPr>
              <w:spacing w:line="400" w:lineRule="exact"/>
              <w:rPr>
                <w:szCs w:val="21"/>
              </w:rPr>
            </w:pPr>
            <w:r>
              <w:rPr>
                <w:szCs w:val="21"/>
              </w:rPr>
              <w:t xml:space="preserve">委托代理人（签字）：</w:t>
            </w:r>
            <w:r/>
          </w:p>
          <w:p>
            <w:pPr>
              <w:spacing w:line="400" w:lineRule="exact"/>
              <w:rPr>
                <w:szCs w:val="21"/>
              </w:rPr>
            </w:pPr>
            <w:r>
              <w:rPr>
                <w:szCs w:val="21"/>
              </w:rPr>
              <w:t xml:space="preserve">联系方式：</w:t>
            </w:r>
            <w:r/>
          </w:p>
          <w:p>
            <w:pPr>
              <w:spacing w:line="400" w:lineRule="exact"/>
              <w:rPr>
                <w:szCs w:val="21"/>
              </w:rPr>
            </w:pPr>
            <w:r>
              <w:rPr>
                <w:szCs w:val="21"/>
              </w:rPr>
            </w:r>
            <w:r/>
          </w:p>
          <w:p>
            <w:pPr>
              <w:spacing w:line="400" w:lineRule="exact"/>
              <w:rPr>
                <w:szCs w:val="21"/>
              </w:rPr>
            </w:pPr>
            <w:r>
              <w:rPr>
                <w:szCs w:val="21"/>
              </w:rPr>
            </w:r>
            <w:r/>
          </w:p>
          <w:p>
            <w:pPr>
              <w:spacing w:line="400" w:lineRule="exact"/>
              <w:rPr>
                <w:szCs w:val="21"/>
              </w:rPr>
            </w:pPr>
            <w:r>
              <w:rPr>
                <w:szCs w:val="21"/>
              </w:rPr>
            </w:r>
            <w:r/>
          </w:p>
          <w:p>
            <w:pPr>
              <w:spacing w:line="400" w:lineRule="exact"/>
              <w:rPr>
                <w:szCs w:val="21"/>
              </w:rPr>
            </w:pPr>
            <w:r>
              <w:rPr>
                <w:szCs w:val="21"/>
              </w:rPr>
              <w:t xml:space="preserve">签订日期：  年  月  日</w:t>
            </w:r>
            <w:r/>
          </w:p>
        </w:tc>
        <w:tc>
          <w:tcPr>
            <w:tcW w:w="4684" w:type="dxa"/>
            <w:textDirection w:val="lrTb"/>
            <w:noWrap w:val="false"/>
          </w:tcPr>
          <w:p>
            <w:pPr>
              <w:spacing w:line="400" w:lineRule="exact"/>
              <w:rPr>
                <w:szCs w:val="21"/>
              </w:rPr>
            </w:pPr>
            <w:r>
              <w:rPr>
                <w:szCs w:val="21"/>
              </w:rPr>
              <w:t xml:space="preserve">乙方（盖章）：</w:t>
            </w:r>
            <w:r/>
          </w:p>
          <w:p>
            <w:pPr>
              <w:spacing w:line="400" w:lineRule="exact"/>
              <w:rPr>
                <w:szCs w:val="21"/>
              </w:rPr>
            </w:pPr>
            <w:r>
              <w:rPr>
                <w:szCs w:val="21"/>
              </w:rPr>
              <w:t xml:space="preserve">单位名称：</w:t>
            </w:r>
            <w:r/>
          </w:p>
          <w:p>
            <w:pPr>
              <w:spacing w:line="400" w:lineRule="exact"/>
              <w:rPr>
                <w:szCs w:val="21"/>
              </w:rPr>
            </w:pPr>
            <w:r>
              <w:rPr>
                <w:szCs w:val="21"/>
              </w:rPr>
              <w:t xml:space="preserve">单位地址：</w:t>
            </w:r>
            <w:r/>
          </w:p>
          <w:p>
            <w:pPr>
              <w:spacing w:line="400" w:lineRule="exact"/>
              <w:rPr>
                <w:szCs w:val="21"/>
              </w:rPr>
            </w:pPr>
            <w:r>
              <w:rPr>
                <w:szCs w:val="21"/>
              </w:rPr>
              <w:t xml:space="preserve">法定代表人：</w:t>
            </w:r>
            <w:r/>
          </w:p>
          <w:p>
            <w:pPr>
              <w:spacing w:line="400" w:lineRule="exact"/>
              <w:rPr>
                <w:szCs w:val="21"/>
              </w:rPr>
            </w:pPr>
            <w:r>
              <w:rPr>
                <w:szCs w:val="21"/>
              </w:rPr>
              <w:t xml:space="preserve">委托代理人（签字）：</w:t>
            </w:r>
            <w:r/>
          </w:p>
          <w:p>
            <w:pPr>
              <w:spacing w:line="400" w:lineRule="exact"/>
              <w:rPr>
                <w:szCs w:val="21"/>
              </w:rPr>
            </w:pPr>
            <w:r>
              <w:rPr>
                <w:szCs w:val="21"/>
              </w:rPr>
              <w:t xml:space="preserve">电话：</w:t>
            </w:r>
            <w:r/>
          </w:p>
          <w:p>
            <w:pPr>
              <w:spacing w:line="400" w:lineRule="exact"/>
              <w:rPr>
                <w:szCs w:val="21"/>
              </w:rPr>
            </w:pPr>
            <w:r>
              <w:rPr>
                <w:szCs w:val="21"/>
              </w:rPr>
              <w:t xml:space="preserve">传真：</w:t>
            </w:r>
            <w:r/>
          </w:p>
          <w:p>
            <w:pPr>
              <w:spacing w:line="400" w:lineRule="exact"/>
              <w:rPr>
                <w:szCs w:val="21"/>
              </w:rPr>
            </w:pPr>
            <w:r>
              <w:rPr>
                <w:szCs w:val="21"/>
              </w:rPr>
              <w:t xml:space="preserve">开户银行：</w:t>
            </w:r>
            <w:r/>
          </w:p>
          <w:p>
            <w:pPr>
              <w:spacing w:line="400" w:lineRule="exact"/>
              <w:rPr>
                <w:szCs w:val="21"/>
              </w:rPr>
            </w:pPr>
            <w:r>
              <w:rPr>
                <w:szCs w:val="21"/>
              </w:rPr>
              <w:t xml:space="preserve">帐号：</w:t>
            </w:r>
            <w:r/>
          </w:p>
          <w:p>
            <w:pPr>
              <w:spacing w:line="400" w:lineRule="exact"/>
              <w:rPr>
                <w:szCs w:val="21"/>
              </w:rPr>
            </w:pPr>
            <w:r>
              <w:rPr>
                <w:szCs w:val="21"/>
              </w:rPr>
              <w:t xml:space="preserve">税号：</w:t>
            </w:r>
            <w:r/>
          </w:p>
          <w:p>
            <w:pPr>
              <w:spacing w:line="400" w:lineRule="exact"/>
              <w:rPr>
                <w:szCs w:val="21"/>
              </w:rPr>
            </w:pPr>
            <w:r>
              <w:rPr>
                <w:szCs w:val="21"/>
              </w:rPr>
              <w:t xml:space="preserve">签订日期：  年  月  日</w:t>
            </w:r>
            <w:r/>
          </w:p>
        </w:tc>
      </w:tr>
    </w:tbl>
    <w:p>
      <w:pPr>
        <w:spacing w:line="360" w:lineRule="auto"/>
        <w:rPr>
          <w:b/>
          <w:color w:val="000000"/>
          <w:szCs w:val="21"/>
        </w:rPr>
      </w:pPr>
      <w:r>
        <w:rPr>
          <w:b/>
          <w:color w:val="000000"/>
          <w:szCs w:val="21"/>
        </w:rPr>
      </w:r>
      <w:r/>
    </w:p>
    <w:p>
      <w:pPr>
        <w:rPr>
          <w:b/>
          <w:color w:val="000000"/>
          <w:sz w:val="28"/>
          <w:szCs w:val="28"/>
        </w:rPr>
      </w:pPr>
      <w:r>
        <w:rPr>
          <w:b/>
          <w:color w:val="000000"/>
          <w:sz w:val="28"/>
          <w:szCs w:val="28"/>
        </w:rPr>
        <w:br w:type="page" w:clear="all"/>
      </w:r>
      <w:r/>
    </w:p>
    <w:p>
      <w:pPr>
        <w:ind w:firstLine="3373"/>
        <w:rPr>
          <w:b/>
          <w:color w:val="000000"/>
          <w:sz w:val="28"/>
          <w:szCs w:val="28"/>
        </w:rPr>
        <w:outlineLvl w:val="0"/>
      </w:pPr>
      <w:r/>
      <w:bookmarkStart w:id="119" w:name="_Toc231822744"/>
      <w:r>
        <w:rPr>
          <w:b/>
          <w:color w:val="000000"/>
          <w:sz w:val="28"/>
          <w:szCs w:val="28"/>
        </w:rPr>
        <w:t xml:space="preserve">第六章 投标文件格式及附件</w:t>
      </w:r>
      <w:bookmarkEnd w:id="119"/>
      <w:r/>
      <w:r/>
    </w:p>
    <w:p>
      <w:pPr>
        <w:spacing w:line="360" w:lineRule="auto"/>
        <w:rPr>
          <w:b/>
          <w:bCs/>
          <w:color w:val="000000"/>
          <w:szCs w:val="21"/>
        </w:rPr>
      </w:pPr>
      <w:r>
        <w:rPr>
          <w:b/>
          <w:bCs/>
          <w:color w:val="000000"/>
          <w:szCs w:val="21"/>
        </w:rPr>
        <w:t xml:space="preserve">注：</w:t>
      </w:r>
      <w:r/>
    </w:p>
    <w:p>
      <w:pPr>
        <w:jc w:val="left"/>
        <w:spacing w:line="360" w:lineRule="auto"/>
        <w:rPr>
          <w:color w:val="000000"/>
          <w:szCs w:val="21"/>
        </w:rPr>
      </w:pPr>
      <w:r>
        <w:rPr>
          <w:color w:val="000000"/>
          <w:szCs w:val="21"/>
        </w:rPr>
        <w:t xml:space="preserve">1.本部分内容仅提供格式参考。 </w:t>
      </w:r>
      <w:r/>
    </w:p>
    <w:p>
      <w:pPr>
        <w:jc w:val="left"/>
        <w:spacing w:line="360" w:lineRule="auto"/>
        <w:rPr>
          <w:color w:val="000000"/>
          <w:szCs w:val="21"/>
        </w:rPr>
      </w:pPr>
      <w:r>
        <w:rPr>
          <w:color w:val="000000"/>
          <w:szCs w:val="21"/>
        </w:rPr>
        <w:t xml:space="preserve">2.投标人应按照以下文件的要求格式、内容制作投标文件，并编制目录及页码，混乱的编排导致投标文件被误读或查找不到，后果由投标人承担。 </w:t>
      </w:r>
      <w:r/>
    </w:p>
    <w:p>
      <w:pPr>
        <w:jc w:val="left"/>
        <w:spacing w:line="360" w:lineRule="auto"/>
        <w:rPr>
          <w:color w:val="000000"/>
          <w:szCs w:val="21"/>
        </w:rPr>
      </w:pPr>
      <w:r>
        <w:rPr>
          <w:color w:val="000000"/>
          <w:szCs w:val="21"/>
        </w:rPr>
        <w:t xml:space="preserve">3.所附表格中要求回答的全部问题和信息都必须正面回答。 </w:t>
      </w:r>
      <w:r/>
    </w:p>
    <w:p>
      <w:pPr>
        <w:jc w:val="left"/>
        <w:spacing w:line="360" w:lineRule="auto"/>
        <w:rPr>
          <w:color w:val="000000"/>
          <w:szCs w:val="21"/>
        </w:rPr>
      </w:pPr>
      <w:r>
        <w:rPr>
          <w:color w:val="000000"/>
          <w:szCs w:val="21"/>
        </w:rPr>
        <w:t xml:space="preserve">4.投标人提交的材料不予退还。 </w:t>
      </w:r>
      <w:r/>
    </w:p>
    <w:p>
      <w:pPr>
        <w:jc w:val="left"/>
        <w:spacing w:line="360" w:lineRule="auto"/>
        <w:rPr>
          <w:color w:val="000000"/>
          <w:szCs w:val="21"/>
        </w:rPr>
      </w:pPr>
      <w:r>
        <w:rPr>
          <w:color w:val="000000"/>
          <w:szCs w:val="21"/>
        </w:rPr>
        <w:t xml:space="preserve">5.全部文件应按投标人须知以及前附表中规定的语言和份数提交。 </w:t>
      </w:r>
      <w:r/>
    </w:p>
    <w:p>
      <w:pPr>
        <w:jc w:val="left"/>
        <w:spacing w:line="360" w:lineRule="auto"/>
        <w:rPr>
          <w:color w:val="000000"/>
          <w:szCs w:val="21"/>
        </w:rPr>
      </w:pPr>
      <w:r>
        <w:rPr>
          <w:color w:val="000000"/>
          <w:szCs w:val="21"/>
        </w:rPr>
        <w:t xml:space="preserve">6.投标文件应按照投标文件格式逐项填写，无相应内容可填的项应填写“无”“未测试”“没有相应指标”等明确的回答文字。 </w:t>
      </w:r>
      <w:r/>
    </w:p>
    <w:p>
      <w:pPr>
        <w:spacing w:line="360" w:lineRule="auto"/>
        <w:rPr>
          <w:color w:val="000000"/>
          <w:szCs w:val="21"/>
        </w:rPr>
        <w:sectPr>
          <w:headerReference w:type="first" r:id="rId11"/>
          <w:footerReference w:type="default" r:id="rId14"/>
          <w:footnotePr/>
          <w:endnotePr/>
          <w:type w:val="nextPage"/>
          <w:pgSz w:w="11906" w:h="16838" w:orient="portrait"/>
          <w:pgMar w:top="1134" w:right="1312" w:bottom="1134" w:left="1134" w:header="567" w:footer="992" w:gutter="0"/>
          <w:cols w:num="1" w:sep="0" w:space="720" w:equalWidth="1"/>
          <w:docGrid w:linePitch="360"/>
        </w:sectPr>
      </w:pPr>
      <w:r>
        <w:rPr>
          <w:color w:val="000000"/>
          <w:szCs w:val="21"/>
        </w:rPr>
        <w:t xml:space="preserve"> </w:t>
      </w:r>
      <w:r/>
    </w:p>
    <w:p>
      <w:pPr>
        <w:jc w:val="center"/>
        <w:spacing w:line="360" w:lineRule="auto"/>
        <w:rPr>
          <w:b/>
          <w:color w:val="000000"/>
          <w:szCs w:val="21"/>
        </w:rPr>
      </w:pPr>
      <w:r/>
      <w:bookmarkStart w:id="120" w:name="_Toc29373"/>
      <w:r/>
      <w:bookmarkStart w:id="121" w:name="_Toc496780634"/>
      <w:r/>
      <w:bookmarkStart w:id="122" w:name="_Toc4200"/>
      <w:r/>
      <w:bookmarkStart w:id="123" w:name="_Toc31843"/>
      <w:r/>
      <w:bookmarkStart w:id="124" w:name="_Toc24614"/>
      <w:r>
        <w:rPr>
          <w:b/>
          <w:color w:val="000000"/>
          <w:szCs w:val="21"/>
        </w:rPr>
        <w:t xml:space="preserve">评审索引</w:t>
      </w:r>
      <w:bookmarkEnd w:id="120"/>
      <w:r/>
      <w:bookmarkEnd w:id="121"/>
      <w:r>
        <w:rPr>
          <w:b/>
          <w:color w:val="000000"/>
          <w:szCs w:val="21"/>
        </w:rPr>
        <w:t xml:space="preserve">表</w:t>
      </w:r>
      <w:bookmarkEnd w:id="122"/>
      <w:r/>
      <w:bookmarkEnd w:id="123"/>
      <w:r/>
      <w:bookmarkEnd w:id="124"/>
      <w:r/>
      <w:r/>
    </w:p>
    <w:tbl>
      <w:tblPr>
        <w:tblStyle w:val="1325"/>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60" w:lineRule="auto"/>
              <w:widowControl/>
              <w:rPr>
                <w:b/>
                <w:color w:val="000000"/>
                <w:szCs w:val="21"/>
              </w:rPr>
            </w:pPr>
            <w:r>
              <w:rPr>
                <w:b/>
                <w:color w:val="000000"/>
                <w:szCs w:val="21"/>
              </w:rPr>
              <w:t xml:space="preserve">评审项目</w:t>
            </w:r>
            <w:r/>
          </w:p>
        </w:tc>
        <w:tc>
          <w:tcPr>
            <w:tcW w:w="6604" w:type="dxa"/>
            <w:textDirection w:val="lrTb"/>
            <w:noWrap w:val="false"/>
          </w:tcPr>
          <w:p>
            <w:pPr>
              <w:jc w:val="center"/>
              <w:spacing w:line="360" w:lineRule="auto"/>
              <w:rPr>
                <w:b/>
                <w:color w:val="000000"/>
                <w:szCs w:val="21"/>
              </w:rPr>
            </w:pPr>
            <w:r>
              <w:rPr>
                <w:b/>
                <w:color w:val="000000"/>
                <w:szCs w:val="21"/>
              </w:rPr>
              <w:t xml:space="preserve">评分要求</w:t>
            </w:r>
            <w:r/>
          </w:p>
        </w:tc>
        <w:tc>
          <w:tcPr>
            <w:tcW w:w="1524" w:type="dxa"/>
            <w:textDirection w:val="lrTb"/>
            <w:noWrap w:val="false"/>
          </w:tcPr>
          <w:p>
            <w:pPr>
              <w:jc w:val="center"/>
              <w:spacing w:line="360" w:lineRule="auto"/>
              <w:rPr>
                <w:b/>
                <w:color w:val="000000"/>
                <w:szCs w:val="21"/>
              </w:rPr>
            </w:pPr>
            <w:r>
              <w:rPr>
                <w:b/>
                <w:color w:val="000000"/>
                <w:szCs w:val="21"/>
              </w:rPr>
              <w:t xml:space="preserve">所在页码</w:t>
            </w:r>
            <w:r/>
          </w:p>
        </w:tc>
      </w:tr>
      <w:tr>
        <w:trPr>
          <w:jc w:val="center"/>
        </w:trPr>
        <w:tc>
          <w:tcPr>
            <w:tcW w:w="422" w:type="dxa"/>
            <w:vAlign w:val="center"/>
            <w:textDirection w:val="lrTb"/>
            <w:noWrap w:val="false"/>
          </w:tcPr>
          <w:p>
            <w:pPr>
              <w:spacing w:line="360" w:lineRule="auto"/>
              <w:widowControl/>
              <w:rPr>
                <w:color w:val="000000"/>
                <w:szCs w:val="21"/>
              </w:rPr>
            </w:pPr>
            <w:r>
              <w:rPr>
                <w:color w:val="000000"/>
                <w:szCs w:val="21"/>
              </w:rPr>
            </w:r>
            <w:r/>
          </w:p>
        </w:tc>
        <w:tc>
          <w:tcPr>
            <w:tcW w:w="1304" w:type="dxa"/>
            <w:vAlign w:val="center"/>
            <w:textDirection w:val="lrTb"/>
            <w:noWrap w:val="false"/>
          </w:tcPr>
          <w:p>
            <w:pPr>
              <w:spacing w:line="360" w:lineRule="auto"/>
              <w:widowControl/>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ind w:left="613"/>
              <w:spacing w:line="360" w:lineRule="auto"/>
              <w:widowControl/>
              <w:tabs>
                <w:tab w:val="left" w:pos="403" w:leader="none"/>
              </w:tabs>
              <w:rPr>
                <w:color w:val="000000"/>
                <w:szCs w:val="21"/>
              </w:rPr>
            </w:pPr>
            <w:r>
              <w:rPr>
                <w:color w:val="000000"/>
                <w:szCs w:val="21"/>
              </w:rPr>
            </w:r>
            <w:r/>
          </w:p>
        </w:tc>
      </w:tr>
      <w:tr>
        <w:trPr>
          <w:jc w:val="center"/>
          <w:trHeight w:val="6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bl>
    <w:p>
      <w:pPr>
        <w:ind w:firstLine="630"/>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outlineLvl w:val="1"/>
      </w:pPr>
      <w:r>
        <w:rPr>
          <w:color w:val="000000"/>
          <w:szCs w:val="21"/>
        </w:rPr>
      </w:r>
      <w:r/>
    </w:p>
    <w:p>
      <w:pPr>
        <w:jc w:val="left"/>
        <w:spacing w:line="360" w:lineRule="auto"/>
        <w:outlineLvl w:val="1"/>
      </w:pPr>
      <w:r/>
      <w:bookmarkStart w:id="125" w:name="_Toc231822745"/>
      <w:r/>
      <w:bookmarkStart w:id="126" w:name="_Toc4034"/>
      <w:r/>
      <w:bookmarkStart w:id="127" w:name="_Toc15346"/>
      <w:r/>
      <w:bookmarkStart w:id="128" w:name="_Toc28190"/>
      <w:r/>
      <w:bookmarkStart w:id="129" w:name="_Toc1929"/>
      <w:r/>
      <w:bookmarkStart w:id="130" w:name="_Toc24640"/>
      <w:r/>
      <w:bookmarkStart w:id="131" w:name="_Toc9700"/>
      <w:r>
        <w:rPr>
          <w:b/>
          <w:color w:val="000000"/>
          <w:szCs w:val="21"/>
        </w:rPr>
        <w:t xml:space="preserve">附件一 投标函格式</w:t>
      </w:r>
      <w:bookmarkEnd w:id="125"/>
      <w:r/>
      <w:bookmarkEnd w:id="126"/>
      <w:r/>
      <w:bookmarkEnd w:id="127"/>
      <w:r/>
      <w:bookmarkEnd w:id="128"/>
      <w:r/>
      <w:r/>
    </w:p>
    <w:p>
      <w:pPr>
        <w:jc w:val="center"/>
        <w:spacing w:line="360" w:lineRule="auto"/>
        <w:rPr>
          <w:b/>
          <w:color w:val="000000"/>
          <w:szCs w:val="21"/>
        </w:rPr>
      </w:pPr>
      <w:r>
        <w:rPr>
          <w:b/>
          <w:color w:val="000000"/>
          <w:szCs w:val="21"/>
        </w:rPr>
        <w:t xml:space="preserve">投标函</w:t>
      </w:r>
      <w:r/>
    </w:p>
    <w:p>
      <w:pPr>
        <w:spacing w:line="360" w:lineRule="auto"/>
        <w:rPr>
          <w:color w:val="000000"/>
          <w:szCs w:val="21"/>
        </w:rPr>
      </w:pPr>
      <w:r>
        <w:rPr>
          <w:color w:val="000000"/>
          <w:szCs w:val="21"/>
        </w:rPr>
        <w:t xml:space="preserve">致：江苏美达机电贸易有限公司</w:t>
      </w:r>
      <w:r/>
    </w:p>
    <w:p>
      <w:pPr>
        <w:ind w:firstLine="420"/>
        <w:spacing w:line="360" w:lineRule="auto"/>
        <w:rPr>
          <w:color w:val="000000"/>
          <w:szCs w:val="21"/>
          <w:lang w:val="zh-CN"/>
        </w:rPr>
      </w:pPr>
      <w:r>
        <w:rPr>
          <w:color w:val="000000"/>
          <w:szCs w:val="21"/>
          <w:lang w:val="zh-CN"/>
        </w:rPr>
        <w:t xml:space="preserve">根据贵方</w:t>
      </w:r>
      <w:r>
        <w:rPr>
          <w:color w:val="000000"/>
          <w:szCs w:val="21"/>
          <w:u w:val="single"/>
          <w:lang w:val="zh-CN"/>
        </w:rPr>
        <w:t xml:space="preserve">         </w:t>
      </w:r>
      <w:r>
        <w:rPr>
          <w:color w:val="000000"/>
          <w:szCs w:val="21"/>
          <w:lang w:val="zh-CN"/>
        </w:rPr>
        <w:t xml:space="preserve">（项目名称） </w:t>
      </w:r>
      <w:r>
        <w:rPr>
          <w:b/>
          <w:color w:val="000000"/>
          <w:szCs w:val="21"/>
          <w:u w:val="single"/>
        </w:rPr>
        <w:t xml:space="preserve">        </w:t>
      </w:r>
      <w:r>
        <w:rPr>
          <w:color w:val="000000"/>
          <w:szCs w:val="21"/>
          <w:lang w:val="zh-CN"/>
        </w:rPr>
        <w:t xml:space="preserve">（项目编号）投标邀请，正式授权下述签字人</w:t>
      </w:r>
      <w:r>
        <w:rPr>
          <w:color w:val="000000"/>
          <w:szCs w:val="21"/>
          <w:u w:val="single"/>
          <w:lang w:val="zh-CN"/>
        </w:rPr>
        <w:t xml:space="preserve">       </w:t>
      </w:r>
      <w:r>
        <w:rPr>
          <w:color w:val="000000"/>
          <w:szCs w:val="21"/>
          <w:lang w:val="zh-CN"/>
        </w:rPr>
        <w:t xml:space="preserve">(姓名和职务)代表</w:t>
      </w:r>
      <w:r>
        <w:rPr>
          <w:color w:val="000000"/>
          <w:szCs w:val="21"/>
          <w:u w:val="single"/>
          <w:lang w:val="zh-CN"/>
        </w:rPr>
        <w:t xml:space="preserve">        </w:t>
      </w:r>
      <w:r>
        <w:rPr>
          <w:color w:val="000000"/>
          <w:szCs w:val="21"/>
          <w:u w:val="single"/>
        </w:rPr>
        <w:t xml:space="preserve">   </w:t>
      </w:r>
      <w:r>
        <w:rPr>
          <w:color w:val="000000"/>
          <w:szCs w:val="21"/>
          <w:u w:val="single"/>
          <w:lang w:val="zh-CN"/>
        </w:rPr>
        <w:t xml:space="preserve">    </w:t>
      </w:r>
      <w:r>
        <w:rPr>
          <w:color w:val="000000"/>
          <w:szCs w:val="21"/>
          <w:lang w:val="zh-CN"/>
        </w:rPr>
        <w:t xml:space="preserve">（投标人名称），提交投标文件。</w:t>
      </w:r>
      <w:r/>
    </w:p>
    <w:p>
      <w:pPr>
        <w:ind w:firstLine="420"/>
        <w:spacing w:line="360" w:lineRule="auto"/>
        <w:rPr>
          <w:color w:val="000000"/>
          <w:szCs w:val="21"/>
        </w:rPr>
      </w:pPr>
      <w:r>
        <w:rPr>
          <w:color w:val="000000"/>
          <w:szCs w:val="21"/>
        </w:rPr>
        <w:t xml:space="preserve">据此函，签字人兹宣布同意如下：</w:t>
      </w:r>
      <w:r/>
    </w:p>
    <w:p>
      <w:pPr>
        <w:spacing w:line="360" w:lineRule="auto"/>
        <w:rPr>
          <w:color w:val="000000"/>
          <w:szCs w:val="21"/>
        </w:rPr>
      </w:pPr>
      <w:r>
        <w:rPr>
          <w:color w:val="000000"/>
          <w:szCs w:val="21"/>
        </w:rPr>
        <w:t xml:space="preserve">1．我们的资格条件完全符合《中华人民共和国政府采购法》和本次招标要求，我们同意并向贵方提供了与本次招标活动有关的所有证据和资料。    </w:t>
      </w:r>
      <w:r/>
    </w:p>
    <w:p>
      <w:pPr>
        <w:spacing w:line="360" w:lineRule="auto"/>
        <w:rPr>
          <w:color w:val="000000"/>
          <w:szCs w:val="21"/>
        </w:rPr>
      </w:pPr>
      <w:r>
        <w:rPr>
          <w:color w:val="000000"/>
          <w:szCs w:val="21"/>
        </w:rPr>
        <w:t xml:space="preserve">2．我们已详细审核全部招标文件及其有效补充文件，我们放弃对招标文件任何误解的权利，提交投标文件后，</w:t>
      </w:r>
      <w:r>
        <w:rPr>
          <w:b/>
          <w:bCs/>
          <w:color w:val="000000"/>
          <w:szCs w:val="21"/>
        </w:rPr>
        <w:t xml:space="preserve">不对招标文件本身提出质疑</w:t>
      </w:r>
      <w:r>
        <w:rPr>
          <w:color w:val="000000"/>
          <w:szCs w:val="21"/>
        </w:rPr>
        <w:t xml:space="preserve">。否则，属于不诚信和故意扰乱政府采购活动行为，我们将无条件接受处罚。</w:t>
      </w:r>
      <w:r/>
    </w:p>
    <w:p>
      <w:pPr>
        <w:spacing w:line="360" w:lineRule="auto"/>
        <w:rPr>
          <w:color w:val="000000"/>
          <w:szCs w:val="21"/>
        </w:rPr>
      </w:pPr>
      <w:r>
        <w:rPr>
          <w:color w:val="000000"/>
          <w:szCs w:val="21"/>
        </w:rPr>
        <w:t xml:space="preserve">3．我们同意在本项目招标文件中规定的开标之日起90天内遵守本投标文件中的承诺且在此期限期满之前均具有约束力。</w:t>
      </w:r>
      <w:r/>
    </w:p>
    <w:p>
      <w:pPr>
        <w:spacing w:line="360" w:lineRule="auto"/>
        <w:rPr>
          <w:color w:val="000000"/>
          <w:szCs w:val="21"/>
        </w:rPr>
      </w:pPr>
      <w:r>
        <w:rPr>
          <w:color w:val="000000"/>
          <w:szCs w:val="21"/>
        </w:rPr>
        <w:t xml:space="preserve">4．我们愿意向采购代理机构提供任何与本次招标有关的其他资料，并保证已提供和将要提供的文件是真实的、准确的。</w:t>
      </w:r>
      <w:r/>
    </w:p>
    <w:p>
      <w:pPr>
        <w:spacing w:line="360" w:lineRule="auto"/>
        <w:rPr>
          <w:color w:val="000000"/>
          <w:szCs w:val="21"/>
        </w:rPr>
      </w:pPr>
      <w:r>
        <w:rPr>
          <w:color w:val="000000"/>
          <w:szCs w:val="21"/>
        </w:rPr>
        <w:t xml:space="preserve">5．我们理解，你们无义务必须接受投标价最低的投标，并有权拒绝所有的投标。</w:t>
      </w:r>
      <w:r/>
    </w:p>
    <w:p>
      <w:pPr>
        <w:spacing w:line="360" w:lineRule="auto"/>
        <w:rPr>
          <w:color w:val="000000"/>
          <w:szCs w:val="21"/>
        </w:rPr>
      </w:pPr>
      <w:r>
        <w:rPr>
          <w:color w:val="000000"/>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color w:val="000000"/>
          <w:szCs w:val="21"/>
        </w:rPr>
      </w:pPr>
      <w:r>
        <w:rPr>
          <w:color w:val="000000"/>
          <w:szCs w:val="21"/>
        </w:rPr>
        <w:t xml:space="preserve">7．其他说明：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w:t>
      </w:r>
      <w:r>
        <w:rPr>
          <w:color w:val="000000"/>
          <w:szCs w:val="21"/>
          <w:u w:val="single"/>
        </w:rPr>
        <w:t xml:space="preserve">                   （公章）</w:t>
      </w:r>
      <w:r/>
    </w:p>
    <w:p>
      <w:pPr>
        <w:spacing w:line="360" w:lineRule="auto"/>
        <w:rPr>
          <w:color w:val="000000"/>
          <w:szCs w:val="21"/>
          <w:u w:val="single"/>
        </w:rPr>
      </w:pPr>
      <w:r>
        <w:rPr>
          <w:color w:val="000000"/>
          <w:szCs w:val="21"/>
        </w:rPr>
        <w:t xml:space="preserve">地址：</w:t>
      </w:r>
      <w:r>
        <w:rPr>
          <w:color w:val="000000"/>
          <w:szCs w:val="21"/>
          <w:u w:val="single"/>
        </w:rPr>
        <w:t xml:space="preserve">            </w:t>
      </w:r>
      <w:r>
        <w:rPr>
          <w:color w:val="000000"/>
          <w:szCs w:val="21"/>
        </w:rPr>
        <w:t xml:space="preserve"> 邮编：</w:t>
      </w:r>
      <w:r>
        <w:rPr>
          <w:color w:val="000000"/>
          <w:szCs w:val="21"/>
          <w:u w:val="single"/>
        </w:rPr>
        <w:t xml:space="preserve">              </w:t>
      </w:r>
      <w:r/>
    </w:p>
    <w:p>
      <w:pPr>
        <w:spacing w:line="360" w:lineRule="auto"/>
        <w:rPr>
          <w:color w:val="000000"/>
          <w:szCs w:val="21"/>
          <w:u w:val="single"/>
        </w:rPr>
      </w:pPr>
      <w:r>
        <w:rPr>
          <w:color w:val="000000"/>
          <w:szCs w:val="21"/>
        </w:rPr>
        <w:t xml:space="preserve">电话：</w:t>
      </w:r>
      <w:r>
        <w:rPr>
          <w:color w:val="000000"/>
          <w:szCs w:val="21"/>
          <w:u w:val="single"/>
        </w:rPr>
        <w:t xml:space="preserve">            </w:t>
      </w:r>
      <w:r>
        <w:rPr>
          <w:color w:val="000000"/>
          <w:szCs w:val="21"/>
        </w:rPr>
        <w:t xml:space="preserve"> 传真：</w:t>
      </w:r>
      <w:r>
        <w:rPr>
          <w:color w:val="000000"/>
          <w:szCs w:val="21"/>
          <w:u w:val="single"/>
        </w:rPr>
        <w:t xml:space="preserve">              </w:t>
      </w:r>
      <w:r/>
    </w:p>
    <w:p>
      <w:pPr>
        <w:spacing w:line="360" w:lineRule="auto"/>
        <w:rPr>
          <w:color w:val="000000"/>
          <w:szCs w:val="21"/>
        </w:rPr>
      </w:pPr>
      <w:r>
        <w:rPr>
          <w:color w:val="000000"/>
          <w:szCs w:val="21"/>
        </w:rPr>
        <w:t xml:space="preserve">日期：</w:t>
      </w:r>
      <w:r>
        <w:rPr>
          <w:color w:val="000000"/>
          <w:szCs w:val="21"/>
          <w:u w:val="single"/>
        </w:rPr>
        <w:t xml:space="preserve">               </w:t>
      </w:r>
      <w:r/>
    </w:p>
    <w:p>
      <w:pPr>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pPr>
      <w:r>
        <w:rPr>
          <w:color w:val="000000"/>
          <w:szCs w:val="21"/>
        </w:rPr>
      </w:r>
      <w:bookmarkEnd w:id="129"/>
      <w:r/>
      <w:bookmarkEnd w:id="130"/>
      <w:r/>
      <w:bookmarkEnd w:id="131"/>
      <w:r/>
      <w:r/>
    </w:p>
    <w:p>
      <w:pPr>
        <w:jc w:val="left"/>
        <w:spacing w:line="360" w:lineRule="auto"/>
        <w:rPr>
          <w:b/>
          <w:color w:val="000000"/>
          <w:szCs w:val="21"/>
        </w:rPr>
        <w:outlineLvl w:val="1"/>
      </w:pPr>
      <w:r/>
      <w:bookmarkStart w:id="132" w:name="_Toc231822746"/>
      <w:r>
        <w:rPr>
          <w:b/>
          <w:color w:val="000000"/>
          <w:szCs w:val="21"/>
        </w:rPr>
        <w:t xml:space="preserve">附件二 开标一览表</w:t>
      </w:r>
      <w:bookmarkEnd w:id="132"/>
      <w:r/>
      <w:r/>
    </w:p>
    <w:p>
      <w:pPr>
        <w:jc w:val="center"/>
        <w:spacing w:line="360" w:lineRule="auto"/>
        <w:rPr>
          <w:b/>
          <w:color w:val="000000"/>
          <w:szCs w:val="21"/>
        </w:rPr>
      </w:pPr>
      <w:r>
        <w:rPr>
          <w:b/>
          <w:color w:val="000000"/>
          <w:szCs w:val="21"/>
        </w:rPr>
        <w:t xml:space="preserve">开标一览表</w:t>
      </w:r>
      <w:r/>
    </w:p>
    <w:p>
      <w:pPr>
        <w:spacing w:line="360" w:lineRule="auto"/>
        <w:rPr>
          <w:color w:val="000000"/>
          <w:szCs w:val="21"/>
        </w:rPr>
      </w:pPr>
      <w:r>
        <w:rPr>
          <w:color w:val="000000"/>
          <w:szCs w:val="21"/>
        </w:rPr>
      </w:r>
      <w:r/>
    </w:p>
    <w:p>
      <w:pPr>
        <w:spacing w:after="120" w:line="360" w:lineRule="auto"/>
        <w:rPr>
          <w:color w:val="000000"/>
          <w:szCs w:val="21"/>
          <w:u w:val="single"/>
        </w:rPr>
      </w:pPr>
      <w:r>
        <w:rPr>
          <w:color w:val="000000"/>
          <w:szCs w:val="21"/>
        </w:rPr>
        <w:t xml:space="preserve">  项目名称：</w:t>
      </w:r>
      <w:r>
        <w:rPr>
          <w:color w:val="000000"/>
          <w:szCs w:val="21"/>
          <w:u w:val="single"/>
        </w:rPr>
        <w:t xml:space="preserve">                </w:t>
      </w:r>
      <w:r>
        <w:rPr>
          <w:color w:val="000000"/>
          <w:szCs w:val="21"/>
        </w:rPr>
        <w:t xml:space="preserve">        招标编号：</w:t>
      </w:r>
      <w:r>
        <w:rPr>
          <w:color w:val="000000"/>
          <w:szCs w:val="21"/>
          <w:u w:val="single"/>
        </w:rPr>
        <w:t xml:space="preserve">               </w:t>
      </w:r>
      <w:r/>
    </w:p>
    <w:tbl>
      <w:tblPr>
        <w:tblStyle w:val="1325"/>
        <w:tblW w:w="9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6"/>
        <w:gridCol w:w="542"/>
        <w:gridCol w:w="667"/>
        <w:gridCol w:w="780"/>
        <w:gridCol w:w="1349"/>
        <w:gridCol w:w="1275"/>
        <w:gridCol w:w="1666"/>
        <w:gridCol w:w="1095"/>
        <w:gridCol w:w="1902"/>
      </w:tblGrid>
      <w:tr>
        <w:trPr>
          <w:jc w:val="center"/>
          <w:trHeight w:val="877"/>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spacing w:line="360" w:lineRule="auto"/>
              <w:rPr>
                <w:szCs w:val="21"/>
              </w:rPr>
            </w:pPr>
            <w:r>
              <w:rPr>
                <w:szCs w:val="21"/>
              </w:rPr>
              <w:t xml:space="preserve">包号</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t xml:space="preserve">产品名称</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t xml:space="preserve">所投品牌</w:t>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t xml:space="preserve">数量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t xml:space="preserve">投标货币/投标价格</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t xml:space="preserve">交货期</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t xml:space="preserve">是否为进口产品（是/否）</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t xml:space="preserve">投标标的是否全部由小微企业提供（是/否）</w:t>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gridSpan w:val="8"/>
            <w:tcBorders>
              <w:top w:val="single" w:color="auto" w:sz="4" w:space="0"/>
              <w:left w:val="single" w:color="auto" w:sz="4" w:space="0"/>
              <w:bottom w:val="single" w:color="auto" w:sz="4" w:space="0"/>
              <w:right w:val="single" w:color="auto" w:sz="4" w:space="0"/>
            </w:tcBorders>
            <w:tcW w:w="8090" w:type="dxa"/>
            <w:vAlign w:val="center"/>
            <w:textDirection w:val="lrTb"/>
            <w:noWrap w:val="false"/>
          </w:tcPr>
          <w:p>
            <w:pPr>
              <w:jc w:val="left"/>
              <w:spacing w:line="360" w:lineRule="auto"/>
              <w:rPr>
                <w:szCs w:val="21"/>
              </w:rPr>
            </w:pPr>
            <w:r>
              <w:rPr>
                <w:szCs w:val="21"/>
              </w:rPr>
              <w:t xml:space="preserve">投标总价合计：   （大写）   （小写）</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left"/>
              <w:spacing w:line="360" w:lineRule="auto"/>
              <w:rPr>
                <w:szCs w:val="21"/>
              </w:rPr>
            </w:pPr>
            <w:r>
              <w:rPr>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left="420" w:firstLine="420"/>
        <w:spacing w:after="120"/>
      </w:pPr>
      <w:r/>
      <w:r/>
    </w:p>
    <w:p>
      <w:pPr>
        <w:spacing w:line="360" w:lineRule="auto"/>
        <w:rPr>
          <w:color w:val="000000"/>
          <w:szCs w:val="21"/>
        </w:rPr>
      </w:pPr>
      <w:r>
        <w:rPr>
          <w:color w:val="000000"/>
          <w:szCs w:val="21"/>
        </w:rPr>
        <w:t xml:space="preserve">注：1、此表应按“投标人须知”的规定密封标记单独提交。</w:t>
      </w:r>
      <w:r/>
    </w:p>
    <w:p>
      <w:pPr>
        <w:ind w:firstLine="420"/>
        <w:spacing w:line="360" w:lineRule="auto"/>
        <w:rPr>
          <w:color w:val="000000"/>
          <w:szCs w:val="21"/>
        </w:rPr>
      </w:pPr>
      <w:r>
        <w:rPr>
          <w:color w:val="000000"/>
          <w:szCs w:val="21"/>
        </w:rPr>
        <w:t xml:space="preserve">2、此表中，投标总价合计应和分项报价表中的总价一致。</w:t>
      </w:r>
      <w:r/>
    </w:p>
    <w:p>
      <w:pPr>
        <w:ind w:firstLine="420"/>
        <w:spacing w:line="360" w:lineRule="auto"/>
        <w:rPr>
          <w:color w:val="000000"/>
          <w:szCs w:val="21"/>
        </w:rPr>
      </w:pPr>
      <w:r>
        <w:rPr>
          <w:color w:val="000000"/>
          <w:szCs w:val="21"/>
        </w:rPr>
        <w:t xml:space="preserve">3、本项目仅接受一个价格，不得填报有选择性报价方案。若有优惠条款须注明，但不得影响报价，影响产品整体功能。</w:t>
      </w:r>
      <w:r/>
    </w:p>
    <w:p>
      <w:pPr>
        <w:ind w:firstLine="420"/>
        <w:spacing w:line="360" w:lineRule="auto"/>
        <w:rPr>
          <w:color w:val="000000"/>
          <w:szCs w:val="21"/>
        </w:rPr>
      </w:pPr>
      <w:r>
        <w:rPr>
          <w:color w:val="000000"/>
          <w:szCs w:val="21"/>
        </w:rPr>
        <w:t xml:space="preserve">4、“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jc w:val="cente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33" w:name="_Toc5534"/>
      <w:r/>
      <w:bookmarkStart w:id="134" w:name="_Toc24465"/>
      <w:r/>
      <w:bookmarkStart w:id="135" w:name="_Toc231822747"/>
      <w:r/>
      <w:bookmarkStart w:id="136" w:name="_Toc11266"/>
      <w:r>
        <w:rPr>
          <w:b/>
          <w:color w:val="000000"/>
          <w:szCs w:val="21"/>
        </w:rPr>
        <w:t xml:space="preserve">附件三 分项报价表</w:t>
      </w:r>
      <w:bookmarkEnd w:id="133"/>
      <w:r/>
      <w:bookmarkEnd w:id="134"/>
      <w:r/>
      <w:bookmarkEnd w:id="135"/>
      <w:r/>
      <w:bookmarkEnd w:id="136"/>
      <w:r/>
      <w:r/>
    </w:p>
    <w:p>
      <w:pPr>
        <w:jc w:val="center"/>
        <w:spacing w:line="360" w:lineRule="auto"/>
        <w:rPr>
          <w:b/>
          <w:color w:val="000000"/>
          <w:szCs w:val="21"/>
        </w:rPr>
      </w:pPr>
      <w:r>
        <w:rPr>
          <w:b/>
          <w:color w:val="000000"/>
          <w:szCs w:val="21"/>
        </w:rPr>
        <w:t xml:space="preserve">分项报价表</w:t>
      </w:r>
      <w:r/>
    </w:p>
    <w:p>
      <w:pPr>
        <w:ind w:firstLine="525"/>
        <w:spacing w:after="120" w:line="360" w:lineRule="auto"/>
        <w:rPr>
          <w:color w:val="000000"/>
          <w:szCs w:val="21"/>
        </w:rPr>
      </w:pPr>
      <w:r>
        <w:rPr>
          <w:color w:val="000000"/>
          <w:szCs w:val="21"/>
        </w:rPr>
        <w:t xml:space="preserve">项目名称：</w:t>
      </w:r>
      <w:r>
        <w:rPr>
          <w:color w:val="000000"/>
          <w:szCs w:val="21"/>
          <w:u w:val="single"/>
        </w:rPr>
        <w:t xml:space="preserve">                  </w:t>
      </w:r>
      <w:r>
        <w:rPr>
          <w:color w:val="000000"/>
          <w:szCs w:val="21"/>
        </w:rPr>
        <w:t xml:space="preserve">招标编号：</w:t>
      </w:r>
      <w:r>
        <w:rPr>
          <w:color w:val="000000"/>
          <w:szCs w:val="21"/>
          <w:u w:val="single"/>
        </w:rPr>
        <w:t xml:space="preserve">                     </w:t>
      </w:r>
      <w:r>
        <w:rPr>
          <w:color w:val="000000"/>
          <w:szCs w:val="21"/>
        </w:rPr>
        <w:t xml:space="preserve"> 包号： </w:t>
      </w:r>
      <w:r>
        <w:rPr>
          <w:color w:val="000000"/>
          <w:szCs w:val="21"/>
          <w:u w:val="single"/>
        </w:rPr>
        <w:t xml:space="preserve">               </w:t>
      </w:r>
      <w:r/>
    </w:p>
    <w:tbl>
      <w:tblPr>
        <w:tblStyle w:val="1325"/>
        <w:tblW w:w="97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077"/>
        <w:gridCol w:w="1557"/>
        <w:gridCol w:w="976"/>
        <w:gridCol w:w="2269"/>
        <w:gridCol w:w="1677"/>
        <w:gridCol w:w="1677"/>
        <w:gridCol w:w="9"/>
      </w:tblGrid>
      <w:tr>
        <w:trPr>
          <w:gridAfter w:val="1"/>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360" w:lineRule="auto"/>
              <w:rPr>
                <w:color w:val="000000"/>
                <w:szCs w:val="21"/>
              </w:rPr>
            </w:pPr>
            <w:r>
              <w:rPr>
                <w:color w:val="000000"/>
                <w:szCs w:val="21"/>
              </w:rPr>
              <w:t xml:space="preserve">名 称</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spacing w:line="360" w:lineRule="auto"/>
              <w:rPr>
                <w:color w:val="000000"/>
                <w:szCs w:val="21"/>
              </w:rPr>
            </w:pPr>
            <w:r>
              <w:rPr>
                <w:color w:val="000000"/>
                <w:szCs w:val="21"/>
              </w:rPr>
              <w:t xml:space="preserve">品牌、规格或型号或分项目</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color w:val="000000"/>
                <w:szCs w:val="21"/>
              </w:rPr>
            </w:pPr>
            <w:r>
              <w:rPr>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jc w:val="center"/>
              <w:spacing w:line="360" w:lineRule="auto"/>
              <w:rPr>
                <w:color w:val="000000"/>
                <w:szCs w:val="21"/>
              </w:rPr>
            </w:pPr>
            <w:r>
              <w:rPr>
                <w:color w:val="000000"/>
                <w:szCs w:val="21"/>
              </w:rPr>
              <w:t xml:space="preserve">原产地和</w:t>
            </w:r>
            <w:r/>
          </w:p>
          <w:p>
            <w:pPr>
              <w:jc w:val="center"/>
              <w:spacing w:line="360" w:lineRule="auto"/>
              <w:rPr>
                <w:color w:val="000000"/>
                <w:szCs w:val="21"/>
              </w:rPr>
            </w:pPr>
            <w:r>
              <w:rPr>
                <w:color w:val="000000"/>
                <w:szCs w:val="21"/>
              </w:rPr>
              <w:t xml:space="preserve">制造商名称</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单项金额</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总价金额</w:t>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ind w:left="-827" w:firstLine="827"/>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4</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5</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6</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r>
        <w:trPr>
          <w:jc w:val="center"/>
          <w:trHeight w:val="590"/>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属于小微企业产品的金额：</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注：1、投标人应根据其所投产品情况，提供配置的详细分项报价。投标人应对上述每项内容列明组成的详细分项价格。</w:t>
      </w:r>
      <w:r/>
    </w:p>
    <w:p>
      <w:pPr>
        <w:ind w:firstLine="420"/>
        <w:spacing w:line="360" w:lineRule="auto"/>
        <w:rPr>
          <w:color w:val="000000"/>
          <w:szCs w:val="21"/>
        </w:rPr>
      </w:pPr>
      <w:r>
        <w:rPr>
          <w:color w:val="000000"/>
          <w:szCs w:val="21"/>
        </w:rPr>
        <w:t xml:space="preserve">2、表中表格行数可自行添加。</w:t>
      </w:r>
      <w:r/>
    </w:p>
    <w:p>
      <w:pPr>
        <w:ind w:firstLine="420"/>
        <w:spacing w:line="360" w:lineRule="auto"/>
        <w:rPr>
          <w:color w:val="000000"/>
          <w:szCs w:val="21"/>
        </w:rPr>
      </w:pPr>
      <w:r>
        <w:rPr>
          <w:color w:val="000000"/>
          <w:szCs w:val="21"/>
        </w:rPr>
      </w:r>
      <w:r/>
    </w:p>
    <w:p>
      <w:pPr>
        <w:jc w:val="cente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37" w:name="_Toc1916"/>
      <w:r/>
      <w:bookmarkStart w:id="138" w:name="_Toc31821"/>
      <w:r/>
      <w:bookmarkStart w:id="139" w:name="_Toc231822748"/>
      <w:r/>
      <w:bookmarkStart w:id="140" w:name="_Toc113527849"/>
      <w:r/>
      <w:bookmarkStart w:id="141" w:name="_Toc14830"/>
      <w:r>
        <w:rPr>
          <w:b/>
          <w:color w:val="000000"/>
          <w:szCs w:val="21"/>
        </w:rPr>
        <w:t xml:space="preserve">附件四 商务条款偏离表</w:t>
      </w:r>
      <w:bookmarkEnd w:id="137"/>
      <w:r/>
      <w:bookmarkEnd w:id="138"/>
      <w:r/>
      <w:bookmarkEnd w:id="139"/>
      <w:r/>
      <w:bookmarkEnd w:id="140"/>
      <w:r/>
      <w:bookmarkEnd w:id="141"/>
      <w:r/>
      <w:r/>
    </w:p>
    <w:tbl>
      <w:tblPr>
        <w:tblStyle w:val="1325"/>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20"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20" w:line="360" w:lineRule="auto"/>
              <w:rPr>
                <w:color w:val="000000"/>
                <w:szCs w:val="21"/>
              </w:rPr>
            </w:pPr>
            <w:r>
              <w:rPr>
                <w:color w:val="000000"/>
                <w:szCs w:val="21"/>
              </w:rPr>
              <w:t xml:space="preserve">招标文件条目号</w:t>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20" w:line="360" w:lineRule="auto"/>
              <w:rPr>
                <w:color w:val="000000"/>
                <w:szCs w:val="21"/>
              </w:rPr>
            </w:pPr>
            <w:r>
              <w:rPr>
                <w:color w:val="000000"/>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20" w:line="360" w:lineRule="auto"/>
              <w:rPr>
                <w:color w:val="000000"/>
                <w:szCs w:val="21"/>
              </w:rPr>
            </w:pPr>
            <w:r>
              <w:rPr>
                <w:color w:val="000000"/>
                <w:szCs w:val="21"/>
              </w:rPr>
              <w:t xml:space="preserve">投标文件响应</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20" w:line="360" w:lineRule="auto"/>
              <w:rPr>
                <w:color w:val="000000"/>
                <w:szCs w:val="21"/>
              </w:rPr>
            </w:pPr>
            <w:r>
              <w:rPr>
                <w:color w:val="000000"/>
                <w:szCs w:val="21"/>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注：1、投标人如对包括</w:t>
      </w:r>
      <w:r>
        <w:rPr>
          <w:b/>
          <w:bCs/>
          <w:color w:val="000000"/>
          <w:szCs w:val="21"/>
        </w:rPr>
        <w:t xml:space="preserve">交货期/工期、质保期、售后服务要求、付款方式等</w:t>
      </w:r>
      <w:r>
        <w:rPr>
          <w:color w:val="000000"/>
          <w:szCs w:val="21"/>
        </w:rPr>
        <w:t xml:space="preserve">商务条款的响应有任何偏离，请在本表中详细填写；如不列出，则视为投标人完全同意招标文件的商务条款。</w:t>
      </w:r>
      <w:r/>
    </w:p>
    <w:p>
      <w:pPr>
        <w:ind w:left="420"/>
        <w:spacing w:line="360" w:lineRule="auto"/>
        <w:rPr>
          <w:color w:val="000000"/>
          <w:szCs w:val="21"/>
        </w:rPr>
      </w:pPr>
      <w:r>
        <w:rPr>
          <w:color w:val="000000"/>
          <w:szCs w:val="21"/>
        </w:rPr>
        <w:t xml:space="preserve">2、“投标人的承诺或说明”栏请注明“响应/正偏离/负偏离”，正偏离指投标人的响应高于招标文件要求，负偏离指投标人的响应低于招标文件要求。</w:t>
      </w:r>
      <w:r/>
    </w:p>
    <w:p>
      <w:pPr>
        <w:ind w:firstLine="420"/>
        <w:spacing w:line="360" w:lineRule="auto"/>
        <w:rPr>
          <w:color w:val="000000"/>
          <w:szCs w:val="21"/>
        </w:rPr>
      </w:pPr>
      <w:r>
        <w:rPr>
          <w:color w:val="000000"/>
          <w:szCs w:val="21"/>
        </w:rPr>
        <w:t xml:space="preserve">3、如果行数不够，请自行增加。</w:t>
      </w:r>
      <w:r/>
    </w:p>
    <w:p>
      <w:pPr>
        <w:ind w:firstLine="5494"/>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334"/>
        <w:spacing w:line="360" w:lineRule="auto"/>
        <w:rPr>
          <w:color w:val="000000"/>
          <w:szCs w:val="21"/>
        </w:rPr>
      </w:pPr>
      <w:r>
        <w:rPr>
          <w:color w:val="000000"/>
          <w:szCs w:val="21"/>
        </w:rPr>
      </w:r>
      <w:r/>
    </w:p>
    <w:p>
      <w:pPr>
        <w:ind w:right="-334"/>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rPr>
          <w:b/>
          <w:color w:val="000000"/>
          <w:szCs w:val="21"/>
        </w:rPr>
        <w:outlineLvl w:val="1"/>
      </w:pPr>
      <w:r/>
      <w:bookmarkStart w:id="142" w:name="_Toc113527850"/>
      <w:r/>
      <w:bookmarkStart w:id="143" w:name="_Toc231822749"/>
      <w:r/>
      <w:bookmarkStart w:id="144" w:name="_Toc6138"/>
      <w:r/>
      <w:bookmarkStart w:id="145" w:name="_Toc7213"/>
      <w:r/>
      <w:bookmarkStart w:id="146" w:name="_Toc25051"/>
      <w:r>
        <w:rPr>
          <w:b/>
          <w:color w:val="000000"/>
          <w:szCs w:val="21"/>
        </w:rPr>
        <w:t xml:space="preserve">附件五 技术条款偏离表</w:t>
      </w:r>
      <w:bookmarkEnd w:id="142"/>
      <w:r/>
      <w:bookmarkEnd w:id="143"/>
      <w:r/>
      <w:bookmarkEnd w:id="144"/>
      <w:r/>
      <w:bookmarkEnd w:id="145"/>
      <w:r/>
      <w:bookmarkEnd w:id="146"/>
      <w:r/>
      <w:r/>
    </w:p>
    <w:tbl>
      <w:tblPr>
        <w:tblStyle w:val="1325"/>
        <w:tblW w:w="941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360" w:lineRule="auto"/>
              <w:rPr>
                <w:color w:val="000000"/>
                <w:szCs w:val="21"/>
              </w:rPr>
            </w:pPr>
            <w:r>
              <w:rPr>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color w:val="000000"/>
                <w:szCs w:val="21"/>
              </w:rPr>
            </w:pPr>
            <w:r>
              <w:rPr>
                <w:color w:val="000000"/>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投标文件</w:t>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360" w:lineRule="auto"/>
              <w:rPr>
                <w:color w:val="000000"/>
                <w:szCs w:val="21"/>
              </w:rPr>
            </w:pPr>
            <w:r>
              <w:rPr>
                <w:color w:val="000000"/>
                <w:szCs w:val="21"/>
              </w:rPr>
            </w:r>
            <w:r/>
          </w:p>
          <w:p>
            <w:pPr>
              <w:jc w:val="center"/>
              <w:spacing w:line="360" w:lineRule="auto"/>
              <w:rPr>
                <w:color w:val="000000"/>
                <w:szCs w:val="21"/>
              </w:rPr>
            </w:pPr>
            <w:r>
              <w:rPr>
                <w:color w:val="000000"/>
                <w:szCs w:val="21"/>
              </w:rPr>
              <w:t xml:space="preserve">说明</w:t>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360" w:lineRule="auto"/>
              <w:rPr>
                <w:color w:val="000000"/>
                <w:szCs w:val="21"/>
              </w:rPr>
            </w:pPr>
            <w:r>
              <w:rPr>
                <w:color w:val="000000"/>
                <w:szCs w:val="21"/>
              </w:rPr>
              <w:t xml:space="preserve">重要参数证明文件响应的具体位置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color w:val="000000"/>
                <w:szCs w:val="21"/>
              </w:rPr>
            </w:pPr>
            <w:r>
              <w:rPr>
                <w:color w:val="000000"/>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响应具体情况</w:t>
            </w:r>
            <w:r/>
          </w:p>
        </w:tc>
        <w:tc>
          <w:tcPr>
            <w:tcBorders>
              <w:left w:val="single" w:color="auto" w:sz="4" w:space="0"/>
              <w:bottom w:val="single" w:color="auto" w:sz="4" w:space="0"/>
              <w:right w:val="single" w:color="auto" w:sz="4" w:space="0"/>
            </w:tcBorders>
            <w:tcW w:w="1843" w:type="dxa"/>
            <w:vMerge w:val="continue"/>
            <w:textDirection w:val="lrTb"/>
            <w:noWrap w:val="false"/>
          </w:tcPr>
          <w:p>
            <w:pPr>
              <w:jc w:val="center"/>
              <w:spacing w:line="360" w:lineRule="auto"/>
              <w:rPr>
                <w:color w:val="000000"/>
                <w:szCs w:val="21"/>
              </w:rPr>
            </w:pPr>
            <w:r>
              <w:rPr>
                <w:color w:val="000000"/>
                <w:szCs w:val="21"/>
              </w:rPr>
            </w:r>
            <w:r/>
          </w:p>
        </w:tc>
        <w:tc>
          <w:tcPr>
            <w:tcBorders>
              <w:left w:val="single" w:color="auto" w:sz="4" w:space="0"/>
              <w:bottom w:val="single" w:color="auto" w:sz="4" w:space="0"/>
              <w:right w:val="single" w:color="auto" w:sz="4" w:space="0"/>
            </w:tcBorders>
            <w:tcW w:w="2076" w:type="dxa"/>
            <w:vMerge w:val="continue"/>
            <w:textDirection w:val="lrTb"/>
            <w:noWrap w:val="false"/>
          </w:tcPr>
          <w:p>
            <w:pPr>
              <w:jc w:val="cente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jc w:val="left"/>
        <w:spacing w:line="360" w:lineRule="auto"/>
        <w:rPr>
          <w:color w:val="000000"/>
          <w:szCs w:val="21"/>
        </w:rPr>
      </w:pPr>
      <w:r>
        <w:rPr>
          <w:color w:val="000000"/>
          <w:szCs w:val="21"/>
        </w:rPr>
        <w:t xml:space="preserve">注：1、投标人应对招标文件第四章招标技术规格及要求的内容给予</w:t>
      </w:r>
      <w:r>
        <w:rPr>
          <w:b/>
          <w:bCs/>
          <w:color w:val="000000"/>
          <w:szCs w:val="21"/>
        </w:rPr>
        <w:t xml:space="preserve">逐条响应</w:t>
      </w:r>
      <w:r>
        <w:rPr>
          <w:color w:val="000000"/>
          <w:szCs w:val="21"/>
        </w:rPr>
        <w:t xml:space="preserve">，</w:t>
      </w:r>
      <w:r>
        <w:rPr>
          <w:b/>
          <w:bCs/>
          <w:color w:val="000000"/>
          <w:szCs w:val="21"/>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w:t>
      </w:r>
      <w:r>
        <w:rPr>
          <w:color w:val="000000"/>
          <w:szCs w:val="21"/>
        </w:rPr>
        <w:t xml:space="preserve">。</w:t>
      </w:r>
      <w:r/>
    </w:p>
    <w:p>
      <w:pPr>
        <w:spacing w:line="360" w:lineRule="auto"/>
        <w:rPr>
          <w:color w:val="000000"/>
          <w:szCs w:val="21"/>
        </w:rPr>
      </w:pPr>
      <w:r>
        <w:rPr>
          <w:color w:val="000000"/>
          <w:szCs w:val="21"/>
        </w:rPr>
        <w:t xml:space="preserve">2、投标文件“响应具体情况",指所投产品的技术应答情况。“说明”栏请注明“响应/正偏离/负偏离”，并且标注针对重要技术参数响应的证明文件在投标文件中的页码及具体位置。</w:t>
      </w:r>
      <w:r/>
    </w:p>
    <w:p>
      <w:pPr>
        <w:spacing w:line="360" w:lineRule="auto"/>
        <w:rPr>
          <w:color w:val="000000"/>
          <w:szCs w:val="21"/>
        </w:rPr>
      </w:pPr>
      <w:r>
        <w:rPr>
          <w:color w:val="000000"/>
          <w:szCs w:val="21"/>
        </w:rPr>
        <w:t xml:space="preserve">3、</w:t>
      </w:r>
      <w:r>
        <w:rPr>
          <w:b/>
          <w:bCs/>
          <w:color w:val="000000"/>
          <w:szCs w:val="21"/>
        </w:rPr>
        <w:t xml:space="preserve">投标人投标规格和招标规格不一致，而投标人却在此表应答为响应或正偏离时，必须提供充分理由说明（不提供或理由不充分将视为负偏离）；因此种情况在产品验收时产生争议，采购人有权按照招标文件的原始标准进行验收。</w:t>
      </w:r>
      <w:r/>
    </w:p>
    <w:p>
      <w:pPr>
        <w:spacing w:line="360" w:lineRule="auto"/>
        <w:rPr>
          <w:color w:val="000000"/>
          <w:szCs w:val="21"/>
        </w:rPr>
      </w:pPr>
      <w:r>
        <w:rPr>
          <w:color w:val="000000"/>
          <w:szCs w:val="21"/>
        </w:rPr>
        <w:t xml:space="preserve">4、如果行数不够，请自行增加。</w:t>
      </w:r>
      <w:bookmarkStart w:id="147" w:name="_Toc3639"/>
      <w:r/>
      <w:bookmarkStart w:id="148" w:name="_Toc22252"/>
      <w:r/>
      <w:bookmarkStart w:id="149" w:name="_Toc17724"/>
      <w:r/>
      <w:r/>
    </w:p>
    <w:p>
      <w:pPr>
        <w:spacing w:line="360" w:lineRule="auto"/>
        <w:rPr>
          <w:color w:val="000000"/>
          <w:szCs w:val="21"/>
        </w:rPr>
      </w:pPr>
      <w:r>
        <w:rPr>
          <w:color w:val="000000"/>
          <w:szCs w:val="21"/>
        </w:rPr>
      </w:r>
      <w:r/>
    </w:p>
    <w:p>
      <w:pPr>
        <w:rPr>
          <w:b/>
          <w:bCs/>
          <w:szCs w:val="21"/>
        </w:rPr>
      </w:pPr>
      <w:r>
        <w:rPr>
          <w:b/>
          <w:bCs/>
          <w:szCs w:val="21"/>
        </w:rPr>
        <w:br w:type="page" w:clear="all"/>
      </w:r>
      <w:r/>
    </w:p>
    <w:p>
      <w:pPr>
        <w:jc w:val="left"/>
        <w:spacing w:line="360" w:lineRule="auto"/>
        <w:rPr>
          <w:b/>
          <w:color w:val="000000"/>
          <w:szCs w:val="21"/>
        </w:rPr>
        <w:outlineLvl w:val="1"/>
      </w:pPr>
      <w:r/>
      <w:bookmarkStart w:id="150" w:name="_Toc231822750"/>
      <w:r>
        <w:rPr>
          <w:b/>
          <w:color w:val="000000"/>
          <w:szCs w:val="21"/>
        </w:rPr>
        <w:t xml:space="preserve">附件六 拟参与本项目服务人员一览表</w:t>
      </w:r>
      <w:bookmarkEnd w:id="150"/>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t xml:space="preserve">拟参与本项目服务人员一览表</w:t>
      </w:r>
      <w:r/>
    </w:p>
    <w:p>
      <w:pPr>
        <w:ind w:left="420"/>
        <w:spacing w:before="1" w:after="120" w:line="360" w:lineRule="auto"/>
        <w:rPr>
          <w:b/>
          <w:szCs w:val="21"/>
        </w:rPr>
      </w:pPr>
      <w:r>
        <w:rPr>
          <w:b/>
          <w:szCs w:val="21"/>
        </w:rPr>
      </w:r>
      <w:r/>
    </w:p>
    <w:p>
      <w:pPr>
        <w:ind w:left="420"/>
        <w:spacing w:before="1" w:after="22" w:line="360" w:lineRule="auto"/>
        <w:rPr>
          <w:szCs w:val="21"/>
        </w:rPr>
      </w:pPr>
      <w:r>
        <w:rPr>
          <w:szCs w:val="21"/>
        </w:rPr>
        <w:t xml:space="preserve">项目名称：项目编号：</w:t>
      </w:r>
      <w:r/>
    </w:p>
    <w:tbl>
      <w:tblPr>
        <w:tblStyle w:val="1325"/>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rHeight w:val="624"/>
        </w:trPr>
        <w:tc>
          <w:tcPr>
            <w:tcW w:w="534" w:type="dxa"/>
            <w:textDirection w:val="lrTb"/>
            <w:noWrap w:val="false"/>
          </w:tcPr>
          <w:p>
            <w:pPr>
              <w:ind w:left="161"/>
              <w:spacing w:before="20" w:line="360" w:lineRule="auto"/>
              <w:rPr>
                <w:b/>
                <w:szCs w:val="21"/>
                <w:lang w:val="zh-CN" w:bidi="zh-CN"/>
              </w:rPr>
            </w:pPr>
            <w:r>
              <w:rPr>
                <w:b/>
                <w:szCs w:val="21"/>
                <w:lang w:val="zh-CN" w:bidi="zh-CN"/>
              </w:rPr>
              <w:t xml:space="preserve">序</w:t>
            </w:r>
            <w:r/>
          </w:p>
          <w:p>
            <w:pPr>
              <w:ind w:left="161"/>
              <w:spacing w:before="43" w:line="360" w:lineRule="auto"/>
              <w:rPr>
                <w:b/>
                <w:szCs w:val="21"/>
                <w:lang w:val="zh-CN" w:bidi="zh-CN"/>
              </w:rPr>
            </w:pPr>
            <w:r>
              <w:rPr>
                <w:b/>
                <w:szCs w:val="21"/>
                <w:lang w:val="zh-CN" w:bidi="zh-CN"/>
              </w:rPr>
              <w:t xml:space="preserve">号</w:t>
            </w:r>
            <w:r/>
          </w:p>
        </w:tc>
        <w:tc>
          <w:tcPr>
            <w:tcW w:w="896" w:type="dxa"/>
            <w:textDirection w:val="lrTb"/>
            <w:noWrap w:val="false"/>
          </w:tcPr>
          <w:p>
            <w:pPr>
              <w:ind w:left="237"/>
              <w:spacing w:before="176" w:line="360" w:lineRule="auto"/>
              <w:rPr>
                <w:b/>
                <w:szCs w:val="21"/>
                <w:lang w:val="zh-CN" w:bidi="zh-CN"/>
              </w:rPr>
            </w:pPr>
            <w:r>
              <w:rPr>
                <w:b/>
                <w:szCs w:val="21"/>
                <w:lang w:val="zh-CN" w:bidi="zh-CN"/>
              </w:rPr>
              <w:t xml:space="preserve">姓名</w:t>
            </w:r>
            <w:r/>
          </w:p>
        </w:tc>
        <w:tc>
          <w:tcPr>
            <w:tcW w:w="663" w:type="dxa"/>
            <w:textDirection w:val="lrTb"/>
            <w:noWrap w:val="false"/>
          </w:tcPr>
          <w:p>
            <w:pPr>
              <w:ind w:left="121"/>
              <w:spacing w:before="176" w:line="360" w:lineRule="auto"/>
              <w:rPr>
                <w:b/>
                <w:szCs w:val="21"/>
                <w:lang w:val="zh-CN" w:bidi="zh-CN"/>
              </w:rPr>
            </w:pPr>
            <w:r>
              <w:rPr>
                <w:b/>
                <w:szCs w:val="21"/>
                <w:lang w:val="zh-CN" w:bidi="zh-CN"/>
              </w:rPr>
              <w:t xml:space="preserve">性别</w:t>
            </w:r>
            <w:r/>
          </w:p>
        </w:tc>
        <w:tc>
          <w:tcPr>
            <w:tcW w:w="709" w:type="dxa"/>
            <w:textDirection w:val="lrTb"/>
            <w:noWrap w:val="false"/>
          </w:tcPr>
          <w:p>
            <w:pPr>
              <w:ind w:left="144"/>
              <w:spacing w:before="176" w:line="360" w:lineRule="auto"/>
              <w:rPr>
                <w:b/>
                <w:szCs w:val="21"/>
                <w:lang w:val="zh-CN" w:bidi="zh-CN"/>
              </w:rPr>
            </w:pPr>
            <w:r>
              <w:rPr>
                <w:b/>
                <w:szCs w:val="21"/>
                <w:lang w:val="zh-CN" w:bidi="zh-CN"/>
              </w:rPr>
              <w:t xml:space="preserve">年龄</w:t>
            </w:r>
            <w:r/>
          </w:p>
        </w:tc>
        <w:tc>
          <w:tcPr>
            <w:tcW w:w="1134" w:type="dxa"/>
            <w:textDirection w:val="lrTb"/>
            <w:noWrap w:val="false"/>
          </w:tcPr>
          <w:p>
            <w:pPr>
              <w:ind w:left="357"/>
              <w:spacing w:before="176" w:line="360" w:lineRule="auto"/>
              <w:rPr>
                <w:b/>
                <w:szCs w:val="21"/>
                <w:lang w:val="zh-CN" w:bidi="zh-CN"/>
              </w:rPr>
            </w:pPr>
            <w:r>
              <w:rPr>
                <w:b/>
                <w:szCs w:val="21"/>
                <w:lang w:val="zh-CN" w:bidi="zh-CN"/>
              </w:rPr>
              <w:t xml:space="preserve">专业</w:t>
            </w:r>
            <w:r/>
          </w:p>
        </w:tc>
        <w:tc>
          <w:tcPr>
            <w:tcW w:w="931" w:type="dxa"/>
            <w:textDirection w:val="lrTb"/>
            <w:noWrap w:val="false"/>
          </w:tcPr>
          <w:p>
            <w:pPr>
              <w:ind w:left="255"/>
              <w:spacing w:before="176" w:line="360" w:lineRule="auto"/>
              <w:rPr>
                <w:b/>
                <w:szCs w:val="21"/>
                <w:lang w:val="zh-CN" w:bidi="zh-CN"/>
              </w:rPr>
            </w:pPr>
            <w:r>
              <w:rPr>
                <w:b/>
                <w:szCs w:val="21"/>
                <w:lang w:val="zh-CN" w:bidi="zh-CN"/>
              </w:rPr>
              <w:t xml:space="preserve">学历</w:t>
            </w:r>
            <w:r/>
          </w:p>
        </w:tc>
        <w:tc>
          <w:tcPr>
            <w:tcW w:w="1020" w:type="dxa"/>
            <w:textDirection w:val="lrTb"/>
            <w:noWrap w:val="false"/>
          </w:tcPr>
          <w:p>
            <w:pPr>
              <w:ind w:left="298"/>
              <w:spacing w:before="20" w:line="360" w:lineRule="auto"/>
              <w:rPr>
                <w:b/>
                <w:szCs w:val="21"/>
                <w:lang w:val="zh-CN" w:bidi="zh-CN"/>
              </w:rPr>
            </w:pPr>
            <w:r>
              <w:rPr>
                <w:b/>
                <w:szCs w:val="21"/>
                <w:lang w:val="zh-CN" w:bidi="zh-CN"/>
              </w:rPr>
              <w:t xml:space="preserve">执业</w:t>
            </w:r>
            <w:r/>
          </w:p>
          <w:p>
            <w:pPr>
              <w:ind w:left="298"/>
              <w:spacing w:before="43" w:line="360" w:lineRule="auto"/>
              <w:rPr>
                <w:b/>
                <w:szCs w:val="21"/>
                <w:lang w:val="zh-CN" w:bidi="zh-CN"/>
              </w:rPr>
            </w:pPr>
            <w:r>
              <w:rPr>
                <w:b/>
                <w:szCs w:val="21"/>
                <w:lang w:val="zh-CN" w:bidi="zh-CN"/>
              </w:rPr>
              <w:t xml:space="preserve">资格</w:t>
            </w:r>
            <w:r/>
          </w:p>
        </w:tc>
        <w:tc>
          <w:tcPr>
            <w:tcW w:w="994" w:type="dxa"/>
            <w:textDirection w:val="lrTb"/>
            <w:noWrap w:val="false"/>
          </w:tcPr>
          <w:p>
            <w:pPr>
              <w:ind w:left="181"/>
              <w:spacing w:before="176" w:line="360" w:lineRule="auto"/>
              <w:rPr>
                <w:b/>
                <w:szCs w:val="21"/>
                <w:lang w:val="zh-CN" w:bidi="zh-CN"/>
              </w:rPr>
            </w:pPr>
            <w:r>
              <w:rPr>
                <w:b/>
                <w:szCs w:val="21"/>
                <w:lang w:val="zh-CN" w:bidi="zh-CN"/>
              </w:rPr>
              <w:t xml:space="preserve">证书号</w:t>
            </w:r>
            <w:r/>
          </w:p>
        </w:tc>
        <w:tc>
          <w:tcPr>
            <w:tcW w:w="882" w:type="dxa"/>
            <w:textDirection w:val="lrTb"/>
            <w:noWrap w:val="false"/>
          </w:tcPr>
          <w:p>
            <w:pPr>
              <w:ind w:left="104" w:right="94"/>
              <w:jc w:val="center"/>
              <w:spacing w:before="20" w:line="360" w:lineRule="auto"/>
              <w:rPr>
                <w:b/>
                <w:szCs w:val="21"/>
                <w:lang w:val="zh-CN" w:bidi="zh-CN"/>
              </w:rPr>
            </w:pPr>
            <w:r>
              <w:rPr>
                <w:b/>
                <w:szCs w:val="21"/>
                <w:lang w:val="zh-CN" w:bidi="zh-CN"/>
              </w:rPr>
              <w:t xml:space="preserve">技术职</w:t>
            </w:r>
            <w:r/>
          </w:p>
          <w:p>
            <w:pPr>
              <w:ind w:left="10"/>
              <w:jc w:val="center"/>
              <w:spacing w:before="43" w:line="360" w:lineRule="auto"/>
              <w:rPr>
                <w:b/>
                <w:szCs w:val="21"/>
                <w:lang w:val="zh-CN" w:bidi="zh-CN"/>
              </w:rPr>
            </w:pPr>
            <w:r>
              <w:rPr>
                <w:b/>
                <w:szCs w:val="21"/>
                <w:lang w:val="zh-CN" w:bidi="zh-CN"/>
              </w:rPr>
              <w:t xml:space="preserve">称</w:t>
            </w:r>
            <w:r/>
          </w:p>
        </w:tc>
        <w:tc>
          <w:tcPr>
            <w:tcW w:w="850" w:type="dxa"/>
            <w:textDirection w:val="lrTb"/>
            <w:noWrap w:val="false"/>
          </w:tcPr>
          <w:p>
            <w:pPr>
              <w:ind w:left="109"/>
              <w:spacing w:before="20" w:line="360" w:lineRule="auto"/>
              <w:rPr>
                <w:b/>
                <w:szCs w:val="21"/>
                <w:lang w:val="zh-CN" w:bidi="zh-CN"/>
              </w:rPr>
            </w:pPr>
            <w:r>
              <w:rPr>
                <w:b/>
                <w:szCs w:val="21"/>
                <w:lang w:val="zh-CN" w:bidi="zh-CN"/>
              </w:rPr>
              <w:t xml:space="preserve">相关工</w:t>
            </w:r>
            <w:r/>
          </w:p>
          <w:p>
            <w:pPr>
              <w:ind w:left="109"/>
              <w:spacing w:before="43" w:line="360" w:lineRule="auto"/>
              <w:rPr>
                <w:b/>
                <w:szCs w:val="21"/>
                <w:lang w:val="zh-CN" w:bidi="zh-CN"/>
              </w:rPr>
            </w:pPr>
            <w:r>
              <w:rPr>
                <w:b/>
                <w:szCs w:val="21"/>
                <w:lang w:val="zh-CN" w:bidi="zh-CN"/>
              </w:rPr>
              <w:t xml:space="preserve">作年限</w:t>
            </w:r>
            <w:r/>
          </w:p>
        </w:tc>
        <w:tc>
          <w:tcPr>
            <w:tcW w:w="851" w:type="dxa"/>
            <w:textDirection w:val="lrTb"/>
            <w:noWrap w:val="false"/>
          </w:tcPr>
          <w:p>
            <w:pPr>
              <w:ind w:left="215"/>
              <w:spacing w:before="176" w:line="360" w:lineRule="auto"/>
              <w:rPr>
                <w:b/>
                <w:szCs w:val="21"/>
                <w:lang w:val="zh-CN" w:bidi="zh-CN"/>
              </w:rPr>
            </w:pPr>
            <w:r>
              <w:rPr>
                <w:b/>
                <w:szCs w:val="21"/>
                <w:lang w:val="zh-CN" w:bidi="zh-CN"/>
              </w:rPr>
              <w:t xml:space="preserve">备注</w:t>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bl>
    <w:p>
      <w:pPr>
        <w:ind w:left="420"/>
        <w:spacing w:before="98"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color w:val="000000"/>
          <w:szCs w:val="21"/>
        </w:rPr>
        <w:t xml:space="preserve">日期：</w:t>
      </w:r>
      <w:r/>
    </w:p>
    <w:p>
      <w:pPr>
        <w:ind w:left="420"/>
        <w:spacing w:before="70" w:after="120" w:line="360" w:lineRule="auto"/>
        <w:tabs>
          <w:tab w:val="left" w:pos="4535" w:leader="none"/>
        </w:tabs>
        <w:rPr>
          <w:szCs w:val="21"/>
        </w:rPr>
      </w:pPr>
      <w:r>
        <w:rPr>
          <w:szCs w:val="21"/>
        </w:rPr>
      </w:r>
      <w:r/>
    </w:p>
    <w:p>
      <w:pPr>
        <w:spacing w:line="360" w:lineRule="auto"/>
        <w:rPr>
          <w:szCs w:val="21"/>
        </w:rPr>
        <w:sectPr>
          <w:footnotePr/>
          <w:endnotePr/>
          <w:type w:val="nextPage"/>
          <w:pgSz w:w="11906" w:h="16838" w:orient="portrait"/>
          <w:pgMar w:top="1134" w:right="1134" w:bottom="1083" w:left="1134" w:header="850" w:footer="992" w:gutter="0"/>
          <w:cols w:num="1" w:sep="0" w:space="720" w:equalWidth="1"/>
          <w:docGrid w:linePitch="360"/>
        </w:sectPr>
      </w:pPr>
      <w:r>
        <w:rPr>
          <w:szCs w:val="21"/>
        </w:rPr>
      </w:r>
      <w:r/>
    </w:p>
    <w:p>
      <w:pPr>
        <w:jc w:val="left"/>
        <w:spacing w:line="360" w:lineRule="auto"/>
        <w:rPr>
          <w:b/>
          <w:color w:val="000000"/>
          <w:szCs w:val="21"/>
        </w:rPr>
        <w:outlineLvl w:val="1"/>
      </w:pPr>
      <w:r/>
      <w:bookmarkStart w:id="151" w:name="_Toc231822751"/>
      <w:r>
        <w:rPr>
          <w:b/>
          <w:color w:val="000000"/>
          <w:szCs w:val="21"/>
        </w:rPr>
        <w:t xml:space="preserve">附件七 投标人类似业绩情况表</w:t>
      </w:r>
      <w:bookmarkEnd w:id="151"/>
      <w:r/>
      <w:r/>
    </w:p>
    <w:p>
      <w:pPr>
        <w:ind w:left="420"/>
        <w:spacing w:after="120" w:line="360" w:lineRule="auto"/>
        <w:rPr>
          <w:b/>
          <w:szCs w:val="21"/>
        </w:rPr>
      </w:pPr>
      <w:r>
        <w:rPr>
          <w:b/>
          <w:szCs w:val="21"/>
        </w:rPr>
      </w:r>
      <w:r/>
    </w:p>
    <w:p>
      <w:pPr>
        <w:ind w:left="420"/>
        <w:spacing w:after="120" w:line="360" w:lineRule="auto"/>
        <w:rPr>
          <w:b/>
          <w:szCs w:val="21"/>
        </w:rPr>
      </w:pPr>
      <w:r>
        <w:rPr>
          <w:b/>
          <w:szCs w:val="21"/>
        </w:rPr>
      </w:r>
      <w:r/>
    </w:p>
    <w:p>
      <w:pPr>
        <w:jc w:val="center"/>
        <w:spacing w:line="360" w:lineRule="auto"/>
        <w:rPr>
          <w:b/>
          <w:color w:val="000000"/>
          <w:szCs w:val="21"/>
        </w:rPr>
      </w:pPr>
      <w:r>
        <w:rPr>
          <w:b/>
          <w:color w:val="000000"/>
          <w:szCs w:val="21"/>
        </w:rPr>
        <w:t xml:space="preserve">投标人类似业绩情况表</w:t>
      </w:r>
      <w:r/>
    </w:p>
    <w:p>
      <w:pPr>
        <w:ind w:left="420"/>
        <w:spacing w:before="3" w:after="120" w:line="360" w:lineRule="auto"/>
        <w:rPr>
          <w:b/>
          <w:szCs w:val="21"/>
        </w:rPr>
      </w:pPr>
      <w:r>
        <w:rPr>
          <w:b/>
          <w:szCs w:val="21"/>
        </w:rPr>
      </w:r>
      <w:r/>
    </w:p>
    <w:tbl>
      <w:tblPr>
        <w:tblStyle w:val="1325"/>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838"/>
      </w:tblGrid>
      <w:tr>
        <w:trPr>
          <w:trHeight w:val="800"/>
        </w:trPr>
        <w:tc>
          <w:tcPr>
            <w:tcW w:w="682" w:type="dxa"/>
            <w:vAlign w:val="center"/>
            <w:textDirection w:val="lrTb"/>
            <w:noWrap w:val="false"/>
          </w:tcPr>
          <w:p>
            <w:pPr>
              <w:jc w:val="center"/>
              <w:spacing w:line="360" w:lineRule="auto"/>
              <w:rPr>
                <w:szCs w:val="21"/>
                <w:lang w:val="zh-CN" w:bidi="zh-CN"/>
              </w:rPr>
            </w:pPr>
            <w:r>
              <w:rPr>
                <w:szCs w:val="21"/>
                <w:lang w:val="zh-CN" w:bidi="zh-CN"/>
              </w:rPr>
              <w:t xml:space="preserve">序号</w:t>
            </w:r>
            <w:r/>
          </w:p>
        </w:tc>
        <w:tc>
          <w:tcPr>
            <w:tcW w:w="1559" w:type="dxa"/>
            <w:vAlign w:val="center"/>
            <w:textDirection w:val="lrTb"/>
            <w:noWrap w:val="false"/>
          </w:tcPr>
          <w:p>
            <w:pPr>
              <w:jc w:val="center"/>
              <w:spacing w:line="360" w:lineRule="auto"/>
              <w:rPr>
                <w:szCs w:val="21"/>
                <w:lang w:val="zh-CN" w:bidi="zh-CN"/>
              </w:rPr>
            </w:pPr>
            <w:r>
              <w:rPr>
                <w:szCs w:val="21"/>
                <w:lang w:val="zh-CN" w:bidi="zh-CN"/>
              </w:rPr>
              <w:t xml:space="preserve">项目名称</w:t>
            </w:r>
            <w:r/>
          </w:p>
        </w:tc>
        <w:tc>
          <w:tcPr>
            <w:tcW w:w="1418" w:type="dxa"/>
            <w:vAlign w:val="center"/>
            <w:textDirection w:val="lrTb"/>
            <w:noWrap w:val="false"/>
          </w:tcPr>
          <w:p>
            <w:pPr>
              <w:jc w:val="center"/>
              <w:spacing w:line="360" w:lineRule="auto"/>
              <w:rPr>
                <w:szCs w:val="21"/>
                <w:lang w:val="zh-CN" w:bidi="zh-CN"/>
              </w:rPr>
            </w:pPr>
            <w:r>
              <w:rPr>
                <w:szCs w:val="21"/>
                <w:lang w:val="zh-CN" w:bidi="zh-CN"/>
              </w:rPr>
              <w:t xml:space="preserve">业主单位</w:t>
            </w:r>
            <w:r/>
          </w:p>
        </w:tc>
        <w:tc>
          <w:tcPr>
            <w:tcW w:w="992" w:type="dxa"/>
            <w:textDirection w:val="lrTb"/>
            <w:noWrap w:val="false"/>
          </w:tcPr>
          <w:p>
            <w:pPr>
              <w:ind w:left="286" w:right="275"/>
              <w:spacing w:before="19" w:line="360" w:lineRule="auto"/>
              <w:rPr>
                <w:szCs w:val="21"/>
                <w:lang w:val="zh-CN" w:bidi="zh-CN"/>
              </w:rPr>
            </w:pPr>
            <w:r>
              <w:rPr>
                <w:szCs w:val="21"/>
                <w:lang w:val="zh-CN" w:bidi="zh-CN"/>
              </w:rPr>
              <w:t xml:space="preserve">项目规模</w:t>
            </w:r>
            <w:r/>
          </w:p>
        </w:tc>
        <w:tc>
          <w:tcPr>
            <w:tcW w:w="1034" w:type="dxa"/>
            <w:textDirection w:val="lrTb"/>
            <w:noWrap w:val="false"/>
          </w:tcPr>
          <w:p>
            <w:pPr>
              <w:ind w:left="307" w:right="296"/>
              <w:spacing w:before="19" w:line="360" w:lineRule="auto"/>
              <w:rPr>
                <w:szCs w:val="21"/>
                <w:lang w:val="zh-CN" w:bidi="zh-CN"/>
              </w:rPr>
            </w:pPr>
            <w:r>
              <w:rPr>
                <w:szCs w:val="21"/>
                <w:lang w:val="zh-CN" w:bidi="zh-CN"/>
              </w:rPr>
              <w:t xml:space="preserve">获奖情况</w:t>
            </w:r>
            <w:r/>
          </w:p>
        </w:tc>
        <w:tc>
          <w:tcPr>
            <w:tcW w:w="1517" w:type="dxa"/>
            <w:textDirection w:val="lrTb"/>
            <w:noWrap w:val="false"/>
          </w:tcPr>
          <w:p>
            <w:pPr>
              <w:ind w:left="547" w:right="222" w:hanging="315"/>
              <w:spacing w:before="19" w:line="360" w:lineRule="auto"/>
              <w:rPr>
                <w:szCs w:val="21"/>
                <w:lang w:val="zh-CN" w:bidi="zh-CN"/>
              </w:rPr>
            </w:pPr>
            <w:r>
              <w:rPr>
                <w:szCs w:val="21"/>
                <w:lang w:val="zh-CN" w:bidi="zh-CN"/>
              </w:rPr>
              <w:t xml:space="preserve">签约及服务时间</w:t>
            </w:r>
            <w:r/>
          </w:p>
        </w:tc>
        <w:tc>
          <w:tcPr>
            <w:tcW w:w="1134" w:type="dxa"/>
            <w:textDirection w:val="lrTb"/>
            <w:noWrap w:val="false"/>
          </w:tcPr>
          <w:p>
            <w:pPr>
              <w:ind w:left="355" w:right="137" w:hanging="209"/>
              <w:spacing w:before="19" w:line="360" w:lineRule="auto"/>
              <w:rPr>
                <w:szCs w:val="21"/>
                <w:lang w:val="zh-CN" w:bidi="zh-CN"/>
              </w:rPr>
            </w:pPr>
            <w:r>
              <w:rPr>
                <w:szCs w:val="21"/>
                <w:lang w:val="zh-CN" w:bidi="zh-CN"/>
              </w:rPr>
              <w:t xml:space="preserve">联系人及电话</w:t>
            </w:r>
            <w:r/>
          </w:p>
        </w:tc>
        <w:tc>
          <w:tcPr>
            <w:tcW w:w="838" w:type="dxa"/>
            <w:textDirection w:val="lrTb"/>
            <w:noWrap w:val="false"/>
          </w:tcPr>
          <w:p>
            <w:pPr>
              <w:ind w:left="207"/>
              <w:spacing w:before="129" w:line="360" w:lineRule="auto"/>
              <w:rPr>
                <w:szCs w:val="21"/>
                <w:lang w:val="zh-CN" w:bidi="zh-CN"/>
              </w:rPr>
            </w:pPr>
            <w:r>
              <w:rPr>
                <w:szCs w:val="21"/>
                <w:lang w:val="zh-CN" w:bidi="zh-CN"/>
              </w:rPr>
              <w:t xml:space="preserve">备注</w:t>
            </w:r>
            <w:r/>
          </w:p>
        </w:tc>
      </w:tr>
      <w:tr>
        <w:trPr>
          <w:trHeight w:val="381"/>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bl>
    <w:p>
      <w:pPr>
        <w:ind w:left="420"/>
        <w:spacing w:before="100"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szCs w:val="21"/>
        </w:rPr>
      </w:r>
      <w:r/>
    </w:p>
    <w:p>
      <w:pPr>
        <w:ind w:left="420"/>
        <w:spacing w:before="70" w:after="120" w:line="360" w:lineRule="auto"/>
        <w:tabs>
          <w:tab w:val="left" w:pos="4535" w:leader="none"/>
        </w:tabs>
        <w:rPr>
          <w:szCs w:val="21"/>
        </w:rPr>
      </w:pPr>
      <w:r>
        <w:rPr>
          <w:color w:val="000000"/>
          <w:szCs w:val="21"/>
        </w:rPr>
        <w:t xml:space="preserve">日期：</w:t>
      </w:r>
      <w:r/>
    </w:p>
    <w:p>
      <w:pPr>
        <w:spacing w:after="120" w:line="360" w:lineRule="auto"/>
        <w:rPr>
          <w:b/>
          <w:bCs/>
          <w:color w:val="000000"/>
          <w:szCs w:val="21"/>
        </w:rPr>
        <w:outlineLvl w:val="1"/>
      </w:pPr>
      <w:r>
        <w:rPr>
          <w:b/>
          <w:bCs/>
          <w:color w:val="000000"/>
          <w:szCs w:val="21"/>
        </w:rPr>
      </w:r>
      <w:r/>
    </w:p>
    <w:p>
      <w:pPr>
        <w:rPr>
          <w:b/>
          <w:bCs/>
          <w:color w:val="000000"/>
          <w:szCs w:val="21"/>
        </w:rPr>
      </w:pPr>
      <w:r/>
      <w:bookmarkStart w:id="152" w:name="_Toc113527851"/>
      <w:r>
        <w:rPr>
          <w:b/>
          <w:bCs/>
          <w:color w:val="000000"/>
          <w:szCs w:val="21"/>
        </w:rPr>
        <w:br w:type="page" w:clear="all"/>
      </w:r>
      <w:r/>
    </w:p>
    <w:p>
      <w:pPr>
        <w:jc w:val="left"/>
        <w:spacing w:line="360" w:lineRule="auto"/>
        <w:rPr>
          <w:b/>
          <w:color w:val="000000"/>
          <w:szCs w:val="21"/>
        </w:rPr>
        <w:outlineLvl w:val="1"/>
      </w:pPr>
      <w:r/>
      <w:bookmarkStart w:id="153" w:name="_Toc231822752"/>
      <w:r>
        <w:rPr>
          <w:b/>
          <w:color w:val="000000"/>
          <w:szCs w:val="21"/>
        </w:rPr>
        <w:t xml:space="preserve">附件八 政府采购政策</w:t>
      </w:r>
      <w:bookmarkEnd w:id="147"/>
      <w:r/>
      <w:bookmarkEnd w:id="148"/>
      <w:r/>
      <w:bookmarkEnd w:id="149"/>
      <w:r/>
      <w:bookmarkEnd w:id="152"/>
      <w:r/>
      <w:bookmarkEnd w:id="153"/>
      <w:r/>
      <w:r/>
    </w:p>
    <w:p>
      <w:pPr>
        <w:jc w:val="center"/>
        <w:spacing w:line="360" w:lineRule="auto"/>
        <w:rPr>
          <w:b/>
          <w:color w:val="000000"/>
          <w:szCs w:val="21"/>
        </w:rPr>
      </w:pPr>
      <w:r/>
      <w:bookmarkStart w:id="154" w:name="_Toc17125"/>
      <w:r/>
      <w:bookmarkStart w:id="155" w:name="_Toc231820635"/>
      <w:r/>
      <w:bookmarkStart w:id="156" w:name="_Toc28798"/>
      <w:r/>
      <w:bookmarkStart w:id="157" w:name="_Toc21802"/>
      <w:r/>
      <w:bookmarkStart w:id="158" w:name="_Toc92"/>
      <w:r/>
      <w:bookmarkStart w:id="159" w:name="_Toc18700"/>
      <w:r/>
      <w:r/>
    </w:p>
    <w:p>
      <w:pPr>
        <w:jc w:val="center"/>
        <w:spacing w:line="360" w:lineRule="auto"/>
      </w:pPr>
      <w:r>
        <w:rPr>
          <w:b/>
          <w:color w:val="000000"/>
          <w:szCs w:val="21"/>
        </w:rPr>
        <w:t xml:space="preserve">（一）《中小企业声明函》</w:t>
      </w:r>
      <w:bookmarkEnd w:id="154"/>
      <w:r/>
      <w:bookmarkEnd w:id="155"/>
      <w:r/>
      <w:bookmarkEnd w:id="156"/>
      <w:r/>
      <w:bookmarkEnd w:id="157"/>
      <w:r>
        <w:br/>
      </w:r>
      <w:r>
        <w:br/>
      </w:r>
      <w:bookmarkEnd w:id="158"/>
      <w:r/>
      <w:bookmarkEnd w:id="159"/>
      <w:r/>
      <w:r/>
    </w:p>
    <w:p>
      <w:pPr>
        <w:jc w:val="center"/>
        <w:spacing w:line="360" w:lineRule="auto"/>
        <w:widowControl/>
        <w:rPr>
          <w:color w:val="ff0000"/>
          <w:szCs w:val="21"/>
        </w:rPr>
      </w:pPr>
      <w:r>
        <w:rPr>
          <w:b/>
          <w:color w:val="ff0000"/>
          <w:szCs w:val="21"/>
        </w:rPr>
        <w:t xml:space="preserve">【不属于小微企业的无需填写、递交】</w:t>
      </w:r>
      <w:r>
        <w:rPr>
          <w:b/>
          <w:color w:val="ff0000"/>
          <w:szCs w:val="21"/>
        </w:rPr>
        <w:br/>
      </w:r>
      <w:r/>
    </w:p>
    <w:p>
      <w:pPr>
        <w:ind w:firstLine="420"/>
        <w:spacing w:line="360" w:lineRule="auto"/>
        <w:rPr>
          <w:szCs w:val="21"/>
        </w:rPr>
      </w:pPr>
      <w:r>
        <w:rPr>
          <w:szCs w:val="21"/>
        </w:rPr>
        <w:t xml:space="preserve">本公司（联合体）郑重声明，根据《政府采购促进中小企业发展管理办法》（财库﹝2020﹞46 号）的规定，本公司 （联合体）参加</w:t>
      </w:r>
      <w:r>
        <w:rPr>
          <w:i/>
          <w:iCs/>
          <w:szCs w:val="21"/>
          <w:u w:val="single"/>
        </w:rPr>
        <w:t xml:space="preserve">（单位名称）</w:t>
      </w:r>
      <w:r>
        <w:rPr>
          <w:szCs w:val="21"/>
        </w:rPr>
        <w:t xml:space="preserve">的</w:t>
      </w:r>
      <w:r>
        <w:rPr>
          <w:i/>
          <w:iCs/>
          <w:szCs w:val="21"/>
          <w:u w:val="single"/>
        </w:rPr>
        <w:t xml:space="preserve">（项目名称）</w:t>
      </w:r>
      <w:r>
        <w:rPr>
          <w:szCs w:val="21"/>
        </w:rPr>
        <w:t xml:space="preserve">采购活动，提供的货物全部由符合政策要求的中小企业制造。相关企业 （含联合体中的中小企业、签订分包意向协议的中小企业）的具体情况如下： </w:t>
      </w:r>
      <w:r/>
    </w:p>
    <w:p>
      <w:pPr>
        <w:numPr>
          <w:ilvl w:val="0"/>
          <w:numId w:val="5"/>
        </w:numPr>
        <w:ind w:firstLine="420"/>
        <w:spacing w:line="360" w:lineRule="auto"/>
        <w:rPr>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w:t>
      </w:r>
      <w:r>
        <w:rPr>
          <w:szCs w:val="21"/>
          <w:vertAlign w:val="superscript"/>
        </w:rPr>
        <w:t xml:space="preserve">1</w:t>
      </w:r>
      <w:r>
        <w:rPr>
          <w:szCs w:val="21"/>
        </w:rPr>
        <w:t xml:space="preserve">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w:t>
      </w:r>
      <w:r>
        <w:rPr>
          <w:szCs w:val="21"/>
          <w:vertAlign w:val="superscript"/>
        </w:rPr>
        <w:t xml:space="preserve">2</w:t>
      </w:r>
      <w:r>
        <w:rPr>
          <w:szCs w:val="21"/>
        </w:rPr>
        <w:t xml:space="preserve">，属于</w:t>
      </w:r>
      <w:r>
        <w:rPr>
          <w:i/>
          <w:iCs/>
          <w:szCs w:val="21"/>
          <w:u w:val="single"/>
        </w:rPr>
        <w:t xml:space="preserve">（中型企业、小型企业、微型企业）</w:t>
      </w:r>
      <w:r>
        <w:rPr>
          <w:szCs w:val="21"/>
        </w:rPr>
        <w:t xml:space="preserve">； </w:t>
      </w:r>
      <w:r/>
    </w:p>
    <w:p>
      <w:pPr>
        <w:numPr>
          <w:ilvl w:val="0"/>
          <w:numId w:val="5"/>
        </w:numPr>
        <w:ind w:firstLine="420"/>
        <w:spacing w:line="360" w:lineRule="auto"/>
        <w:rPr>
          <w:b/>
          <w:bCs/>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万元，属于</w:t>
      </w:r>
      <w:r>
        <w:rPr>
          <w:i/>
          <w:iCs/>
          <w:szCs w:val="21"/>
          <w:u w:val="single"/>
        </w:rPr>
        <w:t xml:space="preserve">（中型企业、小 型企业、微型企业）</w:t>
      </w:r>
      <w:r>
        <w:rPr>
          <w:szCs w:val="21"/>
        </w:rPr>
        <w:t xml:space="preserve">；</w:t>
      </w:r>
      <w:r/>
    </w:p>
    <w:p>
      <w:pPr>
        <w:ind w:left="420"/>
        <w:spacing w:line="360" w:lineRule="auto"/>
        <w:rPr>
          <w:szCs w:val="21"/>
        </w:rPr>
      </w:pPr>
      <w:r>
        <w:rPr>
          <w:szCs w:val="21"/>
        </w:rPr>
        <w:t xml:space="preserve"> …… </w:t>
      </w:r>
      <w:r/>
    </w:p>
    <w:p>
      <w:pPr>
        <w:ind w:left="420"/>
        <w:spacing w:line="360" w:lineRule="auto"/>
        <w:rPr>
          <w:szCs w:val="21"/>
        </w:rPr>
      </w:pPr>
      <w:r>
        <w:rPr>
          <w:szCs w:val="21"/>
        </w:rPr>
        <w:t xml:space="preserve">以上企业，不属于大企业的分支机构，不存在控股股东为大企业的情形，也不存在与大企业的负责</w:t>
      </w:r>
      <w:r/>
    </w:p>
    <w:p>
      <w:pPr>
        <w:spacing w:line="360" w:lineRule="auto"/>
        <w:rPr>
          <w:szCs w:val="21"/>
        </w:rPr>
      </w:pPr>
      <w:r>
        <w:rPr>
          <w:szCs w:val="21"/>
        </w:rPr>
        <w:t xml:space="preserve">人为同一人的情形。 </w:t>
      </w:r>
      <w:r/>
    </w:p>
    <w:p>
      <w:pPr>
        <w:ind w:left="420"/>
        <w:spacing w:line="360" w:lineRule="auto"/>
        <w:rPr>
          <w:szCs w:val="21"/>
        </w:rPr>
      </w:pPr>
      <w:r>
        <w:rPr>
          <w:szCs w:val="21"/>
        </w:rPr>
        <w:t xml:space="preserve">本企业对上述声明内容的真实性负责。如有虚假，将依法承担相应责任。 </w:t>
      </w:r>
      <w:r/>
    </w:p>
    <w:p>
      <w:pPr>
        <w:ind w:left="420"/>
        <w:spacing w:line="360" w:lineRule="auto"/>
        <w:rPr>
          <w:szCs w:val="21"/>
        </w:rPr>
      </w:pPr>
      <w:r>
        <w:rPr>
          <w:szCs w:val="21"/>
        </w:rPr>
      </w:r>
      <w:r/>
    </w:p>
    <w:p>
      <w:pPr>
        <w:spacing w:line="360" w:lineRule="auto"/>
        <w:rPr>
          <w:szCs w:val="21"/>
        </w:rPr>
      </w:pPr>
      <w:r>
        <w:rPr>
          <w:szCs w:val="21"/>
        </w:rPr>
      </w:r>
      <w:r/>
    </w:p>
    <w:p>
      <w:pPr>
        <w:ind w:left="420" w:firstLine="6090"/>
        <w:spacing w:line="360" w:lineRule="auto"/>
        <w:rPr>
          <w:szCs w:val="21"/>
        </w:rPr>
      </w:pPr>
      <w:r>
        <w:rPr>
          <w:szCs w:val="21"/>
        </w:rPr>
        <w:t xml:space="preserve">企业名称（盖章）： </w:t>
      </w:r>
      <w:r/>
    </w:p>
    <w:p>
      <w:pPr>
        <w:ind w:left="420" w:firstLine="6090"/>
        <w:spacing w:line="360" w:lineRule="auto"/>
        <w:rPr>
          <w:szCs w:val="21"/>
        </w:rPr>
      </w:pPr>
      <w:r>
        <w:rPr>
          <w:szCs w:val="21"/>
        </w:rPr>
        <w:t xml:space="preserve">日 期：</w:t>
      </w:r>
      <w:r/>
    </w:p>
    <w:p>
      <w:pPr>
        <w:rPr>
          <w:szCs w:val="21"/>
        </w:rPr>
      </w:pPr>
      <w:r>
        <w:rPr>
          <w:szCs w:val="21"/>
        </w:rPr>
      </w:r>
      <w:r/>
    </w:p>
    <w:p>
      <w:pPr>
        <w:ind w:firstLine="280"/>
        <w:rPr>
          <w:sz w:val="28"/>
        </w:rPr>
      </w:pPr>
      <w:r>
        <w:rPr>
          <w:sz w:val="28"/>
        </w:rPr>
      </w:r>
      <w:r/>
    </w:p>
    <w:p>
      <w:pPr>
        <w:ind w:firstLine="422"/>
        <w:spacing w:line="360" w:lineRule="auto"/>
        <w:rPr>
          <w:b/>
          <w:bCs/>
          <w:szCs w:val="21"/>
        </w:rPr>
      </w:pPr>
      <w:r>
        <w:rPr>
          <w:b/>
          <w:bCs/>
          <w:szCs w:val="21"/>
        </w:rPr>
        <w:t xml:space="preserve">注：</w:t>
      </w:r>
      <w:r>
        <w:rPr>
          <w:szCs w:val="21"/>
          <w:vertAlign w:val="superscript"/>
        </w:rPr>
        <w:t xml:space="preserve">1</w:t>
      </w:r>
      <w:r>
        <w:rPr>
          <w:b/>
          <w:bCs/>
          <w:szCs w:val="21"/>
        </w:rPr>
        <w:t xml:space="preserve">采购文件中明确的所属行业详见第一章项目基本情况。</w:t>
      </w:r>
      <w:r/>
    </w:p>
    <w:p>
      <w:pPr>
        <w:ind w:firstLine="840"/>
        <w:spacing w:line="360" w:lineRule="auto"/>
        <w:rPr>
          <w:b/>
          <w:bCs/>
          <w:szCs w:val="21"/>
        </w:rPr>
      </w:pPr>
      <w:r>
        <w:rPr>
          <w:szCs w:val="21"/>
          <w:vertAlign w:val="superscript"/>
        </w:rPr>
        <w:t xml:space="preserve">2</w:t>
      </w:r>
      <w:r>
        <w:rPr>
          <w:b/>
          <w:bCs/>
          <w:szCs w:val="21"/>
        </w:rPr>
        <w:t xml:space="preserve">从业人员、营业收入、资产总额填报上一年度数据，无上一年度数据的新成立企业可不填报。</w:t>
      </w:r>
      <w:r/>
    </w:p>
    <w:p>
      <w:pPr>
        <w:ind w:firstLine="840"/>
        <w:spacing w:line="360" w:lineRule="auto"/>
        <w:rPr>
          <w:b/>
          <w:bCs/>
          <w:szCs w:val="21"/>
        </w:rPr>
      </w:pPr>
      <w:r>
        <w:rPr>
          <w:szCs w:val="21"/>
          <w:vertAlign w:val="superscript"/>
        </w:rPr>
        <w:t xml:space="preserve">3</w:t>
      </w:r>
      <w:r>
        <w:rPr>
          <w:b/>
          <w:bCs/>
          <w:szCs w:val="21"/>
        </w:rPr>
        <w:t xml:space="preserve">供应商未严格按上述要求提供完整声明函的，价格将不做相应扣除。</w:t>
      </w:r>
      <w:r/>
    </w:p>
    <w:p>
      <w:pPr>
        <w:ind w:left="840"/>
        <w:spacing w:line="360" w:lineRule="auto"/>
        <w:rPr>
          <w:b/>
          <w:bCs/>
          <w:szCs w:val="21"/>
        </w:rPr>
      </w:pPr>
      <w:r>
        <w:rPr>
          <w:szCs w:val="21"/>
          <w:vertAlign w:val="superscript"/>
        </w:rPr>
        <w:t xml:space="preserve">4</w:t>
      </w:r>
      <w:r>
        <w:rPr>
          <w:b/>
          <w:bCs/>
          <w:szCs w:val="21"/>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jc w:val="center"/>
        <w:spacing w:line="360" w:lineRule="auto"/>
        <w:rPr>
          <w:b/>
          <w:bCs/>
          <w:color w:val="000000"/>
          <w:szCs w:val="21"/>
        </w:rPr>
        <w:sectPr>
          <w:footerReference w:type="first" r:id="rId15"/>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rPr>
      </w:r>
      <w:r/>
    </w:p>
    <w:p>
      <w:pPr>
        <w:jc w:val="center"/>
        <w:spacing w:line="360" w:lineRule="auto"/>
        <w:rPr>
          <w:b/>
          <w:color w:val="000000"/>
          <w:szCs w:val="21"/>
        </w:rPr>
      </w:pPr>
      <w:r/>
      <w:bookmarkStart w:id="160" w:name="_Toc113527853"/>
      <w:r/>
      <w:bookmarkStart w:id="161" w:name="_Toc17686"/>
      <w:r/>
      <w:bookmarkStart w:id="162" w:name="_Toc13680"/>
      <w:r/>
      <w:bookmarkStart w:id="163" w:name="_Toc231820636"/>
      <w:r/>
      <w:bookmarkStart w:id="164" w:name="_Toc17455"/>
      <w:r>
        <w:rPr>
          <w:b/>
          <w:color w:val="000000"/>
          <w:szCs w:val="21"/>
        </w:rPr>
        <w:t xml:space="preserve">（二）残疾人福利性单位声明函</w:t>
      </w:r>
      <w:bookmarkEnd w:id="160"/>
      <w:r/>
      <w:bookmarkEnd w:id="161"/>
      <w:r/>
      <w:bookmarkEnd w:id="162"/>
      <w:r/>
      <w:bookmarkEnd w:id="163"/>
      <w:r/>
      <w:bookmarkEnd w:id="164"/>
      <w:r/>
      <w:r/>
    </w:p>
    <w:p>
      <w:pPr>
        <w:ind w:right="178"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p>
    <w:p>
      <w:pPr>
        <w:ind w:right="1560" w:firstLine="444"/>
        <w:jc w:val="right"/>
        <w:spacing w:line="360" w:lineRule="auto"/>
        <w:tabs>
          <w:tab w:val="left" w:pos="4860" w:leader="none"/>
        </w:tabs>
        <w:rPr>
          <w:color w:val="000000"/>
          <w:spacing w:val="6"/>
          <w:szCs w:val="21"/>
        </w:rPr>
      </w:pPr>
      <w:r>
        <w:rPr>
          <w:color w:val="000000"/>
          <w:spacing w:val="6"/>
          <w:szCs w:val="21"/>
        </w:rPr>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日 期：    </w:t>
      </w:r>
      <w:r/>
    </w:p>
    <w:p>
      <w:pPr>
        <w:jc w:val="center"/>
        <w:rPr>
          <w:b/>
          <w:bCs/>
          <w:color w:val="000000"/>
          <w:szCs w:val="21"/>
        </w:rPr>
      </w:pPr>
      <w:r/>
      <w:bookmarkStart w:id="165" w:name="_Toc231820637"/>
      <w:r/>
      <w:bookmarkStart w:id="166" w:name="_Toc113527854"/>
      <w:r/>
      <w:r/>
    </w:p>
    <w:p>
      <w:pPr>
        <w:jc w:val="center"/>
        <w:rPr>
          <w:b/>
          <w:bCs/>
          <w:color w:val="000000"/>
          <w:szCs w:val="21"/>
        </w:rPr>
      </w:pPr>
      <w:r>
        <w:rPr>
          <w:b/>
          <w:bCs/>
          <w:color w:val="000000"/>
          <w:szCs w:val="21"/>
        </w:rPr>
      </w:r>
      <w:r/>
    </w:p>
    <w:p>
      <w:pPr>
        <w:jc w:val="center"/>
        <w:rPr>
          <w:b/>
          <w:bCs/>
          <w:color w:val="000000"/>
          <w:szCs w:val="21"/>
        </w:rPr>
      </w:pPr>
      <w:r>
        <w:rPr>
          <w:b/>
          <w:bCs/>
          <w:color w:val="000000"/>
          <w:szCs w:val="21"/>
        </w:rPr>
      </w:r>
      <w:r/>
    </w:p>
    <w:p>
      <w:pPr>
        <w:jc w:val="center"/>
        <w:rPr>
          <w:b/>
          <w:bCs/>
          <w:color w:val="000000"/>
          <w:szCs w:val="21"/>
        </w:rPr>
      </w:pPr>
      <w:r>
        <w:rPr>
          <w:b/>
          <w:color w:val="000000"/>
          <w:szCs w:val="21"/>
        </w:rPr>
        <w:t xml:space="preserve">（三）属于监狱企业的证明文件</w:t>
      </w:r>
      <w:bookmarkEnd w:id="165"/>
      <w:r/>
      <w:bookmarkEnd w:id="166"/>
      <w:r/>
      <w:r/>
    </w:p>
    <w:p>
      <w:pPr>
        <w:ind w:left="420" w:right="597"/>
        <w:jc w:val="left"/>
        <w:spacing w:before="232" w:after="120" w:line="360" w:lineRule="auto"/>
        <w:rPr>
          <w:color w:val="000000"/>
          <w:spacing w:val="6"/>
          <w:szCs w:val="21"/>
        </w:rPr>
      </w:pPr>
      <w:r>
        <w:rPr>
          <w:color w:val="000000"/>
          <w:spacing w:val="6"/>
          <w:szCs w:val="21"/>
        </w:rPr>
        <w:t xml:space="preserve">（提供由省级以上监狱管理局、戒毒管理局(含新疆生产建设兵团)出具的属于监狱企业的证明文件</w:t>
      </w:r>
      <w:r/>
    </w:p>
    <w:p>
      <w:pPr>
        <w:ind w:left="420" w:right="597"/>
        <w:jc w:val="center"/>
        <w:spacing w:before="232" w:after="120" w:line="360" w:lineRule="auto"/>
        <w:rPr>
          <w:color w:val="000000"/>
          <w:spacing w:val="6"/>
          <w:szCs w:val="21"/>
        </w:rPr>
      </w:pPr>
      <w:r>
        <w:rPr>
          <w:color w:val="000000"/>
          <w:spacing w:val="6"/>
          <w:szCs w:val="21"/>
        </w:rPr>
      </w:r>
      <w:r/>
    </w:p>
    <w:p>
      <w:pPr>
        <w:jc w:val="center"/>
        <w:rPr>
          <w:b/>
          <w:color w:val="000000"/>
          <w:szCs w:val="21"/>
        </w:rPr>
      </w:pPr>
      <w:r>
        <w:rPr>
          <w:b/>
          <w:color w:val="000000"/>
          <w:szCs w:val="21"/>
        </w:rPr>
      </w:r>
      <w:r/>
    </w:p>
    <w:p>
      <w:pPr>
        <w:jc w:val="center"/>
        <w:rPr>
          <w:b/>
          <w:color w:val="000000"/>
          <w:szCs w:val="21"/>
        </w:rPr>
      </w:pPr>
      <w:r/>
      <w:bookmarkStart w:id="167" w:name="_Toc113527855"/>
      <w:r/>
      <w:bookmarkStart w:id="168" w:name="_Toc231820638"/>
      <w:r>
        <w:rPr>
          <w:b/>
          <w:color w:val="000000"/>
          <w:szCs w:val="21"/>
        </w:rPr>
        <w:t xml:space="preserve">（四）节能产品认证证书</w:t>
      </w:r>
      <w:bookmarkEnd w:id="167"/>
      <w:r/>
      <w:bookmarkEnd w:id="168"/>
      <w:r/>
      <w:r/>
    </w:p>
    <w:p>
      <w:pPr>
        <w:ind w:left="420"/>
        <w:jc w:val="center"/>
        <w:spacing w:before="229"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69" w:name="_Toc113527856"/>
      <w:r/>
      <w:bookmarkStart w:id="170" w:name="_Toc231820639"/>
      <w:r>
        <w:rPr>
          <w:b/>
          <w:color w:val="000000"/>
          <w:szCs w:val="21"/>
        </w:rPr>
        <w:t xml:space="preserve">（五）环境标志产品认证证书</w:t>
      </w:r>
      <w:bookmarkEnd w:id="169"/>
      <w:r/>
      <w:bookmarkEnd w:id="170"/>
      <w:r/>
      <w:r/>
    </w:p>
    <w:p>
      <w:pPr>
        <w:ind w:left="420"/>
        <w:jc w:val="center"/>
        <w:spacing w:before="230"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71" w:name="_Toc231820640"/>
      <w:r/>
      <w:bookmarkStart w:id="172" w:name="_Toc113527857"/>
      <w:r>
        <w:rPr>
          <w:b/>
          <w:color w:val="000000"/>
          <w:szCs w:val="21"/>
        </w:rPr>
        <w:t xml:space="preserve">（六）进口产品转让技术、消化吸收再创新方案</w:t>
      </w:r>
      <w:bookmarkEnd w:id="171"/>
      <w:r/>
      <w:bookmarkEnd w:id="172"/>
      <w:r/>
      <w:r/>
    </w:p>
    <w:p>
      <w:pPr>
        <w:jc w:val="center"/>
        <w:spacing w:before="230" w:after="120" w:line="360" w:lineRule="auto"/>
        <w:rPr>
          <w:szCs w:val="21"/>
        </w:rPr>
      </w:pPr>
      <w:r>
        <w:rPr>
          <w:szCs w:val="21"/>
        </w:rPr>
        <w:t xml:space="preserve">（对于允许进口产品参加的项目）</w:t>
      </w:r>
      <w:r/>
    </w:p>
    <w:p>
      <w:pPr>
        <w:ind w:left="420" w:right="597"/>
        <w:spacing w:before="232" w:line="360" w:lineRule="auto"/>
        <w:rPr>
          <w:color w:val="000000"/>
          <w:spacing w:val="6"/>
          <w:szCs w:val="21"/>
        </w:rPr>
      </w:pPr>
      <w:r>
        <w:rPr>
          <w:color w:val="000000"/>
          <w:spacing w:val="6"/>
          <w:szCs w:val="21"/>
        </w:rPr>
      </w:r>
      <w:r/>
    </w:p>
    <w:p>
      <w:pPr>
        <w:spacing w:line="360" w:lineRule="auto"/>
        <w:rPr>
          <w:b/>
          <w:bCs/>
          <w:color w:val="000000"/>
          <w:szCs w:val="21"/>
        </w:rPr>
        <w:outlineLvl w:val="2"/>
      </w:pPr>
      <w:r>
        <w:rPr>
          <w:b/>
          <w:bCs/>
          <w:color w:val="000000"/>
          <w:szCs w:val="21"/>
        </w:rPr>
      </w:r>
      <w:r/>
    </w:p>
    <w:p>
      <w:pPr>
        <w:jc w:val="center"/>
        <w:rPr>
          <w:b/>
          <w:color w:val="000000"/>
          <w:szCs w:val="21"/>
        </w:rPr>
      </w:pPr>
      <w:r/>
      <w:bookmarkStart w:id="173" w:name="_Toc231820641"/>
      <w:r>
        <w:rPr>
          <w:b/>
          <w:color w:val="000000"/>
          <w:szCs w:val="21"/>
        </w:rPr>
        <w:t xml:space="preserve">（七）本国产品相关资信证明文件</w:t>
      </w:r>
      <w:bookmarkEnd w:id="173"/>
      <w:r/>
      <w:r/>
    </w:p>
    <w:p>
      <w:pPr>
        <w:ind w:firstLine="422"/>
        <w:jc w:val="left"/>
        <w:spacing w:line="360" w:lineRule="auto"/>
        <w:rPr>
          <w:b/>
          <w:color w:val="000000"/>
          <w:szCs w:val="21"/>
        </w:rPr>
      </w:pPr>
      <w:r/>
      <w:bookmarkStart w:id="174" w:name="_Toc231820642"/>
      <w:r>
        <w:rPr>
          <w:b/>
          <w:color w:val="000000"/>
          <w:szCs w:val="21"/>
        </w:rPr>
        <w:t xml:space="preserve">《关于符合本国产品标准的声明函》或财政部会同有关部门规定的有关证明文件</w:t>
      </w:r>
      <w:bookmarkEnd w:id="174"/>
      <w:r/>
      <w:r/>
    </w:p>
    <w:p>
      <w:pPr>
        <w:ind w:firstLine="422"/>
        <w:jc w:val="left"/>
        <w:spacing w:line="360" w:lineRule="auto"/>
        <w:rPr>
          <w:b/>
          <w:color w:val="000000"/>
          <w:szCs w:val="21"/>
        </w:rPr>
      </w:pPr>
      <w:r/>
      <w:bookmarkStart w:id="175" w:name="_Toc231820643"/>
      <w:r>
        <w:rPr>
          <w:b/>
          <w:color w:val="000000"/>
          <w:szCs w:val="21"/>
        </w:rPr>
        <w:t xml:space="preserve">（特别说明：格式如下，请按要求填写，加盖CA电子公章。供应商填写以下具体情况时，序号、产品名称请与招标文件附件《采购清单》各采购包中的序号、产品名称在顺序、内容上均保持一致，供评委现场评审时逐一核对确认，请勿遗漏）</w:t>
      </w:r>
      <w:bookmarkEnd w:id="175"/>
      <w:r/>
      <w:r/>
    </w:p>
    <w:p>
      <w:pPr>
        <w:jc w:val="center"/>
        <w:rPr>
          <w:b/>
          <w:color w:val="000000"/>
          <w:szCs w:val="21"/>
        </w:rPr>
      </w:pPr>
      <w:r/>
      <w:bookmarkStart w:id="176" w:name="_Toc231820644"/>
      <w:r/>
      <w:r/>
    </w:p>
    <w:p>
      <w:pPr>
        <w:jc w:val="center"/>
        <w:rPr>
          <w:b/>
          <w:color w:val="000000"/>
          <w:szCs w:val="21"/>
        </w:rPr>
      </w:pPr>
      <w:r>
        <w:rPr>
          <w:b/>
          <w:color w:val="000000"/>
          <w:szCs w:val="21"/>
        </w:rPr>
      </w:r>
      <w:r/>
    </w:p>
    <w:p>
      <w:pPr>
        <w:jc w:val="center"/>
        <w:rPr>
          <w:b/>
          <w:color w:val="000000"/>
          <w:szCs w:val="21"/>
        </w:rPr>
      </w:pPr>
      <w:r>
        <w:rPr>
          <w:b/>
          <w:color w:val="000000"/>
          <w:szCs w:val="21"/>
        </w:rPr>
        <w:t xml:space="preserve">关于符合本国产品标准的声明函</w:t>
      </w:r>
      <w:bookmarkEnd w:id="176"/>
      <w:r/>
      <w:r/>
    </w:p>
    <w:p>
      <w:pPr>
        <w:ind w:firstLine="420"/>
        <w:spacing w:line="360" w:lineRule="auto"/>
        <w:rPr>
          <w:color w:val="000000"/>
          <w:szCs w:val="21"/>
        </w:rPr>
      </w:pPr>
      <w:r>
        <w:rPr>
          <w:color w:val="000000"/>
          <w:szCs w:val="21"/>
        </w:rPr>
        <w:t xml:space="preserve">本单位郑重声明，根据《国务院办公厅关于在政府采购中实施本国产品标准及相关政策的通知》(国办发〔2025〕34号)的规定，本单位提供的以下产品属于本国产品。具体情况如下：</w:t>
      </w:r>
      <w:r/>
    </w:p>
    <w:p>
      <w:pPr>
        <w:ind w:firstLine="420"/>
        <w:spacing w:line="360" w:lineRule="auto"/>
        <w:rPr>
          <w:color w:val="000000"/>
          <w:szCs w:val="21"/>
        </w:rPr>
      </w:pPr>
      <w:r>
        <w:rPr>
          <w:color w:val="000000"/>
          <w:szCs w:val="21"/>
        </w:rPr>
        <w:t xml:space="preserve">1.(</w:t>
      </w:r>
      <w:r>
        <w:rPr>
          <w:color w:val="000000"/>
          <w:szCs w:val="21"/>
          <w:u w:val="single"/>
        </w:rPr>
        <w:t xml:space="preserve">产品名称1</w:t>
      </w:r>
      <w:r>
        <w:rPr>
          <w:color w:val="000000"/>
          <w:szCs w:val="21"/>
        </w:rPr>
        <w:t xml:space="preserve">)</w:t>
      </w:r>
      <w:r>
        <w:rPr>
          <w:color w:val="000000"/>
          <w:szCs w:val="21"/>
          <w:vertAlign w:val="superscript"/>
        </w:rPr>
        <w:t xml:space="preserve">1</w:t>
      </w:r>
      <w:r>
        <w:rPr>
          <w:color w:val="000000"/>
          <w:szCs w:val="21"/>
        </w:rPr>
        <w:t xml:space="preserve">，生产厂为(</w:t>
      </w:r>
      <w:r>
        <w:rPr>
          <w:color w:val="000000"/>
          <w:szCs w:val="21"/>
          <w:u w:val="single"/>
        </w:rPr>
        <w:t xml:space="preserve">厂名</w:t>
      </w:r>
      <w:r>
        <w:rPr>
          <w:color w:val="000000"/>
          <w:szCs w:val="21"/>
        </w:rPr>
        <w:t xml:space="preserve">)</w:t>
      </w:r>
      <w:r>
        <w:rPr>
          <w:color w:val="000000"/>
          <w:szCs w:val="21"/>
          <w:vertAlign w:val="superscript"/>
        </w:rPr>
        <w:t xml:space="preserve">2</w:t>
      </w:r>
      <w:r>
        <w:rPr>
          <w:color w:val="000000"/>
          <w:szCs w:val="21"/>
        </w:rPr>
        <w:t xml:space="preserve">，厂址为(</w:t>
      </w:r>
      <w:r>
        <w:rPr>
          <w:color w:val="000000"/>
          <w:szCs w:val="21"/>
          <w:u w:val="single"/>
        </w:rPr>
        <w:t xml:space="preserve">生产厂址</w:t>
      </w:r>
      <w:r>
        <w:rPr>
          <w:color w:val="000000"/>
          <w:szCs w:val="21"/>
        </w:rPr>
        <w:t xml:space="preserve">)。(</w:t>
      </w:r>
      <w:r>
        <w:rPr>
          <w:color w:val="000000"/>
          <w:szCs w:val="21"/>
          <w:u w:val="single"/>
        </w:rPr>
        <w:t xml:space="preserve">产品名称1</w:t>
      </w:r>
      <w:r>
        <w:rPr>
          <w:color w:val="000000"/>
          <w:szCs w:val="21"/>
        </w:rPr>
        <w:t xml:space="preserve">)的中国境内生产的组件成本占比≥(</w:t>
      </w:r>
      <w:r>
        <w:rPr>
          <w:color w:val="000000"/>
          <w:szCs w:val="21"/>
          <w:u w:val="single"/>
        </w:rPr>
        <w:t xml:space="preserve">规定比例</w:t>
      </w:r>
      <w:r>
        <w:rPr>
          <w:color w:val="000000"/>
          <w:szCs w:val="21"/>
        </w:rPr>
        <w:t xml:space="preserve">)</w:t>
      </w:r>
      <w:r>
        <w:rPr>
          <w:color w:val="000000"/>
          <w:szCs w:val="21"/>
          <w:vertAlign w:val="superscript"/>
        </w:rPr>
        <w:t xml:space="preserve">3</w:t>
      </w:r>
      <w:r>
        <w:rPr>
          <w:color w:val="000000"/>
          <w:szCs w:val="21"/>
        </w:rPr>
        <w:t xml:space="preserve">。(</w:t>
      </w:r>
      <w:r>
        <w:rPr>
          <w:color w:val="000000"/>
          <w:szCs w:val="21"/>
          <w:u w:val="single"/>
        </w:rPr>
        <w:t xml:space="preserve">产品名称1</w:t>
      </w:r>
      <w:r>
        <w:rPr>
          <w:color w:val="000000"/>
          <w:szCs w:val="21"/>
        </w:rPr>
        <w:t xml:space="preserve">)的(</w:t>
      </w:r>
      <w:r>
        <w:rPr>
          <w:color w:val="000000"/>
          <w:szCs w:val="21"/>
          <w:u w:val="single"/>
        </w:rPr>
        <w:t xml:space="preserve">关键组件)</w:t>
      </w:r>
      <w:r>
        <w:rPr>
          <w:color w:val="000000"/>
          <w:szCs w:val="21"/>
          <w:vertAlign w:val="superscript"/>
        </w:rPr>
        <w:t xml:space="preserve">4</w:t>
      </w:r>
      <w:r>
        <w:rPr>
          <w:color w:val="000000"/>
          <w:szCs w:val="21"/>
        </w:rPr>
        <w:t xml:space="preserve">在中国境内生产。(</w:t>
      </w:r>
      <w:r>
        <w:rPr>
          <w:color w:val="000000"/>
          <w:szCs w:val="21"/>
          <w:u w:val="single"/>
        </w:rPr>
        <w:t xml:space="preserve">产品名称1</w:t>
      </w:r>
      <w:r>
        <w:rPr>
          <w:color w:val="000000"/>
          <w:szCs w:val="21"/>
        </w:rPr>
        <w:t xml:space="preserve">)的(</w:t>
      </w:r>
      <w:r>
        <w:rPr>
          <w:color w:val="000000"/>
          <w:szCs w:val="21"/>
          <w:u w:val="single"/>
        </w:rPr>
        <w:t xml:space="preserve">关键工序</w:t>
      </w:r>
      <w:r>
        <w:rPr>
          <w:color w:val="000000"/>
          <w:szCs w:val="21"/>
        </w:rPr>
        <w:t xml:space="preserve">)</w:t>
      </w:r>
      <w:r>
        <w:rPr>
          <w:color w:val="000000"/>
          <w:szCs w:val="21"/>
          <w:vertAlign w:val="superscript"/>
        </w:rPr>
        <w:t xml:space="preserve">5</w:t>
      </w:r>
      <w:r>
        <w:rPr>
          <w:color w:val="000000"/>
          <w:szCs w:val="21"/>
        </w:rPr>
        <w:t xml:space="preserve">在中国境内完成。</w:t>
      </w:r>
      <w:r/>
    </w:p>
    <w:p>
      <w:pPr>
        <w:ind w:firstLine="420"/>
        <w:spacing w:line="360" w:lineRule="auto"/>
        <w:rPr>
          <w:color w:val="000000"/>
          <w:szCs w:val="21"/>
        </w:rPr>
      </w:pPr>
      <w:r>
        <w:rPr>
          <w:color w:val="000000"/>
          <w:szCs w:val="21"/>
        </w:rPr>
        <w:t xml:space="preserve">2.(</w:t>
      </w:r>
      <w:r>
        <w:rPr>
          <w:color w:val="000000"/>
          <w:szCs w:val="21"/>
          <w:u w:val="single"/>
        </w:rPr>
        <w:t xml:space="preserve">产品名称2</w:t>
      </w:r>
      <w:r>
        <w:rPr>
          <w:color w:val="000000"/>
          <w:szCs w:val="21"/>
        </w:rPr>
        <w:t xml:space="preserve">)，生产厂为(</w:t>
      </w:r>
      <w:r>
        <w:rPr>
          <w:color w:val="000000"/>
          <w:szCs w:val="21"/>
          <w:u w:val="single"/>
        </w:rPr>
        <w:t xml:space="preserve">厂名</w:t>
      </w:r>
      <w:r>
        <w:rPr>
          <w:color w:val="000000"/>
          <w:szCs w:val="21"/>
        </w:rPr>
        <w:t xml:space="preserve">)，厂址为(</w:t>
      </w:r>
      <w:r>
        <w:rPr>
          <w:color w:val="000000"/>
          <w:szCs w:val="21"/>
          <w:u w:val="single"/>
        </w:rPr>
        <w:t xml:space="preserve">生产厂址</w:t>
      </w:r>
      <w:r>
        <w:rPr>
          <w:color w:val="000000"/>
          <w:szCs w:val="21"/>
        </w:rPr>
        <w:t xml:space="preserve">)。(</w:t>
      </w:r>
      <w:r>
        <w:rPr>
          <w:color w:val="000000"/>
          <w:szCs w:val="21"/>
          <w:u w:val="single"/>
        </w:rPr>
        <w:t xml:space="preserve">产品名称2</w:t>
      </w:r>
      <w:r>
        <w:rPr>
          <w:color w:val="000000"/>
          <w:szCs w:val="21"/>
        </w:rPr>
        <w:t xml:space="preserve">)的中国境内生产的组件成本占比≥(</w:t>
      </w:r>
      <w:r>
        <w:rPr>
          <w:color w:val="000000"/>
          <w:szCs w:val="21"/>
          <w:u w:val="single"/>
        </w:rPr>
        <w:t xml:space="preserve">规定比例</w:t>
      </w:r>
      <w:r>
        <w:rPr>
          <w:color w:val="000000"/>
          <w:szCs w:val="21"/>
        </w:rPr>
        <w:t xml:space="preserve">)。(</w:t>
      </w:r>
      <w:r>
        <w:rPr>
          <w:color w:val="000000"/>
          <w:szCs w:val="21"/>
          <w:u w:val="single"/>
        </w:rPr>
        <w:t xml:space="preserve">产品名称2</w:t>
      </w:r>
      <w:r>
        <w:rPr>
          <w:color w:val="000000"/>
          <w:szCs w:val="21"/>
        </w:rPr>
        <w:t xml:space="preserve">)的(</w:t>
      </w:r>
      <w:r>
        <w:rPr>
          <w:color w:val="000000"/>
          <w:szCs w:val="21"/>
          <w:u w:val="single"/>
        </w:rPr>
        <w:t xml:space="preserve">关键组件</w:t>
      </w:r>
      <w:r>
        <w:rPr>
          <w:color w:val="000000"/>
          <w:szCs w:val="21"/>
        </w:rPr>
        <w:t xml:space="preserve">)在中国境内生产。(</w:t>
      </w:r>
      <w:r>
        <w:rPr>
          <w:color w:val="000000"/>
          <w:szCs w:val="21"/>
          <w:u w:val="single"/>
        </w:rPr>
        <w:t xml:space="preserve">产品名称2</w:t>
      </w:r>
      <w:r>
        <w:rPr>
          <w:color w:val="000000"/>
          <w:szCs w:val="21"/>
        </w:rPr>
        <w:t xml:space="preserve">)的(</w:t>
      </w:r>
      <w:r>
        <w:rPr>
          <w:color w:val="000000"/>
          <w:szCs w:val="21"/>
          <w:u w:val="single"/>
        </w:rPr>
        <w:t xml:space="preserve">关键工序</w:t>
      </w:r>
      <w:r>
        <w:rPr>
          <w:color w:val="000000"/>
          <w:szCs w:val="21"/>
        </w:rPr>
        <w:t xml:space="preserve">)在中国境内完成。</w:t>
      </w:r>
      <w:r/>
    </w:p>
    <w:p>
      <w:pPr>
        <w:ind w:firstLine="420"/>
        <w:spacing w:line="360" w:lineRule="auto"/>
        <w:rPr>
          <w:color w:val="000000"/>
          <w:szCs w:val="21"/>
        </w:rPr>
      </w:pPr>
      <w:r>
        <w:rPr>
          <w:color w:val="000000"/>
          <w:szCs w:val="21"/>
        </w:rPr>
        <w:t xml:space="preserve">.....</w:t>
      </w:r>
      <w:r/>
    </w:p>
    <w:p>
      <w:pPr>
        <w:ind w:firstLine="420"/>
        <w:spacing w:line="360" w:lineRule="auto"/>
        <w:rPr>
          <w:color w:val="000000"/>
          <w:szCs w:val="21"/>
        </w:rPr>
      </w:pPr>
      <w:r>
        <w:rPr>
          <w:color w:val="000000"/>
          <w:szCs w:val="21"/>
        </w:rPr>
        <w:t xml:space="preserve">本公司(单位)对上述声明内容的真实性负责。如有虚假，愿承担相应法律责任。</w:t>
      </w:r>
      <w:r/>
    </w:p>
    <w:p>
      <w:pPr>
        <w:ind w:firstLine="1134"/>
        <w:jc w:val="right"/>
        <w:spacing w:line="588" w:lineRule="exact"/>
        <w:tabs>
          <w:tab w:val="left" w:pos="4860" w:leader="none"/>
        </w:tabs>
        <w:rPr>
          <w:color w:val="000000"/>
          <w:szCs w:val="21"/>
        </w:rPr>
      </w:pPr>
      <w:r/>
      <w:bookmarkStart w:id="177" w:name="_Hlk218765471"/>
      <w:r>
        <w:rPr>
          <w:color w:val="000000"/>
          <w:szCs w:val="21"/>
        </w:rPr>
        <w:t xml:space="preserve">供应商全称（加盖公章）：</w:t>
      </w:r>
      <w:r/>
    </w:p>
    <w:p>
      <w:pPr>
        <w:ind w:firstLine="1134"/>
        <w:jc w:val="right"/>
        <w:spacing w:line="360" w:lineRule="auto"/>
        <w:rPr>
          <w:color w:val="000000"/>
          <w:szCs w:val="21"/>
        </w:rPr>
        <w:pBdr>
          <w:bottom w:val="single" w:color="auto" w:sz="6" w:space="1"/>
        </w:pBdr>
      </w:pPr>
      <w:r>
        <w:rPr>
          <w:color w:val="000000"/>
          <w:szCs w:val="21"/>
        </w:rPr>
        <w:t xml:space="preserve">                              日  期：</w:t>
      </w:r>
      <w:bookmarkEnd w:id="177"/>
      <w:r/>
      <w:r/>
    </w:p>
    <w:p>
      <w:pPr>
        <w:spacing w:before="62" w:after="62" w:line="360" w:lineRule="auto"/>
        <w:rPr>
          <w:rFonts w:eastAsiaTheme="minorEastAsia"/>
          <w:color w:val="000000"/>
          <w:szCs w:val="21"/>
        </w:rPr>
      </w:pPr>
      <w:r>
        <w:rPr>
          <w:rFonts w:eastAsiaTheme="minorEastAsia"/>
          <w:color w:val="000000"/>
          <w:szCs w:val="21"/>
        </w:rPr>
        <w:t xml:space="preserve">1.产品如有型号，请在“产品名称”栏一并填写。</w:t>
      </w:r>
      <w:r/>
    </w:p>
    <w:p>
      <w:pPr>
        <w:spacing w:before="62" w:after="62" w:line="360" w:lineRule="auto"/>
        <w:rPr>
          <w:rFonts w:eastAsiaTheme="minorEastAsia"/>
          <w:color w:val="000000"/>
          <w:szCs w:val="21"/>
        </w:rPr>
      </w:pPr>
      <w:r>
        <w:rPr>
          <w:rFonts w:eastAsiaTheme="minorEastAsia"/>
          <w:color w:val="000000"/>
          <w:szCs w:val="21"/>
        </w:rPr>
        <w:t xml:space="preserve">2.生产厂名与厂址应与生产厂营业执照载明的相关信息保持一致。</w:t>
      </w:r>
      <w:r/>
    </w:p>
    <w:p>
      <w:pPr>
        <w:spacing w:before="62" w:after="62" w:line="360" w:lineRule="auto"/>
        <w:rPr>
          <w:rFonts w:eastAsiaTheme="minorEastAsia"/>
          <w:color w:val="000000"/>
          <w:szCs w:val="21"/>
        </w:rPr>
      </w:pPr>
      <w:r>
        <w:rPr>
          <w:rFonts w:eastAsiaTheme="minorEastAsia"/>
          <w:color w:val="000000"/>
          <w:szCs w:val="21"/>
        </w:rPr>
        <w:t xml:space="preserve">3.该产品的中国境内生产的组件成本占比相关要求实施前，“规定比例”栏可不填，下同。</w:t>
      </w:r>
      <w:r/>
    </w:p>
    <w:p>
      <w:pPr>
        <w:spacing w:before="62" w:after="62" w:line="360" w:lineRule="auto"/>
        <w:rPr>
          <w:rFonts w:eastAsiaTheme="minorEastAsia"/>
          <w:color w:val="000000"/>
          <w:szCs w:val="21"/>
        </w:rPr>
      </w:pPr>
      <w:r>
        <w:rPr>
          <w:rFonts w:eastAsiaTheme="minorEastAsia"/>
          <w:color w:val="000000"/>
          <w:szCs w:val="21"/>
        </w:rPr>
        <w:t xml:space="preserve">4.该产品的关键组件要求实施前,“关键组件”栏可不填，下同。</w:t>
      </w:r>
      <w:r/>
    </w:p>
    <w:p>
      <w:pPr>
        <w:spacing w:before="62" w:after="62" w:line="360" w:lineRule="auto"/>
        <w:rPr>
          <w:rFonts w:eastAsiaTheme="minorEastAsia"/>
          <w:color w:val="000000"/>
          <w:szCs w:val="21"/>
        </w:rPr>
      </w:pPr>
      <w:r>
        <w:rPr>
          <w:rFonts w:eastAsiaTheme="minorEastAsia"/>
          <w:color w:val="000000"/>
          <w:szCs w:val="21"/>
        </w:rPr>
        <w:t xml:space="preserve">5.该产品的关键工序要求实施前,“关键工序”栏可不填，下同。</w:t>
      </w:r>
      <w:r/>
    </w:p>
    <w:p>
      <w:pPr>
        <w:spacing w:before="62" w:after="62"/>
        <w:rPr>
          <w:rFonts w:eastAsiaTheme="minorEastAsia"/>
          <w:bCs/>
          <w:color w:val="000000"/>
          <w:szCs w:val="21"/>
        </w:rPr>
      </w:pPr>
      <w:r/>
      <w:bookmarkStart w:id="178" w:name="_Hlk218765485"/>
      <w:r>
        <w:rPr>
          <w:rFonts w:eastAsiaTheme="minorEastAsia"/>
          <w:bCs/>
          <w:color w:val="000000"/>
          <w:szCs w:val="21"/>
        </w:rPr>
        <w:t xml:space="preserve">注：1）投标人如不提供此声明函，价格将不做相应扣除。 </w:t>
      </w:r>
      <w:r/>
    </w:p>
    <w:p>
      <w:pPr>
        <w:ind w:left="420" w:right="597"/>
        <w:spacing w:before="232" w:line="360" w:lineRule="auto"/>
        <w:rPr>
          <w:rFonts w:eastAsiaTheme="minorEastAsia"/>
          <w:color w:val="000000"/>
          <w:spacing w:val="6"/>
          <w:szCs w:val="21"/>
        </w:rPr>
        <w:sectPr>
          <w:footerReference w:type="default" r:id="rId16"/>
          <w:footnotePr/>
          <w:endnotePr/>
          <w:type w:val="nextPage"/>
          <w:pgSz w:w="11906" w:h="16838" w:orient="portrait"/>
          <w:pgMar w:top="1134" w:right="1134" w:bottom="1083" w:left="1134" w:header="850" w:footer="992" w:gutter="0"/>
          <w:cols w:num="1" w:sep="0" w:space="720" w:equalWidth="1"/>
          <w:docGrid w:linePitch="360"/>
        </w:sectPr>
      </w:pPr>
      <w:r>
        <w:rPr>
          <w:rFonts w:eastAsiaTheme="minorEastAsia"/>
          <w:bCs/>
          <w:color w:val="000000"/>
          <w:szCs w:val="21"/>
        </w:rPr>
        <w:t xml:space="preserve">2）此声明函将随中标结果同时公告，接受社会监督。</w:t>
      </w:r>
      <w:bookmarkEnd w:id="178"/>
      <w:r/>
      <w:r/>
    </w:p>
    <w:p>
      <w:pPr>
        <w:spacing w:line="360" w:lineRule="auto"/>
        <w:rPr>
          <w:b/>
          <w:bCs/>
        </w:rPr>
        <w:outlineLvl w:val="1"/>
      </w:pPr>
      <w:r/>
      <w:bookmarkStart w:id="179" w:name="_Toc14428"/>
      <w:r/>
      <w:bookmarkStart w:id="180" w:name="_Toc27256"/>
      <w:r/>
      <w:bookmarkStart w:id="181" w:name="_Toc113527858"/>
      <w:r/>
      <w:bookmarkStart w:id="182" w:name="_Toc231822753"/>
      <w:r/>
      <w:bookmarkStart w:id="183" w:name="_Toc3177"/>
      <w:r>
        <w:rPr>
          <w:b/>
          <w:bCs/>
          <w:lang w:val="zh-CN"/>
        </w:rPr>
        <w:t xml:space="preserve">附件</w:t>
      </w:r>
      <w:r>
        <w:rPr>
          <w:b/>
          <w:bCs/>
        </w:rPr>
        <w:t xml:space="preserve">九</w:t>
      </w:r>
      <w:r>
        <w:rPr>
          <w:b/>
          <w:bCs/>
          <w:lang w:val="zh-CN"/>
        </w:rPr>
        <w:t xml:space="preserve"> 资格</w:t>
      </w:r>
      <w:bookmarkEnd w:id="179"/>
      <w:r/>
      <w:bookmarkEnd w:id="180"/>
      <w:r>
        <w:rPr>
          <w:b/>
          <w:bCs/>
          <w:lang w:val="zh-CN"/>
        </w:rPr>
        <w:t xml:space="preserve">证明文件</w:t>
      </w:r>
      <w:bookmarkEnd w:id="181"/>
      <w:r/>
      <w:bookmarkEnd w:id="182"/>
      <w:r/>
      <w:bookmarkEnd w:id="183"/>
      <w:r/>
      <w:r/>
    </w:p>
    <w:p>
      <w:pPr>
        <w:spacing w:line="360" w:lineRule="auto"/>
        <w:rPr>
          <w:b/>
          <w:bCs/>
          <w:lang w:val="zh-CN"/>
        </w:rPr>
      </w:pPr>
      <w:r/>
      <w:bookmarkStart w:id="184" w:name="_Toc231820646"/>
      <w:r/>
      <w:bookmarkStart w:id="185" w:name="_Toc113527859"/>
      <w:r/>
      <w:bookmarkStart w:id="186" w:name="_Toc13646"/>
      <w:r/>
      <w:bookmarkStart w:id="187" w:name="_Toc12234"/>
      <w:r/>
      <w:bookmarkStart w:id="188" w:name="_Toc4916"/>
      <w:r>
        <w:rPr>
          <w:b/>
          <w:bCs/>
          <w:lang w:val="zh-CN"/>
        </w:rPr>
        <w:t xml:space="preserve">1、法人或其他组织的营业执照等证明文件（复印件加盖公章）</w:t>
      </w:r>
      <w:bookmarkEnd w:id="184"/>
      <w:r/>
      <w:bookmarkEnd w:id="185"/>
      <w:r/>
      <w:bookmarkEnd w:id="186"/>
      <w:r/>
      <w:bookmarkEnd w:id="187"/>
      <w:r/>
      <w:bookmarkEnd w:id="188"/>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jc w:val="left"/>
        <w:spacing w:line="360" w:lineRule="auto"/>
        <w:rPr>
          <w:b/>
          <w:bCs/>
          <w:color w:val="000000"/>
          <w:szCs w:val="21"/>
          <w:lang w:val="zh-CN"/>
        </w:rPr>
        <w:sectPr>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lang w:val="zh-CN"/>
        </w:rPr>
      </w:r>
      <w:r/>
    </w:p>
    <w:p>
      <w:pPr>
        <w:spacing w:line="360" w:lineRule="auto"/>
        <w:rPr>
          <w:b/>
          <w:bCs/>
          <w:color w:val="000000"/>
          <w:szCs w:val="21"/>
          <w:lang w:val="zh-CN"/>
        </w:rPr>
      </w:pPr>
      <w:r/>
      <w:bookmarkStart w:id="189" w:name="_Toc26588"/>
      <w:r/>
      <w:bookmarkStart w:id="190" w:name="_Toc1205"/>
      <w:r/>
      <w:bookmarkStart w:id="191" w:name="_Toc24535"/>
      <w:r/>
      <w:bookmarkStart w:id="192" w:name="_Toc231820647"/>
      <w:r>
        <w:rPr>
          <w:b/>
          <w:bCs/>
          <w:lang w:val="zh-CN"/>
        </w:rPr>
        <w:t xml:space="preserve">2、法人代表授权书</w:t>
      </w:r>
      <w:bookmarkEnd w:id="189"/>
      <w:r/>
      <w:bookmarkEnd w:id="190"/>
      <w:r/>
      <w:bookmarkEnd w:id="191"/>
      <w:r>
        <w:rPr>
          <w:b/>
          <w:bCs/>
        </w:rPr>
        <w:t xml:space="preserve">（如果是法定代表人直接参与投标的可以不提供授权书，但须提供法定代表人身份证复印件</w:t>
      </w:r>
      <w:r>
        <w:rPr>
          <w:b/>
          <w:bCs/>
          <w:szCs w:val="21"/>
        </w:rPr>
        <w:t xml:space="preserve">）</w:t>
      </w:r>
      <w:bookmarkEnd w:id="192"/>
      <w:r/>
      <w:r/>
    </w:p>
    <w:p>
      <w:pPr>
        <w:spacing w:line="360" w:lineRule="auto"/>
        <w:rPr>
          <w:b/>
          <w:color w:val="000000"/>
          <w:szCs w:val="21"/>
        </w:rPr>
      </w:pPr>
      <w:r>
        <w:rPr>
          <w:b/>
          <w:color w:val="000000"/>
          <w:szCs w:val="21"/>
        </w:rPr>
        <w:t xml:space="preserve">致江苏美达机电贸易有限公司：</w:t>
      </w:r>
      <w:r/>
    </w:p>
    <w:p>
      <w:pPr>
        <w:spacing w:line="360" w:lineRule="auto"/>
        <w:rPr>
          <w:color w:val="000000"/>
          <w:szCs w:val="21"/>
        </w:rPr>
      </w:pPr>
      <w:r>
        <w:rPr>
          <w:b/>
          <w:color w:val="000000"/>
          <w:szCs w:val="21"/>
        </w:rPr>
        <w:t xml:space="preserve">   </w:t>
      </w:r>
      <w:r>
        <w:rPr>
          <w:color w:val="000000"/>
          <w:szCs w:val="21"/>
        </w:rPr>
        <w:t xml:space="preserve">本授权委托书声明：注册于</w:t>
      </w:r>
      <w:r>
        <w:rPr>
          <w:color w:val="000000"/>
          <w:szCs w:val="21"/>
          <w:u w:val="single"/>
        </w:rPr>
        <w:t xml:space="preserve">                </w:t>
      </w:r>
      <w:r>
        <w:rPr>
          <w:color w:val="000000"/>
          <w:szCs w:val="21"/>
        </w:rPr>
        <w:t xml:space="preserve">（供应商住址）的</w:t>
      </w:r>
      <w:r>
        <w:rPr>
          <w:b/>
          <w:color w:val="000000"/>
          <w:szCs w:val="21"/>
          <w:u w:val="single"/>
        </w:rPr>
        <w:t xml:space="preserve">              </w:t>
      </w:r>
      <w:r>
        <w:rPr>
          <w:color w:val="000000"/>
          <w:szCs w:val="21"/>
        </w:rPr>
        <w:t xml:space="preserve">（供应商名称）法定代表人</w:t>
      </w:r>
      <w:r>
        <w:rPr>
          <w:color w:val="000000"/>
          <w:szCs w:val="21"/>
          <w:u w:val="single"/>
        </w:rPr>
        <w:t xml:space="preserve"> </w:t>
      </w:r>
      <w:r>
        <w:rPr>
          <w:b/>
          <w:color w:val="000000"/>
          <w:szCs w:val="21"/>
          <w:u w:val="single"/>
        </w:rPr>
        <w:t xml:space="preserve">          </w:t>
      </w:r>
      <w:r>
        <w:rPr>
          <w:color w:val="000000"/>
          <w:szCs w:val="21"/>
        </w:rPr>
        <w:t xml:space="preserve">（法定代表人姓名、职务）代表本公司授权在下面签字的</w:t>
      </w:r>
      <w:r>
        <w:rPr>
          <w:color w:val="000000"/>
          <w:szCs w:val="21"/>
          <w:u w:val="single"/>
        </w:rPr>
        <w:t xml:space="preserve">         </w:t>
      </w:r>
      <w:r>
        <w:rPr>
          <w:color w:val="000000"/>
          <w:szCs w:val="21"/>
        </w:rPr>
        <w:t xml:space="preserve">（供应商代表姓名、职务）为本公司的合法代理人，就贵方组织的</w:t>
      </w:r>
      <w:r>
        <w:rPr>
          <w:color w:val="000000"/>
          <w:szCs w:val="21"/>
          <w:u w:val="single"/>
        </w:rPr>
        <w:t xml:space="preserve">         </w:t>
      </w:r>
      <w:r>
        <w:rPr>
          <w:color w:val="000000"/>
          <w:szCs w:val="21"/>
        </w:rPr>
        <w:t xml:space="preserve">（项目名称）</w:t>
      </w:r>
      <w:r>
        <w:rPr>
          <w:color w:val="000000"/>
          <w:szCs w:val="21"/>
          <w:u w:val="single"/>
        </w:rPr>
        <w:t xml:space="preserve">            </w:t>
      </w:r>
      <w:r>
        <w:rPr>
          <w:color w:val="000000"/>
          <w:szCs w:val="21"/>
        </w:rPr>
        <w:t xml:space="preserve">（项目编号）投标，以本公司名义处理一切与之有关的事务。</w:t>
      </w:r>
      <w:r/>
    </w:p>
    <w:p>
      <w:pPr>
        <w:ind w:firstLine="420"/>
        <w:jc w:val="left"/>
        <w:spacing w:line="360" w:lineRule="auto"/>
        <w:shd w:val="clear" w:color="auto" w:fill="ffffff"/>
        <w:widowControl/>
        <w:rPr>
          <w:color w:val="000000"/>
          <w:szCs w:val="21"/>
        </w:rPr>
      </w:pPr>
      <w:r>
        <w:rPr>
          <w:color w:val="000000"/>
          <w:szCs w:val="21"/>
        </w:rPr>
        <w:t xml:space="preserve">本授权书于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日生效，特此声明。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 </w:t>
      </w:r>
      <w:r/>
    </w:p>
    <w:p>
      <w:pPr>
        <w:spacing w:line="360" w:lineRule="auto"/>
        <w:rPr>
          <w:color w:val="000000"/>
          <w:szCs w:val="21"/>
        </w:rPr>
      </w:pPr>
      <w:r>
        <w:rPr>
          <w:color w:val="000000"/>
          <w:szCs w:val="21"/>
        </w:rPr>
        <w:t xml:space="preserve">供应商名称（公章）： </w:t>
      </w:r>
      <w:r/>
    </w:p>
    <w:p>
      <w:pPr>
        <w:spacing w:line="360" w:lineRule="auto"/>
        <w:rPr>
          <w:color w:val="000000"/>
          <w:szCs w:val="21"/>
        </w:rPr>
      </w:pPr>
      <w:r>
        <w:rPr>
          <w:color w:val="000000"/>
          <w:szCs w:val="21"/>
        </w:rPr>
        <w:t xml:space="preserve">日期：</w:t>
      </w:r>
      <w:r/>
    </w:p>
    <w:p>
      <w:pPr>
        <w:spacing w:line="360" w:lineRule="auto"/>
        <w:rPr>
          <w:b/>
          <w:color w:val="000000"/>
          <w:szCs w:val="21"/>
        </w:rPr>
      </w:pPr>
      <w:r>
        <w:rPr>
          <w:color w:val="000000"/>
          <w:szCs w:val="21"/>
        </w:rPr>
        <w:t xml:space="preserve"> </w:t>
      </w:r>
      <w:r/>
    </w:p>
    <w:p>
      <w:pPr>
        <w:spacing w:line="360" w:lineRule="auto"/>
        <w:rPr>
          <w:b/>
          <w:bCs/>
          <w:color w:val="000000"/>
          <w:szCs w:val="21"/>
        </w:rPr>
      </w:pPr>
      <w:r>
        <w:rPr>
          <w:b/>
          <w:bCs/>
          <w:color w:val="000000"/>
          <w:szCs w:val="21"/>
        </w:rPr>
        <w:t xml:space="preserve">附：法定代表人、供应商授权代表的身份证复印件</w:t>
      </w:r>
      <w:r/>
    </w:p>
    <w:tbl>
      <w:tblPr>
        <w:tblStyle w:val="1325"/>
        <w:tblW w:w="9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b/>
                <w:color w:val="000000"/>
                <w:szCs w:val="21"/>
              </w:rPr>
            </w:pPr>
            <w:r>
              <w:rPr>
                <w:b/>
                <w:color w:val="000000"/>
                <w:szCs w:val="21"/>
              </w:rPr>
            </w:r>
            <w:r/>
          </w:p>
        </w:tc>
      </w:tr>
    </w:tbl>
    <w:p>
      <w:pPr>
        <w:ind w:right="-5"/>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93" w:name="_Toc8662"/>
      <w:r/>
      <w:bookmarkStart w:id="194" w:name="_Toc231820648"/>
      <w:r/>
      <w:bookmarkStart w:id="195" w:name="_Toc1910"/>
      <w:r/>
      <w:bookmarkStart w:id="196" w:name="_Toc3499"/>
      <w:r>
        <w:rPr>
          <w:b/>
          <w:bCs/>
        </w:rPr>
        <w:t xml:space="preserve">3、制造商授权书（如需）</w:t>
      </w:r>
      <w:bookmarkEnd w:id="193"/>
      <w:r/>
      <w:bookmarkEnd w:id="194"/>
      <w:r/>
      <w:bookmarkEnd w:id="195"/>
      <w:r/>
      <w:bookmarkEnd w:id="196"/>
      <w:r/>
      <w:r/>
    </w:p>
    <w:p>
      <w:pPr>
        <w:spacing w:line="360" w:lineRule="auto"/>
        <w:rPr>
          <w:b/>
          <w:color w:val="000000"/>
          <w:szCs w:val="21"/>
        </w:rPr>
      </w:pPr>
      <w:r>
        <w:rPr>
          <w:color w:val="000000"/>
          <w:szCs w:val="21"/>
        </w:rPr>
        <w:t xml:space="preserve">致：</w:t>
      </w:r>
      <w:r>
        <w:rPr>
          <w:color w:val="000000"/>
          <w:szCs w:val="21"/>
          <w:u w:val="single"/>
        </w:rPr>
        <w:t xml:space="preserve">                </w:t>
      </w:r>
      <w:r>
        <w:rPr>
          <w:color w:val="000000"/>
          <w:szCs w:val="21"/>
        </w:rPr>
        <w:t xml:space="preserve"> （采购代理机构）</w:t>
      </w:r>
      <w:r/>
    </w:p>
    <w:p>
      <w:pPr>
        <w:ind w:firstLine="420"/>
        <w:spacing w:line="360" w:lineRule="auto"/>
        <w:rPr>
          <w:color w:val="000000"/>
          <w:szCs w:val="21"/>
        </w:rPr>
      </w:pPr>
      <w:r>
        <w:rPr>
          <w:color w:val="000000"/>
          <w:szCs w:val="21"/>
        </w:rPr>
        <w:t xml:space="preserve">我们 </w:t>
      </w:r>
      <w:r>
        <w:rPr>
          <w:color w:val="000000"/>
          <w:szCs w:val="21"/>
          <w:u w:val="single"/>
        </w:rPr>
        <w:t xml:space="preserve">            </w:t>
      </w:r>
      <w:r>
        <w:rPr>
          <w:color w:val="000000"/>
          <w:szCs w:val="21"/>
        </w:rPr>
        <w:t xml:space="preserve">（制造商名称）是按</w:t>
      </w:r>
      <w:r>
        <w:rPr>
          <w:color w:val="000000"/>
          <w:szCs w:val="21"/>
          <w:u w:val="single"/>
        </w:rPr>
        <w:t xml:space="preserve">    </w:t>
      </w:r>
      <w:r>
        <w:rPr>
          <w:color w:val="000000"/>
          <w:szCs w:val="21"/>
        </w:rPr>
        <w:t xml:space="preserve">（国家名称）法律成立的一家制造商，主要营业地点设在 </w:t>
      </w:r>
      <w:r>
        <w:rPr>
          <w:color w:val="000000"/>
          <w:szCs w:val="21"/>
          <w:u w:val="single"/>
        </w:rPr>
        <w:t xml:space="preserve">          </w:t>
      </w:r>
      <w:r>
        <w:rPr>
          <w:color w:val="000000"/>
          <w:szCs w:val="21"/>
        </w:rPr>
        <w:t xml:space="preserve">（制造商地址）。兹指派按</w:t>
      </w:r>
      <w:r>
        <w:rPr>
          <w:color w:val="000000"/>
          <w:szCs w:val="21"/>
          <w:u w:val="single"/>
        </w:rPr>
        <w:t xml:space="preserve">     </w:t>
      </w:r>
      <w:r>
        <w:rPr>
          <w:color w:val="000000"/>
          <w:szCs w:val="21"/>
        </w:rPr>
        <w:t xml:space="preserve">（国家名称）的法律正式成立的，主要营业地点设在</w:t>
      </w:r>
      <w:r>
        <w:rPr>
          <w:color w:val="000000"/>
          <w:szCs w:val="21"/>
          <w:u w:val="single"/>
        </w:rPr>
        <w:t xml:space="preserve">      </w:t>
      </w:r>
      <w:r>
        <w:rPr>
          <w:color w:val="000000"/>
          <w:szCs w:val="21"/>
        </w:rPr>
        <w:t xml:space="preserve">（贸易公司地址）的 </w:t>
      </w:r>
      <w:r>
        <w:rPr>
          <w:color w:val="000000"/>
          <w:szCs w:val="21"/>
          <w:u w:val="single"/>
        </w:rPr>
        <w:t xml:space="preserve">            </w:t>
      </w:r>
      <w:r>
        <w:rPr>
          <w:color w:val="000000"/>
          <w:szCs w:val="21"/>
        </w:rPr>
        <w:t xml:space="preserve">（贸易公司名称）作为我方真正的和合法的代理人进行下列有效的活动：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w:t>
      </w:r>
      <w:r>
        <w:rPr>
          <w:color w:val="000000"/>
          <w:szCs w:val="21"/>
          <w:u w:val="single"/>
        </w:rPr>
        <w:t xml:space="preserve">     </w:t>
      </w:r>
      <w:r>
        <w:rPr>
          <w:color w:val="000000"/>
          <w:szCs w:val="21"/>
        </w:rPr>
        <w:t xml:space="preserve">号招标文件要求提供的由我方制造的产品的有关事宜，并对我方具有约束力。</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作为制造商，我方保证以公开投标合作者来约束自己，并对该公开投标共同和分别承担响应文件中所规定的义务。</w:t>
      </w:r>
      <w:r/>
    </w:p>
    <w:p>
      <w:pPr>
        <w:ind w:firstLine="420"/>
        <w:spacing w:line="360" w:lineRule="auto"/>
        <w:rPr>
          <w:color w:val="000000"/>
          <w:szCs w:val="21"/>
        </w:rPr>
      </w:pPr>
      <w:r>
        <w:rPr>
          <w:color w:val="000000"/>
          <w:szCs w:val="21"/>
        </w:rPr>
        <w:t xml:space="preserve">我方兹授予</w:t>
      </w:r>
      <w:r>
        <w:rPr>
          <w:color w:val="000000"/>
          <w:szCs w:val="21"/>
          <w:u w:val="single"/>
        </w:rPr>
        <w:t xml:space="preserve">          </w:t>
      </w:r>
      <w:r>
        <w:rPr>
          <w:color w:val="000000"/>
          <w:szCs w:val="21"/>
        </w:rPr>
        <w:t xml:space="preserve">（贸易公司名称）全权办理和履行上述我方为完成上述各点所必须的事宜，具有替换或撤销的全权。兹确认</w:t>
      </w:r>
      <w:r>
        <w:rPr>
          <w:color w:val="000000"/>
          <w:szCs w:val="21"/>
          <w:u w:val="single"/>
        </w:rPr>
        <w:t xml:space="preserve">           </w:t>
      </w:r>
      <w:r>
        <w:rPr>
          <w:color w:val="000000"/>
          <w:szCs w:val="21"/>
        </w:rPr>
        <w:t xml:space="preserve"> （贸易公司名称）或其正式授权代表依此合法地办理一切事宜。</w:t>
      </w:r>
      <w:r/>
    </w:p>
    <w:p>
      <w:pPr>
        <w:ind w:firstLine="480"/>
        <w:spacing w:line="360" w:lineRule="auto"/>
        <w:rPr>
          <w:color w:val="000000"/>
          <w:szCs w:val="21"/>
        </w:rPr>
      </w:pPr>
      <w:r>
        <w:rPr>
          <w:color w:val="000000"/>
          <w:szCs w:val="21"/>
        </w:rPr>
        <w:t xml:space="preserve">我方于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日签署本文件，</w:t>
      </w:r>
      <w:r>
        <w:rPr>
          <w:color w:val="000000"/>
          <w:szCs w:val="21"/>
          <w:u w:val="single"/>
        </w:rPr>
        <w:t xml:space="preserve">          </w:t>
      </w:r>
      <w:r>
        <w:rPr>
          <w:color w:val="000000"/>
          <w:szCs w:val="21"/>
        </w:rPr>
        <w:t xml:space="preserve">（贸易公司名称）于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color w:val="000000"/>
          <w:szCs w:val="21"/>
          <w:u w:val="single"/>
        </w:rPr>
        <w:t xml:space="preserve">         </w:t>
      </w:r>
      <w:r>
        <w:rPr>
          <w:b/>
          <w:color w:val="000000"/>
          <w:szCs w:val="21"/>
        </w:rPr>
        <w:t xml:space="preserve">（盖章）</w:t>
      </w:r>
      <w:r/>
    </w:p>
    <w:p>
      <w:pPr>
        <w:spacing w:line="360" w:lineRule="auto"/>
        <w:rPr>
          <w:b/>
          <w:bCs/>
          <w:color w:val="000000"/>
          <w:szCs w:val="21"/>
        </w:rPr>
      </w:pPr>
      <w:r>
        <w:rPr>
          <w:color w:val="000000"/>
          <w:szCs w:val="21"/>
        </w:rPr>
        <w:t xml:space="preserve">签字人姓名</w:t>
      </w:r>
      <w:r>
        <w:rPr>
          <w:color w:val="000000"/>
          <w:szCs w:val="21"/>
          <w:u w:val="single"/>
        </w:rPr>
        <w:t xml:space="preserve">         </w:t>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97" w:name="_Toc19702"/>
      <w:r/>
      <w:bookmarkStart w:id="198" w:name="_Toc231820649"/>
      <w:r/>
      <w:bookmarkStart w:id="199" w:name="_Toc3078"/>
      <w:r/>
      <w:bookmarkStart w:id="200" w:name="_Toc113527862"/>
      <w:r/>
      <w:bookmarkStart w:id="201" w:name="_Toc24273"/>
      <w:r>
        <w:rPr>
          <w:b/>
          <w:bCs/>
        </w:rPr>
        <w:t xml:space="preserve">4、具有良好的商业信誉和健全的财务会计制度</w:t>
      </w:r>
      <w:bookmarkEnd w:id="197"/>
      <w:r/>
      <w:bookmarkEnd w:id="198"/>
      <w:r/>
      <w:bookmarkEnd w:id="199"/>
      <w:r/>
      <w:bookmarkEnd w:id="200"/>
      <w:r/>
      <w:bookmarkEnd w:id="201"/>
      <w:r/>
      <w:r/>
    </w:p>
    <w:p>
      <w:pPr>
        <w:ind w:left="-2" w:right="-5"/>
        <w:spacing w:line="360" w:lineRule="auto"/>
        <w:rPr>
          <w:color w:val="000000"/>
          <w:szCs w:val="21"/>
        </w:rPr>
      </w:pPr>
      <w:r>
        <w:rPr>
          <w:color w:val="000000"/>
          <w:szCs w:val="21"/>
        </w:rPr>
      </w:r>
      <w:r/>
    </w:p>
    <w:p>
      <w:pPr>
        <w:jc w:val="left"/>
        <w:spacing w:line="360" w:lineRule="auto"/>
        <w:rPr>
          <w:color w:val="000000"/>
          <w:szCs w:val="21"/>
          <w:lang w:val="zh-CN"/>
        </w:rPr>
      </w:pPr>
      <w:r>
        <w:rPr>
          <w:szCs w:val="21"/>
        </w:rPr>
        <w:t xml:space="preserve">提供距开标时间十二个月内任意一月份的财务状况报告（至少包括资产负债表和利润表）（法人或者其他组织成立未满三个月的可以不提供）或其银行出具的资信证书（复印件）（开标前十二个月内），或其上一年度经审计的财务报告复印件，加盖公章</w:t>
      </w:r>
      <w:r>
        <w:rPr>
          <w:color w:val="000000"/>
          <w:szCs w:val="21"/>
          <w:lang w:val="zh-CN"/>
        </w:rPr>
        <w:t xml:space="preserve">。</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02" w:name="_Toc113527863"/>
      <w:r/>
      <w:bookmarkStart w:id="203" w:name="_Toc231820650"/>
      <w:r/>
      <w:bookmarkStart w:id="204" w:name="_Toc385"/>
      <w:r/>
      <w:bookmarkStart w:id="205" w:name="_Toc23961"/>
      <w:r/>
      <w:bookmarkStart w:id="206" w:name="_Toc15262"/>
      <w:r>
        <w:rPr>
          <w:b/>
          <w:bCs/>
        </w:rPr>
        <w:t xml:space="preserve">5、具有履行合同所必需的设备和专业技术能力</w:t>
      </w:r>
      <w:bookmarkEnd w:id="202"/>
      <w:r/>
      <w:bookmarkEnd w:id="203"/>
      <w:r/>
      <w:bookmarkEnd w:id="204"/>
      <w:r/>
      <w:bookmarkEnd w:id="205"/>
      <w:r/>
      <w:bookmarkEnd w:id="206"/>
      <w:r/>
      <w:r/>
    </w:p>
    <w:p>
      <w:pPr>
        <w:jc w:val="left"/>
        <w:spacing w:line="360" w:lineRule="auto"/>
        <w:rPr>
          <w:color w:val="000000"/>
          <w:szCs w:val="21"/>
        </w:rPr>
      </w:pPr>
      <w:r>
        <w:rPr>
          <w:color w:val="000000"/>
          <w:szCs w:val="21"/>
        </w:rPr>
        <w:t xml:space="preserve">根据项目需求提供履行合同所必需的设备和专业技术能力的证明材料或相关加盖公章的承诺函，承诺函自行编写。</w:t>
      </w:r>
      <w:r/>
    </w:p>
    <w:p>
      <w:pPr>
        <w:jc w:val="left"/>
        <w:spacing w:line="360" w:lineRule="auto"/>
        <w:rPr>
          <w:color w:val="000000"/>
          <w:szCs w:val="21"/>
        </w:rPr>
      </w:pPr>
      <w:r>
        <w:rPr>
          <w:color w:val="000000"/>
          <w:szCs w:val="21"/>
        </w:rPr>
      </w:r>
      <w:r/>
    </w:p>
    <w:p>
      <w:pPr>
        <w:jc w:val="left"/>
        <w:widowControl/>
      </w:pPr>
      <w:r>
        <w:rPr>
          <w:color w:val="000000"/>
          <w:sz w:val="20"/>
        </w:rPr>
        <w:t xml:space="preserve">承诺函参考格式： </w:t>
      </w:r>
      <w:r/>
    </w:p>
    <w:p>
      <w:pPr>
        <w:jc w:val="left"/>
        <w:widowControl/>
        <w:rPr>
          <w:b/>
          <w:bCs/>
          <w:color w:val="000000"/>
          <w:sz w:val="20"/>
        </w:rPr>
      </w:pPr>
      <w:r>
        <w:rPr>
          <w:b/>
          <w:bCs/>
          <w:color w:val="000000"/>
          <w:sz w:val="20"/>
        </w:rPr>
      </w:r>
      <w:r/>
    </w:p>
    <w:p>
      <w:pPr>
        <w:jc w:val="center"/>
        <w:widowControl/>
        <w:rPr>
          <w:b/>
          <w:bCs/>
          <w:color w:val="000000"/>
          <w:sz w:val="20"/>
        </w:rPr>
      </w:pPr>
      <w:r>
        <w:rPr>
          <w:b/>
          <w:bCs/>
          <w:color w:val="000000"/>
          <w:sz w:val="20"/>
        </w:rPr>
      </w:r>
      <w:r/>
    </w:p>
    <w:p>
      <w:pPr>
        <w:jc w:val="center"/>
        <w:widowControl/>
        <w:rPr>
          <w:b/>
          <w:bCs/>
          <w:color w:val="000000"/>
          <w:sz w:val="20"/>
        </w:rPr>
      </w:pPr>
      <w:r>
        <w:rPr>
          <w:b/>
          <w:bCs/>
          <w:color w:val="000000"/>
          <w:sz w:val="20"/>
        </w:rPr>
        <w:t xml:space="preserve">承诺函</w:t>
      </w:r>
      <w:r/>
    </w:p>
    <w:p>
      <w:pPr>
        <w:ind w:left="420" w:firstLine="420"/>
        <w:spacing w:after="120"/>
        <w:rPr>
          <w:b/>
          <w:bCs/>
          <w:color w:val="000000"/>
          <w:sz w:val="20"/>
        </w:rPr>
      </w:pPr>
      <w:r>
        <w:rPr>
          <w:b/>
          <w:bCs/>
          <w:color w:val="000000"/>
          <w:sz w:val="20"/>
        </w:rPr>
      </w:r>
      <w:r/>
    </w:p>
    <w:p>
      <w:pPr>
        <w:jc w:val="center"/>
        <w:widowControl/>
      </w:pPr>
      <w:r>
        <w:rPr>
          <w:color w:val="000000"/>
          <w:sz w:val="20"/>
        </w:rPr>
        <w:t xml:space="preserve">我单位承诺：具有履行合同所必需的设备和专业技术能力。</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07" w:name="_Toc231820651"/>
      <w:r/>
      <w:bookmarkStart w:id="208" w:name="_Toc17836"/>
      <w:r/>
      <w:bookmarkStart w:id="209" w:name="_Toc18889"/>
      <w:r/>
      <w:bookmarkStart w:id="210" w:name="_Toc113527864"/>
      <w:r/>
      <w:bookmarkStart w:id="211" w:name="_Toc1099"/>
      <w:r>
        <w:rPr>
          <w:b/>
          <w:bCs/>
        </w:rPr>
        <w:t xml:space="preserve">6、参加政府采购活动近三年内（成立时间不足三年的、自成立时间起），在经营活动中没有重大违法记录</w:t>
      </w:r>
      <w:bookmarkEnd w:id="207"/>
      <w:r/>
      <w:bookmarkEnd w:id="208"/>
      <w:r/>
      <w:bookmarkEnd w:id="209"/>
      <w:r/>
      <w:bookmarkEnd w:id="210"/>
      <w:r/>
      <w:bookmarkEnd w:id="211"/>
      <w:r/>
      <w:r/>
    </w:p>
    <w:p>
      <w:pPr>
        <w:jc w:val="center"/>
        <w:spacing w:line="360" w:lineRule="auto"/>
        <w:rPr>
          <w:b/>
          <w:bCs/>
        </w:rPr>
      </w:pPr>
      <w:r>
        <w:rPr>
          <w:b/>
          <w:bCs/>
        </w:rPr>
      </w:r>
      <w:r/>
    </w:p>
    <w:p>
      <w:pPr>
        <w:jc w:val="center"/>
        <w:spacing w:line="360" w:lineRule="auto"/>
        <w:rPr>
          <w:b/>
          <w:bCs/>
        </w:rPr>
      </w:pPr>
      <w:r>
        <w:rPr>
          <w:b/>
          <w:bCs/>
        </w:rPr>
      </w:r>
      <w:r/>
    </w:p>
    <w:p>
      <w:pPr>
        <w:jc w:val="center"/>
        <w:spacing w:line="360" w:lineRule="auto"/>
        <w:rPr>
          <w:b/>
          <w:bCs/>
        </w:rPr>
      </w:pPr>
      <w:r>
        <w:rPr>
          <w:b/>
          <w:bCs/>
        </w:rPr>
        <w:t xml:space="preserve">无重大违法记录声明</w:t>
      </w:r>
      <w:r/>
    </w:p>
    <w:p>
      <w:pPr>
        <w:spacing w:line="360" w:lineRule="auto"/>
        <w:rPr>
          <w:szCs w:val="21"/>
        </w:rPr>
      </w:pPr>
      <w:r>
        <w:rPr>
          <w:szCs w:val="21"/>
        </w:rPr>
      </w:r>
      <w:r/>
    </w:p>
    <w:p>
      <w:pPr>
        <w:spacing w:before="6" w:line="360" w:lineRule="auto"/>
        <w:rPr>
          <w:szCs w:val="21"/>
        </w:rPr>
      </w:pPr>
      <w:r>
        <w:rPr>
          <w:szCs w:val="21"/>
        </w:rPr>
      </w:r>
      <w:r/>
    </w:p>
    <w:p>
      <w:pPr>
        <w:ind w:left="598"/>
        <w:spacing w:line="360" w:lineRule="auto"/>
        <w:rPr>
          <w:szCs w:val="21"/>
        </w:rPr>
      </w:pPr>
      <w:r>
        <w:rPr>
          <w:szCs w:val="21"/>
        </w:rPr>
        <w:t xml:space="preserve">江苏美达机电贸易有限公司：</w:t>
      </w:r>
      <w:r/>
    </w:p>
    <w:p>
      <w:pPr>
        <w:spacing w:line="360" w:lineRule="auto"/>
        <w:rPr>
          <w:szCs w:val="21"/>
        </w:rPr>
      </w:pPr>
      <w:r>
        <w:rPr>
          <w:szCs w:val="21"/>
        </w:rPr>
      </w:r>
      <w:r/>
    </w:p>
    <w:p>
      <w:pPr>
        <w:spacing w:line="360" w:lineRule="auto"/>
        <w:rPr>
          <w:szCs w:val="21"/>
        </w:rPr>
      </w:pPr>
      <w:r>
        <w:rPr>
          <w:szCs w:val="21"/>
        </w:rPr>
      </w:r>
      <w:r/>
    </w:p>
    <w:p>
      <w:pPr>
        <w:ind w:left="1018"/>
        <w:spacing w:before="154" w:line="360" w:lineRule="auto"/>
        <w:rPr>
          <w:szCs w:val="21"/>
        </w:rPr>
      </w:pPr>
      <w:r>
        <w:rPr>
          <w:szCs w:val="21"/>
        </w:rPr>
        <w:t xml:space="preserve">我单位（供应商名称）郑重声明：</w:t>
      </w:r>
      <w:r/>
    </w:p>
    <w:p>
      <w:pPr>
        <w:spacing w:before="10" w:line="360" w:lineRule="auto"/>
        <w:rPr>
          <w:szCs w:val="21"/>
        </w:rPr>
      </w:pPr>
      <w:r>
        <w:rPr>
          <w:szCs w:val="21"/>
        </w:rPr>
      </w:r>
      <w:r/>
    </w:p>
    <w:p>
      <w:pPr>
        <w:ind w:left="598" w:right="583" w:firstLine="420"/>
        <w:jc w:val="left"/>
        <w:spacing w:line="360" w:lineRule="auto"/>
        <w:rPr>
          <w:szCs w:val="21"/>
        </w:rPr>
      </w:pPr>
      <w:r>
        <w:rPr>
          <w:spacing w:val="7"/>
          <w:szCs w:val="21"/>
        </w:rPr>
        <w:t xml:space="preserve">参加政府采购活动前3</w:t>
      </w:r>
      <w:r>
        <w:rPr>
          <w:spacing w:val="6"/>
          <w:szCs w:val="21"/>
        </w:rPr>
        <w:t xml:space="preserve">年内在经营活动中</w:t>
      </w:r>
      <w:r>
        <w:rPr>
          <w:spacing w:val="6"/>
          <w:szCs w:val="21"/>
          <w:u w:val="single"/>
        </w:rPr>
        <w:t xml:space="preserve">      </w:t>
      </w:r>
      <w:r>
        <w:rPr>
          <w:spacing w:val="6"/>
          <w:szCs w:val="21"/>
        </w:rPr>
        <w:t xml:space="preserve">（在下划线上如实填写 “有”或“没有”）</w:t>
      </w:r>
      <w:r>
        <w:rPr>
          <w:spacing w:val="1"/>
          <w:szCs w:val="21"/>
        </w:rPr>
        <w:t xml:space="preserve">重大违法记录。</w:t>
      </w:r>
      <w:r/>
    </w:p>
    <w:p>
      <w:pPr>
        <w:ind w:left="598" w:right="597" w:firstLine="314"/>
        <w:spacing w:before="9" w:line="360" w:lineRule="auto"/>
        <w:rPr>
          <w:szCs w:val="21"/>
        </w:rPr>
      </w:pPr>
      <w:r>
        <w:rPr>
          <w:szCs w:val="21"/>
        </w:rPr>
        <w:t xml:space="preserve">（说明：政府采购法第二十二条第一款第五项所称重大违法记录，是指供应商因违法经营受到刑事处罚或者责令停产停业、吊销许可证或者执照、较大数额罚款等行政处罚。）</w:t>
      </w:r>
      <w:r/>
    </w:p>
    <w:p>
      <w:pPr>
        <w:ind w:left="420" w:right="597" w:firstLine="314"/>
        <w:spacing w:before="9"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spacing w:line="360" w:lineRule="auto"/>
        <w:rPr>
          <w:color w:val="000000"/>
          <w:szCs w:val="21"/>
        </w:rPr>
      </w:pPr>
      <w:r>
        <w:rPr>
          <w:color w:val="000000"/>
          <w:szCs w:val="21"/>
        </w:rPr>
        <w:t xml:space="preserve">供应商名称（公章）：</w:t>
      </w:r>
      <w:r/>
    </w:p>
    <w:p>
      <w:pPr>
        <w:spacing w:line="360" w:lineRule="auto"/>
        <w:rPr>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t xml:space="preserve">日期：</w:t>
      </w:r>
      <w:r/>
    </w:p>
    <w:p>
      <w:pPr>
        <w:spacing w:line="360" w:lineRule="auto"/>
        <w:rPr>
          <w:b/>
          <w:bCs/>
        </w:rPr>
      </w:pPr>
      <w:r/>
      <w:bookmarkStart w:id="212" w:name="_Toc13811"/>
      <w:r/>
      <w:bookmarkStart w:id="213" w:name="_Toc18345"/>
      <w:r/>
      <w:bookmarkStart w:id="214" w:name="_Toc3968"/>
      <w:r/>
      <w:bookmarkStart w:id="215" w:name="_Toc113527865"/>
      <w:r/>
      <w:bookmarkStart w:id="216" w:name="_Toc231820652"/>
      <w:r>
        <w:rPr>
          <w:b/>
          <w:bCs/>
        </w:rPr>
        <w:t xml:space="preserve">7、依法缴纳税收的记录</w:t>
      </w:r>
      <w:bookmarkEnd w:id="212"/>
      <w:r/>
      <w:bookmarkEnd w:id="213"/>
      <w:r/>
      <w:bookmarkEnd w:id="214"/>
      <w:r/>
      <w:bookmarkEnd w:id="215"/>
      <w:r/>
      <w:bookmarkEnd w:id="216"/>
      <w:r/>
      <w:r/>
    </w:p>
    <w:p>
      <w:pPr>
        <w:spacing w:line="360" w:lineRule="auto"/>
        <w:rPr>
          <w:color w:val="000000"/>
          <w:szCs w:val="21"/>
        </w:rPr>
      </w:pPr>
      <w:r>
        <w:rPr>
          <w:color w:val="000000"/>
          <w:szCs w:val="21"/>
        </w:rPr>
        <w:t xml:space="preserve">提供所属时期为距开标时间六个月内任意一月份的税收完税证明等相关证明材料复印件加盖公章（提供材料须体现所属时期，依法免税的应提供相应文件说明）。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17" w:name="_Toc231820653"/>
      <w:r/>
      <w:bookmarkStart w:id="218" w:name="_Toc8843"/>
      <w:r/>
      <w:bookmarkStart w:id="219" w:name="_Toc113527866"/>
      <w:r/>
      <w:bookmarkStart w:id="220" w:name="_Toc28812"/>
      <w:r/>
      <w:bookmarkStart w:id="221" w:name="_Toc17181"/>
      <w:r>
        <w:rPr>
          <w:b/>
          <w:bCs/>
        </w:rPr>
        <w:t xml:space="preserve">8、依法缴纳社会保障资金的记录</w:t>
      </w:r>
      <w:bookmarkEnd w:id="217"/>
      <w:r/>
      <w:bookmarkEnd w:id="218"/>
      <w:r/>
      <w:bookmarkEnd w:id="219"/>
      <w:r/>
      <w:bookmarkEnd w:id="220"/>
      <w:r/>
      <w:bookmarkEnd w:id="221"/>
      <w:r/>
      <w:r/>
    </w:p>
    <w:p>
      <w:pPr>
        <w:spacing w:line="360" w:lineRule="auto"/>
        <w:rPr>
          <w:color w:val="000000"/>
          <w:szCs w:val="21"/>
        </w:rPr>
      </w:pPr>
      <w:r>
        <w:rPr>
          <w:color w:val="000000"/>
          <w:szCs w:val="21"/>
        </w:rPr>
        <w:t xml:space="preserve">提供</w:t>
      </w:r>
      <w:r>
        <w:rPr>
          <w:b/>
          <w:bCs/>
          <w:color w:val="000000"/>
          <w:szCs w:val="21"/>
        </w:rPr>
        <w:t xml:space="preserve">所属时期</w:t>
      </w:r>
      <w:r>
        <w:rPr>
          <w:color w:val="000000"/>
          <w:szCs w:val="21"/>
        </w:rPr>
        <w:t xml:space="preserve">为距开标时间六个月内任意一月份的依法缴纳社会保障资金的凭据复印件加盖公章（</w:t>
      </w:r>
      <w:r>
        <w:rPr>
          <w:szCs w:val="21"/>
        </w:rPr>
        <w:t xml:space="preserve">提供材料须体现</w:t>
      </w:r>
      <w:r>
        <w:rPr>
          <w:b/>
          <w:bCs/>
          <w:szCs w:val="21"/>
        </w:rPr>
        <w:t xml:space="preserve">所属时期</w:t>
      </w:r>
      <w:r>
        <w:rPr>
          <w:szCs w:val="21"/>
        </w:rPr>
        <w:t xml:space="preserve">，</w:t>
      </w:r>
      <w:r>
        <w:rPr>
          <w:color w:val="000000"/>
          <w:szCs w:val="21"/>
        </w:rPr>
        <w:t xml:space="preserve">凭据可以是缴费的银行单据、专用收据、社会保险缴纳清单或者所在社保机构开具的证明等，自行编写无效，依法不需要缴纳社会保障资金的应提供相应文件说明）。</w:t>
      </w:r>
      <w:r/>
    </w:p>
    <w:p>
      <w:pP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sectPr>
          <w:footerReference w:type="first" r:id="rId17"/>
          <w:footnotePr/>
          <w:endnotePr/>
          <w:type w:val="nextPage"/>
          <w:pgSz w:w="11906" w:h="16838" w:orient="portrait"/>
          <w:pgMar w:top="1134" w:right="1134" w:bottom="1083" w:left="1134" w:header="851" w:footer="992" w:gutter="0"/>
          <w:cols w:num="1" w:sep="0" w:space="720" w:equalWidth="1"/>
          <w:docGrid w:linePitch="360"/>
        </w:sectPr>
      </w:pPr>
      <w:r>
        <w:rPr>
          <w:b/>
          <w:color w:val="000000"/>
          <w:szCs w:val="21"/>
        </w:rPr>
      </w:r>
      <w:r/>
    </w:p>
    <w:p>
      <w:pPr>
        <w:spacing w:line="360" w:lineRule="auto"/>
        <w:rPr>
          <w:b/>
          <w:bCs/>
        </w:rPr>
      </w:pPr>
      <w:r/>
      <w:bookmarkStart w:id="222" w:name="_Toc29638"/>
      <w:r/>
      <w:bookmarkStart w:id="223" w:name="_Toc9645"/>
      <w:r/>
      <w:bookmarkStart w:id="224" w:name="_Toc113527867"/>
      <w:r/>
      <w:bookmarkStart w:id="225" w:name="_Toc23117"/>
      <w:r/>
      <w:bookmarkStart w:id="226" w:name="_Toc231820654"/>
      <w:r>
        <w:rPr>
          <w:b/>
          <w:bCs/>
        </w:rPr>
        <w:t xml:space="preserve">9、</w:t>
      </w:r>
      <w:bookmarkEnd w:id="222"/>
      <w:r/>
      <w:bookmarkEnd w:id="223"/>
      <w:r/>
      <w:bookmarkEnd w:id="224"/>
      <w:r/>
      <w:bookmarkEnd w:id="225"/>
      <w:r>
        <w:rPr>
          <w:b/>
          <w:bCs/>
        </w:rPr>
        <w:t xml:space="preserve">未被“信用中国”网站(www.creditchina.gov.cn)、“中国政府采购网”(www.ccgp.gov.cn)列入失信被执行人、重大税收违法案件当事人名单、政府采购严重失信行为记录名单的截图。</w:t>
      </w:r>
      <w:bookmarkEnd w:id="226"/>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right="-5"/>
        <w:spacing w:line="360" w:lineRule="auto"/>
        <w:rPr>
          <w:b/>
          <w:color w:val="000000"/>
          <w:szCs w:val="21"/>
        </w:rPr>
      </w:pPr>
      <w:r>
        <w:rPr>
          <w:b/>
          <w:color w:val="000000"/>
          <w:szCs w:val="21"/>
        </w:rPr>
      </w:r>
      <w:r/>
    </w:p>
    <w:p>
      <w:pPr>
        <w:spacing w:line="360" w:lineRule="auto"/>
        <w:rPr>
          <w:b/>
          <w:bCs/>
          <w:color w:val="000000"/>
          <w:szCs w:val="21"/>
        </w:rPr>
      </w:pPr>
      <w:r/>
      <w:bookmarkStart w:id="227" w:name="_Toc20105"/>
      <w:r>
        <w:rPr>
          <w:b/>
          <w:bCs/>
          <w:color w:val="000000"/>
          <w:szCs w:val="21"/>
        </w:rPr>
        <w:br w:type="page" w:clear="all"/>
      </w:r>
      <w:r/>
    </w:p>
    <w:p>
      <w:pPr>
        <w:spacing w:line="360" w:lineRule="auto"/>
        <w:rPr>
          <w:b/>
          <w:bCs/>
        </w:rPr>
      </w:pPr>
      <w:r/>
      <w:bookmarkStart w:id="228" w:name="_Toc231820655"/>
      <w:r/>
      <w:bookmarkStart w:id="229" w:name="_Toc113527868"/>
      <w:r/>
      <w:bookmarkStart w:id="230" w:name="_Toc3374"/>
      <w:r/>
      <w:bookmarkStart w:id="231" w:name="_Toc19453"/>
      <w:r>
        <w:rPr>
          <w:b/>
          <w:bCs/>
        </w:rPr>
        <w:t xml:space="preserve">10、其他资格要求承诺函</w:t>
      </w:r>
      <w:bookmarkEnd w:id="228"/>
      <w:r/>
      <w:r/>
    </w:p>
    <w:p>
      <w:pPr>
        <w:ind w:firstLine="420"/>
        <w:jc w:val="center"/>
        <w:spacing w:line="360" w:lineRule="auto"/>
      </w:pPr>
      <w:r/>
      <w:bookmarkStart w:id="232" w:name="_Toc231820656"/>
      <w:r/>
      <w:r/>
    </w:p>
    <w:p>
      <w:pPr>
        <w:ind w:firstLine="420"/>
        <w:jc w:val="center"/>
        <w:spacing w:line="360" w:lineRule="auto"/>
      </w:pPr>
      <w:r>
        <w:t xml:space="preserve">我单位承诺：</w:t>
      </w:r>
      <w:bookmarkEnd w:id="232"/>
      <w:r/>
      <w:r/>
    </w:p>
    <w:p>
      <w:pPr>
        <w:ind w:firstLine="420"/>
        <w:spacing w:line="360" w:lineRule="auto"/>
      </w:pPr>
      <w:r/>
      <w:bookmarkStart w:id="233" w:name="_Toc231820657"/>
      <w:r>
        <w:t xml:space="preserve">1、 我单位独立参加本项目采购活动，未与其他潜在供应商组成联合体响应。未提供进口产品投标。</w:t>
      </w:r>
      <w:bookmarkEnd w:id="233"/>
      <w:r/>
      <w:r/>
    </w:p>
    <w:p>
      <w:pPr>
        <w:ind w:firstLine="420"/>
        <w:spacing w:line="360" w:lineRule="auto"/>
      </w:pPr>
      <w:r/>
      <w:bookmarkStart w:id="234" w:name="_Toc231820658"/>
      <w:r>
        <w:t xml:space="preserve">2、我单位参加本次采购活动，遵守并符合以下要求：</w:t>
      </w:r>
      <w:bookmarkEnd w:id="234"/>
      <w:r/>
      <w:r/>
    </w:p>
    <w:p>
      <w:pPr>
        <w:ind w:firstLine="420"/>
        <w:spacing w:line="360" w:lineRule="auto"/>
      </w:pPr>
      <w:r/>
      <w:bookmarkStart w:id="235" w:name="_Toc231820659"/>
      <w: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bookmarkEnd w:id="235"/>
      <w:r/>
      <w:r/>
    </w:p>
    <w:p>
      <w:pPr>
        <w:ind w:firstLine="420"/>
        <w:spacing w:line="360" w:lineRule="auto"/>
      </w:pPr>
      <w:r/>
      <w:bookmarkStart w:id="236" w:name="_Toc231820660"/>
      <w:r>
        <w:t xml:space="preserve">（2）凡为采购项目提供整体设计、规范编制或者项目管理、监理、检测等服务的供应商，不得再参加本项目的采购活动；我单位不存在为采购项目提供整体设计、规范编制或者项目管理、监理、检测等服务的情形。</w:t>
      </w:r>
      <w:bookmarkEnd w:id="236"/>
      <w:r/>
      <w:r/>
    </w:p>
    <w:p>
      <w:pPr>
        <w:ind w:firstLine="420"/>
        <w:spacing w:line="360" w:lineRule="auto"/>
      </w:pPr>
      <w:r/>
      <w:bookmarkStart w:id="237" w:name="_Toc231820661"/>
      <w:r>
        <w:t xml:space="preserve">（3）公益一类事业单位、使用事业编制且由财政拨款保障的群团组织，不得参加本项目的采购活动；我单位性质不属于此类情况。</w:t>
      </w:r>
      <w:bookmarkEnd w:id="237"/>
      <w:r/>
      <w:r/>
    </w:p>
    <w:p>
      <w:pPr>
        <w:ind w:firstLine="420"/>
        <w:spacing w:line="360" w:lineRule="auto"/>
      </w:pPr>
      <w:r/>
      <w:bookmarkStart w:id="238" w:name="_Toc231820662"/>
      <w:r>
        <w:t xml:space="preserve">特此承诺。</w:t>
      </w:r>
      <w:bookmarkEnd w:id="238"/>
      <w:r/>
      <w:r/>
    </w:p>
    <w:p>
      <w:pPr>
        <w:ind w:firstLine="420"/>
        <w:spacing w:line="360" w:lineRule="auto"/>
      </w:pPr>
      <w:r/>
      <w:r/>
    </w:p>
    <w:p>
      <w:pPr>
        <w:ind w:firstLine="420"/>
        <w:spacing w:line="360" w:lineRule="auto"/>
      </w:pPr>
      <w:r/>
      <w:r/>
    </w:p>
    <w:p>
      <w:pPr>
        <w:ind w:firstLine="420"/>
        <w:spacing w:line="360" w:lineRule="auto"/>
      </w:pPr>
      <w:r>
        <w:t xml:space="preserve">供应商名称（公章）：</w:t>
      </w:r>
      <w:r/>
    </w:p>
    <w:p>
      <w:pPr>
        <w:ind w:firstLine="420"/>
        <w:spacing w:line="360" w:lineRule="auto"/>
      </w:pPr>
      <w: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bookmarkStart w:id="239" w:name="_Toc231820663"/>
      <w:r>
        <w:rPr>
          <w:b/>
          <w:bCs/>
        </w:rPr>
        <w:t xml:space="preserve">11、供应商认为其需要提供的其他资格证明文件。</w:t>
      </w:r>
      <w:bookmarkEnd w:id="227"/>
      <w:r/>
      <w:bookmarkEnd w:id="229"/>
      <w:r/>
      <w:bookmarkEnd w:id="230"/>
      <w:r/>
      <w:bookmarkEnd w:id="231"/>
      <w:r/>
      <w:bookmarkEnd w:id="239"/>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spacing w:line="360" w:lineRule="auto"/>
        <w:rPr>
          <w:b/>
          <w:bCs/>
          <w:color w:val="000000"/>
          <w:szCs w:val="21"/>
          <w:lang w:val="zh-CN"/>
        </w:rPr>
      </w:pPr>
      <w:r>
        <w:rPr>
          <w:b/>
          <w:color w:val="000000"/>
          <w:szCs w:val="21"/>
        </w:rPr>
        <w:br w:type="page" w:clear="all"/>
      </w:r>
      <w:bookmarkStart w:id="240" w:name="_Toc21790"/>
      <w:r/>
      <w:bookmarkStart w:id="241" w:name="_Toc22079"/>
      <w:r/>
      <w:bookmarkStart w:id="242" w:name="_Toc5506"/>
      <w:r/>
      <w:bookmarkEnd w:id="240"/>
      <w:r/>
      <w:bookmarkEnd w:id="241"/>
      <w:r/>
      <w:bookmarkEnd w:id="242"/>
      <w:r/>
      <w:r/>
    </w:p>
    <w:p>
      <w:pPr>
        <w:spacing w:line="360" w:lineRule="auto"/>
        <w:rPr>
          <w:b/>
          <w:bCs/>
        </w:rPr>
        <w:outlineLvl w:val="1"/>
      </w:pPr>
      <w:r/>
      <w:bookmarkStart w:id="243" w:name="_Toc231822754"/>
      <w:r>
        <w:rPr>
          <w:b/>
          <w:bCs/>
        </w:rPr>
        <w:t xml:space="preserve">附件十 其他相关文件</w:t>
      </w:r>
      <w:bookmarkEnd w:id="243"/>
      <w:r/>
      <w:r/>
    </w:p>
    <w:p>
      <w:pPr>
        <w:spacing w:line="360" w:lineRule="auto"/>
        <w:rPr>
          <w:b/>
          <w:color w:val="000000"/>
          <w:szCs w:val="21"/>
          <w:lang w:val="zh-CN"/>
        </w:rPr>
      </w:pPr>
      <w:r>
        <w:rPr>
          <w:b/>
          <w:color w:val="000000"/>
          <w:szCs w:val="21"/>
          <w:lang w:val="zh-CN"/>
        </w:rPr>
      </w:r>
      <w:r/>
    </w:p>
    <w:p>
      <w:pPr>
        <w:spacing w:line="360" w:lineRule="auto"/>
        <w:rPr>
          <w:b/>
          <w:color w:val="000000"/>
          <w:szCs w:val="21"/>
          <w:lang w:val="zh-CN"/>
        </w:rPr>
      </w:pPr>
      <w:r>
        <w:rPr>
          <w:color w:val="000000"/>
          <w:szCs w:val="21"/>
        </w:rPr>
        <w:t xml:space="preserve">注：须授权代表签字或加盖投标单位公章</w:t>
      </w:r>
      <w:r/>
    </w:p>
    <w:p>
      <w:pPr>
        <w:spacing w:line="360" w:lineRule="auto"/>
        <w:rPr>
          <w:b/>
          <w:color w:val="000000"/>
          <w:szCs w:val="21"/>
          <w:lang w:val="zh-CN"/>
        </w:rPr>
      </w:pPr>
      <w:r>
        <w:rPr>
          <w:b/>
          <w:color w:val="000000"/>
          <w:szCs w:val="21"/>
          <w:lang w:val="zh-CN"/>
        </w:rPr>
      </w:r>
      <w:r/>
    </w:p>
    <w:p>
      <w:pPr>
        <w:spacing w:line="360" w:lineRule="auto"/>
        <w:rPr>
          <w:color w:val="000000"/>
          <w:szCs w:val="21"/>
        </w:rPr>
      </w:pPr>
      <w:r>
        <w:rPr>
          <w:color w:val="000000"/>
          <w:szCs w:val="21"/>
        </w:rPr>
        <w:t xml:space="preserve">1、投标产品配置清单及技术说明</w:t>
      </w:r>
      <w:r/>
    </w:p>
    <w:p>
      <w:pPr>
        <w:spacing w:line="360" w:lineRule="auto"/>
        <w:rPr>
          <w:color w:val="000000"/>
          <w:szCs w:val="21"/>
        </w:rPr>
      </w:pPr>
      <w:r>
        <w:rPr>
          <w:color w:val="000000"/>
          <w:szCs w:val="21"/>
        </w:rPr>
      </w:r>
      <w:r/>
    </w:p>
    <w:p>
      <w:pPr>
        <w:ind w:right="-5"/>
        <w:spacing w:line="360" w:lineRule="auto"/>
        <w:rPr>
          <w:color w:val="000000"/>
          <w:szCs w:val="21"/>
        </w:rPr>
      </w:pPr>
      <w:r>
        <w:rPr>
          <w:color w:val="000000"/>
          <w:szCs w:val="21"/>
        </w:rPr>
        <w:t xml:space="preserve">2、公开招标设备</w:t>
      </w:r>
      <w:r>
        <w:rPr>
          <w:szCs w:val="21"/>
        </w:rPr>
        <w:t xml:space="preserve">质保期内（外）的备品备件明细折扣表</w:t>
      </w:r>
      <w:r/>
    </w:p>
    <w:tbl>
      <w:tblPr>
        <w:tblStyle w:val="1325"/>
        <w:tblW w:w="960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6"/>
        <w:gridCol w:w="1843"/>
        <w:gridCol w:w="1995"/>
        <w:gridCol w:w="1260"/>
        <w:gridCol w:w="945"/>
        <w:gridCol w:w="761"/>
        <w:gridCol w:w="2205"/>
      </w:tblGrid>
      <w:tr>
        <w:trPr>
          <w:trHeight w:val="604"/>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ind w:right="-5"/>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5"/>
              <w:jc w:val="center"/>
              <w:spacing w:line="360" w:lineRule="auto"/>
              <w:tabs>
                <w:tab w:val="left" w:pos="972" w:leader="none"/>
              </w:tabs>
              <w:rPr>
                <w:color w:val="000000"/>
                <w:szCs w:val="21"/>
              </w:rPr>
            </w:pPr>
            <w:r>
              <w:rPr>
                <w:color w:val="000000"/>
                <w:szCs w:val="21"/>
              </w:rPr>
              <w:t xml:space="preserve">备品备件</w:t>
            </w:r>
            <w:r/>
          </w:p>
          <w:p>
            <w:pPr>
              <w:ind w:right="-5"/>
              <w:jc w:val="center"/>
              <w:spacing w:line="360" w:lineRule="auto"/>
              <w:tabs>
                <w:tab w:val="left" w:pos="972" w:leader="none"/>
              </w:tabs>
              <w:rPr>
                <w:color w:val="000000"/>
                <w:szCs w:val="21"/>
              </w:rPr>
            </w:pPr>
            <w:r>
              <w:rPr>
                <w:color w:val="000000"/>
                <w:szCs w:val="21"/>
              </w:rPr>
              <w:t xml:space="preserve">名称</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ind w:right="-5"/>
              <w:jc w:val="center"/>
              <w:spacing w:line="360" w:lineRule="auto"/>
              <w:rPr>
                <w:color w:val="000000"/>
                <w:szCs w:val="21"/>
              </w:rPr>
            </w:pPr>
            <w:r>
              <w:rPr>
                <w:color w:val="000000"/>
                <w:szCs w:val="21"/>
              </w:rPr>
              <w:t xml:space="preserve">型号及规格</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5"/>
              <w:jc w:val="center"/>
              <w:spacing w:line="360" w:lineRule="auto"/>
              <w:rPr>
                <w:color w:val="000000"/>
                <w:szCs w:val="21"/>
              </w:rPr>
            </w:pPr>
            <w:r>
              <w:rPr>
                <w:color w:val="000000"/>
                <w:szCs w:val="21"/>
              </w:rPr>
              <w:t xml:space="preserve">数量</w:t>
            </w:r>
            <w:r/>
          </w:p>
          <w:p>
            <w:pPr>
              <w:ind w:right="-5"/>
              <w:jc w:val="center"/>
              <w:spacing w:line="360" w:lineRule="auto"/>
              <w:rPr>
                <w:color w:val="000000"/>
                <w:szCs w:val="21"/>
              </w:rPr>
            </w:pPr>
            <w:r>
              <w:rPr>
                <w:color w:val="000000"/>
                <w:szCs w:val="21"/>
              </w:rPr>
              <w:t xml:space="preserve">(台/套)</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5"/>
              <w:jc w:val="center"/>
              <w:spacing w:line="360" w:lineRule="auto"/>
              <w:rPr>
                <w:color w:val="000000"/>
                <w:szCs w:val="21"/>
              </w:rPr>
            </w:pPr>
            <w:r>
              <w:rPr>
                <w:color w:val="000000"/>
                <w:szCs w:val="21"/>
              </w:rPr>
              <w:t xml:space="preserve">单价</w:t>
            </w:r>
            <w:r/>
          </w:p>
          <w:p>
            <w:pPr>
              <w:ind w:right="-5"/>
              <w:jc w:val="center"/>
              <w:spacing w:line="360" w:lineRule="auto"/>
              <w:rPr>
                <w:color w:val="000000"/>
                <w:szCs w:val="21"/>
              </w:rPr>
            </w:pPr>
            <w:r>
              <w:rPr>
                <w:color w:val="000000"/>
                <w:szCs w:val="21"/>
              </w:rPr>
              <w:t xml:space="preserve">(万元)</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right="-5"/>
              <w:jc w:val="center"/>
              <w:spacing w:line="360" w:lineRule="auto"/>
              <w:rPr>
                <w:color w:val="000000"/>
                <w:szCs w:val="21"/>
              </w:rPr>
            </w:pPr>
            <w:r>
              <w:rPr>
                <w:color w:val="000000"/>
                <w:szCs w:val="21"/>
              </w:rPr>
              <w:t xml:space="preserve">折扣率%</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right="-5"/>
              <w:jc w:val="center"/>
              <w:spacing w:line="360" w:lineRule="auto"/>
              <w:rPr>
                <w:color w:val="000000"/>
                <w:szCs w:val="21"/>
              </w:rPr>
            </w:pPr>
            <w:r>
              <w:rPr>
                <w:color w:val="000000"/>
                <w:szCs w:val="21"/>
              </w:rPr>
              <w:t xml:space="preserve">备注</w:t>
            </w:r>
            <w:r/>
          </w:p>
          <w:p>
            <w:pPr>
              <w:ind w:right="-5"/>
              <w:jc w:val="center"/>
              <w:spacing w:line="360" w:lineRule="auto"/>
              <w:rPr>
                <w:color w:val="000000"/>
                <w:szCs w:val="21"/>
              </w:rPr>
            </w:pPr>
            <w:r>
              <w:rPr>
                <w:color w:val="000000"/>
                <w:szCs w:val="21"/>
              </w:rPr>
              <w:t xml:space="preserve">(如外购请注明产地、制造商)</w:t>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tc>
      </w:tr>
    </w:tbl>
    <w:p>
      <w:pPr>
        <w:ind w:left="525" w:right="-5" w:hanging="525"/>
        <w:spacing w:line="360" w:lineRule="auto"/>
        <w:rPr>
          <w:b/>
          <w:color w:val="000000"/>
          <w:szCs w:val="21"/>
        </w:rPr>
      </w:pPr>
      <w:r>
        <w:rPr>
          <w:b/>
          <w:color w:val="000000"/>
          <w:szCs w:val="21"/>
        </w:rPr>
        <w:tab/>
      </w:r>
      <w:r/>
    </w:p>
    <w:p>
      <w:pPr>
        <w:ind w:right="-5"/>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720" w:equalWidth="1"/>
          <w:docGrid w:linePitch="360"/>
        </w:sectPr>
      </w:pPr>
      <w:r>
        <w:rPr>
          <w:b/>
          <w:color w:val="000000"/>
          <w:szCs w:val="21"/>
        </w:rPr>
      </w:r>
      <w:r/>
    </w:p>
    <w:p>
      <w:pPr>
        <w:spacing w:line="360" w:lineRule="auto"/>
        <w:rPr>
          <w:color w:val="000000"/>
          <w:szCs w:val="21"/>
        </w:rPr>
      </w:pPr>
      <w:r>
        <w:rPr>
          <w:bCs/>
          <w:color w:val="000000"/>
          <w:szCs w:val="21"/>
        </w:rPr>
        <w:t xml:space="preserve">3、随机</w:t>
      </w:r>
      <w:r>
        <w:rPr>
          <w:color w:val="000000"/>
          <w:szCs w:val="21"/>
        </w:rPr>
        <w:t xml:space="preserve">提供的文件、资料、图纸等（文件资料名称、份数）</w:t>
      </w:r>
      <w:r/>
    </w:p>
    <w:p>
      <w:pPr>
        <w:jc w:val="cente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ind w:right="-5"/>
        <w:spacing w:line="360" w:lineRule="auto"/>
        <w:rPr>
          <w:b/>
          <w:color w:val="000000"/>
          <w:szCs w:val="21"/>
        </w:rPr>
      </w:pPr>
      <w:r>
        <w:rPr>
          <w:color w:val="000000"/>
          <w:szCs w:val="21"/>
        </w:rPr>
        <w:t xml:space="preserve">4、培训计划及方案（人数、时间、内容、地点）</w:t>
      </w:r>
      <w:r/>
    </w:p>
    <w:p>
      <w:pPr>
        <w:spacing w:line="360" w:lineRule="auto"/>
        <w:rPr>
          <w:b/>
          <w:color w:val="000000"/>
          <w:szCs w:val="21"/>
        </w:rPr>
      </w:pPr>
      <w:r>
        <w:rPr>
          <w:b/>
          <w:color w:val="000000"/>
          <w:szCs w:val="21"/>
        </w:rPr>
      </w:r>
      <w:r/>
    </w:p>
    <w:p>
      <w:pPr>
        <w:ind w:left="5100" w:firstLine="425"/>
        <w:spacing w:line="360" w:lineRule="auto"/>
        <w:rPr>
          <w:color w:val="000000"/>
          <w:szCs w:val="21"/>
        </w:rPr>
      </w:pPr>
      <w:r>
        <w:rPr>
          <w:color w:val="000000"/>
          <w:szCs w:val="21"/>
        </w:rPr>
      </w:r>
      <w:r/>
    </w:p>
    <w:p>
      <w:pPr>
        <w:ind w:right="-5"/>
        <w:spacing w:line="360" w:lineRule="auto"/>
        <w:rPr>
          <w:b/>
          <w:color w:val="000000"/>
          <w:szCs w:val="21"/>
        </w:rPr>
      </w:pPr>
      <w:r>
        <w:rPr>
          <w:color w:val="000000"/>
          <w:szCs w:val="21"/>
        </w:rPr>
        <w:tab/>
      </w:r>
      <w:r>
        <w:rPr>
          <w:color w:val="000000"/>
          <w:szCs w:val="21"/>
        </w:rPr>
        <w:tab/>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5、供货及安装日期和质量保证期及售后服务承诺</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5"/>
        <w:spacing w:line="360" w:lineRule="auto"/>
        <w:rPr>
          <w:b/>
          <w:color w:val="000000"/>
          <w:szCs w:val="21"/>
          <w:lang w:val="zh-CN"/>
        </w:rPr>
      </w:pPr>
      <w:r>
        <w:rPr>
          <w:b/>
          <w:color w:val="000000"/>
          <w:szCs w:val="21"/>
        </w:rPr>
        <w:t xml:space="preserve">6</w:t>
      </w:r>
      <w:r>
        <w:rPr>
          <w:b/>
          <w:color w:val="000000"/>
          <w:szCs w:val="21"/>
          <w:lang w:val="zh-CN"/>
        </w:rPr>
        <w:t xml:space="preserve">、供应商认为应提供的其他材料</w:t>
      </w:r>
      <w:r/>
    </w:p>
    <w:p>
      <w:pPr>
        <w:ind w:right="-5"/>
        <w:spacing w:line="360" w:lineRule="auto"/>
        <w:rPr>
          <w:b/>
          <w:color w:val="000000"/>
          <w:szCs w:val="21"/>
          <w:lang w:val="zh-CN"/>
        </w:rPr>
      </w:pPr>
      <w:r>
        <w:rPr>
          <w:b/>
          <w:color w:val="000000"/>
          <w:szCs w:val="21"/>
          <w:lang w:val="zh-CN"/>
        </w:rPr>
        <w:t xml:space="preserve">（针对具体的评标标准提供相应其他材料）</w:t>
      </w:r>
      <w:r/>
    </w:p>
    <w:p>
      <w:r/>
      <w:r/>
    </w:p>
    <w:p>
      <w:r/>
      <w:r/>
    </w:p>
    <w:p>
      <w:r/>
      <w:r/>
    </w:p>
    <w:p>
      <w:r/>
      <w:r/>
    </w:p>
    <w:sectPr>
      <w:footerReference w:type="default" r:id="rId20"/>
      <w:footerReference w:type="first" r:id="rId21"/>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仿宋">
    <w:panose1 w:val="02010609060101010101"/>
  </w:font>
  <w:font w:name="Calibri">
    <w:panose1 w:val="020F0502020204030204"/>
  </w:font>
  <w:font w:name="微软雅黑">
    <w:panose1 w:val="020B0503020204020204"/>
  </w:font>
  <w:font w:name="方正仿宋简体">
    <w:panose1 w:val="020B0503020202020204"/>
  </w:font>
  <w:font w:name="Tahoma">
    <w:panose1 w:val="020B0604030504040204"/>
  </w:font>
  <w:font w:name="Courier New">
    <w:panose1 w:val="02070309020205020404"/>
  </w:font>
  <w:font w:name="Segoe UI Symbol">
    <w:panose1 w:val="020B0502040204020203"/>
  </w:font>
  <w:font w:name="华文新魏">
    <w:panose1 w:val="02010800040101010101"/>
  </w:font>
  <w:font w:name="Cambria">
    <w:panose1 w:val="02040503050406030204"/>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7"/>
      <w:jc w:val="center"/>
      <w:rPr>
        <w:sz w:val="24"/>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44475" cy="163830"/>
              <wp:effectExtent l="0" t="0" r="0" b="0"/>
              <wp:wrapNone/>
              <wp:docPr id="4" name="文本框 1025"/>
              <wp:cNvGraphicFramePr/>
              <a:graphic xmlns:a="http://schemas.openxmlformats.org/drawingml/2006/main">
                <a:graphicData uri="http://schemas.microsoft.com/office/word/2010/wordprocessingShape">
                  <wps:wsp>
                    <wps:cNvPr id="0" name=""/>
                    <wps:cNvSpPr txBox="1"/>
                    <wps:spPr bwMode="auto">
                      <a:xfrm>
                        <a:off x="0" y="0"/>
                        <a:ext cx="244475" cy="16383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wps:txbx>
                    <wps:bodyPr lIns="0" tIns="0" rIns="0" bIns="0" upright="1"/>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9.2pt;height:12.9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5" name="文本框 1026"/>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a:effectLst/>
                    </wps:spPr>
                    <wps:txbx>
                      <w:txbxContent>
                        <w:p>
                          <w:pPr>
                            <w:pStyle w:val="1347"/>
                            <w:rPr>
                              <w:rStyle w:val="1363"/>
                            </w:rPr>
                          </w:pPr>
                          <w:r>
                            <w:rPr>
                              <w:rStyle w:val="1363"/>
                              <w:rFonts w:hint="eastAsia"/>
                            </w:rPr>
                            <w:t xml:space="preserve">                   </w:t>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347"/>
                      <w:rPr>
                        <w:rStyle w:val="1363"/>
                      </w:rPr>
                    </w:pPr>
                    <w:r>
                      <w:rPr>
                        <w:rStyle w:val="1363"/>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7"/>
      <w:jc w:val="center"/>
    </w:pPr>
    <w:r>
      <w:fldChar w:fldCharType="begin"/>
    </w:r>
    <w:r>
      <w:instrText xml:space="preserve">PAGE   \* MERGEFORMAT</w:instrText>
    </w:r>
    <w:r>
      <w:fldChar w:fldCharType="separate"/>
    </w:r>
    <w:r>
      <w:rPr>
        <w:lang w:val="zh-CN"/>
      </w:rPr>
      <w:t xml:space="preserve">36</w:t>
    </w:r>
    <w:r>
      <w:rPr>
        <w:lang w:val="zh-CN"/>
      </w:rPr>
      <w:fldChar w:fldCharType="end"/>
    </w:r>
    <w:r/>
  </w:p>
  <w:p>
    <w:pPr>
      <w:pStyle w:val="134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v:textbox>
            </v:shape>
          </w:pict>
        </mc:Fallback>
      </mc:AlternateContent>
    </w:r>
    <w:r>
      <w:rPr>
        <w:lang w:val="zh-CN"/>
      </w:rPr>
      <w:t xml:space="preserve"> </w:t>
    </w:r>
    <w:r/>
  </w:p>
  <w:p>
    <w:pPr>
      <w:pStyle w:val="134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spacing w:after="120"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8" o:spid="_x0000_s8" o:spt="202" type="#_x0000_t202" style="position:absolute;z-index:-251660288;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wps:txbx>
                    <wps:bodyPr wrap="none" lIns="0" tIns="0" rIns="0" bIns="0" upright="1">
                      <a:spAutoFit/>
                    </wps:bodyPr>
                  </wps:wsp>
                </a:graphicData>
              </a:graphic>
            </wp:anchor>
          </w:drawing>
        </mc:Choice>
        <mc:Fallback>
          <w:pict>
            <v:shape id="shape 9" o:spid="_x0000_s9" o:spt="1" type="#_x0000_t1"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a:effectLst/>
                    </wps:spPr>
                    <wps:txbx>
                      <w:txbxContent>
                        <w:p>
                          <w:pPr>
                            <w:pStyle w:val="1347"/>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47"/>
                    </w:pPr>
                    <w:r>
                      <w:fldChar w:fldCharType="begin"/>
                    </w:r>
                    <w:r>
                      <w:instrText xml:space="preserve"> PAGE  \* MERGEFORMAT </w:instrText>
                    </w:r>
                    <w:r>
                      <w:fldChar w:fldCharType="separate"/>
                    </w:r>
                    <w:r>
                      <w:t xml:space="preserve">69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2" name="文本框 5"/>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1" o:spid="_x0000_s11" o:spt="202" type="#_x0000_t202" style="position:absolute;z-index:-251659264;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347"/>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2" o:spid="_x0000_s12" o:spt="1" type="#_x0000_t1"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7"/>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134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47"/>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47"/>
                    </w:pPr>
                    <w:r>
                      <w:fldChar w:fldCharType="begin"/>
                    </w:r>
                    <w:r>
                      <w:instrText xml:space="preserve"> PAGE  \* MERGEFORMAT </w:instrText>
                    </w:r>
                    <w:r>
                      <w:fldChar w:fldCharType="separate"/>
                    </w:r>
                    <w:r>
                      <w:t xml:space="preserve">70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5" name="文本框 2"/>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4" o:spid="_x0000_s14" o:spt="202" type="#_x0000_t202" style="position:absolute;z-index:-251662336;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347"/>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15" o:spid="_x0000_s15" o:spt="1" type="#_x0000_t1"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7"/>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3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8"/>
      <w:jc w:val="right"/>
    </w:pPr>
    <w:r>
      <w:rPr>
        <w:rFonts w:hint="eastAsia"/>
      </w:rPr>
      <mc:AlternateContent>
        <mc:Choice Requires="wpg">
          <w:drawing>
            <wp:inline xmlns:wp="http://schemas.openxmlformats.org/drawingml/2006/wordprocessingDrawing" distT="0" distB="0" distL="0" distR="0">
              <wp:extent cx="1188085" cy="360045"/>
              <wp:effectExtent l="0" t="0" r="12065" b="1905"/>
              <wp:docPr id="1" name="图片 167603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31753" name="图片 1676031753"/>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348"/>
      <w:jc w:val="right"/>
      <w:rPr>
        <w:sz w:val="21"/>
      </w:rPr>
    </w:pPr>
    <w:r>
      <w:rPr>
        <w:rFonts w:hint="eastAsia"/>
      </w:rPr>
      <w:t xml:space="preserve">罐车检验检测能力提升设备招标文件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8"/>
      <w:jc w:val="left"/>
    </w:pPr>
    <w:r>
      <w:rPr>
        <w:rFonts w:hint="eastAsia"/>
      </w:rPr>
      <mc:AlternateContent>
        <mc:Choice Requires="wpg">
          <w:drawing>
            <wp:inline xmlns:wp="http://schemas.openxmlformats.org/drawingml/2006/wordprocessingDrawing" distT="0" distB="0" distL="0" distR="0">
              <wp:extent cx="995045" cy="301625"/>
              <wp:effectExtent l="0" t="0" r="14604" b="3175"/>
              <wp:docPr id="2" name="图片 1746747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47741" name="图片 1746747741"/>
                      <pic:cNvPicPr>
                        <a:picLocks noChangeAspect="1"/>
                      </pic:cNvPicPr>
                      <pic:nvPr/>
                    </pic:nvPicPr>
                    <pic:blipFill>
                      <a:blip r:embed="rId1"/>
                      <a:stretch/>
                    </pic:blipFill>
                    <pic:spPr bwMode="auto">
                      <a:xfrm>
                        <a:off x="0" y="0"/>
                        <a:ext cx="995045" cy="30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3pt;height:23.8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348"/>
      <w:jc w:val="right"/>
    </w:pPr>
    <w:r>
      <w:t xml:space="preserve">  </w:t>
    </w:r>
    <w:r>
      <w:rPr>
        <w:rFonts w:hint="eastAsia"/>
      </w:rPr>
      <w:t xml:space="preserve">观片灯等23项设备招标文件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8"/>
      <w:jc w:val="both"/>
    </w:pPr>
    <w:r>
      <w:rPr>
        <w:rFonts w:hint="eastAsia"/>
      </w:rPr>
      <mc:AlternateContent>
        <mc:Choice Requires="wpg">
          <w:drawing>
            <wp:inline xmlns:wp="http://schemas.openxmlformats.org/drawingml/2006/wordprocessingDrawing" distT="0" distB="0" distL="0" distR="0">
              <wp:extent cx="1188085" cy="360045"/>
              <wp:effectExtent l="0" t="0" r="12065" b="1905"/>
              <wp:docPr id="3" name="图片 96011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112987" name="图片 960112987"/>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 </w:t>
    </w:r>
    <w:r/>
  </w:p>
  <w:p>
    <w:pPr>
      <w:pStyle w:val="1348"/>
      <w:rPr>
        <w:sz w:val="21"/>
      </w:rPr>
    </w:pPr>
    <w:r>
      <w:rPr>
        <w:rFonts w:hint="eastAsia"/>
      </w:rPr>
      <w:t xml:space="preserve">                                                              </w:t>
    </w:r>
    <w:r>
      <w:t xml:space="preserve">         </w:t>
    </w:r>
    <w:r>
      <w:rPr>
        <w:rFonts w:hint="eastAsia"/>
      </w:rPr>
      <w:t xml:space="preserve">观片灯等23项设备招标文件</w:t>
    </w:r>
    <w:r/>
  </w:p>
  <w:p>
    <w:pPr>
      <w:pStyle w:val="1348"/>
      <w:jc w:val="right"/>
      <w:pBdr>
        <w:bottom w:val="none" w:color="auto" w:sz="0" w:space="1"/>
      </w:pBdr>
    </w:pP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70"/>
      <w:isLgl w:val="false"/>
      <w:suff w:val="space"/>
      <w:lvlText w:val="%1　"/>
      <w:lvlJc w:val="left"/>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rPr>
        <w:rFonts w:hint="default" w:ascii="Times New Roman" w:hAnsi="Times New Roman" w:eastAsia="宋体"/>
        <w:b/>
        <w:i w:val="0"/>
        <w:caps w:val="0"/>
        <w:strike w:val="0"/>
        <w:color w:val="000000"/>
        <w:sz w:val="24"/>
        <w:szCs w:val="24"/>
      </w:rPr>
    </w:lvl>
    <w:lvl w:ilvl="6">
      <w:start w:val="1"/>
      <w:numFmt w:val="lowerLetter"/>
      <w:pStyle w:val="1388"/>
      <w:isLgl w:val="false"/>
      <w:suff w:val="tab"/>
      <w:lvlText w:val="%7)"/>
      <w:lvlJc w:val="left"/>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rPr>
        <w:rFonts w:hint="default" w:ascii="Symbol" w:hAnsi="Symbol"/>
        <w:b w:val="0"/>
        <w:i w:val="0"/>
        <w:caps w:val="0"/>
        <w:strike w:val="0"/>
        <w:color w:val="000000"/>
        <w:sz w:val="24"/>
        <w:szCs w:val="24"/>
      </w:rPr>
    </w:lvl>
  </w:abstractNum>
  <w:abstractNum w:abstractNumId="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62">
    <w:name w:val="Heading 1 Char"/>
    <w:basedOn w:val="1324"/>
    <w:link w:val="1318"/>
    <w:uiPriority w:val="9"/>
    <w:rPr>
      <w:rFonts w:ascii="Arial" w:hAnsi="Arial" w:eastAsia="Arial" w:cs="Arial"/>
      <w:sz w:val="40"/>
      <w:szCs w:val="40"/>
    </w:rPr>
  </w:style>
  <w:style w:type="character" w:styleId="1163">
    <w:name w:val="Heading 2 Char"/>
    <w:basedOn w:val="1324"/>
    <w:link w:val="1319"/>
    <w:uiPriority w:val="9"/>
    <w:rPr>
      <w:rFonts w:ascii="Arial" w:hAnsi="Arial" w:eastAsia="Arial" w:cs="Arial"/>
      <w:sz w:val="34"/>
    </w:rPr>
  </w:style>
  <w:style w:type="character" w:styleId="1164">
    <w:name w:val="Heading 3 Char"/>
    <w:basedOn w:val="1324"/>
    <w:link w:val="1320"/>
    <w:uiPriority w:val="9"/>
    <w:rPr>
      <w:rFonts w:ascii="Arial" w:hAnsi="Arial" w:eastAsia="Arial" w:cs="Arial"/>
      <w:sz w:val="30"/>
      <w:szCs w:val="30"/>
    </w:rPr>
  </w:style>
  <w:style w:type="character" w:styleId="1165">
    <w:name w:val="Heading 4 Char"/>
    <w:basedOn w:val="1324"/>
    <w:link w:val="1321"/>
    <w:uiPriority w:val="9"/>
    <w:rPr>
      <w:rFonts w:ascii="Arial" w:hAnsi="Arial" w:eastAsia="Arial" w:cs="Arial"/>
      <w:b/>
      <w:bCs/>
      <w:sz w:val="26"/>
      <w:szCs w:val="26"/>
    </w:rPr>
  </w:style>
  <w:style w:type="character" w:styleId="1166">
    <w:name w:val="Heading 5 Char"/>
    <w:basedOn w:val="1324"/>
    <w:link w:val="1322"/>
    <w:uiPriority w:val="9"/>
    <w:rPr>
      <w:rFonts w:ascii="Arial" w:hAnsi="Arial" w:eastAsia="Arial" w:cs="Arial"/>
      <w:b/>
      <w:bCs/>
      <w:sz w:val="24"/>
      <w:szCs w:val="24"/>
    </w:rPr>
  </w:style>
  <w:style w:type="paragraph" w:styleId="1167">
    <w:name w:val="Heading 6"/>
    <w:basedOn w:val="1317"/>
    <w:next w:val="1317"/>
    <w:link w:val="1168"/>
    <w:uiPriority w:val="9"/>
    <w:unhideWhenUsed/>
    <w:qFormat/>
    <w:pPr>
      <w:keepLines/>
      <w:keepNext/>
      <w:spacing w:before="320" w:after="200"/>
      <w:outlineLvl w:val="5"/>
    </w:pPr>
    <w:rPr>
      <w:rFonts w:ascii="Arial" w:hAnsi="Arial" w:eastAsia="Arial" w:cs="Arial"/>
      <w:b/>
      <w:bCs/>
      <w:sz w:val="22"/>
      <w:szCs w:val="22"/>
    </w:rPr>
  </w:style>
  <w:style w:type="character" w:styleId="1168">
    <w:name w:val="Heading 6 Char"/>
    <w:basedOn w:val="1324"/>
    <w:link w:val="1167"/>
    <w:uiPriority w:val="9"/>
    <w:rPr>
      <w:rFonts w:ascii="Arial" w:hAnsi="Arial" w:eastAsia="Arial" w:cs="Arial"/>
      <w:b/>
      <w:bCs/>
      <w:sz w:val="22"/>
      <w:szCs w:val="22"/>
    </w:rPr>
  </w:style>
  <w:style w:type="character" w:styleId="1169">
    <w:name w:val="Heading 7 Char"/>
    <w:basedOn w:val="1324"/>
    <w:link w:val="1323"/>
    <w:uiPriority w:val="9"/>
    <w:rPr>
      <w:rFonts w:ascii="Arial" w:hAnsi="Arial" w:eastAsia="Arial" w:cs="Arial"/>
      <w:b/>
      <w:bCs/>
      <w:i/>
      <w:iCs/>
      <w:sz w:val="22"/>
      <w:szCs w:val="22"/>
    </w:rPr>
  </w:style>
  <w:style w:type="paragraph" w:styleId="1170">
    <w:name w:val="Heading 8"/>
    <w:basedOn w:val="1317"/>
    <w:next w:val="1317"/>
    <w:link w:val="1171"/>
    <w:uiPriority w:val="9"/>
    <w:unhideWhenUsed/>
    <w:qFormat/>
    <w:pPr>
      <w:keepLines/>
      <w:keepNext/>
      <w:spacing w:before="320" w:after="200"/>
      <w:outlineLvl w:val="7"/>
    </w:pPr>
    <w:rPr>
      <w:rFonts w:ascii="Arial" w:hAnsi="Arial" w:eastAsia="Arial" w:cs="Arial"/>
      <w:i/>
      <w:iCs/>
      <w:sz w:val="22"/>
      <w:szCs w:val="22"/>
    </w:rPr>
  </w:style>
  <w:style w:type="character" w:styleId="1171">
    <w:name w:val="Heading 8 Char"/>
    <w:basedOn w:val="1324"/>
    <w:link w:val="1170"/>
    <w:uiPriority w:val="9"/>
    <w:rPr>
      <w:rFonts w:ascii="Arial" w:hAnsi="Arial" w:eastAsia="Arial" w:cs="Arial"/>
      <w:i/>
      <w:iCs/>
      <w:sz w:val="22"/>
      <w:szCs w:val="22"/>
    </w:rPr>
  </w:style>
  <w:style w:type="paragraph" w:styleId="1172">
    <w:name w:val="Heading 9"/>
    <w:basedOn w:val="1317"/>
    <w:next w:val="1317"/>
    <w:link w:val="1173"/>
    <w:uiPriority w:val="9"/>
    <w:unhideWhenUsed/>
    <w:qFormat/>
    <w:pPr>
      <w:keepLines/>
      <w:keepNext/>
      <w:spacing w:before="320" w:after="200"/>
      <w:outlineLvl w:val="8"/>
    </w:pPr>
    <w:rPr>
      <w:rFonts w:ascii="Arial" w:hAnsi="Arial" w:eastAsia="Arial" w:cs="Arial"/>
      <w:i/>
      <w:iCs/>
      <w:sz w:val="21"/>
      <w:szCs w:val="21"/>
    </w:rPr>
  </w:style>
  <w:style w:type="character" w:styleId="1173">
    <w:name w:val="Heading 9 Char"/>
    <w:basedOn w:val="1324"/>
    <w:link w:val="1172"/>
    <w:uiPriority w:val="9"/>
    <w:rPr>
      <w:rFonts w:ascii="Arial" w:hAnsi="Arial" w:eastAsia="Arial" w:cs="Arial"/>
      <w:i/>
      <w:iCs/>
      <w:sz w:val="21"/>
      <w:szCs w:val="21"/>
    </w:rPr>
  </w:style>
  <w:style w:type="paragraph" w:styleId="1174">
    <w:name w:val="No Spacing"/>
    <w:uiPriority w:val="1"/>
    <w:qFormat/>
    <w:pPr>
      <w:spacing w:before="0" w:after="0" w:line="240" w:lineRule="auto"/>
    </w:pPr>
  </w:style>
  <w:style w:type="character" w:styleId="1175">
    <w:name w:val="Title Char"/>
    <w:basedOn w:val="1324"/>
    <w:link w:val="1358"/>
    <w:uiPriority w:val="10"/>
    <w:rPr>
      <w:sz w:val="48"/>
      <w:szCs w:val="48"/>
    </w:rPr>
  </w:style>
  <w:style w:type="character" w:styleId="1176">
    <w:name w:val="Subtitle Char"/>
    <w:basedOn w:val="1324"/>
    <w:link w:val="1351"/>
    <w:uiPriority w:val="11"/>
    <w:rPr>
      <w:sz w:val="24"/>
      <w:szCs w:val="24"/>
    </w:rPr>
  </w:style>
  <w:style w:type="paragraph" w:styleId="1177">
    <w:name w:val="Quote"/>
    <w:basedOn w:val="1317"/>
    <w:next w:val="1317"/>
    <w:link w:val="1178"/>
    <w:uiPriority w:val="29"/>
    <w:qFormat/>
    <w:pPr>
      <w:ind w:left="720" w:right="720"/>
    </w:pPr>
    <w:rPr>
      <w:i/>
    </w:rPr>
  </w:style>
  <w:style w:type="character" w:styleId="1178">
    <w:name w:val="Quote Char"/>
    <w:link w:val="1177"/>
    <w:uiPriority w:val="29"/>
    <w:rPr>
      <w:i/>
    </w:rPr>
  </w:style>
  <w:style w:type="paragraph" w:styleId="1179">
    <w:name w:val="Intense Quote"/>
    <w:basedOn w:val="1317"/>
    <w:next w:val="1317"/>
    <w:link w:val="11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80">
    <w:name w:val="Intense Quote Char"/>
    <w:link w:val="1179"/>
    <w:uiPriority w:val="30"/>
    <w:rPr>
      <w:i/>
    </w:rPr>
  </w:style>
  <w:style w:type="character" w:styleId="1181">
    <w:name w:val="Header Char"/>
    <w:basedOn w:val="1324"/>
    <w:link w:val="1348"/>
    <w:uiPriority w:val="99"/>
  </w:style>
  <w:style w:type="character" w:styleId="1182">
    <w:name w:val="Footer Char"/>
    <w:basedOn w:val="1324"/>
    <w:link w:val="1347"/>
    <w:uiPriority w:val="99"/>
  </w:style>
  <w:style w:type="character" w:styleId="1183">
    <w:name w:val="Caption Char"/>
    <w:basedOn w:val="1329"/>
    <w:link w:val="1347"/>
    <w:uiPriority w:val="99"/>
  </w:style>
  <w:style w:type="table" w:styleId="1184">
    <w:name w:val="Table Grid Light"/>
    <w:basedOn w:val="13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85">
    <w:name w:val="Plain Table 1"/>
    <w:basedOn w:val="13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86">
    <w:name w:val="Plain Table 2"/>
    <w:basedOn w:val="13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87">
    <w:name w:val="Plain Table 3"/>
    <w:basedOn w:val="13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88">
    <w:name w:val="Plain Table 4"/>
    <w:basedOn w:val="13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9">
    <w:name w:val="Plain Table 5"/>
    <w:basedOn w:val="13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90">
    <w:name w:val="Grid Table 1 Light"/>
    <w:basedOn w:val="13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91">
    <w:name w:val="Grid Table 1 Light - Accent 1"/>
    <w:basedOn w:val="13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92">
    <w:name w:val="Grid Table 1 Light - Accent 2"/>
    <w:basedOn w:val="13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93">
    <w:name w:val="Grid Table 1 Light - Accent 3"/>
    <w:basedOn w:val="13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94">
    <w:name w:val="Grid Table 1 Light - Accent 4"/>
    <w:basedOn w:val="13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95">
    <w:name w:val="Grid Table 1 Light - Accent 5"/>
    <w:basedOn w:val="13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96">
    <w:name w:val="Grid Table 1 Light - Accent 6"/>
    <w:basedOn w:val="13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97">
    <w:name w:val="Grid Table 2"/>
    <w:basedOn w:val="13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98">
    <w:name w:val="Grid Table 2 - Accent 1"/>
    <w:basedOn w:val="13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99">
    <w:name w:val="Grid Table 2 - Accent 2"/>
    <w:basedOn w:val="13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00">
    <w:name w:val="Grid Table 2 - Accent 3"/>
    <w:basedOn w:val="13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01">
    <w:name w:val="Grid Table 2 - Accent 4"/>
    <w:basedOn w:val="13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02">
    <w:name w:val="Grid Table 2 - Accent 5"/>
    <w:basedOn w:val="13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03">
    <w:name w:val="Grid Table 2 - Accent 6"/>
    <w:basedOn w:val="13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04">
    <w:name w:val="Grid Table 3"/>
    <w:basedOn w:val="13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5">
    <w:name w:val="Grid Table 3 - Accent 1"/>
    <w:basedOn w:val="13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6">
    <w:name w:val="Grid Table 3 - Accent 2"/>
    <w:basedOn w:val="13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7">
    <w:name w:val="Grid Table 3 - Accent 3"/>
    <w:basedOn w:val="13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8">
    <w:name w:val="Grid Table 3 - Accent 4"/>
    <w:basedOn w:val="13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9">
    <w:name w:val="Grid Table 3 - Accent 5"/>
    <w:basedOn w:val="13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0">
    <w:name w:val="Grid Table 3 - Accent 6"/>
    <w:basedOn w:val="13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1">
    <w:name w:val="Grid Table 4"/>
    <w:basedOn w:val="13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2">
    <w:name w:val="Grid Table 4 - Accent 1"/>
    <w:basedOn w:val="13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13">
    <w:name w:val="Grid Table 4 - Accent 2"/>
    <w:basedOn w:val="13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14">
    <w:name w:val="Grid Table 4 - Accent 3"/>
    <w:basedOn w:val="13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15">
    <w:name w:val="Grid Table 4 - Accent 4"/>
    <w:basedOn w:val="13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16">
    <w:name w:val="Grid Table 4 - Accent 5"/>
    <w:basedOn w:val="13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17">
    <w:name w:val="Grid Table 4 - Accent 6"/>
    <w:basedOn w:val="13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18">
    <w:name w:val="Grid Table 5 Dark"/>
    <w:basedOn w:val="13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19">
    <w:name w:val="Grid Table 5 Dark- Accent 1"/>
    <w:basedOn w:val="13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20">
    <w:name w:val="Grid Table 5 Dark - Accent 2"/>
    <w:basedOn w:val="13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21">
    <w:name w:val="Grid Table 5 Dark - Accent 3"/>
    <w:basedOn w:val="13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22">
    <w:name w:val="Grid Table 5 Dark- Accent 4"/>
    <w:basedOn w:val="13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23">
    <w:name w:val="Grid Table 5 Dark - Accent 5"/>
    <w:basedOn w:val="13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24">
    <w:name w:val="Grid Table 5 Dark - Accent 6"/>
    <w:basedOn w:val="13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25">
    <w:name w:val="Grid Table 6 Colorful"/>
    <w:basedOn w:val="13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26">
    <w:name w:val="Grid Table 6 Colorful - Accent 1"/>
    <w:basedOn w:val="13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27">
    <w:name w:val="Grid Table 6 Colorful - Accent 2"/>
    <w:basedOn w:val="13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28">
    <w:name w:val="Grid Table 6 Colorful - Accent 3"/>
    <w:basedOn w:val="13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29">
    <w:name w:val="Grid Table 6 Colorful - Accent 4"/>
    <w:basedOn w:val="13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30">
    <w:name w:val="Grid Table 6 Colorful - Accent 5"/>
    <w:basedOn w:val="13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31">
    <w:name w:val="Grid Table 6 Colorful - Accent 6"/>
    <w:basedOn w:val="13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32">
    <w:name w:val="Grid Table 7 Colorful"/>
    <w:basedOn w:val="13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33">
    <w:name w:val="Grid Table 7 Colorful - Accent 1"/>
    <w:basedOn w:val="13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34">
    <w:name w:val="Grid Table 7 Colorful - Accent 2"/>
    <w:basedOn w:val="13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35">
    <w:name w:val="Grid Table 7 Colorful - Accent 3"/>
    <w:basedOn w:val="13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36">
    <w:name w:val="Grid Table 7 Colorful - Accent 4"/>
    <w:basedOn w:val="13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37">
    <w:name w:val="Grid Table 7 Colorful - Accent 5"/>
    <w:basedOn w:val="13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38">
    <w:name w:val="Grid Table 7 Colorful - Accent 6"/>
    <w:basedOn w:val="13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39">
    <w:name w:val="List Table 1 Light"/>
    <w:basedOn w:val="13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0">
    <w:name w:val="List Table 1 Light - Accent 1"/>
    <w:basedOn w:val="13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41">
    <w:name w:val="List Table 1 Light - Accent 2"/>
    <w:basedOn w:val="13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42">
    <w:name w:val="List Table 1 Light - Accent 3"/>
    <w:basedOn w:val="13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43">
    <w:name w:val="List Table 1 Light - Accent 4"/>
    <w:basedOn w:val="13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44">
    <w:name w:val="List Table 1 Light - Accent 5"/>
    <w:basedOn w:val="13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45">
    <w:name w:val="List Table 1 Light - Accent 6"/>
    <w:basedOn w:val="13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46">
    <w:name w:val="List Table 2"/>
    <w:basedOn w:val="13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47">
    <w:name w:val="List Table 2 - Accent 1"/>
    <w:basedOn w:val="13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48">
    <w:name w:val="List Table 2 - Accent 2"/>
    <w:basedOn w:val="13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49">
    <w:name w:val="List Table 2 - Accent 3"/>
    <w:basedOn w:val="13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50">
    <w:name w:val="List Table 2 - Accent 4"/>
    <w:basedOn w:val="13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51">
    <w:name w:val="List Table 2 - Accent 5"/>
    <w:basedOn w:val="13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52">
    <w:name w:val="List Table 2 - Accent 6"/>
    <w:basedOn w:val="13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53">
    <w:name w:val="List Table 3"/>
    <w:basedOn w:val="13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4">
    <w:name w:val="List Table 3 - Accent 1"/>
    <w:basedOn w:val="13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55">
    <w:name w:val="List Table 3 - Accent 2"/>
    <w:basedOn w:val="13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56">
    <w:name w:val="List Table 3 - Accent 3"/>
    <w:basedOn w:val="13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57">
    <w:name w:val="List Table 3 - Accent 4"/>
    <w:basedOn w:val="13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58">
    <w:name w:val="List Table 3 - Accent 5"/>
    <w:basedOn w:val="13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59">
    <w:name w:val="List Table 3 - Accent 6"/>
    <w:basedOn w:val="13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60">
    <w:name w:val="List Table 4"/>
    <w:basedOn w:val="13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1">
    <w:name w:val="List Table 4 - Accent 1"/>
    <w:basedOn w:val="13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2">
    <w:name w:val="List Table 4 - Accent 2"/>
    <w:basedOn w:val="13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63">
    <w:name w:val="List Table 4 - Accent 3"/>
    <w:basedOn w:val="13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64">
    <w:name w:val="List Table 4 - Accent 4"/>
    <w:basedOn w:val="13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65">
    <w:name w:val="List Table 4 - Accent 5"/>
    <w:basedOn w:val="13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66">
    <w:name w:val="List Table 4 - Accent 6"/>
    <w:basedOn w:val="13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67">
    <w:name w:val="List Table 5 Dark"/>
    <w:basedOn w:val="13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8">
    <w:name w:val="List Table 5 Dark - Accent 1"/>
    <w:basedOn w:val="13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9">
    <w:name w:val="List Table 5 Dark - Accent 2"/>
    <w:basedOn w:val="13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0">
    <w:name w:val="List Table 5 Dark - Accent 3"/>
    <w:basedOn w:val="13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1">
    <w:name w:val="List Table 5 Dark - Accent 4"/>
    <w:basedOn w:val="13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2">
    <w:name w:val="List Table 5 Dark - Accent 5"/>
    <w:basedOn w:val="13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3">
    <w:name w:val="List Table 5 Dark - Accent 6"/>
    <w:basedOn w:val="13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4">
    <w:name w:val="List Table 6 Colorful"/>
    <w:basedOn w:val="13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75">
    <w:name w:val="List Table 6 Colorful - Accent 1"/>
    <w:basedOn w:val="13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76">
    <w:name w:val="List Table 6 Colorful - Accent 2"/>
    <w:basedOn w:val="13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77">
    <w:name w:val="List Table 6 Colorful - Accent 3"/>
    <w:basedOn w:val="13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78">
    <w:name w:val="List Table 6 Colorful - Accent 4"/>
    <w:basedOn w:val="13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79">
    <w:name w:val="List Table 6 Colorful - Accent 5"/>
    <w:basedOn w:val="13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80">
    <w:name w:val="List Table 6 Colorful - Accent 6"/>
    <w:basedOn w:val="13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81">
    <w:name w:val="List Table 7 Colorful"/>
    <w:basedOn w:val="13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82">
    <w:name w:val="List Table 7 Colorful - Accent 1"/>
    <w:basedOn w:val="13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83">
    <w:name w:val="List Table 7 Colorful - Accent 2"/>
    <w:basedOn w:val="13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84">
    <w:name w:val="List Table 7 Colorful - Accent 3"/>
    <w:basedOn w:val="13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85">
    <w:name w:val="List Table 7 Colorful - Accent 4"/>
    <w:basedOn w:val="13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86">
    <w:name w:val="List Table 7 Colorful - Accent 5"/>
    <w:basedOn w:val="13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87">
    <w:name w:val="List Table 7 Colorful - Accent 6"/>
    <w:basedOn w:val="13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88">
    <w:name w:val="Lined - Accent"/>
    <w:basedOn w:val="13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89">
    <w:name w:val="Lined - Accent 1"/>
    <w:basedOn w:val="13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90">
    <w:name w:val="Lined - Accent 2"/>
    <w:basedOn w:val="13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91">
    <w:name w:val="Lined - Accent 3"/>
    <w:basedOn w:val="13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92">
    <w:name w:val="Lined - Accent 4"/>
    <w:basedOn w:val="13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93">
    <w:name w:val="Lined - Accent 5"/>
    <w:basedOn w:val="13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94">
    <w:name w:val="Lined - Accent 6"/>
    <w:basedOn w:val="13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95">
    <w:name w:val="Bordered &amp; Lined - Accent"/>
    <w:basedOn w:val="13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96">
    <w:name w:val="Bordered &amp; Lined - Accent 1"/>
    <w:basedOn w:val="13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97">
    <w:name w:val="Bordered &amp; Lined - Accent 2"/>
    <w:basedOn w:val="13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98">
    <w:name w:val="Bordered &amp; Lined - Accent 3"/>
    <w:basedOn w:val="13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99">
    <w:name w:val="Bordered &amp; Lined - Accent 4"/>
    <w:basedOn w:val="13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00">
    <w:name w:val="Bordered &amp; Lined - Accent 5"/>
    <w:basedOn w:val="13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01">
    <w:name w:val="Bordered &amp; Lined - Accent 6"/>
    <w:basedOn w:val="13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02">
    <w:name w:val="Bordered"/>
    <w:basedOn w:val="13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03">
    <w:name w:val="Bordered - Accent 1"/>
    <w:basedOn w:val="13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04">
    <w:name w:val="Bordered - Accent 2"/>
    <w:basedOn w:val="13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05">
    <w:name w:val="Bordered - Accent 3"/>
    <w:basedOn w:val="13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06">
    <w:name w:val="Bordered - Accent 4"/>
    <w:basedOn w:val="13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07">
    <w:name w:val="Bordered - Accent 5"/>
    <w:basedOn w:val="13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08">
    <w:name w:val="Bordered - Accent 6"/>
    <w:basedOn w:val="13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309">
    <w:name w:val="footnote text"/>
    <w:basedOn w:val="1317"/>
    <w:link w:val="1310"/>
    <w:uiPriority w:val="99"/>
    <w:semiHidden/>
    <w:unhideWhenUsed/>
    <w:pPr>
      <w:spacing w:after="40" w:line="240" w:lineRule="auto"/>
    </w:pPr>
    <w:rPr>
      <w:sz w:val="18"/>
    </w:rPr>
  </w:style>
  <w:style w:type="character" w:styleId="1310">
    <w:name w:val="Footnote Text Char"/>
    <w:link w:val="1309"/>
    <w:uiPriority w:val="99"/>
    <w:rPr>
      <w:sz w:val="18"/>
    </w:rPr>
  </w:style>
  <w:style w:type="character" w:styleId="1311">
    <w:name w:val="footnote reference"/>
    <w:basedOn w:val="1324"/>
    <w:uiPriority w:val="99"/>
    <w:unhideWhenUsed/>
    <w:rPr>
      <w:vertAlign w:val="superscript"/>
    </w:rPr>
  </w:style>
  <w:style w:type="paragraph" w:styleId="1312">
    <w:name w:val="endnote text"/>
    <w:basedOn w:val="1317"/>
    <w:link w:val="1313"/>
    <w:uiPriority w:val="99"/>
    <w:semiHidden/>
    <w:unhideWhenUsed/>
    <w:pPr>
      <w:spacing w:after="0" w:line="240" w:lineRule="auto"/>
    </w:pPr>
    <w:rPr>
      <w:sz w:val="20"/>
    </w:rPr>
  </w:style>
  <w:style w:type="character" w:styleId="1313">
    <w:name w:val="Endnote Text Char"/>
    <w:link w:val="1312"/>
    <w:uiPriority w:val="99"/>
    <w:rPr>
      <w:sz w:val="20"/>
    </w:rPr>
  </w:style>
  <w:style w:type="character" w:styleId="1314">
    <w:name w:val="endnote reference"/>
    <w:basedOn w:val="1324"/>
    <w:uiPriority w:val="99"/>
    <w:semiHidden/>
    <w:unhideWhenUsed/>
    <w:rPr>
      <w:vertAlign w:val="superscript"/>
    </w:rPr>
  </w:style>
  <w:style w:type="paragraph" w:styleId="1315">
    <w:name w:val="TOC Heading"/>
    <w:uiPriority w:val="39"/>
    <w:unhideWhenUsed/>
  </w:style>
  <w:style w:type="paragraph" w:styleId="1316">
    <w:name w:val="table of figures"/>
    <w:basedOn w:val="1317"/>
    <w:next w:val="1317"/>
    <w:uiPriority w:val="99"/>
    <w:unhideWhenUsed/>
    <w:pPr>
      <w:spacing w:after="0" w:afterAutospacing="0"/>
    </w:pPr>
  </w:style>
  <w:style w:type="paragraph" w:styleId="131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318">
    <w:name w:val="Heading 1"/>
    <w:basedOn w:val="1317"/>
    <w:next w:val="1317"/>
    <w:uiPriority w:val="0"/>
    <w:qFormat/>
    <w:pPr>
      <w:jc w:val="center"/>
      <w:keepNext/>
      <w:spacing w:line="440" w:lineRule="exact"/>
      <w:outlineLvl w:val="0"/>
    </w:pPr>
    <w:rPr>
      <w:rFonts w:ascii="宋体"/>
      <w:sz w:val="28"/>
    </w:rPr>
  </w:style>
  <w:style w:type="paragraph" w:styleId="1319">
    <w:name w:val="Heading 2"/>
    <w:basedOn w:val="1317"/>
    <w:next w:val="1317"/>
    <w:uiPriority w:val="0"/>
    <w:qFormat/>
    <w:pPr>
      <w:keepLines/>
      <w:keepNext/>
      <w:spacing w:line="360" w:lineRule="auto"/>
      <w:outlineLvl w:val="1"/>
    </w:pPr>
    <w:rPr>
      <w:b/>
      <w:szCs w:val="21"/>
    </w:rPr>
  </w:style>
  <w:style w:type="paragraph" w:styleId="1320">
    <w:name w:val="Heading 3"/>
    <w:basedOn w:val="1317"/>
    <w:next w:val="1317"/>
    <w:uiPriority w:val="0"/>
    <w:pPr>
      <w:ind w:firstLine="422"/>
      <w:keepNext/>
      <w:spacing w:line="360" w:lineRule="auto"/>
      <w:tabs>
        <w:tab w:val="left" w:pos="480" w:leader="none"/>
      </w:tabs>
      <w:outlineLvl w:val="2"/>
    </w:pPr>
    <w:rPr>
      <w:b/>
      <w:szCs w:val="21"/>
    </w:rPr>
  </w:style>
  <w:style w:type="paragraph" w:styleId="1321">
    <w:name w:val="Heading 4"/>
    <w:basedOn w:val="1317"/>
    <w:next w:val="1317"/>
    <w:uiPriority w:val="0"/>
    <w:qFormat/>
    <w:pPr>
      <w:keepLines/>
      <w:keepNext/>
      <w:spacing w:before="280" w:after="290" w:line="372" w:lineRule="auto"/>
      <w:outlineLvl w:val="3"/>
    </w:pPr>
    <w:rPr>
      <w:rFonts w:ascii="Arial" w:hAnsi="Arial" w:eastAsia="黑体" w:cs="Arial"/>
      <w:b/>
      <w:bCs/>
      <w:sz w:val="28"/>
      <w:szCs w:val="28"/>
    </w:rPr>
  </w:style>
  <w:style w:type="paragraph" w:styleId="1322">
    <w:name w:val="Heading 5"/>
    <w:basedOn w:val="1317"/>
    <w:next w:val="1317"/>
    <w:uiPriority w:val="1"/>
    <w:qFormat/>
    <w:pPr>
      <w:ind w:left="598"/>
      <w:spacing w:before="1"/>
      <w:outlineLvl w:val="4"/>
    </w:pPr>
    <w:rPr>
      <w:rFonts w:ascii="宋体" w:hAnsi="宋体" w:cs="宋体"/>
      <w:b/>
      <w:bCs/>
      <w:sz w:val="24"/>
      <w:szCs w:val="24"/>
      <w:lang w:val="zh-CN" w:bidi="zh-CN"/>
    </w:rPr>
  </w:style>
  <w:style w:type="paragraph" w:styleId="1323">
    <w:name w:val="Heading 7"/>
    <w:basedOn w:val="1317"/>
    <w:next w:val="1317"/>
    <w:uiPriority w:val="1"/>
    <w:qFormat/>
    <w:pPr>
      <w:ind w:left="1018"/>
      <w:outlineLvl w:val="6"/>
    </w:pPr>
    <w:rPr>
      <w:rFonts w:ascii="宋体" w:hAnsi="宋体" w:cs="宋体"/>
      <w:b/>
      <w:bCs/>
      <w:szCs w:val="21"/>
      <w:lang w:val="zh-CN" w:bidi="zh-CN"/>
    </w:rPr>
  </w:style>
  <w:style w:type="character" w:styleId="1324" w:default="1">
    <w:name w:val="Default Paragraph Font"/>
    <w:uiPriority w:val="1"/>
    <w:semiHidden/>
    <w:unhideWhenUsed/>
    <w:qFormat/>
  </w:style>
  <w:style w:type="table" w:styleId="1325" w:default="1">
    <w:name w:val="Normal Table"/>
    <w:uiPriority w:val="99"/>
    <w:semiHidden/>
    <w:unhideWhenUsed/>
    <w:qFormat/>
    <w:tblPr>
      <w:tblCellMar>
        <w:left w:w="108" w:type="dxa"/>
        <w:top w:w="0" w:type="dxa"/>
        <w:right w:w="108" w:type="dxa"/>
        <w:bottom w:w="0" w:type="dxa"/>
      </w:tblCellMar>
    </w:tblPr>
  </w:style>
  <w:style w:type="paragraph" w:styleId="1326">
    <w:name w:val="List 3"/>
    <w:basedOn w:val="1317"/>
    <w:uiPriority w:val="0"/>
    <w:qFormat/>
    <w:pPr>
      <w:contextualSpacing/>
      <w:ind w:left="600" w:hanging="200"/>
    </w:pPr>
  </w:style>
  <w:style w:type="paragraph" w:styleId="1327">
    <w:name w:val="toc 7"/>
    <w:basedOn w:val="1317"/>
    <w:next w:val="1317"/>
    <w:uiPriority w:val="0"/>
    <w:qFormat/>
    <w:pPr>
      <w:ind w:left="1200"/>
    </w:pPr>
  </w:style>
  <w:style w:type="paragraph" w:styleId="1328">
    <w:name w:val="Normal Indent"/>
    <w:basedOn w:val="1317"/>
    <w:uiPriority w:val="0"/>
    <w:qFormat/>
    <w:pPr>
      <w:ind w:firstLine="420"/>
    </w:pPr>
    <w:rPr>
      <w:b/>
      <w:sz w:val="24"/>
    </w:rPr>
  </w:style>
  <w:style w:type="paragraph" w:styleId="1329">
    <w:name w:val="Caption"/>
    <w:basedOn w:val="1317"/>
    <w:next w:val="1317"/>
    <w:uiPriority w:val="0"/>
    <w:qFormat/>
    <w:pPr>
      <w:jc w:val="center"/>
    </w:pPr>
    <w:rPr>
      <w:rFonts w:cs="Arial"/>
    </w:rPr>
  </w:style>
  <w:style w:type="paragraph" w:styleId="1330">
    <w:name w:val="Document Map"/>
    <w:basedOn w:val="1317"/>
    <w:uiPriority w:val="0"/>
    <w:qFormat/>
    <w:rPr>
      <w:rFonts w:ascii="宋体"/>
      <w:sz w:val="18"/>
      <w:szCs w:val="18"/>
    </w:rPr>
  </w:style>
  <w:style w:type="paragraph" w:styleId="1331">
    <w:name w:val="toa heading"/>
    <w:basedOn w:val="1317"/>
    <w:next w:val="1317"/>
    <w:uiPriority w:val="99"/>
    <w:qFormat/>
    <w:pPr>
      <w:spacing w:before="120"/>
    </w:pPr>
    <w:rPr>
      <w:rFonts w:ascii="Cambria" w:hAnsi="Cambria"/>
      <w:sz w:val="24"/>
    </w:rPr>
  </w:style>
  <w:style w:type="paragraph" w:styleId="1332">
    <w:name w:val="annotation text"/>
    <w:basedOn w:val="1317"/>
    <w:link w:val="1423"/>
    <w:uiPriority w:val="99"/>
    <w:qFormat/>
    <w:pPr>
      <w:jc w:val="left"/>
    </w:pPr>
  </w:style>
  <w:style w:type="paragraph" w:styleId="1333">
    <w:name w:val="Body Text"/>
    <w:basedOn w:val="1317"/>
    <w:next w:val="1334"/>
    <w:uiPriority w:val="0"/>
    <w:qFormat/>
    <w:rPr>
      <w:rFonts w:ascii="宋体"/>
      <w:sz w:val="28"/>
    </w:rPr>
  </w:style>
  <w:style w:type="paragraph" w:styleId="1334">
    <w:name w:val="Body Text First Indent"/>
    <w:basedOn w:val="1333"/>
    <w:uiPriority w:val="0"/>
    <w:qFormat/>
    <w:pPr>
      <w:ind w:firstLine="420"/>
    </w:pPr>
  </w:style>
  <w:style w:type="paragraph" w:styleId="1335">
    <w:name w:val="Body Text Indent"/>
    <w:basedOn w:val="1317"/>
    <w:next w:val="1336"/>
    <w:link w:val="1421"/>
    <w:uiPriority w:val="0"/>
    <w:qFormat/>
    <w:pPr>
      <w:ind w:firstLine="420"/>
      <w:spacing w:line="360" w:lineRule="auto"/>
    </w:pPr>
    <w:rPr>
      <w:rFonts w:ascii="宋体"/>
      <w:sz w:val="24"/>
    </w:rPr>
  </w:style>
  <w:style w:type="paragraph" w:styleId="1336">
    <w:name w:val="envelope return"/>
    <w:basedOn w:val="1317"/>
    <w:uiPriority w:val="99"/>
    <w:qFormat/>
    <w:rPr>
      <w:rFonts w:ascii="Arial" w:hAnsi="Arial"/>
    </w:rPr>
  </w:style>
  <w:style w:type="paragraph" w:styleId="1337">
    <w:name w:val="List 2"/>
    <w:basedOn w:val="1317"/>
    <w:uiPriority w:val="0"/>
    <w:qFormat/>
    <w:pPr>
      <w:ind w:left="400" w:hanging="200"/>
    </w:pPr>
  </w:style>
  <w:style w:type="paragraph" w:styleId="1338">
    <w:name w:val="Block Text"/>
    <w:basedOn w:val="1317"/>
    <w:uiPriority w:val="0"/>
    <w:qFormat/>
    <w:pPr>
      <w:ind w:left="540" w:right="26"/>
    </w:pPr>
    <w:rPr>
      <w:sz w:val="24"/>
    </w:rPr>
  </w:style>
  <w:style w:type="paragraph" w:styleId="1339">
    <w:name w:val="index 4"/>
    <w:basedOn w:val="1317"/>
    <w:next w:val="1317"/>
    <w:uiPriority w:val="0"/>
    <w:qFormat/>
    <w:pPr>
      <w:ind w:left="600"/>
    </w:pPr>
    <w:rPr>
      <w:rFonts w:ascii="宋体"/>
      <w:b/>
      <w:position w:val="-10"/>
      <w:sz w:val="24"/>
    </w:rPr>
  </w:style>
  <w:style w:type="paragraph" w:styleId="1340">
    <w:name w:val="toc 5"/>
    <w:basedOn w:val="1317"/>
    <w:next w:val="1317"/>
    <w:uiPriority w:val="0"/>
    <w:qFormat/>
    <w:pPr>
      <w:ind w:left="800"/>
    </w:pPr>
  </w:style>
  <w:style w:type="paragraph" w:styleId="1341">
    <w:name w:val="toc 3"/>
    <w:basedOn w:val="1317"/>
    <w:next w:val="1317"/>
    <w:uiPriority w:val="39"/>
    <w:qFormat/>
    <w:pPr>
      <w:ind w:left="400"/>
    </w:pPr>
  </w:style>
  <w:style w:type="paragraph" w:styleId="1342">
    <w:name w:val="Plain Text"/>
    <w:basedOn w:val="1317"/>
    <w:uiPriority w:val="0"/>
    <w:qFormat/>
    <w:rPr>
      <w:rFonts w:ascii="宋体"/>
    </w:rPr>
  </w:style>
  <w:style w:type="paragraph" w:styleId="1343">
    <w:name w:val="toc 8"/>
    <w:basedOn w:val="1317"/>
    <w:next w:val="1317"/>
    <w:uiPriority w:val="0"/>
    <w:qFormat/>
    <w:pPr>
      <w:ind w:left="1400"/>
    </w:pPr>
  </w:style>
  <w:style w:type="paragraph" w:styleId="1344">
    <w:name w:val="Date"/>
    <w:basedOn w:val="1317"/>
    <w:next w:val="1317"/>
    <w:uiPriority w:val="0"/>
    <w:qFormat/>
    <w:rPr>
      <w:rFonts w:ascii="宋体"/>
    </w:rPr>
  </w:style>
  <w:style w:type="paragraph" w:styleId="1345">
    <w:name w:val="Body Text Indent 2"/>
    <w:basedOn w:val="1317"/>
    <w:uiPriority w:val="0"/>
    <w:qFormat/>
    <w:pPr>
      <w:ind w:firstLine="525"/>
      <w:spacing w:line="420" w:lineRule="exact"/>
    </w:pPr>
    <w:rPr>
      <w:rFonts w:ascii="宋体"/>
    </w:rPr>
  </w:style>
  <w:style w:type="paragraph" w:styleId="1346">
    <w:name w:val="Balloon Text"/>
    <w:basedOn w:val="1317"/>
    <w:uiPriority w:val="0"/>
    <w:qFormat/>
    <w:rPr>
      <w:sz w:val="18"/>
      <w:szCs w:val="18"/>
    </w:rPr>
  </w:style>
  <w:style w:type="paragraph" w:styleId="1347">
    <w:name w:val="Footer"/>
    <w:basedOn w:val="1317"/>
    <w:uiPriority w:val="0"/>
    <w:qFormat/>
    <w:pPr>
      <w:jc w:val="left"/>
      <w:tabs>
        <w:tab w:val="center" w:pos="4153" w:leader="none"/>
        <w:tab w:val="right" w:pos="8306" w:leader="none"/>
      </w:tabs>
    </w:pPr>
    <w:rPr>
      <w:sz w:val="18"/>
    </w:rPr>
  </w:style>
  <w:style w:type="paragraph" w:styleId="1348">
    <w:name w:val="Header"/>
    <w:basedOn w:val="1317"/>
    <w:uiPriority w:val="0"/>
    <w:qFormat/>
    <w:pPr>
      <w:jc w:val="center"/>
      <w:tabs>
        <w:tab w:val="center" w:pos="4153" w:leader="none"/>
        <w:tab w:val="right" w:pos="8306" w:leader="none"/>
      </w:tabs>
      <w:pBdr>
        <w:bottom w:val="single" w:color="auto" w:sz="6" w:space="1"/>
      </w:pBdr>
    </w:pPr>
    <w:rPr>
      <w:sz w:val="18"/>
    </w:rPr>
  </w:style>
  <w:style w:type="paragraph" w:styleId="1349">
    <w:name w:val="toc 1"/>
    <w:basedOn w:val="1317"/>
    <w:next w:val="1317"/>
    <w:uiPriority w:val="39"/>
    <w:qFormat/>
  </w:style>
  <w:style w:type="paragraph" w:styleId="1350">
    <w:name w:val="toc 4"/>
    <w:basedOn w:val="1317"/>
    <w:next w:val="1317"/>
    <w:uiPriority w:val="0"/>
    <w:qFormat/>
    <w:pPr>
      <w:ind w:left="600"/>
    </w:pPr>
  </w:style>
  <w:style w:type="paragraph" w:styleId="1351">
    <w:name w:val="Subtitle"/>
    <w:basedOn w:val="1317"/>
    <w:next w:val="1317"/>
    <w:uiPriority w:val="0"/>
    <w:qFormat/>
    <w:pPr>
      <w:jc w:val="center"/>
      <w:spacing w:before="240" w:after="60" w:line="312" w:lineRule="auto"/>
      <w:outlineLvl w:val="1"/>
    </w:pPr>
    <w:rPr>
      <w:rFonts w:ascii="Cambria" w:hAnsi="Cambria"/>
      <w:b/>
      <w:bCs/>
      <w:sz w:val="32"/>
      <w:szCs w:val="32"/>
    </w:rPr>
  </w:style>
  <w:style w:type="paragraph" w:styleId="1352">
    <w:name w:val="toc 6"/>
    <w:basedOn w:val="1317"/>
    <w:next w:val="1317"/>
    <w:uiPriority w:val="0"/>
    <w:qFormat/>
    <w:pPr>
      <w:ind w:left="1000"/>
    </w:pPr>
  </w:style>
  <w:style w:type="paragraph" w:styleId="1353">
    <w:name w:val="Body Text Indent 3"/>
    <w:basedOn w:val="1317"/>
    <w:uiPriority w:val="0"/>
    <w:qFormat/>
    <w:pPr>
      <w:ind w:firstLine="100"/>
    </w:pPr>
    <w:rPr>
      <w:rFonts w:eastAsia="华文新魏"/>
      <w:b/>
      <w:bCs/>
      <w:sz w:val="84"/>
    </w:rPr>
  </w:style>
  <w:style w:type="paragraph" w:styleId="1354">
    <w:name w:val="toc 2"/>
    <w:basedOn w:val="1317"/>
    <w:next w:val="1317"/>
    <w:uiPriority w:val="39"/>
    <w:qFormat/>
    <w:pPr>
      <w:ind w:left="200"/>
    </w:pPr>
  </w:style>
  <w:style w:type="paragraph" w:styleId="1355">
    <w:name w:val="toc 9"/>
    <w:basedOn w:val="1317"/>
    <w:next w:val="1317"/>
    <w:uiPriority w:val="0"/>
    <w:qFormat/>
    <w:pPr>
      <w:ind w:left="1600"/>
    </w:pPr>
  </w:style>
  <w:style w:type="paragraph" w:styleId="1356">
    <w:name w:val="HTML Preformatted"/>
    <w:basedOn w:val="13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357">
    <w:name w:val="Normal (Web)"/>
    <w:basedOn w:val="1317"/>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58">
    <w:name w:val="Title"/>
    <w:basedOn w:val="1317"/>
    <w:uiPriority w:val="0"/>
    <w:qFormat/>
    <w:pPr>
      <w:jc w:val="center"/>
    </w:pPr>
    <w:rPr>
      <w:sz w:val="30"/>
      <w:szCs w:val="24"/>
    </w:rPr>
  </w:style>
  <w:style w:type="paragraph" w:styleId="1359">
    <w:name w:val="annotation subject"/>
    <w:basedOn w:val="1332"/>
    <w:next w:val="1332"/>
    <w:uiPriority w:val="0"/>
    <w:qFormat/>
    <w:rPr>
      <w:b/>
      <w:bCs/>
    </w:rPr>
  </w:style>
  <w:style w:type="paragraph" w:styleId="1360">
    <w:name w:val="Body Text First Indent 2"/>
    <w:basedOn w:val="1335"/>
    <w:link w:val="1429"/>
    <w:uiPriority w:val="0"/>
    <w:qFormat/>
    <w:pPr>
      <w:ind w:left="420"/>
      <w:spacing w:after="120" w:line="240" w:lineRule="auto"/>
    </w:pPr>
    <w:rPr>
      <w:sz w:val="21"/>
    </w:rPr>
  </w:style>
  <w:style w:type="table" w:styleId="1361">
    <w:name w:val="Table Grid"/>
    <w:basedOn w:val="132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62">
    <w:name w:val="Strong"/>
    <w:uiPriority w:val="0"/>
    <w:qFormat/>
    <w:rPr>
      <w:b/>
      <w:bCs/>
    </w:rPr>
  </w:style>
  <w:style w:type="character" w:styleId="1363">
    <w:name w:val="page number"/>
    <w:basedOn w:val="1324"/>
    <w:uiPriority w:val="0"/>
    <w:qFormat/>
  </w:style>
  <w:style w:type="character" w:styleId="1364">
    <w:name w:val="Emphasis"/>
    <w:uiPriority w:val="0"/>
    <w:qFormat/>
    <w:rPr>
      <w:i/>
    </w:rPr>
  </w:style>
  <w:style w:type="character" w:styleId="1365">
    <w:name w:val="Hyperlink"/>
    <w:uiPriority w:val="99"/>
    <w:qFormat/>
    <w:rPr>
      <w:color w:val="000000"/>
      <w:sz w:val="18"/>
      <w:szCs w:val="18"/>
      <w:u w:val="none"/>
    </w:rPr>
  </w:style>
  <w:style w:type="character" w:styleId="1366">
    <w:name w:val="annotation reference"/>
    <w:basedOn w:val="1324"/>
    <w:uiPriority w:val="0"/>
    <w:qFormat/>
    <w:rPr>
      <w:sz w:val="21"/>
      <w:szCs w:val="21"/>
    </w:rPr>
  </w:style>
  <w:style w:type="paragraph" w:styleId="1367" w:customStyle="1">
    <w:name w:val="[Normal]"/>
    <w:uiPriority w:val="99"/>
    <w:qFormat/>
    <w:rPr>
      <w:rFonts w:ascii="方正仿宋简体" w:hAnsi="方正仿宋简体" w:eastAsia="方正仿宋简体" w:cs="Courier New"/>
      <w:sz w:val="24"/>
      <w:szCs w:val="22"/>
      <w:lang w:val="zh-CN" w:eastAsia="zh-CN" w:bidi="ar-SA"/>
    </w:rPr>
  </w:style>
  <w:style w:type="paragraph" w:styleId="1368" w:customStyle="1">
    <w:name w:val="二级条标题"/>
    <w:basedOn w:val="1369"/>
    <w:next w:val="1317"/>
    <w:uiPriority w:val="0"/>
    <w:qFormat/>
    <w:pPr>
      <w:outlineLvl w:val="2"/>
    </w:pPr>
    <w:rPr>
      <w:szCs w:val="24"/>
    </w:rPr>
  </w:style>
  <w:style w:type="paragraph" w:styleId="1369" w:customStyle="1">
    <w:name w:val="一级条标题"/>
    <w:basedOn w:val="1370"/>
    <w:next w:val="1317"/>
    <w:uiPriority w:val="0"/>
    <w:qFormat/>
    <w:pPr>
      <w:outlineLvl w:val="1"/>
    </w:pPr>
    <w:rPr>
      <w:sz w:val="24"/>
    </w:rPr>
  </w:style>
  <w:style w:type="paragraph" w:styleId="1370" w:customStyle="1">
    <w:name w:val="章标题"/>
    <w:basedOn w:val="1317"/>
    <w:next w:val="1317"/>
    <w:uiPriority w:val="0"/>
    <w:qFormat/>
    <w:pPr>
      <w:numPr>
        <w:ilvl w:val="0"/>
        <w:numId w:val="1"/>
      </w:numPr>
      <w:jc w:val="left"/>
      <w:outlineLvl w:val="0"/>
    </w:pPr>
    <w:rPr>
      <w:b/>
      <w:sz w:val="28"/>
      <w:szCs w:val="28"/>
    </w:rPr>
  </w:style>
  <w:style w:type="paragraph" w:styleId="1371" w:customStyle="1">
    <w:name w:val="Char Char Char Char Char Char Char"/>
    <w:basedOn w:val="1317"/>
    <w:uiPriority w:val="0"/>
    <w:qFormat/>
    <w:pPr>
      <w:ind w:left="432" w:hanging="432"/>
      <w:jc w:val="center"/>
      <w:tabs>
        <w:tab w:val="left" w:pos="432" w:leader="none"/>
      </w:tabs>
    </w:pPr>
    <w:rPr>
      <w:rFonts w:ascii="仿宋_GB2312" w:hAnsi="仿宋_GB2312" w:eastAsia="仿宋_GB2312"/>
      <w:sz w:val="24"/>
      <w:szCs w:val="24"/>
    </w:rPr>
  </w:style>
  <w:style w:type="paragraph" w:styleId="1372" w:customStyle="1">
    <w:name w:val="Char Char Char Char Char Char Char1"/>
    <w:basedOn w:val="1317"/>
    <w:uiPriority w:val="0"/>
    <w:qFormat/>
    <w:rPr>
      <w:rFonts w:ascii="Tahoma" w:hAnsi="Tahoma" w:cs="仿宋_GB2312"/>
      <w:sz w:val="24"/>
      <w:szCs w:val="28"/>
    </w:rPr>
  </w:style>
  <w:style w:type="paragraph" w:styleId="1373" w:customStyle="1">
    <w:name w:val="正文文本首行缩进1"/>
    <w:basedOn w:val="1333"/>
    <w:uiPriority w:val="0"/>
    <w:qFormat/>
    <w:pPr>
      <w:ind w:firstLine="420"/>
    </w:pPr>
  </w:style>
  <w:style w:type="paragraph" w:styleId="1374" w:customStyle="1">
    <w:name w:val="表中字"/>
    <w:basedOn w:val="1317"/>
    <w:uiPriority w:val="0"/>
    <w:qFormat/>
    <w:pPr>
      <w:jc w:val="center"/>
    </w:pPr>
    <w:rPr>
      <w:szCs w:val="21"/>
    </w:rPr>
  </w:style>
  <w:style w:type="paragraph" w:styleId="1375" w:customStyle="1">
    <w:name w:val="Char Char"/>
    <w:basedOn w:val="1317"/>
    <w:uiPriority w:val="0"/>
    <w:qFormat/>
    <w:pPr>
      <w:ind w:left="360" w:hanging="360"/>
    </w:pPr>
    <w:rPr>
      <w:sz w:val="24"/>
      <w:szCs w:val="24"/>
    </w:rPr>
  </w:style>
  <w:style w:type="paragraph" w:styleId="1376" w:customStyle="1">
    <w:name w:val="正文1"/>
    <w:basedOn w:val="1317"/>
    <w:uiPriority w:val="0"/>
    <w:qFormat/>
    <w:pPr>
      <w:jc w:val="left"/>
      <w:spacing w:after="200" w:line="300" w:lineRule="atLeast"/>
      <w:widowControl/>
    </w:pPr>
    <w:rPr>
      <w:rFonts w:ascii="Calibri" w:hAnsi="Calibri" w:cs="宋体"/>
      <w:sz w:val="22"/>
      <w:szCs w:val="22"/>
    </w:rPr>
  </w:style>
  <w:style w:type="paragraph" w:styleId="1377" w:customStyle="1">
    <w:name w:val="彩色列表 - 强调文字颜色 11"/>
    <w:basedOn w:val="1317"/>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378" w:customStyle="1">
    <w:name w:val="图片格式"/>
    <w:basedOn w:val="1317"/>
    <w:next w:val="1317"/>
    <w:uiPriority w:val="0"/>
    <w:qFormat/>
    <w:pPr>
      <w:jc w:val="center"/>
      <w:keepNext/>
    </w:pPr>
  </w:style>
  <w:style w:type="paragraph" w:styleId="1379" w:customStyle="1">
    <w:name w:val="列表段落1"/>
    <w:basedOn w:val="1317"/>
    <w:uiPriority w:val="0"/>
    <w:qFormat/>
    <w:pPr>
      <w:ind w:firstLine="200"/>
    </w:pPr>
    <w:rPr>
      <w:rFonts w:ascii="Calibri" w:hAnsi="Calibri"/>
      <w:szCs w:val="22"/>
    </w:rPr>
  </w:style>
  <w:style w:type="paragraph" w:styleId="1380" w:customStyle="1">
    <w:name w:val="简单回函地址"/>
    <w:basedOn w:val="1317"/>
    <w:uiPriority w:val="0"/>
    <w:qFormat/>
    <w:rPr>
      <w:szCs w:val="24"/>
    </w:rPr>
  </w:style>
  <w:style w:type="paragraph" w:styleId="1381" w:customStyle="1">
    <w:name w:val="Table Sub Section"/>
    <w:basedOn w:val="1317"/>
    <w:uiPriority w:val="0"/>
    <w:qFormat/>
    <w:pPr>
      <w:jc w:val="left"/>
      <w:keepNext/>
      <w:spacing w:before="160" w:after="160" w:line="276" w:lineRule="auto"/>
      <w:widowControl/>
    </w:pPr>
    <w:rPr>
      <w:rFonts w:ascii="Arial" w:hAnsi="Arial"/>
      <w:b/>
      <w:color w:val="0f0f0f"/>
      <w:sz w:val="20"/>
      <w:lang w:eastAsia="en-US"/>
    </w:rPr>
  </w:style>
  <w:style w:type="paragraph" w:styleId="1382" w:customStyle="1">
    <w:name w:val="yiv1658056056msonormal"/>
    <w:basedOn w:val="1317"/>
    <w:uiPriority w:val="0"/>
    <w:qFormat/>
    <w:pPr>
      <w:jc w:val="left"/>
      <w:spacing w:before="100" w:beforeAutospacing="1" w:after="100" w:afterAutospacing="1"/>
      <w:widowControl/>
    </w:pPr>
    <w:rPr>
      <w:rFonts w:ascii="宋体" w:cs="宋体"/>
      <w:sz w:val="24"/>
      <w:szCs w:val="24"/>
    </w:rPr>
  </w:style>
  <w:style w:type="paragraph" w:styleId="1383" w:customStyle="1">
    <w:name w:val="列出段落1"/>
    <w:basedOn w:val="1317"/>
    <w:uiPriority w:val="0"/>
    <w:qFormat/>
    <w:pPr>
      <w:ind w:firstLine="200"/>
    </w:pPr>
    <w:rPr>
      <w:rFonts w:ascii="Calibri" w:hAnsi="Calibri"/>
      <w:szCs w:val="22"/>
    </w:rPr>
  </w:style>
  <w:style w:type="paragraph" w:styleId="1384" w:customStyle="1">
    <w:name w:val="样式 首行缩进:  2 字符"/>
    <w:basedOn w:val="1317"/>
    <w:uiPriority w:val="0"/>
    <w:qFormat/>
    <w:pPr>
      <w:ind w:firstLine="200"/>
      <w:spacing w:line="400" w:lineRule="exact"/>
    </w:pPr>
    <w:rPr>
      <w:rFonts w:cs="宋体"/>
      <w:sz w:val="24"/>
      <w:szCs w:val="24"/>
    </w:rPr>
  </w:style>
  <w:style w:type="paragraph" w:styleId="1385" w:customStyle="1">
    <w:name w:val="p0"/>
    <w:basedOn w:val="1317"/>
    <w:uiPriority w:val="0"/>
    <w:qFormat/>
    <w:pPr>
      <w:widowControl/>
    </w:pPr>
    <w:rPr>
      <w:szCs w:val="21"/>
    </w:rPr>
  </w:style>
  <w:style w:type="paragraph" w:styleId="1386" w:customStyle="1">
    <w:name w:val="列表段落2"/>
    <w:basedOn w:val="1317"/>
    <w:uiPriority w:val="0"/>
    <w:qFormat/>
    <w:pPr>
      <w:ind w:firstLine="200"/>
      <w:jc w:val="left"/>
      <w:spacing w:line="300" w:lineRule="auto"/>
    </w:pPr>
    <w:rPr>
      <w:szCs w:val="22"/>
    </w:rPr>
  </w:style>
  <w:style w:type="paragraph" w:styleId="1387" w:customStyle="1">
    <w:name w:val="Char Char Char"/>
    <w:basedOn w:val="1317"/>
    <w:uiPriority w:val="0"/>
    <w:qFormat/>
    <w:pPr>
      <w:jc w:val="center"/>
      <w:spacing w:line="400" w:lineRule="exact"/>
      <w:widowControl/>
    </w:pPr>
    <w:rPr>
      <w:szCs w:val="24"/>
    </w:rPr>
  </w:style>
  <w:style w:type="paragraph" w:styleId="1388" w:customStyle="1">
    <w:name w:val="编号一级列项"/>
    <w:basedOn w:val="1317"/>
    <w:uiPriority w:val="0"/>
    <w:qFormat/>
    <w:pPr>
      <w:numPr>
        <w:ilvl w:val="6"/>
        <w:numId w:val="1"/>
      </w:numPr>
      <w:jc w:val="left"/>
      <w:outlineLvl w:val="6"/>
    </w:pPr>
  </w:style>
  <w:style w:type="paragraph" w:styleId="1389"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390" w:customStyle="1">
    <w:name w:val="Normal1"/>
    <w:basedOn w:val="1317"/>
    <w:uiPriority w:val="0"/>
    <w:qFormat/>
    <w:pPr>
      <w:jc w:val="left"/>
      <w:spacing w:after="200" w:line="300" w:lineRule="atLeast"/>
      <w:widowControl/>
    </w:pPr>
    <w:rPr>
      <w:rFonts w:ascii="Calibri" w:hAnsi="Calibri" w:cs="宋体"/>
      <w:sz w:val="22"/>
      <w:szCs w:val="22"/>
    </w:rPr>
  </w:style>
  <w:style w:type="paragraph" w:styleId="1391" w:customStyle="1">
    <w:name w:val="标准文本"/>
    <w:basedOn w:val="1317"/>
    <w:uiPriority w:val="0"/>
    <w:qFormat/>
    <w:pPr>
      <w:ind w:firstLine="200"/>
      <w:spacing w:line="300" w:lineRule="auto"/>
    </w:pPr>
    <w:rPr>
      <w:rFonts w:ascii="宋体" w:cs="宋体"/>
      <w:szCs w:val="21"/>
    </w:rPr>
  </w:style>
  <w:style w:type="paragraph" w:styleId="1392" w:customStyle="1">
    <w:name w:val="正文文本首行缩进 21"/>
    <w:basedOn w:val="1317"/>
    <w:uiPriority w:val="0"/>
    <w:qFormat/>
    <w:pPr>
      <w:ind w:firstLine="200"/>
    </w:pPr>
    <w:rPr>
      <w:sz w:val="24"/>
      <w:szCs w:val="24"/>
    </w:rPr>
  </w:style>
  <w:style w:type="paragraph" w:styleId="1393"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394"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395"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396"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397"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398"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399"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400"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401"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402"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403"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404"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405"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406"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407"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408"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409"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410" w:customStyle="1">
    <w:name w:val="列出段落2"/>
    <w:basedOn w:val="1317"/>
    <w:uiPriority w:val="99"/>
    <w:qFormat/>
    <w:pPr>
      <w:ind w:firstLine="420"/>
    </w:pPr>
    <w:rPr>
      <w:rFonts w:ascii="Calibri" w:hAnsi="Calibri"/>
      <w:szCs w:val="22"/>
    </w:rPr>
  </w:style>
  <w:style w:type="paragraph" w:styleId="1411" w:customStyle="1">
    <w:name w:val="表格"/>
    <w:basedOn w:val="1351"/>
    <w:next w:val="1317"/>
    <w:uiPriority w:val="0"/>
    <w:qFormat/>
    <w:pPr>
      <w:jc w:val="left"/>
      <w:spacing w:line="240" w:lineRule="auto"/>
      <w:widowControl/>
      <w:outlineLvl w:val="9"/>
    </w:pPr>
    <w:rPr>
      <w:rFonts w:eastAsia="仿宋"/>
      <w:b w:val="0"/>
      <w:sz w:val="21"/>
    </w:rPr>
  </w:style>
  <w:style w:type="paragraph" w:styleId="1412" w:customStyle="1">
    <w:name w:val="列表段落3"/>
    <w:basedOn w:val="1317"/>
    <w:uiPriority w:val="34"/>
    <w:qFormat/>
    <w:pPr>
      <w:ind w:firstLine="420"/>
    </w:pPr>
    <w:rPr>
      <w:rFonts w:ascii="Calibri" w:hAnsi="Calibri"/>
      <w:szCs w:val="22"/>
    </w:rPr>
  </w:style>
  <w:style w:type="paragraph" w:styleId="1413"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414" w:customStyle="1">
    <w:name w:val="访问过的超链接1"/>
    <w:uiPriority w:val="0"/>
    <w:qFormat/>
    <w:rPr>
      <w:color w:val="000000"/>
      <w:sz w:val="18"/>
      <w:szCs w:val="18"/>
      <w:u w:val="none"/>
    </w:rPr>
  </w:style>
  <w:style w:type="character" w:styleId="1415" w:customStyle="1">
    <w:name w:val="c lh15"/>
    <w:basedOn w:val="1324"/>
    <w:uiPriority w:val="0"/>
    <w:qFormat/>
  </w:style>
  <w:style w:type="character" w:styleId="1416" w:customStyle="1">
    <w:name w:val="style21"/>
    <w:uiPriority w:val="0"/>
    <w:qFormat/>
    <w:rPr>
      <w:sz w:val="18"/>
      <w:szCs w:val="18"/>
    </w:rPr>
  </w:style>
  <w:style w:type="character" w:styleId="1417" w:customStyle="1">
    <w:name w:val="A13"/>
    <w:uiPriority w:val="0"/>
    <w:qFormat/>
    <w:rPr>
      <w:rFonts w:ascii="Univers LT Std 45 Light" w:eastAsia="Univers LT Std 45 Light" w:cs="Univers LT Std 45 Light"/>
      <w:color w:val="221e1f"/>
      <w:sz w:val="10"/>
      <w:szCs w:val="10"/>
    </w:rPr>
  </w:style>
  <w:style w:type="character" w:styleId="1418" w:customStyle="1">
    <w:name w:val="页脚 字符"/>
    <w:uiPriority w:val="0"/>
    <w:qFormat/>
  </w:style>
  <w:style w:type="character" w:styleId="1419" w:customStyle="1">
    <w:name w:val="font21"/>
    <w:uiPriority w:val="0"/>
    <w:qFormat/>
    <w:rPr>
      <w:rFonts w:ascii="宋体" w:eastAsia="宋体" w:cs="宋体"/>
      <w:color w:val="000000"/>
      <w:sz w:val="20"/>
      <w:szCs w:val="20"/>
      <w:u w:val="none"/>
      <w:lang w:bidi="ar-SA"/>
    </w:rPr>
  </w:style>
  <w:style w:type="character" w:styleId="1420" w:customStyle="1">
    <w:name w:val="font31"/>
    <w:uiPriority w:val="0"/>
    <w:qFormat/>
    <w:rPr>
      <w:rFonts w:ascii="宋体" w:eastAsia="宋体" w:cs="宋体"/>
      <w:color w:val="000000"/>
      <w:sz w:val="20"/>
      <w:szCs w:val="20"/>
      <w:u w:val="none"/>
      <w:lang w:bidi="ar-SA"/>
    </w:rPr>
  </w:style>
  <w:style w:type="character" w:styleId="1421" w:customStyle="1">
    <w:name w:val="正文文本缩进 字符"/>
    <w:link w:val="1335"/>
    <w:uiPriority w:val="0"/>
    <w:qFormat/>
    <w:rPr>
      <w:rFonts w:ascii="宋体"/>
      <w:sz w:val="24"/>
    </w:rPr>
  </w:style>
  <w:style w:type="character" w:styleId="1422" w:customStyle="1">
    <w:name w:val="doctitle"/>
    <w:basedOn w:val="1324"/>
    <w:uiPriority w:val="0"/>
    <w:qFormat/>
  </w:style>
  <w:style w:type="character" w:styleId="1423" w:customStyle="1">
    <w:name w:val="批注文字 字符"/>
    <w:link w:val="1332"/>
    <w:uiPriority w:val="99"/>
    <w:qFormat/>
    <w:rPr>
      <w:sz w:val="21"/>
    </w:rPr>
  </w:style>
  <w:style w:type="paragraph" w:styleId="1424">
    <w:name w:val="List Paragraph"/>
    <w:basedOn w:val="1317"/>
    <w:uiPriority w:val="1"/>
    <w:qFormat/>
    <w:pPr>
      <w:ind w:left="598" w:firstLine="420"/>
    </w:pPr>
    <w:rPr>
      <w:rFonts w:ascii="宋体" w:hAnsi="宋体" w:cs="宋体"/>
      <w:lang w:val="zh-CN" w:bidi="zh-CN"/>
    </w:rPr>
  </w:style>
  <w:style w:type="paragraph" w:styleId="1425" w:customStyle="1">
    <w:name w:val="Table Paragraph"/>
    <w:basedOn w:val="1317"/>
    <w:uiPriority w:val="1"/>
    <w:qFormat/>
    <w:rPr>
      <w:rFonts w:ascii="宋体" w:hAnsi="宋体" w:cs="宋体"/>
      <w:lang w:val="zh-CN" w:bidi="zh-CN"/>
    </w:rPr>
  </w:style>
  <w:style w:type="paragraph" w:styleId="1426" w:customStyle="1">
    <w:name w:val="列表段落31"/>
    <w:basedOn w:val="1317"/>
    <w:uiPriority w:val="34"/>
    <w:qFormat/>
    <w:pPr>
      <w:ind w:firstLine="420"/>
    </w:pPr>
    <w:rPr>
      <w:rFonts w:ascii="Calibri" w:hAnsi="Calibri"/>
      <w:szCs w:val="22"/>
    </w:rPr>
  </w:style>
  <w:style w:type="paragraph" w:styleId="1427" w:customStyle="1">
    <w:name w:val="修订1"/>
    <w:hidden/>
    <w:uiPriority w:val="99"/>
    <w:semiHidden/>
    <w:qFormat/>
    <w:rPr>
      <w:rFonts w:ascii="Times New Roman" w:hAnsi="Times New Roman" w:eastAsia="宋体" w:cs="Times New Roman"/>
      <w:sz w:val="21"/>
      <w:lang w:val="en-US" w:eastAsia="zh-CN" w:bidi="ar-SA"/>
    </w:rPr>
  </w:style>
  <w:style w:type="paragraph" w:styleId="1428" w:customStyle="1">
    <w:name w:val="首行缩进"/>
    <w:basedOn w:val="1317"/>
    <w:uiPriority w:val="0"/>
    <w:qFormat/>
    <w:pPr>
      <w:ind w:firstLine="480"/>
    </w:pPr>
    <w:rPr>
      <w:rFonts w:ascii="Calibri" w:hAnsi="Calibri" w:eastAsia="Calibri" w:cs="宋体"/>
      <w:sz w:val="20"/>
      <w:lang w:val="zh-CN"/>
    </w:rPr>
  </w:style>
  <w:style w:type="character" w:styleId="1429" w:customStyle="1">
    <w:name w:val="正文文本首行缩进 2 字符"/>
    <w:basedOn w:val="1421"/>
    <w:link w:val="1360"/>
    <w:uiPriority w:val="0"/>
    <w:qFormat/>
    <w:rPr>
      <w:rFonts w:ascii="宋体"/>
      <w:sz w:val="21"/>
    </w:rPr>
  </w:style>
  <w:style w:type="paragraph" w:styleId="1430" w:customStyle="1">
    <w:name w:val="修订2"/>
    <w:hidden/>
    <w:uiPriority w:val="99"/>
    <w:unhideWhenUsed/>
    <w:qFormat/>
    <w:rPr>
      <w:rFonts w:ascii="Times New Roman" w:hAnsi="Times New Roman" w:eastAsia="宋体" w:cs="Times New Roman"/>
      <w:sz w:val="21"/>
      <w:lang w:val="en-US" w:eastAsia="zh-CN" w:bidi="ar-SA"/>
    </w:rPr>
  </w:style>
  <w:style w:type="paragraph" w:styleId="1431" w:customStyle="1">
    <w:name w:val="正文缩进1"/>
    <w:basedOn w:val="1317"/>
    <w:uiPriority w:val="0"/>
    <w:qFormat/>
    <w:pPr>
      <w:ind w:firstLine="420"/>
    </w:pPr>
  </w:style>
  <w:style w:type="paragraph" w:styleId="1432" w:customStyle="1">
    <w:name w:val="修订3"/>
    <w:hidden/>
    <w:uiPriority w:val="99"/>
    <w:unhideWhenUsed/>
    <w:qFormat/>
    <w:rPr>
      <w:rFonts w:ascii="Times New Roman" w:hAnsi="Times New Roman" w:eastAsia="宋体" w:cs="Times New Roman"/>
      <w:sz w:val="21"/>
      <w:lang w:val="en-US" w:eastAsia="zh-CN" w:bidi="ar-SA"/>
    </w:rPr>
  </w:style>
  <w:style w:type="paragraph" w:styleId="1433" w:customStyle="1">
    <w:name w:val="正文首行缩进1"/>
    <w:basedOn w:val="1434"/>
    <w:uiPriority w:val="0"/>
    <w:qFormat/>
    <w:pPr>
      <w:ind w:firstLine="420"/>
      <w:spacing w:line="360" w:lineRule="auto"/>
    </w:pPr>
    <w:rPr>
      <w:rFonts w:ascii="Times New Roman"/>
      <w:szCs w:val="21"/>
    </w:rPr>
  </w:style>
  <w:style w:type="paragraph" w:styleId="1434" w:customStyle="1">
    <w:name w:val="正文文本1"/>
    <w:basedOn w:val="1317"/>
    <w:next w:val="1317"/>
    <w:uiPriority w:val="0"/>
    <w:qFormat/>
    <w:rPr>
      <w:rFonts w:ascii="宋体"/>
      <w:sz w:val="28"/>
    </w:rPr>
  </w:style>
  <w:style w:type="paragraph" w:styleId="1435" w:customStyle="1">
    <w:name w:val="页脚1"/>
    <w:basedOn w:val="1317"/>
    <w:uiPriority w:val="99"/>
    <w:qFormat/>
    <w:pPr>
      <w:jc w:val="left"/>
      <w:tabs>
        <w:tab w:val="center" w:pos="4153" w:leader="none"/>
        <w:tab w:val="right" w:pos="8306" w:leader="none"/>
      </w:tabs>
    </w:pPr>
    <w:rPr>
      <w:sz w:val="18"/>
    </w:rPr>
  </w:style>
  <w:style w:type="numbering" w:styleId="14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customXml" Target="../customXml/item1.xml" /><Relationship Id="rId2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DC4B239-D092-423C-8A28-F3EED5815A2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dc:description>Shankar's Birthday falls on 25th July.  Don't Forget to wish him</dc:description>
  <cp:lastModifiedBy>宣家红</cp:lastModifiedBy>
  <cp:revision>50</cp:revision>
  <dcterms:created xsi:type="dcterms:W3CDTF">2026-06-08T06:51:00Z</dcterms:created>
  <dcterms:modified xsi:type="dcterms:W3CDTF">2026-08-05T07:51:07Z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CDAF753E2F0B41279901F379AC567BB0_13</vt:lpwstr>
  </property>
  <property fmtid="{D5CDD505-2E9C-101B-9397-08002B2CF9AE}" pid="4" name="KSOTemplateDocerSaveRecord">
    <vt:lpwstr>eyJoZGlkIjoiYTlmMmNlZWI3MDhhMGNmYjRlYTliODJmZDUyMzcyNGEiLCJ1c2VySWQiOiIxODAwNDg2ODQ5In0=</vt:lpwstr>
  </property>
</Properties>
</file>