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caps/>
          <w:sz w:val="44"/>
          <w:szCs w:val="44"/>
          <w:highlight w:val="none"/>
        </w:rPr>
      </w:pPr>
      <w:r>
        <w:rPr>
          <w:rFonts w:ascii="宋体"/>
          <w:caps/>
          <w:sz w:val="44"/>
          <w:szCs w:val="44"/>
          <w:highlight w:val="none"/>
          <w:lang w:val="zh-CN"/>
        </w:rPr>
      </w:r>
      <w:r>
        <w:rPr>
          <w:highlight w:val="none"/>
        </w:rPr>
      </w:r>
      <w:r/>
    </w:p>
    <w:p>
      <w:pPr>
        <w:rPr>
          <w:rFonts w:ascii="宋体"/>
          <w:caps/>
          <w:sz w:val="44"/>
          <w:szCs w:val="44"/>
          <w:highlight w:val="none"/>
        </w:rPr>
      </w:pPr>
      <w:r>
        <w:rPr>
          <w:rFonts w:ascii="宋体"/>
          <w:caps/>
          <w:sz w:val="44"/>
          <w:szCs w:val="44"/>
          <w:highlight w:val="none"/>
          <w:lang w:val="zh-CN"/>
        </w:rPr>
      </w:r>
      <w:r>
        <w:rPr>
          <w:highlight w:val="none"/>
        </w:rPr>
      </w:r>
      <w:r/>
    </w:p>
    <w:p>
      <w:pPr>
        <w:jc w:val="center"/>
        <w:rPr>
          <w:rFonts w:ascii="仿宋" w:hAnsi="仿宋" w:eastAsia="仿宋" w:cs="仿宋"/>
          <w:b/>
          <w:sz w:val="20"/>
          <w:highlight w:val="none"/>
        </w:rPr>
      </w:pPr>
      <w:r>
        <w:rPr>
          <w:highlight w:val="none"/>
        </w:rPr>
      </w:r>
      <w:bookmarkStart w:id="0" w:name="_Toc503948053"/>
      <w:r>
        <w:rPr>
          <w:highlight w:val="none"/>
        </w:rPr>
      </w:r>
      <w:bookmarkStart w:id="1" w:name="_Toc503948559"/>
      <w:r>
        <w:rPr>
          <w:rFonts w:hint="eastAsia" w:ascii="仿宋" w:hAnsi="仿宋" w:eastAsia="仿宋" w:cs="仿宋"/>
          <w:b/>
          <w:sz w:val="72"/>
          <w:highlight w:val="none"/>
        </w:rPr>
        <w:t xml:space="preserve">竞争性磋商文件</w:t>
      </w:r>
      <w:bookmarkEnd w:id="0"/>
      <w:r>
        <w:rPr>
          <w:highlight w:val="none"/>
        </w:rPr>
      </w:r>
      <w:bookmarkEnd w:id="1"/>
      <w:r>
        <w:rPr>
          <w:highlight w:val="none"/>
        </w:rPr>
      </w:r>
      <w:r/>
    </w:p>
    <w:p>
      <w:pPr>
        <w:rPr>
          <w:rFonts w:ascii="黑体" w:eastAsia="黑体"/>
          <w:sz w:val="32"/>
          <w:szCs w:val="32"/>
          <w:highlight w:val="none"/>
        </w:rPr>
      </w:pPr>
      <w:r>
        <w:rPr>
          <w:rFonts w:ascii="黑体" w:eastAsia="黑体"/>
          <w:sz w:val="32"/>
          <w:szCs w:val="32"/>
          <w:highlight w:val="none"/>
          <w:lang w:val="zh-CN"/>
        </w:rPr>
      </w:r>
      <w:r>
        <w:rPr>
          <w:highlight w:val="none"/>
        </w:rPr>
      </w:r>
      <w:r/>
    </w:p>
    <w:p>
      <w:pPr>
        <w:rPr>
          <w:rFonts w:ascii="黑体" w:eastAsia="黑体"/>
          <w:sz w:val="32"/>
          <w:szCs w:val="32"/>
          <w:highlight w:val="none"/>
        </w:rPr>
      </w:pPr>
      <w:r>
        <w:rPr>
          <w:rFonts w:ascii="黑体" w:eastAsia="黑体"/>
          <w:sz w:val="32"/>
          <w:szCs w:val="32"/>
          <w:highlight w:val="none"/>
          <w:lang w:val="zh-CN"/>
        </w:rPr>
      </w:r>
      <w:r>
        <w:rPr>
          <w:highlight w:val="none"/>
        </w:rPr>
      </w:r>
      <w:r/>
    </w:p>
    <w:p>
      <w:pPr>
        <w:rPr>
          <w:rFonts w:ascii="黑体" w:eastAsia="黑体"/>
          <w:sz w:val="32"/>
          <w:szCs w:val="32"/>
          <w:highlight w:val="none"/>
        </w:rPr>
      </w:pPr>
      <w:r>
        <w:rPr>
          <w:rFonts w:ascii="黑体" w:eastAsia="黑体"/>
          <w:sz w:val="32"/>
          <w:szCs w:val="32"/>
          <w:highlight w:val="none"/>
          <w:lang w:val="zh-CN"/>
        </w:rPr>
      </w:r>
      <w:r>
        <w:rPr>
          <w:highlight w:val="none"/>
        </w:rPr>
      </w:r>
      <w:r/>
    </w:p>
    <w:p>
      <w:pPr>
        <w:rPr>
          <w:rFonts w:ascii="黑体" w:eastAsia="黑体"/>
          <w:sz w:val="44"/>
          <w:szCs w:val="44"/>
          <w:highlight w:val="none"/>
        </w:rPr>
      </w:pPr>
      <w:r>
        <w:rPr>
          <w:rFonts w:ascii="黑体" w:eastAsia="黑体"/>
          <w:sz w:val="44"/>
          <w:szCs w:val="44"/>
          <w:highlight w:val="none"/>
          <w:lang w:val="zh-CN"/>
        </w:rPr>
      </w:r>
      <w:r>
        <w:rPr>
          <w:highlight w:val="none"/>
        </w:rPr>
      </w:r>
      <w:r/>
    </w:p>
    <w:p>
      <w:pPr>
        <w:ind w:left="420"/>
        <w:rPr>
          <w:rFonts w:ascii="仿宋" w:hAnsi="仿宋" w:eastAsia="仿宋" w:cs="仿宋"/>
          <w:sz w:val="36"/>
          <w:szCs w:val="36"/>
          <w:highlight w:val="none"/>
        </w:rPr>
      </w:pPr>
      <w:r>
        <w:rPr>
          <w:rFonts w:hint="eastAsia" w:ascii="仿宋" w:hAnsi="仿宋" w:eastAsia="仿宋" w:cs="仿宋"/>
          <w:sz w:val="36"/>
          <w:szCs w:val="36"/>
          <w:highlight w:val="none"/>
          <w:lang w:val="zh-CN"/>
        </w:rPr>
        <w:t xml:space="preserve">项目编号：</w:t>
      </w:r>
      <w:r>
        <w:rPr>
          <w:rFonts w:hint="eastAsia" w:ascii="仿宋" w:hAnsi="仿宋" w:eastAsia="仿宋" w:cs="仿宋"/>
          <w:sz w:val="36"/>
          <w:szCs w:val="36"/>
          <w:highlight w:val="none"/>
          <w:lang w:val="zh-CN"/>
        </w:rPr>
        <w:t xml:space="preserve">JSZC-320116-JSGH-C2026-0007</w:t>
      </w:r>
      <w:r>
        <w:rPr>
          <w:highlight w:val="none"/>
        </w:rPr>
      </w:r>
      <w:r/>
    </w:p>
    <w:p>
      <w:pPr>
        <w:ind w:left="420"/>
        <w:rPr>
          <w:rFonts w:ascii="仿宋" w:hAnsi="仿宋" w:eastAsia="仿宋" w:cs="仿宋"/>
          <w:sz w:val="36"/>
          <w:szCs w:val="36"/>
          <w:highlight w:val="none"/>
        </w:rPr>
      </w:pPr>
      <w:r>
        <w:rPr>
          <w:rFonts w:ascii="仿宋" w:hAnsi="仿宋" w:eastAsia="仿宋" w:cs="仿宋"/>
          <w:sz w:val="36"/>
          <w:szCs w:val="36"/>
          <w:highlight w:val="none"/>
          <w:lang w:val="zh-CN"/>
        </w:rPr>
      </w:r>
      <w:r>
        <w:rPr>
          <w:highlight w:val="none"/>
        </w:rPr>
      </w:r>
      <w:r/>
    </w:p>
    <w:p>
      <w:pPr>
        <w:ind w:left="420"/>
        <w:rPr>
          <w:rFonts w:ascii="黑体" w:eastAsia="黑体"/>
          <w:sz w:val="32"/>
          <w:szCs w:val="32"/>
          <w:highlight w:val="none"/>
        </w:rPr>
      </w:pPr>
      <w:r>
        <w:rPr>
          <w:rFonts w:hint="eastAsia" w:ascii="仿宋" w:hAnsi="仿宋" w:eastAsia="仿宋" w:cs="仿宋"/>
          <w:sz w:val="36"/>
          <w:szCs w:val="36"/>
          <w:highlight w:val="none"/>
          <w:lang w:val="zh-CN"/>
        </w:rPr>
        <w:t xml:space="preserve">项目名称：马鞍街道鞍山骨灰堂（一期扩建）工程</w:t>
      </w:r>
      <w:r>
        <w:rPr>
          <w:highlight w:val="none"/>
        </w:rPr>
      </w:r>
      <w:r/>
    </w:p>
    <w:p>
      <w:pPr>
        <w:ind w:left="420"/>
        <w:rPr>
          <w:rFonts w:ascii="仿宋" w:hAnsi="仿宋" w:eastAsia="仿宋" w:cs="仿宋"/>
          <w:sz w:val="36"/>
          <w:szCs w:val="36"/>
          <w:highlight w:val="none"/>
        </w:rPr>
      </w:pPr>
      <w:r>
        <w:rPr>
          <w:rFonts w:ascii="仿宋" w:hAnsi="仿宋" w:eastAsia="仿宋" w:cs="仿宋"/>
          <w:sz w:val="36"/>
          <w:szCs w:val="36"/>
          <w:highlight w:val="none"/>
          <w:lang w:val="zh-CN"/>
        </w:rPr>
      </w:r>
      <w:r>
        <w:rPr>
          <w:highlight w:val="none"/>
        </w:rPr>
      </w:r>
      <w:r/>
    </w:p>
    <w:p>
      <w:pPr>
        <w:ind w:left="420"/>
        <w:rPr>
          <w:rFonts w:ascii="仿宋" w:hAnsi="仿宋" w:eastAsia="仿宋" w:cs="仿宋"/>
          <w:sz w:val="36"/>
          <w:szCs w:val="36"/>
          <w:highlight w:val="none"/>
        </w:rPr>
      </w:pPr>
      <w:r>
        <w:rPr>
          <w:rFonts w:hint="eastAsia" w:ascii="仿宋" w:hAnsi="仿宋" w:eastAsia="仿宋" w:cs="仿宋"/>
          <w:sz w:val="36"/>
          <w:szCs w:val="36"/>
          <w:highlight w:val="none"/>
          <w:lang w:val="zh-CN"/>
        </w:rPr>
        <w:t xml:space="preserve">采购人：</w:t>
      </w:r>
      <w:bookmarkStart w:id="2" w:name="_Toc503948560"/>
      <w:r>
        <w:rPr>
          <w:highlight w:val="none"/>
        </w:rPr>
      </w:r>
      <w:bookmarkStart w:id="3" w:name="_Toc503948054"/>
      <w:r>
        <w:rPr>
          <w:rFonts w:hint="eastAsia" w:ascii="仿宋" w:hAnsi="仿宋" w:eastAsia="仿宋" w:cs="仿宋"/>
          <w:sz w:val="36"/>
          <w:szCs w:val="36"/>
          <w:highlight w:val="none"/>
          <w:lang w:val="zh-CN"/>
        </w:rPr>
        <w:t xml:space="preserve">南京市六合区人民政府马鞍街道办事处</w:t>
      </w:r>
      <w:r>
        <w:rPr>
          <w:highlight w:val="none"/>
        </w:rPr>
      </w:r>
      <w:r/>
    </w:p>
    <w:p>
      <w:pPr>
        <w:ind w:left="420"/>
        <w:rPr>
          <w:rFonts w:ascii="仿宋" w:hAnsi="仿宋" w:eastAsia="仿宋" w:cs="仿宋"/>
          <w:sz w:val="36"/>
          <w:szCs w:val="36"/>
          <w:highlight w:val="none"/>
        </w:rPr>
      </w:pPr>
      <w:r>
        <w:rPr>
          <w:rFonts w:ascii="仿宋" w:hAnsi="仿宋" w:eastAsia="仿宋" w:cs="仿宋"/>
          <w:sz w:val="36"/>
          <w:szCs w:val="36"/>
          <w:highlight w:val="none"/>
          <w:lang w:val="zh-CN"/>
        </w:rPr>
      </w:r>
      <w:r>
        <w:rPr>
          <w:highlight w:val="none"/>
        </w:rPr>
      </w:r>
      <w:r/>
    </w:p>
    <w:p>
      <w:pPr>
        <w:rPr>
          <w:rFonts w:ascii="黑体" w:eastAsia="黑体"/>
          <w:sz w:val="32"/>
          <w:szCs w:val="44"/>
          <w:highlight w:val="none"/>
        </w:rPr>
      </w:pPr>
      <w:r>
        <w:rPr>
          <w:rFonts w:ascii="黑体" w:eastAsia="黑体"/>
          <w:sz w:val="32"/>
          <w:szCs w:val="44"/>
          <w:highlight w:val="none"/>
          <w:lang w:val="zh-CN"/>
        </w:rPr>
      </w:r>
      <w:r>
        <w:rPr>
          <w:highlight w:val="none"/>
        </w:rPr>
      </w:r>
      <w:r/>
    </w:p>
    <w:p>
      <w:pPr>
        <w:jc w:val="center"/>
        <w:rPr>
          <w:rFonts w:ascii="黑体" w:eastAsia="黑体"/>
          <w:sz w:val="32"/>
          <w:szCs w:val="44"/>
          <w:highlight w:val="none"/>
        </w:rPr>
      </w:pPr>
      <w:r>
        <w:rPr>
          <w:rFonts w:ascii="黑体" w:eastAsia="黑体"/>
          <w:sz w:val="32"/>
          <w:szCs w:val="44"/>
          <w:highlight w:val="none"/>
          <w:lang w:val="zh-CN"/>
        </w:rPr>
      </w:r>
      <w:bookmarkEnd w:id="2"/>
      <w:r/>
      <w:bookmarkEnd w:id="3"/>
      <w:r>
        <w:rPr>
          <w:highlight w:val="none"/>
        </w:rPr>
      </w:r>
      <w:r/>
    </w:p>
    <w:p>
      <w:pPr>
        <w:jc w:val="center"/>
        <w:rPr>
          <w:rFonts w:ascii="黑体" w:eastAsia="黑体"/>
          <w:sz w:val="44"/>
          <w:szCs w:val="44"/>
          <w:highlight w:val="none"/>
        </w:rPr>
      </w:pPr>
      <w:r>
        <w:rPr>
          <w:rFonts w:ascii="黑体" w:eastAsia="黑体"/>
          <w:sz w:val="44"/>
          <w:szCs w:val="44"/>
          <w:highlight w:val="none"/>
          <w:lang w:val="zh-CN"/>
        </w:rPr>
      </w:r>
      <w:r>
        <w:rPr>
          <w:highlight w:val="none"/>
        </w:rPr>
      </w:r>
      <w:r/>
    </w:p>
    <w:p>
      <w:pPr>
        <w:jc w:val="center"/>
        <w:rPr>
          <w:rFonts w:ascii="黑体" w:eastAsia="黑体"/>
          <w:sz w:val="44"/>
          <w:szCs w:val="44"/>
          <w:highlight w:val="none"/>
        </w:rPr>
      </w:pPr>
      <w:r>
        <w:rPr>
          <w:rFonts w:ascii="黑体" w:eastAsia="黑体"/>
          <w:sz w:val="44"/>
          <w:szCs w:val="44"/>
          <w:highlight w:val="none"/>
          <w:lang w:val="zh-CN"/>
        </w:rPr>
      </w:r>
      <w:r>
        <w:rPr>
          <w:highlight w:val="none"/>
        </w:rPr>
      </w:r>
      <w:r/>
    </w:p>
    <w:p>
      <w:pPr>
        <w:jc w:val="center"/>
        <w:rPr>
          <w:rFonts w:ascii="黑体" w:eastAsia="黑体"/>
          <w:sz w:val="44"/>
          <w:szCs w:val="44"/>
          <w:highlight w:val="none"/>
        </w:rPr>
      </w:pPr>
      <w:r>
        <w:rPr>
          <w:rFonts w:ascii="黑体" w:eastAsia="黑体"/>
          <w:sz w:val="44"/>
          <w:szCs w:val="44"/>
          <w:highlight w:val="none"/>
          <w:lang w:val="zh-CN"/>
        </w:rPr>
      </w:r>
      <w:r>
        <w:rPr>
          <w:highlight w:val="none"/>
        </w:rPr>
      </w:r>
      <w:r/>
    </w:p>
    <w:p>
      <w:pPr>
        <w:jc w:val="center"/>
        <w:rPr>
          <w:rFonts w:ascii="黑体" w:eastAsia="黑体"/>
          <w:sz w:val="44"/>
          <w:szCs w:val="44"/>
          <w:highlight w:val="none"/>
        </w:rPr>
      </w:pPr>
      <w:r>
        <w:rPr>
          <w:rFonts w:ascii="黑体" w:eastAsia="黑体"/>
          <w:sz w:val="44"/>
          <w:szCs w:val="44"/>
          <w:highlight w:val="none"/>
          <w:lang w:val="zh-CN"/>
        </w:rPr>
      </w:r>
      <w:r>
        <w:rPr>
          <w:highlight w:val="none"/>
        </w:rPr>
      </w:r>
      <w:r/>
    </w:p>
    <w:p>
      <w:pPr>
        <w:jc w:val="center"/>
        <w:rPr>
          <w:rFonts w:ascii="黑体" w:eastAsia="黑体"/>
          <w:sz w:val="44"/>
          <w:szCs w:val="44"/>
          <w:highlight w:val="none"/>
        </w:rPr>
      </w:pPr>
      <w:r>
        <w:rPr>
          <w:rFonts w:ascii="黑体" w:eastAsia="黑体"/>
          <w:sz w:val="44"/>
          <w:szCs w:val="44"/>
          <w:highlight w:val="none"/>
          <w:lang w:val="zh-CN"/>
        </w:rPr>
      </w:r>
      <w:r>
        <w:rPr>
          <w:highlight w:val="none"/>
        </w:rPr>
      </w:r>
      <w:r/>
    </w:p>
    <w:p>
      <w:pPr>
        <w:jc w:val="center"/>
        <w:rPr>
          <w:rFonts w:ascii="黑体" w:eastAsia="黑体"/>
          <w:sz w:val="44"/>
          <w:szCs w:val="44"/>
          <w:highlight w:val="none"/>
        </w:rPr>
      </w:pPr>
      <w:r>
        <w:rPr>
          <w:rFonts w:ascii="黑体" w:eastAsia="黑体"/>
          <w:sz w:val="44"/>
          <w:szCs w:val="44"/>
          <w:highlight w:val="none"/>
          <w:lang w:val="zh-CN"/>
        </w:rPr>
      </w:r>
      <w:r>
        <w:rPr>
          <w:highlight w:val="none"/>
        </w:rPr>
      </w:r>
      <w:r/>
    </w:p>
    <w:p>
      <w:pPr>
        <w:jc w:val="center"/>
        <w:rPr>
          <w:rFonts w:ascii="黑体" w:eastAsia="黑体"/>
          <w:sz w:val="44"/>
          <w:szCs w:val="44"/>
          <w:highlight w:val="none"/>
        </w:rPr>
      </w:pPr>
      <w:r>
        <w:rPr>
          <w:rFonts w:ascii="黑体" w:eastAsia="黑体"/>
          <w:sz w:val="44"/>
          <w:szCs w:val="44"/>
          <w:highlight w:val="none"/>
          <w:lang w:val="zh-CN"/>
        </w:rPr>
      </w:r>
      <w:r>
        <w:rPr>
          <w:highlight w:val="none"/>
        </w:rPr>
      </w:r>
      <w:r/>
    </w:p>
    <w:p>
      <w:pPr>
        <w:jc w:val="center"/>
        <w:rPr>
          <w:rFonts w:ascii="黑体" w:eastAsia="黑体"/>
          <w:sz w:val="44"/>
          <w:szCs w:val="44"/>
          <w:highlight w:val="none"/>
        </w:rPr>
      </w:pPr>
      <w:r>
        <w:rPr>
          <w:rFonts w:ascii="黑体" w:eastAsia="黑体"/>
          <w:sz w:val="44"/>
          <w:szCs w:val="44"/>
          <w:highlight w:val="none"/>
          <w:lang w:val="zh-CN"/>
        </w:rPr>
      </w:r>
      <w:r>
        <w:rPr>
          <w:highlight w:val="none"/>
        </w:rPr>
      </w:r>
      <w:r/>
    </w:p>
    <w:p>
      <w:pPr>
        <w:jc w:val="center"/>
        <w:rPr>
          <w:rFonts w:ascii="黑体" w:eastAsia="黑体"/>
          <w:sz w:val="44"/>
          <w:szCs w:val="44"/>
          <w:highlight w:val="none"/>
        </w:rPr>
      </w:pPr>
      <w:r>
        <w:rPr>
          <w:rFonts w:hint="eastAsia" w:ascii="黑体" w:eastAsia="黑体"/>
          <w:sz w:val="44"/>
          <w:szCs w:val="44"/>
          <w:highlight w:val="none"/>
          <w:lang w:val="zh-CN"/>
        </w:rPr>
        <w:t xml:space="preserve">江苏国衡工程咨询有限公司</w:t>
      </w:r>
      <w:r>
        <w:rPr>
          <w:highlight w:val="none"/>
        </w:rPr>
      </w:r>
      <w:r/>
    </w:p>
    <w:p>
      <w:pPr>
        <w:jc w:val="center"/>
        <w:rPr>
          <w:rFonts w:ascii="黑体" w:eastAsia="黑体"/>
          <w:sz w:val="44"/>
          <w:szCs w:val="44"/>
          <w:highlight w:val="none"/>
        </w:rPr>
      </w:pPr>
      <w:r>
        <w:rPr>
          <w:rFonts w:hint="eastAsia" w:ascii="黑体" w:eastAsia="黑体"/>
          <w:sz w:val="44"/>
          <w:szCs w:val="44"/>
          <w:highlight w:val="none"/>
          <w:lang w:val="zh-CN"/>
        </w:rPr>
        <w:t xml:space="preserve">二</w:t>
      </w:r>
      <w:r>
        <w:rPr>
          <w:rFonts w:hint="eastAsia" w:ascii="黑体" w:eastAsia="黑体"/>
          <w:sz w:val="44"/>
          <w:szCs w:val="44"/>
          <w:highlight w:val="none"/>
        </w:rPr>
        <w:t xml:space="preserve">○</w:t>
      </w:r>
      <w:r>
        <w:rPr>
          <w:rFonts w:hint="eastAsia" w:ascii="黑体" w:eastAsia="黑体"/>
          <w:sz w:val="44"/>
          <w:szCs w:val="44"/>
          <w:highlight w:val="none"/>
          <w:lang w:val="zh-CN"/>
        </w:rPr>
        <w:t xml:space="preserve">二</w:t>
      </w:r>
      <w:r>
        <w:rPr>
          <w:rFonts w:hint="eastAsia" w:ascii="黑体" w:eastAsia="黑体"/>
          <w:sz w:val="44"/>
          <w:szCs w:val="44"/>
          <w:highlight w:val="none"/>
        </w:rPr>
        <w:t xml:space="preserve">六</w:t>
      </w:r>
      <w:r>
        <w:rPr>
          <w:rFonts w:hint="eastAsia" w:ascii="黑体" w:eastAsia="黑体"/>
          <w:sz w:val="44"/>
          <w:szCs w:val="44"/>
          <w:highlight w:val="none"/>
          <w:lang w:val="zh-CN"/>
        </w:rPr>
        <w:t xml:space="preserve">年</w:t>
      </w:r>
      <w:r>
        <w:rPr>
          <w:rFonts w:hint="eastAsia" w:ascii="黑体" w:eastAsia="黑体"/>
          <w:sz w:val="44"/>
          <w:szCs w:val="44"/>
          <w:highlight w:val="none"/>
        </w:rPr>
        <w:t xml:space="preserve">七</w:t>
      </w:r>
      <w:r>
        <w:rPr>
          <w:rFonts w:hint="eastAsia" w:ascii="黑体" w:eastAsia="黑体"/>
          <w:sz w:val="44"/>
          <w:szCs w:val="44"/>
          <w:highlight w:val="none"/>
          <w:lang w:val="zh-CN"/>
        </w:rPr>
        <w:t xml:space="preserve">月</w:t>
      </w:r>
      <w:r>
        <w:rPr>
          <w:highlight w:val="none"/>
        </w:rPr>
      </w:r>
      <w:r/>
    </w:p>
    <w:p>
      <w:pPr>
        <w:jc w:val="center"/>
        <w:rPr>
          <w:rFonts w:ascii="黑体" w:eastAsia="黑体"/>
          <w:sz w:val="44"/>
          <w:szCs w:val="44"/>
          <w:highlight w:val="none"/>
        </w:rPr>
      </w:pPr>
      <w:r>
        <w:rPr>
          <w:rFonts w:ascii="黑体" w:eastAsia="黑体"/>
          <w:sz w:val="44"/>
          <w:szCs w:val="44"/>
          <w:highlight w:val="none"/>
        </w:rPr>
      </w:r>
      <w:r>
        <w:rPr>
          <w:highlight w:val="none"/>
        </w:rPr>
      </w:r>
      <w:r/>
    </w:p>
    <w:p>
      <w:pPr>
        <w:pStyle w:val="1004"/>
        <w:ind w:left="187" w:hanging="187"/>
        <w:spacing w:line="240" w:lineRule="auto"/>
        <w:rPr>
          <w:sz w:val="22"/>
          <w:highlight w:val="none"/>
        </w:rPr>
        <w:sectPr>
          <w:headerReference w:type="first" r:id="rId8"/>
          <w:footerReference w:type="first" r:id="rId10"/>
          <w:footnotePr/>
          <w:endnotePr/>
          <w:type w:val="nextPage"/>
          <w:pgSz w:w="11906" w:h="16838" w:orient="portrait"/>
          <w:pgMar w:top="1440" w:right="1440" w:bottom="1440" w:left="1440" w:header="851" w:footer="992" w:gutter="0"/>
          <w:cols w:num="1" w:sep="0" w:space="1701" w:equalWidth="1"/>
          <w:docGrid w:linePitch="360"/>
          <w:titlePg/>
        </w:sectPr>
        <w:outlineLvl w:val="9"/>
      </w:pPr>
      <w:r>
        <w:rPr>
          <w:highlight w:val="none"/>
        </w:rPr>
      </w:r>
      <w:bookmarkStart w:id="4" w:name="_Toc503948055"/>
      <w:r>
        <w:rPr>
          <w:highlight w:val="none"/>
        </w:rPr>
      </w:r>
      <w:bookmarkStart w:id="5" w:name="_Toc503948561"/>
      <w:r>
        <w:rPr>
          <w:highlight w:val="none"/>
        </w:rPr>
      </w:r>
      <w:r/>
    </w:p>
    <w:p>
      <w:pPr>
        <w:pStyle w:val="875"/>
        <w:jc w:val="center"/>
        <w:spacing w:before="0" w:line="240" w:lineRule="auto"/>
        <w:rPr>
          <w:color w:val="000000"/>
          <w:sz w:val="40"/>
          <w:highlight w:val="none"/>
        </w:rPr>
      </w:pPr>
      <w:r>
        <w:rPr>
          <w:highlight w:val="none"/>
        </w:rPr>
      </w:r>
      <w:bookmarkStart w:id="6" w:name="_Toc10604"/>
      <w:r>
        <w:rPr>
          <w:highlight w:val="none"/>
        </w:rPr>
      </w:r>
      <w:bookmarkStart w:id="7" w:name="_Toc16154"/>
      <w:r>
        <w:rPr>
          <w:highlight w:val="none"/>
        </w:rPr>
      </w:r>
      <w:bookmarkStart w:id="8" w:name="_Toc7505"/>
      <w:r>
        <w:rPr>
          <w:highlight w:val="none"/>
        </w:rPr>
      </w:r>
      <w:bookmarkStart w:id="9" w:name="_Toc26356"/>
      <w:r>
        <w:rPr>
          <w:highlight w:val="none"/>
        </w:rPr>
      </w:r>
      <w:bookmarkStart w:id="10" w:name="_Toc17325"/>
      <w:r>
        <w:rPr>
          <w:highlight w:val="none"/>
        </w:rPr>
      </w:r>
      <w:bookmarkStart w:id="11" w:name="_Toc22540"/>
      <w:r>
        <w:rPr>
          <w:color w:val="000000"/>
          <w:sz w:val="40"/>
          <w:highlight w:val="none"/>
          <w:lang w:val="zh-CN"/>
        </w:rPr>
        <w:t xml:space="preserve">目录</w:t>
      </w:r>
      <w:bookmarkEnd w:id="6"/>
      <w:r>
        <w:rPr>
          <w:highlight w:val="none"/>
        </w:rPr>
      </w:r>
      <w:bookmarkEnd w:id="7"/>
      <w:r>
        <w:rPr>
          <w:highlight w:val="none"/>
        </w:rPr>
      </w:r>
      <w:bookmarkEnd w:id="8"/>
      <w:r>
        <w:rPr>
          <w:highlight w:val="none"/>
        </w:rPr>
      </w:r>
      <w:bookmarkEnd w:id="9"/>
      <w:r>
        <w:rPr>
          <w:highlight w:val="none"/>
        </w:rPr>
      </w:r>
      <w:bookmarkEnd w:id="10"/>
      <w:r>
        <w:rPr>
          <w:highlight w:val="none"/>
        </w:rPr>
      </w:r>
      <w:bookmarkEnd w:id="11"/>
      <w:r>
        <w:rPr>
          <w:highlight w:val="none"/>
        </w:rPr>
      </w:r>
      <w:r/>
    </w:p>
    <w:p>
      <w:pPr>
        <w:pStyle w:val="866"/>
        <w:tabs>
          <w:tab w:val="right" w:pos="9026" w:leader="dot"/>
        </w:tabs>
        <w:rPr>
          <w:highlight w:val="none"/>
        </w:rPr>
      </w:pPr>
      <w:r>
        <w:rPr>
          <w:highlight w:val="none"/>
        </w:rPr>
        <w:fldChar w:fldCharType="begin"/>
      </w:r>
      <w:r>
        <w:rPr>
          <w:highlight w:val="none"/>
        </w:rPr>
        <w:instrText xml:space="preserve">TOC \o "1-2" \h \u </w:instrText>
      </w:r>
      <w:r>
        <w:rPr>
          <w:highlight w:val="none"/>
        </w:rPr>
        <w:fldChar w:fldCharType="separate"/>
      </w:r>
      <w:hyperlink w:tooltip="#_Toc345" w:anchor="_Toc345" w:history="1">
        <w:r>
          <w:rPr>
            <w:rFonts w:hint="eastAsia"/>
            <w:highlight w:val="none"/>
          </w:rPr>
          <w:t xml:space="preserve">第一章</w:t>
        </w:r>
        <w:r>
          <w:rPr>
            <w:rFonts w:hint="eastAsia"/>
            <w:highlight w:val="none"/>
          </w:rPr>
          <w:t xml:space="preserve">  </w:t>
        </w:r>
        <w:r>
          <w:rPr>
            <w:rFonts w:hint="eastAsia"/>
            <w:highlight w:val="none"/>
          </w:rPr>
          <w:t xml:space="preserve">竞争性磋商公告</w:t>
        </w:r>
        <w:r>
          <w:rPr>
            <w:highlight w:val="none"/>
          </w:rPr>
          <w:tab/>
        </w:r>
        <w:r>
          <w:rPr>
            <w:highlight w:val="none"/>
          </w:rPr>
          <w:fldChar w:fldCharType="begin"/>
        </w:r>
        <w:r>
          <w:rPr>
            <w:highlight w:val="none"/>
          </w:rPr>
          <w:instrText xml:space="preserve"> PAGEREF _Toc345 \h </w:instrText>
        </w:r>
        <w:r>
          <w:rPr>
            <w:highlight w:val="none"/>
          </w:rPr>
          <w:fldChar w:fldCharType="separate"/>
        </w:r>
        <w:r>
          <w:rPr>
            <w:highlight w:val="none"/>
          </w:rPr>
          <w:t xml:space="preserve">1</w:t>
        </w:r>
        <w:r>
          <w:rPr>
            <w:highlight w:val="none"/>
          </w:rPr>
          <w:fldChar w:fldCharType="end"/>
        </w:r>
      </w:hyperlink>
      <w:r>
        <w:rPr>
          <w:highlight w:val="none"/>
        </w:rPr>
      </w:r>
      <w:r/>
    </w:p>
    <w:p>
      <w:pPr>
        <w:pStyle w:val="866"/>
        <w:tabs>
          <w:tab w:val="right" w:pos="9026" w:leader="dot"/>
        </w:tabs>
        <w:rPr>
          <w:highlight w:val="none"/>
        </w:rPr>
      </w:pPr>
      <w:r>
        <w:rPr>
          <w:highlight w:val="none"/>
        </w:rPr>
      </w:r>
      <w:hyperlink w:tooltip="#_Toc13962" w:anchor="_Toc13962" w:history="1">
        <w:r>
          <w:rPr>
            <w:rFonts w:hint="eastAsia"/>
            <w:highlight w:val="none"/>
          </w:rPr>
          <w:t xml:space="preserve">第二章</w:t>
        </w:r>
        <w:r>
          <w:rPr>
            <w:rFonts w:hint="eastAsia"/>
            <w:highlight w:val="none"/>
          </w:rPr>
          <w:t xml:space="preserve">  </w:t>
        </w:r>
        <w:r>
          <w:rPr>
            <w:rFonts w:hint="eastAsia"/>
            <w:highlight w:val="none"/>
          </w:rPr>
          <w:t xml:space="preserve">磋商供应商须知</w:t>
        </w:r>
        <w:r>
          <w:rPr>
            <w:highlight w:val="none"/>
          </w:rPr>
          <w:tab/>
        </w:r>
        <w:r>
          <w:rPr>
            <w:highlight w:val="none"/>
          </w:rPr>
          <w:fldChar w:fldCharType="begin"/>
        </w:r>
        <w:r>
          <w:rPr>
            <w:highlight w:val="none"/>
          </w:rPr>
          <w:instrText xml:space="preserve"> PAGEREF _Toc13962 \h </w:instrText>
        </w:r>
        <w:r>
          <w:rPr>
            <w:highlight w:val="none"/>
          </w:rPr>
          <w:fldChar w:fldCharType="separate"/>
        </w:r>
        <w:r>
          <w:rPr>
            <w:highlight w:val="none"/>
          </w:rPr>
          <w:t xml:space="preserve">6</w:t>
        </w:r>
        <w:r>
          <w:rPr>
            <w:highlight w:val="none"/>
          </w:rPr>
          <w:fldChar w:fldCharType="end"/>
        </w:r>
      </w:hyperlink>
      <w:r>
        <w:rPr>
          <w:highlight w:val="none"/>
        </w:rPr>
      </w:r>
      <w:r/>
    </w:p>
    <w:p>
      <w:pPr>
        <w:pStyle w:val="867"/>
        <w:tabs>
          <w:tab w:val="right" w:pos="9026" w:leader="dot"/>
        </w:tabs>
        <w:rPr>
          <w:highlight w:val="none"/>
        </w:rPr>
      </w:pPr>
      <w:r>
        <w:rPr>
          <w:highlight w:val="none"/>
        </w:rPr>
      </w:r>
      <w:hyperlink w:tooltip="#_Toc7112" w:anchor="_Toc7112" w:history="1">
        <w:r>
          <w:rPr>
            <w:rFonts w:hint="eastAsia"/>
            <w:highlight w:val="none"/>
            <w:lang w:val="zh-CN"/>
          </w:rPr>
          <w:t xml:space="preserve">前附表</w:t>
        </w:r>
        <w:r>
          <w:rPr>
            <w:highlight w:val="none"/>
          </w:rPr>
          <w:tab/>
        </w:r>
        <w:r>
          <w:rPr>
            <w:highlight w:val="none"/>
          </w:rPr>
          <w:fldChar w:fldCharType="begin"/>
        </w:r>
        <w:r>
          <w:rPr>
            <w:highlight w:val="none"/>
          </w:rPr>
          <w:instrText xml:space="preserve"> PAGEREF _Toc7112 \h </w:instrText>
        </w:r>
        <w:r>
          <w:rPr>
            <w:highlight w:val="none"/>
          </w:rPr>
          <w:fldChar w:fldCharType="separate"/>
        </w:r>
        <w:r>
          <w:rPr>
            <w:highlight w:val="none"/>
          </w:rPr>
          <w:t xml:space="preserve">6</w:t>
        </w:r>
        <w:r>
          <w:rPr>
            <w:highlight w:val="none"/>
          </w:rPr>
          <w:fldChar w:fldCharType="end"/>
        </w:r>
      </w:hyperlink>
      <w:r>
        <w:rPr>
          <w:highlight w:val="none"/>
        </w:rPr>
      </w:r>
      <w:r/>
    </w:p>
    <w:p>
      <w:pPr>
        <w:pStyle w:val="867"/>
        <w:tabs>
          <w:tab w:val="right" w:pos="9026" w:leader="dot"/>
        </w:tabs>
        <w:rPr>
          <w:highlight w:val="none"/>
        </w:rPr>
      </w:pPr>
      <w:r>
        <w:rPr>
          <w:highlight w:val="none"/>
        </w:rPr>
      </w:r>
      <w:hyperlink w:tooltip="#_Toc15504" w:anchor="_Toc15504" w:history="1">
        <w:r>
          <w:rPr>
            <w:rFonts w:hint="eastAsia" w:ascii="宋体" w:hAnsi="宋体" w:cs="宋体"/>
            <w:highlight w:val="none"/>
          </w:rPr>
          <w:t xml:space="preserve">一、总    则</w:t>
        </w:r>
        <w:r>
          <w:rPr>
            <w:highlight w:val="none"/>
          </w:rPr>
          <w:tab/>
        </w:r>
        <w:r>
          <w:rPr>
            <w:highlight w:val="none"/>
          </w:rPr>
          <w:fldChar w:fldCharType="begin"/>
        </w:r>
        <w:r>
          <w:rPr>
            <w:highlight w:val="none"/>
          </w:rPr>
          <w:instrText xml:space="preserve"> PAGEREF _Toc15504 \h </w:instrText>
        </w:r>
        <w:r>
          <w:rPr>
            <w:highlight w:val="none"/>
          </w:rPr>
          <w:fldChar w:fldCharType="separate"/>
        </w:r>
        <w:r>
          <w:rPr>
            <w:highlight w:val="none"/>
          </w:rPr>
          <w:t xml:space="preserve">8</w:t>
        </w:r>
        <w:r>
          <w:rPr>
            <w:highlight w:val="none"/>
          </w:rPr>
          <w:fldChar w:fldCharType="end"/>
        </w:r>
      </w:hyperlink>
      <w:r>
        <w:rPr>
          <w:highlight w:val="none"/>
        </w:rPr>
      </w:r>
      <w:r/>
    </w:p>
    <w:p>
      <w:pPr>
        <w:pStyle w:val="867"/>
        <w:tabs>
          <w:tab w:val="right" w:pos="9026" w:leader="dot"/>
        </w:tabs>
        <w:rPr>
          <w:highlight w:val="none"/>
        </w:rPr>
      </w:pPr>
      <w:r>
        <w:rPr>
          <w:highlight w:val="none"/>
        </w:rPr>
      </w:r>
      <w:hyperlink w:tooltip="#_Toc22177" w:anchor="_Toc22177" w:history="1">
        <w:r>
          <w:rPr>
            <w:rFonts w:hint="eastAsia" w:ascii="宋体" w:hAnsi="宋体" w:cs="宋体"/>
            <w:highlight w:val="none"/>
            <w:lang w:val="zh-CN"/>
          </w:rPr>
          <w:t xml:space="preserve">二、</w:t>
        </w:r>
        <w:r>
          <w:rPr>
            <w:rFonts w:hint="eastAsia" w:ascii="宋体" w:hAnsi="宋体" w:cs="宋体"/>
            <w:highlight w:val="none"/>
          </w:rPr>
          <w:t xml:space="preserve">竞争性磋商文件</w:t>
        </w:r>
        <w:r>
          <w:rPr>
            <w:highlight w:val="none"/>
          </w:rPr>
          <w:tab/>
        </w:r>
        <w:r>
          <w:rPr>
            <w:highlight w:val="none"/>
          </w:rPr>
          <w:fldChar w:fldCharType="begin"/>
        </w:r>
        <w:r>
          <w:rPr>
            <w:highlight w:val="none"/>
          </w:rPr>
          <w:instrText xml:space="preserve"> PAGEREF _Toc22177 \h </w:instrText>
        </w:r>
        <w:r>
          <w:rPr>
            <w:highlight w:val="none"/>
          </w:rPr>
          <w:fldChar w:fldCharType="separate"/>
        </w:r>
        <w:r>
          <w:rPr>
            <w:highlight w:val="none"/>
          </w:rPr>
          <w:t xml:space="preserve">10</w:t>
        </w:r>
        <w:r>
          <w:rPr>
            <w:highlight w:val="none"/>
          </w:rPr>
          <w:fldChar w:fldCharType="end"/>
        </w:r>
      </w:hyperlink>
      <w:r>
        <w:rPr>
          <w:highlight w:val="none"/>
        </w:rPr>
      </w:r>
      <w:r/>
    </w:p>
    <w:p>
      <w:pPr>
        <w:pStyle w:val="867"/>
        <w:tabs>
          <w:tab w:val="right" w:pos="9026" w:leader="dot"/>
        </w:tabs>
        <w:rPr>
          <w:highlight w:val="none"/>
        </w:rPr>
      </w:pPr>
      <w:r>
        <w:rPr>
          <w:highlight w:val="none"/>
        </w:rPr>
      </w:r>
      <w:hyperlink w:tooltip="#_Toc2406" w:anchor="_Toc2406" w:history="1">
        <w:r>
          <w:rPr>
            <w:rFonts w:hint="eastAsia" w:ascii="宋体" w:hAnsi="宋体" w:cs="宋体"/>
            <w:highlight w:val="none"/>
          </w:rPr>
          <w:t xml:space="preserve">三</w:t>
        </w:r>
        <w:r>
          <w:rPr>
            <w:rFonts w:hint="eastAsia" w:ascii="宋体" w:hAnsi="宋体" w:cs="宋体"/>
            <w:highlight w:val="none"/>
            <w:lang w:val="zh-CN"/>
          </w:rPr>
          <w:t xml:space="preserve">、磋商响应文件编制</w:t>
        </w:r>
        <w:r>
          <w:rPr>
            <w:highlight w:val="none"/>
          </w:rPr>
          <w:tab/>
        </w:r>
        <w:r>
          <w:rPr>
            <w:highlight w:val="none"/>
          </w:rPr>
          <w:fldChar w:fldCharType="begin"/>
        </w:r>
        <w:r>
          <w:rPr>
            <w:highlight w:val="none"/>
          </w:rPr>
          <w:instrText xml:space="preserve"> PAGEREF _Toc2406 \h </w:instrText>
        </w:r>
        <w:r>
          <w:rPr>
            <w:highlight w:val="none"/>
          </w:rPr>
          <w:fldChar w:fldCharType="separate"/>
        </w:r>
        <w:r>
          <w:rPr>
            <w:highlight w:val="none"/>
          </w:rPr>
          <w:t xml:space="preserve">11</w:t>
        </w:r>
        <w:r>
          <w:rPr>
            <w:highlight w:val="none"/>
          </w:rPr>
          <w:fldChar w:fldCharType="end"/>
        </w:r>
      </w:hyperlink>
      <w:r>
        <w:rPr>
          <w:highlight w:val="none"/>
        </w:rPr>
      </w:r>
      <w:r/>
    </w:p>
    <w:p>
      <w:pPr>
        <w:pStyle w:val="867"/>
        <w:tabs>
          <w:tab w:val="right" w:pos="9026" w:leader="dot"/>
        </w:tabs>
        <w:rPr>
          <w:highlight w:val="none"/>
        </w:rPr>
      </w:pPr>
      <w:r>
        <w:rPr>
          <w:highlight w:val="none"/>
        </w:rPr>
      </w:r>
      <w:hyperlink w:tooltip="#_Toc19358" w:anchor="_Toc19358" w:history="1">
        <w:r>
          <w:rPr>
            <w:rFonts w:hint="eastAsia" w:ascii="宋体" w:hAnsi="宋体" w:cs="宋体"/>
            <w:highlight w:val="none"/>
          </w:rPr>
          <w:t xml:space="preserve">四</w:t>
        </w:r>
        <w:r>
          <w:rPr>
            <w:rFonts w:hint="eastAsia" w:ascii="宋体" w:hAnsi="宋体" w:cs="宋体"/>
            <w:highlight w:val="none"/>
            <w:lang w:val="zh-CN"/>
          </w:rPr>
          <w:t xml:space="preserve">、磋商响应文件的递交</w:t>
        </w:r>
        <w:r>
          <w:rPr>
            <w:highlight w:val="none"/>
          </w:rPr>
          <w:tab/>
        </w:r>
        <w:r>
          <w:rPr>
            <w:highlight w:val="none"/>
          </w:rPr>
          <w:fldChar w:fldCharType="begin"/>
        </w:r>
        <w:r>
          <w:rPr>
            <w:highlight w:val="none"/>
          </w:rPr>
          <w:instrText xml:space="preserve"> PAGEREF _Toc19358 \h </w:instrText>
        </w:r>
        <w:r>
          <w:rPr>
            <w:highlight w:val="none"/>
          </w:rPr>
          <w:fldChar w:fldCharType="separate"/>
        </w:r>
        <w:r>
          <w:rPr>
            <w:highlight w:val="none"/>
          </w:rPr>
          <w:t xml:space="preserve">13</w:t>
        </w:r>
        <w:r>
          <w:rPr>
            <w:highlight w:val="none"/>
          </w:rPr>
          <w:fldChar w:fldCharType="end"/>
        </w:r>
      </w:hyperlink>
      <w:r>
        <w:rPr>
          <w:highlight w:val="none"/>
        </w:rPr>
      </w:r>
      <w:r/>
    </w:p>
    <w:p>
      <w:pPr>
        <w:pStyle w:val="867"/>
        <w:tabs>
          <w:tab w:val="right" w:pos="9026" w:leader="dot"/>
        </w:tabs>
        <w:rPr>
          <w:highlight w:val="none"/>
        </w:rPr>
      </w:pPr>
      <w:r>
        <w:rPr>
          <w:highlight w:val="none"/>
        </w:rPr>
      </w:r>
      <w:hyperlink w:tooltip="#_Toc7443" w:anchor="_Toc7443" w:history="1">
        <w:r>
          <w:rPr>
            <w:rFonts w:hint="eastAsia" w:ascii="宋体" w:hAnsi="宋体" w:cs="宋体"/>
            <w:highlight w:val="none"/>
          </w:rPr>
          <w:t xml:space="preserve">五</w:t>
        </w:r>
        <w:r>
          <w:rPr>
            <w:rFonts w:hint="eastAsia" w:ascii="宋体" w:hAnsi="宋体" w:cs="宋体"/>
            <w:highlight w:val="none"/>
            <w:lang w:val="zh-CN"/>
          </w:rPr>
          <w:t xml:space="preserve">、磋    商</w:t>
        </w:r>
        <w:r>
          <w:rPr>
            <w:highlight w:val="none"/>
          </w:rPr>
          <w:tab/>
        </w:r>
        <w:r>
          <w:rPr>
            <w:highlight w:val="none"/>
          </w:rPr>
          <w:fldChar w:fldCharType="begin"/>
        </w:r>
        <w:r>
          <w:rPr>
            <w:highlight w:val="none"/>
          </w:rPr>
          <w:instrText xml:space="preserve"> PAGEREF _Toc7443 \h </w:instrText>
        </w:r>
        <w:r>
          <w:rPr>
            <w:highlight w:val="none"/>
          </w:rPr>
          <w:fldChar w:fldCharType="separate"/>
        </w:r>
        <w:r>
          <w:rPr>
            <w:highlight w:val="none"/>
          </w:rPr>
          <w:t xml:space="preserve">14</w:t>
        </w:r>
        <w:r>
          <w:rPr>
            <w:highlight w:val="none"/>
          </w:rPr>
          <w:fldChar w:fldCharType="end"/>
        </w:r>
      </w:hyperlink>
      <w:r>
        <w:rPr>
          <w:highlight w:val="none"/>
        </w:rPr>
      </w:r>
      <w:r/>
    </w:p>
    <w:p>
      <w:pPr>
        <w:pStyle w:val="867"/>
        <w:tabs>
          <w:tab w:val="right" w:pos="9026" w:leader="dot"/>
        </w:tabs>
        <w:rPr>
          <w:highlight w:val="none"/>
        </w:rPr>
      </w:pPr>
      <w:r>
        <w:rPr>
          <w:highlight w:val="none"/>
        </w:rPr>
      </w:r>
      <w:hyperlink w:tooltip="#_Toc10571" w:anchor="_Toc10571" w:history="1">
        <w:r>
          <w:rPr>
            <w:rFonts w:hint="eastAsia" w:ascii="宋体" w:hAnsi="宋体" w:cs="宋体"/>
            <w:highlight w:val="none"/>
          </w:rPr>
          <w:t xml:space="preserve">六、成    交</w:t>
        </w:r>
        <w:r>
          <w:rPr>
            <w:highlight w:val="none"/>
          </w:rPr>
          <w:tab/>
        </w:r>
        <w:r>
          <w:rPr>
            <w:highlight w:val="none"/>
          </w:rPr>
          <w:fldChar w:fldCharType="begin"/>
        </w:r>
        <w:r>
          <w:rPr>
            <w:highlight w:val="none"/>
          </w:rPr>
          <w:instrText xml:space="preserve"> PAGEREF _Toc10571 \h </w:instrText>
        </w:r>
        <w:r>
          <w:rPr>
            <w:highlight w:val="none"/>
          </w:rPr>
          <w:fldChar w:fldCharType="separate"/>
        </w:r>
        <w:r>
          <w:rPr>
            <w:highlight w:val="none"/>
          </w:rPr>
          <w:t xml:space="preserve">18</w:t>
        </w:r>
        <w:r>
          <w:rPr>
            <w:highlight w:val="none"/>
          </w:rPr>
          <w:fldChar w:fldCharType="end"/>
        </w:r>
      </w:hyperlink>
      <w:r>
        <w:rPr>
          <w:highlight w:val="none"/>
        </w:rPr>
      </w:r>
      <w:r/>
    </w:p>
    <w:p>
      <w:pPr>
        <w:pStyle w:val="867"/>
        <w:tabs>
          <w:tab w:val="right" w:pos="9026" w:leader="dot"/>
        </w:tabs>
        <w:rPr>
          <w:highlight w:val="none"/>
        </w:rPr>
      </w:pPr>
      <w:r>
        <w:rPr>
          <w:highlight w:val="none"/>
        </w:rPr>
      </w:r>
      <w:hyperlink w:tooltip="#_Toc26637" w:anchor="_Toc26637" w:history="1">
        <w:r>
          <w:rPr>
            <w:rFonts w:hint="eastAsia" w:ascii="宋体" w:hAnsi="宋体" w:cs="宋体"/>
            <w:highlight w:val="none"/>
          </w:rPr>
          <w:t xml:space="preserve">七</w:t>
        </w:r>
        <w:r>
          <w:rPr>
            <w:rFonts w:hint="eastAsia" w:ascii="宋体" w:hAnsi="宋体" w:cs="宋体"/>
            <w:highlight w:val="none"/>
            <w:lang w:val="zh-CN"/>
          </w:rPr>
          <w:t xml:space="preserve">、质疑和投诉</w:t>
        </w:r>
        <w:r>
          <w:rPr>
            <w:highlight w:val="none"/>
          </w:rPr>
          <w:tab/>
        </w:r>
        <w:r>
          <w:rPr>
            <w:highlight w:val="none"/>
          </w:rPr>
          <w:fldChar w:fldCharType="begin"/>
        </w:r>
        <w:r>
          <w:rPr>
            <w:highlight w:val="none"/>
          </w:rPr>
          <w:instrText xml:space="preserve"> PAGEREF _Toc26637 \h </w:instrText>
        </w:r>
        <w:r>
          <w:rPr>
            <w:highlight w:val="none"/>
          </w:rPr>
          <w:fldChar w:fldCharType="separate"/>
        </w:r>
        <w:r>
          <w:rPr>
            <w:highlight w:val="none"/>
          </w:rPr>
          <w:t xml:space="preserve">20</w:t>
        </w:r>
        <w:r>
          <w:rPr>
            <w:highlight w:val="none"/>
          </w:rPr>
          <w:fldChar w:fldCharType="end"/>
        </w:r>
      </w:hyperlink>
      <w:r>
        <w:rPr>
          <w:highlight w:val="none"/>
        </w:rPr>
      </w:r>
      <w:r/>
    </w:p>
    <w:p>
      <w:pPr>
        <w:pStyle w:val="866"/>
        <w:tabs>
          <w:tab w:val="right" w:pos="9026" w:leader="dot"/>
        </w:tabs>
        <w:rPr>
          <w:highlight w:val="none"/>
        </w:rPr>
      </w:pPr>
      <w:r>
        <w:rPr>
          <w:highlight w:val="none"/>
        </w:rPr>
      </w:r>
      <w:hyperlink w:tooltip="#_Toc4602" w:anchor="_Toc4602" w:history="1">
        <w:r>
          <w:rPr>
            <w:rFonts w:hint="eastAsia"/>
            <w:highlight w:val="none"/>
          </w:rPr>
          <w:t xml:space="preserve">第三章</w:t>
        </w:r>
        <w:r>
          <w:rPr>
            <w:rFonts w:hint="eastAsia"/>
            <w:highlight w:val="none"/>
          </w:rPr>
          <w:t xml:space="preserve">  </w:t>
        </w:r>
        <w:r>
          <w:rPr>
            <w:rFonts w:hint="eastAsia"/>
            <w:highlight w:val="none"/>
          </w:rPr>
          <w:t xml:space="preserve">磋商评审标准</w:t>
        </w:r>
        <w:r>
          <w:rPr>
            <w:highlight w:val="none"/>
          </w:rPr>
          <w:tab/>
        </w:r>
        <w:r>
          <w:rPr>
            <w:highlight w:val="none"/>
          </w:rPr>
          <w:fldChar w:fldCharType="begin"/>
        </w:r>
        <w:r>
          <w:rPr>
            <w:highlight w:val="none"/>
          </w:rPr>
          <w:instrText xml:space="preserve"> PAGEREF _Toc4602 \h </w:instrText>
        </w:r>
        <w:r>
          <w:rPr>
            <w:highlight w:val="none"/>
          </w:rPr>
          <w:fldChar w:fldCharType="separate"/>
        </w:r>
        <w:r>
          <w:rPr>
            <w:highlight w:val="none"/>
          </w:rPr>
          <w:t xml:space="preserve">22</w:t>
        </w:r>
        <w:r>
          <w:rPr>
            <w:highlight w:val="none"/>
          </w:rPr>
          <w:fldChar w:fldCharType="end"/>
        </w:r>
      </w:hyperlink>
      <w:r>
        <w:rPr>
          <w:highlight w:val="none"/>
        </w:rPr>
      </w:r>
      <w:r/>
    </w:p>
    <w:p>
      <w:pPr>
        <w:pStyle w:val="866"/>
        <w:tabs>
          <w:tab w:val="right" w:pos="9026" w:leader="dot"/>
        </w:tabs>
        <w:rPr>
          <w:color w:val="000000"/>
          <w:highlight w:val="none"/>
        </w:rPr>
      </w:pPr>
      <w:r>
        <w:rPr>
          <w:highlight w:val="none"/>
        </w:rPr>
      </w:r>
      <w:hyperlink w:tooltip="#_Toc28743" w:anchor="_Toc28743" w:history="1">
        <w:r>
          <w:rPr>
            <w:rFonts w:hint="eastAsia"/>
            <w:color w:val="000000"/>
            <w:highlight w:val="none"/>
          </w:rPr>
          <w:t xml:space="preserve">第四章</w:t>
        </w:r>
        <w:r>
          <w:rPr>
            <w:rFonts w:hint="eastAsia"/>
            <w:color w:val="000000"/>
            <w:highlight w:val="none"/>
          </w:rPr>
          <w:t xml:space="preserve">  </w:t>
        </w:r>
        <w:r>
          <w:rPr>
            <w:rFonts w:hint="eastAsia"/>
            <w:color w:val="000000"/>
            <w:highlight w:val="none"/>
          </w:rPr>
          <w:t xml:space="preserve">采购项目概况</w:t>
        </w:r>
        <w:r>
          <w:rPr>
            <w:color w:val="000000"/>
            <w:highlight w:val="none"/>
          </w:rPr>
          <w:tab/>
        </w:r>
        <w:r>
          <w:rPr>
            <w:color w:val="000000"/>
            <w:highlight w:val="none"/>
          </w:rPr>
          <w:fldChar w:fldCharType="begin"/>
        </w:r>
        <w:r>
          <w:rPr>
            <w:color w:val="000000"/>
            <w:highlight w:val="none"/>
          </w:rPr>
          <w:instrText xml:space="preserve"> PAGEREF _Toc28743 \h </w:instrText>
        </w:r>
        <w:r>
          <w:rPr>
            <w:color w:val="000000"/>
            <w:highlight w:val="none"/>
          </w:rPr>
        </w:r>
        <w:r>
          <w:rPr>
            <w:color w:val="000000"/>
            <w:highlight w:val="none"/>
          </w:rPr>
          <w:fldChar w:fldCharType="separate"/>
        </w:r>
        <w:r>
          <w:rPr>
            <w:color w:val="000000"/>
            <w:highlight w:val="none"/>
          </w:rPr>
          <w:t xml:space="preserve">25</w:t>
        </w:r>
        <w:r>
          <w:rPr>
            <w:color w:val="000000"/>
            <w:highlight w:val="none"/>
          </w:rPr>
          <w:fldChar w:fldCharType="end"/>
        </w:r>
      </w:hyperlink>
      <w:r>
        <w:rPr>
          <w:highlight w:val="none"/>
        </w:rPr>
      </w:r>
      <w:r/>
    </w:p>
    <w:p>
      <w:pPr>
        <w:pStyle w:val="866"/>
        <w:tabs>
          <w:tab w:val="right" w:pos="9026" w:leader="dot"/>
        </w:tabs>
        <w:rPr>
          <w:color w:val="000000"/>
          <w:highlight w:val="none"/>
        </w:rPr>
      </w:pPr>
      <w:r>
        <w:rPr>
          <w:highlight w:val="none"/>
        </w:rPr>
      </w:r>
      <w:hyperlink w:tooltip="#_Toc11204" w:anchor="_Toc11204" w:history="1">
        <w:r>
          <w:rPr>
            <w:rFonts w:hint="eastAsia"/>
            <w:color w:val="000000"/>
            <w:highlight w:val="none"/>
            <w:lang w:val="zh-CN"/>
          </w:rPr>
          <w:t xml:space="preserve">第五章</w:t>
        </w:r>
        <w:r>
          <w:rPr>
            <w:rFonts w:hint="eastAsia"/>
            <w:color w:val="000000"/>
            <w:highlight w:val="none"/>
            <w:lang w:val="zh-CN"/>
          </w:rPr>
          <w:t xml:space="preserve">  </w:t>
        </w:r>
        <w:r>
          <w:rPr>
            <w:rFonts w:hint="eastAsia"/>
            <w:color w:val="000000"/>
            <w:highlight w:val="none"/>
            <w:lang w:val="zh-CN"/>
          </w:rPr>
          <w:t xml:space="preserve">合同主要条款及格式</w:t>
        </w:r>
        <w:r>
          <w:rPr>
            <w:color w:val="000000"/>
            <w:highlight w:val="none"/>
          </w:rPr>
          <w:tab/>
        </w:r>
        <w:r>
          <w:rPr>
            <w:color w:val="000000"/>
            <w:highlight w:val="none"/>
          </w:rPr>
          <w:fldChar w:fldCharType="begin"/>
        </w:r>
        <w:r>
          <w:rPr>
            <w:color w:val="000000"/>
            <w:highlight w:val="none"/>
          </w:rPr>
          <w:instrText xml:space="preserve"> PAGEREF _Toc11204 \h </w:instrText>
        </w:r>
        <w:r>
          <w:rPr>
            <w:color w:val="000000"/>
            <w:highlight w:val="none"/>
          </w:rPr>
        </w:r>
        <w:r>
          <w:rPr>
            <w:color w:val="000000"/>
            <w:highlight w:val="none"/>
          </w:rPr>
          <w:fldChar w:fldCharType="separate"/>
        </w:r>
        <w:r>
          <w:rPr>
            <w:color w:val="000000"/>
            <w:highlight w:val="none"/>
          </w:rPr>
          <w:t xml:space="preserve">32</w:t>
        </w:r>
        <w:r>
          <w:rPr>
            <w:color w:val="000000"/>
            <w:highlight w:val="none"/>
          </w:rPr>
          <w:fldChar w:fldCharType="end"/>
        </w:r>
      </w:hyperlink>
      <w:r>
        <w:rPr>
          <w:highlight w:val="none"/>
        </w:rPr>
      </w:r>
      <w:r/>
    </w:p>
    <w:p>
      <w:pPr>
        <w:pStyle w:val="866"/>
        <w:tabs>
          <w:tab w:val="right" w:pos="9026" w:leader="dot"/>
        </w:tabs>
        <w:rPr>
          <w:highlight w:val="none"/>
        </w:rPr>
      </w:pPr>
      <w:r>
        <w:rPr>
          <w:highlight w:val="none"/>
        </w:rPr>
      </w:r>
      <w:hyperlink w:tooltip="#_Toc9391" w:anchor="_Toc9391" w:history="1">
        <w:r>
          <w:rPr>
            <w:rFonts w:hint="eastAsia"/>
            <w:color w:val="000000"/>
            <w:highlight w:val="none"/>
          </w:rPr>
          <w:t xml:space="preserve">第六章</w:t>
        </w:r>
        <w:r>
          <w:rPr>
            <w:rFonts w:hint="eastAsia"/>
            <w:color w:val="000000"/>
            <w:highlight w:val="none"/>
          </w:rPr>
          <w:t xml:space="preserve">  </w:t>
        </w:r>
        <w:r>
          <w:rPr>
            <w:rFonts w:hint="eastAsia"/>
            <w:color w:val="000000"/>
            <w:highlight w:val="none"/>
          </w:rPr>
          <w:t xml:space="preserve">磋商响应文件格式</w:t>
        </w:r>
        <w:r>
          <w:rPr>
            <w:color w:val="000000"/>
            <w:highlight w:val="none"/>
          </w:rPr>
          <w:tab/>
        </w:r>
        <w:r>
          <w:rPr>
            <w:color w:val="000000"/>
            <w:highlight w:val="none"/>
          </w:rPr>
          <w:fldChar w:fldCharType="begin"/>
        </w:r>
        <w:r>
          <w:rPr>
            <w:color w:val="000000"/>
            <w:highlight w:val="none"/>
          </w:rPr>
          <w:instrText xml:space="preserve"> PAGEREF _Toc9391 \h </w:instrText>
        </w:r>
        <w:r>
          <w:rPr>
            <w:color w:val="000000"/>
            <w:highlight w:val="none"/>
          </w:rPr>
        </w:r>
        <w:r>
          <w:rPr>
            <w:color w:val="000000"/>
            <w:highlight w:val="none"/>
          </w:rPr>
          <w:fldChar w:fldCharType="separate"/>
        </w:r>
        <w:r>
          <w:rPr>
            <w:color w:val="000000"/>
            <w:highlight w:val="none"/>
          </w:rPr>
          <w:t xml:space="preserve">52</w:t>
        </w:r>
        <w:r>
          <w:rPr>
            <w:color w:val="000000"/>
            <w:highlight w:val="none"/>
          </w:rPr>
          <w:fldChar w:fldCharType="end"/>
        </w:r>
      </w:hyperlink>
      <w:r>
        <w:rPr>
          <w:highlight w:val="none"/>
        </w:rPr>
      </w:r>
      <w:r/>
    </w:p>
    <w:p>
      <w:pPr>
        <w:pStyle w:val="867"/>
        <w:tabs>
          <w:tab w:val="right" w:pos="9026" w:leader="dot"/>
        </w:tabs>
        <w:rPr>
          <w:highlight w:val="none"/>
        </w:rPr>
      </w:pPr>
      <w:r>
        <w:rPr>
          <w:highlight w:val="none"/>
        </w:rPr>
        <w:t xml:space="preserve">目录</w:t>
      </w:r>
      <w:r>
        <w:rPr>
          <w:highlight w:val="none"/>
        </w:rPr>
        <w:t xml:space="preserve">.......................................................................................................................................................53</w:t>
      </w:r>
      <w:r>
        <w:rPr>
          <w:color w:val="000000"/>
          <w:highlight w:val="none"/>
        </w:rPr>
      </w:r>
    </w:p>
    <w:p>
      <w:pPr>
        <w:pStyle w:val="867"/>
        <w:tabs>
          <w:tab w:val="right" w:pos="9026" w:leader="dot"/>
        </w:tabs>
        <w:rPr>
          <w:color w:val="000000"/>
          <w:highlight w:val="none"/>
        </w:rPr>
      </w:pPr>
      <w:r>
        <w:rPr>
          <w:highlight w:val="none"/>
        </w:rPr>
      </w:r>
      <w:r>
        <w:rPr>
          <w:highlight w:val="none"/>
        </w:rPr>
      </w:r>
      <w:hyperlink w:tooltip="#_Toc15809" w:anchor="_Toc15809" w:history="1">
        <w:r>
          <w:rPr>
            <w:rFonts w:hint="eastAsia"/>
            <w:color w:val="000000"/>
            <w:highlight w:val="none"/>
            <w:lang w:val="zh-CN"/>
          </w:rPr>
          <w:t xml:space="preserve">一、磋商申请及声明</w:t>
        </w:r>
        <w:r>
          <w:rPr>
            <w:color w:val="000000"/>
            <w:highlight w:val="none"/>
          </w:rPr>
          <w:tab/>
        </w:r>
        <w:r>
          <w:rPr>
            <w:color w:val="000000"/>
            <w:highlight w:val="none"/>
          </w:rPr>
          <w:fldChar w:fldCharType="begin"/>
        </w:r>
        <w:r>
          <w:rPr>
            <w:color w:val="000000"/>
            <w:highlight w:val="none"/>
          </w:rPr>
          <w:instrText xml:space="preserve"> PAGEREF _Toc15809 \h </w:instrText>
        </w:r>
        <w:r>
          <w:rPr>
            <w:color w:val="000000"/>
            <w:highlight w:val="none"/>
          </w:rPr>
        </w:r>
        <w:r>
          <w:rPr>
            <w:color w:val="000000"/>
            <w:highlight w:val="none"/>
          </w:rPr>
          <w:fldChar w:fldCharType="separate"/>
        </w:r>
        <w:r>
          <w:rPr>
            <w:color w:val="000000"/>
            <w:highlight w:val="none"/>
          </w:rPr>
          <w:t xml:space="preserve">54</w:t>
        </w:r>
        <w:r>
          <w:rPr>
            <w:color w:val="000000"/>
            <w:highlight w:val="none"/>
          </w:rPr>
          <w:fldChar w:fldCharType="end"/>
        </w:r>
      </w:hyperlink>
      <w:r/>
      <w:r/>
    </w:p>
    <w:p>
      <w:pPr>
        <w:pStyle w:val="867"/>
        <w:tabs>
          <w:tab w:val="right" w:pos="9026" w:leader="dot"/>
        </w:tabs>
        <w:rPr>
          <w:color w:val="000000"/>
          <w:highlight w:val="none"/>
        </w:rPr>
      </w:pPr>
      <w:r>
        <w:rPr>
          <w:highlight w:val="none"/>
        </w:rPr>
      </w:r>
      <w:hyperlink w:tooltip="#_Toc23370" w:anchor="_Toc23370" w:history="1">
        <w:r>
          <w:rPr>
            <w:rFonts w:hint="eastAsia"/>
            <w:color w:val="000000"/>
            <w:highlight w:val="none"/>
          </w:rPr>
          <w:t xml:space="preserve">二、法定代表人授权委托书</w:t>
        </w:r>
        <w:r>
          <w:rPr>
            <w:color w:val="000000"/>
            <w:highlight w:val="none"/>
          </w:rPr>
          <w:tab/>
        </w:r>
        <w:r>
          <w:rPr>
            <w:color w:val="000000"/>
            <w:highlight w:val="none"/>
          </w:rPr>
          <w:fldChar w:fldCharType="begin"/>
        </w:r>
        <w:r>
          <w:rPr>
            <w:color w:val="000000"/>
            <w:highlight w:val="none"/>
          </w:rPr>
          <w:instrText xml:space="preserve"> PAGEREF _Toc23370 \h </w:instrText>
        </w:r>
        <w:r>
          <w:rPr>
            <w:color w:val="000000"/>
            <w:highlight w:val="none"/>
          </w:rPr>
        </w:r>
        <w:r>
          <w:rPr>
            <w:color w:val="000000"/>
            <w:highlight w:val="none"/>
          </w:rPr>
          <w:fldChar w:fldCharType="separate"/>
        </w:r>
        <w:r>
          <w:rPr>
            <w:color w:val="000000"/>
            <w:highlight w:val="none"/>
          </w:rPr>
          <w:t xml:space="preserve">55</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3811" w:anchor="_Toc3811" w:history="1">
        <w:r>
          <w:rPr>
            <w:rFonts w:hint="eastAsia"/>
            <w:color w:val="000000"/>
            <w:highlight w:val="none"/>
            <w:lang w:val="zh-CN"/>
          </w:rPr>
          <w:t xml:space="preserve">三、磋商报价表</w:t>
        </w:r>
        <w:r>
          <w:rPr>
            <w:color w:val="000000"/>
            <w:highlight w:val="none"/>
          </w:rPr>
          <w:tab/>
        </w:r>
        <w:r>
          <w:rPr>
            <w:color w:val="000000"/>
            <w:highlight w:val="none"/>
          </w:rPr>
          <w:fldChar w:fldCharType="begin"/>
        </w:r>
        <w:r>
          <w:rPr>
            <w:color w:val="000000"/>
            <w:highlight w:val="none"/>
          </w:rPr>
          <w:instrText xml:space="preserve"> PAGEREF _Toc3811 \h </w:instrText>
        </w:r>
        <w:r>
          <w:rPr>
            <w:color w:val="000000"/>
            <w:highlight w:val="none"/>
          </w:rPr>
        </w:r>
        <w:r>
          <w:rPr>
            <w:color w:val="000000"/>
            <w:highlight w:val="none"/>
          </w:rPr>
          <w:fldChar w:fldCharType="separate"/>
        </w:r>
        <w:r>
          <w:rPr>
            <w:color w:val="000000"/>
            <w:highlight w:val="none"/>
          </w:rPr>
          <w:t xml:space="preserve">56</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15405" w:anchor="_Toc15405" w:history="1">
        <w:r>
          <w:rPr>
            <w:rFonts w:hint="eastAsia"/>
            <w:color w:val="000000"/>
            <w:highlight w:val="none"/>
          </w:rPr>
          <w:t xml:space="preserve">四</w:t>
        </w:r>
        <w:r>
          <w:rPr>
            <w:rFonts w:hint="eastAsia"/>
            <w:color w:val="000000"/>
            <w:highlight w:val="none"/>
            <w:lang w:val="zh-CN"/>
          </w:rPr>
          <w:t xml:space="preserve">、</w:t>
        </w:r>
        <w:r>
          <w:rPr>
            <w:rFonts w:hint="eastAsia"/>
            <w:color w:val="000000"/>
            <w:highlight w:val="none"/>
          </w:rPr>
          <w:t xml:space="preserve">分项报价明细表</w:t>
        </w:r>
        <w:r>
          <w:rPr>
            <w:color w:val="000000"/>
            <w:highlight w:val="none"/>
          </w:rPr>
          <w:tab/>
        </w:r>
        <w:r>
          <w:rPr>
            <w:color w:val="000000"/>
            <w:highlight w:val="none"/>
          </w:rPr>
          <w:fldChar w:fldCharType="begin"/>
        </w:r>
        <w:r>
          <w:rPr>
            <w:color w:val="000000"/>
            <w:highlight w:val="none"/>
          </w:rPr>
          <w:instrText xml:space="preserve"> PAGEREF _Toc15405 \h </w:instrText>
        </w:r>
        <w:r>
          <w:rPr>
            <w:color w:val="000000"/>
            <w:highlight w:val="none"/>
          </w:rPr>
        </w:r>
        <w:r>
          <w:rPr>
            <w:color w:val="000000"/>
            <w:highlight w:val="none"/>
          </w:rPr>
          <w:fldChar w:fldCharType="separate"/>
        </w:r>
        <w:r>
          <w:rPr>
            <w:color w:val="000000"/>
            <w:highlight w:val="none"/>
          </w:rPr>
          <w:t xml:space="preserve">57</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30128" w:anchor="_Toc30128" w:history="1">
        <w:r>
          <w:rPr>
            <w:rFonts w:hint="eastAsia"/>
            <w:color w:val="000000"/>
            <w:highlight w:val="none"/>
            <w:lang w:val="zh-CN"/>
          </w:rPr>
          <w:t xml:space="preserve">五、商务条款响应表</w:t>
        </w:r>
        <w:r>
          <w:rPr>
            <w:color w:val="000000"/>
            <w:highlight w:val="none"/>
          </w:rPr>
          <w:tab/>
        </w:r>
        <w:r>
          <w:rPr>
            <w:color w:val="000000"/>
            <w:highlight w:val="none"/>
          </w:rPr>
          <w:fldChar w:fldCharType="begin"/>
        </w:r>
        <w:r>
          <w:rPr>
            <w:color w:val="000000"/>
            <w:highlight w:val="none"/>
          </w:rPr>
          <w:instrText xml:space="preserve"> PAGEREF _Toc30128 \h </w:instrText>
        </w:r>
        <w:r>
          <w:rPr>
            <w:color w:val="000000"/>
            <w:highlight w:val="none"/>
          </w:rPr>
        </w:r>
        <w:r>
          <w:rPr>
            <w:color w:val="000000"/>
            <w:highlight w:val="none"/>
          </w:rPr>
          <w:fldChar w:fldCharType="separate"/>
        </w:r>
        <w:r>
          <w:rPr>
            <w:color w:val="000000"/>
            <w:highlight w:val="none"/>
          </w:rPr>
          <w:t xml:space="preserve">58</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6302" w:anchor="_Toc6302" w:history="1">
        <w:r>
          <w:rPr>
            <w:rFonts w:hint="eastAsia"/>
            <w:color w:val="000000"/>
            <w:highlight w:val="none"/>
            <w:lang w:val="zh-CN"/>
          </w:rPr>
          <w:t xml:space="preserve">六、技术规格偏离表</w:t>
        </w:r>
        <w:r>
          <w:rPr>
            <w:color w:val="000000"/>
            <w:highlight w:val="none"/>
          </w:rPr>
          <w:tab/>
        </w:r>
        <w:r>
          <w:rPr>
            <w:color w:val="000000"/>
            <w:highlight w:val="none"/>
          </w:rPr>
          <w:fldChar w:fldCharType="begin"/>
        </w:r>
        <w:r>
          <w:rPr>
            <w:color w:val="000000"/>
            <w:highlight w:val="none"/>
          </w:rPr>
          <w:instrText xml:space="preserve"> PAGEREF _Toc6302 \h </w:instrText>
        </w:r>
        <w:r>
          <w:rPr>
            <w:color w:val="000000"/>
            <w:highlight w:val="none"/>
          </w:rPr>
        </w:r>
        <w:r>
          <w:rPr>
            <w:color w:val="000000"/>
            <w:highlight w:val="none"/>
          </w:rPr>
          <w:fldChar w:fldCharType="separate"/>
        </w:r>
        <w:r>
          <w:rPr>
            <w:color w:val="000000"/>
            <w:highlight w:val="none"/>
          </w:rPr>
          <w:t xml:space="preserve">59</w:t>
        </w:r>
        <w:r>
          <w:rPr>
            <w:color w:val="000000"/>
            <w:highlight w:val="none"/>
          </w:rPr>
          <w:fldChar w:fldCharType="end"/>
        </w:r>
      </w:hyperlink>
      <w:r>
        <w:rPr>
          <w:highlight w:val="none"/>
        </w:rPr>
      </w:r>
      <w:r/>
    </w:p>
    <w:p>
      <w:pPr>
        <w:pStyle w:val="867"/>
        <w:tabs>
          <w:tab w:val="right" w:pos="9026" w:leader="dot"/>
        </w:tabs>
        <w:rPr>
          <w:color w:val="000000"/>
          <w:highlight w:val="none"/>
        </w:rPr>
      </w:pPr>
      <w:r>
        <w:rPr>
          <w:highlight w:val="none"/>
        </w:rPr>
      </w:r>
      <w:hyperlink w:tooltip="#_Toc3445" w:anchor="_Toc3445" w:history="1">
        <w:r>
          <w:rPr>
            <w:rFonts w:hint="eastAsia"/>
            <w:color w:val="000000"/>
            <w:highlight w:val="none"/>
          </w:rPr>
          <w:t xml:space="preserve">七、</w:t>
        </w:r>
        <w:r>
          <w:rPr>
            <w:rFonts w:hint="eastAsia"/>
            <w:color w:val="000000"/>
            <w:highlight w:val="none"/>
            <w:lang w:val="zh-CN"/>
          </w:rPr>
          <w:t xml:space="preserve">第一章磋商邀请中规定的资格条件证明文件</w:t>
        </w:r>
        <w:r>
          <w:rPr>
            <w:color w:val="000000"/>
            <w:highlight w:val="none"/>
          </w:rPr>
          <w:tab/>
        </w:r>
        <w:r>
          <w:rPr>
            <w:color w:val="000000"/>
            <w:highlight w:val="none"/>
          </w:rPr>
          <w:fldChar w:fldCharType="begin"/>
        </w:r>
        <w:r>
          <w:rPr>
            <w:color w:val="000000"/>
            <w:highlight w:val="none"/>
          </w:rPr>
          <w:instrText xml:space="preserve"> PAGEREF _Toc3445 \h </w:instrText>
        </w:r>
        <w:r>
          <w:rPr>
            <w:color w:val="000000"/>
            <w:highlight w:val="none"/>
          </w:rPr>
        </w:r>
        <w:r>
          <w:rPr>
            <w:color w:val="000000"/>
            <w:highlight w:val="none"/>
          </w:rPr>
          <w:fldChar w:fldCharType="separate"/>
        </w:r>
        <w:r>
          <w:rPr>
            <w:color w:val="000000"/>
            <w:highlight w:val="none"/>
          </w:rPr>
          <w:fldChar w:fldCharType="end"/>
        </w:r>
      </w:hyperlink>
      <w:r>
        <w:rPr>
          <w:highlight w:val="none"/>
        </w:rPr>
        <w:t xml:space="preserve">60</w:t>
      </w:r>
      <w:r/>
    </w:p>
    <w:p>
      <w:pPr>
        <w:pStyle w:val="867"/>
        <w:tabs>
          <w:tab w:val="right" w:pos="9026" w:leader="dot"/>
        </w:tabs>
        <w:rPr>
          <w:color w:val="000000"/>
          <w:highlight w:val="none"/>
        </w:rPr>
      </w:pPr>
      <w:r>
        <w:rPr>
          <w:highlight w:val="none"/>
        </w:rPr>
      </w:r>
      <w:hyperlink w:tooltip="#_Toc11005" w:anchor="_Toc11005" w:history="1">
        <w:r>
          <w:rPr>
            <w:rFonts w:hint="eastAsia"/>
            <w:color w:val="000000"/>
            <w:highlight w:val="none"/>
          </w:rPr>
          <w:t xml:space="preserve">八、无重大违法记录声明</w:t>
        </w:r>
        <w:r>
          <w:rPr>
            <w:color w:val="000000"/>
            <w:highlight w:val="none"/>
          </w:rPr>
          <w:tab/>
        </w:r>
        <w:r>
          <w:rPr>
            <w:color w:val="000000"/>
            <w:highlight w:val="none"/>
          </w:rPr>
          <w:fldChar w:fldCharType="begin"/>
        </w:r>
        <w:r>
          <w:rPr>
            <w:color w:val="000000"/>
            <w:highlight w:val="none"/>
          </w:rPr>
          <w:instrText xml:space="preserve"> PAGEREF _Toc11005 \h </w:instrText>
        </w:r>
        <w:r>
          <w:rPr>
            <w:color w:val="000000"/>
            <w:highlight w:val="none"/>
          </w:rPr>
        </w:r>
        <w:r>
          <w:rPr>
            <w:color w:val="000000"/>
            <w:highlight w:val="none"/>
          </w:rPr>
          <w:fldChar w:fldCharType="separate"/>
        </w:r>
        <w:r>
          <w:rPr>
            <w:color w:val="000000"/>
            <w:highlight w:val="none"/>
          </w:rPr>
          <w:fldChar w:fldCharType="end"/>
        </w:r>
      </w:hyperlink>
      <w:r>
        <w:rPr>
          <w:highlight w:val="none"/>
        </w:rPr>
        <w:t xml:space="preserve">60</w:t>
      </w:r>
      <w:r/>
    </w:p>
    <w:p>
      <w:pPr>
        <w:pStyle w:val="867"/>
        <w:tabs>
          <w:tab w:val="right" w:pos="9026" w:leader="dot"/>
        </w:tabs>
        <w:rPr>
          <w:color w:val="000000"/>
          <w:highlight w:val="none"/>
        </w:rPr>
      </w:pPr>
      <w:r>
        <w:rPr>
          <w:highlight w:val="none"/>
        </w:rPr>
      </w:r>
      <w:hyperlink w:tooltip="#_Toc24427" w:anchor="_Toc24427" w:history="1">
        <w:r>
          <w:rPr>
            <w:rFonts w:hint="eastAsia"/>
            <w:color w:val="000000"/>
            <w:highlight w:val="none"/>
          </w:rPr>
          <w:t xml:space="preserve">九、安全生产责任承诺书</w:t>
        </w:r>
        <w:r>
          <w:rPr>
            <w:color w:val="000000"/>
            <w:highlight w:val="none"/>
          </w:rPr>
          <w:tab/>
        </w:r>
        <w:r>
          <w:rPr>
            <w:color w:val="000000"/>
            <w:highlight w:val="none"/>
          </w:rPr>
          <w:fldChar w:fldCharType="begin"/>
        </w:r>
        <w:r>
          <w:rPr>
            <w:color w:val="000000"/>
            <w:highlight w:val="none"/>
          </w:rPr>
          <w:instrText xml:space="preserve"> PAGEREF _Toc24427 \h </w:instrText>
        </w:r>
        <w:r>
          <w:rPr>
            <w:color w:val="000000"/>
            <w:highlight w:val="none"/>
          </w:rPr>
        </w:r>
        <w:r>
          <w:rPr>
            <w:color w:val="000000"/>
            <w:highlight w:val="none"/>
          </w:rPr>
          <w:fldChar w:fldCharType="separate"/>
        </w:r>
        <w:r>
          <w:rPr>
            <w:color w:val="000000"/>
            <w:highlight w:val="none"/>
          </w:rPr>
          <w:fldChar w:fldCharType="end"/>
        </w:r>
      </w:hyperlink>
      <w:r>
        <w:rPr>
          <w:highlight w:val="none"/>
        </w:rPr>
        <w:t xml:space="preserve">61</w:t>
      </w:r>
      <w:r/>
    </w:p>
    <w:p>
      <w:pPr>
        <w:pStyle w:val="867"/>
        <w:tabs>
          <w:tab w:val="right" w:pos="9026" w:leader="dot"/>
        </w:tabs>
        <w:rPr>
          <w:color w:val="000000"/>
          <w:highlight w:val="none"/>
        </w:rPr>
      </w:pPr>
      <w:r>
        <w:rPr>
          <w:highlight w:val="none"/>
        </w:rPr>
      </w:r>
      <w:hyperlink w:tooltip="#_Toc14786" w:anchor="_Toc14786" w:history="1">
        <w:r>
          <w:rPr>
            <w:rFonts w:hint="eastAsia"/>
            <w:color w:val="000000"/>
            <w:highlight w:val="none"/>
          </w:rPr>
          <w:t xml:space="preserve">十、具备履行合同所必需的设备和专业技术能力的声明</w:t>
        </w:r>
        <w:r>
          <w:rPr>
            <w:color w:val="000000"/>
            <w:highlight w:val="none"/>
          </w:rPr>
          <w:tab/>
        </w:r>
        <w:r>
          <w:rPr>
            <w:color w:val="000000"/>
            <w:highlight w:val="none"/>
          </w:rPr>
          <w:fldChar w:fldCharType="begin"/>
        </w:r>
        <w:r>
          <w:rPr>
            <w:color w:val="000000"/>
            <w:highlight w:val="none"/>
          </w:rPr>
          <w:instrText xml:space="preserve"> PAGEREF _Toc14786 \h </w:instrText>
        </w:r>
        <w:r>
          <w:rPr>
            <w:color w:val="000000"/>
            <w:highlight w:val="none"/>
          </w:rPr>
        </w:r>
        <w:r>
          <w:rPr>
            <w:color w:val="000000"/>
            <w:highlight w:val="none"/>
          </w:rPr>
          <w:fldChar w:fldCharType="separate"/>
        </w:r>
        <w:r>
          <w:rPr>
            <w:color w:val="000000"/>
            <w:highlight w:val="none"/>
          </w:rPr>
          <w:fldChar w:fldCharType="end"/>
        </w:r>
      </w:hyperlink>
      <w:r>
        <w:rPr>
          <w:highlight w:val="none"/>
        </w:rPr>
        <w:t xml:space="preserve">61</w:t>
      </w:r>
      <w:r/>
    </w:p>
    <w:p>
      <w:pPr>
        <w:pStyle w:val="867"/>
        <w:tabs>
          <w:tab w:val="right" w:pos="9026" w:leader="dot"/>
        </w:tabs>
        <w:rPr>
          <w:color w:val="000000"/>
          <w:highlight w:val="none"/>
        </w:rPr>
      </w:pPr>
      <w:r>
        <w:rPr>
          <w:highlight w:val="none"/>
        </w:rPr>
      </w:r>
      <w:hyperlink w:tooltip="#_Toc21344" w:anchor="_Toc21344" w:history="1">
        <w:r>
          <w:rPr>
            <w:rFonts w:hint="eastAsia"/>
            <w:color w:val="000000"/>
            <w:highlight w:val="none"/>
          </w:rPr>
          <w:t xml:space="preserve">十一</w:t>
        </w:r>
        <w:r>
          <w:rPr>
            <w:color w:val="000000"/>
            <w:highlight w:val="none"/>
          </w:rPr>
          <w:t xml:space="preserve">、中小企业声明函</w:t>
        </w:r>
        <w:r>
          <w:rPr>
            <w:color w:val="000000"/>
            <w:highlight w:val="none"/>
          </w:rPr>
          <w:tab/>
        </w:r>
        <w:r>
          <w:rPr>
            <w:color w:val="000000"/>
            <w:highlight w:val="none"/>
          </w:rPr>
          <w:fldChar w:fldCharType="begin"/>
        </w:r>
        <w:r>
          <w:rPr>
            <w:color w:val="000000"/>
            <w:highlight w:val="none"/>
          </w:rPr>
          <w:instrText xml:space="preserve"> PAGEREF _Toc21344 \h </w:instrText>
        </w:r>
        <w:r>
          <w:rPr>
            <w:color w:val="000000"/>
            <w:highlight w:val="none"/>
          </w:rPr>
        </w:r>
        <w:r>
          <w:rPr>
            <w:color w:val="000000"/>
            <w:highlight w:val="none"/>
          </w:rPr>
          <w:fldChar w:fldCharType="separate"/>
        </w:r>
        <w:r>
          <w:rPr>
            <w:color w:val="000000"/>
            <w:highlight w:val="none"/>
          </w:rPr>
          <w:fldChar w:fldCharType="end"/>
          <w:t xml:space="preserve">62</w:t>
        </w:r>
      </w:hyperlink>
      <w:r>
        <w:rPr>
          <w:highlight w:val="none"/>
        </w:rPr>
      </w:r>
      <w:r/>
    </w:p>
    <w:p>
      <w:pPr>
        <w:pStyle w:val="867"/>
        <w:tabs>
          <w:tab w:val="right" w:pos="9026" w:leader="dot"/>
        </w:tabs>
        <w:rPr>
          <w:color w:val="000000"/>
          <w:highlight w:val="none"/>
        </w:rPr>
      </w:pPr>
      <w:r>
        <w:rPr>
          <w:highlight w:val="none"/>
        </w:rPr>
      </w:r>
      <w:hyperlink w:tooltip="#_Toc9640" w:anchor="_Toc9640" w:history="1">
        <w:r>
          <w:rPr>
            <w:rFonts w:hint="eastAsia"/>
            <w:color w:val="000000"/>
            <w:highlight w:val="none"/>
          </w:rPr>
          <w:t xml:space="preserve">十二</w:t>
        </w:r>
        <w:r>
          <w:rPr>
            <w:color w:val="000000"/>
            <w:highlight w:val="none"/>
          </w:rPr>
          <w:t xml:space="preserve">、残疾人福利性单位声明函</w:t>
        </w:r>
        <w:r>
          <w:rPr>
            <w:rFonts w:hint="eastAsia"/>
            <w:color w:val="000000"/>
            <w:highlight w:val="none"/>
          </w:rPr>
          <w:t xml:space="preserve">（如有，无则不提供此项）</w:t>
        </w:r>
        <w:r>
          <w:rPr>
            <w:color w:val="000000"/>
            <w:highlight w:val="none"/>
          </w:rPr>
          <w:tab/>
        </w:r>
        <w:r>
          <w:rPr>
            <w:color w:val="000000"/>
            <w:highlight w:val="none"/>
          </w:rPr>
          <w:fldChar w:fldCharType="begin"/>
        </w:r>
        <w:r>
          <w:rPr>
            <w:color w:val="000000"/>
            <w:highlight w:val="none"/>
          </w:rPr>
          <w:instrText xml:space="preserve"> PAGEREF _Toc9640 \h </w:instrText>
        </w:r>
        <w:r>
          <w:rPr>
            <w:color w:val="000000"/>
            <w:highlight w:val="none"/>
          </w:rPr>
        </w:r>
        <w:r>
          <w:rPr>
            <w:color w:val="000000"/>
            <w:highlight w:val="none"/>
          </w:rPr>
          <w:fldChar w:fldCharType="separate"/>
        </w:r>
        <w:r>
          <w:rPr>
            <w:color w:val="000000"/>
            <w:highlight w:val="none"/>
          </w:rPr>
          <w:t xml:space="preserve">6</w:t>
        </w:r>
        <w:r>
          <w:rPr>
            <w:color w:val="000000"/>
            <w:highlight w:val="none"/>
          </w:rPr>
          <w:fldChar w:fldCharType="end"/>
          <w:t xml:space="preserve">3</w:t>
        </w:r>
      </w:hyperlink>
      <w:r>
        <w:rPr>
          <w:highlight w:val="none"/>
        </w:rPr>
      </w:r>
      <w:r/>
    </w:p>
    <w:p>
      <w:pPr>
        <w:pStyle w:val="867"/>
        <w:tabs>
          <w:tab w:val="right" w:pos="9026" w:leader="dot"/>
        </w:tabs>
        <w:rPr>
          <w:color w:val="000000"/>
          <w:highlight w:val="none"/>
        </w:rPr>
      </w:pPr>
      <w:r>
        <w:rPr>
          <w:highlight w:val="none"/>
        </w:rPr>
      </w:r>
      <w:hyperlink w:tooltip="#_Toc28893" w:anchor="_Toc28893" w:history="1">
        <w:r>
          <w:rPr>
            <w:rFonts w:hint="eastAsia"/>
            <w:color w:val="000000"/>
            <w:highlight w:val="none"/>
          </w:rPr>
          <w:t xml:space="preserve">十三、属于监狱企业的证明文件（如有，无则不提供此项）</w:t>
        </w:r>
        <w:r>
          <w:rPr>
            <w:color w:val="000000"/>
            <w:highlight w:val="none"/>
          </w:rPr>
          <w:tab/>
        </w:r>
        <w:r>
          <w:rPr>
            <w:color w:val="000000"/>
            <w:highlight w:val="none"/>
          </w:rPr>
          <w:t xml:space="preserve">63</w:t>
        </w:r>
      </w:hyperlink>
      <w:r>
        <w:rPr>
          <w:highlight w:val="none"/>
        </w:rPr>
      </w:r>
      <w:r/>
    </w:p>
    <w:p>
      <w:pPr>
        <w:pStyle w:val="867"/>
        <w:tabs>
          <w:tab w:val="right" w:pos="9026" w:leader="dot"/>
        </w:tabs>
        <w:rPr>
          <w:color w:val="000000"/>
          <w:highlight w:val="none"/>
        </w:rPr>
      </w:pPr>
      <w:r>
        <w:rPr>
          <w:highlight w:val="none"/>
        </w:rPr>
      </w:r>
      <w:hyperlink w:tooltip="#_Toc10952" w:anchor="_Toc10952" w:history="1">
        <w:r>
          <w:rPr>
            <w:rFonts w:hint="eastAsia"/>
            <w:color w:val="000000"/>
            <w:highlight w:val="none"/>
          </w:rPr>
          <w:t xml:space="preserve">十四、节能产品认证文件（如有，无则不提供此项）</w:t>
        </w:r>
        <w:r>
          <w:rPr>
            <w:color w:val="000000"/>
            <w:highlight w:val="none"/>
          </w:rPr>
          <w:tab/>
        </w:r>
        <w:r>
          <w:rPr>
            <w:color w:val="000000"/>
            <w:highlight w:val="none"/>
          </w:rPr>
          <w:t xml:space="preserve">63</w:t>
        </w:r>
      </w:hyperlink>
      <w:r>
        <w:rPr>
          <w:highlight w:val="none"/>
        </w:rPr>
      </w:r>
      <w:r/>
    </w:p>
    <w:p>
      <w:pPr>
        <w:pStyle w:val="867"/>
        <w:tabs>
          <w:tab w:val="right" w:pos="9026" w:leader="dot"/>
        </w:tabs>
        <w:rPr>
          <w:color w:val="000000"/>
          <w:highlight w:val="none"/>
        </w:rPr>
      </w:pPr>
      <w:r>
        <w:rPr>
          <w:highlight w:val="none"/>
        </w:rPr>
      </w:r>
      <w:hyperlink w:tooltip="#_Toc17753" w:anchor="_Toc17753" w:history="1">
        <w:r>
          <w:rPr>
            <w:rFonts w:hint="eastAsia"/>
            <w:color w:val="000000"/>
            <w:highlight w:val="none"/>
          </w:rPr>
          <w:t xml:space="preserve">十五、环境标志产品认证文件（如有，无则不提供此项）</w:t>
        </w:r>
        <w:r>
          <w:rPr>
            <w:color w:val="000000"/>
            <w:highlight w:val="none"/>
          </w:rPr>
          <w:tab/>
        </w:r>
        <w:r>
          <w:rPr>
            <w:color w:val="000000"/>
            <w:highlight w:val="none"/>
          </w:rPr>
          <w:t xml:space="preserve">63</w:t>
        </w:r>
      </w:hyperlink>
      <w:r>
        <w:rPr>
          <w:highlight w:val="none"/>
        </w:rPr>
      </w:r>
      <w:r/>
    </w:p>
    <w:p>
      <w:pPr>
        <w:pStyle w:val="867"/>
        <w:tabs>
          <w:tab w:val="right" w:pos="9026" w:leader="dot"/>
        </w:tabs>
        <w:rPr>
          <w:color w:val="000000"/>
          <w:highlight w:val="none"/>
        </w:rPr>
      </w:pPr>
      <w:r>
        <w:rPr>
          <w:highlight w:val="none"/>
        </w:rPr>
      </w:r>
      <w:hyperlink w:tooltip="#_Toc26638" w:anchor="_Toc26638" w:history="1">
        <w:r>
          <w:rPr>
            <w:rFonts w:hint="eastAsia"/>
            <w:color w:val="000000"/>
            <w:highlight w:val="none"/>
          </w:rPr>
          <w:t xml:space="preserve">十</w:t>
        </w:r>
        <w:r>
          <w:rPr>
            <w:rFonts w:hint="eastAsia"/>
            <w:color w:val="000000"/>
            <w:highlight w:val="none"/>
          </w:rPr>
          <w:t xml:space="preserve">六</w:t>
        </w:r>
        <w:r>
          <w:rPr>
            <w:rFonts w:hint="eastAsia"/>
            <w:color w:val="000000"/>
            <w:highlight w:val="none"/>
          </w:rPr>
          <w:t xml:space="preserve">、南京市政府采购供应商信用记录表暨信用承诺书</w:t>
        </w:r>
        <w:r>
          <w:rPr>
            <w:color w:val="000000"/>
            <w:highlight w:val="none"/>
          </w:rPr>
          <w:tab/>
        </w:r>
        <w:r>
          <w:rPr>
            <w:color w:val="000000"/>
            <w:highlight w:val="none"/>
          </w:rPr>
          <w:t xml:space="preserve">64</w:t>
        </w:r>
      </w:hyperlink>
      <w:r>
        <w:rPr>
          <w:highlight w:val="none"/>
        </w:rPr>
      </w:r>
      <w:r/>
    </w:p>
    <w:p>
      <w:pPr>
        <w:pStyle w:val="867"/>
        <w:tabs>
          <w:tab w:val="right" w:pos="9026" w:leader="dot"/>
        </w:tabs>
        <w:rPr>
          <w:color w:val="000000"/>
          <w:highlight w:val="none"/>
        </w:rPr>
      </w:pPr>
      <w:r>
        <w:rPr>
          <w:highlight w:val="none"/>
        </w:rPr>
      </w:r>
      <w:hyperlink w:tooltip="#_Toc22543" w:anchor="_Toc22543" w:history="1">
        <w:r>
          <w:rPr>
            <w:rFonts w:hint="eastAsia"/>
            <w:color w:val="000000"/>
            <w:highlight w:val="none"/>
          </w:rPr>
          <w:t xml:space="preserve">十</w:t>
        </w:r>
        <w:r>
          <w:rPr>
            <w:rFonts w:hint="eastAsia"/>
            <w:color w:val="000000"/>
            <w:highlight w:val="none"/>
          </w:rPr>
          <w:t xml:space="preserve">七</w:t>
        </w:r>
        <w:r>
          <w:rPr>
            <w:rFonts w:hint="eastAsia"/>
            <w:color w:val="000000"/>
            <w:highlight w:val="none"/>
          </w:rPr>
          <w:t xml:space="preserve">、“信用中国”、“中国政府采购网”网站截图</w:t>
        </w:r>
        <w:r>
          <w:rPr>
            <w:color w:val="000000"/>
            <w:highlight w:val="none"/>
          </w:rPr>
          <w:tab/>
        </w:r>
        <w:r>
          <w:rPr>
            <w:color w:val="000000"/>
            <w:highlight w:val="none"/>
          </w:rPr>
          <w:t xml:space="preserve">64</w:t>
        </w:r>
      </w:hyperlink>
      <w:r>
        <w:rPr>
          <w:highlight w:val="none"/>
        </w:rPr>
      </w:r>
      <w:r/>
    </w:p>
    <w:p>
      <w:pPr>
        <w:pStyle w:val="867"/>
        <w:tabs>
          <w:tab w:val="right" w:pos="9026" w:leader="dot"/>
        </w:tabs>
        <w:rPr>
          <w:color w:val="000000"/>
          <w:highlight w:val="none"/>
        </w:rPr>
      </w:pPr>
      <w:r>
        <w:rPr>
          <w:highlight w:val="none"/>
        </w:rPr>
      </w:r>
      <w:hyperlink w:tooltip="#_Toc22543" w:anchor="_Toc22543" w:history="1">
        <w:r>
          <w:rPr>
            <w:rFonts w:hint="eastAsia"/>
            <w:color w:val="000000"/>
            <w:highlight w:val="none"/>
          </w:rPr>
          <w:t xml:space="preserve">十</w:t>
        </w:r>
        <w:r>
          <w:rPr>
            <w:rFonts w:hint="eastAsia"/>
            <w:color w:val="000000"/>
            <w:highlight w:val="none"/>
          </w:rPr>
          <w:t xml:space="preserve">八</w:t>
        </w:r>
        <w:r>
          <w:rPr>
            <w:rFonts w:hint="eastAsia"/>
            <w:color w:val="000000"/>
            <w:highlight w:val="none"/>
          </w:rPr>
          <w:t xml:space="preserve">、磋商供应商认为需提供的其他资料</w:t>
        </w:r>
        <w:r>
          <w:rPr>
            <w:color w:val="000000"/>
            <w:highlight w:val="none"/>
          </w:rPr>
          <w:tab/>
        </w:r>
        <w:r>
          <w:rPr>
            <w:color w:val="000000"/>
            <w:highlight w:val="none"/>
          </w:rPr>
          <w:t xml:space="preserve">64</w:t>
        </w:r>
      </w:hyperlink>
      <w:r/>
    </w:p>
    <w:p>
      <w:pPr>
        <w:rPr>
          <w:highlight w:val="none"/>
        </w:rPr>
      </w:pPr>
      <w:r>
        <w:rPr>
          <w:highlight w:val="none"/>
        </w:rPr>
      </w:r>
      <w:r>
        <w:rPr>
          <w:highlight w:val="none"/>
        </w:rPr>
      </w:r>
      <w:r/>
    </w:p>
    <w:p>
      <w:pPr>
        <w:pStyle w:val="1004"/>
        <w:spacing w:line="240" w:lineRule="auto"/>
        <w:rPr>
          <w:highlight w:val="none"/>
        </w:rPr>
        <w:sectPr>
          <w:footnotePr/>
          <w:endnotePr/>
          <w:type w:val="nextPage"/>
          <w:pgSz w:w="11906" w:h="16838" w:orient="portrait"/>
          <w:pgMar w:top="1440" w:right="1440" w:bottom="1440" w:left="1440" w:header="851" w:footer="992" w:gutter="0"/>
          <w:pgNumType w:start="1"/>
          <w:cols w:num="1" w:sep="0" w:space="1701" w:equalWidth="1"/>
          <w:docGrid w:linePitch="360"/>
          <w:titlePg/>
        </w:sectPr>
        <w:outlineLvl w:val="9"/>
      </w:pPr>
      <w:r>
        <w:rPr>
          <w:highlight w:val="none"/>
        </w:rPr>
        <w:fldChar w:fldCharType="end"/>
      </w:r>
      <w:r>
        <w:rPr>
          <w:highlight w:val="none"/>
        </w:rPr>
      </w:r>
      <w:r/>
    </w:p>
    <w:p>
      <w:pPr>
        <w:pStyle w:val="1004"/>
        <w:spacing w:line="240" w:lineRule="auto"/>
        <w:rPr>
          <w:highlight w:val="none"/>
        </w:rPr>
      </w:pPr>
      <w:r>
        <w:rPr>
          <w:highlight w:val="none"/>
        </w:rPr>
      </w:r>
      <w:bookmarkStart w:id="12" w:name="_Toc535597864"/>
      <w:r>
        <w:rPr>
          <w:highlight w:val="none"/>
        </w:rPr>
      </w:r>
      <w:bookmarkStart w:id="13" w:name="_Toc345"/>
      <w:r>
        <w:rPr>
          <w:rFonts w:hint="eastAsia"/>
          <w:highlight w:val="none"/>
        </w:rPr>
        <w:t xml:space="preserve">第一章</w:t>
      </w:r>
      <w:r>
        <w:rPr>
          <w:rFonts w:hint="eastAsia"/>
          <w:highlight w:val="none"/>
        </w:rPr>
        <w:t xml:space="preserve">  </w:t>
      </w:r>
      <w:r>
        <w:rPr>
          <w:rFonts w:hint="eastAsia"/>
          <w:highlight w:val="none"/>
          <w:lang w:val="en-US"/>
        </w:rPr>
        <w:t xml:space="preserve">竞争性</w:t>
      </w:r>
      <w:r>
        <w:rPr>
          <w:rFonts w:hint="eastAsia"/>
          <w:highlight w:val="none"/>
        </w:rPr>
        <w:t xml:space="preserve">磋商</w:t>
      </w:r>
      <w:bookmarkEnd w:id="4"/>
      <w:r>
        <w:rPr>
          <w:highlight w:val="none"/>
        </w:rPr>
      </w:r>
      <w:bookmarkEnd w:id="5"/>
      <w:r>
        <w:rPr>
          <w:highlight w:val="none"/>
        </w:rPr>
      </w:r>
      <w:bookmarkEnd w:id="12"/>
      <w:r>
        <w:rPr>
          <w:rFonts w:hint="eastAsia"/>
          <w:highlight w:val="none"/>
          <w:lang w:val="en-US"/>
        </w:rPr>
        <w:t xml:space="preserve">公告</w:t>
      </w:r>
      <w:bookmarkEnd w:id="13"/>
      <w:r>
        <w:rPr>
          <w:highlight w:val="none"/>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left w:w="15" w:type="dxa"/>
          <w:top w:w="15" w:type="dxa"/>
          <w:right w:w="15" w:type="dxa"/>
          <w:bottom w:w="15" w:type="dxa"/>
        </w:tblCellMar>
        <w:tblLook w:val="04A0" w:firstRow="1" w:lastRow="0" w:firstColumn="1" w:lastColumn="0" w:noHBand="0" w:noVBand="1"/>
      </w:tblPr>
      <w:tblGrid>
        <w:gridCol w:w="9054"/>
      </w:tblGrid>
      <w:tr>
        <w:trPr/>
        <w:tc>
          <w:tcPr>
            <w:shd w:val="clear" w:color="auto" w:fill="ffffff"/>
            <w:tcW w:w="5000" w:type="dxa"/>
            <w:vAlign w:val="center"/>
            <w:textDirection w:val="lrTb"/>
            <w:noWrap w:val="false"/>
          </w:tcPr>
          <w:p>
            <w:pPr>
              <w:pStyle w:val="912"/>
              <w:spacing w:before="0" w:beforeAutospacing="0" w:after="0" w:afterAutospacing="0" w:line="360" w:lineRule="auto"/>
              <w:rPr>
                <w:sz w:val="21"/>
                <w:szCs w:val="21"/>
                <w:highlight w:val="none"/>
              </w:rPr>
            </w:pPr>
            <w:r>
              <w:rPr>
                <w:highlight w:val="none"/>
              </w:rPr>
            </w:r>
            <w:bookmarkStart w:id="14" w:name="_Toc535597865"/>
            <w:r>
              <w:rPr>
                <w:highlight w:val="none"/>
              </w:rPr>
            </w:r>
            <w:bookmarkStart w:id="15" w:name="_Toc503948563"/>
            <w:r>
              <w:rPr>
                <w:highlight w:val="none"/>
              </w:rPr>
            </w:r>
            <w:bookmarkStart w:id="16" w:name="_Toc503948056"/>
            <w:r>
              <w:rPr>
                <w:highlight w:val="none"/>
              </w:rPr>
            </w:r>
            <w:bookmarkStart w:id="17" w:name="_Toc503948562"/>
            <w:r>
              <w:rPr>
                <w:rFonts w:hint="eastAsia"/>
                <w:color w:val="000000"/>
                <w:sz w:val="21"/>
                <w:szCs w:val="21"/>
                <w:highlight w:val="none"/>
              </w:rPr>
              <w:t xml:space="preserve">项目概况</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rPr>
              <w:t xml:space="preserve">马鞍街道鞍山骨灰堂（一期扩建）工程 </w:t>
            </w:r>
            <w:r>
              <w:rPr>
                <w:rFonts w:hint="eastAsia"/>
                <w:color w:val="000000"/>
                <w:sz w:val="21"/>
                <w:szCs w:val="21"/>
                <w:highlight w:val="none"/>
              </w:rPr>
              <w:t xml:space="preserve">JSZC-320116-JSGH-C2026-0007</w:t>
            </w:r>
            <w:r>
              <w:rPr>
                <w:rFonts w:hint="eastAsia"/>
                <w:color w:val="000000"/>
                <w:sz w:val="21"/>
                <w:szCs w:val="21"/>
                <w:highlight w:val="none"/>
              </w:rPr>
              <w:t xml:space="preserve"> 采购项目的潜在供应商应在“苏采云”江苏省政府采购交易系统 获取采购文件，并于</w:t>
            </w:r>
            <w:r>
              <w:rPr>
                <w:rFonts w:hint="eastAsia"/>
                <w:color w:val="ff0000"/>
                <w:sz w:val="21"/>
                <w:szCs w:val="21"/>
                <w:highlight w:val="none"/>
              </w:rPr>
              <w:t xml:space="preserve">2026年</w:t>
            </w:r>
            <w:r>
              <w:rPr>
                <w:color w:val="ff0000"/>
                <w:sz w:val="21"/>
                <w:szCs w:val="21"/>
                <w:highlight w:val="none"/>
              </w:rPr>
              <w:t xml:space="preserve">0</w:t>
            </w:r>
            <w:r>
              <w:rPr>
                <w:color w:val="ff0000"/>
                <w:sz w:val="21"/>
                <w:szCs w:val="21"/>
                <w:highlight w:val="none"/>
              </w:rPr>
              <w:t xml:space="preserve">8</w:t>
            </w:r>
            <w:r>
              <w:rPr>
                <w:rFonts w:hint="eastAsia"/>
                <w:color w:val="ff0000"/>
                <w:sz w:val="21"/>
                <w:szCs w:val="21"/>
                <w:highlight w:val="none"/>
              </w:rPr>
              <w:t xml:space="preserve">月</w:t>
            </w:r>
            <w:r>
              <w:rPr>
                <w:color w:val="ff0000"/>
                <w:sz w:val="21"/>
                <w:szCs w:val="21"/>
                <w:highlight w:val="none"/>
              </w:rPr>
              <w:t xml:space="preserve">0</w:t>
            </w:r>
            <w:r>
              <w:rPr>
                <w:color w:val="ff0000"/>
                <w:sz w:val="21"/>
                <w:szCs w:val="21"/>
                <w:highlight w:val="none"/>
              </w:rPr>
              <w:t xml:space="preserve">6</w:t>
            </w:r>
            <w:r>
              <w:rPr>
                <w:rFonts w:hint="eastAsia"/>
                <w:color w:val="ff0000"/>
                <w:sz w:val="21"/>
                <w:szCs w:val="21"/>
                <w:highlight w:val="none"/>
              </w:rPr>
              <w:t xml:space="preserve">日9:00</w:t>
            </w:r>
            <w:r>
              <w:rPr>
                <w:rFonts w:hint="eastAsia"/>
                <w:color w:val="000000"/>
                <w:sz w:val="21"/>
                <w:szCs w:val="21"/>
                <w:highlight w:val="none"/>
              </w:rPr>
              <w:t xml:space="preserve">（北京时间）前提交响应文件。</w:t>
            </w:r>
            <w:r>
              <w:rPr>
                <w:highlight w:val="none"/>
              </w:rPr>
            </w:r>
            <w:r/>
          </w:p>
        </w:tc>
      </w:tr>
    </w:tbl>
    <w:p>
      <w:pPr>
        <w:pStyle w:val="701"/>
        <w:keepLines w:val="0"/>
        <w:keepNext w:val="0"/>
        <w:spacing w:before="0" w:after="0" w:line="360" w:lineRule="auto"/>
        <w:shd w:val="clear" w:color="auto" w:fill="ffffff"/>
        <w:widowControl/>
        <w:rPr>
          <w:rFonts w:ascii="宋体" w:hAnsi="宋体" w:eastAsia="宋体" w:cs="宋体"/>
          <w:color w:val="000000"/>
          <w:sz w:val="21"/>
          <w:szCs w:val="21"/>
          <w:highlight w:val="none"/>
        </w:rPr>
      </w:pPr>
      <w:r>
        <w:rPr>
          <w:highlight w:val="none"/>
        </w:rPr>
      </w:r>
      <w:bookmarkStart w:id="18" w:name="_Toc23476"/>
      <w:r>
        <w:rPr>
          <w:highlight w:val="none"/>
        </w:rPr>
      </w:r>
      <w:bookmarkStart w:id="19" w:name="_Toc26983"/>
      <w:r>
        <w:rPr>
          <w:highlight w:val="none"/>
        </w:rPr>
      </w:r>
      <w:bookmarkStart w:id="20" w:name="_Toc23041"/>
      <w:r>
        <w:rPr>
          <w:rStyle w:val="917"/>
          <w:rFonts w:hint="eastAsia" w:ascii="宋体" w:hAnsi="宋体" w:eastAsia="宋体" w:cs="宋体"/>
          <w:color w:val="000000"/>
          <w:sz w:val="21"/>
          <w:szCs w:val="21"/>
          <w:highlight w:val="none"/>
          <w:shd w:val="clear" w:color="auto" w:fill="ffffff"/>
        </w:rPr>
        <w:t xml:space="preserve">一、项目基本情况</w:t>
      </w:r>
      <w:bookmarkEnd w:id="18"/>
      <w:r>
        <w:rPr>
          <w:highlight w:val="none"/>
        </w:rPr>
      </w:r>
      <w:bookmarkEnd w:id="19"/>
      <w:r>
        <w:rPr>
          <w:highlight w:val="none"/>
        </w:rPr>
      </w:r>
      <w:bookmarkEnd w:id="20"/>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项目编号：</w:t>
      </w:r>
      <w:r>
        <w:rPr>
          <w:rFonts w:hint="eastAsia"/>
          <w:color w:val="000000"/>
          <w:sz w:val="21"/>
          <w:szCs w:val="21"/>
          <w:highlight w:val="none"/>
          <w:shd w:val="clear" w:color="auto" w:fill="ffffff"/>
        </w:rPr>
        <w:t xml:space="preserve">JSZC-320116-JSGH-C2026-0007</w:t>
      </w:r>
      <w:r>
        <w:rPr>
          <w:rFonts w:hint="eastAsia"/>
          <w:color w:val="000000"/>
          <w:sz w:val="21"/>
          <w:szCs w:val="21"/>
          <w:highlight w:val="none"/>
          <w:shd w:val="clear" w:color="auto" w:fill="ffffff"/>
        </w:rPr>
        <w:t xml:space="preserve"> </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项目名称：马鞍街道鞍山骨灰堂（一期扩建）工程 </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采购方式：竞争性磋商 </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预算金额：</w:t>
      </w:r>
      <w:r>
        <w:rPr>
          <w:color w:val="000000"/>
          <w:sz w:val="21"/>
          <w:szCs w:val="21"/>
          <w:highlight w:val="none"/>
          <w:shd w:val="clear" w:color="auto" w:fill="ffffff"/>
        </w:rPr>
        <w:t xml:space="preserve">220</w:t>
      </w:r>
      <w:r>
        <w:rPr>
          <w:rFonts w:hint="eastAsia"/>
          <w:color w:val="000000"/>
          <w:sz w:val="21"/>
          <w:szCs w:val="21"/>
          <w:highlight w:val="none"/>
          <w:shd w:val="clear" w:color="auto" w:fill="ffffff"/>
        </w:rPr>
        <w:t xml:space="preserve">万元 </w:t>
      </w:r>
      <w:r>
        <w:rPr>
          <w:highlight w:val="none"/>
        </w:rPr>
      </w:r>
      <w:r/>
    </w:p>
    <w:p>
      <w:pPr>
        <w:spacing w:line="360" w:lineRule="auto"/>
        <w:rPr>
          <w:highlight w:val="none"/>
        </w:rPr>
      </w:pPr>
      <w:r>
        <w:rPr>
          <w:rFonts w:hint="eastAsia"/>
          <w:color w:val="000000"/>
          <w:szCs w:val="21"/>
          <w:highlight w:val="none"/>
          <w:shd w:val="clear" w:color="auto" w:fill="ffffff"/>
        </w:rPr>
        <w:t xml:space="preserve">最高限价：</w:t>
      </w:r>
      <w:r>
        <w:rPr>
          <w:rFonts w:hint="eastAsia" w:ascii="宋体" w:hAnsi="宋体" w:cs="宋体"/>
          <w:color w:val="000000"/>
          <w:szCs w:val="21"/>
          <w:highlight w:val="none"/>
          <w:shd w:val="clear" w:color="auto" w:fill="ffffff"/>
        </w:rPr>
        <w:t xml:space="preserve">200.097161万元</w:t>
      </w:r>
      <w:r>
        <w:rPr>
          <w:rFonts w:hint="eastAsia" w:ascii="宋体" w:hAnsi="宋体"/>
          <w:szCs w:val="21"/>
          <w:highlight w:val="none"/>
        </w:rPr>
        <w:t xml:space="preserve">（</w:t>
      </w:r>
      <w:r>
        <w:rPr>
          <w:rFonts w:hint="eastAsia" w:ascii="宋体" w:hAnsi="宋体" w:cs="宋体"/>
          <w:szCs w:val="21"/>
          <w:highlight w:val="none"/>
        </w:rPr>
        <w:t xml:space="preserve">供应商的磋商报价超过最高限价的其响应文件将被作为无效响应处理）</w:t>
      </w:r>
      <w:r>
        <w:rPr>
          <w:highlight w:val="none"/>
        </w:rPr>
      </w:r>
      <w:r/>
    </w:p>
    <w:p>
      <w:pPr>
        <w:pStyle w:val="912"/>
        <w:spacing w:before="0" w:beforeAutospacing="0" w:after="0" w:afterAutospacing="0" w:line="360" w:lineRule="auto"/>
        <w:shd w:val="clear" w:color="auto" w:fill="ffffff"/>
        <w:rPr>
          <w:sz w:val="21"/>
          <w:szCs w:val="21"/>
          <w:highlight w:val="none"/>
        </w:rPr>
      </w:pPr>
      <w:r>
        <w:rPr>
          <w:rFonts w:hint="eastAsia"/>
          <w:color w:val="000000"/>
          <w:sz w:val="21"/>
          <w:szCs w:val="21"/>
          <w:highlight w:val="none"/>
          <w:shd w:val="clear" w:color="auto" w:fill="ffffff"/>
        </w:rPr>
        <w:t xml:space="preserve">采购需求：马鞍街道鞍山骨灰堂（一期扩建）工程</w:t>
      </w:r>
      <w:r>
        <w:rPr>
          <w:rFonts w:hint="eastAsia"/>
          <w:color w:val="000000"/>
          <w:sz w:val="21"/>
          <w:szCs w:val="21"/>
          <w:highlight w:val="none"/>
          <w:shd w:val="clear" w:color="auto" w:fill="ffffff"/>
          <w:lang w:bidi="ar"/>
        </w:rPr>
        <w:t xml:space="preserve">，具体详见采购文件及工程量清单。</w:t>
      </w:r>
      <w:r>
        <w:rPr>
          <w:highlight w:val="none"/>
        </w:rPr>
      </w:r>
      <w:r/>
    </w:p>
    <w:p>
      <w:pPr>
        <w:pStyle w:val="912"/>
        <w:spacing w:before="0" w:beforeAutospacing="0" w:after="0" w:afterAutospacing="0" w:line="360" w:lineRule="auto"/>
        <w:shd w:val="clear" w:color="auto" w:fill="ffffff"/>
        <w:rPr>
          <w:color w:val="000000"/>
          <w:sz w:val="21"/>
          <w:szCs w:val="21"/>
          <w:highlight w:val="none"/>
          <w:shd w:val="clear" w:color="auto" w:fill="ffffff"/>
        </w:rPr>
      </w:pPr>
      <w:r>
        <w:rPr>
          <w:rFonts w:hint="eastAsia"/>
          <w:color w:val="000000"/>
          <w:sz w:val="21"/>
          <w:szCs w:val="21"/>
          <w:highlight w:val="none"/>
          <w:shd w:val="clear" w:color="auto" w:fill="ffffff"/>
        </w:rPr>
        <w:t xml:space="preserve">合同履行期限：</w:t>
      </w:r>
      <w:r>
        <w:rPr>
          <w:color w:val="000000"/>
          <w:sz w:val="21"/>
          <w:szCs w:val="21"/>
          <w:highlight w:val="none"/>
          <w:shd w:val="clear" w:color="auto" w:fill="ffffff"/>
        </w:rPr>
        <w:t xml:space="preserve">120</w:t>
      </w:r>
      <w:r>
        <w:rPr>
          <w:color w:val="000000"/>
          <w:sz w:val="21"/>
          <w:szCs w:val="21"/>
          <w:highlight w:val="none"/>
          <w:shd w:val="clear" w:color="auto" w:fill="ffffff"/>
        </w:rPr>
        <w:t xml:space="preserve">日历</w:t>
      </w:r>
      <w:r>
        <w:rPr>
          <w:rFonts w:hint="eastAsia"/>
          <w:color w:val="000000"/>
          <w:sz w:val="21"/>
          <w:szCs w:val="21"/>
          <w:highlight w:val="none"/>
          <w:shd w:val="clear" w:color="auto" w:fill="ffffff"/>
        </w:rPr>
        <w:t xml:space="preserve">天</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本项目（是/否）接受联合体投标：不接受联合体</w:t>
      </w:r>
      <w:r>
        <w:rPr>
          <w:rFonts w:hint="eastAsia"/>
          <w:color w:val="000000"/>
          <w:sz w:val="21"/>
          <w:szCs w:val="21"/>
          <w:highlight w:val="none"/>
          <w:shd w:val="clear" w:color="auto" w:fill="ffffff"/>
        </w:rPr>
        <w:t xml:space="preserve">。</w:t>
      </w:r>
      <w:r>
        <w:rPr>
          <w:rFonts w:hint="eastAsia"/>
          <w:color w:val="000000"/>
          <w:sz w:val="21"/>
          <w:szCs w:val="21"/>
          <w:highlight w:val="none"/>
          <w:shd w:val="clear" w:color="auto" w:fill="ffffff"/>
        </w:rPr>
        <w:t xml:space="preserve"> </w:t>
      </w:r>
      <w:r>
        <w:rPr>
          <w:highlight w:val="none"/>
        </w:rPr>
      </w:r>
      <w:r/>
    </w:p>
    <w:p>
      <w:pPr>
        <w:pStyle w:val="701"/>
        <w:keepLines w:val="0"/>
        <w:keepNext w:val="0"/>
        <w:spacing w:before="0" w:after="0" w:line="360" w:lineRule="auto"/>
        <w:shd w:val="clear" w:color="auto" w:fill="ffffff"/>
        <w:widowControl/>
        <w:rPr>
          <w:rFonts w:ascii="宋体" w:hAnsi="宋体" w:eastAsia="宋体" w:cs="宋体"/>
          <w:color w:val="000000"/>
          <w:sz w:val="21"/>
          <w:szCs w:val="21"/>
          <w:highlight w:val="none"/>
        </w:rPr>
      </w:pPr>
      <w:r>
        <w:rPr>
          <w:highlight w:val="none"/>
        </w:rPr>
      </w:r>
      <w:bookmarkStart w:id="21" w:name="_Toc32620"/>
      <w:r>
        <w:rPr>
          <w:highlight w:val="none"/>
        </w:rPr>
      </w:r>
      <w:bookmarkStart w:id="22" w:name="_Toc850"/>
      <w:r>
        <w:rPr>
          <w:highlight w:val="none"/>
        </w:rPr>
      </w:r>
      <w:bookmarkStart w:id="23" w:name="_Toc4177"/>
      <w:r>
        <w:rPr>
          <w:rStyle w:val="917"/>
          <w:rFonts w:hint="eastAsia" w:ascii="宋体" w:hAnsi="宋体" w:eastAsia="宋体" w:cs="宋体"/>
          <w:color w:val="000000"/>
          <w:sz w:val="21"/>
          <w:szCs w:val="21"/>
          <w:highlight w:val="none"/>
          <w:shd w:val="clear" w:color="auto" w:fill="ffffff"/>
        </w:rPr>
        <w:t xml:space="preserve">二、申请人的资格要求</w:t>
      </w:r>
      <w:bookmarkEnd w:id="21"/>
      <w:r>
        <w:rPr>
          <w:highlight w:val="none"/>
        </w:rPr>
      </w:r>
      <w:bookmarkEnd w:id="22"/>
      <w:r>
        <w:rPr>
          <w:highlight w:val="none"/>
        </w:rPr>
      </w:r>
      <w:bookmarkEnd w:id="23"/>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（一）满足《中华人民共和国政府采购法》第二十二条规定；</w:t>
      </w:r>
      <w:r>
        <w:rPr>
          <w:highlight w:val="none"/>
        </w:rPr>
      </w:r>
      <w:r/>
    </w:p>
    <w:p>
      <w:pPr>
        <w:pStyle w:val="912"/>
        <w:spacing w:before="0" w:beforeAutospacing="0" w:after="0" w:afterAutospacing="0" w:line="360" w:lineRule="auto"/>
        <w:rPr>
          <w:color w:val="000000"/>
          <w:sz w:val="21"/>
          <w:szCs w:val="21"/>
          <w:highlight w:val="none"/>
          <w:shd w:val="clear" w:color="auto" w:fill="ffffff"/>
        </w:rPr>
      </w:pPr>
      <w:r>
        <w:rPr>
          <w:rFonts w:hint="eastAsia"/>
          <w:color w:val="000000"/>
          <w:sz w:val="21"/>
          <w:szCs w:val="21"/>
          <w:highlight w:val="none"/>
          <w:shd w:val="clear" w:color="auto" w:fill="ffffff"/>
        </w:rPr>
        <w:t xml:space="preserve">1.具有独立承担民事责任的能力。（提供法人或者其他组织的营业执照，自然人的身份证明，复印件加盖公章）</w:t>
      </w:r>
      <w:r>
        <w:rPr>
          <w:highlight w:val="none"/>
        </w:rPr>
      </w:r>
      <w:r/>
    </w:p>
    <w:p>
      <w:pPr>
        <w:pStyle w:val="912"/>
        <w:spacing w:before="0" w:beforeAutospacing="0" w:after="0" w:afterAutospacing="0" w:line="360" w:lineRule="auto"/>
        <w:rPr>
          <w:color w:val="000000"/>
          <w:sz w:val="21"/>
          <w:szCs w:val="21"/>
          <w:highlight w:val="none"/>
          <w:shd w:val="clear" w:color="auto" w:fill="ffffff"/>
        </w:rPr>
      </w:pPr>
      <w:r>
        <w:rPr>
          <w:rFonts w:hint="eastAsia"/>
          <w:color w:val="000000"/>
          <w:sz w:val="21"/>
          <w:szCs w:val="21"/>
          <w:highlight w:val="none"/>
          <w:shd w:val="clear" w:color="auto" w:fill="ffffff"/>
        </w:rPr>
        <w:t xml:space="preserve">2.具有良好的商业信誉和健全的财务会计制度。（提供参加本次采购活动前半年内至少一个月的财务报表，复印件加盖公章）</w:t>
      </w:r>
      <w:r>
        <w:rPr>
          <w:highlight w:val="none"/>
        </w:rPr>
      </w:r>
      <w:r/>
    </w:p>
    <w:p>
      <w:pPr>
        <w:pStyle w:val="912"/>
        <w:spacing w:before="0" w:beforeAutospacing="0" w:after="0" w:afterAutospacing="0" w:line="360" w:lineRule="auto"/>
        <w:rPr>
          <w:color w:val="000000"/>
          <w:sz w:val="21"/>
          <w:szCs w:val="21"/>
          <w:highlight w:val="none"/>
          <w:shd w:val="clear" w:color="auto" w:fill="ffffff"/>
        </w:rPr>
      </w:pPr>
      <w:r>
        <w:rPr>
          <w:rFonts w:hint="eastAsia"/>
          <w:color w:val="000000"/>
          <w:sz w:val="21"/>
          <w:szCs w:val="21"/>
          <w:highlight w:val="none"/>
          <w:shd w:val="clear" w:color="auto" w:fill="ffffff"/>
        </w:rPr>
        <w:t xml:space="preserve">3.具有履行合同所必需的设备和专业技术能力。（提供书面声明加盖公章）</w:t>
      </w:r>
      <w:r>
        <w:rPr>
          <w:highlight w:val="none"/>
        </w:rPr>
      </w:r>
      <w:r/>
    </w:p>
    <w:p>
      <w:pPr>
        <w:pStyle w:val="912"/>
        <w:spacing w:before="0" w:beforeAutospacing="0" w:after="0" w:afterAutospacing="0" w:line="360" w:lineRule="auto"/>
        <w:rPr>
          <w:color w:val="000000"/>
          <w:sz w:val="21"/>
          <w:szCs w:val="21"/>
          <w:highlight w:val="none"/>
          <w:shd w:val="clear" w:color="auto" w:fill="ffffff"/>
        </w:rPr>
      </w:pPr>
      <w:r>
        <w:rPr>
          <w:rFonts w:hint="eastAsia"/>
          <w:color w:val="000000"/>
          <w:sz w:val="21"/>
          <w:szCs w:val="21"/>
          <w:highlight w:val="none"/>
          <w:shd w:val="clear" w:color="auto" w:fill="ffffff"/>
        </w:rPr>
        <w:t xml:space="preserve">4.有依法缴纳税收和社会保障资金的良好记录。（提供参加本次采购活动前半年内至少一个月依法缴纳税收和社会保障资金的相关资料，复印件加盖公章）</w:t>
      </w:r>
      <w:r>
        <w:rPr>
          <w:highlight w:val="none"/>
        </w:rPr>
      </w:r>
      <w:r/>
    </w:p>
    <w:p>
      <w:pPr>
        <w:pStyle w:val="912"/>
        <w:spacing w:before="0" w:beforeAutospacing="0" w:after="0" w:afterAutospacing="0" w:line="360" w:lineRule="auto"/>
        <w:rPr>
          <w:color w:val="000000"/>
          <w:sz w:val="21"/>
          <w:szCs w:val="21"/>
          <w:highlight w:val="none"/>
          <w:shd w:val="clear" w:color="auto" w:fill="ffffff"/>
        </w:rPr>
      </w:pPr>
      <w:r>
        <w:rPr>
          <w:rFonts w:hint="eastAsia"/>
          <w:color w:val="000000"/>
          <w:sz w:val="21"/>
          <w:szCs w:val="21"/>
          <w:highlight w:val="none"/>
          <w:shd w:val="clear" w:color="auto" w:fill="ffffff"/>
        </w:rPr>
        <w:t xml:space="preserve">5.参加政府采购活动前3年内，在经营活动中没有重大违法记录。（提供书面声明加盖公章）</w:t>
      </w:r>
      <w:r>
        <w:rPr>
          <w:highlight w:val="none"/>
        </w:rPr>
      </w:r>
      <w:r/>
    </w:p>
    <w:p>
      <w:pPr>
        <w:pStyle w:val="912"/>
        <w:spacing w:before="0" w:beforeAutospacing="0" w:after="0" w:afterAutospacing="0" w:line="360" w:lineRule="auto"/>
        <w:shd w:val="clear" w:color="auto" w:fill="ffffff"/>
        <w:rPr>
          <w:color w:val="000000"/>
          <w:sz w:val="21"/>
          <w:szCs w:val="21"/>
          <w:highlight w:val="none"/>
          <w:shd w:val="clear" w:color="auto" w:fill="ffffff"/>
        </w:rPr>
      </w:pPr>
      <w:r>
        <w:rPr>
          <w:rFonts w:hint="eastAsia"/>
          <w:color w:val="000000"/>
          <w:sz w:val="21"/>
          <w:szCs w:val="21"/>
          <w:highlight w:val="none"/>
          <w:shd w:val="clear" w:color="auto" w:fill="ffffff"/>
        </w:rPr>
        <w:t xml:space="preserve">6.根据（宁财购通〔2021〕5号）《关于在政府采购活动中推行信用承诺制的通知》规定，供应商如完全满足以上第2-5项资格要求的，供应商可在资格审查环节提供《南京市政府采购供应商信用记录表暨信用承诺书》，并对资格承诺内容的真实性、合法性、有效性负责，</w:t>
      </w:r>
      <w:r>
        <w:rPr>
          <w:rFonts w:hint="eastAsia"/>
          <w:color w:val="000000"/>
          <w:sz w:val="21"/>
          <w:szCs w:val="21"/>
          <w:highlight w:val="none"/>
          <w:shd w:val="clear" w:color="auto" w:fill="ffffff"/>
          <w:lang w:val="zh-CN"/>
        </w:rPr>
        <w:t xml:space="preserve">如作出虚假信用承诺，视同为“提供虚假材料谋取中标、成交”的违法行为</w:t>
      </w:r>
      <w:r>
        <w:rPr>
          <w:rFonts w:hint="eastAsia"/>
          <w:color w:val="000000"/>
          <w:sz w:val="21"/>
          <w:szCs w:val="21"/>
          <w:highlight w:val="none"/>
          <w:shd w:val="clear" w:color="auto" w:fill="ffffff"/>
        </w:rPr>
        <w:t xml:space="preserve">。供应商在资格审查环节仅提供资格承诺书的，须在中标后按承诺函要求另行提供由承诺书替代的相关证明材料。不适用信用承诺的情形：①供应商被列入严重失信主体名单； ②被相关监管部门作出行政处罚且尚在处罚有效期内；③其他法律、行政法规规定的不适用信用承诺的情形。注：</w:t>
      </w:r>
      <w:r>
        <w:rPr>
          <w:rFonts w:hint="eastAsia"/>
          <w:color w:val="000000"/>
          <w:sz w:val="21"/>
          <w:szCs w:val="21"/>
          <w:highlight w:val="none"/>
          <w:shd w:val="clear" w:color="auto" w:fill="ffffff"/>
          <w:lang w:val="zh-CN"/>
        </w:rPr>
        <w:t xml:space="preserve">信用记录表打印时间为本竞争性磋商</w:t>
      </w:r>
      <w:r>
        <w:rPr>
          <w:rFonts w:hint="eastAsia"/>
          <w:color w:val="000000"/>
          <w:sz w:val="21"/>
          <w:szCs w:val="21"/>
          <w:highlight w:val="none"/>
          <w:shd w:val="clear" w:color="auto" w:fill="ffffff"/>
        </w:rPr>
        <w:t xml:space="preserve">公告</w:t>
      </w:r>
      <w:r>
        <w:rPr>
          <w:rFonts w:hint="eastAsia"/>
          <w:color w:val="000000"/>
          <w:sz w:val="21"/>
          <w:szCs w:val="21"/>
          <w:highlight w:val="none"/>
          <w:shd w:val="clear" w:color="auto" w:fill="ffffff"/>
          <w:lang w:val="zh-CN"/>
        </w:rPr>
        <w:t xml:space="preserve">发布之日起至递交响应文件</w:t>
      </w:r>
      <w:r>
        <w:rPr>
          <w:rFonts w:hint="eastAsia"/>
          <w:color w:val="000000"/>
          <w:sz w:val="21"/>
          <w:szCs w:val="21"/>
          <w:highlight w:val="none"/>
          <w:shd w:val="clear" w:color="auto" w:fill="ffffff"/>
        </w:rPr>
        <w:t xml:space="preserve">截止</w:t>
      </w:r>
      <w:r>
        <w:rPr>
          <w:rFonts w:hint="eastAsia"/>
          <w:color w:val="000000"/>
          <w:sz w:val="21"/>
          <w:szCs w:val="21"/>
          <w:highlight w:val="none"/>
          <w:shd w:val="clear" w:color="auto" w:fill="ffffff"/>
          <w:lang w:val="zh-CN"/>
        </w:rPr>
        <w:t xml:space="preserve">日前，未按上述要求提供信用记录表的，响应文件</w:t>
      </w:r>
      <w:r>
        <w:rPr>
          <w:rFonts w:hint="eastAsia"/>
          <w:color w:val="000000"/>
          <w:sz w:val="21"/>
          <w:szCs w:val="21"/>
          <w:highlight w:val="none"/>
          <w:shd w:val="clear" w:color="auto" w:fill="ffffff"/>
        </w:rPr>
        <w:t xml:space="preserve">按无效磋商处理</w:t>
      </w:r>
      <w:r>
        <w:rPr>
          <w:rFonts w:hint="eastAsia"/>
          <w:color w:val="000000"/>
          <w:sz w:val="21"/>
          <w:szCs w:val="21"/>
          <w:highlight w:val="none"/>
          <w:shd w:val="clear" w:color="auto" w:fill="ffffff"/>
          <w:lang w:val="zh-CN"/>
        </w:rPr>
        <w:t xml:space="preserve">。</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（二）落实政府采购政策需满足的资格要求：</w:t>
      </w:r>
      <w:r>
        <w:rPr>
          <w:highlight w:val="none"/>
        </w:rPr>
      </w:r>
      <w:r/>
    </w:p>
    <w:p>
      <w:pPr>
        <w:jc w:val="left"/>
        <w:spacing w:line="360" w:lineRule="auto"/>
        <w:widowControl/>
        <w:rPr>
          <w:rFonts w:ascii="宋体" w:hAnsi="宋体" w:cs="宋体"/>
          <w:szCs w:val="21"/>
          <w:highlight w:val="none"/>
        </w:rPr>
      </w:pPr>
      <w:r>
        <w:rPr>
          <w:rStyle w:val="917"/>
          <w:rFonts w:hint="eastAsia" w:ascii="宋体" w:hAnsi="宋体" w:cs="宋体"/>
          <w:b w:val="0"/>
          <w:bCs w:val="0"/>
          <w:color w:val="000000"/>
          <w:szCs w:val="21"/>
          <w:highlight w:val="none"/>
          <w:shd w:val="clear" w:color="auto" w:fill="ffffff"/>
          <w:lang w:bidi="ar"/>
        </w:rPr>
        <w:t xml:space="preserve">1.如属于专门面向中小企业采购的项目，供应商应为中小微企业、监狱企业、残疾人福利性单位。</w:t>
      </w:r>
      <w:r>
        <w:rPr>
          <w:highlight w:val="none"/>
        </w:rPr>
      </w:r>
      <w:r/>
    </w:p>
    <w:p>
      <w:pPr>
        <w:jc w:val="left"/>
        <w:spacing w:line="360" w:lineRule="auto"/>
        <w:widowControl/>
        <w:rPr>
          <w:rFonts w:ascii="宋体" w:hAnsi="宋体" w:cs="宋体"/>
          <w:szCs w:val="21"/>
          <w:highlight w:val="none"/>
        </w:rPr>
      </w:pPr>
      <w:r>
        <w:rPr>
          <w:rFonts w:hint="eastAsia" w:ascii="宋体" w:hAnsi="宋体" w:cs="宋体"/>
          <w:color w:val="000000"/>
          <w:szCs w:val="21"/>
          <w:highlight w:val="none"/>
          <w:shd w:val="clear" w:color="auto" w:fill="ffffff"/>
          <w:lang w:bidi="ar"/>
        </w:rPr>
        <w:t xml:space="preserve">本项目按照采用以下方式落实政府采购促进中小企业发展的要求：本项目整体专门面向中小企业采购。</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Cs w:val="21"/>
          <w:highlight w:val="none"/>
          <w:shd w:val="clear" w:color="auto" w:fill="ffffff"/>
          <w:lang w:bidi="ar"/>
        </w:rPr>
        <w:t xml:space="preserve">（三）</w:t>
      </w:r>
      <w:r>
        <w:rPr>
          <w:rFonts w:hint="eastAsia"/>
          <w:color w:val="000000"/>
          <w:sz w:val="21"/>
          <w:szCs w:val="21"/>
          <w:highlight w:val="none"/>
          <w:shd w:val="clear" w:color="auto" w:fill="ffffff"/>
        </w:rPr>
        <w:t xml:space="preserve">本项目的特定资格要求：</w:t>
      </w:r>
      <w:r>
        <w:rPr>
          <w:highlight w:val="none"/>
        </w:rPr>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color w:val="000000"/>
          <w:szCs w:val="21"/>
          <w:highlight w:val="none"/>
          <w:shd w:val="clear" w:color="auto" w:fill="ffffff"/>
          <w:lang w:bidi="ar"/>
        </w:rPr>
        <w:t xml:space="preserve">供应商具有</w:t>
      </w:r>
      <w:r>
        <w:rPr>
          <w:rFonts w:hint="eastAsia" w:ascii="宋体" w:hAnsi="宋体" w:cs="宋体"/>
          <w:szCs w:val="21"/>
          <w:highlight w:val="none"/>
        </w:rPr>
        <w:t xml:space="preserve">建筑工程施工总承包三级（含）以上</w:t>
      </w:r>
      <w:r>
        <w:rPr>
          <w:rFonts w:hint="eastAsia" w:ascii="宋体" w:hAnsi="宋体" w:cs="宋体"/>
          <w:color w:val="000000"/>
          <w:szCs w:val="21"/>
          <w:highlight w:val="none"/>
          <w:shd w:val="clear" w:color="auto" w:fill="ffffff"/>
          <w:lang w:bidi="ar"/>
        </w:rPr>
        <w:t xml:space="preserve">资质 ，供应商应同时具备有效的安全生产许可证。</w:t>
      </w:r>
      <w:r>
        <w:rPr>
          <w:rFonts w:hint="eastAsia" w:ascii="宋体" w:hAnsi="宋体" w:cs="宋体"/>
          <w:szCs w:val="21"/>
          <w:highlight w:val="none"/>
        </w:rPr>
        <w:t xml:space="preserve">（提供加盖供应商公章的有效证书复印件）</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szCs w:val="21"/>
          <w:highlight w:val="none"/>
        </w:rPr>
        <w:t xml:space="preserve">2.</w:t>
      </w:r>
      <w:r>
        <w:rPr>
          <w:rFonts w:hint="eastAsia" w:ascii="宋体" w:hAnsi="宋体" w:cs="宋体"/>
          <w:color w:val="000000"/>
          <w:szCs w:val="21"/>
          <w:highlight w:val="none"/>
          <w:shd w:val="clear" w:color="auto" w:fill="ffffff"/>
          <w:lang w:bidi="ar"/>
        </w:rPr>
        <w:t xml:space="preserve">项目负责人资质类别和等级：</w:t>
      </w:r>
      <w:r>
        <w:rPr>
          <w:rFonts w:hint="eastAsia" w:ascii="宋体" w:hAnsi="宋体" w:cs="宋体"/>
          <w:szCs w:val="21"/>
          <w:highlight w:val="none"/>
        </w:rPr>
        <w:t xml:space="preserve">具有注册建造师证建筑工程二级(含)以上，并且取得有效期内的安全生产考核合格证（B 证）。（提供加盖供应商公章的有效证书复印件、提供</w:t>
      </w:r>
      <w:r>
        <w:rPr>
          <w:rFonts w:hint="eastAsia" w:ascii="宋体" w:hAnsi="宋体" w:cs="宋体"/>
          <w:szCs w:val="21"/>
          <w:highlight w:val="none"/>
          <w:lang w:val="zh-CN"/>
        </w:rPr>
        <w:t xml:space="preserve">采购公告前近三个月</w:t>
      </w:r>
      <w:r>
        <w:rPr>
          <w:rFonts w:hint="eastAsia" w:ascii="宋体" w:hAnsi="宋体" w:cs="宋体"/>
          <w:szCs w:val="21"/>
          <w:highlight w:val="none"/>
        </w:rPr>
        <w:t xml:space="preserve">中任意一个月</w:t>
      </w:r>
      <w:r>
        <w:rPr>
          <w:rFonts w:hint="eastAsia" w:ascii="宋体" w:hAnsi="宋体" w:cs="宋体"/>
          <w:szCs w:val="21"/>
          <w:highlight w:val="none"/>
          <w:lang w:val="zh-CN"/>
        </w:rPr>
        <w:t xml:space="preserve">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cs="宋体"/>
          <w:color w:val="000000"/>
          <w:szCs w:val="21"/>
          <w:highlight w:val="none"/>
          <w:shd w:val="clear" w:color="auto" w:fill="ffffff"/>
          <w:lang w:bidi="ar"/>
        </w:rPr>
        <w:t xml:space="preserve">）</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3.项目负责人未担任其他在建建设工程项目的项目负责人，供应商拟任的项目负责人必须满足下列条件之一：</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1）项目负责人是非变更后无在建工程（提供供应商出具的承诺书，时间为招标公告发布时间以后，投标截止时间以前。备注：拟任项目负责人在本项目投标截止时间前已在其它投标项目中拟任项目负责人并中标，虽尚未签订承包合同但该项目中标通知书已发出的，该项目负责人视为有在建工程）。</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（2）项目负责人是变更后无在建工程（必须原合同工期已满且原建设单位同意变更手续办理已满6个月，须提供相关证明材料）</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（3）项目负责人</w:t>
      </w:r>
      <w:r>
        <w:rPr>
          <w:rFonts w:ascii="宋体" w:hAnsi="宋体" w:cs="宋体"/>
          <w:color w:val="000000"/>
          <w:szCs w:val="21"/>
          <w:highlight w:val="none"/>
          <w:shd w:val="clear" w:color="auto" w:fill="ffffff"/>
          <w:lang w:bidi="ar"/>
        </w:rPr>
        <w:t xml:space="preserve">虽有在建工程，但符合以下情形之一的，视为无在建工程</w:t>
      </w:r>
      <w:r>
        <w:rPr>
          <w:rFonts w:hint="eastAsia" w:ascii="宋体" w:hAnsi="宋体" w:cs="宋体"/>
          <w:color w:val="000000"/>
          <w:szCs w:val="21"/>
          <w:highlight w:val="none"/>
          <w:shd w:val="clear" w:color="auto" w:fill="ffffff"/>
          <w:lang w:bidi="ar"/>
        </w:rPr>
        <w:t xml:space="preserve">：</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ascii="宋体" w:hAnsi="宋体" w:cs="宋体"/>
          <w:color w:val="000000"/>
          <w:szCs w:val="21"/>
          <w:highlight w:val="none"/>
          <w:shd w:val="clear" w:color="auto" w:fill="ffffff"/>
          <w:lang w:bidi="ar"/>
        </w:rPr>
        <w:t xml:space="preserve">①通过合同完工验收（</w:t>
      </w:r>
      <w:r>
        <w:rPr>
          <w:rFonts w:hint="eastAsia" w:ascii="宋体" w:hAnsi="宋体" w:cs="宋体"/>
          <w:color w:val="000000"/>
          <w:szCs w:val="21"/>
          <w:highlight w:val="none"/>
          <w:shd w:val="clear" w:color="auto" w:fill="ffffff"/>
          <w:lang w:bidi="ar"/>
        </w:rPr>
        <w:t xml:space="preserve">须提供参建各方盖章的合同完工验收证明</w:t>
      </w:r>
      <w:r>
        <w:rPr>
          <w:rFonts w:ascii="宋体" w:hAnsi="宋体" w:cs="宋体"/>
          <w:color w:val="000000"/>
          <w:szCs w:val="21"/>
          <w:highlight w:val="none"/>
          <w:shd w:val="clear" w:color="auto" w:fill="ffffff"/>
          <w:lang w:bidi="ar"/>
        </w:rPr>
        <w:t xml:space="preserve">）</w:t>
      </w:r>
      <w:r>
        <w:rPr>
          <w:rFonts w:hint="eastAsia" w:ascii="宋体" w:hAnsi="宋体" w:cs="宋体"/>
          <w:color w:val="000000"/>
          <w:szCs w:val="21"/>
          <w:highlight w:val="none"/>
          <w:shd w:val="clear" w:color="auto" w:fill="ffffff"/>
          <w:lang w:bidi="ar"/>
        </w:rPr>
        <w:t xml:space="preserve">；</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ascii="宋体" w:hAnsi="宋体" w:cs="宋体"/>
          <w:color w:val="000000"/>
          <w:szCs w:val="21"/>
          <w:highlight w:val="none"/>
          <w:shd w:val="clear" w:color="auto" w:fill="ffffff"/>
          <w:lang w:bidi="ar"/>
        </w:rPr>
        <w:t xml:space="preserve">②工程具备合同完工验收条件，已向建设单位提出合同完工验收申请，并经建设单位确认（</w:t>
      </w:r>
      <w:r>
        <w:rPr>
          <w:rFonts w:hint="eastAsia" w:ascii="宋体" w:hAnsi="宋体" w:cs="宋体"/>
          <w:color w:val="000000"/>
          <w:szCs w:val="21"/>
          <w:highlight w:val="none"/>
          <w:shd w:val="clear" w:color="auto" w:fill="ffffff"/>
          <w:lang w:bidi="ar"/>
        </w:rPr>
        <w:t xml:space="preserve">须提供以下资料：</w:t>
      </w:r>
      <w:r>
        <w:rPr>
          <w:rFonts w:ascii="宋体" w:hAnsi="宋体" w:cs="宋体"/>
          <w:color w:val="000000"/>
          <w:szCs w:val="21"/>
          <w:highlight w:val="none"/>
          <w:shd w:val="clear" w:color="auto" w:fill="ffffff"/>
          <w:lang w:bidi="ar"/>
        </w:rPr>
        <w:t xml:space="preserve">a</w:t>
      </w:r>
      <w:r>
        <w:rPr>
          <w:rFonts w:hint="eastAsia" w:ascii="宋体" w:hAnsi="宋体" w:cs="宋体"/>
          <w:color w:val="000000"/>
          <w:szCs w:val="21"/>
          <w:highlight w:val="none"/>
          <w:shd w:val="clear" w:color="auto" w:fill="ffffff"/>
          <w:lang w:bidi="ar"/>
        </w:rPr>
        <w:t xml:space="preserve">.经建设单位确认的合同完工验收申请，</w:t>
      </w:r>
      <w:r>
        <w:rPr>
          <w:rFonts w:ascii="宋体" w:hAnsi="宋体" w:cs="宋体"/>
          <w:color w:val="000000"/>
          <w:szCs w:val="21"/>
          <w:highlight w:val="none"/>
          <w:shd w:val="clear" w:color="auto" w:fill="ffffff"/>
          <w:lang w:bidi="ar"/>
        </w:rPr>
        <w:t xml:space="preserve">b</w:t>
      </w:r>
      <w:r>
        <w:rPr>
          <w:rFonts w:hint="eastAsia" w:ascii="宋体" w:hAnsi="宋体" w:cs="宋体"/>
          <w:color w:val="000000"/>
          <w:szCs w:val="21"/>
          <w:highlight w:val="none"/>
          <w:shd w:val="clear" w:color="auto" w:fill="ffffff"/>
          <w:lang w:bidi="ar"/>
        </w:rPr>
        <w:t xml:space="preserve">.</w:t>
      </w:r>
      <w:r>
        <w:rPr>
          <w:rFonts w:ascii="宋体" w:hAnsi="宋体" w:cs="宋体"/>
          <w:color w:val="000000"/>
          <w:szCs w:val="21"/>
          <w:highlight w:val="none"/>
          <w:shd w:val="clear" w:color="auto" w:fill="ffffff"/>
          <w:lang w:bidi="ar"/>
        </w:rPr>
        <w:t xml:space="preserve">在建工程建设单位出具的允许</w:t>
      </w:r>
      <w:r>
        <w:rPr>
          <w:rFonts w:hint="eastAsia" w:ascii="宋体" w:hAnsi="宋体" w:cs="宋体"/>
          <w:color w:val="000000"/>
          <w:szCs w:val="21"/>
          <w:highlight w:val="none"/>
          <w:shd w:val="clear" w:color="auto" w:fill="ffffff"/>
          <w:lang w:bidi="ar"/>
        </w:rPr>
        <w:t xml:space="preserve">项目负责人</w:t>
      </w:r>
      <w:r>
        <w:rPr>
          <w:rFonts w:ascii="宋体" w:hAnsi="宋体" w:cs="宋体"/>
          <w:color w:val="000000"/>
          <w:szCs w:val="21"/>
          <w:highlight w:val="none"/>
          <w:shd w:val="clear" w:color="auto" w:fill="ffffff"/>
          <w:lang w:bidi="ar"/>
        </w:rPr>
        <w:t xml:space="preserve">撤出原在建工程项目的证明材料）</w:t>
      </w:r>
      <w:r>
        <w:rPr>
          <w:rFonts w:hint="eastAsia" w:ascii="宋体" w:hAnsi="宋体" w:cs="宋体"/>
          <w:color w:val="000000"/>
          <w:szCs w:val="21"/>
          <w:highlight w:val="none"/>
          <w:shd w:val="clear" w:color="auto" w:fill="ffffff"/>
          <w:lang w:bidi="ar"/>
        </w:rPr>
        <w:t xml:space="preserve">；</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ascii="宋体" w:hAnsi="宋体" w:cs="宋体"/>
          <w:color w:val="000000"/>
          <w:szCs w:val="21"/>
          <w:highlight w:val="none"/>
          <w:shd w:val="clear" w:color="auto" w:fill="ffffff"/>
          <w:lang w:bidi="ar"/>
        </w:rPr>
        <w:t xml:space="preserve">③因非承包方原因致使工程项目停工超过120天（含）</w:t>
      </w:r>
      <w:r>
        <w:rPr>
          <w:rFonts w:hint="eastAsia" w:ascii="宋体" w:hAnsi="宋体" w:cs="宋体"/>
          <w:color w:val="000000"/>
          <w:szCs w:val="21"/>
          <w:highlight w:val="none"/>
          <w:shd w:val="clear" w:color="auto" w:fill="ffffff"/>
          <w:lang w:bidi="ar"/>
        </w:rPr>
        <w:t xml:space="preserve">，</w:t>
      </w:r>
      <w:r>
        <w:rPr>
          <w:rFonts w:ascii="宋体" w:hAnsi="宋体" w:cs="宋体"/>
          <w:color w:val="000000"/>
          <w:szCs w:val="21"/>
          <w:highlight w:val="none"/>
          <w:shd w:val="clear" w:color="auto" w:fill="ffffff"/>
          <w:lang w:bidi="ar"/>
        </w:rPr>
        <w:t xml:space="preserve">停工事项在投标截止之前</w:t>
      </w:r>
      <w:r>
        <w:rPr>
          <w:rFonts w:hint="eastAsia" w:ascii="宋体" w:hAnsi="宋体" w:cs="宋体"/>
          <w:color w:val="000000"/>
          <w:szCs w:val="21"/>
          <w:highlight w:val="none"/>
          <w:shd w:val="clear" w:color="auto" w:fill="ffffff"/>
          <w:lang w:bidi="ar"/>
        </w:rPr>
        <w:t xml:space="preserve">按照项目所在地的规定</w:t>
      </w:r>
      <w:r>
        <w:rPr>
          <w:rFonts w:ascii="宋体" w:hAnsi="宋体" w:cs="宋体"/>
          <w:color w:val="000000"/>
          <w:szCs w:val="21"/>
          <w:highlight w:val="none"/>
          <w:shd w:val="clear" w:color="auto" w:fill="ffffff"/>
          <w:lang w:bidi="ar"/>
        </w:rPr>
        <w:t xml:space="preserve">报</w:t>
      </w:r>
      <w:r>
        <w:rPr>
          <w:rFonts w:hint="eastAsia" w:ascii="宋体" w:hAnsi="宋体" w:cs="宋体"/>
          <w:color w:val="000000"/>
          <w:szCs w:val="21"/>
          <w:highlight w:val="none"/>
          <w:shd w:val="clear" w:color="auto" w:fill="ffffff"/>
          <w:lang w:bidi="ar"/>
        </w:rPr>
        <w:t xml:space="preserve">相应管理</w:t>
      </w:r>
      <w:r>
        <w:rPr>
          <w:rFonts w:ascii="宋体" w:hAnsi="宋体" w:cs="宋体"/>
          <w:color w:val="000000"/>
          <w:szCs w:val="21"/>
          <w:highlight w:val="none"/>
          <w:shd w:val="clear" w:color="auto" w:fill="ffffff"/>
          <w:lang w:bidi="ar"/>
        </w:rPr>
        <w:t xml:space="preserve">部门</w:t>
      </w:r>
      <w:r>
        <w:rPr>
          <w:rFonts w:hint="eastAsia" w:ascii="宋体" w:hAnsi="宋体" w:cs="宋体"/>
          <w:color w:val="000000"/>
          <w:szCs w:val="21"/>
          <w:highlight w:val="none"/>
          <w:shd w:val="clear" w:color="auto" w:fill="ffffff"/>
          <w:lang w:bidi="ar"/>
        </w:rPr>
        <w:t xml:space="preserve">确认</w:t>
      </w:r>
      <w:r>
        <w:rPr>
          <w:rFonts w:ascii="宋体" w:hAnsi="宋体" w:cs="宋体"/>
          <w:color w:val="000000"/>
          <w:szCs w:val="21"/>
          <w:highlight w:val="none"/>
          <w:shd w:val="clear" w:color="auto" w:fill="ffffff"/>
          <w:lang w:bidi="ar"/>
        </w:rPr>
        <w:t xml:space="preserve">（</w:t>
      </w:r>
      <w:r>
        <w:rPr>
          <w:rFonts w:hint="eastAsia" w:ascii="宋体" w:hAnsi="宋体" w:cs="宋体"/>
          <w:color w:val="000000"/>
          <w:szCs w:val="21"/>
          <w:highlight w:val="none"/>
          <w:shd w:val="clear" w:color="auto" w:fill="ffffff"/>
          <w:lang w:bidi="ar"/>
        </w:rPr>
        <w:t xml:space="preserve">须提供以下资料：</w:t>
      </w:r>
      <w:r>
        <w:rPr>
          <w:rFonts w:ascii="宋体" w:hAnsi="宋体" w:cs="宋体"/>
          <w:color w:val="000000"/>
          <w:szCs w:val="21"/>
          <w:highlight w:val="none"/>
          <w:shd w:val="clear" w:color="auto" w:fill="ffffff"/>
          <w:lang w:bidi="ar"/>
        </w:rPr>
        <w:t xml:space="preserve">a</w:t>
      </w:r>
      <w:r>
        <w:rPr>
          <w:rFonts w:hint="eastAsia" w:ascii="宋体" w:hAnsi="宋体" w:cs="宋体"/>
          <w:color w:val="000000"/>
          <w:szCs w:val="21"/>
          <w:highlight w:val="none"/>
          <w:shd w:val="clear" w:color="auto" w:fill="ffffff"/>
          <w:lang w:bidi="ar"/>
        </w:rPr>
        <w:t xml:space="preserve">.管理</w:t>
      </w:r>
      <w:r>
        <w:rPr>
          <w:rFonts w:ascii="宋体" w:hAnsi="宋体" w:cs="宋体"/>
          <w:color w:val="000000"/>
          <w:szCs w:val="21"/>
          <w:highlight w:val="none"/>
          <w:shd w:val="clear" w:color="auto" w:fill="ffffff"/>
          <w:lang w:bidi="ar"/>
        </w:rPr>
        <w:t xml:space="preserve">部门</w:t>
      </w:r>
      <w:r>
        <w:rPr>
          <w:rFonts w:hint="eastAsia" w:ascii="宋体" w:hAnsi="宋体" w:cs="宋体"/>
          <w:color w:val="000000"/>
          <w:szCs w:val="21"/>
          <w:highlight w:val="none"/>
          <w:shd w:val="clear" w:color="auto" w:fill="ffffff"/>
          <w:lang w:bidi="ar"/>
        </w:rPr>
        <w:t xml:space="preserve">确认停工的材料，b.</w:t>
      </w:r>
      <w:r>
        <w:rPr>
          <w:rFonts w:ascii="宋体" w:hAnsi="宋体" w:cs="宋体"/>
          <w:color w:val="000000"/>
          <w:szCs w:val="21"/>
          <w:highlight w:val="none"/>
          <w:shd w:val="clear" w:color="auto" w:fill="ffffff"/>
          <w:lang w:bidi="ar"/>
        </w:rPr>
        <w:t xml:space="preserve">在建工程建设单位出具的允许</w:t>
      </w:r>
      <w:r>
        <w:rPr>
          <w:rFonts w:hint="eastAsia" w:ascii="宋体" w:hAnsi="宋体" w:cs="宋体"/>
          <w:color w:val="000000"/>
          <w:szCs w:val="21"/>
          <w:highlight w:val="none"/>
          <w:shd w:val="clear" w:color="auto" w:fill="ffffff"/>
          <w:lang w:bidi="ar"/>
        </w:rPr>
        <w:t xml:space="preserve">项目负责人</w:t>
      </w:r>
      <w:r>
        <w:rPr>
          <w:rFonts w:ascii="宋体" w:hAnsi="宋体" w:cs="宋体"/>
          <w:color w:val="000000"/>
          <w:szCs w:val="21"/>
          <w:highlight w:val="none"/>
          <w:shd w:val="clear" w:color="auto" w:fill="ffffff"/>
          <w:lang w:bidi="ar"/>
        </w:rPr>
        <w:t xml:space="preserve">撤出原在建工程项目的证明材料）。</w:t>
      </w:r>
      <w:r>
        <w:rPr>
          <w:highlight w:val="none"/>
        </w:rPr>
      </w:r>
      <w:r/>
    </w:p>
    <w:p>
      <w:pPr>
        <w:jc w:val="left"/>
        <w:spacing w:line="360" w:lineRule="auto"/>
        <w:widowControl/>
        <w:rPr>
          <w:rFonts w:ascii="宋体" w:hAnsi="宋体" w:cs="宋体"/>
          <w:color w:val="000000"/>
          <w:szCs w:val="21"/>
          <w:highlight w:val="none"/>
        </w:rPr>
      </w:pPr>
      <w:r>
        <w:rPr>
          <w:rStyle w:val="917"/>
          <w:rFonts w:hint="eastAsia" w:ascii="宋体" w:hAnsi="宋体" w:cs="宋体"/>
          <w:color w:val="000000"/>
          <w:szCs w:val="21"/>
          <w:highlight w:val="none"/>
          <w:shd w:val="clear" w:color="auto" w:fill="ffffff"/>
        </w:rPr>
        <w:t xml:space="preserve">三、获取采购文件</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时间：自磋商文件公告发布之日起5个工作日</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地点：</w:t>
      </w:r>
      <w:r>
        <w:rPr>
          <w:rFonts w:hint="eastAsia" w:ascii="宋体" w:hAnsi="宋体" w:cs="宋体"/>
          <w:color w:val="000000"/>
          <w:szCs w:val="21"/>
          <w:highlight w:val="none"/>
          <w:shd w:val="clear" w:color="auto" w:fill="ffffff"/>
        </w:rPr>
        <w:t xml:space="preserve">“苏采云”江苏省政府采购交易系统</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 </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售价：0.00元 </w:t>
      </w:r>
      <w:r>
        <w:rPr>
          <w:highlight w:val="none"/>
        </w:rPr>
      </w:r>
      <w:r/>
    </w:p>
    <w:p>
      <w:pPr>
        <w:pStyle w:val="701"/>
        <w:keepLines w:val="0"/>
        <w:keepNext w:val="0"/>
        <w:spacing w:before="0" w:after="0" w:line="360" w:lineRule="auto"/>
        <w:shd w:val="clear" w:color="auto" w:fill="ffffff"/>
        <w:widowControl/>
        <w:rPr>
          <w:rFonts w:ascii="宋体" w:hAnsi="宋体" w:eastAsia="宋体" w:cs="宋体"/>
          <w:color w:val="000000"/>
          <w:sz w:val="21"/>
          <w:szCs w:val="21"/>
          <w:highlight w:val="none"/>
        </w:rPr>
      </w:pPr>
      <w:r>
        <w:rPr>
          <w:highlight w:val="none"/>
        </w:rPr>
      </w:r>
      <w:bookmarkStart w:id="24" w:name="_Toc2296"/>
      <w:r>
        <w:rPr>
          <w:highlight w:val="none"/>
        </w:rPr>
      </w:r>
      <w:bookmarkStart w:id="25" w:name="_Toc6798"/>
      <w:r>
        <w:rPr>
          <w:highlight w:val="none"/>
        </w:rPr>
      </w:r>
      <w:bookmarkStart w:id="26" w:name="_Toc5152"/>
      <w:r>
        <w:rPr>
          <w:rStyle w:val="917"/>
          <w:rFonts w:hint="eastAsia" w:ascii="宋体" w:hAnsi="宋体" w:eastAsia="宋体" w:cs="宋体"/>
          <w:b/>
          <w:bCs/>
          <w:color w:val="000000"/>
          <w:sz w:val="21"/>
          <w:szCs w:val="21"/>
          <w:highlight w:val="none"/>
          <w:shd w:val="clear" w:color="auto" w:fill="ffffff"/>
        </w:rPr>
        <w:t xml:space="preserve">四、响应文件提交</w:t>
      </w:r>
      <w:bookmarkEnd w:id="24"/>
      <w:r>
        <w:rPr>
          <w:highlight w:val="none"/>
        </w:rPr>
      </w:r>
      <w:bookmarkEnd w:id="25"/>
      <w:r>
        <w:rPr>
          <w:highlight w:val="none"/>
        </w:rPr>
      </w:r>
      <w:bookmarkEnd w:id="26"/>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截止时间：</w:t>
      </w:r>
      <w:r>
        <w:rPr>
          <w:rFonts w:hint="eastAsia"/>
          <w:color w:val="ff0000"/>
          <w:sz w:val="21"/>
          <w:szCs w:val="21"/>
          <w:highlight w:val="none"/>
        </w:rPr>
        <w:t xml:space="preserve">2026年</w:t>
      </w:r>
      <w:r>
        <w:rPr>
          <w:color w:val="ff0000"/>
          <w:sz w:val="21"/>
          <w:szCs w:val="21"/>
          <w:highlight w:val="none"/>
        </w:rPr>
        <w:t xml:space="preserve">0</w:t>
      </w:r>
      <w:r>
        <w:rPr>
          <w:color w:val="ff0000"/>
          <w:sz w:val="21"/>
          <w:szCs w:val="21"/>
          <w:highlight w:val="none"/>
        </w:rPr>
        <w:t xml:space="preserve">8</w:t>
      </w:r>
      <w:r>
        <w:rPr>
          <w:rFonts w:hint="eastAsia"/>
          <w:color w:val="ff0000"/>
          <w:sz w:val="21"/>
          <w:szCs w:val="21"/>
          <w:highlight w:val="none"/>
        </w:rPr>
        <w:t xml:space="preserve">月</w:t>
      </w:r>
      <w:r>
        <w:rPr>
          <w:color w:val="ff0000"/>
          <w:sz w:val="21"/>
          <w:szCs w:val="21"/>
          <w:highlight w:val="none"/>
        </w:rPr>
        <w:t xml:space="preserve">0</w:t>
      </w:r>
      <w:r>
        <w:rPr>
          <w:color w:val="ff0000"/>
          <w:sz w:val="21"/>
          <w:szCs w:val="21"/>
          <w:highlight w:val="none"/>
        </w:rPr>
        <w:t xml:space="preserve">6</w:t>
      </w:r>
      <w:r>
        <w:rPr>
          <w:rFonts w:hint="eastAsia"/>
          <w:color w:val="ff0000"/>
          <w:sz w:val="21"/>
          <w:szCs w:val="21"/>
          <w:highlight w:val="none"/>
        </w:rPr>
        <w:t xml:space="preserve">日</w:t>
      </w:r>
      <w:r>
        <w:rPr>
          <w:color w:val="ff0000"/>
          <w:sz w:val="21"/>
          <w:szCs w:val="21"/>
          <w:highlight w:val="none"/>
        </w:rPr>
        <w:t xml:space="preserve">0</w:t>
      </w:r>
      <w:r>
        <w:rPr>
          <w:color w:val="ff0000"/>
          <w:sz w:val="21"/>
          <w:szCs w:val="21"/>
          <w:highlight w:val="none"/>
        </w:rPr>
        <w:t xml:space="preserve">9</w:t>
      </w:r>
      <w:r>
        <w:rPr>
          <w:rFonts w:hint="eastAsia"/>
          <w:color w:val="ff0000"/>
          <w:sz w:val="21"/>
          <w:szCs w:val="21"/>
          <w:highlight w:val="none"/>
        </w:rPr>
        <w:t xml:space="preserve">:00</w:t>
      </w:r>
      <w:r>
        <w:rPr>
          <w:rFonts w:hint="eastAsia"/>
          <w:color w:val="000000"/>
          <w:sz w:val="21"/>
          <w:szCs w:val="21"/>
          <w:highlight w:val="none"/>
          <w:shd w:val="clear" w:color="auto" w:fill="ffffff"/>
        </w:rPr>
        <w:t xml:space="preserve">（北京时间）</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地点：“苏采云”江苏省政府采购交易系统 </w:t>
      </w:r>
      <w:r>
        <w:rPr>
          <w:highlight w:val="none"/>
        </w:rPr>
      </w:r>
      <w:r/>
    </w:p>
    <w:p>
      <w:pPr>
        <w:pStyle w:val="701"/>
        <w:keepLines w:val="0"/>
        <w:keepNext w:val="0"/>
        <w:spacing w:before="0" w:after="0" w:line="360" w:lineRule="auto"/>
        <w:shd w:val="clear" w:color="auto" w:fill="ffffff"/>
        <w:widowControl/>
        <w:rPr>
          <w:rFonts w:ascii="宋体" w:hAnsi="宋体" w:eastAsia="宋体" w:cs="宋体"/>
          <w:color w:val="000000"/>
          <w:sz w:val="21"/>
          <w:szCs w:val="21"/>
          <w:highlight w:val="none"/>
        </w:rPr>
      </w:pPr>
      <w:r>
        <w:rPr>
          <w:highlight w:val="none"/>
        </w:rPr>
      </w:r>
      <w:bookmarkStart w:id="27" w:name="_Toc3250"/>
      <w:r>
        <w:rPr>
          <w:highlight w:val="none"/>
        </w:rPr>
      </w:r>
      <w:bookmarkStart w:id="28" w:name="_Toc16337"/>
      <w:r>
        <w:rPr>
          <w:highlight w:val="none"/>
        </w:rPr>
      </w:r>
      <w:bookmarkStart w:id="29" w:name="_Toc10013"/>
      <w:r>
        <w:rPr>
          <w:rStyle w:val="917"/>
          <w:rFonts w:hint="eastAsia" w:ascii="宋体" w:hAnsi="宋体" w:eastAsia="宋体" w:cs="宋体"/>
          <w:b/>
          <w:bCs/>
          <w:color w:val="000000"/>
          <w:sz w:val="21"/>
          <w:szCs w:val="21"/>
          <w:highlight w:val="none"/>
          <w:shd w:val="clear" w:color="auto" w:fill="ffffff"/>
        </w:rPr>
        <w:t xml:space="preserve">五、开启</w:t>
      </w:r>
      <w:bookmarkEnd w:id="27"/>
      <w:r>
        <w:rPr>
          <w:highlight w:val="none"/>
        </w:rPr>
      </w:r>
      <w:bookmarkEnd w:id="28"/>
      <w:r>
        <w:rPr>
          <w:highlight w:val="none"/>
        </w:rPr>
      </w:r>
      <w:bookmarkEnd w:id="29"/>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时间：</w:t>
      </w:r>
      <w:r>
        <w:rPr>
          <w:rFonts w:hint="eastAsia"/>
          <w:color w:val="ff0000"/>
          <w:sz w:val="21"/>
          <w:szCs w:val="21"/>
          <w:highlight w:val="none"/>
        </w:rPr>
        <w:t xml:space="preserve">2026年</w:t>
      </w:r>
      <w:r>
        <w:rPr>
          <w:color w:val="ff0000"/>
          <w:sz w:val="21"/>
          <w:szCs w:val="21"/>
          <w:highlight w:val="none"/>
        </w:rPr>
        <w:t xml:space="preserve">0</w:t>
      </w:r>
      <w:r>
        <w:rPr>
          <w:color w:val="ff0000"/>
          <w:sz w:val="21"/>
          <w:szCs w:val="21"/>
          <w:highlight w:val="none"/>
        </w:rPr>
        <w:t xml:space="preserve">8</w:t>
      </w:r>
      <w:r>
        <w:rPr>
          <w:rFonts w:hint="eastAsia"/>
          <w:color w:val="ff0000"/>
          <w:sz w:val="21"/>
          <w:szCs w:val="21"/>
          <w:highlight w:val="none"/>
        </w:rPr>
        <w:t xml:space="preserve">月</w:t>
      </w:r>
      <w:r>
        <w:rPr>
          <w:color w:val="ff0000"/>
          <w:sz w:val="21"/>
          <w:szCs w:val="21"/>
          <w:highlight w:val="none"/>
        </w:rPr>
        <w:t xml:space="preserve">0</w:t>
      </w:r>
      <w:r>
        <w:rPr>
          <w:color w:val="ff0000"/>
          <w:sz w:val="21"/>
          <w:szCs w:val="21"/>
          <w:highlight w:val="none"/>
        </w:rPr>
        <w:t xml:space="preserve">6</w:t>
      </w:r>
      <w:r>
        <w:rPr>
          <w:rFonts w:hint="eastAsia"/>
          <w:color w:val="ff0000"/>
          <w:sz w:val="21"/>
          <w:szCs w:val="21"/>
          <w:highlight w:val="none"/>
        </w:rPr>
        <w:t xml:space="preserve">日</w:t>
      </w:r>
      <w:r>
        <w:rPr>
          <w:color w:val="ff0000"/>
          <w:sz w:val="21"/>
          <w:szCs w:val="21"/>
          <w:highlight w:val="none"/>
        </w:rPr>
        <w:t xml:space="preserve">0</w:t>
      </w:r>
      <w:r>
        <w:rPr>
          <w:color w:val="ff0000"/>
          <w:sz w:val="21"/>
          <w:szCs w:val="21"/>
          <w:highlight w:val="none"/>
        </w:rPr>
        <w:t xml:space="preserve">9</w:t>
      </w:r>
      <w:r>
        <w:rPr>
          <w:rFonts w:hint="eastAsia"/>
          <w:color w:val="ff0000"/>
          <w:sz w:val="21"/>
          <w:szCs w:val="21"/>
          <w:highlight w:val="none"/>
        </w:rPr>
        <w:t xml:space="preserve">:00</w:t>
      </w:r>
      <w:r>
        <w:rPr>
          <w:rFonts w:hint="eastAsia"/>
          <w:color w:val="000000"/>
          <w:sz w:val="21"/>
          <w:szCs w:val="21"/>
          <w:highlight w:val="none"/>
          <w:shd w:val="clear" w:color="auto" w:fill="ffffff"/>
        </w:rPr>
        <w:t xml:space="preserve">（北京时间）</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地点：“苏采云”江苏省政府采购交易系统网上开标大厅 </w:t>
      </w:r>
      <w:r>
        <w:rPr>
          <w:highlight w:val="none"/>
        </w:rPr>
      </w:r>
      <w:r/>
    </w:p>
    <w:p>
      <w:pPr>
        <w:pStyle w:val="701"/>
        <w:keepLines w:val="0"/>
        <w:keepNext w:val="0"/>
        <w:spacing w:before="0" w:after="0" w:line="360" w:lineRule="auto"/>
        <w:shd w:val="clear" w:color="auto" w:fill="ffffff"/>
        <w:widowControl/>
        <w:rPr>
          <w:rFonts w:ascii="宋体" w:hAnsi="宋体" w:eastAsia="宋体" w:cs="宋体"/>
          <w:color w:val="000000"/>
          <w:sz w:val="21"/>
          <w:szCs w:val="21"/>
          <w:highlight w:val="none"/>
        </w:rPr>
      </w:pPr>
      <w:r>
        <w:rPr>
          <w:highlight w:val="none"/>
        </w:rPr>
      </w:r>
      <w:bookmarkStart w:id="30" w:name="_Toc25532"/>
      <w:r>
        <w:rPr>
          <w:highlight w:val="none"/>
        </w:rPr>
      </w:r>
      <w:bookmarkStart w:id="31" w:name="_Toc7212"/>
      <w:r>
        <w:rPr>
          <w:highlight w:val="none"/>
        </w:rPr>
      </w:r>
      <w:bookmarkStart w:id="32" w:name="_Toc339"/>
      <w:r>
        <w:rPr>
          <w:rStyle w:val="917"/>
          <w:rFonts w:hint="eastAsia" w:ascii="宋体" w:hAnsi="宋体" w:eastAsia="宋体" w:cs="宋体"/>
          <w:b/>
          <w:bCs/>
          <w:color w:val="000000"/>
          <w:sz w:val="21"/>
          <w:szCs w:val="21"/>
          <w:highlight w:val="none"/>
          <w:shd w:val="clear" w:color="auto" w:fill="ffffff"/>
        </w:rPr>
        <w:t xml:space="preserve">六、公告期限</w:t>
      </w:r>
      <w:bookmarkEnd w:id="30"/>
      <w:r>
        <w:rPr>
          <w:highlight w:val="none"/>
        </w:rPr>
      </w:r>
      <w:bookmarkEnd w:id="31"/>
      <w:r>
        <w:rPr>
          <w:highlight w:val="none"/>
        </w:rPr>
      </w:r>
      <w:bookmarkEnd w:id="32"/>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自本公告发布之日起3个工作日。</w:t>
      </w:r>
      <w:r>
        <w:rPr>
          <w:highlight w:val="none"/>
        </w:rPr>
      </w:r>
      <w:r/>
    </w:p>
    <w:p>
      <w:pPr>
        <w:pStyle w:val="701"/>
        <w:keepLines w:val="0"/>
        <w:keepNext w:val="0"/>
        <w:spacing w:before="0" w:after="0" w:line="360" w:lineRule="auto"/>
        <w:shd w:val="clear" w:color="auto" w:fill="ffffff"/>
        <w:widowControl/>
        <w:rPr>
          <w:rFonts w:ascii="宋体" w:hAnsi="宋体" w:eastAsia="宋体" w:cs="宋体"/>
          <w:color w:val="000000"/>
          <w:sz w:val="21"/>
          <w:szCs w:val="21"/>
          <w:highlight w:val="none"/>
        </w:rPr>
      </w:pPr>
      <w:r>
        <w:rPr>
          <w:highlight w:val="none"/>
        </w:rPr>
      </w:r>
      <w:bookmarkStart w:id="33" w:name="_Toc12955"/>
      <w:r>
        <w:rPr>
          <w:highlight w:val="none"/>
        </w:rPr>
      </w:r>
      <w:bookmarkStart w:id="34" w:name="_Toc21092"/>
      <w:r>
        <w:rPr>
          <w:highlight w:val="none"/>
        </w:rPr>
      </w:r>
      <w:bookmarkStart w:id="35" w:name="_Toc4699"/>
      <w:r>
        <w:rPr>
          <w:rStyle w:val="917"/>
          <w:rFonts w:hint="eastAsia" w:ascii="宋体" w:hAnsi="宋体" w:eastAsia="宋体" w:cs="宋体"/>
          <w:b/>
          <w:bCs/>
          <w:color w:val="000000"/>
          <w:sz w:val="21"/>
          <w:szCs w:val="21"/>
          <w:highlight w:val="none"/>
          <w:shd w:val="clear" w:color="auto" w:fill="ffffff"/>
        </w:rPr>
        <w:t xml:space="preserve">七、其他补充事宜</w:t>
      </w:r>
      <w:bookmarkEnd w:id="33"/>
      <w:r>
        <w:rPr>
          <w:highlight w:val="none"/>
        </w:rPr>
      </w:r>
      <w:bookmarkEnd w:id="34"/>
      <w:r>
        <w:rPr>
          <w:highlight w:val="none"/>
        </w:rPr>
      </w:r>
      <w:bookmarkEnd w:id="35"/>
      <w:r>
        <w:rPr>
          <w:highlight w:val="none"/>
        </w:rPr>
      </w:r>
      <w:r/>
    </w:p>
    <w:p>
      <w:pPr>
        <w:jc w:val="left"/>
        <w:spacing w:line="360" w:lineRule="auto"/>
        <w:shd w:val="clear" w:color="auto" w:fill="ffffff"/>
        <w:widowControl/>
        <w:rPr>
          <w:rFonts w:ascii="宋体" w:hAnsi="宋体" w:cs="Trebuchet MS"/>
          <w:color w:val="000000"/>
          <w:szCs w:val="21"/>
          <w:highlight w:val="none"/>
        </w:rPr>
      </w:pPr>
      <w:r>
        <w:rPr>
          <w:rFonts w:hint="eastAsia" w:ascii="宋体" w:hAnsi="宋体" w:cs="Trebuchet MS"/>
          <w:color w:val="000000"/>
          <w:szCs w:val="21"/>
          <w:highlight w:val="none"/>
        </w:rPr>
        <w:t xml:space="preserve">1.本次采购采用“政府采购管理交易系统（苏采云）”，招标、投标、评标和中标结果发布全程电子化，</w:t>
      </w:r>
      <w:r>
        <w:rPr>
          <w:rFonts w:hint="eastAsia" w:ascii="宋体" w:hAnsi="宋体" w:cs="Trebuchet MS"/>
          <w:color w:val="000000"/>
          <w:szCs w:val="21"/>
          <w:highlight w:val="none"/>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highlight w:val="none"/>
        </w:rPr>
      </w:r>
      <w:r/>
    </w:p>
    <w:p>
      <w:pPr>
        <w:spacing w:line="360" w:lineRule="auto"/>
        <w:tabs>
          <w:tab w:val="left" w:pos="0" w:leader="none"/>
          <w:tab w:val="left" w:pos="510" w:leader="none"/>
          <w:tab w:val="left" w:pos="1134" w:leader="none"/>
        </w:tabs>
        <w:rPr>
          <w:rFonts w:ascii="宋体" w:hAnsi="宋体" w:cs="Trebuchet MS"/>
          <w:color w:val="000000"/>
          <w:szCs w:val="21"/>
          <w:highlight w:val="none"/>
        </w:rPr>
      </w:pPr>
      <w:r>
        <w:rPr>
          <w:rFonts w:hint="eastAsia" w:ascii="宋体" w:hAnsi="宋体" w:cs="Trebuchet MS"/>
          <w:color w:val="000000"/>
          <w:szCs w:val="21"/>
          <w:highlight w:val="none"/>
        </w:rPr>
        <w:t xml:space="preserve">2. 潜在供应商访问政府采购管理交易系统（苏采云）的网络地址和方法：</w:t>
      </w:r>
      <w:r>
        <w:rPr>
          <w:highlight w:val="none"/>
        </w:rPr>
      </w:r>
      <w:r/>
    </w:p>
    <w:p>
      <w:pPr>
        <w:spacing w:line="360" w:lineRule="auto"/>
        <w:tabs>
          <w:tab w:val="left" w:pos="0" w:leader="none"/>
          <w:tab w:val="left" w:pos="510" w:leader="none"/>
          <w:tab w:val="left" w:pos="1134" w:leader="none"/>
        </w:tabs>
        <w:rPr>
          <w:rFonts w:ascii="宋体" w:hAnsi="宋体" w:cs="Trebuchet MS"/>
          <w:color w:val="000000"/>
          <w:szCs w:val="21"/>
          <w:highlight w:val="none"/>
        </w:rPr>
      </w:pPr>
      <w:r>
        <w:rPr>
          <w:rFonts w:hint="eastAsia" w:ascii="宋体" w:hAnsi="宋体" w:cs="Trebuchet M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highlight w:val="none"/>
        </w:rPr>
      </w:r>
      <w:r/>
    </w:p>
    <w:p>
      <w:pPr>
        <w:spacing w:line="360" w:lineRule="auto"/>
        <w:tabs>
          <w:tab w:val="left" w:pos="0" w:leader="none"/>
          <w:tab w:val="left" w:pos="510" w:leader="none"/>
          <w:tab w:val="left" w:pos="1134" w:leader="none"/>
        </w:tabs>
        <w:rPr>
          <w:rFonts w:ascii="宋体" w:hAnsi="宋体" w:cs="Trebuchet MS"/>
          <w:color w:val="000000"/>
          <w:szCs w:val="21"/>
          <w:highlight w:val="none"/>
        </w:rPr>
      </w:pPr>
      <w:r>
        <w:rPr>
          <w:rFonts w:hint="eastAsia" w:ascii="宋体" w:hAnsi="宋体" w:cs="Trebuchet MS"/>
          <w:color w:val="000000"/>
          <w:szCs w:val="21"/>
          <w:highlight w:val="none"/>
        </w:rPr>
        <w:t xml:space="preserve">（2）“CA数字证书”的获取：供应商需办理CA锁，“苏采云”系统目前仅支持“苏采云”系统下的政务CA，省内各地区办理的“苏采云”系统下的政务CA全省通用。</w:t>
      </w:r>
      <w:r>
        <w:rPr>
          <w:highlight w:val="none"/>
        </w:rPr>
      </w:r>
      <w:r/>
    </w:p>
    <w:p>
      <w:pPr>
        <w:spacing w:line="360" w:lineRule="auto"/>
        <w:tabs>
          <w:tab w:val="left" w:pos="0" w:leader="none"/>
          <w:tab w:val="left" w:pos="510" w:leader="none"/>
          <w:tab w:val="left" w:pos="1134" w:leader="none"/>
        </w:tabs>
        <w:rPr>
          <w:rFonts w:ascii="宋体" w:hAnsi="宋体" w:cs="Trebuchet MS"/>
          <w:color w:val="000000"/>
          <w:szCs w:val="21"/>
          <w:highlight w:val="none"/>
        </w:rPr>
      </w:pPr>
      <w:r>
        <w:rPr>
          <w:rFonts w:hint="eastAsia" w:ascii="宋体" w:hAnsi="宋体" w:cs="Trebuchet MS"/>
          <w:color w:val="000000"/>
          <w:szCs w:val="21"/>
          <w:highlight w:val="none"/>
        </w:rPr>
        <w:t xml:space="preserve">（3）“CA数字证书”的办理材料以及供应商操作手册详见：http://jsxcmm.com/help/gys.html。</w:t>
      </w:r>
      <w:r>
        <w:rPr>
          <w:highlight w:val="none"/>
        </w:rPr>
      </w:r>
      <w:r/>
    </w:p>
    <w:p>
      <w:pPr>
        <w:spacing w:line="360" w:lineRule="auto"/>
        <w:tabs>
          <w:tab w:val="left" w:pos="0" w:leader="none"/>
          <w:tab w:val="left" w:pos="510" w:leader="none"/>
          <w:tab w:val="left" w:pos="1134" w:leader="none"/>
        </w:tabs>
        <w:rPr>
          <w:rFonts w:ascii="宋体" w:hAnsi="宋体" w:cs="Trebuchet MS"/>
          <w:color w:val="000000"/>
          <w:szCs w:val="21"/>
          <w:highlight w:val="none"/>
        </w:rPr>
      </w:pPr>
      <w:r>
        <w:rPr>
          <w:rFonts w:hint="eastAsia" w:ascii="宋体" w:hAnsi="宋体" w:cs="Trebuchet MS"/>
          <w:color w:val="000000"/>
          <w:szCs w:val="21"/>
          <w:highlight w:val="none"/>
        </w:rPr>
        <w:t xml:space="preserve">（4）潜在供应商访问“苏采云”系统的网络地址和方法：“苏采云”系统的网址：http</w:t>
      </w:r>
      <w:r>
        <w:rPr>
          <w:rFonts w:hint="eastAsia" w:ascii="宋体" w:hAnsi="宋体" w:cs="Trebuchet MS"/>
          <w:color w:val="000000"/>
          <w:szCs w:val="21"/>
          <w:highlight w:val="none"/>
        </w:rPr>
        <w:t xml:space="preserve">s</w:t>
      </w:r>
      <w:r>
        <w:rPr>
          <w:rFonts w:hint="eastAsia" w:ascii="宋体" w:hAnsi="宋体" w:cs="Trebuchet MS"/>
          <w:color w:val="000000"/>
          <w:szCs w:val="21"/>
          <w:highlight w:val="none"/>
        </w:rPr>
        <w:t xml:space="preserve">://jszfcg.jsczt.cn/jszc/login。</w:t>
      </w:r>
      <w:r>
        <w:rPr>
          <w:highlight w:val="none"/>
        </w:rPr>
      </w:r>
      <w:r/>
    </w:p>
    <w:p>
      <w:pPr>
        <w:spacing w:line="360" w:lineRule="auto"/>
        <w:tabs>
          <w:tab w:val="left" w:pos="0" w:leader="none"/>
          <w:tab w:val="left" w:pos="510" w:leader="none"/>
          <w:tab w:val="left" w:pos="1134" w:leader="none"/>
        </w:tabs>
        <w:rPr>
          <w:rFonts w:ascii="宋体" w:hAnsi="宋体" w:cs="Trebuchet MS"/>
          <w:color w:val="000000"/>
          <w:szCs w:val="21"/>
          <w:highlight w:val="none"/>
        </w:rPr>
      </w:pPr>
      <w:r>
        <w:rPr>
          <w:rFonts w:hint="eastAsia" w:ascii="宋体" w:hAnsi="宋体" w:cs="Trebuchet MS"/>
          <w:color w:val="000000"/>
          <w:szCs w:val="21"/>
          <w:highlight w:val="none"/>
        </w:rPr>
        <w:t xml:space="preserve">（5）采购文件（后缀名为“.kedt”）、供应商操作手册及政府采购客户端工具也可通过“苏采云”系统--已报名项目--报名详情页面内相应链接进行下载。</w:t>
      </w:r>
      <w:r>
        <w:rPr>
          <w:highlight w:val="none"/>
        </w:rPr>
      </w:r>
      <w:r/>
    </w:p>
    <w:p>
      <w:pPr>
        <w:spacing w:line="360" w:lineRule="auto"/>
        <w:tabs>
          <w:tab w:val="left" w:pos="0" w:leader="none"/>
          <w:tab w:val="left" w:pos="510" w:leader="none"/>
          <w:tab w:val="left" w:pos="1134" w:leader="none"/>
        </w:tabs>
        <w:rPr>
          <w:rFonts w:ascii="宋体" w:hAnsi="宋体" w:cs="Trebuchet MS"/>
          <w:color w:val="000000"/>
          <w:szCs w:val="21"/>
          <w:highlight w:val="none"/>
        </w:rPr>
      </w:pPr>
      <w:r>
        <w:rPr>
          <w:rFonts w:hint="eastAsia" w:ascii="宋体" w:hAnsi="宋体" w:cs="Trebuchet MS"/>
          <w:color w:val="000000"/>
          <w:szCs w:val="21"/>
          <w:highlight w:val="none"/>
        </w:rPr>
        <w:t xml:space="preserve">（6）招标代理机构（采购代理机构）将数据电文形式的采购文件加载至“苏采云”系统，供潜在供应商下载或者查阅。 </w:t>
      </w:r>
      <w:r>
        <w:rPr>
          <w:highlight w:val="none"/>
        </w:rPr>
      </w:r>
      <w:r/>
    </w:p>
    <w:p>
      <w:pPr>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Trebuchet MS"/>
          <w:color w:val="000000"/>
          <w:szCs w:val="21"/>
          <w:highlight w:val="none"/>
        </w:rPr>
        <w:t xml:space="preserve">根据《关于在政府采</w:t>
      </w:r>
      <w:r>
        <w:rPr>
          <w:rFonts w:hint="eastAsia" w:ascii="宋体" w:hAnsi="宋体" w:cs="Trebuchet MS"/>
          <w:color w:val="000000"/>
          <w:szCs w:val="21"/>
          <w:highlight w:val="none"/>
        </w:rPr>
        <w:t xml:space="preserve">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r>
        <w:rPr>
          <w:highlight w:val="none"/>
        </w:rPr>
      </w:r>
      <w:r/>
    </w:p>
    <w:p>
      <w:pPr>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4..供应商诚信档案注册登记，按以下程序进行： </w:t>
      </w:r>
      <w:r>
        <w:rPr>
          <w:highlight w:val="none"/>
        </w:rPr>
      </w:r>
      <w:r/>
    </w:p>
    <w:p>
      <w:pPr>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（1）进入“信用南京”或“南京公共采购信息网”网站，点击“南京政府采购供应商诚信档案”图标，或直接输入访问地址，在用户登录界面点击“新用户注册”；</w:t>
      </w:r>
      <w:r>
        <w:rPr>
          <w:highlight w:val="none"/>
        </w:rPr>
      </w:r>
      <w:r/>
    </w:p>
    <w:p>
      <w:pPr>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（2）在“新用户注册”界面，供应商自行设置用户名、登录密码，如实填写《南京市政府采购供应商诚信档案注册登记表》，并进行信用承诺确认后，提交注册申请； </w:t>
      </w:r>
      <w:r>
        <w:rPr>
          <w:highlight w:val="none"/>
        </w:rPr>
      </w:r>
      <w:r/>
    </w:p>
    <w:p>
      <w:pPr>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（3）系统审核后，供应商即可登录系统进行相关功能操作。</w:t>
      </w:r>
      <w:r>
        <w:rPr>
          <w:highlight w:val="none"/>
        </w:rPr>
      </w:r>
      <w:r/>
    </w:p>
    <w:p>
      <w:pPr>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南京市政府采购供应商诚信档案管理系统客服电话：025-52718366；供应商可就用户注册与打印“</w:t>
      </w:r>
      <w:r>
        <w:rPr>
          <w:color w:val="000000"/>
          <w:highlight w:val="none"/>
        </w:rPr>
        <w:t xml:space="preserve">南京市政府采购供应商信用记录表暨信用承诺书</w:t>
      </w:r>
      <w:r>
        <w:rPr>
          <w:rFonts w:hint="eastAsia" w:ascii="宋体" w:hAnsi="宋体" w:cs="宋体"/>
          <w:color w:val="000000"/>
          <w:szCs w:val="21"/>
          <w:highlight w:val="none"/>
        </w:rPr>
        <w:t xml:space="preserve">”等事宜进行咨询。</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5.有关本次磋商的事项若存在变动或修改，敬请及时关注原公告平台发布的信息更正公告。</w:t>
      </w:r>
      <w:r>
        <w:rPr>
          <w:highlight w:val="none"/>
        </w:rPr>
      </w:r>
      <w:r/>
    </w:p>
    <w:p>
      <w:pPr>
        <w:jc w:val="left"/>
        <w:spacing w:line="360" w:lineRule="auto"/>
        <w:widowControl/>
        <w:rPr>
          <w:rFonts w:ascii="宋体" w:hAnsi="宋体" w:cs="宋体"/>
          <w:szCs w:val="21"/>
          <w:highlight w:val="none"/>
        </w:rPr>
      </w:pPr>
      <w:r>
        <w:rPr>
          <w:rFonts w:hint="eastAsia" w:ascii="宋体" w:hAnsi="宋体" w:cs="宋体"/>
          <w:b/>
          <w:bCs/>
          <w:color w:val="000000"/>
          <w:szCs w:val="21"/>
          <w:highlight w:val="none"/>
          <w:shd w:val="clear" w:color="auto" w:fill="ffffff"/>
          <w:lang w:bidi="ar"/>
        </w:rPr>
        <w:t xml:space="preserve">*</w:t>
      </w:r>
      <w:r>
        <w:rPr>
          <w:rFonts w:hint="eastAsia" w:ascii="宋体" w:hAnsi="宋体" w:cs="宋体"/>
          <w:color w:val="000000"/>
          <w:szCs w:val="21"/>
          <w:highlight w:val="none"/>
          <w:shd w:val="clear" w:color="auto" w:fill="ffffff"/>
          <w:lang w:bidi="ar"/>
        </w:rPr>
        <w:t xml:space="preserve">6.拒绝下述供应商参加本次采购活动（提供承诺书</w:t>
      </w:r>
      <w:r>
        <w:rPr>
          <w:rFonts w:hint="eastAsia" w:ascii="宋体" w:hAnsi="宋体"/>
          <w:color w:val="000000"/>
          <w:szCs w:val="21"/>
          <w:highlight w:val="none"/>
        </w:rPr>
        <w:t xml:space="preserve">加盖公章</w:t>
      </w:r>
      <w:r>
        <w:rPr>
          <w:rFonts w:hint="eastAsia" w:ascii="宋体" w:hAnsi="宋体" w:cs="宋体"/>
          <w:color w:val="000000"/>
          <w:szCs w:val="21"/>
          <w:highlight w:val="none"/>
          <w:shd w:val="clear" w:color="auto" w:fill="ffffff"/>
          <w:lang w:bidi="ar"/>
        </w:rPr>
        <w:t xml:space="preserve">，格式自拟）：</w:t>
      </w:r>
      <w:r>
        <w:rPr>
          <w:highlight w:val="none"/>
        </w:rPr>
      </w:r>
      <w:r/>
    </w:p>
    <w:p>
      <w:pPr>
        <w:jc w:val="left"/>
        <w:spacing w:line="360" w:lineRule="auto"/>
        <w:widowControl/>
        <w:rPr>
          <w:rFonts w:ascii="宋体" w:hAnsi="宋体" w:cs="宋体"/>
          <w:szCs w:val="21"/>
          <w:highlight w:val="none"/>
        </w:rPr>
      </w:pPr>
      <w:r>
        <w:rPr>
          <w:rFonts w:hint="eastAsia" w:ascii="宋体" w:hAnsi="宋体" w:cs="宋体"/>
          <w:color w:val="000000"/>
          <w:szCs w:val="21"/>
          <w:highlight w:val="none"/>
          <w:shd w:val="clear" w:color="auto" w:fill="ffffff"/>
          <w:lang w:bidi="ar"/>
        </w:rPr>
        <w:t xml:space="preserve">（1）供应商单位负责人为同一人或者存在直接控股、管理关系的不同供应商，不得参加同一合同项下的政府采购活动。</w:t>
      </w:r>
      <w:r>
        <w:rPr>
          <w:highlight w:val="none"/>
        </w:rPr>
      </w:r>
      <w:r/>
    </w:p>
    <w:p>
      <w:pPr>
        <w:jc w:val="left"/>
        <w:spacing w:line="360" w:lineRule="auto"/>
        <w:widowControl/>
        <w:rPr>
          <w:rFonts w:ascii="宋体" w:hAnsi="宋体" w:cs="宋体"/>
          <w:szCs w:val="21"/>
          <w:highlight w:val="none"/>
        </w:rPr>
      </w:pPr>
      <w:r>
        <w:rPr>
          <w:rFonts w:hint="eastAsia" w:ascii="宋体" w:hAnsi="宋体" w:cs="宋体"/>
          <w:color w:val="000000"/>
          <w:szCs w:val="21"/>
          <w:highlight w:val="none"/>
          <w:shd w:val="clear" w:color="auto" w:fill="ffffff"/>
          <w:lang w:bidi="ar"/>
        </w:rPr>
        <w:t xml:space="preserve">（2）除单一来源采购项目外，为采购项目提供整体设计、规范编制或者项目管理、监理、检测等服务的供应商，不得再参加该采购项目的其他采购活动。</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（3）供应商被“信用中国”网站、“中国政府采购网”列入失信被执行人、重大税收违法案件当事人名单、政府采购严重违法失信行为记录名单。</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7.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8.根据省住房和城乡建设厅关于我省二级建造师、二级造价工程师、二级注册建筑师、二级注册结构工程师注册证书电子证照换发的公告（〔2023〕第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rPr>
          <w:highlight w:val="none"/>
        </w:rPr>
      </w:r>
      <w:r/>
    </w:p>
    <w:p>
      <w:pPr>
        <w:jc w:val="left"/>
        <w:spacing w:line="360" w:lineRule="auto"/>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9.根据苏建函建管〔2019〕393号文及建办市〔2019〕50号文规定,已取消一级、二级临时建造师执业证书，因此本项目不接受持临时建造师执业资格的项目负责人投标，否则将作为资格审查不通过处理。</w:t>
      </w:r>
      <w:r>
        <w:rPr>
          <w:highlight w:val="none"/>
        </w:rPr>
      </w:r>
      <w:r/>
    </w:p>
    <w:p>
      <w:pPr>
        <w:pStyle w:val="701"/>
        <w:keepLines w:val="0"/>
        <w:keepNext w:val="0"/>
        <w:spacing w:before="0" w:after="0" w:line="360" w:lineRule="auto"/>
        <w:shd w:val="clear" w:color="auto" w:fill="ffffff"/>
        <w:widowControl/>
        <w:rPr>
          <w:rFonts w:ascii="宋体" w:hAnsi="宋体" w:eastAsia="宋体" w:cs="宋体"/>
          <w:color w:val="000000"/>
          <w:sz w:val="21"/>
          <w:szCs w:val="21"/>
          <w:highlight w:val="none"/>
        </w:rPr>
      </w:pPr>
      <w:r>
        <w:rPr>
          <w:highlight w:val="none"/>
        </w:rPr>
      </w:r>
      <w:bookmarkStart w:id="36" w:name="_Toc7122"/>
      <w:r>
        <w:rPr>
          <w:highlight w:val="none"/>
        </w:rPr>
      </w:r>
      <w:bookmarkStart w:id="37" w:name="_Toc25164"/>
      <w:r>
        <w:rPr>
          <w:highlight w:val="none"/>
        </w:rPr>
      </w:r>
      <w:bookmarkStart w:id="38" w:name="_Toc20331"/>
      <w:r>
        <w:rPr>
          <w:rStyle w:val="917"/>
          <w:rFonts w:hint="eastAsia" w:ascii="宋体" w:hAnsi="宋体" w:eastAsia="宋体" w:cs="宋体"/>
          <w:b/>
          <w:bCs/>
          <w:color w:val="000000"/>
          <w:sz w:val="21"/>
          <w:szCs w:val="21"/>
          <w:highlight w:val="none"/>
          <w:shd w:val="clear" w:color="auto" w:fill="ffffff"/>
        </w:rPr>
        <w:t xml:space="preserve">八、凡对本次采购提出询问，请按以下方式联系。</w:t>
      </w:r>
      <w:bookmarkEnd w:id="36"/>
      <w:r>
        <w:rPr>
          <w:highlight w:val="none"/>
        </w:rPr>
      </w:r>
      <w:bookmarkEnd w:id="37"/>
      <w:r>
        <w:rPr>
          <w:highlight w:val="none"/>
        </w:rPr>
      </w:r>
      <w:bookmarkEnd w:id="38"/>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1.采购人信息</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单位名称：</w:t>
      </w:r>
      <w:r>
        <w:rPr>
          <w:rFonts w:hint="eastAsia"/>
          <w:color w:val="000000"/>
          <w:sz w:val="21"/>
          <w:szCs w:val="21"/>
          <w:highlight w:val="none"/>
          <w:shd w:val="clear" w:color="auto" w:fill="ffffff"/>
        </w:rPr>
        <w:t xml:space="preserve">南京市六合区人民政府马鞍街道办事处</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单位地址：南京市六合区马鞍街道人民路54号</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联系人：马主任</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联系电话：</w:t>
      </w:r>
      <w:r>
        <w:rPr>
          <w:color w:val="000000"/>
          <w:sz w:val="21"/>
          <w:szCs w:val="21"/>
          <w:highlight w:val="none"/>
          <w:shd w:val="clear" w:color="auto" w:fill="ffffff"/>
        </w:rPr>
        <w:t xml:space="preserve">18151646898</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2.采购代理机构信息（如有）</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单位名称：江苏国衡工程咨询有限公司</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单位地址：南京市六合区方州路6</w:t>
      </w:r>
      <w:r>
        <w:rPr>
          <w:color w:val="000000"/>
          <w:sz w:val="21"/>
          <w:szCs w:val="21"/>
          <w:highlight w:val="none"/>
          <w:shd w:val="clear" w:color="auto" w:fill="ffffff"/>
        </w:rPr>
        <w:t xml:space="preserve">66号</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联系人：卞工</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联系电话：</w:t>
      </w:r>
      <w:r>
        <w:rPr>
          <w:color w:val="000000"/>
          <w:sz w:val="21"/>
          <w:szCs w:val="21"/>
          <w:highlight w:val="none"/>
          <w:shd w:val="clear" w:color="auto" w:fill="ffffff"/>
        </w:rPr>
        <w:t xml:space="preserve">18118819621</w:t>
      </w:r>
      <w:r>
        <w:rPr>
          <w:highlight w:val="none"/>
        </w:rPr>
      </w:r>
      <w:r/>
    </w:p>
    <w:p>
      <w:pPr>
        <w:pStyle w:val="912"/>
        <w:spacing w:before="0" w:beforeAutospacing="0" w:after="0"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3.项目联系方式</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项目联系人：卞工</w:t>
      </w:r>
      <w:r>
        <w:rPr>
          <w:highlight w:val="none"/>
        </w:rPr>
      </w:r>
      <w:r/>
    </w:p>
    <w:p>
      <w:pPr>
        <w:pStyle w:val="912"/>
        <w:spacing w:before="0" w:beforeAutospacing="0" w:after="0" w:afterAutospacing="0" w:line="360" w:lineRule="auto"/>
        <w:rPr>
          <w:sz w:val="21"/>
          <w:szCs w:val="21"/>
          <w:highlight w:val="none"/>
        </w:rPr>
      </w:pPr>
      <w:r>
        <w:rPr>
          <w:rFonts w:hint="eastAsia"/>
          <w:color w:val="000000"/>
          <w:sz w:val="21"/>
          <w:szCs w:val="21"/>
          <w:highlight w:val="none"/>
          <w:shd w:val="clear" w:color="auto" w:fill="ffffff"/>
        </w:rPr>
        <w:t xml:space="preserve">电话：</w:t>
      </w:r>
      <w:r>
        <w:rPr>
          <w:color w:val="000000"/>
          <w:sz w:val="21"/>
          <w:szCs w:val="21"/>
          <w:highlight w:val="none"/>
          <w:shd w:val="clear" w:color="auto" w:fill="ffffff"/>
        </w:rPr>
        <w:t xml:space="preserve">181188</w:t>
      </w:r>
      <w:bookmarkStart w:id="39" w:name="_GoBack"/>
      <w:r>
        <w:rPr>
          <w:highlight w:val="none"/>
        </w:rPr>
      </w:r>
      <w:bookmarkEnd w:id="39"/>
      <w:r>
        <w:rPr>
          <w:color w:val="000000"/>
          <w:sz w:val="21"/>
          <w:szCs w:val="21"/>
          <w:highlight w:val="none"/>
          <w:shd w:val="clear" w:color="auto" w:fill="ffffff"/>
        </w:rPr>
        <w:t xml:space="preserve">19621</w:t>
      </w:r>
      <w:r>
        <w:rPr>
          <w:highlight w:val="none"/>
        </w:rPr>
      </w:r>
      <w:r/>
    </w:p>
    <w:p>
      <w:pPr>
        <w:pStyle w:val="1004"/>
        <w:spacing w:line="240" w:lineRule="auto"/>
        <w:rPr>
          <w:highlight w:val="none"/>
        </w:rPr>
      </w:pPr>
      <w:r>
        <w:rPr>
          <w:rFonts w:hint="eastAsia"/>
          <w:highlight w:val="none"/>
        </w:rPr>
        <w:br w:type="page" w:clear="all"/>
      </w:r>
      <w:bookmarkStart w:id="40" w:name="_Toc13962"/>
      <w:r>
        <w:rPr>
          <w:rFonts w:hint="eastAsia"/>
          <w:highlight w:val="none"/>
        </w:rPr>
        <w:t xml:space="preserve">第二章</w:t>
      </w:r>
      <w:r>
        <w:rPr>
          <w:rFonts w:hint="eastAsia"/>
          <w:highlight w:val="none"/>
        </w:rPr>
        <w:t xml:space="preserve">  </w:t>
      </w:r>
      <w:r>
        <w:rPr>
          <w:rFonts w:hint="eastAsia"/>
          <w:highlight w:val="none"/>
        </w:rPr>
        <w:t xml:space="preserve">磋商供应商须知</w:t>
      </w:r>
      <w:bookmarkEnd w:id="14"/>
      <w:r>
        <w:rPr>
          <w:highlight w:val="none"/>
        </w:rPr>
      </w:r>
      <w:bookmarkEnd w:id="15"/>
      <w:r>
        <w:rPr>
          <w:highlight w:val="none"/>
        </w:rPr>
      </w:r>
      <w:bookmarkEnd w:id="16"/>
      <w:r>
        <w:rPr>
          <w:highlight w:val="none"/>
        </w:rPr>
      </w:r>
      <w:bookmarkEnd w:id="40"/>
      <w:r>
        <w:rPr>
          <w:highlight w:val="none"/>
        </w:rPr>
      </w:r>
      <w:r/>
    </w:p>
    <w:p>
      <w:pPr>
        <w:jc w:val="center"/>
        <w:rPr>
          <w:b/>
          <w:sz w:val="28"/>
          <w:highlight w:val="none"/>
        </w:rPr>
        <w:outlineLvl w:val="1"/>
      </w:pPr>
      <w:r>
        <w:rPr>
          <w:highlight w:val="none"/>
        </w:rPr>
      </w:r>
      <w:bookmarkStart w:id="41" w:name="_Toc7112"/>
      <w:r>
        <w:rPr>
          <w:rFonts w:hint="eastAsia"/>
          <w:b/>
          <w:sz w:val="28"/>
          <w:highlight w:val="none"/>
          <w:lang w:val="zh-CN"/>
        </w:rPr>
        <w:t xml:space="preserve">前附表</w:t>
      </w:r>
      <w:bookmarkEnd w:id="17"/>
      <w:r>
        <w:rPr>
          <w:highlight w:val="none"/>
        </w:rPr>
      </w:r>
      <w:bookmarkEnd w:id="41"/>
      <w:r>
        <w:rPr>
          <w:highlight w:val="none"/>
        </w:rPr>
      </w:r>
      <w:r/>
    </w:p>
    <w:tbl>
      <w:tblPr>
        <w:tblW w:w="49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7"/>
        <w:gridCol w:w="459"/>
        <w:gridCol w:w="1837"/>
        <w:gridCol w:w="775"/>
        <w:gridCol w:w="5510"/>
      </w:tblGrid>
      <w:tr>
        <w:trPr>
          <w:jc w:val="center"/>
          <w:trHeight w:val="493"/>
        </w:trPr>
        <w:tc>
          <w:tcPr>
            <w:tcW w:w="449" w:type="dxa"/>
            <w:vAlign w:val="center"/>
            <w:textDirection w:val="lrTb"/>
            <w:noWrap w:val="false"/>
          </w:tcPr>
          <w:p>
            <w:pPr>
              <w:jc w:val="center"/>
              <w:rPr>
                <w:rFonts w:ascii="宋体" w:hAnsi="宋体" w:cs="宋体"/>
                <w:b/>
                <w:highlight w:val="none"/>
              </w:rPr>
            </w:pPr>
            <w:r>
              <w:rPr>
                <w:rFonts w:hint="eastAsia" w:ascii="宋体" w:hAnsi="宋体" w:cs="宋体"/>
                <w:b/>
                <w:highlight w:val="none"/>
              </w:rPr>
              <w:t xml:space="preserve">序号</w:t>
            </w:r>
            <w:r>
              <w:rPr>
                <w:highlight w:val="none"/>
              </w:rPr>
            </w:r>
            <w:r/>
          </w:p>
        </w:tc>
        <w:tc>
          <w:tcPr>
            <w:gridSpan w:val="2"/>
            <w:tcW w:w="2256" w:type="dxa"/>
            <w:vAlign w:val="center"/>
            <w:textDirection w:val="lrTb"/>
            <w:noWrap w:val="false"/>
          </w:tcPr>
          <w:p>
            <w:pPr>
              <w:jc w:val="center"/>
              <w:rPr>
                <w:rFonts w:ascii="宋体" w:hAnsi="宋体" w:cs="宋体"/>
                <w:b/>
                <w:highlight w:val="none"/>
              </w:rPr>
            </w:pPr>
            <w:r>
              <w:rPr>
                <w:rFonts w:hint="eastAsia" w:ascii="宋体" w:hAnsi="宋体" w:cs="宋体"/>
                <w:b/>
                <w:highlight w:val="none"/>
              </w:rPr>
              <w:t xml:space="preserve">项  目</w:t>
            </w:r>
            <w:r>
              <w:rPr>
                <w:highlight w:val="none"/>
              </w:rPr>
            </w:r>
            <w:r/>
          </w:p>
        </w:tc>
        <w:tc>
          <w:tcPr>
            <w:gridSpan w:val="2"/>
            <w:tcW w:w="6176" w:type="dxa"/>
            <w:vAlign w:val="center"/>
            <w:textDirection w:val="lrTb"/>
            <w:noWrap w:val="false"/>
          </w:tcPr>
          <w:p>
            <w:pPr>
              <w:jc w:val="center"/>
              <w:rPr>
                <w:rFonts w:ascii="宋体" w:hAnsi="宋体" w:cs="宋体"/>
                <w:b/>
                <w:highlight w:val="none"/>
              </w:rPr>
            </w:pPr>
            <w:r>
              <w:rPr>
                <w:rFonts w:hint="eastAsia" w:ascii="宋体" w:hAnsi="宋体" w:cs="宋体"/>
                <w:b/>
                <w:highlight w:val="none"/>
              </w:rPr>
              <w:t xml:space="preserve">内        容</w:t>
            </w:r>
            <w:r>
              <w:rPr>
                <w:highlight w:val="none"/>
              </w:rPr>
            </w:r>
            <w:r/>
          </w:p>
        </w:tc>
      </w:tr>
      <w:tr>
        <w:trPr>
          <w:jc w:val="center"/>
          <w:trHeight w:val="510"/>
        </w:trPr>
        <w:tc>
          <w:tcPr>
            <w:tcW w:w="449"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1</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项目编号</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highlight w:val="none"/>
              </w:rPr>
              <w:t xml:space="preserve">JSZC-320116-JSGH-C2026-0007</w:t>
            </w:r>
            <w:r>
              <w:rPr>
                <w:highlight w:val="none"/>
              </w:rPr>
            </w:r>
            <w:r/>
          </w:p>
        </w:tc>
      </w:tr>
      <w:tr>
        <w:trPr>
          <w:jc w:val="center"/>
          <w:trHeight w:val="510"/>
        </w:trPr>
        <w:tc>
          <w:tcPr>
            <w:tcW w:w="449"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2</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项目名称</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highlight w:val="none"/>
              </w:rPr>
              <w:t xml:space="preserve">马鞍街道鞍山骨灰堂（一期扩建）工程</w:t>
            </w:r>
            <w:r>
              <w:rPr>
                <w:highlight w:val="none"/>
              </w:rPr>
            </w:r>
            <w:r/>
          </w:p>
        </w:tc>
      </w:tr>
      <w:tr>
        <w:trPr>
          <w:jc w:val="center"/>
          <w:trHeight w:val="510"/>
        </w:trPr>
        <w:tc>
          <w:tcPr>
            <w:tcW w:w="449"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3</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招标代理机构</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highlight w:val="none"/>
              </w:rPr>
              <w:t xml:space="preserve">江苏国衡工程咨询有限公司</w:t>
            </w:r>
            <w:r>
              <w:rPr>
                <w:highlight w:val="none"/>
              </w:rPr>
            </w:r>
            <w:r/>
          </w:p>
        </w:tc>
      </w:tr>
      <w:tr>
        <w:trPr>
          <w:jc w:val="center"/>
          <w:trHeight w:val="510"/>
        </w:trPr>
        <w:tc>
          <w:tcPr>
            <w:tcW w:w="449"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4</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招标代理机构地址</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highlight w:val="none"/>
              </w:rPr>
              <w:t xml:space="preserve">南京市六合区方州路666号</w:t>
            </w:r>
            <w:r>
              <w:rPr>
                <w:highlight w:val="none"/>
              </w:rPr>
            </w:r>
            <w:r/>
          </w:p>
        </w:tc>
      </w:tr>
      <w:tr>
        <w:trPr>
          <w:jc w:val="center"/>
          <w:trHeight w:val="510"/>
        </w:trPr>
        <w:tc>
          <w:tcPr>
            <w:tcW w:w="449"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5</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踏勘现场</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highlight w:val="none"/>
              </w:rPr>
              <w:t xml:space="preserve">采购文件获取结束后，供应商可按采购文件中提供的代理机构联系方式，主动联系代理机构获取采购人组织的统一踏勘时间。未踏勘现场或踏勘工作不详细的供应商，不得以不完全了解现场情况为理由而向采购人提出任何索赔或其他要求，对此采购人不承担任何责任。</w:t>
            </w:r>
            <w:r>
              <w:rPr>
                <w:highlight w:val="none"/>
              </w:rPr>
            </w:r>
            <w:r/>
          </w:p>
        </w:tc>
      </w:tr>
      <w:tr>
        <w:trPr>
          <w:jc w:val="center"/>
          <w:trHeight w:val="401"/>
        </w:trPr>
        <w:tc>
          <w:tcPr>
            <w:tcW w:w="449"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6</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项目最高限价</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highlight w:val="none"/>
              </w:rPr>
              <w:t xml:space="preserve">200</w:t>
            </w:r>
            <w:r>
              <w:rPr>
                <w:rFonts w:ascii="宋体" w:hAnsi="宋体" w:cs="宋体"/>
                <w:highlight w:val="none"/>
              </w:rPr>
              <w:t xml:space="preserve">.</w:t>
            </w:r>
            <w:r>
              <w:rPr>
                <w:rFonts w:hint="eastAsia" w:ascii="宋体" w:hAnsi="宋体" w:cs="宋体"/>
                <w:highlight w:val="none"/>
              </w:rPr>
              <w:t xml:space="preserve">0971</w:t>
            </w:r>
            <w:r>
              <w:rPr>
                <w:rFonts w:hint="eastAsia" w:ascii="宋体" w:hAnsi="宋体" w:cs="宋体"/>
                <w:highlight w:val="none"/>
              </w:rPr>
              <w:t xml:space="preserve">61</w:t>
            </w:r>
            <w:r>
              <w:rPr>
                <w:rFonts w:hint="eastAsia" w:ascii="宋体" w:hAnsi="宋体" w:cs="宋体"/>
                <w:highlight w:val="none"/>
              </w:rPr>
              <w:t xml:space="preserve">万</w:t>
            </w:r>
            <w:r>
              <w:rPr>
                <w:rFonts w:hint="eastAsia" w:ascii="宋体" w:hAnsi="宋体" w:cs="宋体"/>
                <w:highlight w:val="none"/>
              </w:rPr>
              <w:t xml:space="preserve">元</w:t>
            </w:r>
            <w:r>
              <w:rPr>
                <w:rFonts w:hint="eastAsia" w:ascii="宋体" w:hAnsi="宋体" w:cs="宋体"/>
                <w:highlight w:val="none"/>
              </w:rPr>
              <w:t xml:space="preserve">（</w:t>
            </w:r>
            <w:r>
              <w:rPr>
                <w:rFonts w:hint="eastAsia" w:ascii="宋体" w:hAnsi="宋体" w:cs="宋体"/>
                <w:szCs w:val="21"/>
                <w:highlight w:val="none"/>
              </w:rPr>
              <w:t xml:space="preserve">供应商的磋商报价超过最高限价的其响应文件将被作为无效响应处理</w:t>
            </w:r>
            <w:r>
              <w:rPr>
                <w:rFonts w:hint="eastAsia" w:ascii="宋体" w:hAnsi="宋体" w:cs="宋体"/>
                <w:highlight w:val="none"/>
              </w:rPr>
              <w:t xml:space="preserve">）</w:t>
            </w:r>
            <w:r>
              <w:rPr>
                <w:highlight w:val="none"/>
              </w:rPr>
            </w:r>
            <w:r/>
          </w:p>
        </w:tc>
      </w:tr>
      <w:tr>
        <w:trPr>
          <w:jc w:val="center"/>
          <w:trHeight w:val="510"/>
        </w:trPr>
        <w:tc>
          <w:tcPr>
            <w:tcW w:w="449"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7</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合同履行期限</w:t>
            </w:r>
            <w:r>
              <w:rPr>
                <w:highlight w:val="none"/>
              </w:rPr>
            </w:r>
            <w:r/>
          </w:p>
        </w:tc>
        <w:tc>
          <w:tcPr>
            <w:gridSpan w:val="2"/>
            <w:tcW w:w="6176" w:type="dxa"/>
            <w:vAlign w:val="center"/>
            <w:textDirection w:val="lrTb"/>
            <w:noWrap w:val="false"/>
          </w:tcPr>
          <w:p>
            <w:pPr>
              <w:rPr>
                <w:rFonts w:ascii="宋体" w:hAnsi="宋体" w:cs="宋体"/>
                <w:highlight w:val="none"/>
              </w:rPr>
            </w:pPr>
            <w:r>
              <w:rPr>
                <w:rFonts w:ascii="宋体" w:hAnsi="宋体" w:cs="宋体"/>
                <w:color w:val="000000"/>
                <w:szCs w:val="21"/>
                <w:highlight w:val="none"/>
                <w:shd w:val="clear" w:color="auto" w:fill="ffffff"/>
              </w:rPr>
              <w:t xml:space="preserve">120</w:t>
            </w:r>
            <w:r>
              <w:rPr>
                <w:rFonts w:ascii="宋体" w:hAnsi="宋体" w:cs="宋体"/>
                <w:color w:val="000000"/>
                <w:szCs w:val="21"/>
                <w:highlight w:val="none"/>
                <w:shd w:val="clear" w:color="auto" w:fill="ffffff"/>
              </w:rPr>
              <w:t xml:space="preserve">日历</w:t>
            </w:r>
            <w:r>
              <w:rPr>
                <w:rFonts w:hint="eastAsia" w:ascii="宋体" w:hAnsi="宋体" w:cs="宋体"/>
                <w:color w:val="000000"/>
                <w:szCs w:val="21"/>
                <w:highlight w:val="none"/>
                <w:shd w:val="clear" w:color="auto" w:fill="ffffff"/>
              </w:rPr>
              <w:t xml:space="preserve">天</w:t>
            </w:r>
            <w:r>
              <w:rPr>
                <w:highlight w:val="none"/>
              </w:rPr>
            </w:r>
            <w:r/>
          </w:p>
        </w:tc>
      </w:tr>
      <w:tr>
        <w:trPr>
          <w:jc w:val="center"/>
          <w:trHeight w:val="510"/>
        </w:trPr>
        <w:tc>
          <w:tcPr>
            <w:tcW w:w="449"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8</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lang w:val="zh-CN"/>
              </w:rPr>
              <w:t xml:space="preserve">磋商有效期</w:t>
            </w:r>
            <w:r>
              <w:rPr>
                <w:highlight w:val="none"/>
              </w:rPr>
            </w:r>
            <w:r/>
          </w:p>
        </w:tc>
        <w:tc>
          <w:tcPr>
            <w:gridSpan w:val="2"/>
            <w:tcW w:w="6176" w:type="dxa"/>
            <w:vAlign w:val="center"/>
            <w:textDirection w:val="lrTb"/>
            <w:noWrap w:val="false"/>
          </w:tcPr>
          <w:p>
            <w:pPr>
              <w:jc w:val="left"/>
              <w:rPr>
                <w:rFonts w:ascii="宋体" w:hAnsi="宋体" w:cs="宋体"/>
                <w:highlight w:val="none"/>
              </w:rPr>
            </w:pPr>
            <w:r>
              <w:rPr>
                <w:rFonts w:hint="eastAsia" w:ascii="宋体" w:hAnsi="宋体" w:cs="宋体"/>
                <w:highlight w:val="none"/>
                <w:lang w:val="zh-CN"/>
              </w:rPr>
              <w:t xml:space="preserve">磋商后九十（90）天</w:t>
            </w:r>
            <w:r>
              <w:rPr>
                <w:highlight w:val="none"/>
              </w:rPr>
            </w:r>
            <w:r/>
          </w:p>
        </w:tc>
      </w:tr>
      <w:tr>
        <w:trPr>
          <w:jc w:val="center"/>
          <w:trHeight w:val="510"/>
        </w:trPr>
        <w:tc>
          <w:tcPr>
            <w:tcW w:w="449" w:type="dxa"/>
            <w:vAlign w:val="center"/>
            <w:vMerge w:val="restart"/>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9</w:t>
            </w:r>
            <w:r>
              <w:rPr>
                <w:highlight w:val="none"/>
              </w:rPr>
            </w:r>
            <w:r/>
          </w:p>
        </w:tc>
        <w:tc>
          <w:tcPr>
            <w:tcW w:w="451" w:type="dxa"/>
            <w:vAlign w:val="center"/>
            <w:vMerge w:val="restart"/>
            <w:textDirection w:val="lrTb"/>
            <w:noWrap w:val="false"/>
          </w:tcPr>
          <w:p>
            <w:pPr>
              <w:jc w:val="center"/>
              <w:rPr>
                <w:rFonts w:ascii="宋体" w:hAnsi="宋体" w:cs="宋体"/>
                <w:b/>
                <w:bCs/>
                <w:highlight w:val="none"/>
              </w:rPr>
            </w:pPr>
            <w:r>
              <w:rPr>
                <w:rFonts w:hint="eastAsia" w:ascii="宋体" w:hAnsi="宋体" w:cs="宋体"/>
                <w:b/>
                <w:bCs/>
                <w:highlight w:val="none"/>
              </w:rPr>
              <w:t xml:space="preserve">磋商文件获取方法</w:t>
            </w:r>
            <w:r>
              <w:rPr>
                <w:highlight w:val="none"/>
              </w:rPr>
            </w:r>
            <w:r/>
          </w:p>
        </w:tc>
        <w:tc>
          <w:tcPr>
            <w:tcW w:w="76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lang w:val="zh-CN"/>
              </w:rPr>
              <w:t xml:space="preserve">时间</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color w:val="000000"/>
                <w:szCs w:val="21"/>
                <w:highlight w:val="none"/>
                <w:shd w:val="clear" w:color="auto" w:fill="ffffff"/>
              </w:rPr>
              <w:t xml:space="preserve">自磋商文件公告发布之日起5个工作日</w:t>
            </w:r>
            <w:r>
              <w:rPr>
                <w:highlight w:val="none"/>
              </w:rPr>
            </w:r>
            <w:r/>
          </w:p>
        </w:tc>
      </w:tr>
      <w:tr>
        <w:trPr>
          <w:jc w:val="center"/>
          <w:trHeight w:val="51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地点</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color w:val="000000"/>
                <w:szCs w:val="21"/>
                <w:highlight w:val="none"/>
                <w:shd w:val="clear" w:color="auto" w:fill="ffffff"/>
              </w:rPr>
              <w:t xml:space="preserve">“苏采云”江苏省政府采购交易系统</w:t>
            </w:r>
            <w:r>
              <w:rPr>
                <w:highlight w:val="none"/>
              </w:rPr>
            </w:r>
            <w:r/>
          </w:p>
        </w:tc>
      </w:tr>
      <w:tr>
        <w:trPr>
          <w:jc w:val="center"/>
          <w:trHeight w:val="51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要求</w:t>
            </w:r>
            <w:r>
              <w:rPr>
                <w:highlight w:val="none"/>
              </w:rPr>
            </w:r>
            <w:r/>
          </w:p>
        </w:tc>
        <w:tc>
          <w:tcPr>
            <w:gridSpan w:val="2"/>
            <w:tcW w:w="6176" w:type="dxa"/>
            <w:vAlign w:val="center"/>
            <w:textDirection w:val="lrTb"/>
            <w:noWrap w:val="false"/>
          </w:tcPr>
          <w:p>
            <w:pPr>
              <w:rPr>
                <w:rFonts w:ascii="宋体" w:hAnsi="宋体" w:cs="宋体"/>
                <w:szCs w:val="22"/>
                <w:highlight w:val="none"/>
              </w:rPr>
            </w:pPr>
            <w:r>
              <w:rPr>
                <w:rFonts w:hint="eastAsia" w:ascii="宋体" w:hAnsi="宋体" w:cs="宋体"/>
                <w:color w:val="000000"/>
                <w:szCs w:val="21"/>
                <w:highlight w:val="none"/>
                <w:shd w:val="clear" w:color="auto" w:fill="ffffff"/>
                <w:lang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highlight w:val="none"/>
              </w:rPr>
            </w:r>
            <w:r/>
          </w:p>
        </w:tc>
      </w:tr>
      <w:tr>
        <w:trPr>
          <w:jc w:val="center"/>
          <w:trHeight w:val="510"/>
        </w:trPr>
        <w:tc>
          <w:tcPr>
            <w:tcW w:w="449" w:type="dxa"/>
            <w:vAlign w:val="center"/>
            <w:vMerge w:val="restart"/>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10</w:t>
            </w:r>
            <w:r>
              <w:rPr>
                <w:highlight w:val="none"/>
              </w:rPr>
            </w:r>
            <w:r/>
          </w:p>
        </w:tc>
        <w:tc>
          <w:tcPr>
            <w:tcW w:w="451" w:type="dxa"/>
            <w:vAlign w:val="center"/>
            <w:vMerge w:val="restart"/>
            <w:textDirection w:val="lrTb"/>
            <w:noWrap w:val="false"/>
          </w:tcPr>
          <w:p>
            <w:pPr>
              <w:jc w:val="center"/>
              <w:rPr>
                <w:rFonts w:ascii="宋体" w:hAnsi="宋体" w:cs="宋体"/>
                <w:b/>
                <w:bCs/>
                <w:highlight w:val="none"/>
              </w:rPr>
            </w:pPr>
            <w:r>
              <w:rPr>
                <w:rFonts w:hint="eastAsia" w:ascii="宋体" w:hAnsi="宋体" w:cs="宋体"/>
                <w:b/>
                <w:bCs/>
                <w:highlight w:val="none"/>
              </w:rPr>
              <w:t xml:space="preserve">响应文件的递交</w:t>
            </w:r>
            <w:r>
              <w:rPr>
                <w:highlight w:val="none"/>
              </w:rPr>
            </w:r>
            <w:r/>
          </w:p>
        </w:tc>
        <w:tc>
          <w:tcPr>
            <w:tcW w:w="76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截止</w:t>
            </w:r>
            <w:r>
              <w:rPr>
                <w:rFonts w:hint="eastAsia" w:ascii="宋体" w:hAnsi="宋体" w:cs="宋体"/>
                <w:b/>
                <w:bCs/>
                <w:highlight w:val="none"/>
                <w:lang w:val="zh-CN"/>
              </w:rPr>
              <w:t xml:space="preserve">时间</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color w:val="ff0000"/>
                <w:szCs w:val="21"/>
                <w:highlight w:val="none"/>
              </w:rPr>
              <w:t xml:space="preserve">2026年</w:t>
            </w:r>
            <w:r>
              <w:rPr>
                <w:rFonts w:ascii="宋体" w:hAnsi="宋体" w:cs="宋体"/>
                <w:color w:val="ff0000"/>
                <w:szCs w:val="21"/>
                <w:highlight w:val="none"/>
              </w:rPr>
              <w:t xml:space="preserve">0</w:t>
            </w:r>
            <w:r>
              <w:rPr>
                <w:rFonts w:ascii="宋体" w:hAnsi="宋体" w:cs="宋体"/>
                <w:color w:val="ff0000"/>
                <w:szCs w:val="21"/>
                <w:highlight w:val="none"/>
              </w:rPr>
              <w:t xml:space="preserve">8</w:t>
            </w:r>
            <w:r>
              <w:rPr>
                <w:rFonts w:hint="eastAsia" w:ascii="宋体" w:hAnsi="宋体" w:cs="宋体"/>
                <w:color w:val="ff0000"/>
                <w:szCs w:val="21"/>
                <w:highlight w:val="none"/>
              </w:rPr>
              <w:t xml:space="preserve">月</w:t>
            </w:r>
            <w:r>
              <w:rPr>
                <w:rFonts w:ascii="宋体" w:hAnsi="宋体" w:cs="宋体"/>
                <w:color w:val="ff0000"/>
                <w:szCs w:val="21"/>
                <w:highlight w:val="none"/>
              </w:rPr>
              <w:t xml:space="preserve">0</w:t>
            </w:r>
            <w:r>
              <w:rPr>
                <w:rFonts w:ascii="宋体" w:hAnsi="宋体" w:cs="宋体"/>
                <w:color w:val="ff0000"/>
                <w:szCs w:val="21"/>
                <w:highlight w:val="none"/>
              </w:rPr>
              <w:t xml:space="preserve">6</w:t>
            </w:r>
            <w:r>
              <w:rPr>
                <w:rFonts w:hint="eastAsia" w:ascii="宋体" w:hAnsi="宋体" w:cs="宋体"/>
                <w:color w:val="ff0000"/>
                <w:szCs w:val="21"/>
                <w:highlight w:val="none"/>
              </w:rPr>
              <w:t xml:space="preserve">日</w:t>
            </w:r>
            <w:r>
              <w:rPr>
                <w:rFonts w:ascii="宋体" w:hAnsi="宋体" w:cs="宋体"/>
                <w:color w:val="ff0000"/>
                <w:szCs w:val="21"/>
                <w:highlight w:val="none"/>
              </w:rPr>
              <w:t xml:space="preserve">0</w:t>
            </w:r>
            <w:r>
              <w:rPr>
                <w:rFonts w:ascii="宋体" w:hAnsi="宋体" w:cs="宋体"/>
                <w:color w:val="ff0000"/>
                <w:szCs w:val="21"/>
                <w:highlight w:val="none"/>
              </w:rPr>
              <w:t xml:space="preserve">9</w:t>
            </w:r>
            <w:r>
              <w:rPr>
                <w:rFonts w:hint="eastAsia" w:ascii="宋体" w:hAnsi="宋体" w:cs="宋体"/>
                <w:color w:val="ff0000"/>
                <w:szCs w:val="21"/>
                <w:highlight w:val="none"/>
              </w:rPr>
              <w:t xml:space="preserve">:00</w:t>
            </w:r>
            <w:r>
              <w:rPr>
                <w:highlight w:val="none"/>
              </w:rPr>
            </w:r>
            <w:r/>
          </w:p>
        </w:tc>
      </w:tr>
      <w:tr>
        <w:trPr>
          <w:jc w:val="center"/>
          <w:trHeight w:val="51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lang w:val="zh-CN"/>
              </w:rPr>
              <w:t xml:space="preserve">地点</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color w:val="000000"/>
                <w:szCs w:val="21"/>
                <w:highlight w:val="none"/>
                <w:shd w:val="clear" w:color="auto" w:fill="ffffff"/>
              </w:rPr>
              <w:t xml:space="preserve">“苏采云”江苏省政府采购交易系统网上开标大厅</w:t>
            </w:r>
            <w:r>
              <w:rPr>
                <w:highlight w:val="none"/>
              </w:rPr>
            </w:r>
            <w:r/>
          </w:p>
        </w:tc>
      </w:tr>
      <w:tr>
        <w:trPr>
          <w:jc w:val="center"/>
          <w:trHeight w:val="510"/>
        </w:trPr>
        <w:tc>
          <w:tcPr>
            <w:tcW w:w="449"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11</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响应文件</w:t>
            </w:r>
            <w:r>
              <w:rPr>
                <w:rFonts w:hint="eastAsia" w:ascii="宋体" w:hAnsi="宋体" w:cs="宋体"/>
                <w:b/>
                <w:bCs/>
                <w:highlight w:val="none"/>
                <w:lang w:val="zh-CN"/>
              </w:rPr>
              <w:t xml:space="preserve">份数</w:t>
            </w:r>
            <w:r>
              <w:rPr>
                <w:highlight w:val="none"/>
              </w:rPr>
            </w:r>
            <w:r/>
          </w:p>
        </w:tc>
        <w:tc>
          <w:tcPr>
            <w:gridSpan w:val="2"/>
            <w:tcW w:w="6176" w:type="dxa"/>
            <w:vAlign w:val="center"/>
            <w:textDirection w:val="lrTb"/>
            <w:noWrap w:val="false"/>
          </w:tcPr>
          <w:p>
            <w:pPr>
              <w:pStyle w:val="893"/>
              <w:jc w:val="left"/>
              <w:rPr>
                <w:rFonts w:ascii="宋体" w:hAnsi="宋体" w:eastAsia="宋体" w:cs="宋体"/>
                <w:position w:val="0"/>
                <w:sz w:val="21"/>
                <w:szCs w:val="24"/>
                <w:highlight w:val="none"/>
              </w:rPr>
            </w:pPr>
            <w:r>
              <w:rPr>
                <w:rFonts w:hint="eastAsia" w:ascii="宋体" w:hAnsi="宋体" w:eastAsia="宋体" w:cs="宋体"/>
                <w:color w:val="000000"/>
                <w:position w:val="0"/>
                <w:sz w:val="21"/>
                <w:szCs w:val="21"/>
                <w:highlight w:val="none"/>
                <w:shd w:val="clear" w:color="auto" w:fill="ffffff"/>
                <w:lang w:bidi="ar"/>
              </w:rPr>
              <w:t xml:space="preserve">成交供应商在领取成交通知书时递交纸质盖章版响应文件一式叁份（壹份正本、贰份副本），用于归档。纸质响应文件须与苏采云提交的电子响应文件保持一致。</w:t>
            </w:r>
            <w:r>
              <w:rPr>
                <w:highlight w:val="none"/>
              </w:rPr>
            </w:r>
            <w:r/>
          </w:p>
        </w:tc>
      </w:tr>
      <w:tr>
        <w:trPr>
          <w:jc w:val="center"/>
          <w:trHeight w:val="388"/>
        </w:trPr>
        <w:tc>
          <w:tcPr>
            <w:tcW w:w="449" w:type="dxa"/>
            <w:vAlign w:val="center"/>
            <w:vMerge w:val="restart"/>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12</w:t>
            </w:r>
            <w:r>
              <w:rPr>
                <w:highlight w:val="none"/>
              </w:rPr>
            </w:r>
            <w:r/>
          </w:p>
        </w:tc>
        <w:tc>
          <w:tcPr>
            <w:tcW w:w="451" w:type="dxa"/>
            <w:vAlign w:val="center"/>
            <w:vMerge w:val="restart"/>
            <w:textDirection w:val="lrTb"/>
            <w:noWrap w:val="false"/>
          </w:tcPr>
          <w:p>
            <w:pPr>
              <w:jc w:val="center"/>
              <w:rPr>
                <w:rFonts w:ascii="宋体" w:hAnsi="宋体" w:cs="宋体"/>
                <w:b/>
                <w:bCs/>
                <w:highlight w:val="none"/>
              </w:rPr>
            </w:pPr>
            <w:r>
              <w:rPr>
                <w:rFonts w:hint="eastAsia" w:ascii="宋体" w:hAnsi="宋体" w:cs="宋体"/>
                <w:b/>
                <w:bCs/>
                <w:highlight w:val="none"/>
              </w:rPr>
              <w:t xml:space="preserve">磋商 信息</w:t>
            </w:r>
            <w:r>
              <w:rPr>
                <w:highlight w:val="none"/>
              </w:rPr>
            </w:r>
            <w:r/>
          </w:p>
        </w:tc>
        <w:tc>
          <w:tcPr>
            <w:tcW w:w="76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开启</w:t>
            </w:r>
            <w:r>
              <w:rPr>
                <w:rFonts w:hint="eastAsia" w:ascii="宋体" w:hAnsi="宋体" w:cs="宋体"/>
                <w:b/>
                <w:bCs/>
                <w:highlight w:val="none"/>
                <w:lang w:val="zh-CN"/>
              </w:rPr>
              <w:t xml:space="preserve">时间</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color w:val="ff0000"/>
                <w:szCs w:val="21"/>
                <w:highlight w:val="none"/>
              </w:rPr>
              <w:t xml:space="preserve">2026年</w:t>
            </w:r>
            <w:r>
              <w:rPr>
                <w:rFonts w:ascii="宋体" w:hAnsi="宋体" w:cs="宋体"/>
                <w:color w:val="ff0000"/>
                <w:szCs w:val="21"/>
                <w:highlight w:val="none"/>
              </w:rPr>
              <w:t xml:space="preserve">0</w:t>
            </w:r>
            <w:r>
              <w:rPr>
                <w:rFonts w:ascii="宋体" w:hAnsi="宋体" w:cs="宋体"/>
                <w:color w:val="ff0000"/>
                <w:szCs w:val="21"/>
                <w:highlight w:val="none"/>
              </w:rPr>
              <w:t xml:space="preserve">8</w:t>
            </w:r>
            <w:r>
              <w:rPr>
                <w:rFonts w:hint="eastAsia" w:ascii="宋体" w:hAnsi="宋体" w:cs="宋体"/>
                <w:color w:val="ff0000"/>
                <w:szCs w:val="21"/>
                <w:highlight w:val="none"/>
              </w:rPr>
              <w:t xml:space="preserve">月</w:t>
            </w:r>
            <w:r>
              <w:rPr>
                <w:rFonts w:ascii="宋体" w:hAnsi="宋体" w:cs="宋体"/>
                <w:color w:val="ff0000"/>
                <w:szCs w:val="21"/>
                <w:highlight w:val="none"/>
              </w:rPr>
              <w:t xml:space="preserve">0</w:t>
            </w:r>
            <w:r>
              <w:rPr>
                <w:rFonts w:ascii="宋体" w:hAnsi="宋体" w:cs="宋体"/>
                <w:color w:val="ff0000"/>
                <w:szCs w:val="21"/>
                <w:highlight w:val="none"/>
              </w:rPr>
              <w:t xml:space="preserve">6</w:t>
            </w:r>
            <w:r>
              <w:rPr>
                <w:rFonts w:hint="eastAsia" w:ascii="宋体" w:hAnsi="宋体" w:cs="宋体"/>
                <w:color w:val="ff0000"/>
                <w:szCs w:val="21"/>
                <w:highlight w:val="none"/>
              </w:rPr>
              <w:t xml:space="preserve">日</w:t>
            </w:r>
            <w:r>
              <w:rPr>
                <w:rFonts w:ascii="宋体" w:hAnsi="宋体" w:cs="宋体"/>
                <w:color w:val="ff0000"/>
                <w:szCs w:val="21"/>
                <w:highlight w:val="none"/>
              </w:rPr>
              <w:t xml:space="preserve">0</w:t>
            </w:r>
            <w:r>
              <w:rPr>
                <w:rFonts w:ascii="宋体" w:hAnsi="宋体" w:cs="宋体"/>
                <w:color w:val="ff0000"/>
                <w:szCs w:val="21"/>
                <w:highlight w:val="none"/>
              </w:rPr>
              <w:t xml:space="preserve">9</w:t>
            </w:r>
            <w:r>
              <w:rPr>
                <w:rFonts w:hint="eastAsia" w:ascii="宋体" w:hAnsi="宋体" w:cs="宋体"/>
                <w:color w:val="ff0000"/>
                <w:szCs w:val="21"/>
                <w:highlight w:val="none"/>
              </w:rPr>
              <w:t xml:space="preserve">:00</w:t>
            </w:r>
            <w:r>
              <w:rPr>
                <w:color w:val="ff0000"/>
                <w:highlight w:val="none"/>
              </w:rPr>
            </w:r>
            <w:r/>
          </w:p>
        </w:tc>
      </w:tr>
      <w:tr>
        <w:trPr>
          <w:jc w:val="center"/>
          <w:trHeight w:val="45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lang w:val="zh-CN"/>
              </w:rPr>
              <w:t xml:space="preserve">地点</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color w:val="000000"/>
                <w:szCs w:val="21"/>
                <w:highlight w:val="none"/>
                <w:shd w:val="clear" w:color="auto" w:fill="ffffff"/>
              </w:rPr>
              <w:t xml:space="preserve">“苏采云”江苏省政府采购交易系统网上开标大厅</w:t>
            </w:r>
            <w:r>
              <w:rPr>
                <w:highlight w:val="none"/>
              </w:rPr>
            </w:r>
            <w:r/>
          </w:p>
        </w:tc>
      </w:tr>
      <w:tr>
        <w:trPr>
          <w:jc w:val="center"/>
          <w:trHeight w:val="450"/>
        </w:trPr>
        <w:tc>
          <w:tcPr>
            <w:tcW w:w="449"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13</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highlight w:val="none"/>
              </w:rPr>
              <w:t xml:space="preserve">评分办法</w:t>
            </w:r>
            <w:r>
              <w:rPr>
                <w:highlight w:val="none"/>
              </w:rPr>
            </w:r>
            <w:r/>
          </w:p>
        </w:tc>
        <w:tc>
          <w:tcPr>
            <w:gridSpan w:val="2"/>
            <w:tcW w:w="6176" w:type="dxa"/>
            <w:vAlign w:val="center"/>
            <w:textDirection w:val="lrTb"/>
            <w:noWrap w:val="false"/>
          </w:tcPr>
          <w:p>
            <w:pPr>
              <w:rPr>
                <w:rFonts w:ascii="宋体" w:hAnsi="宋体" w:cs="宋体"/>
                <w:highlight w:val="none"/>
              </w:rPr>
            </w:pPr>
            <w:r>
              <w:rPr>
                <w:rFonts w:hint="eastAsia" w:ascii="宋体" w:hAnsi="宋体" w:cs="宋体"/>
                <w:szCs w:val="21"/>
                <w:highlight w:val="none"/>
              </w:rPr>
              <w:t xml:space="preserve">综合评分法</w:t>
            </w:r>
            <w:r>
              <w:rPr>
                <w:highlight w:val="none"/>
              </w:rPr>
            </w:r>
            <w:r/>
          </w:p>
        </w:tc>
      </w:tr>
      <w:tr>
        <w:trPr>
          <w:jc w:val="center"/>
          <w:trHeight w:val="450"/>
        </w:trPr>
        <w:tc>
          <w:tcPr>
            <w:tcW w:w="449"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14</w:t>
            </w:r>
            <w:r>
              <w:rPr>
                <w:highlight w:val="none"/>
              </w:rPr>
            </w:r>
            <w:r/>
          </w:p>
        </w:tc>
        <w:tc>
          <w:tcPr>
            <w:gridSpan w:val="2"/>
            <w:tcW w:w="2256" w:type="dxa"/>
            <w:vAlign w:val="center"/>
            <w:textDirection w:val="lrTb"/>
            <w:noWrap w:val="false"/>
          </w:tcPr>
          <w:p>
            <w:pPr>
              <w:jc w:val="center"/>
              <w:rPr>
                <w:rFonts w:ascii="宋体" w:hAnsi="宋体" w:cs="宋体"/>
                <w:b/>
                <w:bCs/>
                <w:highlight w:val="none"/>
              </w:rPr>
            </w:pPr>
            <w:r>
              <w:rPr>
                <w:rFonts w:hint="eastAsia" w:ascii="宋体" w:hAnsi="宋体" w:cs="宋体"/>
                <w:b/>
                <w:bCs/>
                <w:szCs w:val="21"/>
                <w:highlight w:val="none"/>
              </w:rPr>
              <w:t xml:space="preserve">响应文件拒收情形</w:t>
            </w:r>
            <w:r>
              <w:rPr>
                <w:highlight w:val="none"/>
              </w:rPr>
            </w:r>
            <w:r/>
          </w:p>
        </w:tc>
        <w:tc>
          <w:tcPr>
            <w:gridSpan w:val="2"/>
            <w:tcW w:w="6176" w:type="dxa"/>
            <w:vAlign w:val="center"/>
            <w:textDirection w:val="lrTb"/>
            <w:noWrap w:val="false"/>
          </w:tcPr>
          <w:p>
            <w:pPr>
              <w:rPr>
                <w:rFonts w:ascii="宋体" w:hAnsi="宋体" w:cs="宋体"/>
                <w:szCs w:val="21"/>
                <w:highlight w:val="none"/>
              </w:rPr>
            </w:pPr>
            <w:r>
              <w:rPr>
                <w:rFonts w:hint="eastAsia" w:ascii="宋体" w:hAnsi="宋体" w:cs="宋体"/>
                <w:bCs/>
                <w:highlight w:val="none"/>
                <w:shd w:val="clear" w:color="auto" w:fill="ffffff"/>
              </w:rPr>
              <w:t xml:space="preserve">在磋商文件要求提交磋商响应文件的截止时间之后上传的任何电子响应文件</w:t>
            </w:r>
            <w:r>
              <w:rPr>
                <w:highlight w:val="none"/>
              </w:rPr>
            </w:r>
            <w:r/>
          </w:p>
        </w:tc>
      </w:tr>
      <w:tr>
        <w:trPr>
          <w:jc w:val="center"/>
          <w:trHeight w:val="462"/>
        </w:trPr>
        <w:tc>
          <w:tcPr>
            <w:tcW w:w="449" w:type="dxa"/>
            <w:vAlign w:val="center"/>
            <w:vMerge w:val="restart"/>
            <w:textDirection w:val="lrTb"/>
            <w:noWrap w:val="false"/>
          </w:tcPr>
          <w:p>
            <w:pPr>
              <w:jc w:val="center"/>
              <w:widowControl/>
              <w:rPr>
                <w:rFonts w:ascii="宋体" w:hAnsi="宋体" w:cs="宋体"/>
                <w:b/>
                <w:bCs/>
                <w:highlight w:val="none"/>
              </w:rPr>
            </w:pPr>
            <w:r>
              <w:rPr>
                <w:rFonts w:hint="eastAsia" w:ascii="宋体" w:hAnsi="宋体" w:cs="宋体"/>
                <w:b/>
                <w:bCs/>
                <w:highlight w:val="none"/>
              </w:rPr>
              <w:t xml:space="preserve">15</w:t>
            </w:r>
            <w:r>
              <w:rPr>
                <w:highlight w:val="none"/>
              </w:rPr>
            </w:r>
            <w:r/>
          </w:p>
        </w:tc>
        <w:tc>
          <w:tcPr>
            <w:tcW w:w="451" w:type="dxa"/>
            <w:vAlign w:val="center"/>
            <w:vMerge w:val="restart"/>
            <w:textDirection w:val="lrTb"/>
            <w:noWrap w:val="false"/>
          </w:tcPr>
          <w:p>
            <w:pPr>
              <w:jc w:val="center"/>
              <w:rPr>
                <w:rFonts w:ascii="宋体" w:hAnsi="宋体" w:cs="宋体"/>
                <w:b/>
                <w:bCs/>
                <w:highlight w:val="none"/>
              </w:rPr>
            </w:pPr>
            <w:r>
              <w:rPr>
                <w:rFonts w:hint="eastAsia" w:ascii="宋体" w:hAnsi="宋体" w:cs="宋体"/>
                <w:b/>
                <w:bCs/>
                <w:highlight w:val="none"/>
              </w:rPr>
              <w:t xml:space="preserve">联系 事项</w:t>
            </w:r>
            <w:r>
              <w:rPr>
                <w:highlight w:val="none"/>
              </w:rPr>
            </w:r>
            <w:r/>
          </w:p>
        </w:tc>
        <w:tc>
          <w:tcPr>
            <w:tcW w:w="765" w:type="dxa"/>
            <w:vAlign w:val="center"/>
            <w:vMerge w:val="restart"/>
            <w:textDirection w:val="lrTb"/>
            <w:noWrap w:val="false"/>
          </w:tcPr>
          <w:p>
            <w:pPr>
              <w:jc w:val="center"/>
              <w:rPr>
                <w:rFonts w:ascii="宋体" w:hAnsi="宋体" w:cs="宋体"/>
                <w:b/>
                <w:bCs/>
                <w:highlight w:val="none"/>
              </w:rPr>
            </w:pPr>
            <w:r>
              <w:rPr>
                <w:rFonts w:hint="eastAsia" w:ascii="宋体" w:hAnsi="宋体" w:cs="宋体"/>
                <w:b/>
                <w:bCs/>
                <w:highlight w:val="none"/>
                <w:lang w:val="zh-CN"/>
              </w:rPr>
              <w:t xml:space="preserve">采购单位</w:t>
            </w:r>
            <w:r>
              <w:rPr>
                <w:highlight w:val="none"/>
              </w:rPr>
            </w:r>
            <w:r/>
          </w:p>
        </w:tc>
        <w:tc>
          <w:tcPr>
            <w:tcW w:w="762" w:type="dxa"/>
            <w:vAlign w:val="center"/>
            <w:textDirection w:val="lrTb"/>
            <w:noWrap w:val="false"/>
          </w:tcPr>
          <w:p>
            <w:pPr>
              <w:rPr>
                <w:rFonts w:ascii="宋体" w:hAnsi="宋体" w:cs="宋体"/>
                <w:highlight w:val="none"/>
              </w:rPr>
            </w:pPr>
            <w:r>
              <w:rPr>
                <w:rFonts w:hint="eastAsia" w:ascii="宋体" w:hAnsi="宋体" w:cs="宋体"/>
                <w:highlight w:val="none"/>
                <w:lang w:val="zh-CN"/>
              </w:rPr>
              <w:t xml:space="preserve">联系人</w:t>
            </w:r>
            <w:r>
              <w:rPr>
                <w:highlight w:val="none"/>
              </w:rPr>
            </w:r>
            <w:r/>
          </w:p>
        </w:tc>
        <w:tc>
          <w:tcPr>
            <w:tcW w:w="2569" w:type="dxa"/>
            <w:vAlign w:val="center"/>
            <w:textDirection w:val="lrTb"/>
            <w:noWrap w:val="false"/>
          </w:tcPr>
          <w:p>
            <w:pPr>
              <w:rPr>
                <w:rFonts w:ascii="宋体" w:hAnsi="宋体" w:cs="宋体"/>
                <w:highlight w:val="none"/>
              </w:rPr>
            </w:pPr>
            <w:r>
              <w:rPr>
                <w:rFonts w:hint="eastAsia" w:ascii="宋体" w:hAnsi="宋体" w:cs="宋体"/>
                <w:highlight w:val="none"/>
              </w:rPr>
              <w:t xml:space="preserve">马主任</w:t>
            </w:r>
            <w:r>
              <w:rPr>
                <w:highlight w:val="none"/>
              </w:rPr>
            </w:r>
            <w:r/>
          </w:p>
        </w:tc>
      </w:tr>
      <w:tr>
        <w:trPr>
          <w:jc w:val="center"/>
          <w:trHeight w:val="462"/>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center"/>
              <w:rPr>
                <w:rFonts w:ascii="宋体" w:hAnsi="宋体" w:cs="宋体"/>
                <w:b/>
                <w:bCs/>
              </w:rPr>
            </w:pPr>
            <w:r>
              <w:rPr>
                <w:rFonts w:ascii="宋体" w:hAnsi="宋体" w:cs="宋体"/>
                <w:b/>
                <w:bCs/>
              </w:rPr>
            </w:r>
            <w:r/>
          </w:p>
        </w:tc>
        <w:tc>
          <w:tcPr>
            <w:tcW w:w="765" w:type="dxa"/>
            <w:vAlign w:val="center"/>
            <w:vMerge w:val="continue"/>
            <w:textDirection w:val="lrTb"/>
            <w:noWrap w:val="false"/>
          </w:tcPr>
          <w:p>
            <w:pPr>
              <w:jc w:val="center"/>
              <w:rPr>
                <w:rFonts w:ascii="宋体" w:hAnsi="宋体" w:cs="宋体"/>
                <w:b/>
                <w:bCs/>
                <w:lang w:val="zh-CN"/>
              </w:rPr>
            </w:pPr>
            <w:r>
              <w:rPr>
                <w:rFonts w:ascii="宋体" w:hAnsi="宋体" w:cs="宋体"/>
                <w:b/>
                <w:bCs/>
                <w:lang w:val="zh-CN"/>
              </w:rPr>
            </w:r>
            <w:r/>
          </w:p>
        </w:tc>
        <w:tc>
          <w:tcPr>
            <w:tcW w:w="762" w:type="dxa"/>
            <w:vAlign w:val="center"/>
            <w:textDirection w:val="lrTb"/>
            <w:noWrap w:val="false"/>
          </w:tcPr>
          <w:p>
            <w:pPr>
              <w:rPr>
                <w:rFonts w:ascii="宋体" w:hAnsi="宋体" w:cs="宋体"/>
                <w:highlight w:val="none"/>
              </w:rPr>
            </w:pPr>
            <w:r>
              <w:rPr>
                <w:rFonts w:hint="eastAsia" w:ascii="宋体" w:hAnsi="宋体" w:cs="宋体"/>
                <w:highlight w:val="none"/>
                <w:lang w:val="zh-CN"/>
              </w:rPr>
              <w:t xml:space="preserve">联系电话</w:t>
            </w:r>
            <w:r>
              <w:rPr>
                <w:highlight w:val="none"/>
              </w:rPr>
            </w:r>
            <w:r/>
          </w:p>
        </w:tc>
        <w:tc>
          <w:tcPr>
            <w:tcW w:w="2569" w:type="dxa"/>
            <w:vAlign w:val="center"/>
            <w:textDirection w:val="lrTb"/>
            <w:noWrap w:val="false"/>
          </w:tcPr>
          <w:p>
            <w:pPr>
              <w:rPr>
                <w:rFonts w:ascii="宋体" w:hAnsi="宋体" w:cs="宋体"/>
                <w:highlight w:val="none"/>
              </w:rPr>
            </w:pPr>
            <w:r>
              <w:rPr>
                <w:rFonts w:ascii="宋体" w:hAnsi="宋体" w:cs="宋体"/>
                <w:color w:val="000000"/>
                <w:szCs w:val="21"/>
                <w:highlight w:val="none"/>
                <w:shd w:val="clear" w:color="auto" w:fill="ffffff"/>
              </w:rPr>
              <w:t xml:space="preserve">18151646898</w:t>
            </w:r>
            <w:r>
              <w:rPr>
                <w:highlight w:val="none"/>
              </w:rPr>
            </w:r>
            <w:r/>
          </w:p>
        </w:tc>
      </w:tr>
      <w:tr>
        <w:trPr>
          <w:jc w:val="center"/>
          <w:trHeight w:val="435"/>
        </w:trPr>
        <w:tc>
          <w:tcPr>
            <w:tcW w:w="449" w:type="dxa"/>
            <w:vAlign w:val="center"/>
            <w:vMerge w:val="continue"/>
            <w:textDirection w:val="lrTb"/>
            <w:noWrap w:val="false"/>
          </w:tcPr>
          <w:p>
            <w:pPr>
              <w:jc w:val="center"/>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center"/>
              <w:rPr>
                <w:rFonts w:ascii="宋体" w:hAnsi="宋体" w:cs="宋体"/>
                <w:b/>
                <w:bCs/>
              </w:rPr>
            </w:pPr>
            <w:r>
              <w:rPr>
                <w:rFonts w:ascii="宋体" w:hAnsi="宋体" w:cs="宋体"/>
                <w:b/>
                <w:bCs/>
              </w:rPr>
            </w:r>
            <w:r/>
          </w:p>
        </w:tc>
        <w:tc>
          <w:tcPr>
            <w:tcW w:w="765" w:type="dxa"/>
            <w:vAlign w:val="center"/>
            <w:vMerge w:val="restart"/>
            <w:textDirection w:val="lrTb"/>
            <w:noWrap w:val="false"/>
          </w:tcPr>
          <w:p>
            <w:pPr>
              <w:jc w:val="center"/>
              <w:rPr>
                <w:rFonts w:ascii="宋体" w:hAnsi="宋体" w:cs="宋体"/>
                <w:b/>
                <w:bCs/>
                <w:highlight w:val="none"/>
              </w:rPr>
            </w:pPr>
            <w:r>
              <w:rPr>
                <w:rFonts w:hint="eastAsia" w:ascii="宋体" w:hAnsi="宋体" w:cs="宋体"/>
                <w:b/>
                <w:bCs/>
                <w:highlight w:val="none"/>
                <w:lang w:val="zh-CN"/>
              </w:rPr>
              <w:t xml:space="preserve">招标代理机构</w:t>
            </w:r>
            <w:r>
              <w:rPr>
                <w:highlight w:val="none"/>
              </w:rPr>
            </w:r>
            <w:r/>
          </w:p>
        </w:tc>
        <w:tc>
          <w:tcPr>
            <w:tcW w:w="762" w:type="dxa"/>
            <w:vAlign w:val="center"/>
            <w:textDirection w:val="lrTb"/>
            <w:noWrap w:val="false"/>
          </w:tcPr>
          <w:p>
            <w:pPr>
              <w:rPr>
                <w:rFonts w:ascii="宋体" w:hAnsi="宋体" w:cs="宋体"/>
                <w:highlight w:val="none"/>
              </w:rPr>
            </w:pPr>
            <w:r>
              <w:rPr>
                <w:rFonts w:hint="eastAsia" w:ascii="宋体" w:hAnsi="宋体" w:cs="宋体"/>
                <w:highlight w:val="none"/>
                <w:lang w:val="zh-CN"/>
              </w:rPr>
              <w:t xml:space="preserve">联系人</w:t>
            </w:r>
            <w:r>
              <w:rPr>
                <w:highlight w:val="none"/>
              </w:rPr>
            </w:r>
            <w:r/>
          </w:p>
        </w:tc>
        <w:tc>
          <w:tcPr>
            <w:tcW w:w="2569" w:type="dxa"/>
            <w:vAlign w:val="center"/>
            <w:textDirection w:val="lrTb"/>
            <w:noWrap w:val="false"/>
          </w:tcPr>
          <w:p>
            <w:pPr>
              <w:rPr>
                <w:rFonts w:ascii="宋体" w:hAnsi="宋体" w:cs="宋体"/>
                <w:highlight w:val="none"/>
              </w:rPr>
            </w:pPr>
            <w:r>
              <w:rPr>
                <w:rFonts w:ascii="宋体" w:hAnsi="宋体" w:cs="宋体"/>
                <w:highlight w:val="none"/>
              </w:rPr>
              <w:t xml:space="preserve">卞工</w:t>
            </w:r>
            <w:r>
              <w:rPr>
                <w:highlight w:val="none"/>
              </w:rPr>
            </w:r>
            <w:r/>
          </w:p>
        </w:tc>
      </w:tr>
      <w:tr>
        <w:trPr>
          <w:jc w:val="center"/>
          <w:trHeight w:val="402"/>
        </w:trPr>
        <w:tc>
          <w:tcPr>
            <w:tcW w:w="449"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4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65" w:type="dxa"/>
            <w:vAlign w:val="center"/>
            <w:vMerge w:val="continue"/>
            <w:textDirection w:val="lrTb"/>
            <w:noWrap w:val="false"/>
          </w:tcPr>
          <w:p>
            <w:pPr>
              <w:rPr>
                <w:rFonts w:ascii="宋体" w:hAnsi="宋体" w:cs="宋体"/>
                <w:lang w:val="zh-CN"/>
              </w:rPr>
            </w:pPr>
            <w:r>
              <w:rPr>
                <w:rFonts w:ascii="宋体" w:hAnsi="宋体" w:cs="宋体"/>
                <w:lang w:val="zh-CN"/>
              </w:rPr>
            </w:r>
            <w:r/>
          </w:p>
        </w:tc>
        <w:tc>
          <w:tcPr>
            <w:tcW w:w="762" w:type="dxa"/>
            <w:vAlign w:val="center"/>
            <w:textDirection w:val="lrTb"/>
            <w:noWrap w:val="false"/>
          </w:tcPr>
          <w:p>
            <w:pPr>
              <w:rPr>
                <w:rFonts w:ascii="宋体" w:hAnsi="宋体" w:cs="宋体"/>
                <w:highlight w:val="none"/>
              </w:rPr>
            </w:pPr>
            <w:r>
              <w:rPr>
                <w:rFonts w:hint="eastAsia" w:ascii="宋体" w:hAnsi="宋体" w:cs="宋体"/>
                <w:highlight w:val="none"/>
                <w:lang w:val="zh-CN"/>
              </w:rPr>
              <w:t xml:space="preserve">联系电话</w:t>
            </w:r>
            <w:r>
              <w:rPr>
                <w:highlight w:val="none"/>
              </w:rPr>
            </w:r>
            <w:r/>
          </w:p>
        </w:tc>
        <w:tc>
          <w:tcPr>
            <w:tcW w:w="2569" w:type="dxa"/>
            <w:vAlign w:val="center"/>
            <w:textDirection w:val="lrTb"/>
            <w:noWrap w:val="false"/>
          </w:tcPr>
          <w:p>
            <w:pPr>
              <w:rPr>
                <w:rFonts w:ascii="宋体" w:hAnsi="宋体" w:cs="宋体"/>
                <w:highlight w:val="none"/>
              </w:rPr>
            </w:pPr>
            <w:r>
              <w:rPr>
                <w:rFonts w:ascii="宋体" w:hAnsi="宋体" w:cs="宋体"/>
                <w:szCs w:val="21"/>
                <w:highlight w:val="none"/>
              </w:rPr>
              <w:t xml:space="preserve">18118819621</w:t>
            </w:r>
            <w:r>
              <w:rPr>
                <w:highlight w:val="none"/>
              </w:rPr>
            </w:r>
            <w:r/>
          </w:p>
        </w:tc>
      </w:tr>
    </w:tbl>
    <w:p>
      <w:pPr>
        <w:pStyle w:val="1066"/>
        <w:jc w:val="center"/>
        <w:spacing w:before="240" w:after="240" w:line="240" w:lineRule="auto"/>
        <w:rPr>
          <w:szCs w:val="28"/>
          <w:highlight w:val="none"/>
        </w:rPr>
      </w:pPr>
      <w:r>
        <w:rPr>
          <w:highlight w:val="none"/>
        </w:rPr>
      </w:r>
      <w:bookmarkStart w:id="42" w:name="_Toc535597866"/>
      <w:r>
        <w:rPr>
          <w:highlight w:val="none"/>
        </w:rPr>
      </w:r>
      <w:bookmarkStart w:id="43" w:name="_Toc15504"/>
      <w:r>
        <w:rPr>
          <w:rFonts w:hint="eastAsia" w:ascii="宋体" w:hAnsi="宋体" w:eastAsia="宋体" w:cs="宋体"/>
          <w:highlight w:val="none"/>
        </w:rPr>
        <w:br w:type="page" w:clear="all"/>
        <w:t xml:space="preserve">一、总    则</w:t>
      </w:r>
      <w:bookmarkEnd w:id="42"/>
      <w:r>
        <w:rPr>
          <w:highlight w:val="none"/>
        </w:rPr>
      </w:r>
      <w:bookmarkEnd w:id="43"/>
      <w:r>
        <w:rPr>
          <w:highlight w:val="none"/>
        </w:rPr>
      </w:r>
      <w:r/>
    </w:p>
    <w:p>
      <w:pPr>
        <w:ind w:firstLine="442"/>
        <w:spacing w:line="360" w:lineRule="auto"/>
        <w:rPr>
          <w:rFonts w:ascii="宋体" w:hAnsi="宋体" w:cs="宋体"/>
          <w:b/>
          <w:sz w:val="22"/>
          <w:highlight w:val="none"/>
        </w:rPr>
      </w:pPr>
      <w:r>
        <w:rPr>
          <w:rFonts w:hint="eastAsia" w:ascii="宋体" w:hAnsi="宋体" w:cs="宋体"/>
          <w:b/>
          <w:sz w:val="22"/>
          <w:highlight w:val="none"/>
        </w:rPr>
        <w:t xml:space="preserve">1、适用法律</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1.1 《中华人民共和国政府采购法》、《中华人民共和国政府采购法实施条例》、《政府采购竞争性磋商采购方式管理暂行办法》等有关法律、规章和规定等。</w:t>
      </w:r>
      <w:r>
        <w:rPr>
          <w:highlight w:val="none"/>
        </w:rPr>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2、定义</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2.1 “供应商”是指参加磋商竞争，并符合磋商文件规定资格条件的法人、其他组织或者自然人。</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2.2 “</w:t>
      </w:r>
      <w:r>
        <w:rPr>
          <w:rFonts w:hint="eastAsia" w:ascii="宋体" w:hAnsi="宋体" w:cs="宋体"/>
          <w:szCs w:val="21"/>
          <w:highlight w:val="none"/>
        </w:rPr>
        <w:t xml:space="preserve">工程</w:t>
      </w:r>
      <w:r>
        <w:rPr>
          <w:rFonts w:hint="eastAsia" w:ascii="宋体" w:hAnsi="宋体" w:cs="宋体"/>
          <w:szCs w:val="21"/>
          <w:highlight w:val="none"/>
          <w:lang w:val="zh-CN"/>
        </w:rPr>
        <w:t xml:space="preserve">”指本磋商文件中所述相关</w:t>
      </w:r>
      <w:r>
        <w:rPr>
          <w:rFonts w:hint="eastAsia" w:ascii="宋体" w:hAnsi="宋体" w:cs="宋体"/>
          <w:szCs w:val="21"/>
          <w:highlight w:val="none"/>
        </w:rPr>
        <w:t xml:space="preserve">工程</w:t>
      </w:r>
      <w:r>
        <w:rPr>
          <w:rFonts w:hint="eastAsia" w:ascii="宋体" w:hAnsi="宋体" w:cs="宋体"/>
          <w:szCs w:val="21"/>
          <w:highlight w:val="none"/>
          <w:lang w:val="zh-CN"/>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2.3 “</w:t>
      </w:r>
      <w:r>
        <w:rPr>
          <w:rFonts w:hint="eastAsia" w:ascii="宋体" w:hAnsi="宋体" w:cs="宋体"/>
          <w:szCs w:val="21"/>
          <w:highlight w:val="none"/>
        </w:rPr>
        <w:t xml:space="preserve">采购人</w:t>
      </w:r>
      <w:r>
        <w:rPr>
          <w:rFonts w:hint="eastAsia" w:ascii="宋体" w:hAnsi="宋体" w:cs="宋体"/>
          <w:szCs w:val="21"/>
          <w:highlight w:val="none"/>
          <w:lang w:val="zh-CN"/>
        </w:rPr>
        <w:t xml:space="preserve">或使用单位”是指使用</w:t>
      </w:r>
      <w:r>
        <w:rPr>
          <w:rFonts w:hint="eastAsia" w:ascii="宋体" w:hAnsi="宋体" w:cs="宋体"/>
          <w:szCs w:val="21"/>
          <w:highlight w:val="none"/>
        </w:rPr>
        <w:t xml:space="preserve">工程</w:t>
      </w:r>
      <w:r>
        <w:rPr>
          <w:rFonts w:hint="eastAsia" w:ascii="宋体" w:hAnsi="宋体" w:cs="宋体"/>
          <w:szCs w:val="21"/>
          <w:highlight w:val="none"/>
          <w:lang w:val="zh-CN"/>
        </w:rPr>
        <w:t xml:space="preserve">的单位。</w:t>
      </w:r>
      <w:r>
        <w:rPr>
          <w:highlight w:val="none"/>
        </w:rPr>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3、政策功能</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3.1 中小企业政策</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（2）参加政府采购活动的中小企业应当提供《中小企业声明函》、由省级以上监狱管理局戒毒管理局(含新疆生产建设兵团)出具的属于监狱企业的证明文件或《残疾人福利性单位声明函》。</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（5）未按要求提供相关材料的，不享受相关政策。</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（6）项目所属行业：</w:t>
      </w:r>
      <w:r>
        <w:rPr>
          <w:rFonts w:hint="eastAsia" w:ascii="宋体" w:hAnsi="宋体" w:cs="宋体"/>
          <w:bCs/>
          <w:szCs w:val="21"/>
          <w:highlight w:val="none"/>
          <w:u w:val="single"/>
        </w:rPr>
        <w:t xml:space="preserve">建筑业</w:t>
      </w:r>
      <w:r>
        <w:rPr>
          <w:rFonts w:hint="eastAsia" w:ascii="宋体" w:hAnsi="宋体" w:cs="宋体"/>
          <w:bCs/>
          <w:szCs w:val="21"/>
          <w:highlight w:val="none"/>
        </w:rPr>
        <w:t xml:space="preserve">。根据《关于印发中小企业划型标准规定的通知》（工信部联企业〔2011〕300号）及《国家统计局关于印发&lt;统计上大中小微型企业划分办法〔2017〕&gt;的通知》（国统字〔2017〕213号）等文件规定。</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3.2 节能产品政策</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（1）节能产品是指列入财政部、国家发展和改革委员会制定的节能产品品目政府采购清单，且经过认证的节能产品；</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（2）拟采购产品属于节能产品政府采购清单规定必须强制采购的，实行强制采购。</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（3）拟采购产品属于节能产品政府采购清单规定优先采购的，在技术、服务等指标同等条件下，实行优先采购，优先采购的要求详见第三章说明内容。</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（4）参加政府采购活动的节能产品供应商应当提供有效的节能产品认证证书扫描件。</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（5）未按要求提供相关材料的，不享受相关政策。</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3.3 环境标志产品政策</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（1）环境标志产品是指列入财政部、生态环境部制定的环境标志产品品目政府采购清单，且经过认证的环境标志产品；</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（2）拟采购产品属于环境标志产品政府采购清单规定优先采购的，在性能、技术、服务等指标同等条件下，实行优先采购，优先采购的要求详见第三章说明内容。</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（3）参加政府采购活动的环境标志产品应当提供有效的环境标志产品认证证书扫描件。</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（4）未按要求提供相关材料的，不享受相关政策。</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3.4 信息安全产品政策</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（1）信息安全产品是指列入国家质检总局、国家认监委《信息安全产品强制性认证目录》，并获得强制性产品认证证书的产品；</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（2）提供的产品属于信息安全产品的，供应商应当选择经国家认证的信息安全产品投标，并提供由中国信息安全认证中心按国家标准认证颁发的有效认证证书扫描件。</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（3）未按要求提供相关材料的，不享受相关政策。</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3.5 进口产品政策</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（1）除第一章竞争性磋商公告另有规定外，不允许进口产品参加。进口产品认定依照《财政部关于政府采购进口产品管理有关问题的通知》（财办库〔2008〕248 号）的规定。</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（2）允许进口产品参加的，满足需求的国内产品可以参加。</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（3）允许进口产品参加的，优先采购向我国企业转让技术、与我国企业签订消化吸收再创新方案的供应商的进口产品。</w:t>
      </w:r>
      <w:r>
        <w:rPr>
          <w:highlight w:val="none"/>
        </w:rPr>
      </w:r>
      <w:r/>
    </w:p>
    <w:p>
      <w:pPr>
        <w:ind w:firstLine="411"/>
        <w:spacing w:line="360" w:lineRule="auto"/>
        <w:rPr>
          <w:rFonts w:ascii="宋体" w:hAnsi="宋体" w:cs="宋体"/>
          <w:bCs/>
          <w:szCs w:val="21"/>
          <w:highlight w:val="none"/>
        </w:rPr>
      </w:pPr>
      <w:r>
        <w:rPr>
          <w:rFonts w:hint="eastAsia" w:ascii="宋体" w:hAnsi="宋体" w:cs="宋体"/>
          <w:bCs/>
          <w:szCs w:val="21"/>
          <w:highlight w:val="none"/>
        </w:rPr>
        <w:t xml:space="preserve">（4）未按要求提供相关材料的，不享受相关政策。</w:t>
      </w:r>
      <w:r>
        <w:rPr>
          <w:highlight w:val="none"/>
        </w:rPr>
      </w:r>
      <w:r/>
    </w:p>
    <w:p>
      <w:pPr>
        <w:ind w:firstLine="413"/>
        <w:spacing w:line="360" w:lineRule="auto"/>
        <w:rPr>
          <w:rFonts w:ascii="宋体" w:hAnsi="宋体" w:cs="宋体"/>
          <w:b/>
          <w:szCs w:val="21"/>
          <w:highlight w:val="none"/>
        </w:rPr>
      </w:pPr>
      <w:r>
        <w:rPr>
          <w:rFonts w:hint="eastAsia" w:ascii="宋体" w:hAnsi="宋体" w:cs="宋体"/>
          <w:b/>
          <w:szCs w:val="21"/>
          <w:highlight w:val="none"/>
        </w:rPr>
        <w:t xml:space="preserve">4、投标费用</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lang w:val="zh-CN"/>
        </w:rPr>
        <w:t xml:space="preserve">4.1 供应商应承担所有与准备和参加磋商有关的费用，无论采购结果如何，招标代理和采购单位在任何情况下均无义务和责任承担这些费用。</w:t>
      </w:r>
      <w:r>
        <w:rPr>
          <w:highlight w:val="none"/>
        </w:rPr>
      </w:r>
      <w:r/>
    </w:p>
    <w:p>
      <w:pPr>
        <w:ind w:firstLine="420"/>
        <w:spacing w:line="360" w:lineRule="auto"/>
        <w:shd w:val="clear" w:color="auto" w:fill="ffffff"/>
        <w:rPr>
          <w:rFonts w:ascii="宋体" w:hAnsi="宋体" w:cs="宋体"/>
          <w:szCs w:val="21"/>
          <w:highlight w:val="none"/>
        </w:rPr>
      </w:pPr>
      <w:r>
        <w:rPr>
          <w:rFonts w:hint="eastAsia" w:ascii="宋体" w:hAnsi="宋体" w:cs="宋体"/>
          <w:bCs/>
          <w:szCs w:val="21"/>
          <w:highlight w:val="none"/>
          <w:lang w:val="zh-CN"/>
        </w:rPr>
        <w:t xml:space="preserve">4.2 </w:t>
      </w:r>
      <w:r>
        <w:rPr>
          <w:rFonts w:hint="eastAsia" w:ascii="宋体" w:hAnsi="宋体" w:cs="宋体"/>
          <w:szCs w:val="21"/>
          <w:highlight w:val="none"/>
          <w:lang w:val="zh-CN"/>
        </w:rPr>
        <w:t xml:space="preserve">本次采购招标代理服务费</w:t>
      </w:r>
      <w:r>
        <w:rPr>
          <w:rFonts w:hint="eastAsia" w:ascii="宋体" w:hAnsi="宋体" w:cs="宋体"/>
          <w:szCs w:val="21"/>
          <w:highlight w:val="none"/>
        </w:rPr>
        <w:t xml:space="preserve">由成交供应商在领取成交通知书时一次性支付</w:t>
      </w:r>
      <w:r>
        <w:rPr>
          <w:rFonts w:hint="eastAsia" w:ascii="宋体" w:hAnsi="宋体" w:cs="宋体"/>
          <w:szCs w:val="21"/>
          <w:highlight w:val="none"/>
          <w:lang w:val="zh-CN"/>
        </w:rPr>
        <w:t xml:space="preserve">。招标代理服务费包括招标代理费、控制价编制费。其中招标代理费按计价格〔2002〕1980号文</w:t>
      </w:r>
      <w:r>
        <w:rPr>
          <w:rFonts w:hint="eastAsia" w:ascii="宋体" w:hAnsi="宋体" w:cs="宋体"/>
          <w:szCs w:val="21"/>
          <w:highlight w:val="none"/>
        </w:rPr>
        <w:t xml:space="preserve">的</w:t>
      </w:r>
      <w:r>
        <w:rPr>
          <w:rFonts w:ascii="宋体" w:hAnsi="宋体" w:cs="宋体"/>
          <w:szCs w:val="21"/>
          <w:highlight w:val="none"/>
        </w:rPr>
        <w:t xml:space="preserve">7</w:t>
      </w:r>
      <w:r>
        <w:rPr>
          <w:rFonts w:hint="eastAsia" w:ascii="宋体" w:hAnsi="宋体" w:cs="宋体"/>
          <w:szCs w:val="21"/>
          <w:highlight w:val="none"/>
        </w:rPr>
        <w:t xml:space="preserve">0%执行</w:t>
      </w:r>
      <w:r>
        <w:rPr>
          <w:rFonts w:hint="eastAsia" w:ascii="宋体" w:hAnsi="宋体" w:cs="宋体"/>
          <w:szCs w:val="21"/>
          <w:highlight w:val="none"/>
          <w:lang w:val="zh-CN"/>
        </w:rPr>
        <w:t xml:space="preserve">；控制价编制费按苏价服〔20</w:t>
      </w:r>
      <w:r>
        <w:rPr>
          <w:rFonts w:hint="eastAsia" w:ascii="宋体" w:hAnsi="宋体" w:cs="宋体"/>
          <w:szCs w:val="21"/>
          <w:highlight w:val="none"/>
        </w:rPr>
        <w:t xml:space="preserve">14</w:t>
      </w:r>
      <w:r>
        <w:rPr>
          <w:rFonts w:hint="eastAsia" w:ascii="宋体" w:hAnsi="宋体" w:cs="宋体"/>
          <w:szCs w:val="21"/>
          <w:highlight w:val="none"/>
          <w:lang w:val="zh-CN"/>
        </w:rPr>
        <w:t xml:space="preserve">〕383号文</w:t>
      </w:r>
      <w:r>
        <w:rPr>
          <w:rFonts w:hint="eastAsia" w:ascii="宋体" w:hAnsi="宋体" w:cs="宋体"/>
          <w:szCs w:val="21"/>
          <w:highlight w:val="none"/>
        </w:rPr>
        <w:t xml:space="preserve">的</w:t>
      </w:r>
      <w:r>
        <w:rPr>
          <w:rFonts w:ascii="宋体" w:hAnsi="宋体" w:cs="宋体"/>
          <w:szCs w:val="21"/>
          <w:highlight w:val="none"/>
        </w:rPr>
        <w:t xml:space="preserve">7</w:t>
      </w:r>
      <w:r>
        <w:rPr>
          <w:rFonts w:hint="eastAsia" w:ascii="宋体" w:hAnsi="宋体" w:cs="宋体"/>
          <w:szCs w:val="21"/>
          <w:highlight w:val="none"/>
        </w:rPr>
        <w:t xml:space="preserve">0%执行</w:t>
      </w:r>
      <w:r>
        <w:rPr>
          <w:rFonts w:hint="eastAsia" w:ascii="宋体" w:hAnsi="宋体" w:cs="宋体"/>
          <w:szCs w:val="21"/>
          <w:highlight w:val="none"/>
          <w:lang w:val="zh-CN"/>
        </w:rPr>
        <w:t xml:space="preserve">。</w:t>
      </w:r>
      <w:r>
        <w:rPr>
          <w:rFonts w:hint="eastAsia" w:ascii="宋体" w:hAnsi="宋体" w:cs="宋体"/>
          <w:szCs w:val="21"/>
          <w:highlight w:val="none"/>
        </w:rPr>
        <w:t xml:space="preserve">以上所有费用，</w:t>
      </w:r>
      <w:r>
        <w:rPr>
          <w:rFonts w:hint="eastAsia" w:ascii="宋体" w:hAnsi="宋体" w:cs="宋体"/>
          <w:szCs w:val="21"/>
          <w:highlight w:val="none"/>
          <w:lang w:val="zh-CN"/>
        </w:rPr>
        <w:t xml:space="preserve">请供应商予以关注并核算摊销到总报价中,无需在报价表中单列。</w:t>
      </w:r>
      <w:r>
        <w:rPr>
          <w:highlight w:val="none"/>
        </w:rPr>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5、磋商文件的约束力</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5.1 供应商一旦参加本项目磋商，即被认为接受了本磋商文件的规定和约束。</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5.2 义务</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5.2.1磋商供应商应当认真阅读本磋商文件，完全明了本项目之名称、用途、数量、质量和交付时间，完全明了应具备的资格条件。</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5.2.2磋商供应商应当按照磋商文件的要求编制响应性文件。响应性文件应对磋商文件提出的实质性要求和条件作出完全响应。</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5.2.3磋商供应商不得相互串通报价，不得排挤其他磋商供应商的公平竞争，损害采购人或者其他磋商供应商的合法权益。磋商供应商不得与采购人串通投标，损害国家利益，公众利益或者他人的合法权益。</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5.2.4磋商供应商在磋商截止时间前，对所递交的响应性文件可以补充、修改或者撤回，并书面通知采购人。补充、修改的内容为响应性文件的组成部分。</w:t>
      </w:r>
      <w:r>
        <w:rPr>
          <w:highlight w:val="none"/>
        </w:rPr>
      </w:r>
      <w:r/>
    </w:p>
    <w:p>
      <w:pPr>
        <w:ind w:firstLine="411"/>
        <w:spacing w:line="360" w:lineRule="auto"/>
        <w:rPr>
          <w:rFonts w:ascii="宋体" w:hAnsi="宋体" w:cs="宋体"/>
          <w:b/>
          <w:szCs w:val="21"/>
          <w:highlight w:val="none"/>
        </w:rPr>
      </w:pPr>
      <w:r>
        <w:rPr>
          <w:rFonts w:hint="eastAsia" w:ascii="宋体" w:hAnsi="宋体" w:cs="宋体"/>
          <w:bCs/>
          <w:szCs w:val="21"/>
          <w:highlight w:val="none"/>
        </w:rPr>
        <w:t xml:space="preserve">5.3 注意事项</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5.3.2验收标准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5.3.2.1磋商文件中明确的标准和技术要求，未明确部分按照国家最新的相关标准；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5.3.2.2供应商随响应性文件提供的货物制造国制造及验收的官方标准或货物验收大纲，经采购单位确认后，将作为对货物的验收依据之一；</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5.3.2.3供应商在澄清响应文件时作出的承诺，经采购单位确认后，将作为对工程、货物和服务的验收依据之一；</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5.3.2.4项目完毕后，由采购单位组织按国家相关标准进行验收。</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5.3.4任何供应商成交，须保证所供工程、货物和服务能通过当地有关职能部门验收，否则采购单位有权拒绝支付合同款项。</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5.3.5供应商应保证采购人在使用该工程、货物和服务或其任何一部分时不受第三方提出侵犯其专利权、版权、商标权或其他权利的起诉。一旦出现侵权，供应商应承担全部责任。</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
          <w:szCs w:val="21"/>
          <w:highlight w:val="none"/>
        </w:rPr>
        <w:t xml:space="preserve">6、本项目不接受联合体投标，本项目不允许转包或分包。</w:t>
      </w:r>
      <w:r>
        <w:rPr>
          <w:highlight w:val="none"/>
        </w:rPr>
      </w:r>
      <w:r/>
    </w:p>
    <w:p>
      <w:pPr>
        <w:ind w:left="992" w:hanging="567"/>
        <w:jc w:val="center"/>
        <w:spacing w:before="240" w:after="240" w:line="360" w:lineRule="auto"/>
        <w:rPr>
          <w:rFonts w:ascii="宋体" w:hAnsi="宋体" w:cs="宋体"/>
          <w:sz w:val="28"/>
          <w:highlight w:val="none"/>
        </w:rPr>
        <w:outlineLvl w:val="1"/>
      </w:pPr>
      <w:r>
        <w:rPr>
          <w:highlight w:val="none"/>
        </w:rPr>
      </w:r>
      <w:bookmarkStart w:id="44" w:name="_Toc22177"/>
      <w:r>
        <w:rPr>
          <w:highlight w:val="none"/>
        </w:rPr>
      </w:r>
      <w:bookmarkStart w:id="45" w:name="_Toc29564"/>
      <w:r>
        <w:rPr>
          <w:rFonts w:hint="eastAsia" w:ascii="宋体" w:hAnsi="宋体" w:cs="宋体"/>
          <w:sz w:val="28"/>
          <w:highlight w:val="none"/>
          <w:lang w:val="zh-CN"/>
        </w:rPr>
        <w:t xml:space="preserve">二、</w:t>
      </w:r>
      <w:r>
        <w:rPr>
          <w:rFonts w:hint="eastAsia" w:ascii="宋体" w:hAnsi="宋体" w:cs="宋体"/>
          <w:sz w:val="28"/>
          <w:highlight w:val="none"/>
        </w:rPr>
        <w:t xml:space="preserve">竞争性磋商文件</w:t>
      </w:r>
      <w:bookmarkEnd w:id="44"/>
      <w:r>
        <w:rPr>
          <w:highlight w:val="none"/>
        </w:rPr>
      </w:r>
      <w:bookmarkEnd w:id="45"/>
      <w:r>
        <w:rPr>
          <w:highlight w:val="none"/>
        </w:rPr>
      </w:r>
      <w:r/>
    </w:p>
    <w:p>
      <w:pPr>
        <w:ind w:firstLine="442"/>
        <w:spacing w:line="360" w:lineRule="auto"/>
        <w:rPr>
          <w:rFonts w:ascii="宋体" w:hAnsi="宋体" w:cs="宋体"/>
          <w:b/>
          <w:sz w:val="22"/>
          <w:highlight w:val="none"/>
        </w:rPr>
      </w:pPr>
      <w:r>
        <w:rPr>
          <w:rFonts w:hint="eastAsia" w:ascii="宋体" w:hAnsi="宋体" w:cs="宋体"/>
          <w:b/>
          <w:sz w:val="22"/>
          <w:highlight w:val="none"/>
        </w:rPr>
        <w:t xml:space="preserve">7、磋商文件组成</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rPr>
        <w:t xml:space="preserve">7</w:t>
      </w:r>
      <w:r>
        <w:rPr>
          <w:rFonts w:hint="eastAsia" w:ascii="宋体" w:hAnsi="宋体" w:cs="宋体"/>
          <w:bCs/>
          <w:szCs w:val="21"/>
          <w:highlight w:val="none"/>
          <w:lang w:val="zh-CN"/>
        </w:rPr>
        <w:t xml:space="preserve">.1磋商文件包括以下主要内容：</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rPr>
        <w:t xml:space="preserve">第一部分：竞争性磋商公告；</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rPr>
        <w:t xml:space="preserve">第二部分：磋商供应商须知； </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rPr>
        <w:t xml:space="preserve">第三部分：磋商评审标准；</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rPr>
        <w:t xml:space="preserve">第四部分：采购项目概况；</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rPr>
        <w:t xml:space="preserve">第五部分：合同主要条款及格式；</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rPr>
        <w:t xml:space="preserve">第六部分：磋商响应文件格式。</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rPr>
        <w:t xml:space="preserve">7</w:t>
      </w:r>
      <w:r>
        <w:rPr>
          <w:rFonts w:hint="eastAsia" w:ascii="宋体" w:hAnsi="宋体" w:cs="宋体"/>
          <w:bCs/>
          <w:szCs w:val="21"/>
          <w:highlight w:val="none"/>
          <w:lang w:val="zh-CN"/>
        </w:rPr>
        <w:t xml:space="preserve">.</w:t>
      </w:r>
      <w:r>
        <w:rPr>
          <w:rFonts w:hint="eastAsia" w:ascii="宋体" w:hAnsi="宋体" w:cs="宋体"/>
          <w:bCs/>
          <w:szCs w:val="21"/>
          <w:highlight w:val="none"/>
        </w:rPr>
        <w:t xml:space="preserve">2</w:t>
      </w:r>
      <w:r>
        <w:rPr>
          <w:rFonts w:hint="eastAsia" w:ascii="宋体" w:hAnsi="宋体" w:cs="宋体"/>
          <w:bCs/>
          <w:szCs w:val="21"/>
          <w:highlight w:val="none"/>
          <w:lang w:val="zh-CN"/>
        </w:rPr>
        <w:t xml:space="preserve"> 采购代理机构如果要求供应商按照磋商文件规定提交备选磋商方案的，供应商可以提交备选方案；否则，备选方案将被拒绝。</w:t>
      </w:r>
      <w:r>
        <w:rPr>
          <w:highlight w:val="none"/>
        </w:rPr>
      </w:r>
      <w:r/>
    </w:p>
    <w:p>
      <w:pPr>
        <w:ind w:firstLine="420"/>
        <w:spacing w:line="360" w:lineRule="auto"/>
        <w:shd w:val="clear" w:color="auto" w:fill="ffffff"/>
        <w:rPr>
          <w:rFonts w:ascii="宋体" w:hAnsi="宋体" w:cs="宋体"/>
          <w:bCs/>
          <w:szCs w:val="21"/>
          <w:highlight w:val="none"/>
        </w:rPr>
      </w:pPr>
      <w:r>
        <w:rPr>
          <w:rFonts w:hint="eastAsia" w:ascii="宋体" w:hAnsi="宋体" w:cs="宋体"/>
          <w:bCs/>
          <w:szCs w:val="21"/>
          <w:highlight w:val="none"/>
        </w:rPr>
        <w:t xml:space="preserve">7</w:t>
      </w:r>
      <w:r>
        <w:rPr>
          <w:rFonts w:hint="eastAsia" w:ascii="宋体" w:hAnsi="宋体" w:cs="宋体"/>
          <w:bCs/>
          <w:szCs w:val="21"/>
          <w:highlight w:val="none"/>
          <w:lang w:val="zh-CN"/>
        </w:rPr>
        <w:t xml:space="preserve">.</w:t>
      </w:r>
      <w:r>
        <w:rPr>
          <w:rFonts w:hint="eastAsia" w:ascii="宋体" w:hAnsi="宋体" w:cs="宋体"/>
          <w:bCs/>
          <w:szCs w:val="21"/>
          <w:highlight w:val="none"/>
        </w:rPr>
        <w:t xml:space="preserve">3 </w:t>
      </w:r>
      <w:r>
        <w:rPr>
          <w:rFonts w:hint="eastAsia" w:ascii="宋体" w:hAnsi="宋体" w:cs="宋体"/>
          <w:bCs/>
          <w:szCs w:val="21"/>
          <w:highlight w:val="none"/>
          <w:lang w:val="zh-CN"/>
        </w:rPr>
        <w:t xml:space="preserve">磋商文件中要求的产品品牌或型号，是采购人根据项目所要实现的功能推荐的品牌或型号，仅供供应商参考，并不是限制条件。</w:t>
      </w:r>
      <w:r>
        <w:rPr>
          <w:highlight w:val="none"/>
        </w:rPr>
      </w:r>
      <w:r/>
    </w:p>
    <w:p>
      <w:pPr>
        <w:ind w:firstLine="422"/>
        <w:spacing w:line="360" w:lineRule="auto"/>
        <w:tabs>
          <w:tab w:val="left" w:pos="1260" w:leader="none"/>
        </w:tabs>
        <w:rPr>
          <w:rFonts w:ascii="宋体" w:hAnsi="宋体" w:cs="宋体"/>
          <w:b/>
          <w:highlight w:val="none"/>
        </w:rPr>
      </w:pPr>
      <w:r>
        <w:rPr>
          <w:rFonts w:hint="eastAsia" w:ascii="宋体" w:hAnsi="宋体" w:cs="宋体"/>
          <w:b/>
          <w:highlight w:val="none"/>
        </w:rPr>
        <w:t xml:space="preserve">8、磋商文件的澄清、修改</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8.1任何要求对磋商文件进行澄清的供应商，应在磋商文件规定的响应性文件提交</w:t>
      </w:r>
      <w:r>
        <w:rPr>
          <w:rFonts w:hint="eastAsia" w:ascii="宋体" w:hAnsi="宋体" w:cs="宋体"/>
          <w:b/>
          <w:highlight w:val="none"/>
        </w:rPr>
        <w:t xml:space="preserve">截止日期五天前</w:t>
      </w:r>
      <w:r>
        <w:rPr>
          <w:rFonts w:hint="eastAsia" w:ascii="宋体" w:hAnsi="宋体" w:cs="宋体"/>
          <w:highlight w:val="none"/>
        </w:rPr>
        <w:t xml:space="preserve">按磋商文件中的联系方式以书面形式通知代理机构，代理机构将及时予以答复；在磋商文件公布期间，代理机构可主动对磋商文件进行澄清，磋商文件实质性变动的除外。</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8.2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8.3供应商应及时查看并获取修改后的磋商文件，如供应商未及时查看并下载，由此造成的相关责任，由供应商承担。</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8.4为使供应商有充分的时间对磋商文件的修改部分进行分析、研究，采购代理机构有权推迟响应文件接收截止日期和磋商日期，并将此变更通知所有已获取磋商文件的供应商，通知形式同8.2条款。</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8.5采购代理机构发出的所有补充、修改和变更文件均作为磋商文件的组成部分，与磋商文件具有同等法律效力。 </w:t>
      </w:r>
      <w:r>
        <w:rPr>
          <w:highlight w:val="none"/>
        </w:rPr>
      </w:r>
      <w:r/>
    </w:p>
    <w:p>
      <w:pPr>
        <w:ind w:left="992" w:hanging="567"/>
        <w:jc w:val="center"/>
        <w:spacing w:before="240" w:after="240" w:line="360" w:lineRule="auto"/>
        <w:rPr>
          <w:rFonts w:ascii="宋体" w:hAnsi="宋体" w:cs="宋体"/>
          <w:bCs/>
          <w:sz w:val="28"/>
          <w:szCs w:val="28"/>
          <w:highlight w:val="none"/>
        </w:rPr>
        <w:outlineLvl w:val="1"/>
      </w:pPr>
      <w:r>
        <w:rPr>
          <w:highlight w:val="none"/>
        </w:rPr>
      </w:r>
      <w:bookmarkStart w:id="46" w:name="_Toc11038"/>
      <w:r>
        <w:rPr>
          <w:highlight w:val="none"/>
        </w:rPr>
      </w:r>
      <w:bookmarkStart w:id="47" w:name="_Toc2406"/>
      <w:r>
        <w:rPr>
          <w:rFonts w:hint="eastAsia" w:ascii="宋体" w:hAnsi="宋体" w:cs="宋体"/>
          <w:sz w:val="28"/>
          <w:highlight w:val="none"/>
        </w:rPr>
        <w:t xml:space="preserve">三</w:t>
      </w:r>
      <w:r>
        <w:rPr>
          <w:rFonts w:hint="eastAsia" w:ascii="宋体" w:hAnsi="宋体" w:cs="宋体"/>
          <w:sz w:val="28"/>
          <w:highlight w:val="none"/>
          <w:lang w:val="zh-CN"/>
        </w:rPr>
        <w:t xml:space="preserve">、磋商响应文件编制</w:t>
      </w:r>
      <w:bookmarkEnd w:id="46"/>
      <w:r>
        <w:rPr>
          <w:highlight w:val="none"/>
        </w:rPr>
      </w:r>
      <w:bookmarkEnd w:id="47"/>
      <w:r>
        <w:rPr>
          <w:highlight w:val="none"/>
        </w:rPr>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9、响应性文件的语言、计量单位、货币和编制</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cs="宋体"/>
          <w:szCs w:val="21"/>
          <w:highlight w:val="none"/>
          <w:lang w:val="zh-CN"/>
        </w:rPr>
        <w:t xml:space="preserve">对不同文本磋商响应文件的解释发生异议的，以中文文本为准。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9.2供应商所使用的计量单位应为国家法定计量单位。</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9.3供应商应用人民币报价。</w:t>
      </w:r>
      <w:r>
        <w:rPr>
          <w:rFonts w:hint="eastAsia" w:ascii="宋体" w:hAnsi="宋体" w:cs="宋体"/>
          <w:szCs w:val="21"/>
          <w:highlight w:val="none"/>
          <w:lang w:val="zh-CN"/>
        </w:rPr>
        <w:t xml:space="preserve">报价产品如果是进口产品的，应提供人民币与美元之间的汇率；报价单位为“元”。</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lang w:val="zh-CN"/>
        </w:rPr>
        <w:t xml:space="preserve">.4 磋商响应文件应字迹清楚、内容齐全、不得涂改。如有修改，修改处须有供应商公章或磋商专用章和法定代表人或其授权磋商代表签字。</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lang w:val="zh-CN"/>
        </w:rPr>
        <w:t xml:space="preserve">.</w:t>
      </w:r>
      <w:r>
        <w:rPr>
          <w:rFonts w:hint="eastAsia" w:ascii="宋体" w:hAnsi="宋体" w:cs="宋体"/>
          <w:szCs w:val="21"/>
          <w:highlight w:val="none"/>
        </w:rPr>
        <w:t xml:space="preserve">5</w:t>
      </w:r>
      <w:r>
        <w:rPr>
          <w:rFonts w:hint="eastAsia" w:ascii="宋体" w:hAnsi="宋体" w:cs="宋体"/>
          <w:szCs w:val="21"/>
          <w:highlight w:val="none"/>
          <w:lang w:val="zh-CN"/>
        </w:rPr>
        <w:t xml:space="preserve"> 供应商应在磋商响应文件中写清相应的项目编号、项目名称、供应商全称、地址、电话、传真等。</w:t>
      </w:r>
      <w:r>
        <w:rPr>
          <w:highlight w:val="none"/>
        </w:rPr>
      </w:r>
      <w:r/>
    </w:p>
    <w:p>
      <w:pPr>
        <w:ind w:firstLine="420"/>
        <w:spacing w:line="360" w:lineRule="auto"/>
        <w:rPr>
          <w:rFonts w:ascii="宋体" w:hAnsi="宋体" w:cs="宋体"/>
          <w:b/>
          <w:highlight w:val="none"/>
        </w:rPr>
      </w:pPr>
      <w:r>
        <w:rPr>
          <w:rFonts w:hint="eastAsia" w:ascii="宋体" w:hAnsi="宋体" w:cs="宋体"/>
          <w:b/>
          <w:highlight w:val="none"/>
        </w:rPr>
        <w:t xml:space="preserve">10、磋商响应文件的组成</w:t>
      </w:r>
      <w:r>
        <w:rPr>
          <w:highlight w:val="none"/>
        </w:rPr>
      </w:r>
      <w:r/>
    </w:p>
    <w:p>
      <w:pPr>
        <w:ind w:firstLine="420"/>
        <w:spacing w:line="360" w:lineRule="auto"/>
        <w:rPr>
          <w:rFonts w:ascii="宋体" w:hAnsi="宋体" w:cs="宋体"/>
          <w:bCs/>
          <w:highlight w:val="none"/>
        </w:rPr>
      </w:pPr>
      <w:r>
        <w:rPr>
          <w:rFonts w:hint="eastAsia" w:ascii="宋体" w:hAnsi="宋体" w:cs="宋体"/>
          <w:bCs/>
          <w:highlight w:val="none"/>
        </w:rPr>
        <w:t xml:space="preserve">10.1供应商应当根据磋商文件要求编制磋商文件，并根据自己的商务能力、技术水平对磋商文件提出的要求和条件逐条标明是否响应。磋商响应文件由商务部分、技术部分、价格部分，以及其他部分组成。</w:t>
      </w:r>
      <w:r>
        <w:rPr>
          <w:highlight w:val="none"/>
        </w:rPr>
      </w:r>
      <w:r/>
    </w:p>
    <w:p>
      <w:pPr>
        <w:ind w:firstLine="420"/>
        <w:spacing w:line="360" w:lineRule="auto"/>
        <w:rPr>
          <w:rFonts w:ascii="宋体" w:hAnsi="宋体" w:cs="宋体"/>
          <w:b/>
          <w:highlight w:val="none"/>
          <w:shd w:val="clear" w:color="auto" w:fill="ffffff"/>
        </w:rPr>
      </w:pPr>
      <w:r>
        <w:rPr>
          <w:rFonts w:hint="eastAsia" w:ascii="宋体" w:hAnsi="宋体" w:cs="宋体"/>
          <w:bCs/>
          <w:highlight w:val="none"/>
        </w:rPr>
        <w:t xml:space="preserve">10</w:t>
      </w:r>
      <w:r>
        <w:rPr>
          <w:rFonts w:hint="eastAsia" w:ascii="宋体" w:hAnsi="宋体" w:cs="宋体"/>
          <w:bCs/>
          <w:highlight w:val="none"/>
          <w:shd w:val="clear" w:color="auto" w:fill="ffffff"/>
        </w:rPr>
        <w:t xml:space="preserve">.2 </w:t>
      </w:r>
      <w:r>
        <w:rPr>
          <w:rFonts w:hint="eastAsia" w:ascii="宋体" w:hAnsi="宋体" w:cs="宋体"/>
          <w:b/>
          <w:highlight w:val="none"/>
          <w:shd w:val="clear" w:color="auto" w:fill="ffffff"/>
        </w:rPr>
        <w:t xml:space="preserve">磋商响应文件的商务部分。</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商务部分是证明供应商有资格参加磋商和中标后有能力履行合同的文件，</w:t>
      </w:r>
      <w:r>
        <w:rPr>
          <w:rFonts w:hint="eastAsia" w:ascii="宋体" w:hAnsi="宋体" w:cs="宋体"/>
          <w:highlight w:val="none"/>
        </w:rPr>
        <w:t xml:space="preserve">这些文件应能满足招标的要求</w:t>
      </w:r>
      <w:r>
        <w:rPr>
          <w:rFonts w:hint="eastAsia" w:ascii="宋体" w:hAnsi="宋体" w:cs="宋体"/>
          <w:highlight w:val="none"/>
          <w:lang w:val="zh-CN"/>
        </w:rPr>
        <w:t xml:space="preserve">，包括但不限于下列文件，</w:t>
      </w:r>
      <w:r>
        <w:rPr>
          <w:rFonts w:hint="eastAsia" w:ascii="宋体" w:hAnsi="宋体" w:cs="宋体"/>
          <w:b/>
          <w:highlight w:val="none"/>
          <w:lang w:val="zh-CN"/>
        </w:rPr>
        <w:t xml:space="preserve">其中加</w:t>
      </w:r>
      <w:r>
        <w:rPr>
          <w:rFonts w:hint="eastAsia" w:ascii="宋体" w:hAnsi="宋体" w:cs="宋体"/>
          <w:b/>
          <w:highlight w:val="none"/>
        </w:rPr>
        <w:t xml:space="preserve">*</w:t>
      </w:r>
      <w:r>
        <w:rPr>
          <w:rFonts w:hint="eastAsia" w:ascii="宋体" w:hAnsi="宋体" w:cs="宋体"/>
          <w:b/>
          <w:highlight w:val="none"/>
          <w:lang w:val="zh-CN"/>
        </w:rPr>
        <w:t xml:space="preserve">项目不得有缺失或无效</w:t>
      </w:r>
      <w:r>
        <w:rPr>
          <w:rFonts w:hint="eastAsia" w:ascii="宋体" w:hAnsi="宋体" w:cs="宋体"/>
          <w:highlight w:val="none"/>
          <w:lang w:val="zh-CN"/>
        </w:rPr>
        <w:t xml:space="preserve">。</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（1）</w:t>
      </w:r>
      <w:r>
        <w:rPr>
          <w:rFonts w:ascii="宋体" w:hAnsi="宋体" w:cs="宋体"/>
          <w:b/>
          <w:color w:val="000000"/>
          <w:sz w:val="22"/>
          <w:highlight w:val="none"/>
        </w:rPr>
        <w:t xml:space="preserve">*</w:t>
      </w:r>
      <w:r>
        <w:rPr>
          <w:rFonts w:ascii="宋体" w:hAnsi="宋体" w:cs="宋体"/>
          <w:color w:val="000000"/>
          <w:sz w:val="22"/>
          <w:highlight w:val="none"/>
        </w:rPr>
        <w:t xml:space="preserve">磋商申请及声明；</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（2）</w:t>
      </w:r>
      <w:r>
        <w:rPr>
          <w:rFonts w:ascii="宋体" w:hAnsi="宋体" w:cs="宋体"/>
          <w:b/>
          <w:color w:val="000000"/>
          <w:sz w:val="22"/>
          <w:highlight w:val="none"/>
        </w:rPr>
        <w:t xml:space="preserve">*</w:t>
      </w:r>
      <w:r>
        <w:rPr>
          <w:rFonts w:ascii="宋体" w:hAnsi="宋体" w:cs="宋体"/>
          <w:color w:val="000000"/>
          <w:sz w:val="22"/>
          <w:highlight w:val="none"/>
        </w:rPr>
        <w:t xml:space="preserve">法定代表人授权委托书及采购公告前近三个月内任意一个月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（3）</w:t>
      </w:r>
      <w:r>
        <w:rPr>
          <w:rFonts w:ascii="宋体" w:hAnsi="宋体" w:cs="宋体"/>
          <w:b/>
          <w:color w:val="000000"/>
          <w:sz w:val="22"/>
          <w:highlight w:val="none"/>
        </w:rPr>
        <w:t xml:space="preserve">*</w:t>
      </w:r>
      <w:r>
        <w:rPr>
          <w:rFonts w:ascii="宋体" w:hAnsi="宋体" w:cs="宋体"/>
          <w:color w:val="000000"/>
          <w:sz w:val="22"/>
          <w:highlight w:val="none"/>
        </w:rPr>
        <w:t xml:space="preserve">磋商报价表；</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（4）</w:t>
      </w:r>
      <w:r>
        <w:rPr>
          <w:rFonts w:ascii="宋体" w:hAnsi="宋体" w:cs="宋体"/>
          <w:b/>
          <w:color w:val="000000"/>
          <w:sz w:val="22"/>
          <w:highlight w:val="none"/>
        </w:rPr>
        <w:t xml:space="preserve">*</w:t>
      </w:r>
      <w:r>
        <w:rPr>
          <w:rFonts w:ascii="宋体" w:hAnsi="宋体" w:cs="宋体"/>
          <w:color w:val="000000"/>
          <w:sz w:val="22"/>
          <w:highlight w:val="none"/>
        </w:rPr>
        <w:t xml:space="preserve">分项报价明细表；</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（5）</w:t>
      </w:r>
      <w:r>
        <w:rPr>
          <w:rFonts w:ascii="宋体" w:hAnsi="宋体" w:cs="宋体"/>
          <w:b/>
          <w:color w:val="000000"/>
          <w:sz w:val="22"/>
          <w:highlight w:val="none"/>
        </w:rPr>
        <w:t xml:space="preserve">*</w:t>
      </w:r>
      <w:r>
        <w:rPr>
          <w:rFonts w:ascii="宋体" w:hAnsi="宋体" w:cs="宋体"/>
          <w:color w:val="000000"/>
          <w:sz w:val="22"/>
          <w:highlight w:val="none"/>
        </w:rPr>
        <w:t xml:space="preserve">中小企业声明函；</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（6）</w:t>
      </w:r>
      <w:r>
        <w:rPr>
          <w:rFonts w:ascii="宋体" w:hAnsi="宋体" w:cs="宋体"/>
          <w:b/>
          <w:color w:val="000000"/>
          <w:sz w:val="22"/>
          <w:highlight w:val="none"/>
        </w:rPr>
        <w:t xml:space="preserve">*</w:t>
      </w:r>
      <w:r>
        <w:rPr>
          <w:rFonts w:ascii="宋体" w:hAnsi="宋体" w:cs="宋体"/>
          <w:color w:val="000000"/>
          <w:sz w:val="22"/>
          <w:highlight w:val="none"/>
        </w:rPr>
        <w:t xml:space="preserve">《南京市政府采购供应商信用记录表暨信用承诺书》；</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（7）</w:t>
      </w:r>
      <w:r>
        <w:rPr>
          <w:rFonts w:ascii="宋体" w:hAnsi="宋体" w:cs="宋体"/>
          <w:b/>
          <w:color w:val="000000"/>
          <w:sz w:val="22"/>
          <w:highlight w:val="none"/>
        </w:rPr>
        <w:t xml:space="preserve">*</w:t>
      </w:r>
      <w:r>
        <w:rPr>
          <w:rFonts w:ascii="宋体" w:hAnsi="宋体" w:cs="宋体"/>
          <w:color w:val="000000"/>
          <w:sz w:val="22"/>
          <w:highlight w:val="none"/>
        </w:rPr>
        <w:t xml:space="preserve">《商务条款响应表》；</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（8）</w:t>
      </w:r>
      <w:r>
        <w:rPr>
          <w:rFonts w:ascii="宋体" w:hAnsi="宋体" w:cs="宋体"/>
          <w:b/>
          <w:color w:val="000000"/>
          <w:sz w:val="22"/>
          <w:highlight w:val="none"/>
        </w:rPr>
        <w:t xml:space="preserve">*</w:t>
      </w:r>
      <w:r>
        <w:rPr>
          <w:rFonts w:ascii="宋体" w:hAnsi="宋体" w:cs="宋体"/>
          <w:color w:val="000000"/>
          <w:sz w:val="22"/>
          <w:highlight w:val="none"/>
        </w:rPr>
        <w:t xml:space="preserve">“信用中国”、“中国政府采购网”网站截图（提供供应商未被列入失信被执行人、重大税收违法案件当事人名单、政府采购严重违法失信行为记录名单的对应截图）；</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（9）</w:t>
      </w:r>
      <w:r>
        <w:rPr>
          <w:rFonts w:ascii="宋体" w:hAnsi="宋体" w:cs="宋体"/>
          <w:b/>
          <w:color w:val="000000"/>
          <w:sz w:val="22"/>
          <w:highlight w:val="none"/>
        </w:rPr>
        <w:t xml:space="preserve">*</w:t>
      </w:r>
      <w:r>
        <w:rPr>
          <w:rFonts w:ascii="宋体" w:hAnsi="宋体" w:cs="宋体"/>
          <w:color w:val="000000"/>
          <w:sz w:val="22"/>
          <w:highlight w:val="none"/>
        </w:rPr>
        <w:t xml:space="preserve">安全生产责任承诺书</w:t>
      </w:r>
      <w:r>
        <w:rPr>
          <w:highlight w:val="none"/>
        </w:rPr>
      </w:r>
      <w:r/>
    </w:p>
    <w:p>
      <w:pPr>
        <w:ind w:firstLine="420"/>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2"/>
          <w:highlight w:val="none"/>
        </w:rPr>
        <w:t xml:space="preserve">（1</w:t>
      </w:r>
      <w:r>
        <w:rPr>
          <w:rFonts w:ascii="宋体" w:hAnsi="宋体" w:cs="宋体"/>
          <w:color w:val="000000"/>
          <w:sz w:val="22"/>
          <w:highlight w:val="none"/>
        </w:rPr>
        <w:t xml:space="preserve">0</w:t>
      </w:r>
      <w:r>
        <w:rPr>
          <w:rFonts w:ascii="宋体" w:hAnsi="宋体" w:cs="宋体"/>
          <w:color w:val="000000"/>
          <w:sz w:val="22"/>
          <w:highlight w:val="none"/>
        </w:rPr>
        <w:t xml:space="preserve">）磋商供应商认为需提供的其他资料。</w:t>
      </w:r>
      <w:r>
        <w:rPr>
          <w:highlight w:val="none"/>
        </w:rPr>
      </w:r>
      <w:r/>
    </w:p>
    <w:p>
      <w:pPr>
        <w:ind w:firstLine="420"/>
        <w:spacing w:line="360" w:lineRule="auto"/>
        <w:rPr>
          <w:rFonts w:ascii="宋体" w:hAnsi="宋体" w:cs="宋体"/>
          <w:b/>
          <w:highlight w:val="none"/>
          <w:shd w:val="clear" w:color="auto" w:fill="ffffff"/>
        </w:rPr>
      </w:pPr>
      <w:r>
        <w:rPr>
          <w:rFonts w:hint="eastAsia" w:ascii="宋体" w:hAnsi="宋体" w:cs="宋体"/>
          <w:bCs/>
          <w:highlight w:val="none"/>
        </w:rPr>
        <w:t xml:space="preserve">10</w:t>
      </w:r>
      <w:r>
        <w:rPr>
          <w:rFonts w:hint="eastAsia" w:ascii="宋体" w:hAnsi="宋体" w:cs="宋体"/>
          <w:bCs/>
          <w:highlight w:val="none"/>
          <w:shd w:val="clear" w:color="auto" w:fill="ffffff"/>
        </w:rPr>
        <w:t xml:space="preserve">.3 </w:t>
      </w:r>
      <w:r>
        <w:rPr>
          <w:rFonts w:hint="eastAsia" w:ascii="宋体" w:hAnsi="宋体" w:cs="宋体"/>
          <w:b/>
          <w:highlight w:val="none"/>
          <w:shd w:val="clear" w:color="auto" w:fill="ffffff"/>
        </w:rPr>
        <w:t xml:space="preserve">磋商响应文件的技术部分。</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技术部分是证明</w:t>
      </w:r>
      <w:r>
        <w:rPr>
          <w:rFonts w:hint="eastAsia" w:ascii="宋体" w:hAnsi="宋体" w:cs="宋体"/>
          <w:highlight w:val="none"/>
        </w:rPr>
        <w:t xml:space="preserve">供应商提供的工程、货物和服务是合格的、并符合磋商文件要求的证明文件，以及</w:t>
      </w:r>
      <w:r>
        <w:rPr>
          <w:rFonts w:hint="eastAsia" w:ascii="宋体" w:hAnsi="宋体" w:cs="宋体"/>
          <w:highlight w:val="none"/>
          <w:lang w:val="zh-CN"/>
        </w:rPr>
        <w:t xml:space="preserve">对磋商报价表中的工程、货物和服务的详细说明，这些文件可以是文字资料、图纸和数据等；</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若技术性能无特殊说明，则按国家有关部门最新颁布的标准及规范为准；</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提供的工程、货物和服务如与磋商文件要求有不符之处，应说明其差别之所在，并在《技术规格偏离表》中逐条予以说明；</w:t>
      </w:r>
      <w:r>
        <w:rPr>
          <w:highlight w:val="none"/>
        </w:rPr>
      </w:r>
      <w:r/>
    </w:p>
    <w:p>
      <w:pPr>
        <w:ind w:firstLine="420"/>
        <w:spacing w:line="360" w:lineRule="auto"/>
        <w:rPr>
          <w:rFonts w:ascii="宋体" w:hAnsi="宋体" w:cs="宋体"/>
          <w:b/>
          <w:szCs w:val="21"/>
          <w:highlight w:val="none"/>
        </w:rPr>
      </w:pPr>
      <w:r>
        <w:rPr>
          <w:rFonts w:hint="eastAsia" w:ascii="宋体" w:hAnsi="宋体" w:cs="宋体"/>
          <w:highlight w:val="none"/>
          <w:lang w:val="zh-CN"/>
        </w:rPr>
        <w:t xml:space="preserve">磋商响应文件应按照磋商文件要求提供技术资料、文件和有关证明，包括但不限于（</w:t>
      </w:r>
      <w:r>
        <w:rPr>
          <w:rFonts w:hint="eastAsia" w:ascii="宋体" w:hAnsi="宋体" w:cs="宋体"/>
          <w:b/>
          <w:highlight w:val="none"/>
          <w:lang w:val="zh-CN"/>
        </w:rPr>
        <w:t xml:space="preserve">其中加</w:t>
      </w:r>
      <w:r>
        <w:rPr>
          <w:rFonts w:hint="eastAsia" w:ascii="宋体" w:hAnsi="宋体" w:cs="宋体"/>
          <w:b/>
          <w:highlight w:val="none"/>
        </w:rPr>
        <w:t xml:space="preserve">*</w:t>
      </w:r>
      <w:r>
        <w:rPr>
          <w:rFonts w:hint="eastAsia" w:ascii="宋体" w:hAnsi="宋体" w:cs="宋体"/>
          <w:b/>
          <w:highlight w:val="none"/>
          <w:lang w:val="zh-CN"/>
        </w:rPr>
        <w:t xml:space="preserve">项目不得有缺失或无效</w:t>
      </w:r>
      <w:r>
        <w:rPr>
          <w:rFonts w:hint="eastAsia" w:ascii="宋体" w:hAnsi="宋体" w:cs="宋体"/>
          <w:highlight w:val="none"/>
          <w:lang w:val="zh-CN"/>
        </w:rPr>
        <w:t xml:space="preserve">）：</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szCs w:val="21"/>
          <w:highlight w:val="none"/>
          <w:lang w:val="zh-CN"/>
        </w:rPr>
        <w:t xml:space="preserve">*</w:t>
      </w:r>
      <w:r>
        <w:rPr>
          <w:rFonts w:hint="eastAsia" w:ascii="宋体" w:hAnsi="宋体" w:cs="宋体"/>
          <w:szCs w:val="21"/>
          <w:highlight w:val="none"/>
          <w:lang w:val="zh-CN"/>
        </w:rPr>
        <w:t xml:space="preserve">《技术规格偏离表》；</w:t>
      </w:r>
      <w:r>
        <w:rPr>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zh-CN"/>
        </w:rPr>
        <w:t xml:space="preserve">磋商供应商认为需要提供的其他技术资料。</w:t>
      </w:r>
      <w:r>
        <w:rPr>
          <w:highlight w:val="none"/>
        </w:rPr>
      </w:r>
      <w:r/>
    </w:p>
    <w:p>
      <w:pPr>
        <w:ind w:firstLine="420"/>
        <w:jc w:val="left"/>
        <w:spacing w:line="360" w:lineRule="auto"/>
        <w:widowControl/>
        <w:rPr>
          <w:rFonts w:ascii="宋体" w:hAnsi="宋体" w:cs="宋体"/>
          <w:b/>
          <w:szCs w:val="21"/>
          <w:highlight w:val="none"/>
        </w:rPr>
      </w:pPr>
      <w:r>
        <w:rPr>
          <w:rFonts w:hint="eastAsia" w:ascii="宋体" w:hAnsi="宋体" w:cs="宋体"/>
          <w:bCs/>
          <w:szCs w:val="21"/>
          <w:highlight w:val="none"/>
        </w:rPr>
        <w:t xml:space="preserve">10.4</w:t>
      </w:r>
      <w:r>
        <w:rPr>
          <w:rFonts w:hint="eastAsia" w:ascii="宋体" w:hAnsi="宋体" w:cs="宋体"/>
          <w:b/>
          <w:szCs w:val="21"/>
          <w:highlight w:val="none"/>
        </w:rPr>
        <w:t xml:space="preserve"> </w:t>
      </w:r>
      <w:r>
        <w:rPr>
          <w:rFonts w:hint="eastAsia" w:ascii="宋体" w:hAnsi="宋体" w:cs="宋体"/>
          <w:b/>
          <w:szCs w:val="21"/>
          <w:highlight w:val="none"/>
          <w:lang w:val="zh-CN"/>
        </w:rPr>
        <w:t xml:space="preserve">磋商响应文件的价格部分</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（1）价格部分是对磋商工程、货物和服务价格构成的说明，每一项仅接受一个价格。</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3</w:t>
      </w:r>
      <w:r>
        <w:rPr>
          <w:rFonts w:hint="eastAsia" w:ascii="宋体" w:hAnsi="宋体" w:cs="宋体"/>
          <w:highlight w:val="none"/>
          <w:lang w:val="zh-CN"/>
        </w:rPr>
        <w:t xml:space="preserve">）</w:t>
      </w:r>
      <w:r>
        <w:rPr>
          <w:rFonts w:hint="eastAsia" w:ascii="宋体" w:hAnsi="宋体" w:cs="宋体"/>
          <w:b/>
          <w:highlight w:val="none"/>
        </w:rPr>
        <w:t xml:space="preserve">*</w:t>
      </w:r>
      <w:r>
        <w:rPr>
          <w:rFonts w:hint="eastAsia"/>
          <w:szCs w:val="21"/>
          <w:highlight w:val="none"/>
          <w:lang w:val="zh-CN"/>
        </w:rPr>
        <w:t xml:space="preserve">已标价工程量清单，工程量清单投标报价表须加盖</w:t>
      </w:r>
      <w:r>
        <w:rPr>
          <w:rFonts w:hint="eastAsia"/>
          <w:szCs w:val="21"/>
          <w:highlight w:val="none"/>
        </w:rPr>
        <w:t xml:space="preserve">本单位</w:t>
      </w:r>
      <w:r>
        <w:rPr>
          <w:rFonts w:hint="eastAsia"/>
          <w:szCs w:val="21"/>
          <w:highlight w:val="none"/>
          <w:lang w:val="zh-CN"/>
        </w:rPr>
        <w:t xml:space="preserve">造价工程师执业章并签字</w:t>
      </w:r>
      <w:r>
        <w:rPr>
          <w:rFonts w:hint="eastAsia" w:ascii="宋体" w:hAnsi="宋体" w:cs="宋体"/>
          <w:highlight w:val="none"/>
          <w:lang w:val="zh-CN"/>
        </w:rPr>
        <w:t xml:space="preserve">。</w:t>
      </w:r>
      <w:r>
        <w:rPr>
          <w:highlight w:val="none"/>
        </w:rPr>
      </w:r>
      <w:r/>
    </w:p>
    <w:p>
      <w:pPr>
        <w:ind w:firstLine="420"/>
        <w:jc w:val="left"/>
        <w:spacing w:line="360" w:lineRule="auto"/>
        <w:widowControl/>
        <w:rPr>
          <w:rFonts w:ascii="宋体" w:hAnsi="宋体" w:cs="宋体"/>
          <w:bCs/>
          <w:highlight w:val="none"/>
        </w:rPr>
      </w:pPr>
      <w:r>
        <w:rPr>
          <w:rFonts w:hint="eastAsia" w:ascii="宋体" w:hAnsi="宋体" w:cs="宋体"/>
          <w:bCs/>
          <w:highlight w:val="none"/>
          <w:lang w:val="zh-CN"/>
        </w:rPr>
        <w:t xml:space="preserve">（</w:t>
      </w:r>
      <w:r>
        <w:rPr>
          <w:rFonts w:hint="eastAsia" w:ascii="宋体" w:hAnsi="宋体" w:cs="宋体"/>
          <w:bCs/>
          <w:highlight w:val="none"/>
        </w:rPr>
        <w:t xml:space="preserve">4</w:t>
      </w:r>
      <w:r>
        <w:rPr>
          <w:rFonts w:hint="eastAsia" w:ascii="宋体" w:hAnsi="宋体" w:cs="宋体"/>
          <w:bCs/>
          <w:highlight w:val="none"/>
          <w:lang w:val="zh-CN"/>
        </w:rPr>
        <w:t xml:space="preserve">）</w:t>
      </w:r>
      <w:r>
        <w:rPr>
          <w:rFonts w:hint="eastAsia" w:ascii="宋体" w:hAnsi="宋体" w:cs="宋体"/>
          <w:b/>
          <w:highlight w:val="none"/>
        </w:rPr>
        <w:t xml:space="preserve">*</w:t>
      </w:r>
      <w:r>
        <w:rPr>
          <w:rFonts w:hint="eastAsia" w:ascii="宋体" w:hAnsi="宋体" w:cs="宋体"/>
          <w:bCs/>
          <w:highlight w:val="none"/>
        </w:rPr>
        <w:t xml:space="preserve">提供</w:t>
      </w:r>
      <w:r>
        <w:rPr>
          <w:rFonts w:hint="eastAsia" w:ascii="宋体" w:hAnsi="宋体" w:cs="宋体"/>
          <w:bCs/>
          <w:highlight w:val="none"/>
          <w:lang w:val="zh-CN"/>
        </w:rPr>
        <w:t xml:space="preserve">《</w:t>
      </w:r>
      <w:r>
        <w:rPr>
          <w:rFonts w:hint="eastAsia"/>
          <w:szCs w:val="21"/>
          <w:highlight w:val="none"/>
        </w:rPr>
        <w:t xml:space="preserve">投标报价工程量清单</w:t>
      </w:r>
      <w:r>
        <w:rPr>
          <w:rFonts w:hint="eastAsia" w:ascii="宋体" w:hAnsi="宋体" w:cs="宋体"/>
          <w:bCs/>
          <w:highlight w:val="none"/>
        </w:rPr>
        <w:t xml:space="preserve">编制说明</w:t>
      </w:r>
      <w:r>
        <w:rPr>
          <w:rFonts w:hint="eastAsia" w:ascii="宋体" w:hAnsi="宋体" w:cs="宋体"/>
          <w:bCs/>
          <w:highlight w:val="none"/>
          <w:lang w:val="zh-CN"/>
        </w:rPr>
        <w:t xml:space="preserve">》（</w:t>
      </w:r>
      <w:r>
        <w:rPr>
          <w:rFonts w:hint="eastAsia" w:ascii="宋体" w:hAnsi="宋体" w:cs="宋体"/>
          <w:bCs/>
          <w:highlight w:val="none"/>
        </w:rPr>
        <w:t xml:space="preserve">格式自拟并加盖公章</w:t>
      </w:r>
      <w:r>
        <w:rPr>
          <w:rFonts w:hint="eastAsia" w:ascii="宋体" w:hAnsi="宋体" w:cs="宋体"/>
          <w:bCs/>
          <w:highlight w:val="none"/>
          <w:lang w:val="zh-CN"/>
        </w:rPr>
        <w:t xml:space="preserve">）</w:t>
      </w:r>
      <w:r>
        <w:rPr>
          <w:rFonts w:hint="eastAsia" w:ascii="宋体" w:hAnsi="宋体" w:cs="宋体"/>
          <w:bCs/>
          <w:highlight w:val="none"/>
          <w:lang w:val="zh-CN"/>
        </w:rPr>
        <w:t xml:space="preserve">。</w:t>
      </w:r>
      <w:r>
        <w:rPr>
          <w:highlight w:val="none"/>
        </w:rPr>
      </w:r>
      <w:r/>
    </w:p>
    <w:p>
      <w:pPr>
        <w:ind w:firstLine="422"/>
        <w:jc w:val="left"/>
        <w:spacing w:line="360" w:lineRule="auto"/>
        <w:widowControl/>
        <w:rPr>
          <w:rFonts w:ascii="宋体" w:hAnsi="宋体" w:cs="宋体"/>
          <w:b/>
          <w:bCs/>
          <w:szCs w:val="21"/>
          <w:highlight w:val="none"/>
        </w:rPr>
      </w:pPr>
      <w:r>
        <w:rPr>
          <w:rFonts w:hint="eastAsia" w:ascii="宋体" w:hAnsi="宋体" w:cs="宋体"/>
          <w:b/>
          <w:highlight w:val="none"/>
          <w:lang w:val="zh-CN"/>
        </w:rPr>
        <w:t xml:space="preserve">（</w:t>
      </w:r>
      <w:r>
        <w:rPr>
          <w:rFonts w:hint="eastAsia" w:ascii="宋体" w:hAnsi="宋体" w:cs="宋体"/>
          <w:b/>
          <w:highlight w:val="none"/>
        </w:rPr>
        <w:t xml:space="preserve">5</w:t>
      </w:r>
      <w:r>
        <w:rPr>
          <w:rFonts w:hint="eastAsia" w:ascii="宋体" w:hAnsi="宋体" w:cs="宋体"/>
          <w:b/>
          <w:highlight w:val="none"/>
          <w:lang w:val="zh-CN"/>
        </w:rPr>
        <w:t xml:space="preserve">） 本次磋商将采用二轮报价的形式，磋商申请单位需准时参加报价，否则视为放弃报价，做无效响应处理。以供应商的最后报价作为价格评分依据。</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6</w:t>
      </w:r>
      <w:r>
        <w:rPr>
          <w:rFonts w:hint="eastAsia" w:ascii="宋体" w:hAnsi="宋体" w:cs="宋体"/>
          <w:highlight w:val="none"/>
          <w:lang w:val="zh-CN"/>
        </w:rPr>
        <w:t xml:space="preserve">）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7</w:t>
      </w:r>
      <w:r>
        <w:rPr>
          <w:rFonts w:hint="eastAsia" w:ascii="宋体" w:hAnsi="宋体" w:cs="宋体"/>
          <w:highlight w:val="none"/>
          <w:lang w:val="zh-CN"/>
        </w:rPr>
        <w:t xml:space="preserve">）提倡公平竞争，反对盲目压价参与磋商，任何盲目压价和低于成本报价将会被拒绝。</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8</w:t>
      </w:r>
      <w:r>
        <w:rPr>
          <w:rFonts w:hint="eastAsia" w:ascii="宋体" w:hAnsi="宋体" w:cs="宋体"/>
          <w:highlight w:val="none"/>
          <w:lang w:val="zh-CN"/>
        </w:rPr>
        <w:t xml:space="preserve">）供应商报价时应充分考虑所有可能影响到报价的因素，一旦磋商结束最终成交，如发生漏、缺、少项，都将被认为是成交人的报价让利行为，损失自负。</w:t>
      </w:r>
      <w:r>
        <w:rPr>
          <w:highlight w:val="none"/>
        </w:rPr>
      </w:r>
      <w:r/>
    </w:p>
    <w:p>
      <w:pPr>
        <w:ind w:firstLine="420"/>
        <w:spacing w:line="360" w:lineRule="auto"/>
        <w:rPr>
          <w:rFonts w:ascii="宋体" w:hAnsi="宋体" w:cs="宋体"/>
          <w:b/>
          <w:bCs/>
          <w:highlight w:val="none"/>
        </w:rPr>
      </w:pPr>
      <w:r>
        <w:rPr>
          <w:rFonts w:hint="eastAsia" w:ascii="宋体" w:hAnsi="宋体" w:cs="宋体"/>
          <w:b/>
          <w:bCs/>
          <w:highlight w:val="none"/>
        </w:rPr>
        <w:t xml:space="preserve">11</w:t>
      </w:r>
      <w:r>
        <w:rPr>
          <w:rFonts w:hint="eastAsia" w:ascii="宋体" w:hAnsi="宋体" w:cs="宋体"/>
          <w:b/>
          <w:bCs/>
          <w:highlight w:val="none"/>
          <w:lang w:val="zh-CN"/>
        </w:rPr>
        <w:t xml:space="preserve">、磋商保证金：</w:t>
      </w:r>
      <w:r>
        <w:rPr>
          <w:rFonts w:hint="eastAsia" w:ascii="宋体" w:hAnsi="宋体" w:cs="宋体"/>
          <w:b/>
          <w:bCs/>
          <w:highlight w:val="none"/>
        </w:rPr>
        <w:t xml:space="preserve">本项目不收取磋商保证金。</w:t>
      </w:r>
      <w:r>
        <w:rPr>
          <w:highlight w:val="none"/>
        </w:rPr>
      </w:r>
      <w:r/>
    </w:p>
    <w:p>
      <w:pPr>
        <w:ind w:left="992" w:hanging="567"/>
        <w:jc w:val="center"/>
        <w:spacing w:before="240" w:after="240" w:line="360" w:lineRule="auto"/>
        <w:rPr>
          <w:rFonts w:ascii="宋体" w:hAnsi="宋体" w:cs="宋体"/>
          <w:bCs/>
          <w:sz w:val="28"/>
          <w:highlight w:val="none"/>
          <w:shd w:val="clear" w:color="auto" w:fill="ffffff"/>
        </w:rPr>
        <w:outlineLvl w:val="1"/>
      </w:pPr>
      <w:r>
        <w:rPr>
          <w:highlight w:val="none"/>
        </w:rPr>
      </w:r>
      <w:bookmarkStart w:id="48" w:name="_Toc935"/>
      <w:r>
        <w:rPr>
          <w:highlight w:val="none"/>
        </w:rPr>
      </w:r>
      <w:bookmarkStart w:id="49" w:name="_Toc19358"/>
      <w:r>
        <w:rPr>
          <w:rFonts w:hint="eastAsia" w:ascii="宋体" w:hAnsi="宋体" w:cs="宋体"/>
          <w:sz w:val="28"/>
          <w:highlight w:val="none"/>
        </w:rPr>
        <w:t xml:space="preserve">四</w:t>
      </w:r>
      <w:r>
        <w:rPr>
          <w:rFonts w:hint="eastAsia" w:ascii="宋体" w:hAnsi="宋体" w:cs="宋体"/>
          <w:sz w:val="28"/>
          <w:highlight w:val="none"/>
          <w:lang w:val="zh-CN"/>
        </w:rPr>
        <w:t xml:space="preserve">、磋商响应文件的递交</w:t>
      </w:r>
      <w:bookmarkEnd w:id="48"/>
      <w:r>
        <w:rPr>
          <w:highlight w:val="none"/>
        </w:rPr>
      </w:r>
      <w:bookmarkEnd w:id="49"/>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
          <w:highlight w:val="none"/>
          <w:shd w:val="clear" w:color="auto" w:fill="ffffff"/>
        </w:rPr>
        <w:t xml:space="preserve">12、磋商响应文件的递交</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zh-CN"/>
        </w:rPr>
        <w:t xml:space="preserve">.1 供应商应当按照《操作手册》规定，在磋商公告规定的提交响应文件截止时间前制作并上传电子响应文件。</w:t>
      </w:r>
      <w:r>
        <w:rPr>
          <w:rFonts w:hint="eastAsia" w:ascii="宋体" w:hAnsi="宋体" w:cs="宋体"/>
          <w:color w:val="000000"/>
          <w:szCs w:val="21"/>
          <w:highlight w:val="none"/>
          <w:shd w:val="clear" w:color="auto" w:fill="ffffff"/>
          <w:lang w:bidi="ar"/>
        </w:rPr>
        <w:t xml:space="preserve">成交供应商在领取成交通知书时递交纸质盖章版响应文件一式叁份（壹份正本、贰份副本）、电子版标书一份（U盘形式），用于归档。纸质响应文件须与苏采云提交的电子响应文件保持一致。</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zh-CN"/>
        </w:rPr>
        <w:t xml:space="preserve">.2 供应商应充分考虑网络环境、网络带宽等因素可能对磋商产生的影响，如因供应商自身原因造成的电子响应文件上传不成功的，按照本磋商文件第二章第14</w:t>
      </w:r>
      <w:r>
        <w:rPr>
          <w:rFonts w:hint="eastAsia" w:ascii="宋体" w:hAnsi="宋体" w:cs="宋体"/>
          <w:highlight w:val="none"/>
        </w:rPr>
        <w:t xml:space="preserve">.2</w:t>
      </w:r>
      <w:r>
        <w:rPr>
          <w:rFonts w:hint="eastAsia" w:ascii="宋体" w:hAnsi="宋体" w:cs="宋体"/>
          <w:highlight w:val="none"/>
          <w:lang w:val="zh-CN"/>
        </w:rPr>
        <w:t xml:space="preserve">条规定做无效响应处理。</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12</w:t>
      </w:r>
      <w:r>
        <w:rPr>
          <w:rFonts w:hint="eastAsia" w:ascii="宋体" w:hAnsi="宋体" w:cs="宋体"/>
          <w:highlight w:val="none"/>
          <w:lang w:val="zh-CN"/>
        </w:rPr>
        <w:t xml:space="preserve">.3 采购代理机构可以按照规定，通过修改磋商文件酌情延长提交响应文件截止日期，在此情况下，供应商的所有权利和义务均以延长后新的截止日期为准。</w:t>
      </w:r>
      <w:r>
        <w:rPr>
          <w:highlight w:val="none"/>
        </w:rPr>
      </w:r>
      <w:r/>
    </w:p>
    <w:p>
      <w:pPr>
        <w:ind w:firstLine="420"/>
        <w:spacing w:line="360" w:lineRule="auto"/>
        <w:rPr>
          <w:rFonts w:ascii="宋体" w:hAnsi="宋体" w:cs="宋体"/>
          <w:b/>
          <w:bCs/>
          <w:highlight w:val="none"/>
        </w:rPr>
      </w:pPr>
      <w:r>
        <w:rPr>
          <w:rFonts w:hint="eastAsia" w:ascii="宋体" w:hAnsi="宋体" w:cs="宋体"/>
          <w:b/>
          <w:bCs/>
          <w:highlight w:val="none"/>
          <w:lang w:val="zh-CN"/>
        </w:rPr>
        <w:t xml:space="preserve">12.</w:t>
      </w:r>
      <w:r>
        <w:rPr>
          <w:rFonts w:hint="eastAsia" w:ascii="宋体" w:hAnsi="宋体" w:cs="宋体"/>
          <w:b/>
          <w:bCs/>
          <w:highlight w:val="none"/>
        </w:rPr>
        <w:t xml:space="preserve">4</w:t>
      </w:r>
      <w:r>
        <w:rPr>
          <w:rFonts w:hint="eastAsia" w:ascii="宋体" w:hAnsi="宋体" w:cs="宋体"/>
          <w:b/>
          <w:bCs/>
          <w:highlight w:val="none"/>
          <w:lang w:val="zh-CN"/>
        </w:rPr>
        <w:t xml:space="preserve"> 有下列情形之一的磋商响应文件将拒收：</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（1）在磋商文件要求提交磋商响应文件的截止时间之后上传的任何电子响应文件。</w:t>
      </w:r>
      <w:r>
        <w:rPr>
          <w:highlight w:val="none"/>
        </w:rPr>
      </w:r>
      <w:r/>
    </w:p>
    <w:p>
      <w:pPr>
        <w:ind w:firstLine="420"/>
        <w:spacing w:line="360" w:lineRule="auto"/>
        <w:rPr>
          <w:rFonts w:ascii="宋体" w:hAnsi="宋体" w:cs="宋体"/>
          <w:b/>
          <w:highlight w:val="none"/>
          <w:shd w:val="clear" w:color="auto" w:fill="ffffff"/>
        </w:rPr>
      </w:pPr>
      <w:r>
        <w:rPr>
          <w:rFonts w:hint="eastAsia" w:ascii="宋体" w:hAnsi="宋体" w:cs="宋体"/>
          <w:b/>
          <w:highlight w:val="none"/>
          <w:shd w:val="clear" w:color="auto" w:fill="ffffff"/>
        </w:rPr>
        <w:t xml:space="preserve">13</w:t>
      </w:r>
      <w:r>
        <w:rPr>
          <w:rFonts w:hint="eastAsia" w:ascii="宋体" w:hAnsi="宋体" w:cs="宋体"/>
          <w:b/>
          <w:highlight w:val="none"/>
          <w:shd w:val="clear" w:color="auto" w:fill="ffffff"/>
          <w:lang w:val="zh-CN"/>
        </w:rPr>
        <w:t xml:space="preserve">、响应文件的撤回和修改</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13</w:t>
      </w:r>
      <w:r>
        <w:rPr>
          <w:rFonts w:hint="eastAsia" w:ascii="宋体" w:hAnsi="宋体" w:cs="宋体"/>
          <w:highlight w:val="none"/>
          <w:lang w:val="zh-CN"/>
        </w:rPr>
        <w:t xml:space="preserve">.1 响应文件的撤回</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（1）供应商可在提交响应文件截止时间前撤回其电子响应文件，具体操作方法见《操作手册》。</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（2）供应商撤回电子响应文件，则认为其不再参与本项目磋商活动。</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13</w:t>
      </w:r>
      <w:r>
        <w:rPr>
          <w:rFonts w:hint="eastAsia" w:ascii="宋体" w:hAnsi="宋体" w:cs="宋体"/>
          <w:highlight w:val="none"/>
          <w:lang w:val="zh-CN"/>
        </w:rPr>
        <w:t xml:space="preserve">.2</w:t>
      </w:r>
      <w:r>
        <w:rPr>
          <w:rFonts w:hint="eastAsia" w:ascii="宋体" w:hAnsi="宋体" w:cs="宋体"/>
          <w:highlight w:val="none"/>
        </w:rPr>
        <w:t xml:space="preserve"> </w:t>
      </w:r>
      <w:r>
        <w:rPr>
          <w:rFonts w:hint="eastAsia" w:ascii="宋体" w:hAnsi="宋体" w:cs="宋体"/>
          <w:highlight w:val="none"/>
          <w:lang w:val="zh-CN"/>
        </w:rPr>
        <w:t xml:space="preserve">响应文件的修改</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（1）供应商可在提交响应文件截止时间前对其电子响应文件进行修改，具体操作方法见《操作手册》。</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（2）提交响应文件截止时间之后，供应商不得对其电子响应文件作任何修改。</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13</w:t>
      </w:r>
      <w:r>
        <w:rPr>
          <w:rFonts w:hint="eastAsia" w:ascii="宋体" w:hAnsi="宋体" w:cs="宋体"/>
          <w:highlight w:val="none"/>
          <w:lang w:val="zh-CN"/>
        </w:rPr>
        <w:t xml:space="preserve">.3</w:t>
      </w:r>
      <w:r>
        <w:rPr>
          <w:rFonts w:hint="eastAsia" w:ascii="宋体" w:hAnsi="宋体" w:cs="宋体"/>
          <w:highlight w:val="none"/>
        </w:rPr>
        <w:t xml:space="preserve"> </w:t>
      </w:r>
      <w:r>
        <w:rPr>
          <w:rFonts w:hint="eastAsia" w:ascii="宋体" w:hAnsi="宋体" w:cs="宋体"/>
          <w:highlight w:val="none"/>
          <w:lang w:val="zh-CN"/>
        </w:rPr>
        <w:t xml:space="preserve">在提交响应文件截止时间至磋商文件中规定的磋商有效期满之间的这段时间内，供应商不得撤回其响应文件。</w:t>
      </w:r>
      <w:r>
        <w:rPr>
          <w:highlight w:val="none"/>
        </w:rPr>
      </w:r>
      <w:r/>
    </w:p>
    <w:p>
      <w:pPr>
        <w:ind w:firstLine="420"/>
        <w:spacing w:line="360" w:lineRule="auto"/>
        <w:rPr>
          <w:rFonts w:ascii="宋体" w:hAnsi="宋体" w:cs="宋体"/>
          <w:b/>
          <w:highlight w:val="none"/>
          <w:shd w:val="clear" w:color="auto" w:fill="ffffff"/>
        </w:rPr>
      </w:pPr>
      <w:r>
        <w:rPr>
          <w:rFonts w:hint="eastAsia" w:ascii="宋体" w:hAnsi="宋体" w:cs="宋体"/>
          <w:b/>
          <w:highlight w:val="none"/>
          <w:shd w:val="clear" w:color="auto" w:fill="ffffff"/>
        </w:rPr>
        <w:t xml:space="preserve">14、</w:t>
      </w:r>
      <w:r>
        <w:rPr>
          <w:rFonts w:hint="eastAsia" w:ascii="宋体" w:hAnsi="宋体" w:cs="宋体"/>
          <w:b/>
          <w:highlight w:val="none"/>
          <w:shd w:val="clear" w:color="auto" w:fill="ffffff"/>
          <w:lang w:val="zh-CN"/>
        </w:rPr>
        <w:t xml:space="preserve">响应文件解密</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14</w:t>
      </w:r>
      <w:r>
        <w:rPr>
          <w:rFonts w:hint="eastAsia" w:ascii="宋体" w:hAnsi="宋体" w:cs="宋体"/>
          <w:bCs/>
          <w:highlight w:val="none"/>
          <w:shd w:val="clear" w:color="auto" w:fill="ffffff"/>
          <w:lang w:val="zh-CN"/>
        </w:rPr>
        <w:t xml:space="preserve">.1 供应商应当按照《操作手册》规定，在苏采云系统规定的时间内对响应文件进行解密。</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14.2 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highlight w:val="none"/>
        </w:rPr>
      </w:r>
      <w:r/>
    </w:p>
    <w:p>
      <w:pPr>
        <w:ind w:left="992" w:hanging="567"/>
        <w:jc w:val="center"/>
        <w:spacing w:before="240" w:after="240" w:line="360" w:lineRule="auto"/>
        <w:rPr>
          <w:rFonts w:ascii="宋体" w:hAnsi="宋体" w:cs="宋体"/>
          <w:sz w:val="28"/>
          <w:highlight w:val="none"/>
        </w:rPr>
        <w:outlineLvl w:val="1"/>
      </w:pPr>
      <w:r>
        <w:rPr>
          <w:highlight w:val="none"/>
        </w:rPr>
      </w:r>
      <w:bookmarkStart w:id="50" w:name="_Toc19252"/>
      <w:r>
        <w:rPr>
          <w:highlight w:val="none"/>
        </w:rPr>
      </w:r>
      <w:bookmarkStart w:id="51" w:name="_Toc7443"/>
      <w:r>
        <w:rPr>
          <w:rFonts w:hint="eastAsia" w:ascii="宋体" w:hAnsi="宋体" w:cs="宋体"/>
          <w:sz w:val="28"/>
          <w:highlight w:val="none"/>
        </w:rPr>
        <w:t xml:space="preserve">五</w:t>
      </w:r>
      <w:r>
        <w:rPr>
          <w:rFonts w:hint="eastAsia" w:ascii="宋体" w:hAnsi="宋体" w:cs="宋体"/>
          <w:sz w:val="28"/>
          <w:highlight w:val="none"/>
          <w:lang w:val="zh-CN"/>
        </w:rPr>
        <w:t xml:space="preserve">、磋    商</w:t>
      </w:r>
      <w:bookmarkEnd w:id="50"/>
      <w:r>
        <w:rPr>
          <w:highlight w:val="none"/>
        </w:rPr>
      </w:r>
      <w:bookmarkEnd w:id="51"/>
      <w:r>
        <w:rPr>
          <w:highlight w:val="none"/>
        </w:rPr>
      </w:r>
      <w:r/>
    </w:p>
    <w:p>
      <w:pPr>
        <w:ind w:firstLine="420"/>
        <w:spacing w:line="360" w:lineRule="auto"/>
        <w:rPr>
          <w:rFonts w:ascii="宋体" w:hAnsi="宋体" w:cs="宋体"/>
          <w:b/>
          <w:bCs/>
          <w:highlight w:val="none"/>
        </w:rPr>
      </w:pPr>
      <w:r>
        <w:rPr>
          <w:rFonts w:hint="eastAsia" w:ascii="宋体" w:hAnsi="宋体" w:cs="宋体"/>
          <w:b/>
          <w:bCs/>
          <w:highlight w:val="none"/>
          <w:lang w:val="zh-CN"/>
        </w:rPr>
        <w:t xml:space="preserve">1</w:t>
      </w:r>
      <w:r>
        <w:rPr>
          <w:rFonts w:hint="eastAsia" w:ascii="宋体" w:hAnsi="宋体" w:cs="宋体"/>
          <w:b/>
          <w:bCs/>
          <w:highlight w:val="none"/>
        </w:rPr>
        <w:t xml:space="preserve">5</w:t>
      </w:r>
      <w:r>
        <w:rPr>
          <w:rFonts w:hint="eastAsia" w:ascii="宋体" w:hAnsi="宋体" w:cs="宋体"/>
          <w:b/>
          <w:bCs/>
          <w:highlight w:val="none"/>
          <w:lang w:val="zh-CN"/>
        </w:rPr>
        <w:t xml:space="preserve">、</w:t>
      </w:r>
      <w:r>
        <w:rPr>
          <w:rFonts w:hint="eastAsia" w:ascii="宋体" w:hAnsi="宋体" w:cs="宋体"/>
          <w:b/>
          <w:szCs w:val="21"/>
          <w:highlight w:val="none"/>
          <w:lang w:bidi="ar"/>
        </w:rPr>
        <w:t xml:space="preserve">磋商组织</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bidi="ar"/>
        </w:rPr>
        <w:t xml:space="preserve">15.1 代理机构</w:t>
      </w:r>
      <w:r>
        <w:rPr>
          <w:rFonts w:hint="eastAsia" w:ascii="宋体" w:hAnsi="宋体" w:cs="宋体"/>
          <w:szCs w:val="21"/>
          <w:highlight w:val="none"/>
          <w:lang w:val="zh-CN" w:bidi="ar"/>
        </w:rPr>
        <w:t xml:space="preserve">将组织磋商小组对响应文件进行评审。</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bidi="ar"/>
        </w:rPr>
        <w:t xml:space="preserve">15.2 </w:t>
      </w:r>
      <w:r>
        <w:rPr>
          <w:rFonts w:hint="eastAsia" w:ascii="宋体" w:hAnsi="宋体" w:cs="宋体"/>
          <w:szCs w:val="21"/>
          <w:highlight w:val="none"/>
          <w:lang w:val="zh-CN" w:bidi="ar"/>
        </w:rPr>
        <w:t xml:space="preserve">磋商小组由采购人代表和有关技术、经济等方面的专家组成，且人员构成符合政府采购有关规定。</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bidi="ar"/>
        </w:rPr>
        <w:t xml:space="preserve">15.3 “公平、公正、客观、竞争” 为磋商的基本原则，磋商小组将根据这一原则，公正、平等地对待各供应商。</w:t>
      </w:r>
      <w:r>
        <w:rPr>
          <w:highlight w:val="none"/>
        </w:rPr>
      </w:r>
      <w:r/>
    </w:p>
    <w:p>
      <w:pPr>
        <w:ind w:firstLine="420"/>
        <w:spacing w:line="360" w:lineRule="auto"/>
        <w:rPr>
          <w:rFonts w:ascii="宋体" w:hAnsi="宋体" w:cs="宋体"/>
          <w:b/>
          <w:bCs/>
          <w:highlight w:val="none"/>
        </w:rPr>
      </w:pPr>
      <w:r>
        <w:rPr>
          <w:rFonts w:hint="eastAsia" w:ascii="宋体" w:hAnsi="宋体" w:cs="宋体"/>
          <w:b/>
          <w:bCs/>
          <w:highlight w:val="none"/>
          <w:lang w:val="zh-CN"/>
        </w:rPr>
        <w:t xml:space="preserve">1</w:t>
      </w:r>
      <w:r>
        <w:rPr>
          <w:rFonts w:hint="eastAsia" w:ascii="宋体" w:hAnsi="宋体" w:cs="宋体"/>
          <w:b/>
          <w:bCs/>
          <w:highlight w:val="none"/>
        </w:rPr>
        <w:t xml:space="preserve">6</w:t>
      </w:r>
      <w:r>
        <w:rPr>
          <w:rFonts w:hint="eastAsia" w:ascii="宋体" w:hAnsi="宋体" w:cs="宋体"/>
          <w:b/>
          <w:bCs/>
          <w:highlight w:val="none"/>
          <w:lang w:val="zh-CN"/>
        </w:rPr>
        <w:t xml:space="preserve">、评审过程的保密与公正</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6</w:t>
      </w:r>
      <w:r>
        <w:rPr>
          <w:rFonts w:hint="eastAsia" w:ascii="宋体" w:hAnsi="宋体" w:cs="宋体"/>
          <w:highlight w:val="none"/>
          <w:lang w:val="zh-CN"/>
        </w:rPr>
        <w:t xml:space="preserve">.1 磋商小组、采购人和代理机构工作人员、相关监督人员等与评审工作有关的人员，对评审情况以及在评审过程中获悉的国家秘密、商业秘密负有保密责任。</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6</w:t>
      </w:r>
      <w:r>
        <w:rPr>
          <w:rFonts w:hint="eastAsia" w:ascii="宋体" w:hAnsi="宋体" w:cs="宋体"/>
          <w:highlight w:val="none"/>
          <w:lang w:val="zh-CN"/>
        </w:rPr>
        <w:t xml:space="preserve">.2 供应商不得以任何方式影响磋商评审，否则其响应文件将被作为无效响应文件。</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6</w:t>
      </w:r>
      <w:r>
        <w:rPr>
          <w:rFonts w:hint="eastAsia" w:ascii="宋体" w:hAnsi="宋体" w:cs="宋体"/>
          <w:highlight w:val="none"/>
          <w:lang w:val="zh-CN"/>
        </w:rPr>
        <w:t xml:space="preserve">.3 代理机构和磋商小组不向未成交的供应商解释未成交原因，也不公布评审过程中的相关细节。</w:t>
      </w:r>
      <w:r>
        <w:rPr>
          <w:highlight w:val="none"/>
        </w:rPr>
      </w:r>
      <w:r/>
    </w:p>
    <w:p>
      <w:pPr>
        <w:ind w:firstLine="420"/>
        <w:spacing w:line="360" w:lineRule="auto"/>
        <w:rPr>
          <w:rFonts w:ascii="宋体" w:hAnsi="宋体" w:cs="宋体"/>
          <w:b/>
          <w:bCs/>
          <w:highlight w:val="none"/>
        </w:rPr>
      </w:pPr>
      <w:r>
        <w:rPr>
          <w:rFonts w:hint="eastAsia" w:ascii="宋体" w:hAnsi="宋体" w:cs="宋体"/>
          <w:b/>
          <w:bCs/>
          <w:highlight w:val="none"/>
          <w:lang w:val="zh-CN"/>
        </w:rPr>
        <w:t xml:space="preserve">1</w:t>
      </w:r>
      <w:r>
        <w:rPr>
          <w:rFonts w:hint="eastAsia" w:ascii="宋体" w:hAnsi="宋体" w:cs="宋体"/>
          <w:b/>
          <w:bCs/>
          <w:highlight w:val="none"/>
        </w:rPr>
        <w:t xml:space="preserve">7</w:t>
      </w:r>
      <w:r>
        <w:rPr>
          <w:rFonts w:hint="eastAsia" w:ascii="宋体" w:hAnsi="宋体" w:cs="宋体"/>
          <w:b/>
          <w:bCs/>
          <w:highlight w:val="none"/>
          <w:lang w:val="zh-CN"/>
        </w:rPr>
        <w:t xml:space="preserve">、评审过程中的澄清</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7</w:t>
      </w:r>
      <w:r>
        <w:rPr>
          <w:rFonts w:hint="eastAsia" w:ascii="宋体" w:hAnsi="宋体" w:cs="宋体"/>
          <w:highlight w:val="none"/>
          <w:lang w:val="zh-CN"/>
        </w:rPr>
        <w:t xml:space="preserve">.1 项目评审期间，磋商小组有权要求供应商对响应文件中含义不明确、同类问题表述不一致或者有明显文字和计算错误的内容等作出必要的澄清、说明或者补正。</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供应商的澄清、说明或者补正不得超出响应文件的范围或者改变响应文件的实质性内容。</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磋商小组并非对每个供应商都作澄清要求。</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7</w:t>
      </w:r>
      <w:r>
        <w:rPr>
          <w:rFonts w:hint="eastAsia" w:ascii="宋体" w:hAnsi="宋体" w:cs="宋体"/>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7</w:t>
      </w:r>
      <w:r>
        <w:rPr>
          <w:rFonts w:hint="eastAsia" w:ascii="宋体" w:hAnsi="宋体" w:cs="宋体"/>
          <w:highlight w:val="none"/>
          <w:lang w:val="zh-CN"/>
        </w:rPr>
        <w:t xml:space="preserve">.3 接到磋商小组澄清、说明和补正要求的供应商如未按规定做出澄清、说明和补正，其风险由供应商自行承担。</w:t>
      </w:r>
      <w:r>
        <w:rPr>
          <w:highlight w:val="none"/>
        </w:rPr>
      </w:r>
      <w:r/>
    </w:p>
    <w:p>
      <w:pPr>
        <w:ind w:firstLine="420"/>
        <w:spacing w:line="360" w:lineRule="auto"/>
        <w:rPr>
          <w:rFonts w:ascii="宋体" w:hAnsi="宋体" w:cs="宋体"/>
          <w:b/>
          <w:bCs/>
          <w:highlight w:val="none"/>
        </w:rPr>
      </w:pPr>
      <w:r>
        <w:rPr>
          <w:rFonts w:hint="eastAsia" w:ascii="宋体" w:hAnsi="宋体" w:cs="宋体"/>
          <w:b/>
          <w:bCs/>
          <w:highlight w:val="none"/>
          <w:lang w:val="zh-CN"/>
        </w:rPr>
        <w:t xml:space="preserve">1</w:t>
      </w:r>
      <w:r>
        <w:rPr>
          <w:rFonts w:hint="eastAsia" w:ascii="宋体" w:hAnsi="宋体" w:cs="宋体"/>
          <w:b/>
          <w:bCs/>
          <w:highlight w:val="none"/>
        </w:rPr>
        <w:t xml:space="preserve">8</w:t>
      </w:r>
      <w:r>
        <w:rPr>
          <w:rFonts w:hint="eastAsia" w:ascii="宋体" w:hAnsi="宋体" w:cs="宋体"/>
          <w:b/>
          <w:bCs/>
          <w:highlight w:val="none"/>
          <w:lang w:val="zh-CN"/>
        </w:rPr>
        <w:t xml:space="preserve">、联合体（本项目不适用）</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8</w:t>
      </w:r>
      <w:r>
        <w:rPr>
          <w:rFonts w:hint="eastAsia" w:ascii="宋体" w:hAnsi="宋体" w:cs="宋体"/>
          <w:highlight w:val="none"/>
          <w:lang w:val="zh-CN"/>
        </w:rPr>
        <w:t xml:space="preserve">.1</w:t>
      </w:r>
      <w:r>
        <w:rPr>
          <w:rFonts w:hint="eastAsia" w:ascii="宋体" w:hAnsi="宋体" w:cs="宋体"/>
          <w:highlight w:val="none"/>
        </w:rPr>
        <w:t xml:space="preserve"> </w:t>
      </w:r>
      <w:r>
        <w:rPr>
          <w:rFonts w:hint="eastAsia" w:ascii="宋体" w:hAnsi="宋体" w:cs="宋体"/>
          <w:highlight w:val="none"/>
          <w:lang w:val="zh-CN"/>
        </w:rPr>
        <w:t xml:space="preserve">两个以上的自然人、法人或者其他组织可以组成一个联合体，以一个供应商的身份共同参加政府采购。</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8</w:t>
      </w:r>
      <w:r>
        <w:rPr>
          <w:rFonts w:hint="eastAsia" w:ascii="宋体" w:hAnsi="宋体" w:cs="宋体"/>
          <w:highlight w:val="none"/>
          <w:lang w:val="zh-CN"/>
        </w:rPr>
        <w:t xml:space="preserve">.2</w:t>
      </w:r>
      <w:r>
        <w:rPr>
          <w:rFonts w:hint="eastAsia" w:ascii="宋体" w:hAnsi="宋体" w:cs="宋体"/>
          <w:highlight w:val="none"/>
        </w:rPr>
        <w:t xml:space="preserve"> </w:t>
      </w:r>
      <w:r>
        <w:rPr>
          <w:rFonts w:hint="eastAsia" w:ascii="宋体" w:hAnsi="宋体" w:cs="宋体"/>
          <w:highlight w:val="none"/>
          <w:lang w:val="zh-CN"/>
        </w:rPr>
        <w:t xml:space="preserve">鼓励大中型企业和其他自然人、法人或者其他组织与小型、微型企业组成联合体共同参加非专门面向中小企业的政府采购活动。</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8</w:t>
      </w:r>
      <w:r>
        <w:rPr>
          <w:rFonts w:hint="eastAsia" w:ascii="宋体" w:hAnsi="宋体" w:cs="宋体"/>
          <w:highlight w:val="none"/>
          <w:lang w:val="zh-CN"/>
        </w:rPr>
        <w:t xml:space="preserve">.3</w:t>
      </w:r>
      <w:r>
        <w:rPr>
          <w:rFonts w:hint="eastAsia" w:ascii="宋体" w:hAnsi="宋体" w:cs="宋体"/>
          <w:highlight w:val="none"/>
        </w:rPr>
        <w:t xml:space="preserve"> </w:t>
      </w:r>
      <w:r>
        <w:rPr>
          <w:rFonts w:hint="eastAsia" w:ascii="宋体" w:hAnsi="宋体" w:cs="宋体"/>
          <w:highlight w:val="none"/>
          <w:lang w:val="zh-CN"/>
        </w:rPr>
        <w:t xml:space="preserve">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8</w:t>
      </w:r>
      <w:r>
        <w:rPr>
          <w:rFonts w:hint="eastAsia" w:ascii="宋体" w:hAnsi="宋体" w:cs="宋体"/>
          <w:highlight w:val="none"/>
          <w:lang w:val="zh-CN"/>
        </w:rPr>
        <w:t xml:space="preserve">.4联合体各方之间应当签订联合体协议，明确约定联合体各方承担的工作和相应的责任，并将联合体协议连同响应文件一并提交。</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8</w:t>
      </w:r>
      <w:r>
        <w:rPr>
          <w:rFonts w:hint="eastAsia" w:ascii="宋体" w:hAnsi="宋体" w:cs="宋体"/>
          <w:highlight w:val="none"/>
          <w:lang w:val="zh-CN"/>
        </w:rPr>
        <w:t xml:space="preserve">.5以联合体形式参加政府采购活动的，联合体各方不得再单独参加或者与其他供应商另外组成联合体参加同一合同项下的政府采购活动。</w:t>
      </w:r>
      <w:r>
        <w:rPr>
          <w:highlight w:val="none"/>
        </w:rPr>
      </w:r>
      <w:r/>
    </w:p>
    <w:p>
      <w:pPr>
        <w:ind w:firstLine="420"/>
        <w:spacing w:line="360" w:lineRule="auto"/>
        <w:rPr>
          <w:rFonts w:ascii="宋体" w:hAnsi="宋体" w:cs="宋体"/>
          <w:b/>
          <w:bCs/>
          <w:highlight w:val="none"/>
        </w:rPr>
      </w:pPr>
      <w:r>
        <w:rPr>
          <w:rFonts w:hint="eastAsia" w:ascii="宋体" w:hAnsi="宋体" w:cs="宋体"/>
          <w:b/>
          <w:bCs/>
          <w:highlight w:val="none"/>
        </w:rPr>
        <w:t xml:space="preserve">19、</w:t>
      </w:r>
      <w:r>
        <w:rPr>
          <w:rFonts w:hint="eastAsia" w:ascii="宋体" w:hAnsi="宋体" w:cs="宋体"/>
          <w:b/>
          <w:bCs/>
          <w:highlight w:val="none"/>
          <w:lang w:val="zh-CN"/>
        </w:rPr>
        <w:t xml:space="preserve">响应文件的审查</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9</w:t>
      </w:r>
      <w:r>
        <w:rPr>
          <w:rFonts w:hint="eastAsia" w:ascii="宋体" w:hAnsi="宋体" w:cs="宋体"/>
          <w:highlight w:val="none"/>
          <w:lang w:val="zh-CN"/>
        </w:rPr>
        <w:t xml:space="preserve">.1 响应文件审查分为资格审查和符合性审查。</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1</w:t>
      </w:r>
      <w:r>
        <w:rPr>
          <w:rFonts w:hint="eastAsia" w:ascii="宋体" w:hAnsi="宋体" w:cs="宋体"/>
          <w:highlight w:val="none"/>
          <w:lang w:val="zh-CN"/>
        </w:rPr>
        <w:t xml:space="preserve">）资格审查。依据法律法规和磋商文件的规定，磋商小组对响应文件中的资格证明文件进行审查，以确定供应商是否具备参加磋商的资格。</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磋商小组进行资格审查时，将在“信用中国”网站（www.creditchina.gov.cn）查询供应商的信用记录，以确定供应商是否具备磋商资格,查询结果留存并归档。</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接受联合体的项目，联合体成员存在不良信用记录的，视同联合体存在不良信用记录。</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2</w:t>
      </w:r>
      <w:r>
        <w:rPr>
          <w:rFonts w:hint="eastAsia" w:ascii="宋体" w:hAnsi="宋体" w:cs="宋体"/>
          <w:highlight w:val="none"/>
          <w:lang w:val="zh-CN"/>
        </w:rPr>
        <w:t xml:space="preserve">）符合性审查。依据磋商文件的规定，由磋商小组从有效性、完整性和对磋商文件的响应程度等方面对响应文件进行审查，以确定是否对磋商文件的实质性要求作出响应。</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3</w:t>
      </w:r>
      <w:r>
        <w:rPr>
          <w:rFonts w:hint="eastAsia" w:ascii="宋体" w:hAnsi="宋体" w:cs="宋体"/>
          <w:highlight w:val="none"/>
          <w:lang w:val="zh-CN"/>
        </w:rPr>
        <w:t xml:space="preserve">）未通过资格审查或符合性审查的供应商，磋商小组将通过苏采云系统告知具体原因，评审结束后将不再接受有关询问。</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9</w:t>
      </w:r>
      <w:r>
        <w:rPr>
          <w:rFonts w:hint="eastAsia" w:ascii="宋体" w:hAnsi="宋体" w:cs="宋体"/>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highlight w:val="none"/>
        </w:rPr>
      </w:r>
      <w:r/>
    </w:p>
    <w:p>
      <w:pPr>
        <w:ind w:firstLine="420"/>
        <w:spacing w:line="360" w:lineRule="auto"/>
        <w:rPr>
          <w:rFonts w:ascii="宋体" w:hAnsi="宋体" w:cs="宋体"/>
          <w:color w:val="000000"/>
          <w:highlight w:val="none"/>
        </w:rPr>
      </w:pPr>
      <w:r>
        <w:rPr>
          <w:rFonts w:hint="eastAsia" w:ascii="宋体" w:hAnsi="宋体" w:cs="宋体"/>
          <w:highlight w:val="none"/>
          <w:lang w:val="zh-CN"/>
        </w:rPr>
        <w:t xml:space="preserve">1</w:t>
      </w:r>
      <w:r>
        <w:rPr>
          <w:rFonts w:hint="eastAsia" w:ascii="宋体" w:hAnsi="宋体" w:cs="宋体"/>
          <w:highlight w:val="none"/>
        </w:rPr>
        <w:t xml:space="preserve">9</w:t>
      </w:r>
      <w:r>
        <w:rPr>
          <w:rFonts w:hint="eastAsia" w:ascii="宋体" w:hAnsi="宋体" w:cs="宋体"/>
          <w:highlight w:val="none"/>
          <w:lang w:val="zh-CN"/>
        </w:rPr>
        <w:t xml:space="preserve">.3 </w:t>
      </w:r>
      <w:r>
        <w:rPr>
          <w:rFonts w:hint="eastAsia" w:ascii="宋体" w:hAnsi="宋体" w:cs="宋体"/>
          <w:b/>
          <w:bCs/>
          <w:highlight w:val="none"/>
        </w:rPr>
        <w:t xml:space="preserve">*</w:t>
      </w:r>
      <w:r>
        <w:rPr>
          <w:rFonts w:hint="eastAsia" w:ascii="宋体" w:hAnsi="宋体" w:cs="宋体"/>
          <w:highlight w:val="none"/>
          <w:lang w:val="zh-CN"/>
        </w:rPr>
        <w:t xml:space="preserve">未实质性响应磋商文件的情形，</w:t>
      </w:r>
      <w:r>
        <w:rPr>
          <w:rFonts w:hint="eastAsia"/>
          <w:color w:val="000000"/>
          <w:szCs w:val="21"/>
          <w:highlight w:val="none"/>
          <w:lang w:val="zh-CN"/>
        </w:rPr>
        <w:t xml:space="preserve">按照无效处理</w:t>
      </w:r>
      <w:r>
        <w:rPr>
          <w:highlight w:val="none"/>
        </w:rPr>
      </w:r>
      <w:r/>
    </w:p>
    <w:p>
      <w:pPr>
        <w:ind w:firstLine="420"/>
        <w:spacing w:line="360" w:lineRule="auto"/>
        <w:rPr>
          <w:rFonts w:ascii="宋体" w:hAnsi="宋体" w:cs="宋体"/>
          <w:color w:val="000000"/>
          <w:highlight w:val="none"/>
        </w:rPr>
      </w:pPr>
      <w:r>
        <w:rPr>
          <w:rFonts w:hint="eastAsia" w:ascii="宋体" w:hAnsi="宋体"/>
          <w:color w:val="000000"/>
          <w:szCs w:val="21"/>
          <w:highlight w:val="none"/>
        </w:rPr>
        <w:t xml:space="preserve">（1）</w:t>
      </w:r>
      <w:r>
        <w:rPr>
          <w:rFonts w:hint="eastAsia" w:ascii="宋体" w:hAnsi="宋体" w:cs="宋体"/>
          <w:color w:val="000000"/>
          <w:highlight w:val="none"/>
          <w:lang w:val="zh-CN"/>
        </w:rPr>
        <w:t xml:space="preserve">供应商在苏采云系统规定的时间内未成功解密电子响应文件。</w:t>
      </w:r>
      <w:r>
        <w:rPr>
          <w:highlight w:val="none"/>
        </w:rPr>
      </w:r>
      <w:r/>
    </w:p>
    <w:p>
      <w:pPr>
        <w:ind w:firstLine="420"/>
        <w:spacing w:line="360" w:lineRule="auto"/>
        <w:rPr>
          <w:rFonts w:ascii="宋体" w:hAnsi="宋体" w:cs="宋体"/>
          <w:color w:val="000000"/>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s="宋体"/>
          <w:color w:val="000000"/>
          <w:highlight w:val="none"/>
          <w:lang w:val="zh-CN"/>
        </w:rPr>
        <w:t xml:space="preserve">供应商未按照磋商文件要求上传电子响应文件。</w:t>
      </w:r>
      <w:r>
        <w:rPr>
          <w:highlight w:val="none"/>
        </w:rPr>
      </w:r>
      <w:r/>
    </w:p>
    <w:p>
      <w:pPr>
        <w:ind w:firstLine="420"/>
        <w:spacing w:line="360" w:lineRule="auto"/>
        <w:rPr>
          <w:rFonts w:ascii="宋体" w:hAnsi="宋体" w:cs="宋体"/>
          <w:color w:val="000000"/>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s="宋体"/>
          <w:color w:val="000000"/>
          <w:highlight w:val="none"/>
          <w:lang w:val="zh-CN"/>
        </w:rPr>
        <w:t xml:space="preserve">同一供应商提交两个（含两个）以上不同的响应文件或者最后报价。</w:t>
      </w:r>
      <w:r>
        <w:rPr>
          <w:highlight w:val="none"/>
        </w:rPr>
      </w:r>
      <w:r/>
    </w:p>
    <w:p>
      <w:pPr>
        <w:ind w:firstLine="420"/>
        <w:spacing w:line="360" w:lineRule="auto"/>
        <w:rPr>
          <w:rFonts w:ascii="宋体" w:hAnsi="宋体" w:cs="宋体"/>
          <w:color w:val="000000"/>
          <w:highlight w:val="none"/>
        </w:rPr>
      </w:pPr>
      <w:r>
        <w:rPr>
          <w:rFonts w:hint="eastAsia" w:ascii="宋体" w:hAnsi="宋体" w:cs="宋体"/>
          <w:color w:val="000000"/>
          <w:highlight w:val="none"/>
          <w:lang w:val="zh-CN"/>
        </w:rPr>
        <w:t xml:space="preserve">（</w:t>
      </w:r>
      <w:r>
        <w:rPr>
          <w:rFonts w:hint="eastAsia" w:ascii="宋体" w:hAnsi="宋体" w:cs="宋体"/>
          <w:color w:val="000000"/>
          <w:highlight w:val="none"/>
        </w:rPr>
        <w:t xml:space="preserve">4</w:t>
      </w:r>
      <w:r>
        <w:rPr>
          <w:rFonts w:hint="eastAsia" w:ascii="宋体" w:hAnsi="宋体" w:cs="宋体"/>
          <w:color w:val="000000"/>
          <w:highlight w:val="none"/>
          <w:lang w:val="zh-CN"/>
        </w:rPr>
        <w:t xml:space="preserve">）供应商不具备磋商文件中规定</w:t>
      </w:r>
      <w:r>
        <w:rPr>
          <w:rFonts w:hint="eastAsia" w:ascii="宋体" w:hAnsi="宋体" w:cs="宋体"/>
          <w:color w:val="000000"/>
          <w:highlight w:val="none"/>
        </w:rPr>
        <w:t xml:space="preserve">特定</w:t>
      </w:r>
      <w:r>
        <w:rPr>
          <w:rFonts w:hint="eastAsia" w:ascii="宋体" w:hAnsi="宋体" w:cs="宋体"/>
          <w:color w:val="000000"/>
          <w:highlight w:val="none"/>
          <w:lang w:val="zh-CN"/>
        </w:rPr>
        <w:t xml:space="preserve">资格要求。</w:t>
      </w:r>
      <w:r>
        <w:rPr>
          <w:highlight w:val="none"/>
        </w:rPr>
      </w:r>
      <w:r/>
    </w:p>
    <w:p>
      <w:pPr>
        <w:ind w:firstLine="420"/>
        <w:spacing w:line="360" w:lineRule="auto"/>
        <w:rPr>
          <w:rFonts w:ascii="宋体" w:hAnsi="宋体" w:cs="宋体"/>
          <w:color w:val="000000"/>
          <w:highlight w:val="none"/>
        </w:rPr>
      </w:pPr>
      <w:r>
        <w:rPr>
          <w:rFonts w:hint="eastAsia" w:ascii="宋体" w:hAnsi="宋体" w:cs="宋体"/>
          <w:color w:val="000000"/>
          <w:highlight w:val="none"/>
          <w:lang w:val="zh-CN"/>
        </w:rPr>
        <w:t xml:space="preserve">（</w:t>
      </w:r>
      <w:r>
        <w:rPr>
          <w:rFonts w:hint="eastAsia" w:ascii="宋体" w:hAnsi="宋体" w:cs="宋体"/>
          <w:color w:val="000000"/>
          <w:highlight w:val="none"/>
        </w:rPr>
        <w:t xml:space="preserve">5</w:t>
      </w:r>
      <w:r>
        <w:rPr>
          <w:rFonts w:hint="eastAsia" w:ascii="宋体" w:hAnsi="宋体" w:cs="宋体"/>
          <w:color w:val="000000"/>
          <w:highlight w:val="none"/>
          <w:lang w:val="zh-CN"/>
        </w:rPr>
        <w:t xml:space="preserve">）未提供《南京市政府采购供应商信用记录表暨信用承诺书》。</w:t>
      </w:r>
      <w:r>
        <w:rPr>
          <w:highlight w:val="none"/>
        </w:rPr>
      </w:r>
      <w:r/>
    </w:p>
    <w:p>
      <w:pPr>
        <w:ind w:firstLine="420"/>
        <w:spacing w:line="360" w:lineRule="auto"/>
        <w:rPr>
          <w:rFonts w:ascii="宋体" w:hAnsi="宋体" w:cs="宋体"/>
          <w:color w:val="000000"/>
          <w:highlight w:val="none"/>
        </w:rPr>
      </w:pPr>
      <w:r>
        <w:rPr>
          <w:rFonts w:hint="eastAsia" w:ascii="宋体" w:hAnsi="宋体" w:cs="宋体"/>
          <w:color w:val="000000"/>
          <w:highlight w:val="none"/>
          <w:lang w:val="zh-CN"/>
        </w:rPr>
        <w:t xml:space="preserve">（</w:t>
      </w:r>
      <w:r>
        <w:rPr>
          <w:rFonts w:hint="eastAsia" w:ascii="宋体" w:hAnsi="宋体" w:cs="宋体"/>
          <w:color w:val="000000"/>
          <w:highlight w:val="none"/>
        </w:rPr>
        <w:t xml:space="preserve">6</w:t>
      </w:r>
      <w:r>
        <w:rPr>
          <w:rFonts w:hint="eastAsia" w:ascii="宋体" w:hAnsi="宋体" w:cs="宋体"/>
          <w:color w:val="000000"/>
          <w:highlight w:val="none"/>
          <w:lang w:val="zh-CN"/>
        </w:rPr>
        <w:t xml:space="preserve">）供应商的报价超过了采购预算或最高限价。</w:t>
      </w:r>
      <w:r>
        <w:rPr>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t xml:space="preserve">）不同供应商的响应文件由同一单位或者个人编制</w:t>
      </w:r>
      <w:r>
        <w:rPr>
          <w:rFonts w:hint="eastAsia" w:ascii="宋体" w:hAnsi="宋体"/>
          <w:color w:val="000000"/>
          <w:szCs w:val="21"/>
          <w:highlight w:val="none"/>
        </w:rPr>
        <w:t xml:space="preserve">的。</w:t>
      </w:r>
      <w:r>
        <w:rPr>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t xml:space="preserve">）不同供应商委托同一单位或者个人办理投标事宜</w:t>
      </w:r>
      <w:r>
        <w:rPr>
          <w:rFonts w:hint="eastAsia" w:ascii="宋体" w:hAnsi="宋体"/>
          <w:color w:val="000000"/>
          <w:szCs w:val="21"/>
          <w:highlight w:val="none"/>
        </w:rPr>
        <w:t xml:space="preserve">的。</w:t>
      </w:r>
      <w:r>
        <w:rPr>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（9）不同供应商的ip地址、MAC地址、标书制作工具客户端标识码均一致的；</w:t>
      </w:r>
      <w:r>
        <w:rPr>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（10</w:t>
      </w:r>
      <w:r>
        <w:rPr>
          <w:rFonts w:ascii="宋体" w:hAnsi="宋体"/>
          <w:color w:val="000000"/>
          <w:szCs w:val="21"/>
          <w:highlight w:val="none"/>
        </w:rPr>
        <w:t xml:space="preserve">）不同供应商的响应文件载明的项目管理成员</w:t>
      </w:r>
      <w:r>
        <w:rPr>
          <w:rFonts w:hint="eastAsia" w:ascii="宋体" w:hAnsi="宋体" w:cs="宋体"/>
          <w:color w:val="000000"/>
          <w:szCs w:val="21"/>
          <w:highlight w:val="none"/>
        </w:rPr>
        <w:t xml:space="preserve">或者联系人员为同一</w:t>
      </w:r>
      <w:r>
        <w:rPr>
          <w:rFonts w:ascii="宋体" w:hAnsi="宋体"/>
          <w:color w:val="000000"/>
          <w:szCs w:val="21"/>
          <w:highlight w:val="none"/>
        </w:rPr>
        <w:t xml:space="preserve">人；</w:t>
      </w:r>
      <w:r>
        <w:rPr>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t xml:space="preserve">）不同供应商的响应文件异常一致或者投标报价呈规律性差异；</w:t>
      </w:r>
      <w:r>
        <w:rPr>
          <w:highlight w:val="none"/>
        </w:rPr>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t xml:space="preserve">）不同供应商的负责人为同一人或者存在控股、管理关系的；</w:t>
      </w:r>
      <w:r>
        <w:rPr>
          <w:highlight w:val="none"/>
        </w:rPr>
      </w:r>
      <w:r/>
    </w:p>
    <w:p>
      <w:pPr>
        <w:ind w:firstLine="420"/>
        <w:spacing w:line="360" w:lineRule="auto"/>
        <w:rPr>
          <w:rFonts w:ascii="宋体" w:hAnsi="宋体" w:cs="宋体"/>
          <w:color w:val="000000"/>
          <w:highlight w:val="none"/>
        </w:rPr>
      </w:pPr>
      <w:r>
        <w:rPr>
          <w:rFonts w:hint="eastAsia" w:ascii="宋体" w:hAnsi="宋体" w:cs="宋体"/>
          <w:color w:val="000000"/>
          <w:highlight w:val="none"/>
          <w:lang w:val="zh-CN"/>
        </w:rPr>
        <w:t xml:space="preserve">（</w:t>
      </w:r>
      <w:r>
        <w:rPr>
          <w:rFonts w:hint="eastAsia" w:ascii="宋体" w:hAnsi="宋体" w:cs="宋体"/>
          <w:color w:val="000000"/>
          <w:highlight w:val="none"/>
        </w:rPr>
        <w:t xml:space="preserve">13</w:t>
      </w:r>
      <w:r>
        <w:rPr>
          <w:rFonts w:hint="eastAsia" w:ascii="宋体" w:hAnsi="宋体" w:cs="宋体"/>
          <w:color w:val="000000"/>
          <w:highlight w:val="none"/>
          <w:lang w:val="zh-CN"/>
        </w:rPr>
        <w:t xml:space="preserve">）不符合磋商文件中规定的实质性要求和条件（本磋商文件中打“</w:t>
      </w:r>
      <w:r>
        <w:rPr>
          <w:rFonts w:hint="eastAsia" w:ascii="宋体" w:hAnsi="宋体" w:cs="宋体"/>
          <w:color w:val="000000"/>
          <w:highlight w:val="none"/>
        </w:rPr>
        <w:t xml:space="preserve">*</w:t>
      </w:r>
      <w:r>
        <w:rPr>
          <w:rFonts w:hint="eastAsia" w:ascii="宋体" w:hAnsi="宋体" w:cs="宋体"/>
          <w:color w:val="000000"/>
          <w:highlight w:val="none"/>
          <w:lang w:val="zh-CN"/>
        </w:rPr>
        <w:t xml:space="preserve">”内容、“</w:t>
      </w:r>
      <w:r>
        <w:rPr>
          <w:rFonts w:hint="eastAsia" w:ascii="宋体" w:hAnsi="宋体" w:cs="宋体"/>
          <w:color w:val="000000"/>
          <w:highlight w:val="none"/>
        </w:rPr>
        <w:t xml:space="preserve">须（</w:t>
      </w:r>
      <w:r>
        <w:rPr>
          <w:rFonts w:hint="eastAsia" w:ascii="宋体" w:hAnsi="宋体" w:cs="宋体"/>
          <w:color w:val="000000"/>
          <w:highlight w:val="none"/>
          <w:lang w:val="zh-CN"/>
        </w:rPr>
        <w:t xml:space="preserve">必须</w:t>
      </w:r>
      <w:r>
        <w:rPr>
          <w:rFonts w:hint="eastAsia" w:ascii="宋体" w:hAnsi="宋体" w:cs="宋体"/>
          <w:color w:val="000000"/>
          <w:highlight w:val="none"/>
        </w:rPr>
        <w:t xml:space="preserve">）</w:t>
      </w:r>
      <w:r>
        <w:rPr>
          <w:rFonts w:hint="eastAsia" w:ascii="宋体" w:hAnsi="宋体" w:cs="宋体"/>
          <w:color w:val="000000"/>
          <w:highlight w:val="none"/>
          <w:lang w:val="zh-CN"/>
        </w:rPr>
        <w:t xml:space="preserve">”或“应（应当）”等其他文字说明的商务和技术要求</w:t>
      </w:r>
      <w:r>
        <w:rPr>
          <w:rFonts w:hint="eastAsia"/>
          <w:color w:val="000000"/>
          <w:szCs w:val="21"/>
          <w:highlight w:val="none"/>
        </w:rPr>
        <w:t xml:space="preserve">以及磋商文件附件中的图纸、工程量清单及清单编制说明</w:t>
      </w:r>
      <w:r>
        <w:rPr>
          <w:rFonts w:hint="eastAsia" w:ascii="宋体" w:hAnsi="宋体" w:cs="宋体"/>
          <w:color w:val="000000"/>
          <w:highlight w:val="none"/>
          <w:lang w:val="zh-CN"/>
        </w:rPr>
        <w:t xml:space="preserve">为实质性要求和条件，包括改变工程量清单子目数量、单位及清单报价漏项、缺失、改变规费、税金项目计价表计算基数等）。</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14</w:t>
      </w:r>
      <w:r>
        <w:rPr>
          <w:rFonts w:hint="eastAsia" w:ascii="宋体" w:hAnsi="宋体" w:cs="宋体"/>
          <w:highlight w:val="none"/>
          <w:lang w:val="zh-CN"/>
        </w:rPr>
        <w:t xml:space="preserve">）响应文件中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w:t>
      </w:r>
      <w:r>
        <w:rPr>
          <w:rFonts w:hint="eastAsia" w:ascii="宋体" w:hAnsi="宋体" w:cs="宋体"/>
          <w:highlight w:val="none"/>
        </w:rPr>
        <w:t xml:space="preserve">单价</w:t>
      </w:r>
      <w:r>
        <w:rPr>
          <w:rFonts w:hint="eastAsia" w:ascii="宋体" w:hAnsi="宋体" w:cs="宋体"/>
          <w:highlight w:val="none"/>
          <w:lang w:val="zh-CN"/>
        </w:rPr>
        <w:t xml:space="preserve">措施项目增项除外）。</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15</w:t>
      </w:r>
      <w:r>
        <w:rPr>
          <w:rFonts w:hint="eastAsia" w:ascii="宋体" w:hAnsi="宋体" w:cs="宋体"/>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16</w:t>
      </w:r>
      <w:r>
        <w:rPr>
          <w:rFonts w:hint="eastAsia" w:ascii="宋体" w:hAnsi="宋体" w:cs="宋体"/>
          <w:highlight w:val="none"/>
          <w:lang w:val="zh-CN"/>
        </w:rPr>
        <w:t xml:space="preserve">）响应文件含有采购人不能接受的附加条件。</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17</w:t>
      </w:r>
      <w:r>
        <w:rPr>
          <w:rFonts w:hint="eastAsia" w:ascii="宋体" w:hAnsi="宋体" w:cs="宋体"/>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18</w:t>
      </w:r>
      <w:r>
        <w:rPr>
          <w:rFonts w:hint="eastAsia" w:ascii="宋体" w:hAnsi="宋体" w:cs="宋体"/>
          <w:highlight w:val="none"/>
          <w:lang w:val="zh-CN"/>
        </w:rPr>
        <w:t xml:space="preserve">）采购产品被财政部、国家发改委、生态环境部等列入“节能产品品目清单”强制采购范围，而供应商提供的产品不在强制采购范围内。</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19</w:t>
      </w:r>
      <w:r>
        <w:rPr>
          <w:rFonts w:hint="eastAsia" w:ascii="宋体" w:hAnsi="宋体" w:cs="宋体"/>
          <w:highlight w:val="none"/>
          <w:lang w:val="zh-CN"/>
        </w:rPr>
        <w:t xml:space="preserve">）响应文件未按照磋商文件要求</w:t>
      </w:r>
      <w:r>
        <w:rPr>
          <w:rFonts w:hint="eastAsia" w:ascii="宋体" w:hAnsi="宋体" w:cs="宋体"/>
          <w:highlight w:val="none"/>
        </w:rPr>
        <w:t xml:space="preserve">签字或</w:t>
      </w:r>
      <w:r>
        <w:rPr>
          <w:rFonts w:hint="eastAsia" w:ascii="宋体" w:hAnsi="宋体" w:cs="宋体"/>
          <w:highlight w:val="none"/>
          <w:lang w:val="zh-CN"/>
        </w:rPr>
        <w:t xml:space="preserve">加盖公章</w:t>
      </w:r>
      <w:r>
        <w:rPr>
          <w:rFonts w:hint="eastAsia" w:ascii="宋体" w:hAnsi="宋体" w:cs="宋体"/>
          <w:highlight w:val="none"/>
        </w:rPr>
        <w:t xml:space="preserve">、</w:t>
      </w:r>
      <w:r>
        <w:rPr>
          <w:rFonts w:hint="eastAsia" w:ascii="宋体" w:hAnsi="宋体" w:cs="宋体"/>
          <w:highlight w:val="none"/>
          <w:lang w:val="zh-CN"/>
        </w:rPr>
        <w:t xml:space="preserve">执业资格专用章。</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20</w:t>
      </w:r>
      <w:r>
        <w:rPr>
          <w:rFonts w:hint="eastAsia" w:ascii="宋体" w:hAnsi="宋体" w:cs="宋体"/>
          <w:highlight w:val="none"/>
          <w:lang w:val="zh-CN"/>
        </w:rPr>
        <w:t xml:space="preserve">）法律法规及本磋商文件规定的其他无效响应的情形。</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9</w:t>
      </w:r>
      <w:r>
        <w:rPr>
          <w:rFonts w:hint="eastAsia" w:ascii="宋体" w:hAnsi="宋体" w:cs="宋体"/>
          <w:highlight w:val="none"/>
          <w:lang w:val="zh-CN"/>
        </w:rPr>
        <w:t xml:space="preserve">.4 未实质性响应磋商文件的响应文件按无效响应处理。</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w:t>
      </w:r>
      <w:r>
        <w:rPr>
          <w:rFonts w:hint="eastAsia" w:ascii="宋体" w:hAnsi="宋体" w:cs="宋体"/>
          <w:highlight w:val="none"/>
        </w:rPr>
        <w:t xml:space="preserve">9</w:t>
      </w:r>
      <w:r>
        <w:rPr>
          <w:rFonts w:hint="eastAsia" w:ascii="宋体" w:hAnsi="宋体" w:cs="宋体"/>
          <w:highlight w:val="none"/>
          <w:lang w:val="zh-CN"/>
        </w:rPr>
        <w:t xml:space="preserve">.5 如果响应文件实质上没有响应磋商文件的要求，磋商小组将予以拒绝，供应商不得通过修改或撤销不合要求的偏离或保留而使其成为实质性响应的文件。</w:t>
      </w:r>
      <w:r>
        <w:rPr>
          <w:highlight w:val="none"/>
        </w:rPr>
      </w:r>
      <w:r/>
    </w:p>
    <w:p>
      <w:pPr>
        <w:ind w:firstLine="420"/>
        <w:spacing w:line="360" w:lineRule="auto"/>
        <w:rPr>
          <w:rFonts w:ascii="仿宋" w:hAnsi="仿宋" w:eastAsia="仿宋" w:cs="仿宋"/>
          <w:color w:val="000000"/>
          <w:highlight w:val="none"/>
        </w:rPr>
      </w:pPr>
      <w:r>
        <w:rPr>
          <w:rFonts w:hint="eastAsia" w:ascii="宋体" w:hAnsi="宋体" w:cs="宋体"/>
          <w:highlight w:val="none"/>
          <w:lang w:val="zh-CN"/>
        </w:rPr>
        <w:t xml:space="preserve">1</w:t>
      </w:r>
      <w:r>
        <w:rPr>
          <w:rFonts w:hint="eastAsia" w:ascii="宋体" w:hAnsi="宋体" w:cs="宋体"/>
          <w:highlight w:val="none"/>
        </w:rPr>
        <w:t xml:space="preserve">9</w:t>
      </w:r>
      <w:r>
        <w:rPr>
          <w:rFonts w:hint="eastAsia" w:ascii="宋体" w:hAnsi="宋体" w:cs="宋体"/>
          <w:highlight w:val="none"/>
          <w:lang w:val="zh-CN"/>
        </w:rPr>
        <w:t xml:space="preserve">.6 供应商在项目评审全过程中应保持通讯畅通，及时登录苏采云系统查阅、答复相关信息，并安排专人与代理机构及磋商小组联系。</w:t>
      </w:r>
      <w:r>
        <w:rPr>
          <w:highlight w:val="none"/>
        </w:rPr>
      </w:r>
      <w:r/>
    </w:p>
    <w:p>
      <w:pPr>
        <w:ind w:firstLine="422"/>
        <w:spacing w:line="360" w:lineRule="auto"/>
        <w:rPr>
          <w:rFonts w:ascii="宋体" w:hAnsi="宋体" w:cs="宋体"/>
          <w:szCs w:val="21"/>
          <w:highlight w:val="none"/>
        </w:rPr>
      </w:pPr>
      <w:r>
        <w:rPr>
          <w:rFonts w:hint="eastAsia" w:ascii="宋体" w:hAnsi="宋体" w:cs="宋体"/>
          <w:b/>
          <w:szCs w:val="21"/>
          <w:highlight w:val="none"/>
        </w:rPr>
        <w:t xml:space="preserve">20</w:t>
      </w:r>
      <w:r>
        <w:rPr>
          <w:rFonts w:hint="eastAsia" w:ascii="宋体" w:hAnsi="宋体" w:cs="宋体"/>
          <w:b/>
          <w:szCs w:val="21"/>
          <w:highlight w:val="none"/>
          <w:lang w:val="zh-CN"/>
        </w:rPr>
        <w:t xml:space="preserve">、</w:t>
      </w:r>
      <w:r>
        <w:rPr>
          <w:rFonts w:ascii="宋体" w:hAnsi="宋体" w:cs="宋体"/>
          <w:b/>
          <w:szCs w:val="21"/>
          <w:highlight w:val="none"/>
          <w:lang w:val="zh-CN"/>
        </w:rPr>
        <w:t xml:space="preserve">磋商程序</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w:t>
      </w:r>
      <w:r>
        <w:rPr>
          <w:rFonts w:hint="eastAsia" w:ascii="宋体" w:hAnsi="宋体" w:cs="宋体"/>
          <w:bCs/>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highlight w:val="none"/>
        </w:rPr>
      </w:r>
      <w:r/>
    </w:p>
    <w:p>
      <w:pPr>
        <w:ind w:firstLine="420"/>
        <w:spacing w:line="360" w:lineRule="auto"/>
        <w:rPr>
          <w:rFonts w:ascii="宋体" w:hAnsi="宋体" w:cs="宋体"/>
          <w:b/>
          <w:bCs/>
          <w:color w:val="000000"/>
          <w:szCs w:val="21"/>
          <w:highlight w:val="none"/>
        </w:rPr>
      </w:pPr>
      <w:r>
        <w:rPr>
          <w:rFonts w:hint="eastAsia" w:ascii="宋体" w:hAnsi="宋体" w:cs="宋体"/>
          <w:bCs/>
          <w:szCs w:val="21"/>
          <w:highlight w:val="none"/>
        </w:rPr>
        <w:t xml:space="preserve">20</w:t>
      </w:r>
      <w:r>
        <w:rPr>
          <w:rFonts w:hint="eastAsia" w:ascii="宋体" w:hAnsi="宋体" w:cs="宋体"/>
          <w:bCs/>
          <w:szCs w:val="21"/>
          <w:highlight w:val="none"/>
          <w:lang w:val="zh-CN"/>
        </w:rPr>
        <w:t xml:space="preserve">.2 </w:t>
      </w:r>
      <w:r>
        <w:rPr>
          <w:rFonts w:hint="eastAsia" w:ascii="宋体" w:hAnsi="宋体" w:cs="宋体"/>
          <w:b/>
          <w:bCs/>
          <w:color w:val="000000"/>
          <w:szCs w:val="21"/>
          <w:highlight w:val="none"/>
          <w:lang w:val="zh-CN"/>
        </w:rPr>
        <w:t xml:space="preserve">最后报价是供应商响应文件的有效组成部分，最后报价</w:t>
      </w:r>
      <w:r>
        <w:rPr>
          <w:rFonts w:hint="eastAsia" w:ascii="宋体" w:hAnsi="宋体" w:cs="宋体"/>
          <w:b/>
          <w:bCs/>
          <w:color w:val="000000"/>
          <w:szCs w:val="21"/>
          <w:highlight w:val="none"/>
        </w:rPr>
        <w:t xml:space="preserve">不得</w:t>
      </w:r>
      <w:r>
        <w:rPr>
          <w:rFonts w:hint="eastAsia" w:ascii="宋体" w:hAnsi="宋体" w:cs="宋体"/>
          <w:b/>
          <w:bCs/>
          <w:color w:val="000000"/>
          <w:szCs w:val="21"/>
          <w:highlight w:val="none"/>
          <w:lang w:val="zh-CN"/>
        </w:rPr>
        <w:t xml:space="preserve">高于供应商响应文件</w:t>
      </w:r>
      <w:r>
        <w:rPr>
          <w:rFonts w:hint="eastAsia" w:ascii="宋体" w:hAnsi="宋体" w:cs="宋体"/>
          <w:b/>
          <w:bCs/>
          <w:color w:val="000000"/>
          <w:szCs w:val="21"/>
          <w:highlight w:val="none"/>
        </w:rPr>
        <w:t xml:space="preserve">中的</w:t>
      </w:r>
      <w:r>
        <w:rPr>
          <w:rFonts w:hint="eastAsia" w:ascii="宋体" w:hAnsi="宋体" w:cs="宋体"/>
          <w:b/>
          <w:bCs/>
          <w:color w:val="000000"/>
          <w:szCs w:val="21"/>
          <w:highlight w:val="none"/>
          <w:lang w:val="zh-CN"/>
        </w:rPr>
        <w:t xml:space="preserve">首次报价。磋商小组将要求所有实质性响应的供应商在规定时间内</w:t>
      </w:r>
      <w:r>
        <w:rPr>
          <w:rFonts w:hint="eastAsia" w:ascii="宋体" w:hAnsi="宋体" w:cs="宋体"/>
          <w:b/>
          <w:bCs/>
          <w:color w:val="000000"/>
          <w:szCs w:val="21"/>
          <w:highlight w:val="none"/>
        </w:rPr>
        <w:t xml:space="preserve">提交最终报价，要求供应商于苏采云系统中</w:t>
      </w:r>
      <w:r>
        <w:rPr>
          <w:rFonts w:hint="eastAsia" w:ascii="宋体" w:hAnsi="宋体" w:cs="宋体"/>
          <w:b/>
          <w:bCs/>
          <w:color w:val="000000"/>
          <w:szCs w:val="21"/>
          <w:highlight w:val="none"/>
          <w:lang w:val="zh-CN"/>
        </w:rPr>
        <w:t xml:space="preserve">提交最后报价</w:t>
      </w:r>
      <w:r>
        <w:rPr>
          <w:rFonts w:hint="eastAsia" w:ascii="宋体" w:hAnsi="宋体" w:cs="宋体"/>
          <w:b/>
          <w:bCs/>
          <w:color w:val="000000"/>
          <w:szCs w:val="21"/>
          <w:highlight w:val="none"/>
        </w:rPr>
        <w:t xml:space="preserve">及</w:t>
      </w:r>
      <w:r>
        <w:rPr>
          <w:rFonts w:hint="eastAsia" w:ascii="宋体" w:hAnsi="宋体" w:cs="宋体"/>
          <w:b/>
          <w:bCs/>
          <w:color w:val="000000"/>
          <w:szCs w:val="21"/>
          <w:highlight w:val="none"/>
          <w:lang w:val="zh-CN"/>
        </w:rPr>
        <w:t xml:space="preserve">与其最</w:t>
      </w:r>
      <w:r>
        <w:rPr>
          <w:rFonts w:hint="eastAsia" w:ascii="宋体" w:hAnsi="宋体" w:cs="宋体"/>
          <w:b/>
          <w:bCs/>
          <w:color w:val="000000"/>
          <w:szCs w:val="21"/>
          <w:highlight w:val="none"/>
        </w:rPr>
        <w:t xml:space="preserve">后</w:t>
      </w:r>
      <w:r>
        <w:rPr>
          <w:rFonts w:hint="eastAsia" w:ascii="宋体" w:hAnsi="宋体" w:cs="宋体"/>
          <w:b/>
          <w:bCs/>
          <w:color w:val="000000"/>
          <w:szCs w:val="21"/>
          <w:highlight w:val="none"/>
          <w:lang w:val="zh-CN"/>
        </w:rPr>
        <w:t xml:space="preserve">报价金额完全一致的已标价最终报价工程量清单。</w:t>
      </w:r>
      <w:r>
        <w:rPr>
          <w:rFonts w:hint="eastAsia" w:ascii="宋体" w:hAnsi="宋体" w:cs="宋体"/>
          <w:b/>
          <w:bCs/>
          <w:color w:val="000000"/>
          <w:szCs w:val="21"/>
          <w:highlight w:val="none"/>
        </w:rPr>
        <w:t xml:space="preserve">供应商成交后采购人以此</w:t>
      </w:r>
      <w:r>
        <w:rPr>
          <w:rFonts w:hint="eastAsia" w:ascii="宋体" w:hAnsi="宋体" w:cs="宋体"/>
          <w:b/>
          <w:bCs/>
          <w:color w:val="000000"/>
          <w:szCs w:val="21"/>
          <w:highlight w:val="none"/>
          <w:lang w:val="zh-CN"/>
        </w:rPr>
        <w:t xml:space="preserve">已标价最终报价工程量清单</w:t>
      </w:r>
      <w:r>
        <w:rPr>
          <w:rFonts w:hint="eastAsia" w:ascii="宋体" w:hAnsi="宋体" w:cs="宋体"/>
          <w:b/>
          <w:bCs/>
          <w:color w:val="000000"/>
          <w:szCs w:val="21"/>
          <w:highlight w:val="none"/>
        </w:rPr>
        <w:t xml:space="preserve">作为结算依据。</w:t>
      </w:r>
      <w:r>
        <w:rPr>
          <w:highlight w:val="none"/>
        </w:rPr>
      </w:r>
      <w:r/>
    </w:p>
    <w:p>
      <w:pPr>
        <w:ind w:firstLine="420"/>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如</w:t>
      </w:r>
      <w:r>
        <w:rPr>
          <w:rFonts w:hint="eastAsia" w:ascii="宋体" w:hAnsi="宋体" w:cs="宋体"/>
          <w:b/>
          <w:bCs/>
          <w:color w:val="000000"/>
          <w:szCs w:val="21"/>
          <w:highlight w:val="none"/>
          <w:lang w:val="zh-CN"/>
        </w:rPr>
        <w:t xml:space="preserve">供应商未在磋商小组规定的时间内在苏采云系统中提交最后报价</w:t>
      </w:r>
      <w:r>
        <w:rPr>
          <w:rFonts w:hint="eastAsia" w:ascii="宋体" w:hAnsi="宋体" w:cs="宋体"/>
          <w:b/>
          <w:bCs/>
          <w:color w:val="000000"/>
          <w:szCs w:val="21"/>
          <w:highlight w:val="none"/>
        </w:rPr>
        <w:t xml:space="preserve">及</w:t>
      </w:r>
      <w:r>
        <w:rPr>
          <w:rFonts w:hint="eastAsia" w:ascii="宋体" w:hAnsi="宋体" w:cs="宋体"/>
          <w:b/>
          <w:bCs/>
          <w:color w:val="000000"/>
          <w:szCs w:val="21"/>
          <w:highlight w:val="none"/>
          <w:lang w:val="zh-CN"/>
        </w:rPr>
        <w:t xml:space="preserve">与其最</w:t>
      </w:r>
      <w:r>
        <w:rPr>
          <w:rFonts w:hint="eastAsia" w:ascii="宋体" w:hAnsi="宋体" w:cs="宋体"/>
          <w:b/>
          <w:bCs/>
          <w:color w:val="000000"/>
          <w:szCs w:val="21"/>
          <w:highlight w:val="none"/>
        </w:rPr>
        <w:t xml:space="preserve">后</w:t>
      </w:r>
      <w:r>
        <w:rPr>
          <w:rFonts w:hint="eastAsia" w:ascii="宋体" w:hAnsi="宋体" w:cs="宋体"/>
          <w:b/>
          <w:bCs/>
          <w:color w:val="000000"/>
          <w:szCs w:val="21"/>
          <w:highlight w:val="none"/>
          <w:lang w:val="zh-CN"/>
        </w:rPr>
        <w:t xml:space="preserve">报价金额完全一致的已标价最终报价工程量清单的，</w:t>
      </w:r>
      <w:r>
        <w:rPr>
          <w:rFonts w:hint="eastAsia" w:ascii="宋体" w:hAnsi="宋体" w:cs="宋体"/>
          <w:b/>
          <w:bCs/>
          <w:color w:val="000000"/>
          <w:szCs w:val="21"/>
          <w:highlight w:val="none"/>
        </w:rPr>
        <w:t xml:space="preserve">或两者</w:t>
      </w:r>
      <w:r>
        <w:rPr>
          <w:rFonts w:hint="eastAsia" w:ascii="宋体" w:hAnsi="宋体" w:cs="宋体"/>
          <w:b/>
          <w:bCs/>
          <w:color w:val="000000"/>
          <w:szCs w:val="21"/>
          <w:highlight w:val="none"/>
          <w:lang w:val="zh-CN"/>
        </w:rPr>
        <w:t xml:space="preserve">最</w:t>
      </w:r>
      <w:r>
        <w:rPr>
          <w:rFonts w:hint="eastAsia" w:ascii="宋体" w:hAnsi="宋体" w:cs="宋体"/>
          <w:b/>
          <w:bCs/>
          <w:color w:val="000000"/>
          <w:szCs w:val="21"/>
          <w:highlight w:val="none"/>
        </w:rPr>
        <w:t xml:space="preserve">后</w:t>
      </w:r>
      <w:r>
        <w:rPr>
          <w:rFonts w:hint="eastAsia" w:ascii="宋体" w:hAnsi="宋体" w:cs="宋体"/>
          <w:b/>
          <w:bCs/>
          <w:color w:val="000000"/>
          <w:szCs w:val="21"/>
          <w:highlight w:val="none"/>
          <w:lang w:val="zh-CN"/>
        </w:rPr>
        <w:t xml:space="preserve">报价金额</w:t>
      </w:r>
      <w:r>
        <w:rPr>
          <w:rFonts w:hint="eastAsia" w:ascii="宋体" w:hAnsi="宋体" w:cs="宋体"/>
          <w:b/>
          <w:bCs/>
          <w:color w:val="000000"/>
          <w:szCs w:val="21"/>
          <w:highlight w:val="none"/>
        </w:rPr>
        <w:t xml:space="preserve">不一致的，或上述</w:t>
      </w:r>
      <w:r>
        <w:rPr>
          <w:rFonts w:hint="eastAsia" w:ascii="宋体" w:hAnsi="宋体" w:cs="宋体"/>
          <w:b/>
          <w:bCs/>
          <w:color w:val="000000"/>
          <w:szCs w:val="21"/>
          <w:highlight w:val="none"/>
          <w:lang w:val="zh-CN"/>
        </w:rPr>
        <w:t xml:space="preserve">已标价最终报价工程量清单</w:t>
      </w:r>
      <w:r>
        <w:rPr>
          <w:rFonts w:hint="eastAsia" w:ascii="宋体" w:hAnsi="宋体" w:cs="宋体"/>
          <w:b/>
          <w:bCs/>
          <w:color w:val="000000"/>
          <w:szCs w:val="21"/>
          <w:highlight w:val="none"/>
        </w:rPr>
        <w:t xml:space="preserve">未</w:t>
      </w:r>
      <w:r>
        <w:rPr>
          <w:rFonts w:hint="eastAsia" w:ascii="宋体" w:hAnsi="宋体" w:cs="宋体"/>
          <w:b/>
          <w:bCs/>
          <w:color w:val="000000"/>
          <w:szCs w:val="21"/>
          <w:highlight w:val="none"/>
          <w:lang w:val="zh-CN"/>
        </w:rPr>
        <w:t xml:space="preserve">响应采购文件的实质性要求的，则最终报价</w:t>
      </w:r>
      <w:r>
        <w:rPr>
          <w:rFonts w:hint="eastAsia" w:ascii="宋体" w:hAnsi="宋体" w:cs="宋体"/>
          <w:b/>
          <w:bCs/>
          <w:color w:val="000000"/>
          <w:szCs w:val="21"/>
          <w:highlight w:val="none"/>
        </w:rPr>
        <w:t xml:space="preserve">应当</w:t>
      </w:r>
      <w:r>
        <w:rPr>
          <w:rFonts w:hint="eastAsia" w:ascii="宋体" w:hAnsi="宋体" w:cs="宋体"/>
          <w:b/>
          <w:bCs/>
          <w:color w:val="000000"/>
          <w:szCs w:val="21"/>
          <w:highlight w:val="none"/>
          <w:lang w:val="zh-CN"/>
        </w:rPr>
        <w:t xml:space="preserve">视为无效报价，做</w:t>
      </w:r>
      <w:r>
        <w:rPr>
          <w:rFonts w:hint="eastAsia" w:ascii="宋体" w:hAnsi="宋体" w:cs="宋体"/>
          <w:b/>
          <w:bCs/>
          <w:color w:val="000000"/>
          <w:szCs w:val="21"/>
          <w:highlight w:val="none"/>
        </w:rPr>
        <w:t xml:space="preserve">无效响应</w:t>
      </w:r>
      <w:r>
        <w:rPr>
          <w:rFonts w:hint="eastAsia" w:ascii="宋体" w:hAnsi="宋体" w:cs="宋体"/>
          <w:b/>
          <w:bCs/>
          <w:color w:val="000000"/>
          <w:szCs w:val="21"/>
          <w:highlight w:val="none"/>
          <w:lang w:val="zh-CN"/>
        </w:rPr>
        <w:t xml:space="preserve">处理。</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w:t>
      </w:r>
      <w:r>
        <w:rPr>
          <w:rFonts w:hint="eastAsia" w:ascii="宋体" w:hAnsi="宋体" w:cs="宋体"/>
          <w:bCs/>
          <w:szCs w:val="21"/>
          <w:highlight w:val="none"/>
          <w:lang w:val="zh-CN"/>
        </w:rPr>
        <w:t xml:space="preserve">.3</w:t>
      </w:r>
      <w:r>
        <w:rPr>
          <w:rFonts w:hint="eastAsia" w:ascii="宋体" w:hAnsi="宋体" w:cs="宋体"/>
          <w:bCs/>
          <w:szCs w:val="21"/>
          <w:highlight w:val="none"/>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w:t>
      </w:r>
      <w:r>
        <w:rPr>
          <w:rFonts w:hint="eastAsia" w:ascii="宋体" w:hAnsi="宋体" w:cs="宋体"/>
          <w:bCs/>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s="宋体"/>
          <w:bCs/>
          <w:szCs w:val="21"/>
          <w:highlight w:val="none"/>
        </w:rPr>
        <w:t xml:space="preserve">  </w:t>
      </w:r>
      <w:r>
        <w:rPr>
          <w:highlight w:val="none"/>
        </w:rPr>
      </w:r>
      <w:r/>
    </w:p>
    <w:p>
      <w:pPr>
        <w:ind w:firstLine="420"/>
        <w:spacing w:line="360" w:lineRule="auto"/>
        <w:rPr>
          <w:rFonts w:ascii="宋体" w:hAnsi="宋体" w:cs="宋体"/>
          <w:b/>
          <w:szCs w:val="21"/>
          <w:highlight w:val="none"/>
        </w:rPr>
      </w:pPr>
      <w:r>
        <w:rPr>
          <w:rFonts w:hint="eastAsia" w:ascii="宋体" w:hAnsi="宋体" w:cs="宋体"/>
          <w:bCs/>
          <w:szCs w:val="21"/>
          <w:highlight w:val="none"/>
        </w:rPr>
        <w:t xml:space="preserve">20.5 </w:t>
      </w:r>
      <w:r>
        <w:rPr>
          <w:rFonts w:hint="eastAsia" w:ascii="宋体" w:hAnsi="宋体" w:cs="宋体"/>
          <w:b/>
          <w:szCs w:val="21"/>
          <w:highlight w:val="none"/>
          <w:lang w:val="zh-CN"/>
        </w:rPr>
        <w:t xml:space="preserve">本项目执行财库〔2026〕2号《关于推动解决政府采购异常低价问题相关工作的通知》的相关规定。</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20.5.1 评审中出现下列情形之一的，评审委员会应当启动异常低价投标（响应）审查程序：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（1）投标（响应）报价低于全部通过符合性审查供应商投标（响应）报价平均值50%的，即投标（响应）报价&lt;全部通过符合性审查供应商投标（响应）报价平均值×50%；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（2）投标（响应）报价低于通过符合性审查的次低报价供应商投标（响应）报价50%的，即投标（响应）报价&lt;通过符合性审查的次低报价供应商投标（响应）报价×50%；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w:t>
      </w:r>
      <w:r>
        <w:rPr>
          <w:rFonts w:hint="eastAsia" w:ascii="宋体" w:hAnsi="宋体" w:cs="宋体"/>
          <w:bCs/>
          <w:color w:val="ff0000"/>
          <w:szCs w:val="21"/>
          <w:highlight w:val="none"/>
        </w:rPr>
        <w:t xml:space="preserve">投标（响应）报价低于采购项目最高限价</w:t>
      </w:r>
      <w:r>
        <w:rPr>
          <w:rFonts w:hint="eastAsia" w:ascii="宋体" w:hAnsi="宋体" w:cs="宋体"/>
          <w:bCs/>
          <w:color w:val="ff0000"/>
          <w:szCs w:val="21"/>
          <w:highlight w:val="none"/>
        </w:rPr>
        <w:t xml:space="preserve">4</w:t>
      </w:r>
      <w:r>
        <w:rPr>
          <w:rFonts w:hint="eastAsia" w:ascii="宋体" w:hAnsi="宋体" w:cs="宋体"/>
          <w:bCs/>
          <w:color w:val="ff0000"/>
          <w:szCs w:val="21"/>
          <w:highlight w:val="none"/>
        </w:rPr>
        <w:t xml:space="preserve">5%的，即投标（响应）报价&lt;采购项目最高限价×</w:t>
      </w:r>
      <w:r>
        <w:rPr>
          <w:rFonts w:hint="eastAsia" w:ascii="宋体" w:hAnsi="宋体" w:cs="宋体"/>
          <w:bCs/>
          <w:color w:val="ff0000"/>
          <w:szCs w:val="21"/>
          <w:highlight w:val="none"/>
        </w:rPr>
        <w:t xml:space="preserve">4</w:t>
      </w:r>
      <w:r>
        <w:rPr>
          <w:rFonts w:hint="eastAsia" w:ascii="宋体" w:hAnsi="宋体" w:cs="宋体"/>
          <w:bCs/>
          <w:color w:val="ff0000"/>
          <w:szCs w:val="21"/>
          <w:highlight w:val="none"/>
        </w:rPr>
        <w:t xml:space="preserve">5%；</w:t>
      </w:r>
      <w:r>
        <w:rPr>
          <w:rFonts w:hint="eastAsia" w:ascii="宋体" w:hAnsi="宋体" w:cs="宋体"/>
          <w:bCs/>
          <w:szCs w:val="21"/>
          <w:highlight w:val="none"/>
        </w:rPr>
        <w:t xml:space="preserve">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（4）评审委员会基于专业判断，认为供应商报价过低，有可能影响产品质量或者不能诚信履约的其他情形。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相关法律法规对供应商报价有规定的，从其规定。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20.5.2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cs="宋体"/>
          <w:highlight w:val="none"/>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cs="宋体"/>
          <w:bCs/>
          <w:szCs w:val="21"/>
          <w:highlight w:val="none"/>
        </w:rPr>
        <w:t xml:space="preserve">等。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highlight w:val="none"/>
        </w:rPr>
      </w:r>
      <w:r/>
    </w:p>
    <w:p>
      <w:pPr>
        <w:ind w:firstLine="420"/>
        <w:spacing w:line="360" w:lineRule="auto"/>
        <w:rPr>
          <w:rFonts w:ascii="宋体" w:hAnsi="宋体" w:cs="宋体"/>
          <w:b/>
          <w:bCs/>
          <w:highlight w:val="none"/>
        </w:rPr>
      </w:pPr>
      <w:r>
        <w:rPr>
          <w:rFonts w:hint="eastAsia" w:ascii="宋体" w:hAnsi="宋体" w:cs="宋体"/>
          <w:b/>
          <w:bCs/>
          <w:highlight w:val="none"/>
        </w:rPr>
        <w:t xml:space="preserve">21、评审方法和标准。</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w:t>
      </w:r>
      <w:r>
        <w:rPr>
          <w:rFonts w:hint="eastAsia" w:ascii="宋体" w:hAnsi="宋体" w:cs="宋体"/>
          <w:bCs/>
          <w:szCs w:val="21"/>
          <w:highlight w:val="none"/>
          <w:lang w:val="zh-CN"/>
        </w:rPr>
        <w:t xml:space="preserve">1 评审方法。经磋商确定最终采购需求和提交最后报价的供应商后，由磋商小组采用综合评分法对提交最后报价的供应商的响应文件和最后报价进行综合评分。</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w:t>
      </w:r>
      <w:r>
        <w:rPr>
          <w:rFonts w:hint="eastAsia" w:ascii="宋体" w:hAnsi="宋体" w:cs="宋体"/>
          <w:bCs/>
          <w:szCs w:val="21"/>
          <w:highlight w:val="none"/>
          <w:lang w:val="zh-CN"/>
        </w:rPr>
        <w:t xml:space="preserve">.2 评审标准：见本磋商文件第</w:t>
      </w:r>
      <w:r>
        <w:rPr>
          <w:rFonts w:hint="eastAsia" w:ascii="宋体" w:hAnsi="宋体" w:cs="宋体"/>
          <w:bCs/>
          <w:szCs w:val="21"/>
          <w:highlight w:val="none"/>
        </w:rPr>
        <w:t xml:space="preserve">三</w:t>
      </w:r>
      <w:r>
        <w:rPr>
          <w:rFonts w:hint="eastAsia" w:ascii="宋体" w:hAnsi="宋体" w:cs="宋体"/>
          <w:bCs/>
          <w:szCs w:val="21"/>
          <w:highlight w:val="none"/>
          <w:lang w:val="zh-CN"/>
        </w:rPr>
        <w:t xml:space="preserve">章。</w:t>
      </w:r>
      <w:r>
        <w:rPr>
          <w:highlight w:val="none"/>
        </w:rPr>
      </w:r>
      <w:r/>
    </w:p>
    <w:p>
      <w:pPr>
        <w:ind w:firstLine="420"/>
        <w:spacing w:line="360" w:lineRule="auto"/>
        <w:rPr>
          <w:rFonts w:ascii="宋体" w:hAnsi="宋体" w:cs="宋体"/>
          <w:b/>
          <w:bCs/>
          <w:highlight w:val="none"/>
        </w:rPr>
      </w:pPr>
      <w:r>
        <w:rPr>
          <w:rFonts w:hint="eastAsia" w:ascii="宋体" w:hAnsi="宋体" w:cs="宋体"/>
          <w:b/>
          <w:bCs/>
          <w:highlight w:val="none"/>
        </w:rPr>
        <w:t xml:space="preserve">21.3 出现下列情形之一的，磋商终止</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（1）因情况变化，不再符合规定的竞争性磋商采购方式适用情形的；</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2</w:t>
      </w:r>
      <w:r>
        <w:rPr>
          <w:rFonts w:hint="eastAsia" w:ascii="宋体" w:hAnsi="宋体" w:cs="宋体"/>
          <w:highlight w:val="none"/>
          <w:lang w:val="zh-CN"/>
        </w:rPr>
        <w:t xml:space="preserve">）在苏采云系统规定时间内成功解密电子响应文件的供应商不足3家；</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3</w:t>
      </w:r>
      <w:r>
        <w:rPr>
          <w:rFonts w:hint="eastAsia" w:ascii="宋体" w:hAnsi="宋体" w:cs="宋体"/>
          <w:highlight w:val="none"/>
          <w:lang w:val="zh-CN"/>
        </w:rPr>
        <w:t xml:space="preserve">）</w:t>
      </w:r>
      <w:r>
        <w:rPr>
          <w:rFonts w:hint="eastAsia" w:ascii="宋体" w:hAnsi="宋体" w:cs="宋体"/>
          <w:highlight w:val="none"/>
        </w:rPr>
        <w:t xml:space="preserve">除本采购文件第二章第20.3条规定的情形外，磋商过程中符合要求的供应商或者提交最后报价且未超过最高限价的供应商不足三家</w:t>
      </w:r>
      <w:r>
        <w:rPr>
          <w:rFonts w:hint="eastAsia" w:ascii="宋体" w:hAnsi="宋体" w:cs="宋体"/>
          <w:highlight w:val="none"/>
          <w:lang w:val="zh-CN"/>
        </w:rPr>
        <w:t xml:space="preserve">；</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4</w:t>
      </w:r>
      <w:r>
        <w:rPr>
          <w:rFonts w:hint="eastAsia" w:ascii="宋体" w:hAnsi="宋体" w:cs="宋体"/>
          <w:highlight w:val="none"/>
          <w:lang w:val="zh-CN"/>
        </w:rPr>
        <w:t xml:space="preserve">）出现影响采购公正的违法、违规行为的；</w:t>
      </w:r>
      <w:r>
        <w:rPr>
          <w:highlight w:val="none"/>
        </w:rPr>
      </w:r>
      <w:r/>
    </w:p>
    <w:p>
      <w:pPr>
        <w:ind w:firstLine="420"/>
        <w:spacing w:line="360" w:lineRule="auto"/>
        <w:rPr>
          <w:rFonts w:ascii="宋体" w:hAnsi="宋体" w:cs="宋体"/>
          <w:highlight w:val="none"/>
        </w:rPr>
      </w:pPr>
      <w:r>
        <w:rPr>
          <w:rFonts w:hint="eastAsia" w:ascii="宋体" w:hAnsi="宋体" w:cs="宋体"/>
          <w:highlight w:val="none"/>
          <w:lang w:val="zh-CN"/>
        </w:rPr>
        <w:t xml:space="preserve">（</w:t>
      </w:r>
      <w:r>
        <w:rPr>
          <w:rFonts w:hint="eastAsia" w:ascii="宋体" w:hAnsi="宋体" w:cs="宋体"/>
          <w:highlight w:val="none"/>
        </w:rPr>
        <w:t xml:space="preserve">5</w:t>
      </w:r>
      <w:r>
        <w:rPr>
          <w:rFonts w:hint="eastAsia" w:ascii="宋体" w:hAnsi="宋体" w:cs="宋体"/>
          <w:highlight w:val="none"/>
          <w:lang w:val="zh-CN"/>
        </w:rPr>
        <w:t xml:space="preserve">）因重大变故，采购任务取消的；</w:t>
      </w:r>
      <w:r>
        <w:rPr>
          <w:highlight w:val="none"/>
        </w:rPr>
      </w:r>
      <w:r/>
    </w:p>
    <w:p>
      <w:pPr>
        <w:ind w:firstLine="420"/>
        <w:spacing w:line="360" w:lineRule="auto"/>
        <w:rPr>
          <w:highlight w:val="none"/>
        </w:rPr>
      </w:pPr>
      <w:r>
        <w:rPr>
          <w:rFonts w:hint="eastAsia" w:ascii="宋体" w:hAnsi="宋体" w:cs="宋体"/>
          <w:highlight w:val="none"/>
          <w:lang w:val="zh-CN"/>
        </w:rPr>
        <w:t xml:space="preserve">（</w:t>
      </w:r>
      <w:r>
        <w:rPr>
          <w:rFonts w:hint="eastAsia" w:ascii="宋体" w:hAnsi="宋体" w:cs="宋体"/>
          <w:highlight w:val="none"/>
        </w:rPr>
        <w:t xml:space="preserve">6</w:t>
      </w:r>
      <w:r>
        <w:rPr>
          <w:rFonts w:hint="eastAsia" w:ascii="宋体" w:hAnsi="宋体" w:cs="宋体"/>
          <w:highlight w:val="none"/>
          <w:lang w:val="zh-CN"/>
        </w:rPr>
        <w:t xml:space="preserve">）法律法规规定的其他应当终止情形。</w:t>
      </w:r>
      <w:r>
        <w:rPr>
          <w:highlight w:val="none"/>
        </w:rPr>
      </w:r>
      <w:r/>
    </w:p>
    <w:p>
      <w:pPr>
        <w:ind w:left="992" w:hanging="567"/>
        <w:jc w:val="center"/>
        <w:spacing w:before="240" w:after="240" w:line="360" w:lineRule="auto"/>
        <w:rPr>
          <w:rFonts w:ascii="宋体" w:hAnsi="宋体" w:cs="宋体"/>
          <w:sz w:val="28"/>
          <w:highlight w:val="none"/>
        </w:rPr>
        <w:outlineLvl w:val="1"/>
      </w:pPr>
      <w:r>
        <w:rPr>
          <w:highlight w:val="none"/>
        </w:rPr>
      </w:r>
      <w:bookmarkStart w:id="52" w:name="_Toc10571"/>
      <w:r>
        <w:rPr>
          <w:highlight w:val="none"/>
        </w:rPr>
      </w:r>
      <w:bookmarkStart w:id="53" w:name="_Toc21185"/>
      <w:r>
        <w:rPr>
          <w:rFonts w:hint="eastAsia" w:ascii="宋体" w:hAnsi="宋体" w:cs="宋体"/>
          <w:sz w:val="28"/>
          <w:highlight w:val="none"/>
        </w:rPr>
        <w:t xml:space="preserve">六、成    交</w:t>
      </w:r>
      <w:bookmarkEnd w:id="52"/>
      <w:r>
        <w:rPr>
          <w:highlight w:val="none"/>
        </w:rPr>
      </w:r>
      <w:bookmarkEnd w:id="53"/>
      <w:r>
        <w:rPr>
          <w:highlight w:val="none"/>
        </w:rPr>
      </w:r>
      <w:r/>
    </w:p>
    <w:p>
      <w:pPr>
        <w:ind w:firstLine="420"/>
        <w:spacing w:line="360" w:lineRule="auto"/>
        <w:rPr>
          <w:rFonts w:ascii="宋体" w:hAnsi="宋体" w:cs="宋体"/>
          <w:b/>
          <w:szCs w:val="21"/>
          <w:highlight w:val="none"/>
        </w:rPr>
      </w:pPr>
      <w:r>
        <w:rPr>
          <w:rFonts w:hint="eastAsia" w:ascii="宋体" w:hAnsi="宋体" w:cs="宋体"/>
          <w:b/>
          <w:bCs/>
          <w:highlight w:val="none"/>
        </w:rPr>
        <w:t xml:space="preserve">22、</w:t>
      </w:r>
      <w:r>
        <w:rPr>
          <w:rFonts w:hint="eastAsia" w:ascii="宋体" w:hAnsi="宋体" w:cs="宋体"/>
          <w:b/>
          <w:szCs w:val="21"/>
          <w:highlight w:val="none"/>
          <w:lang w:bidi="ar"/>
        </w:rPr>
        <w:t xml:space="preserve">确定成交供应商</w:t>
      </w:r>
      <w:r>
        <w:rPr>
          <w:highlight w:val="none"/>
        </w:rPr>
      </w:r>
      <w:r/>
    </w:p>
    <w:p>
      <w:pPr>
        <w:ind w:firstLine="420"/>
        <w:spacing w:line="360" w:lineRule="auto"/>
        <w:rPr>
          <w:rFonts w:ascii="宋体" w:hAnsi="宋体" w:cs="宋体"/>
          <w:szCs w:val="21"/>
          <w:highlight w:val="none"/>
        </w:rPr>
      </w:pPr>
      <w:r>
        <w:rPr>
          <w:rFonts w:hint="eastAsia" w:ascii="宋体" w:hAnsi="宋体" w:cs="宋体"/>
          <w:highlight w:val="none"/>
        </w:rPr>
        <w:t xml:space="preserve">22.1 </w:t>
      </w:r>
      <w:r>
        <w:rPr>
          <w:rFonts w:hint="eastAsia" w:ascii="宋体" w:hAnsi="宋体" w:cs="宋体"/>
          <w:highlight w:val="none"/>
          <w:lang w:val="zh-CN"/>
        </w:rPr>
        <w:t xml:space="preserve">磋商小组对均能满足采购文件实质性要求的供应商，</w:t>
      </w:r>
      <w:r>
        <w:rPr>
          <w:rFonts w:ascii="宋体" w:hAnsi="宋体"/>
          <w:szCs w:val="21"/>
          <w:highlight w:val="none"/>
          <w:lang w:val="zh-CN"/>
        </w:rPr>
        <w:t xml:space="preserve">综合比较与评价后按照得分高低顺序对供应商进行排列。</w:t>
      </w:r>
      <w:r>
        <w:rPr>
          <w:rFonts w:ascii="宋体" w:hAnsi="宋体"/>
          <w:szCs w:val="21"/>
          <w:highlight w:val="none"/>
        </w:rPr>
        <w:t xml:space="preserve">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szCs w:val="21"/>
          <w:highlight w:val="none"/>
          <w:lang w:val="zh-CN"/>
        </w:rPr>
        <w:t xml:space="preserve">工程、货物和服务</w:t>
      </w:r>
      <w:r>
        <w:rPr>
          <w:rFonts w:ascii="宋体" w:hAnsi="宋体"/>
          <w:szCs w:val="21"/>
          <w:highlight w:val="none"/>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cs="宋体"/>
          <w:szCs w:val="21"/>
          <w:highlight w:val="none"/>
          <w:lang w:val="zh-CN"/>
        </w:rPr>
        <w:t xml:space="preserve">磋商小组将综合排名前三名的供应商确定为成交候选供应商。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w:t>
      </w:r>
      <w:r>
        <w:rPr>
          <w:rFonts w:hint="eastAsia" w:ascii="宋体" w:hAnsi="宋体" w:cs="宋体"/>
          <w:szCs w:val="21"/>
          <w:highlight w:val="none"/>
          <w:lang w:val="zh-CN"/>
        </w:rPr>
        <w:t xml:space="preserve">2 按以下第（2）种方式确定成交供应商；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（1）磋商小组直接确定排名第一的成交候选人为成交供应商；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（2）采购人在磋商小组推荐的成交候选人中按顺序确定成交供应商。</w:t>
      </w:r>
      <w:r>
        <w:rPr>
          <w:highlight w:val="none"/>
        </w:rPr>
      </w:r>
      <w:r/>
    </w:p>
    <w:p>
      <w:pPr>
        <w:ind w:firstLine="420"/>
        <w:spacing w:line="360" w:lineRule="auto"/>
        <w:rPr>
          <w:rFonts w:ascii="宋体" w:hAnsi="宋体"/>
          <w:szCs w:val="21"/>
          <w:highlight w:val="none"/>
        </w:rPr>
      </w:pPr>
      <w:r>
        <w:rPr>
          <w:rFonts w:hint="eastAsia" w:ascii="宋体" w:hAnsi="宋体" w:cs="宋体"/>
          <w:szCs w:val="21"/>
          <w:highlight w:val="none"/>
          <w:lang w:val="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22.3</w:t>
      </w:r>
      <w:r>
        <w:rPr>
          <w:rFonts w:hint="eastAsia" w:ascii="宋体" w:hAnsi="宋体" w:cs="宋体"/>
          <w:szCs w:val="21"/>
          <w:highlight w:val="none"/>
          <w:lang w:val="zh-CN"/>
        </w:rPr>
        <w:t xml:space="preserve">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22.4 若有充分证据证明成交供应商有下列情况之一的，一经查实将被取消成交资格：</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（1）提供虚假材料谋取成交。</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（2）与评审专家、采购人、其他供应商或者代理机构工作人员恶意串通。</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（3）向评审专家、采购人或代理机构工作人员行贿或者提供其他不正当利益。</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（4）不满足本磋商文件规定的实质性要求，但在评审过程中未被磋商小组发现。</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（5）成交后无正当理由拒不与采购人签订政府采购合同或者未按照磋商文件确定的事项签订政府采购合同。</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（6）将合同标的转包。</w:t>
      </w:r>
      <w:r>
        <w:rPr>
          <w:highlight w:val="none"/>
        </w:rPr>
      </w:r>
      <w:r/>
    </w:p>
    <w:p>
      <w:pPr>
        <w:ind w:firstLine="413"/>
        <w:spacing w:line="360" w:lineRule="auto"/>
        <w:rPr>
          <w:rFonts w:ascii="宋体" w:hAnsi="宋体" w:cs="宋体"/>
          <w:b/>
          <w:bCs/>
          <w:highlight w:val="none"/>
        </w:rPr>
      </w:pPr>
      <w:r>
        <w:rPr>
          <w:rFonts w:hint="eastAsia" w:ascii="宋体" w:hAnsi="宋体" w:cs="宋体"/>
          <w:b/>
          <w:bCs/>
          <w:highlight w:val="none"/>
        </w:rPr>
        <w:t xml:space="preserve">23、</w:t>
      </w:r>
      <w:r>
        <w:rPr>
          <w:rFonts w:hint="eastAsia" w:ascii="宋体" w:hAnsi="宋体" w:cs="宋体"/>
          <w:b/>
          <w:bCs/>
          <w:highlight w:val="none"/>
          <w:lang w:val="zh-CN"/>
        </w:rPr>
        <w:t xml:space="preserve">成交通知书</w:t>
      </w:r>
      <w:r>
        <w:rPr>
          <w:highlight w:val="none"/>
        </w:rPr>
      </w:r>
      <w:r/>
    </w:p>
    <w:p>
      <w:pPr>
        <w:ind w:firstLine="420"/>
        <w:spacing w:line="360" w:lineRule="auto"/>
        <w:rPr>
          <w:rFonts w:ascii="宋体" w:hAnsi="宋体" w:cs="宋体"/>
          <w:highlight w:val="none"/>
        </w:rPr>
      </w:pPr>
      <w:r>
        <w:rPr>
          <w:rFonts w:hint="eastAsia" w:ascii="宋体" w:hAnsi="宋体" w:cs="宋体"/>
          <w:szCs w:val="21"/>
          <w:highlight w:val="none"/>
        </w:rPr>
        <w:t xml:space="preserve">23.</w:t>
      </w:r>
      <w:r>
        <w:rPr>
          <w:rFonts w:hint="eastAsia" w:ascii="宋体" w:hAnsi="宋体" w:cs="宋体"/>
          <w:highlight w:val="none"/>
        </w:rPr>
        <w:t xml:space="preserve">1 供应商在中标(成交)后，</w:t>
      </w:r>
      <w:r>
        <w:rPr>
          <w:rFonts w:hint="eastAsia" w:ascii="宋体" w:hAnsi="宋体" w:cs="宋体"/>
          <w:color w:val="000000"/>
          <w:szCs w:val="21"/>
          <w:highlight w:val="none"/>
          <w:shd w:val="clear" w:color="auto" w:fill="ffffff"/>
          <w:lang w:bidi="ar"/>
        </w:rPr>
        <w:t xml:space="preserve">领取成交通知书时递交纸质盖章版响应文件一式叁份（壹份正本、贰份副本）、电子版标书一份（U盘形式），用于归档。纸质响应文件须与苏采云提交的电子响应文件保持一致</w:t>
      </w:r>
      <w:r>
        <w:rPr>
          <w:rFonts w:hint="eastAsia" w:ascii="宋体" w:hAnsi="宋体" w:cs="宋体"/>
          <w:highlight w:val="none"/>
        </w:rPr>
        <w:t xml:space="preserve">。经核验无误后，由采购人或采购代理机构发出中标(成交)通知书。</w:t>
      </w:r>
      <w:r>
        <w:rPr>
          <w:highlight w:val="none"/>
        </w:rPr>
      </w:r>
      <w:r/>
    </w:p>
    <w:p>
      <w:pPr>
        <w:ind w:firstLine="420"/>
        <w:spacing w:line="360" w:lineRule="auto"/>
        <w:rPr>
          <w:rFonts w:ascii="宋体" w:hAnsi="宋体" w:cs="宋体"/>
          <w:b/>
          <w:bCs/>
          <w:highlight w:val="none"/>
        </w:rPr>
      </w:pPr>
      <w:r>
        <w:rPr>
          <w:rFonts w:hint="eastAsia" w:ascii="宋体" w:hAnsi="宋体" w:cs="宋体"/>
          <w:szCs w:val="21"/>
          <w:highlight w:val="none"/>
        </w:rPr>
        <w:t xml:space="preserve">23.2 成交供应商确定后将在</w:t>
      </w:r>
      <w:r>
        <w:rPr>
          <w:rFonts w:hint="eastAsia" w:ascii="宋体" w:hAnsi="宋体" w:cs="宋体"/>
          <w:szCs w:val="21"/>
          <w:highlight w:val="none"/>
          <w:lang w:val="zh-CN"/>
        </w:rPr>
        <w:t xml:space="preserve">原采购公告发布媒体上</w:t>
      </w:r>
      <w:r>
        <w:rPr>
          <w:rFonts w:hint="eastAsia" w:ascii="宋体" w:hAnsi="宋体" w:cs="宋体"/>
          <w:szCs w:val="21"/>
          <w:highlight w:val="none"/>
        </w:rPr>
        <w:t xml:space="preserve">进行公示，并同时向成交供应商发出成交通知书。成交通知书对采购人和成交供应商具有同等法律效力。</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23</w:t>
      </w:r>
      <w:r>
        <w:rPr>
          <w:rFonts w:hint="eastAsia" w:ascii="宋体" w:hAnsi="宋体" w:cs="宋体"/>
          <w:highlight w:val="none"/>
          <w:lang w:val="zh-CN"/>
        </w:rPr>
        <w:t xml:space="preserve">.</w:t>
      </w:r>
      <w:r>
        <w:rPr>
          <w:rFonts w:hint="eastAsia" w:ascii="宋体" w:hAnsi="宋体" w:cs="宋体"/>
          <w:highlight w:val="none"/>
        </w:rPr>
        <w:t xml:space="preserve">3</w:t>
      </w:r>
      <w:r>
        <w:rPr>
          <w:rFonts w:hint="eastAsia" w:ascii="宋体" w:hAnsi="宋体" w:cs="宋体"/>
          <w:highlight w:val="none"/>
          <w:lang w:val="zh-CN"/>
        </w:rPr>
        <w:t xml:space="preserve"> 在投标有效期期满之前,采购单位将以书面形式通知成交供应商，并确认其磋商响应已被接受。</w:t>
      </w:r>
      <w:r>
        <w:rPr>
          <w:highlight w:val="none"/>
        </w:rPr>
      </w:r>
      <w:r/>
    </w:p>
    <w:p>
      <w:pPr>
        <w:ind w:firstLine="420"/>
        <w:spacing w:line="360" w:lineRule="auto"/>
        <w:rPr>
          <w:rFonts w:ascii="宋体" w:hAnsi="宋体" w:cs="宋体"/>
          <w:highlight w:val="none"/>
        </w:rPr>
      </w:pPr>
      <w:r>
        <w:rPr>
          <w:rFonts w:hint="eastAsia" w:ascii="宋体" w:hAnsi="宋体" w:cs="宋体"/>
          <w:highlight w:val="none"/>
        </w:rPr>
        <w:t xml:space="preserve">23</w:t>
      </w:r>
      <w:r>
        <w:rPr>
          <w:rFonts w:hint="eastAsia" w:ascii="宋体" w:hAnsi="宋体" w:cs="宋体"/>
          <w:highlight w:val="none"/>
          <w:lang w:val="zh-CN"/>
        </w:rPr>
        <w:t xml:space="preserve">.</w:t>
      </w:r>
      <w:r>
        <w:rPr>
          <w:rFonts w:hint="eastAsia" w:ascii="宋体" w:hAnsi="宋体" w:cs="宋体"/>
          <w:highlight w:val="none"/>
        </w:rPr>
        <w:t xml:space="preserve">4</w:t>
      </w:r>
      <w:r>
        <w:rPr>
          <w:rFonts w:hint="eastAsia" w:ascii="宋体" w:hAnsi="宋体" w:cs="宋体"/>
          <w:b/>
          <w:bCs/>
          <w:highlight w:val="none"/>
          <w:lang w:val="zh-CN"/>
        </w:rPr>
        <w:t xml:space="preserve"> </w:t>
      </w:r>
      <w:r>
        <w:rPr>
          <w:rFonts w:hint="eastAsia" w:ascii="宋体" w:hAnsi="宋体" w:cs="宋体"/>
          <w:highlight w:val="none"/>
          <w:lang w:val="zh-CN"/>
        </w:rPr>
        <w:t xml:space="preserve">成交通知书将是合同的</w:t>
      </w:r>
      <w:r>
        <w:rPr>
          <w:rFonts w:hint="eastAsia" w:ascii="宋体" w:hAnsi="宋体" w:cs="宋体"/>
          <w:highlight w:val="none"/>
        </w:rPr>
        <w:t xml:space="preserve">依据和</w:t>
      </w:r>
      <w:r>
        <w:rPr>
          <w:rFonts w:hint="eastAsia" w:ascii="宋体" w:hAnsi="宋体" w:cs="宋体"/>
          <w:highlight w:val="none"/>
          <w:lang w:val="zh-CN"/>
        </w:rPr>
        <w:t xml:space="preserve">组成部分。</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
          <w:highlight w:val="none"/>
          <w:shd w:val="clear" w:color="auto" w:fill="ffffff"/>
        </w:rPr>
        <w:t xml:space="preserve">24、签订合同</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24.1 成交供应商应当自成交通知书发出之日起三十日内，与采购单位签订采购合同，所签订的合同不得对磋商文件和磋商响应文件作实质性修改。</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24.2 采购单位不得向成交供应商提出任何不合理的要求作为签订合同的条件，不得与成交供应商私下订立背离合同实质性内容的协议。</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24.3 </w:t>
      </w:r>
      <w:r>
        <w:rPr>
          <w:rFonts w:hint="eastAsia" w:ascii="宋体" w:hAnsi="宋体" w:cs="宋体"/>
          <w:bCs/>
          <w:highlight w:val="none"/>
          <w:shd w:val="clear" w:color="auto" w:fill="ffffff"/>
          <w:lang w:val="zh-CN"/>
        </w:rPr>
        <w:t xml:space="preserve">成交供应商</w:t>
      </w:r>
      <w:r>
        <w:rPr>
          <w:rFonts w:hint="eastAsia" w:ascii="宋体" w:hAnsi="宋体" w:cs="宋体"/>
          <w:bCs/>
          <w:highlight w:val="none"/>
          <w:shd w:val="clear" w:color="auto" w:fill="ffffff"/>
        </w:rPr>
        <w:t xml:space="preserve">拒绝签订政府采购合同的</w:t>
      </w:r>
      <w:r>
        <w:rPr>
          <w:rFonts w:hint="eastAsia" w:ascii="宋体" w:hAnsi="宋体" w:cs="宋体"/>
          <w:bCs/>
          <w:highlight w:val="none"/>
          <w:shd w:val="clear" w:color="auto" w:fill="ffffff"/>
          <w:lang w:val="zh-CN"/>
        </w:rPr>
        <w:t xml:space="preserve">，采购人可以按照《</w:t>
      </w:r>
      <w:r>
        <w:rPr>
          <w:rFonts w:hint="eastAsia" w:ascii="宋体" w:hAnsi="宋体" w:cs="宋体"/>
          <w:bCs/>
          <w:highlight w:val="none"/>
          <w:shd w:val="clear" w:color="auto" w:fill="ffffff"/>
        </w:rPr>
        <w:t xml:space="preserve">政府采购竞争性磋商采购方式管理暂行办法</w:t>
      </w:r>
      <w:r>
        <w:rPr>
          <w:rFonts w:hint="eastAsia" w:ascii="宋体" w:hAnsi="宋体" w:cs="宋体"/>
          <w:bCs/>
          <w:highlight w:val="none"/>
          <w:shd w:val="clear" w:color="auto" w:fill="ffffff"/>
          <w:lang w:val="zh-CN"/>
        </w:rPr>
        <w:t xml:space="preserve">》第</w:t>
      </w:r>
      <w:r>
        <w:rPr>
          <w:rFonts w:hint="eastAsia" w:ascii="宋体" w:hAnsi="宋体" w:cs="宋体"/>
          <w:bCs/>
          <w:highlight w:val="none"/>
          <w:shd w:val="clear" w:color="auto" w:fill="ffffff"/>
        </w:rPr>
        <w:t xml:space="preserve">三</w:t>
      </w:r>
      <w:r>
        <w:rPr>
          <w:rFonts w:hint="eastAsia" w:ascii="宋体" w:hAnsi="宋体" w:cs="宋体"/>
          <w:bCs/>
          <w:highlight w:val="none"/>
          <w:shd w:val="clear" w:color="auto" w:fill="ffffff"/>
          <w:lang w:val="zh-CN"/>
        </w:rPr>
        <w:t xml:space="preserve">十</w:t>
      </w:r>
      <w:r>
        <w:rPr>
          <w:rFonts w:hint="eastAsia" w:ascii="宋体" w:hAnsi="宋体" w:cs="宋体"/>
          <w:bCs/>
          <w:highlight w:val="none"/>
          <w:shd w:val="clear" w:color="auto" w:fill="ffffff"/>
        </w:rPr>
        <w:t xml:space="preserve">三</w:t>
      </w:r>
      <w:r>
        <w:rPr>
          <w:rFonts w:hint="eastAsia" w:ascii="宋体" w:hAnsi="宋体" w:cs="宋体"/>
          <w:bCs/>
          <w:highlight w:val="none"/>
          <w:shd w:val="clear" w:color="auto" w:fill="ffffff"/>
          <w:lang w:val="zh-CN"/>
        </w:rPr>
        <w:t xml:space="preserve">条规定的原则</w:t>
      </w:r>
      <w:r>
        <w:rPr>
          <w:rFonts w:hint="eastAsia" w:ascii="宋体" w:hAnsi="宋体" w:cs="宋体"/>
          <w:bCs/>
          <w:highlight w:val="none"/>
          <w:shd w:val="clear" w:color="auto" w:fill="ffffff"/>
        </w:rPr>
        <w:t xml:space="preserve">视情与排位在成交供应商之后第一位的成交候选供应商签订政府采购合同</w:t>
      </w:r>
      <w:r>
        <w:rPr>
          <w:rFonts w:hint="eastAsia" w:ascii="宋体" w:hAnsi="宋体" w:cs="宋体"/>
          <w:bCs/>
          <w:highlight w:val="none"/>
          <w:shd w:val="clear" w:color="auto" w:fill="ffffff"/>
          <w:lang w:val="zh-CN"/>
        </w:rPr>
        <w:t xml:space="preserve">，也可以重新开展采购活动。</w:t>
      </w:r>
      <w:r>
        <w:rPr>
          <w:rFonts w:hint="eastAsia" w:ascii="宋体" w:hAnsi="宋体" w:cs="宋体"/>
          <w:bCs/>
          <w:highlight w:val="none"/>
          <w:shd w:val="clear" w:color="auto" w:fill="ffffff"/>
        </w:rPr>
        <w:t xml:space="preserve">放弃或</w:t>
      </w:r>
      <w:r>
        <w:rPr>
          <w:rFonts w:hint="eastAsia" w:ascii="宋体" w:hAnsi="宋体" w:cs="宋体"/>
          <w:bCs/>
          <w:highlight w:val="none"/>
          <w:shd w:val="clear" w:color="auto" w:fill="ffffff"/>
          <w:lang w:val="zh-CN"/>
        </w:rPr>
        <w:t xml:space="preserve">拒绝签订政府采购合同的成交供应商不得参加对该项目重新开展的采购活动，</w:t>
      </w:r>
      <w:r>
        <w:rPr>
          <w:rFonts w:hint="eastAsia" w:ascii="宋体" w:hAnsi="宋体" w:cs="宋体"/>
          <w:bCs/>
          <w:highlight w:val="none"/>
          <w:shd w:val="clear" w:color="auto" w:fill="ffffff"/>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24.4 成交供应商因不可抗力或者自身原因不能履行采购合同的，</w:t>
      </w:r>
      <w:r>
        <w:rPr>
          <w:rFonts w:hint="eastAsia" w:ascii="宋体" w:hAnsi="宋体" w:cs="宋体"/>
          <w:bCs/>
          <w:highlight w:val="none"/>
          <w:shd w:val="clear" w:color="auto" w:fill="ffffff"/>
          <w:lang w:val="zh-CN"/>
        </w:rPr>
        <w:t xml:space="preserve">采购人可以按照《</w:t>
      </w:r>
      <w:r>
        <w:rPr>
          <w:rFonts w:hint="eastAsia" w:ascii="宋体" w:hAnsi="宋体" w:cs="宋体"/>
          <w:bCs/>
          <w:highlight w:val="none"/>
          <w:shd w:val="clear" w:color="auto" w:fill="ffffff"/>
        </w:rPr>
        <w:t xml:space="preserve">政府采购竞争性磋商采购方式管理暂行办法</w:t>
      </w:r>
      <w:r>
        <w:rPr>
          <w:rFonts w:hint="eastAsia" w:ascii="宋体" w:hAnsi="宋体" w:cs="宋体"/>
          <w:bCs/>
          <w:highlight w:val="none"/>
          <w:shd w:val="clear" w:color="auto" w:fill="ffffff"/>
          <w:lang w:val="zh-CN"/>
        </w:rPr>
        <w:t xml:space="preserve">》第</w:t>
      </w:r>
      <w:r>
        <w:rPr>
          <w:rFonts w:hint="eastAsia" w:ascii="宋体" w:hAnsi="宋体" w:cs="宋体"/>
          <w:bCs/>
          <w:highlight w:val="none"/>
          <w:shd w:val="clear" w:color="auto" w:fill="ffffff"/>
        </w:rPr>
        <w:t xml:space="preserve">三</w:t>
      </w:r>
      <w:r>
        <w:rPr>
          <w:rFonts w:hint="eastAsia" w:ascii="宋体" w:hAnsi="宋体" w:cs="宋体"/>
          <w:bCs/>
          <w:highlight w:val="none"/>
          <w:shd w:val="clear" w:color="auto" w:fill="ffffff"/>
          <w:lang w:val="zh-CN"/>
        </w:rPr>
        <w:t xml:space="preserve">十</w:t>
      </w:r>
      <w:r>
        <w:rPr>
          <w:rFonts w:hint="eastAsia" w:ascii="宋体" w:hAnsi="宋体" w:cs="宋体"/>
          <w:bCs/>
          <w:highlight w:val="none"/>
          <w:shd w:val="clear" w:color="auto" w:fill="ffffff"/>
        </w:rPr>
        <w:t xml:space="preserve">三</w:t>
      </w:r>
      <w:r>
        <w:rPr>
          <w:rFonts w:hint="eastAsia" w:ascii="宋体" w:hAnsi="宋体" w:cs="宋体"/>
          <w:bCs/>
          <w:highlight w:val="none"/>
          <w:shd w:val="clear" w:color="auto" w:fill="ffffff"/>
          <w:lang w:val="zh-CN"/>
        </w:rPr>
        <w:t xml:space="preserve">条规定的原则</w:t>
      </w:r>
      <w:r>
        <w:rPr>
          <w:rFonts w:hint="eastAsia" w:ascii="宋体" w:hAnsi="宋体" w:cs="宋体"/>
          <w:bCs/>
          <w:highlight w:val="none"/>
          <w:shd w:val="clear" w:color="auto" w:fill="ffffff"/>
        </w:rPr>
        <w:t xml:space="preserve">视情与排位在成交供应商之后第一位的成交候选供应商签订政府采购合同，</w:t>
      </w:r>
      <w:r>
        <w:rPr>
          <w:rFonts w:hint="eastAsia" w:ascii="宋体" w:hAnsi="宋体" w:cs="宋体"/>
          <w:bCs/>
          <w:highlight w:val="none"/>
          <w:shd w:val="clear" w:color="auto" w:fill="ffffff"/>
          <w:lang w:val="zh-CN"/>
        </w:rPr>
        <w:t xml:space="preserve">也可以重新开展采购活动。</w:t>
      </w:r>
      <w:r>
        <w:rPr>
          <w:rFonts w:hint="eastAsia" w:ascii="宋体" w:hAnsi="宋体" w:cs="宋体"/>
          <w:bCs/>
          <w:highlight w:val="none"/>
          <w:shd w:val="clear" w:color="auto" w:fill="ffffff"/>
        </w:rPr>
        <w:t xml:space="preserve">放弃或</w:t>
      </w:r>
      <w:r>
        <w:rPr>
          <w:rFonts w:hint="eastAsia" w:ascii="宋体" w:hAnsi="宋体" w:cs="宋体"/>
          <w:bCs/>
          <w:highlight w:val="none"/>
          <w:shd w:val="clear" w:color="auto" w:fill="ffffff"/>
          <w:lang w:val="zh-CN"/>
        </w:rPr>
        <w:t xml:space="preserve">拒绝签订政府采购合同的成交供应商不得参加对该项目重新开展的采购活动，</w:t>
      </w:r>
      <w:r>
        <w:rPr>
          <w:rFonts w:hint="eastAsia" w:ascii="宋体" w:hAnsi="宋体" w:cs="宋体"/>
          <w:bCs/>
          <w:highlight w:val="none"/>
          <w:shd w:val="clear" w:color="auto" w:fill="ffffff"/>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24.5 采购合同履行中，经双方协商一致，在不改变合同其他条款的前提下，可以与成交供应商签订补充合同，但所有补充合同的采购金额不得超过原合同采购金额的百分之十。</w:t>
      </w:r>
      <w:r>
        <w:rPr>
          <w:highlight w:val="none"/>
        </w:rPr>
      </w:r>
      <w:r/>
    </w:p>
    <w:p>
      <w:pPr>
        <w:ind w:left="992" w:hanging="567"/>
        <w:jc w:val="center"/>
        <w:spacing w:before="240" w:after="240" w:line="360" w:lineRule="auto"/>
        <w:rPr>
          <w:rFonts w:ascii="宋体" w:hAnsi="宋体" w:cs="宋体"/>
          <w:bCs/>
          <w:sz w:val="28"/>
          <w:highlight w:val="none"/>
          <w:shd w:val="clear" w:color="auto" w:fill="ffffff"/>
        </w:rPr>
        <w:outlineLvl w:val="1"/>
      </w:pPr>
      <w:r>
        <w:rPr>
          <w:highlight w:val="none"/>
        </w:rPr>
      </w:r>
      <w:bookmarkStart w:id="54" w:name="_Toc27753"/>
      <w:r>
        <w:rPr>
          <w:highlight w:val="none"/>
        </w:rPr>
      </w:r>
      <w:bookmarkStart w:id="55" w:name="_Toc26637"/>
      <w:r>
        <w:rPr>
          <w:rFonts w:hint="eastAsia" w:ascii="宋体" w:hAnsi="宋体" w:cs="宋体"/>
          <w:sz w:val="28"/>
          <w:highlight w:val="none"/>
        </w:rPr>
        <w:t xml:space="preserve">七</w:t>
      </w:r>
      <w:r>
        <w:rPr>
          <w:rFonts w:hint="eastAsia" w:ascii="宋体" w:hAnsi="宋体" w:cs="宋体"/>
          <w:sz w:val="28"/>
          <w:highlight w:val="none"/>
          <w:lang w:val="zh-CN"/>
        </w:rPr>
        <w:t xml:space="preserve">、质疑和投诉</w:t>
      </w:r>
      <w:bookmarkEnd w:id="54"/>
      <w:r>
        <w:rPr>
          <w:highlight w:val="none"/>
        </w:rPr>
      </w:r>
      <w:bookmarkEnd w:id="55"/>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
          <w:highlight w:val="none"/>
          <w:shd w:val="clear" w:color="auto" w:fill="ffffff"/>
        </w:rPr>
        <w:t xml:space="preserve">23、质疑</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23.1 供应商认为采购文件、采购过程、中标或者成交结果使自己的权益受到损害的，可以在知道或者应知其权益受到损害之日起7个工作日内，</w:t>
      </w:r>
      <w:r>
        <w:rPr>
          <w:rFonts w:hint="eastAsia" w:ascii="宋体" w:hAnsi="宋体" w:cs="宋体"/>
          <w:bCs/>
          <w:highlight w:val="none"/>
          <w:shd w:val="clear" w:color="auto" w:fill="ffffff"/>
          <w:lang w:val="zh-CN"/>
        </w:rPr>
        <w:t xml:space="preserve">将质疑文件原件送达江苏国衡工程咨询有限公司</w:t>
      </w:r>
      <w:r>
        <w:rPr>
          <w:rFonts w:hint="eastAsia" w:ascii="宋体" w:hAnsi="宋体" w:cs="宋体"/>
          <w:bCs/>
          <w:highlight w:val="none"/>
          <w:shd w:val="clear" w:color="auto" w:fill="ffffff"/>
        </w:rPr>
        <w:t xml:space="preserve">。</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23.2 供应商必须在法定质疑期内一次性提出针对同一采购程序环节的质疑，</w:t>
      </w:r>
      <w:r>
        <w:rPr>
          <w:rFonts w:hint="eastAsia" w:ascii="宋体" w:hAnsi="宋体" w:cs="宋体"/>
          <w:bCs/>
          <w:highlight w:val="none"/>
        </w:rPr>
        <w:t xml:space="preserve">质疑期外提出的质疑，采购代理机构将不予受理</w:t>
      </w:r>
      <w:r>
        <w:rPr>
          <w:rFonts w:hint="eastAsia" w:ascii="宋体" w:hAnsi="宋体" w:cs="宋体"/>
          <w:bCs/>
          <w:highlight w:val="none"/>
          <w:shd w:val="clear" w:color="auto" w:fill="ffffff"/>
        </w:rPr>
        <w:t xml:space="preserve">。</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23.3 质疑文件应包括以下主要内容，并按照“谁主张、谁举证”的原则，附上相关证明材料。否则，不予受理：</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（1）质疑项目名称、项目编号、包号、招标公告发布时间、开标时间；</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（2）具体的质疑事项及事实依据、法律依据（具体条款）；</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（3）质疑相关证明文件或证明材料；</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（4）质疑供应商名称、地址、联系方式（包括手机、传真号码）；</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23.4 </w:t>
      </w:r>
      <w:r>
        <w:rPr>
          <w:rFonts w:hint="eastAsia" w:ascii="宋体" w:hAnsi="宋体" w:cs="宋体"/>
          <w:bCs/>
          <w:highlight w:val="none"/>
          <w:shd w:val="clear" w:color="auto" w:fill="ffffff"/>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委托人签字或者盖章，并加盖公章。</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23.5</w:t>
      </w:r>
      <w:r>
        <w:rPr>
          <w:rFonts w:hint="eastAsia" w:ascii="宋体" w:hAnsi="宋体" w:cs="宋体"/>
          <w:bCs/>
          <w:szCs w:val="20"/>
          <w:highlight w:val="none"/>
          <w:shd w:val="clear" w:color="auto" w:fill="ffffff"/>
        </w:rPr>
        <w:t xml:space="preserve">质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23.6 </w:t>
      </w:r>
      <w:r>
        <w:rPr>
          <w:rFonts w:hint="eastAsia" w:ascii="宋体" w:hAnsi="宋体" w:cs="宋体"/>
          <w:bCs/>
          <w:highlight w:val="none"/>
          <w:shd w:val="clear" w:color="auto" w:fill="ffffff"/>
          <w:lang w:val="zh-CN"/>
        </w:rPr>
        <w:t xml:space="preserve">采购代理</w:t>
      </w:r>
      <w:r>
        <w:rPr>
          <w:rFonts w:hint="eastAsia" w:ascii="宋体" w:hAnsi="宋体" w:cs="宋体"/>
          <w:bCs/>
          <w:highlight w:val="none"/>
          <w:shd w:val="clear" w:color="auto" w:fill="ffffff"/>
        </w:rPr>
        <w:t xml:space="preserve">在收到供应商的书面质疑后将及时组织调查核实，在</w:t>
      </w:r>
      <w:r>
        <w:rPr>
          <w:rFonts w:hint="eastAsia" w:ascii="宋体" w:hAnsi="宋体" w:cs="宋体"/>
          <w:bCs/>
          <w:highlight w:val="none"/>
          <w:shd w:val="clear" w:color="auto" w:fill="ffffff"/>
          <w:lang w:val="zh-CN"/>
        </w:rPr>
        <w:t xml:space="preserve">七个工作日内作出答复，并以书面通知质疑供应商和其他有关供应商，答复的内容不涉及商业秘密。采购代理</w:t>
      </w:r>
      <w:r>
        <w:rPr>
          <w:rFonts w:hint="eastAsia" w:ascii="宋体" w:hAnsi="宋体" w:cs="宋体"/>
          <w:bCs/>
          <w:highlight w:val="none"/>
          <w:shd w:val="clear" w:color="auto" w:fill="ffffff"/>
        </w:rPr>
        <w:t xml:space="preserve">遵循“谁过错谁负担”的原则，有过错的一方承担调查论证费用。</w:t>
      </w:r>
      <w:r>
        <w:rPr>
          <w:highlight w:val="none"/>
        </w:rPr>
      </w:r>
      <w:r/>
    </w:p>
    <w:p>
      <w:pPr>
        <w:ind w:firstLine="422"/>
        <w:spacing w:line="360" w:lineRule="auto"/>
        <w:rPr>
          <w:rFonts w:ascii="宋体" w:hAnsi="宋体" w:cs="宋体"/>
          <w:b/>
          <w:szCs w:val="21"/>
          <w:highlight w:val="none"/>
        </w:rPr>
      </w:pPr>
      <w:r>
        <w:rPr>
          <w:rFonts w:hint="eastAsia" w:ascii="宋体" w:hAnsi="宋体" w:cs="宋体"/>
          <w:b/>
          <w:highlight w:val="none"/>
        </w:rPr>
        <w:t xml:space="preserve">24</w:t>
      </w:r>
      <w:r>
        <w:rPr>
          <w:rFonts w:hint="eastAsia" w:ascii="宋体" w:hAnsi="宋体" w:cs="宋体"/>
          <w:b/>
          <w:highlight w:val="none"/>
          <w:lang w:val="zh-CN"/>
        </w:rPr>
        <w:t xml:space="preserve">、</w:t>
      </w:r>
      <w:r>
        <w:rPr>
          <w:rFonts w:hint="eastAsia" w:ascii="宋体" w:hAnsi="宋体" w:cs="宋体"/>
          <w:b/>
          <w:szCs w:val="21"/>
          <w:highlight w:val="none"/>
          <w:lang w:bidi="ar"/>
        </w:rPr>
        <w:t xml:space="preserve">投诉</w:t>
      </w:r>
      <w:r>
        <w:rPr>
          <w:highlight w:val="none"/>
        </w:rPr>
      </w:r>
      <w:r/>
    </w:p>
    <w:p>
      <w:pPr>
        <w:ind w:firstLine="420"/>
        <w:spacing w:line="360" w:lineRule="auto"/>
        <w:rPr>
          <w:rFonts w:ascii="宋体" w:hAnsi="宋体" w:cs="宋体"/>
          <w:bCs/>
          <w:color w:val="ff0000"/>
          <w:highlight w:val="none"/>
          <w:shd w:val="clear" w:color="auto" w:fill="ffffff"/>
        </w:rPr>
      </w:pPr>
      <w:r>
        <w:rPr>
          <w:rFonts w:hint="eastAsia" w:ascii="宋体" w:hAnsi="宋体" w:cs="宋体"/>
          <w:bCs/>
          <w:highlight w:val="none"/>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szCs w:val="21"/>
          <w:highlight w:val="none"/>
          <w:lang w:val="zh-CN"/>
        </w:rPr>
        <w:t xml:space="preserve">十五个工作日内向同级政府采购监督管理部门投诉</w:t>
      </w:r>
      <w:r>
        <w:rPr>
          <w:rFonts w:hint="eastAsia" w:ascii="宋体" w:hAnsi="宋体" w:cs="宋体"/>
          <w:bCs/>
          <w:highlight w:val="none"/>
          <w:shd w:val="clear" w:color="auto" w:fill="ffffff"/>
        </w:rPr>
        <w:t xml:space="preserve">。</w:t>
      </w:r>
      <w:r>
        <w:rPr>
          <w:highlight w:val="none"/>
        </w:rPr>
      </w:r>
      <w:r/>
    </w:p>
    <w:p>
      <w:pPr>
        <w:ind w:firstLine="420"/>
        <w:spacing w:line="360" w:lineRule="auto"/>
        <w:rPr>
          <w:rFonts w:ascii="宋体" w:hAnsi="宋体" w:cs="宋体"/>
          <w:b/>
          <w:highlight w:val="none"/>
        </w:rPr>
      </w:pPr>
      <w:r>
        <w:rPr>
          <w:rFonts w:hint="eastAsia" w:ascii="宋体" w:hAnsi="宋体" w:cs="宋体"/>
          <w:b/>
          <w:highlight w:val="none"/>
          <w:lang w:val="zh-CN"/>
        </w:rPr>
        <w:t xml:space="preserve">2</w:t>
      </w:r>
      <w:r>
        <w:rPr>
          <w:rFonts w:hint="eastAsia" w:ascii="宋体" w:hAnsi="宋体" w:cs="宋体"/>
          <w:b/>
          <w:highlight w:val="none"/>
        </w:rPr>
        <w:t xml:space="preserve">5</w:t>
      </w:r>
      <w:r>
        <w:rPr>
          <w:rFonts w:hint="eastAsia" w:ascii="宋体" w:hAnsi="宋体" w:cs="宋体"/>
          <w:b/>
          <w:highlight w:val="none"/>
          <w:lang w:val="zh-CN"/>
        </w:rPr>
        <w:t xml:space="preserve">、诚实信用</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25</w:t>
      </w:r>
      <w:r>
        <w:rPr>
          <w:rFonts w:hint="eastAsia" w:ascii="宋体" w:hAnsi="宋体" w:cs="宋体"/>
          <w:bCs/>
          <w:highlight w:val="none"/>
          <w:shd w:val="clear" w:color="auto" w:fill="ffffff"/>
          <w:lang w:val="zh-CN"/>
        </w:rPr>
        <w:t xml:space="preserve">.1</w:t>
      </w:r>
      <w:r>
        <w:rPr>
          <w:rFonts w:hint="eastAsia" w:ascii="宋体" w:hAnsi="宋体" w:cs="宋体"/>
          <w:bCs/>
          <w:highlight w:val="none"/>
          <w:shd w:val="clear" w:color="auto" w:fill="ffffff"/>
        </w:rPr>
        <w:t xml:space="preserve"> </w:t>
      </w:r>
      <w:r>
        <w:rPr>
          <w:rFonts w:hint="eastAsia" w:ascii="宋体" w:hAnsi="宋体" w:cs="宋体"/>
          <w:bCs/>
          <w:highlight w:val="none"/>
          <w:shd w:val="clear" w:color="auto" w:fill="ffffff"/>
          <w:lang w:val="zh-CN"/>
        </w:rPr>
        <w:t xml:space="preserve">供应商之间不得相互串通报价，不得妨碍其他供应商的公平竞争，不得损害采购人和其他供应商的合法权益。</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25</w:t>
      </w:r>
      <w:r>
        <w:rPr>
          <w:rFonts w:hint="eastAsia" w:ascii="宋体" w:hAnsi="宋体" w:cs="宋体"/>
          <w:bCs/>
          <w:highlight w:val="none"/>
          <w:shd w:val="clear" w:color="auto" w:fill="ffffff"/>
          <w:lang w:val="zh-CN"/>
        </w:rPr>
        <w:t xml:space="preserve">.2</w:t>
      </w:r>
      <w:r>
        <w:rPr>
          <w:rFonts w:hint="eastAsia" w:ascii="宋体" w:hAnsi="宋体" w:cs="宋体"/>
          <w:bCs/>
          <w:highlight w:val="none"/>
          <w:shd w:val="clear" w:color="auto" w:fill="ffffff"/>
        </w:rPr>
        <w:t xml:space="preserve"> </w:t>
      </w:r>
      <w:r>
        <w:rPr>
          <w:rFonts w:hint="eastAsia" w:ascii="宋体" w:hAnsi="宋体" w:cs="宋体"/>
          <w:bCs/>
          <w:highlight w:val="none"/>
          <w:shd w:val="clear" w:color="auto" w:fill="ffffff"/>
          <w:lang w:val="zh-CN"/>
        </w:rPr>
        <w:t xml:space="preserve">供应商不得以向采购代理工作人员、磋商小组成员行贿或者采取其他不正当手段谋取成交。经查实供应商有此行为的，</w:t>
      </w:r>
      <w:r>
        <w:rPr>
          <w:rFonts w:hint="eastAsia" w:ascii="宋体" w:hAnsi="宋体" w:cs="宋体"/>
          <w:bCs/>
          <w:highlight w:val="none"/>
          <w:shd w:val="clear" w:color="auto" w:fill="ffffff"/>
        </w:rPr>
        <w:t xml:space="preserve">政府采购管理部门将供应商列入不良行为记录名单，按照《政府采购法》有关规定处理。</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25</w:t>
      </w:r>
      <w:r>
        <w:rPr>
          <w:rFonts w:hint="eastAsia" w:ascii="宋体" w:hAnsi="宋体" w:cs="宋体"/>
          <w:bCs/>
          <w:highlight w:val="none"/>
          <w:shd w:val="clear" w:color="auto" w:fill="ffffff"/>
          <w:lang w:val="zh-CN"/>
        </w:rPr>
        <w:t xml:space="preserve">.3</w:t>
      </w:r>
      <w:r>
        <w:rPr>
          <w:rFonts w:hint="eastAsia" w:ascii="宋体" w:hAnsi="宋体" w:cs="宋体"/>
          <w:bCs/>
          <w:highlight w:val="none"/>
          <w:shd w:val="clear" w:color="auto" w:fill="ffffff"/>
        </w:rPr>
        <w:t xml:space="preserve"> </w:t>
      </w:r>
      <w:r>
        <w:rPr>
          <w:rFonts w:hint="eastAsia" w:ascii="宋体" w:hAnsi="宋体" w:cs="宋体"/>
          <w:bCs/>
          <w:highlight w:val="none"/>
          <w:shd w:val="clear" w:color="auto" w:fill="ffffff"/>
          <w:lang w:val="zh-CN"/>
        </w:rPr>
        <w:t xml:space="preserve">供应商不得虚假质疑和恶意质疑，并对质疑内容的真实性承担责任。</w:t>
      </w:r>
      <w:r>
        <w:rPr>
          <w:rFonts w:hint="eastAsia" w:ascii="宋体" w:hAnsi="宋体" w:cs="宋体"/>
          <w:bCs/>
          <w:highlight w:val="none"/>
          <w:shd w:val="clear" w:color="auto" w:fill="ffffff"/>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25</w:t>
      </w:r>
      <w:r>
        <w:rPr>
          <w:rFonts w:hint="eastAsia" w:ascii="宋体" w:hAnsi="宋体" w:cs="宋体"/>
          <w:bCs/>
          <w:highlight w:val="none"/>
          <w:shd w:val="clear" w:color="auto" w:fill="ffffff"/>
          <w:lang w:val="zh-CN"/>
        </w:rPr>
        <w:t xml:space="preserve">.4</w:t>
      </w:r>
      <w:r>
        <w:rPr>
          <w:rFonts w:hint="eastAsia" w:ascii="宋体" w:hAnsi="宋体" w:cs="宋体"/>
          <w:bCs/>
          <w:highlight w:val="none"/>
          <w:shd w:val="clear" w:color="auto" w:fill="ffffff"/>
        </w:rPr>
        <w:t xml:space="preserve"> </w:t>
      </w:r>
      <w:r>
        <w:rPr>
          <w:rFonts w:hint="eastAsia" w:ascii="宋体" w:hAnsi="宋体" w:cs="宋体"/>
          <w:bCs/>
          <w:highlight w:val="none"/>
          <w:shd w:val="clear" w:color="auto" w:fill="ffffff"/>
          <w:lang w:val="zh-CN"/>
        </w:rPr>
        <w:t xml:space="preserve">供应商不得虚假承诺，否则，按照提供虚假材料谋取成交处理。</w:t>
      </w:r>
      <w:r>
        <w:rPr>
          <w:highlight w:val="none"/>
        </w:rPr>
      </w:r>
      <w:r/>
    </w:p>
    <w:p>
      <w:pPr>
        <w:ind w:firstLine="420"/>
        <w:spacing w:line="360" w:lineRule="auto"/>
        <w:rPr>
          <w:rFonts w:ascii="宋体" w:hAnsi="宋体" w:cs="宋体"/>
          <w:bCs/>
          <w:highlight w:val="none"/>
          <w:shd w:val="clear" w:color="auto" w:fill="ffffff"/>
        </w:rPr>
      </w:pPr>
      <w:r>
        <w:rPr>
          <w:rFonts w:hint="eastAsia" w:ascii="宋体" w:hAnsi="宋体" w:cs="宋体"/>
          <w:bCs/>
          <w:highlight w:val="none"/>
          <w:shd w:val="clear" w:color="auto" w:fill="ffffff"/>
        </w:rPr>
        <w:t xml:space="preserve">25</w:t>
      </w:r>
      <w:r>
        <w:rPr>
          <w:rFonts w:hint="eastAsia" w:ascii="宋体" w:hAnsi="宋体" w:cs="宋体"/>
          <w:bCs/>
          <w:highlight w:val="none"/>
          <w:shd w:val="clear" w:color="auto" w:fill="ffffff"/>
          <w:lang w:val="zh-CN"/>
        </w:rPr>
        <w:t xml:space="preserve">.5</w:t>
      </w:r>
      <w:r>
        <w:rPr>
          <w:rFonts w:hint="eastAsia" w:ascii="宋体" w:hAnsi="宋体" w:cs="宋体"/>
          <w:bCs/>
          <w:highlight w:val="none"/>
          <w:shd w:val="clear" w:color="auto" w:fill="ffffff"/>
        </w:rPr>
        <w:t xml:space="preserve"> </w:t>
      </w:r>
      <w:r>
        <w:rPr>
          <w:rFonts w:hint="eastAsia" w:ascii="宋体" w:hAnsi="宋体" w:cs="宋体"/>
          <w:bCs/>
          <w:highlight w:val="none"/>
          <w:shd w:val="clear" w:color="auto" w:fill="ffffff"/>
          <w:lang w:val="zh-CN"/>
        </w:rPr>
        <w:t xml:space="preserve">供应商应自觉遵守磋商、评审纪律，扰乱磋商、评审现场秩序的，属于失信行为，根据《江苏省政府采购供应商监督管理暂行办法》，失信行为将被记入供应商诚信档案。</w:t>
      </w:r>
      <w:r>
        <w:rPr>
          <w:highlight w:val="none"/>
        </w:rPr>
      </w:r>
      <w:r/>
    </w:p>
    <w:p>
      <w:pPr>
        <w:ind w:firstLine="420"/>
        <w:spacing w:line="360" w:lineRule="auto"/>
        <w:rPr>
          <w:rFonts w:ascii="宋体" w:hAnsi="宋体" w:cs="宋体"/>
          <w:highlight w:val="none"/>
        </w:rPr>
      </w:pPr>
      <w:r>
        <w:rPr>
          <w:rFonts w:ascii="宋体" w:hAnsi="宋体" w:cs="宋体"/>
          <w:highlight w:val="none"/>
          <w:lang w:val="zh-CN"/>
        </w:rPr>
      </w:r>
      <w:r>
        <w:rPr>
          <w:highlight w:val="none"/>
        </w:rPr>
      </w:r>
      <w:r/>
    </w:p>
    <w:p>
      <w:pPr>
        <w:pStyle w:val="1004"/>
        <w:spacing w:line="240" w:lineRule="auto"/>
        <w:rPr>
          <w:highlight w:val="none"/>
        </w:rPr>
      </w:pPr>
      <w:r>
        <w:rPr>
          <w:highlight w:val="none"/>
        </w:rPr>
      </w:r>
      <w:bookmarkStart w:id="56" w:name="_Toc535597871"/>
      <w:r>
        <w:rPr>
          <w:rFonts w:hint="eastAsia"/>
          <w:highlight w:val="none"/>
        </w:rPr>
        <w:br w:type="page" w:clear="all"/>
      </w:r>
      <w:bookmarkStart w:id="57" w:name="_Toc4602"/>
      <w:r>
        <w:rPr>
          <w:rFonts w:hint="eastAsia"/>
          <w:highlight w:val="none"/>
        </w:rPr>
        <w:t xml:space="preserve">第三章</w:t>
      </w:r>
      <w:r>
        <w:rPr>
          <w:rFonts w:hint="eastAsia"/>
          <w:highlight w:val="none"/>
        </w:rPr>
        <w:t xml:space="preserve"> </w:t>
      </w:r>
      <w:bookmarkStart w:id="58" w:name="_Toc503948574"/>
      <w:r>
        <w:rPr>
          <w:highlight w:val="none"/>
        </w:rPr>
      </w:r>
      <w:bookmarkStart w:id="59" w:name="_Toc503948067"/>
      <w:r>
        <w:rPr>
          <w:rFonts w:hint="eastAsia"/>
          <w:highlight w:val="none"/>
          <w:lang w:val="en-US"/>
        </w:rPr>
        <w:t xml:space="preserve"> </w:t>
      </w:r>
      <w:r>
        <w:rPr>
          <w:rFonts w:hint="eastAsia"/>
          <w:highlight w:val="none"/>
        </w:rPr>
        <w:t xml:space="preserve">磋商评审标准</w:t>
      </w:r>
      <w:bookmarkEnd w:id="56"/>
      <w:r>
        <w:rPr>
          <w:highlight w:val="none"/>
        </w:rPr>
      </w:r>
      <w:bookmarkEnd w:id="57"/>
      <w:r>
        <w:rPr>
          <w:highlight w:val="none"/>
        </w:rPr>
      </w:r>
      <w:bookmarkEnd w:id="58"/>
      <w:r>
        <w:rPr>
          <w:highlight w:val="none"/>
        </w:rPr>
      </w:r>
      <w:bookmarkEnd w:id="59"/>
      <w:r>
        <w:rPr>
          <w:highlight w:val="none"/>
        </w:rPr>
      </w:r>
      <w:r/>
    </w:p>
    <w:p>
      <w:pPr>
        <w:ind w:firstLine="477"/>
        <w:spacing w:line="360" w:lineRule="auto"/>
        <w:rPr>
          <w:rFonts w:cs="宋体"/>
          <w:b/>
          <w:sz w:val="24"/>
          <w:highlight w:val="none"/>
        </w:rPr>
      </w:pPr>
      <w:r>
        <w:rPr>
          <w:highlight w:val="none"/>
        </w:rPr>
      </w:r>
      <w:bookmarkStart w:id="60" w:name="_Toc400722722"/>
      <w:r>
        <w:rPr>
          <w:highlight w:val="none"/>
        </w:rPr>
      </w:r>
      <w:bookmarkStart w:id="61" w:name="_Toc402966376"/>
      <w:r>
        <w:rPr>
          <w:rFonts w:hint="eastAsia" w:cs="宋体"/>
          <w:b/>
          <w:sz w:val="24"/>
          <w:highlight w:val="none"/>
        </w:rPr>
        <w:t xml:space="preserve">一、详细评审即磋商小组</w:t>
      </w:r>
      <w:r>
        <w:rPr>
          <w:rFonts w:cs="宋体"/>
          <w:b/>
          <w:sz w:val="24"/>
          <w:highlight w:val="none"/>
        </w:rPr>
        <w:t xml:space="preserve">按</w:t>
      </w:r>
      <w:r>
        <w:rPr>
          <w:rFonts w:hint="eastAsia" w:cs="宋体"/>
          <w:b/>
          <w:sz w:val="24"/>
          <w:highlight w:val="none"/>
        </w:rPr>
        <w:t xml:space="preserve">采购</w:t>
      </w:r>
      <w:r>
        <w:rPr>
          <w:rFonts w:cs="宋体"/>
          <w:b/>
          <w:sz w:val="24"/>
          <w:highlight w:val="none"/>
        </w:rPr>
        <w:t xml:space="preserve">文件中规定的评标方法和标准，对</w:t>
      </w:r>
      <w:r>
        <w:rPr>
          <w:rFonts w:hint="eastAsia" w:cs="宋体"/>
          <w:b/>
          <w:sz w:val="24"/>
          <w:highlight w:val="none"/>
        </w:rPr>
        <w:t xml:space="preserve">通过初审</w:t>
      </w:r>
      <w:r>
        <w:rPr>
          <w:rFonts w:cs="宋体"/>
          <w:b/>
          <w:sz w:val="24"/>
          <w:highlight w:val="none"/>
        </w:rPr>
        <w:t xml:space="preserve">的</w:t>
      </w:r>
      <w:r>
        <w:rPr>
          <w:rFonts w:hint="eastAsia" w:cs="宋体"/>
          <w:b/>
          <w:sz w:val="24"/>
          <w:highlight w:val="none"/>
        </w:rPr>
        <w:t xml:space="preserve">磋商响应文件</w:t>
      </w:r>
      <w:r>
        <w:rPr>
          <w:rFonts w:cs="宋体"/>
          <w:b/>
          <w:sz w:val="24"/>
          <w:highlight w:val="none"/>
        </w:rPr>
        <w:t xml:space="preserve">进行</w:t>
      </w:r>
      <w:r>
        <w:rPr>
          <w:rFonts w:hint="eastAsia" w:cs="宋体"/>
          <w:b/>
          <w:sz w:val="24"/>
          <w:highlight w:val="none"/>
        </w:rPr>
        <w:t xml:space="preserve">技术</w:t>
      </w:r>
      <w:r>
        <w:rPr>
          <w:rFonts w:cs="宋体"/>
          <w:b/>
          <w:sz w:val="24"/>
          <w:highlight w:val="none"/>
        </w:rPr>
        <w:t xml:space="preserve">评估</w:t>
      </w:r>
      <w:r>
        <w:rPr>
          <w:rFonts w:hint="eastAsia" w:cs="宋体"/>
          <w:b/>
          <w:sz w:val="24"/>
          <w:highlight w:val="none"/>
        </w:rPr>
        <w:t xml:space="preserve">、</w:t>
      </w:r>
      <w:r>
        <w:rPr>
          <w:rFonts w:cs="宋体"/>
          <w:b/>
          <w:sz w:val="24"/>
          <w:highlight w:val="none"/>
        </w:rPr>
        <w:t xml:space="preserve">综合比较与评价</w:t>
      </w:r>
      <w:r>
        <w:rPr>
          <w:rFonts w:hint="eastAsia" w:cs="宋体"/>
          <w:b/>
          <w:sz w:val="24"/>
          <w:highlight w:val="none"/>
        </w:rPr>
        <w:t xml:space="preserve">。</w:t>
      </w:r>
      <w:r>
        <w:rPr>
          <w:highlight w:val="none"/>
        </w:rPr>
      </w:r>
      <w:r/>
    </w:p>
    <w:p>
      <w:pPr>
        <w:ind w:firstLine="477"/>
        <w:spacing w:line="360" w:lineRule="auto"/>
        <w:rPr>
          <w:rFonts w:ascii="宋体" w:hAnsi="宋体" w:cs="宋体"/>
          <w:sz w:val="24"/>
          <w:highlight w:val="none"/>
        </w:rPr>
      </w:pPr>
      <w:r>
        <w:rPr>
          <w:rFonts w:hint="eastAsia" w:cs="宋体"/>
          <w:b/>
          <w:sz w:val="24"/>
          <w:highlight w:val="none"/>
        </w:rPr>
        <w:t xml:space="preserve">本项目评审标准采用综合评分法。</w:t>
      </w:r>
      <w:bookmarkStart w:id="62" w:name="_Toc503948575"/>
      <w:r>
        <w:rPr>
          <w:highlight w:val="none"/>
        </w:rPr>
      </w:r>
      <w:bookmarkStart w:id="63" w:name="_Toc503948068"/>
      <w:r>
        <w:rPr>
          <w:highlight w:val="none"/>
        </w:rPr>
      </w:r>
      <w:bookmarkStart w:id="64" w:name="_Toc535597872"/>
      <w:r>
        <w:rPr>
          <w:highlight w:val="none"/>
        </w:rPr>
      </w:r>
      <w:r/>
    </w:p>
    <w:p>
      <w:pPr>
        <w:ind w:firstLine="482"/>
        <w:spacing w:line="360" w:lineRule="auto"/>
        <w:rPr>
          <w:rFonts w:ascii="黑体" w:hAnsi="黑体"/>
          <w:highlight w:val="none"/>
        </w:rPr>
      </w:pPr>
      <w:r>
        <w:rPr>
          <w:rFonts w:hint="eastAsia" w:ascii="宋体" w:hAnsi="宋体"/>
          <w:b/>
          <w:sz w:val="24"/>
          <w:highlight w:val="none"/>
        </w:rPr>
        <w:t xml:space="preserve">二、评审评分标准</w:t>
      </w:r>
      <w:r>
        <w:rPr>
          <w:highlight w:val="none"/>
        </w:rPr>
      </w:r>
      <w:r/>
    </w:p>
    <w:tbl>
      <w:tblPr>
        <w:tblW w:w="91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2"/>
        <w:gridCol w:w="1325"/>
        <w:gridCol w:w="6239"/>
        <w:gridCol w:w="800"/>
      </w:tblGrid>
      <w:tr>
        <w:trPr>
          <w:jc w:val="center"/>
          <w:trHeight w:val="360"/>
        </w:trPr>
        <w:tc>
          <w:tcPr>
            <w:tcW w:w="802" w:type="dxa"/>
            <w:vAlign w:val="center"/>
            <w:textDirection w:val="lrTb"/>
            <w:noWrap/>
          </w:tcPr>
          <w:p>
            <w:pPr>
              <w:jc w:val="center"/>
              <w:spacing w:line="360" w:lineRule="auto"/>
              <w:tabs>
                <w:tab w:val="left" w:pos="1440" w:leader="none"/>
              </w:tabs>
              <w:rPr>
                <w:rFonts w:ascii="宋体" w:hAnsi="宋体" w:cs="宋体"/>
                <w:b/>
                <w:bCs/>
                <w:szCs w:val="21"/>
                <w:highlight w:val="none"/>
              </w:rPr>
            </w:pPr>
            <w:r>
              <w:rPr>
                <w:rFonts w:hint="eastAsia" w:ascii="宋体" w:hAnsi="宋体" w:cs="宋体"/>
                <w:b/>
                <w:bCs/>
                <w:szCs w:val="21"/>
                <w:highlight w:val="none"/>
              </w:rPr>
              <w:t xml:space="preserve">序号</w:t>
            </w:r>
            <w:r>
              <w:rPr>
                <w:highlight w:val="none"/>
              </w:rPr>
            </w:r>
            <w:r/>
          </w:p>
        </w:tc>
        <w:tc>
          <w:tcPr>
            <w:tcW w:w="1325" w:type="dxa"/>
            <w:vAlign w:val="center"/>
            <w:textDirection w:val="lrTb"/>
            <w:noWrap/>
          </w:tcPr>
          <w:p>
            <w:pPr>
              <w:jc w:val="center"/>
              <w:spacing w:line="360" w:lineRule="auto"/>
              <w:tabs>
                <w:tab w:val="left" w:pos="1440" w:leader="none"/>
              </w:tabs>
              <w:rPr>
                <w:rFonts w:ascii="宋体" w:hAnsi="宋体" w:cs="宋体"/>
                <w:b/>
                <w:bCs/>
                <w:szCs w:val="21"/>
                <w:highlight w:val="none"/>
              </w:rPr>
            </w:pPr>
            <w:r>
              <w:rPr>
                <w:rFonts w:hint="eastAsia" w:ascii="宋体" w:hAnsi="宋体" w:cs="宋体"/>
                <w:b/>
                <w:bCs/>
                <w:szCs w:val="21"/>
                <w:highlight w:val="none"/>
              </w:rPr>
              <w:t xml:space="preserve">评分因素</w:t>
            </w:r>
            <w:r>
              <w:rPr>
                <w:highlight w:val="none"/>
              </w:rPr>
            </w:r>
            <w:r/>
          </w:p>
        </w:tc>
        <w:tc>
          <w:tcPr>
            <w:tcW w:w="6239" w:type="dxa"/>
            <w:vAlign w:val="center"/>
            <w:textDirection w:val="lrTb"/>
            <w:noWrap/>
          </w:tcPr>
          <w:p>
            <w:pPr>
              <w:jc w:val="center"/>
              <w:spacing w:line="360" w:lineRule="auto"/>
              <w:tabs>
                <w:tab w:val="left" w:pos="1440" w:leader="none"/>
              </w:tabs>
              <w:rPr>
                <w:rFonts w:ascii="宋体" w:hAnsi="宋体" w:cs="宋体"/>
                <w:b/>
                <w:bCs/>
                <w:szCs w:val="21"/>
                <w:highlight w:val="none"/>
              </w:rPr>
            </w:pPr>
            <w:r>
              <w:rPr>
                <w:rFonts w:hint="eastAsia" w:ascii="宋体" w:hAnsi="宋体" w:cs="宋体"/>
                <w:b/>
                <w:bCs/>
                <w:szCs w:val="21"/>
                <w:highlight w:val="none"/>
              </w:rPr>
              <w:t xml:space="preserve">评审标准</w:t>
            </w:r>
            <w:r>
              <w:rPr>
                <w:highlight w:val="none"/>
              </w:rPr>
            </w:r>
            <w:r/>
          </w:p>
        </w:tc>
        <w:tc>
          <w:tcPr>
            <w:tcW w:w="800" w:type="dxa"/>
            <w:vAlign w:val="center"/>
            <w:textDirection w:val="lrTb"/>
            <w:noWrap/>
          </w:tcPr>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分值</w:t>
            </w:r>
            <w:r>
              <w:rPr>
                <w:highlight w:val="none"/>
              </w:rPr>
            </w:r>
            <w:r/>
          </w:p>
        </w:tc>
      </w:tr>
      <w:tr>
        <w:trPr>
          <w:jc w:val="center"/>
          <w:trHeight w:val="1579"/>
        </w:trPr>
        <w:tc>
          <w:tcPr>
            <w:tcW w:w="802" w:type="dxa"/>
            <w:vAlign w:val="center"/>
            <w:textDirection w:val="lrTb"/>
            <w:noWrap/>
          </w:tcPr>
          <w:p>
            <w:pPr>
              <w:jc w:val="center"/>
              <w:spacing w:line="360" w:lineRule="auto"/>
              <w:tabs>
                <w:tab w:val="left" w:pos="144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1</w:t>
            </w:r>
            <w:r>
              <w:rPr>
                <w:highlight w:val="none"/>
              </w:rPr>
            </w:r>
            <w:r/>
          </w:p>
        </w:tc>
        <w:tc>
          <w:tcPr>
            <w:tcW w:w="1325" w:type="dxa"/>
            <w:vAlign w:val="center"/>
            <w:textDirection w:val="lrTb"/>
            <w:noWrap/>
          </w:tcPr>
          <w:p>
            <w:pPr>
              <w:jc w:val="center"/>
              <w:spacing w:line="360" w:lineRule="auto"/>
              <w:tabs>
                <w:tab w:val="left" w:pos="144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价格</w:t>
            </w:r>
            <w:r>
              <w:rPr>
                <w:highlight w:val="none"/>
              </w:rPr>
            </w:r>
            <w:r/>
          </w:p>
        </w:tc>
        <w:tc>
          <w:tcPr>
            <w:tcW w:w="6239" w:type="dxa"/>
            <w:vAlign w:val="center"/>
            <w:textDirection w:val="lrTb"/>
            <w:noWrap/>
          </w:tcPr>
          <w:p>
            <w:pPr>
              <w:jc w:val="left"/>
              <w:spacing w:line="360" w:lineRule="auto"/>
              <w:tabs>
                <w:tab w:val="left" w:pos="1440" w:leader="none"/>
              </w:tabs>
              <w:rPr>
                <w:rFonts w:ascii="宋体" w:hAnsi="宋体"/>
                <w:color w:val="000000"/>
                <w:szCs w:val="21"/>
                <w:highlight w:val="none"/>
              </w:rPr>
            </w:pPr>
            <w:r>
              <w:rPr>
                <w:rFonts w:hint="eastAsia" w:ascii="宋体" w:hAnsi="宋体"/>
                <w:color w:val="000000"/>
                <w:szCs w:val="21"/>
                <w:highlight w:val="none"/>
              </w:rPr>
              <w:t xml:space="preserve">采用低价优先法计算，即满足磋商文件要求且最后报价最低的供应商的价格为磋商基准价，其价格分为满分，其他供应商的价格分统一按照下列公式计算：磋商报价得分=(评标基准价/磋商报价)×70（小数点后保留两位）</w:t>
            </w:r>
            <w:r>
              <w:rPr>
                <w:highlight w:val="none"/>
              </w:rPr>
            </w:r>
            <w:r/>
          </w:p>
          <w:p>
            <w:pPr>
              <w:jc w:val="left"/>
              <w:spacing w:line="360" w:lineRule="auto"/>
              <w:tabs>
                <w:tab w:val="left" w:pos="1440" w:leader="none"/>
              </w:tabs>
              <w:rPr>
                <w:highlight w:val="none"/>
              </w:rPr>
            </w:pPr>
            <w:r>
              <w:rPr>
                <w:rFonts w:hint="eastAsia" w:ascii="宋体" w:hAnsi="宋体"/>
                <w:b/>
                <w:bCs/>
                <w:color w:val="000000"/>
                <w:szCs w:val="21"/>
                <w:highlight w:val="none"/>
              </w:rPr>
              <w:t xml:space="preserve">本项目执行财库〔2026〕2号《关于推动解决政府采购异常低价问题相关工作的通知》的相关规定，具体详见第二章20.5要求。</w:t>
            </w:r>
            <w:r>
              <w:rPr>
                <w:highlight w:val="none"/>
              </w:rPr>
            </w:r>
            <w:r/>
          </w:p>
        </w:tc>
        <w:tc>
          <w:tcPr>
            <w:tcW w:w="800" w:type="dxa"/>
            <w:vAlign w:val="center"/>
            <w:textDirection w:val="lrTb"/>
            <w:noWrap/>
          </w:tcPr>
          <w:p>
            <w:pPr>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70</w:t>
            </w:r>
            <w:r>
              <w:rPr>
                <w:highlight w:val="none"/>
              </w:rPr>
            </w:r>
            <w:r/>
          </w:p>
        </w:tc>
      </w:tr>
      <w:tr>
        <w:trPr>
          <w:jc w:val="center"/>
          <w:trHeight w:val="77"/>
        </w:trPr>
        <w:tc>
          <w:tcPr>
            <w:tcW w:w="802" w:type="dxa"/>
            <w:vAlign w:val="center"/>
            <w:textDirection w:val="lrTb"/>
            <w:noWrap/>
          </w:tcPr>
          <w:p>
            <w:pPr>
              <w:jc w:val="center"/>
              <w:spacing w:line="360" w:lineRule="auto"/>
              <w:tabs>
                <w:tab w:val="left" w:pos="144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2</w:t>
            </w:r>
            <w:r>
              <w:rPr>
                <w:highlight w:val="none"/>
              </w:rPr>
            </w:r>
            <w:r/>
          </w:p>
        </w:tc>
        <w:tc>
          <w:tcPr>
            <w:tcW w:w="1325" w:type="dxa"/>
            <w:vAlign w:val="center"/>
            <w:textDirection w:val="lrTb"/>
            <w:noWrap/>
          </w:tcPr>
          <w:p>
            <w:pPr>
              <w:jc w:val="center"/>
              <w:spacing w:line="360" w:lineRule="auto"/>
              <w:tabs>
                <w:tab w:val="left" w:pos="144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项目组成员</w:t>
            </w:r>
            <w:r>
              <w:rPr>
                <w:highlight w:val="none"/>
              </w:rPr>
            </w:r>
            <w:r/>
          </w:p>
        </w:tc>
        <w:tc>
          <w:tcPr>
            <w:tcW w:w="6239" w:type="dxa"/>
            <w:vAlign w:val="center"/>
            <w:textDirection w:val="lrTb"/>
            <w:noWrap/>
          </w:tcPr>
          <w:p>
            <w:pPr>
              <w:jc w:val="left"/>
              <w:spacing w:line="360" w:lineRule="auto"/>
              <w:tabs>
                <w:tab w:val="left" w:pos="1440" w:leader="none"/>
              </w:tabs>
              <w:rPr>
                <w:rFonts w:ascii="宋体" w:hAnsi="宋体" w:cs="宋体"/>
                <w:color w:val="000000"/>
                <w:szCs w:val="21"/>
                <w:highlight w:val="none"/>
              </w:rPr>
            </w:pPr>
            <w:r>
              <w:rPr>
                <w:rFonts w:hint="eastAsia" w:ascii="宋体" w:hAnsi="宋体" w:cs="宋体"/>
                <w:color w:val="000000"/>
                <w:szCs w:val="21"/>
                <w:highlight w:val="none"/>
              </w:rPr>
              <w:t xml:space="preserve">1.供应商为本项目配置项目管理人员,包括施工员、质检（质量）员、安全员、资料员、</w:t>
            </w:r>
            <w:r>
              <w:rPr>
                <w:rFonts w:hint="eastAsia" w:ascii="宋体" w:hAnsi="宋体" w:cs="宋体"/>
                <w:bCs/>
                <w:szCs w:val="21"/>
                <w:highlight w:val="none"/>
              </w:rPr>
              <w:t xml:space="preserve">造价</w:t>
            </w:r>
            <w:r>
              <w:rPr>
                <w:rFonts w:hint="eastAsia" w:ascii="宋体" w:hAnsi="宋体" w:cs="宋体"/>
                <w:color w:val="000000"/>
                <w:szCs w:val="21"/>
                <w:highlight w:val="none"/>
              </w:rPr>
              <w:t xml:space="preserve">员。以上人员各一名(不可兼任)，此项满分</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分，缺少一名此项不得分。（提供项目组成员一览表；</w:t>
            </w:r>
            <w:r>
              <w:rPr>
                <w:rFonts w:hint="eastAsia" w:ascii="宋体" w:hAnsi="宋体" w:cs="宋体"/>
                <w:bCs/>
                <w:szCs w:val="21"/>
                <w:highlight w:val="none"/>
              </w:rPr>
              <w:t xml:space="preserve">相关人员有效身份证复印件；</w:t>
            </w:r>
            <w:r>
              <w:rPr>
                <w:rFonts w:hint="eastAsia" w:ascii="宋体" w:hAnsi="宋体" w:cs="宋体"/>
                <w:color w:val="000000"/>
                <w:szCs w:val="21"/>
                <w:highlight w:val="none"/>
              </w:rPr>
              <w:t xml:space="preserve">施工员、质检（质量）员、资料员</w:t>
            </w:r>
            <w:r>
              <w:rPr>
                <w:rFonts w:hint="eastAsia" w:ascii="宋体" w:hAnsi="宋体" w:cs="宋体"/>
                <w:bCs/>
                <w:szCs w:val="21"/>
                <w:highlight w:val="none"/>
              </w:rPr>
              <w:t xml:space="preserve">须</w:t>
            </w:r>
            <w:r>
              <w:rPr>
                <w:rFonts w:hint="eastAsia" w:ascii="宋体" w:hAnsi="宋体" w:cs="宋体"/>
                <w:color w:val="000000"/>
                <w:szCs w:val="21"/>
                <w:highlight w:val="none"/>
              </w:rPr>
              <w:t xml:space="preserve">具有相应的岗位培训合格证书，</w:t>
            </w:r>
            <w:r>
              <w:rPr>
                <w:rFonts w:hint="eastAsia" w:ascii="宋体" w:hAnsi="宋体" w:cs="宋体"/>
                <w:bCs/>
                <w:szCs w:val="21"/>
                <w:highlight w:val="none"/>
              </w:rPr>
              <w:t xml:space="preserve">造价员须具有二级(含)以上注册造价师证，安全员须具有安全生产考核合格证书C证，未提供的，不得分。</w:t>
            </w:r>
            <w:r>
              <w:rPr>
                <w:rFonts w:hint="eastAsia" w:ascii="宋体" w:hAnsi="宋体" w:cs="宋体"/>
                <w:color w:val="000000"/>
                <w:szCs w:val="21"/>
                <w:highlight w:val="none"/>
              </w:rPr>
              <w:t xml:space="preserve">）</w:t>
            </w:r>
            <w:r>
              <w:rPr>
                <w:highlight w:val="none"/>
              </w:rPr>
            </w:r>
            <w:r/>
          </w:p>
          <w:p>
            <w:pPr>
              <w:jc w:val="left"/>
              <w:spacing w:line="360" w:lineRule="auto"/>
              <w:tabs>
                <w:tab w:val="left" w:pos="1440" w:leader="none"/>
              </w:tabs>
              <w:rPr>
                <w:rFonts w:ascii="宋体" w:hAnsi="宋体" w:cs="宋体"/>
                <w:bCs/>
                <w:szCs w:val="21"/>
                <w:highlight w:val="none"/>
              </w:rPr>
            </w:pPr>
            <w:r>
              <w:rPr>
                <w:rFonts w:hint="eastAsia" w:ascii="宋体" w:hAnsi="宋体" w:cs="宋体"/>
                <w:color w:val="000000"/>
                <w:szCs w:val="21"/>
                <w:highlight w:val="none"/>
              </w:rPr>
              <w:t xml:space="preserve">2</w:t>
            </w:r>
            <w:r>
              <w:rPr>
                <w:rFonts w:hint="eastAsia" w:ascii="宋体" w:hAnsi="宋体" w:cs="宋体"/>
                <w:bCs/>
                <w:szCs w:val="21"/>
                <w:highlight w:val="none"/>
              </w:rPr>
              <w:t xml:space="preserve">.</w:t>
            </w:r>
            <w:r>
              <w:rPr>
                <w:rFonts w:hint="eastAsia" w:ascii="宋体" w:hAnsi="宋体" w:cs="宋体"/>
                <w:bCs/>
                <w:color w:val="000000"/>
                <w:szCs w:val="21"/>
                <w:highlight w:val="none"/>
              </w:rPr>
              <w:t xml:space="preserve">项目</w:t>
            </w:r>
            <w:r>
              <w:rPr>
                <w:rFonts w:hint="eastAsia" w:ascii="宋体" w:hAnsi="宋体" w:cs="宋体"/>
                <w:color w:val="000000"/>
                <w:szCs w:val="21"/>
                <w:highlight w:val="none"/>
              </w:rPr>
              <w:t xml:space="preserve">负责人具有高级及以上</w:t>
            </w:r>
            <w:r>
              <w:rPr>
                <w:rFonts w:hint="eastAsia" w:ascii="宋体" w:hAnsi="宋体" w:cs="宋体"/>
                <w:color w:val="000000"/>
                <w:szCs w:val="21"/>
                <w:highlight w:val="none"/>
                <w:lang w:val="zh-CN"/>
              </w:rPr>
              <w:t xml:space="preserve">工程师</w:t>
            </w:r>
            <w:r>
              <w:rPr>
                <w:rFonts w:hint="eastAsia" w:ascii="宋体" w:hAnsi="宋体" w:cs="宋体"/>
                <w:color w:val="000000"/>
                <w:szCs w:val="21"/>
                <w:highlight w:val="none"/>
              </w:rPr>
              <w:t xml:space="preserve">职称的，得4分，具有中级</w:t>
            </w:r>
            <w:r>
              <w:rPr>
                <w:rFonts w:hint="eastAsia" w:ascii="宋体" w:hAnsi="宋体" w:cs="宋体"/>
                <w:color w:val="000000"/>
                <w:szCs w:val="21"/>
                <w:highlight w:val="none"/>
                <w:lang w:val="zh-CN"/>
              </w:rPr>
              <w:t xml:space="preserve">工程师</w:t>
            </w:r>
            <w:r>
              <w:rPr>
                <w:rFonts w:hint="eastAsia" w:ascii="宋体" w:hAnsi="宋体" w:cs="宋体"/>
                <w:color w:val="000000"/>
                <w:szCs w:val="21"/>
                <w:highlight w:val="none"/>
              </w:rPr>
              <w:t xml:space="preserve">职称的，得2分，此项满分4分。</w:t>
            </w:r>
            <w:r>
              <w:rPr>
                <w:rFonts w:hint="eastAsia" w:ascii="宋体" w:hAnsi="宋体" w:cs="宋体"/>
                <w:bCs/>
                <w:szCs w:val="21"/>
                <w:highlight w:val="none"/>
              </w:rPr>
              <w:t xml:space="preserve">（提供相关职称证书复印件加盖公章。）</w:t>
            </w:r>
            <w:r>
              <w:rPr>
                <w:highlight w:val="none"/>
              </w:rPr>
            </w:r>
            <w:r/>
          </w:p>
          <w:p>
            <w:pPr>
              <w:jc w:val="left"/>
              <w:spacing w:line="360" w:lineRule="auto"/>
              <w:tabs>
                <w:tab w:val="left" w:pos="1440" w:leader="none"/>
              </w:tabs>
              <w:rPr>
                <w:rFonts w:ascii="宋体" w:hAnsi="宋体" w:cs="宋体"/>
                <w:color w:val="000000"/>
                <w:szCs w:val="21"/>
                <w:highlight w:val="none"/>
              </w:rPr>
            </w:pPr>
            <w:r>
              <w:rPr>
                <w:rFonts w:hint="eastAsia" w:ascii="宋体" w:hAnsi="宋体" w:cs="宋体"/>
                <w:b/>
                <w:bCs/>
                <w:color w:val="000000"/>
                <w:szCs w:val="21"/>
                <w:highlight w:val="none"/>
              </w:rPr>
              <w:t xml:space="preserve">注：①以上人员必须为本单位人员，同一人不得重复计分，资料缺一不得分。②以上人员均须提供近三月中任意一个月供应商为其缴纳的由劳动和社会保障部门出具的养老保险缴纳凭证；高校设计院或军队等事业编制人员无法提供社保证明，须提供所在单位的上级主管部门人事组织或编制主管部门出具的人员编制核准证明材料。</w:t>
            </w:r>
            <w:r>
              <w:rPr>
                <w:highlight w:val="none"/>
              </w:rPr>
            </w:r>
            <w:r/>
          </w:p>
        </w:tc>
        <w:tc>
          <w:tcPr>
            <w:tcW w:w="800" w:type="dxa"/>
            <w:vAlign w:val="center"/>
            <w:textDirection w:val="lrTb"/>
            <w:noWrap/>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9</w:t>
            </w:r>
            <w:r>
              <w:rPr>
                <w:highlight w:val="none"/>
              </w:rPr>
            </w:r>
            <w:r/>
          </w:p>
        </w:tc>
      </w:tr>
      <w:tr>
        <w:trPr>
          <w:jc w:val="center"/>
          <w:trHeight w:val="77"/>
        </w:trPr>
        <w:tc>
          <w:tcPr>
            <w:tcW w:w="802" w:type="dxa"/>
            <w:vAlign w:val="center"/>
            <w:textDirection w:val="lrTb"/>
            <w:noWrap/>
          </w:tcPr>
          <w:p>
            <w:pPr>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3</w:t>
            </w:r>
            <w:r>
              <w:rPr>
                <w:highlight w:val="none"/>
              </w:rPr>
            </w:r>
            <w:r/>
          </w:p>
        </w:tc>
        <w:tc>
          <w:tcPr>
            <w:tcW w:w="1325" w:type="dxa"/>
            <w:vAlign w:val="center"/>
            <w:textDirection w:val="lrTb"/>
            <w:noWrap/>
          </w:tcPr>
          <w:p>
            <w:pPr>
              <w:jc w:val="center"/>
              <w:spacing w:line="360" w:lineRule="auto"/>
              <w:tabs>
                <w:tab w:val="left" w:pos="144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企业业绩</w:t>
            </w:r>
            <w:r>
              <w:rPr>
                <w:highlight w:val="none"/>
              </w:rPr>
            </w:r>
            <w:r/>
          </w:p>
        </w:tc>
        <w:tc>
          <w:tcPr>
            <w:tcW w:w="6239" w:type="dxa"/>
            <w:textDirection w:val="lrTb"/>
            <w:noWrap/>
          </w:tcPr>
          <w:p>
            <w:pPr>
              <w:jc w:val="left"/>
              <w:spacing w:line="360" w:lineRule="auto"/>
              <w:tabs>
                <w:tab w:val="left" w:pos="1440" w:leader="none"/>
              </w:tabs>
              <w:rPr>
                <w:rFonts w:ascii="宋体" w:hAnsi="宋体" w:cs="宋体"/>
                <w:color w:val="ff0000"/>
                <w:szCs w:val="21"/>
                <w:highlight w:val="none"/>
              </w:rPr>
            </w:pPr>
            <w:r>
              <w:rPr>
                <w:rFonts w:hint="eastAsia" w:ascii="宋体" w:hAnsi="宋体" w:cs="宋体"/>
                <w:color w:val="ff0000"/>
                <w:szCs w:val="21"/>
                <w:highlight w:val="none"/>
              </w:rPr>
              <w:t xml:space="preserve">供应商自2021年</w:t>
            </w:r>
            <w:r>
              <w:rPr>
                <w:rFonts w:ascii="宋体" w:hAnsi="宋体" w:cs="宋体"/>
                <w:color w:val="ff0000"/>
                <w:szCs w:val="21"/>
                <w:highlight w:val="none"/>
              </w:rPr>
              <w:t xml:space="preserve">7</w:t>
            </w:r>
            <w:r>
              <w:rPr>
                <w:rFonts w:hint="eastAsia" w:ascii="宋体" w:hAnsi="宋体" w:cs="宋体"/>
                <w:color w:val="ff0000"/>
                <w:szCs w:val="21"/>
                <w:highlight w:val="none"/>
              </w:rPr>
              <w:t xml:space="preserve">月1日以来，承接过类似房建工程的，有一项得</w:t>
            </w:r>
            <w:r>
              <w:rPr>
                <w:rFonts w:ascii="宋体" w:hAnsi="宋体" w:cs="宋体"/>
                <w:color w:val="ff0000"/>
                <w:szCs w:val="21"/>
                <w:highlight w:val="none"/>
              </w:rPr>
              <w:t xml:space="preserve">3</w:t>
            </w:r>
            <w:r>
              <w:rPr>
                <w:rFonts w:hint="eastAsia" w:ascii="宋体" w:hAnsi="宋体" w:cs="宋体"/>
                <w:color w:val="ff0000"/>
                <w:szCs w:val="21"/>
                <w:highlight w:val="none"/>
              </w:rPr>
              <w:t xml:space="preserve">分，满分</w:t>
            </w:r>
            <w:r>
              <w:rPr>
                <w:rFonts w:ascii="宋体" w:hAnsi="宋体" w:cs="宋体"/>
                <w:color w:val="ff0000"/>
                <w:szCs w:val="21"/>
                <w:highlight w:val="none"/>
              </w:rPr>
              <w:t xml:space="preserve">9</w:t>
            </w:r>
            <w:r>
              <w:rPr>
                <w:rFonts w:hint="eastAsia" w:ascii="宋体" w:hAnsi="宋体" w:cs="宋体"/>
                <w:color w:val="ff0000"/>
                <w:szCs w:val="21"/>
                <w:highlight w:val="none"/>
              </w:rPr>
              <w:t xml:space="preserve">分。</w:t>
            </w:r>
            <w:r>
              <w:rPr>
                <w:color w:val="ff0000"/>
                <w:highlight w:val="none"/>
              </w:rPr>
            </w:r>
            <w:r>
              <w:rPr>
                <w:color w:val="ff0000"/>
              </w:rPr>
            </w:r>
          </w:p>
          <w:p>
            <w:pPr>
              <w:jc w:val="left"/>
              <w:spacing w:line="360" w:lineRule="auto"/>
              <w:tabs>
                <w:tab w:val="left" w:pos="1440" w:leader="none"/>
              </w:tabs>
              <w:rPr>
                <w:rFonts w:ascii="宋体" w:hAnsi="宋体" w:cs="宋体"/>
                <w:color w:val="ff0000"/>
                <w:szCs w:val="21"/>
                <w:highlight w:val="none"/>
              </w:rPr>
            </w:pPr>
            <w:r>
              <w:rPr>
                <w:rFonts w:hint="eastAsia" w:ascii="宋体" w:hAnsi="宋体" w:cs="宋体"/>
                <w:color w:val="ff0000"/>
                <w:szCs w:val="21"/>
                <w:highlight w:val="none"/>
              </w:rPr>
              <w:t xml:space="preserve">须同时提供①中标（成交）通知书；②工程施工合同，合同未明确签订时间不得分，合同编号或者合同条款中的服务期限等不作为认定合同签订日期的依据；③竣工验收合格证明材料（至少由建设方、施工方双方签章）</w:t>
            </w:r>
            <w:r>
              <w:rPr>
                <w:rFonts w:hint="eastAsia" w:ascii="宋体" w:hAnsi="宋体" w:cs="宋体"/>
                <w:color w:val="ff0000"/>
                <w:szCs w:val="21"/>
                <w:highlight w:val="none"/>
              </w:rPr>
              <w:t xml:space="preserve">。</w:t>
            </w:r>
            <w:r>
              <w:rPr>
                <w:rFonts w:hint="eastAsia" w:ascii="宋体" w:hAnsi="宋体" w:cs="宋体"/>
                <w:color w:val="ff0000"/>
                <w:szCs w:val="21"/>
                <w:highlight w:val="none"/>
              </w:rPr>
            </w:r>
            <w:r>
              <w:rPr>
                <w:color w:val="ff0000"/>
              </w:rPr>
            </w:r>
          </w:p>
          <w:p>
            <w:pPr>
              <w:jc w:val="left"/>
              <w:spacing w:line="360" w:lineRule="auto"/>
              <w:tabs>
                <w:tab w:val="left" w:pos="1440" w:leader="none"/>
              </w:tabs>
              <w:rPr>
                <w:rFonts w:ascii="宋体" w:hAnsi="宋体" w:cs="宋体"/>
                <w:color w:val="ff0000"/>
                <w:szCs w:val="21"/>
                <w:highlight w:val="none"/>
              </w:rPr>
            </w:pPr>
            <w:r>
              <w:rPr>
                <w:rFonts w:hint="eastAsia" w:ascii="宋体" w:hAnsi="宋体" w:cs="宋体"/>
                <w:color w:val="ff0000"/>
                <w:szCs w:val="21"/>
                <w:highlight w:val="none"/>
              </w:rPr>
              <w:t xml:space="preserve">提供上述证明文件复印件加盖公章，以上相关证明文件中至少一项须能反映对应工作内容，未按要求提供证明文件、证明文件不齐全的，不得分。提供上述证明文件复印件加盖公章，以上相关证明文件中至少一项须能反映对应工作内容，未按要求提供证明文件、证明文件不齐全的，不得分。</w:t>
            </w:r>
            <w:r>
              <w:rPr>
                <w:color w:val="ff0000"/>
              </w:rPr>
            </w:r>
          </w:p>
        </w:tc>
        <w:tc>
          <w:tcPr>
            <w:tcW w:w="800" w:type="dxa"/>
            <w:vAlign w:val="center"/>
            <w:textDirection w:val="lrTb"/>
            <w:noWrap/>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9</w:t>
            </w:r>
            <w:r>
              <w:rPr>
                <w:highlight w:val="none"/>
              </w:rPr>
            </w:r>
            <w:r/>
          </w:p>
        </w:tc>
      </w:tr>
      <w:tr>
        <w:trPr>
          <w:jc w:val="center"/>
          <w:trHeight w:val="77"/>
        </w:trPr>
        <w:tc>
          <w:tcPr>
            <w:tcW w:w="802" w:type="dxa"/>
            <w:vAlign w:val="center"/>
            <w:textDirection w:val="lrTb"/>
            <w:noWrap/>
          </w:tcPr>
          <w:p>
            <w:pPr>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w:t>
            </w:r>
            <w:r>
              <w:rPr>
                <w:highlight w:val="none"/>
              </w:rPr>
            </w:r>
            <w:r/>
          </w:p>
        </w:tc>
        <w:tc>
          <w:tcPr>
            <w:tcW w:w="1325" w:type="dxa"/>
            <w:vAlign w:val="center"/>
            <w:textDirection w:val="lrTb"/>
            <w:noWrap/>
          </w:tcPr>
          <w:p>
            <w:pPr>
              <w:jc w:val="center"/>
              <w:spacing w:line="360" w:lineRule="auto"/>
              <w:tabs>
                <w:tab w:val="left" w:pos="1440"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实施方案</w:t>
            </w:r>
            <w:r>
              <w:rPr>
                <w:highlight w:val="none"/>
              </w:rPr>
            </w:r>
            <w:r/>
          </w:p>
        </w:tc>
        <w:tc>
          <w:tcPr>
            <w:tcW w:w="6239" w:type="dxa"/>
            <w:textDirection w:val="lrTb"/>
            <w:noWrap/>
          </w:tcPr>
          <w:p>
            <w:pPr>
              <w:jc w:val="left"/>
              <w:spacing w:line="360" w:lineRule="auto"/>
              <w:tabs>
                <w:tab w:val="left" w:pos="1440" w:leader="none"/>
              </w:tabs>
              <w:rPr>
                <w:rFonts w:ascii="宋体" w:hAnsi="宋体" w:cs="宋体"/>
                <w:color w:val="000000"/>
                <w:szCs w:val="21"/>
                <w:highlight w:val="none"/>
              </w:rPr>
            </w:pPr>
            <w:r>
              <w:rPr>
                <w:rFonts w:hint="eastAsia" w:ascii="宋体" w:hAnsi="宋体" w:cs="宋体"/>
                <w:color w:val="000000"/>
                <w:szCs w:val="21"/>
                <w:highlight w:val="none"/>
              </w:rPr>
              <w:t xml:space="preserve">提供总体施工布置及规划、施工组织内容；主要工程项目的施工方案、方法与措施；重点难点分析及措施；工期、质量保证措施；安全保证措施；环境保护、文明施工措施及扬尘控制。每提供一项方案得2分，最高得12分。</w:t>
            </w:r>
            <w:r>
              <w:rPr>
                <w:highlight w:val="none"/>
              </w:rPr>
            </w:r>
            <w:r/>
          </w:p>
        </w:tc>
        <w:tc>
          <w:tcPr>
            <w:tcW w:w="800" w:type="dxa"/>
            <w:vAlign w:val="center"/>
            <w:textDirection w:val="lrTb"/>
            <w:noWrap/>
          </w:tcPr>
          <w:p>
            <w:pPr>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12</w:t>
            </w:r>
            <w:r>
              <w:rPr>
                <w:highlight w:val="none"/>
              </w:rPr>
            </w:r>
            <w:r/>
          </w:p>
        </w:tc>
      </w:tr>
      <w:tr>
        <w:trPr>
          <w:jc w:val="center"/>
          <w:trHeight w:val="77"/>
        </w:trPr>
        <w:tc>
          <w:tcPr>
            <w:tcW w:w="802" w:type="dxa"/>
            <w:vAlign w:val="center"/>
            <w:textDirection w:val="lrTb"/>
            <w:noWrap/>
          </w:tcPr>
          <w:p>
            <w:pPr>
              <w:jc w:val="center"/>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1325" w:type="dxa"/>
            <w:vAlign w:val="center"/>
            <w:textDirection w:val="lrTb"/>
            <w:noWrap/>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合计</w:t>
            </w:r>
            <w:r>
              <w:rPr>
                <w:highlight w:val="none"/>
              </w:rPr>
            </w:r>
            <w:r/>
          </w:p>
        </w:tc>
        <w:tc>
          <w:tcPr>
            <w:tcW w:w="6239" w:type="dxa"/>
            <w:textDirection w:val="lrTb"/>
            <w:noWrap/>
          </w:tcPr>
          <w:p>
            <w:pPr>
              <w:spacing w:line="360" w:lineRule="auto"/>
              <w:rPr>
                <w:rFonts w:ascii="宋体" w:hAnsi="宋体" w:cs="宋体"/>
                <w:szCs w:val="21"/>
                <w:highlight w:val="none"/>
              </w:rPr>
            </w:pPr>
            <w:r>
              <w:rPr>
                <w:rFonts w:ascii="宋体" w:hAnsi="宋体" w:cs="宋体"/>
                <w:szCs w:val="21"/>
                <w:highlight w:val="none"/>
              </w:rPr>
            </w:r>
            <w:r>
              <w:rPr>
                <w:highlight w:val="none"/>
              </w:rPr>
            </w:r>
            <w:r/>
          </w:p>
        </w:tc>
        <w:tc>
          <w:tcPr>
            <w:tcW w:w="800"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100</w:t>
            </w:r>
            <w:r>
              <w:rPr>
                <w:highlight w:val="none"/>
              </w:rPr>
            </w:r>
            <w:r/>
          </w:p>
        </w:tc>
      </w:tr>
    </w:tbl>
    <w:p>
      <w:pPr>
        <w:rPr>
          <w:rFonts w:ascii="宋体"/>
          <w:b/>
          <w:highlight w:val="none"/>
        </w:rPr>
      </w:pPr>
      <w:r>
        <w:rPr>
          <w:rFonts w:hint="eastAsia" w:ascii="宋体"/>
          <w:b/>
          <w:highlight w:val="none"/>
        </w:rPr>
        <w:t xml:space="preserve">说明：</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1、评审评分标准涉及的所有材料需按要求提供相应的证明材料在磋商响应文件中，提供的证明材料必须真实可靠，如发现弄虚作假者，将向政府采购管理部门汇报，将供应商列入不良行为记录名单，并依法予以处罚。</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2、政策功能：</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2.1 本项目专门面向中小企业采购，供应商应为中小微企业、监狱企业、残疾人福利性单位。</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2.2 小企业（含小型、微型企业）应当符合以下条件：</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（2）提供本企业制造的货物、承担的工程或者服务，或者提供其他小企业制造的货物。如果提供的货物为大中型企业注册商标的货物，视同大中型企业。</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（3）在货物采购项目中，供应商提供的货物既有中小企业制造货物，也有大型企业制造货物的，不享受本办法规定的中小企业扶持政策。</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（4）以联合体形式参加政府采购活动，联合体各方均为中小企业的，联合体视同中小企业。其中，联合体各方均为小微企业的，联合体视同小微企业。</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2.3 监狱和戒毒企业   </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2.4 残疾人福利性单位 </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残疾人福利单位需按照采购文件的要求提供《残疾人福利性单位声明函》。 残疾人福利单位标准请参照《关于促进残疾人就业政府采购政策的通知》（财库〔2017〕141 号）。</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2.5 监狱企业、残疾人福利单位属于小型、微型企业的，不重复享受政策。</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2.6 价格扣除</w:t>
      </w:r>
      <w:r>
        <w:rPr>
          <w:highlight w:val="none"/>
        </w:rPr>
      </w:r>
      <w:r/>
    </w:p>
    <w:p>
      <w:pPr>
        <w:ind w:firstLine="415"/>
        <w:spacing w:line="360" w:lineRule="auto"/>
        <w:rPr>
          <w:rFonts w:ascii="宋体" w:hAnsi="宋体"/>
          <w:color w:val="000000"/>
          <w:szCs w:val="21"/>
          <w:highlight w:val="none"/>
        </w:rPr>
      </w:pPr>
      <w:r>
        <w:rPr>
          <w:rFonts w:hint="eastAsia" w:ascii="宋体" w:hAnsi="宋体"/>
          <w:color w:val="000000"/>
          <w:szCs w:val="21"/>
          <w:highlight w:val="none"/>
        </w:rPr>
        <w:t xml:space="preserve">2.6.1 对国家认定的节能产品和环保产品分别给予投标价的5%价格扣除，用扣除后的价格参与评审。</w:t>
      </w:r>
      <w:r>
        <w:rPr>
          <w:highlight w:val="none"/>
        </w:rPr>
      </w:r>
      <w:r/>
    </w:p>
    <w:p>
      <w:pPr>
        <w:ind w:firstLine="415"/>
        <w:spacing w:line="360" w:lineRule="auto"/>
        <w:rPr>
          <w:color w:val="000000"/>
          <w:szCs w:val="21"/>
          <w:highlight w:val="none"/>
        </w:rPr>
      </w:pPr>
      <w:r>
        <w:rPr>
          <w:rFonts w:hint="eastAsia" w:ascii="宋体" w:hAnsi="宋体"/>
          <w:color w:val="000000"/>
          <w:szCs w:val="21"/>
          <w:highlight w:val="none"/>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rPr>
          <w:highlight w:val="none"/>
        </w:rPr>
      </w:r>
      <w:r/>
    </w:p>
    <w:p>
      <w:pPr>
        <w:pStyle w:val="900"/>
        <w:ind w:firstLine="0"/>
        <w:spacing w:line="360" w:lineRule="auto"/>
        <w:rPr>
          <w:highlight w:val="none"/>
        </w:rPr>
      </w:pPr>
      <w:r>
        <w:rPr>
          <w:highlight w:val="none"/>
        </w:rPr>
      </w:r>
      <w:r>
        <w:rPr>
          <w:highlight w:val="none"/>
        </w:rPr>
      </w:r>
      <w:r/>
    </w:p>
    <w:p>
      <w:pPr>
        <w:pStyle w:val="1004"/>
        <w:spacing w:line="240" w:lineRule="auto"/>
        <w:rPr>
          <w:sz w:val="18"/>
          <w:szCs w:val="18"/>
          <w:highlight w:val="none"/>
        </w:rPr>
      </w:pPr>
      <w:r>
        <w:rPr>
          <w:rFonts w:hint="eastAsia" w:ascii="黑体" w:hAnsi="黑体"/>
          <w:highlight w:val="none"/>
        </w:rPr>
        <w:br w:type="page" w:clear="all"/>
      </w:r>
      <w:bookmarkStart w:id="65" w:name="_Toc28743"/>
      <w:r>
        <w:rPr>
          <w:rFonts w:hint="eastAsia"/>
          <w:highlight w:val="none"/>
        </w:rPr>
        <w:t xml:space="preserve">第四章</w:t>
      </w:r>
      <w:r>
        <w:rPr>
          <w:rFonts w:hint="eastAsia"/>
          <w:highlight w:val="none"/>
        </w:rPr>
        <w:t xml:space="preserve">  </w:t>
      </w:r>
      <w:r>
        <w:rPr>
          <w:rFonts w:hint="eastAsia"/>
          <w:highlight w:val="none"/>
        </w:rPr>
        <w:t xml:space="preserve">采购项目</w:t>
      </w:r>
      <w:r>
        <w:rPr>
          <w:rFonts w:hint="eastAsia"/>
          <w:highlight w:val="none"/>
          <w:lang w:val="en-US"/>
        </w:rPr>
        <w:t xml:space="preserve">概况</w:t>
      </w:r>
      <w:bookmarkStart w:id="66" w:name="_Toc503948578"/>
      <w:r>
        <w:rPr>
          <w:highlight w:val="none"/>
        </w:rPr>
      </w:r>
      <w:bookmarkStart w:id="67" w:name="_Toc503948071"/>
      <w:r>
        <w:rPr>
          <w:highlight w:val="none"/>
        </w:rPr>
      </w:r>
      <w:bookmarkStart w:id="68" w:name="_Toc479949480"/>
      <w:r>
        <w:rPr>
          <w:highlight w:val="none"/>
        </w:rPr>
      </w:r>
      <w:bookmarkStart w:id="69" w:name="_Toc497829346"/>
      <w:r>
        <w:rPr>
          <w:highlight w:val="none"/>
        </w:rPr>
      </w:r>
      <w:bookmarkEnd w:id="60"/>
      <w:r>
        <w:rPr>
          <w:highlight w:val="none"/>
        </w:rPr>
      </w:r>
      <w:bookmarkEnd w:id="61"/>
      <w:r>
        <w:rPr>
          <w:highlight w:val="none"/>
        </w:rPr>
      </w:r>
      <w:bookmarkEnd w:id="62"/>
      <w:r>
        <w:rPr>
          <w:highlight w:val="none"/>
        </w:rPr>
      </w:r>
      <w:bookmarkEnd w:id="63"/>
      <w:r>
        <w:rPr>
          <w:highlight w:val="none"/>
        </w:rPr>
      </w:r>
      <w:bookmarkEnd w:id="64"/>
      <w:r>
        <w:rPr>
          <w:highlight w:val="none"/>
        </w:rPr>
      </w:r>
      <w:bookmarkEnd w:id="65"/>
      <w:r>
        <w:rPr>
          <w:highlight w:val="none"/>
        </w:rPr>
      </w:r>
      <w:r/>
    </w:p>
    <w:p>
      <w:pPr>
        <w:ind w:firstLine="422"/>
        <w:spacing w:line="360" w:lineRule="auto"/>
        <w:rPr>
          <w:b/>
          <w:bCs/>
          <w:szCs w:val="21"/>
          <w:highlight w:val="none"/>
        </w:rPr>
        <w:outlineLvl w:val="1"/>
      </w:pPr>
      <w:r>
        <w:rPr>
          <w:highlight w:val="none"/>
        </w:rPr>
      </w:r>
      <w:bookmarkStart w:id="70" w:name="_Toc10908"/>
      <w:r>
        <w:rPr>
          <w:highlight w:val="none"/>
        </w:rPr>
      </w:r>
      <w:bookmarkStart w:id="71" w:name="_Toc7683"/>
      <w:r>
        <w:rPr>
          <w:highlight w:val="none"/>
        </w:rPr>
      </w:r>
      <w:bookmarkStart w:id="72" w:name="_Toc22440"/>
      <w:r>
        <w:rPr>
          <w:highlight w:val="none"/>
        </w:rPr>
      </w:r>
      <w:bookmarkStart w:id="73" w:name="_Toc21780"/>
      <w:r>
        <w:rPr>
          <w:rFonts w:hint="eastAsia"/>
          <w:b/>
          <w:bCs/>
          <w:szCs w:val="21"/>
          <w:highlight w:val="none"/>
        </w:rPr>
        <w:t xml:space="preserve">一、项目概况</w:t>
      </w:r>
      <w:bookmarkEnd w:id="70"/>
      <w:r>
        <w:rPr>
          <w:highlight w:val="none"/>
        </w:rPr>
      </w:r>
      <w:bookmarkEnd w:id="71"/>
      <w:r>
        <w:rPr>
          <w:highlight w:val="none"/>
        </w:rPr>
      </w:r>
      <w:bookmarkEnd w:id="72"/>
      <w:r>
        <w:rPr>
          <w:highlight w:val="none"/>
        </w:rPr>
      </w:r>
      <w:bookmarkEnd w:id="73"/>
      <w:r>
        <w:rPr>
          <w:highlight w:val="none"/>
        </w:rPr>
      </w:r>
      <w:r/>
    </w:p>
    <w:p>
      <w:pPr>
        <w:ind w:firstLine="420"/>
        <w:spacing w:line="360" w:lineRule="auto"/>
        <w:rPr>
          <w:rFonts w:cs="宋体"/>
          <w:b/>
          <w:bCs/>
          <w:highlight w:val="none"/>
        </w:rPr>
      </w:pPr>
      <w:r>
        <w:rPr>
          <w:rFonts w:hint="eastAsia" w:ascii="宋体" w:hAnsi="宋体" w:cs="宋体"/>
          <w:szCs w:val="21"/>
          <w:highlight w:val="none"/>
        </w:rPr>
        <w:t xml:space="preserve">1.项目名称：</w:t>
      </w:r>
      <w:r>
        <w:rPr>
          <w:rFonts w:hint="eastAsia" w:cs="宋体"/>
          <w:b/>
          <w:bCs/>
          <w:highlight w:val="none"/>
        </w:rPr>
        <w:t xml:space="preserve">马鞍街道鞍山骨灰堂（一期扩建）工程</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2.项目内容：</w:t>
      </w:r>
      <w:r>
        <w:rPr>
          <w:rFonts w:hint="eastAsia"/>
          <w:color w:val="000000"/>
          <w:szCs w:val="21"/>
          <w:highlight w:val="none"/>
          <w:shd w:val="clear" w:color="auto" w:fill="ffffff"/>
        </w:rPr>
        <w:t xml:space="preserve">马鞍街道鞍山骨灰堂（一期扩建）工程</w:t>
      </w:r>
      <w:r>
        <w:rPr>
          <w:rFonts w:hint="eastAsia"/>
          <w:color w:val="000000"/>
          <w:szCs w:val="21"/>
          <w:highlight w:val="none"/>
          <w:shd w:val="clear" w:color="auto" w:fill="ffffff"/>
          <w:lang w:bidi="ar"/>
        </w:rPr>
        <w:t xml:space="preserve">，具体详工程量清单。</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3.工期：</w:t>
      </w:r>
      <w:r>
        <w:rPr>
          <w:rFonts w:ascii="宋体" w:hAnsi="宋体" w:cs="宋体"/>
          <w:szCs w:val="21"/>
          <w:highlight w:val="none"/>
        </w:rPr>
        <w:t xml:space="preserve">120</w:t>
      </w:r>
      <w:r>
        <w:rPr>
          <w:rFonts w:ascii="宋体" w:hAnsi="宋体" w:cs="宋体"/>
          <w:szCs w:val="21"/>
          <w:highlight w:val="none"/>
        </w:rPr>
        <w:t xml:space="preserve">日历</w:t>
      </w:r>
      <w:r>
        <w:rPr>
          <w:rFonts w:hint="eastAsia" w:ascii="宋体" w:hAnsi="宋体" w:cs="宋体"/>
          <w:szCs w:val="21"/>
          <w:highlight w:val="none"/>
        </w:rPr>
        <w:t xml:space="preserve">天</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4.采购预算：</w:t>
      </w:r>
      <w:r>
        <w:rPr>
          <w:rFonts w:ascii="宋体" w:hAnsi="宋体" w:cs="宋体"/>
          <w:szCs w:val="21"/>
          <w:highlight w:val="none"/>
        </w:rPr>
        <w:t xml:space="preserve">220</w:t>
      </w:r>
      <w:r>
        <w:rPr>
          <w:rFonts w:hint="eastAsia" w:ascii="宋体" w:hAnsi="宋体" w:cs="宋体"/>
          <w:szCs w:val="21"/>
          <w:highlight w:val="none"/>
        </w:rPr>
        <w:t xml:space="preserve">万元</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5.采购最高限价：</w:t>
      </w:r>
      <w:r>
        <w:rPr>
          <w:rFonts w:ascii="宋体" w:hAnsi="宋体" w:cs="宋体"/>
          <w:szCs w:val="21"/>
          <w:highlight w:val="none"/>
        </w:rPr>
        <w:t xml:space="preserve">200</w:t>
      </w:r>
      <w:r>
        <w:rPr>
          <w:rFonts w:ascii="宋体" w:hAnsi="宋体" w:cs="宋体"/>
          <w:szCs w:val="21"/>
          <w:highlight w:val="none"/>
        </w:rPr>
        <w:t xml:space="preserve">.0971</w:t>
      </w:r>
      <w:r>
        <w:rPr>
          <w:rFonts w:ascii="宋体" w:hAnsi="宋体" w:cs="宋体"/>
          <w:szCs w:val="21"/>
          <w:highlight w:val="none"/>
        </w:rPr>
        <w:t xml:space="preserve">61</w:t>
      </w:r>
      <w:r>
        <w:rPr>
          <w:rFonts w:hint="eastAsia" w:ascii="宋体" w:hAnsi="宋体" w:cs="宋体"/>
          <w:szCs w:val="21"/>
          <w:highlight w:val="none"/>
        </w:rPr>
        <w:t xml:space="preserve">万元（供应商的磋商报价超过最高限价的其响应文件将被作为无效响应处理）</w:t>
      </w:r>
      <w:r>
        <w:rPr>
          <w:highlight w:val="none"/>
        </w:rPr>
      </w:r>
      <w:r/>
    </w:p>
    <w:p>
      <w:pPr>
        <w:pStyle w:val="923"/>
        <w:spacing w:line="360" w:lineRule="auto"/>
        <w:rPr>
          <w:rFonts w:ascii="宋体" w:hAnsi="宋体" w:cs="宋体"/>
          <w:szCs w:val="21"/>
          <w:highlight w:val="none"/>
        </w:rPr>
      </w:pPr>
      <w:r>
        <w:rPr>
          <w:rFonts w:hint="eastAsia" w:ascii="宋体" w:hAnsi="宋体" w:cs="宋体"/>
          <w:szCs w:val="21"/>
          <w:highlight w:val="none"/>
        </w:rPr>
        <w:t xml:space="preserve">6.建设地点：南京市</w:t>
      </w:r>
      <w:r>
        <w:rPr>
          <w:rFonts w:hint="eastAsia" w:ascii="宋体" w:hAnsi="宋体" w:cs="宋体"/>
          <w:szCs w:val="21"/>
          <w:highlight w:val="none"/>
        </w:rPr>
        <w:t xml:space="preserve">六合区马鞍街道</w:t>
      </w:r>
      <w:r>
        <w:rPr>
          <w:highlight w:val="none"/>
        </w:rPr>
      </w:r>
      <w:r/>
    </w:p>
    <w:p>
      <w:pPr>
        <w:pStyle w:val="923"/>
        <w:spacing w:line="360" w:lineRule="auto"/>
        <w:rPr>
          <w:rFonts w:ascii="宋体" w:hAnsi="宋体" w:cs="宋体"/>
          <w:color w:val="000000"/>
          <w:szCs w:val="21"/>
          <w:highlight w:val="none"/>
          <w:shd w:val="clear" w:color="auto" w:fill="ffffff"/>
        </w:rPr>
      </w:pPr>
      <w:r>
        <w:rPr>
          <w:rFonts w:hint="eastAsia" w:ascii="宋体" w:hAnsi="宋体" w:cs="宋体"/>
          <w:szCs w:val="21"/>
          <w:highlight w:val="none"/>
        </w:rPr>
        <w:t xml:space="preserve">7.</w:t>
      </w:r>
      <w:r>
        <w:rPr>
          <w:rFonts w:hint="eastAsia" w:ascii="宋体" w:hAnsi="宋体" w:cs="宋体"/>
          <w:color w:val="000000"/>
          <w:szCs w:val="21"/>
          <w:highlight w:val="none"/>
          <w:shd w:val="clear" w:color="auto" w:fill="ffffff"/>
        </w:rPr>
        <w:t xml:space="preserve">付款方式</w:t>
      </w:r>
      <w:r>
        <w:rPr>
          <w:highlight w:val="none"/>
        </w:rPr>
      </w:r>
      <w:r/>
    </w:p>
    <w:p>
      <w:pPr>
        <w:ind w:firstLine="420"/>
        <w:spacing w:line="360" w:lineRule="auto"/>
        <w:rPr>
          <w:rFonts w:ascii="宋体" w:hAnsi="宋体"/>
          <w:highlight w:val="none"/>
        </w:rPr>
      </w:pPr>
      <w:r>
        <w:rPr>
          <w:highlight w:val="none"/>
        </w:rPr>
      </w:r>
      <w:bookmarkStart w:id="74" w:name="_Toc21193"/>
      <w:r>
        <w:rPr>
          <w:highlight w:val="none"/>
        </w:rPr>
      </w:r>
      <w:bookmarkStart w:id="75" w:name="_Toc25263"/>
      <w:r>
        <w:rPr>
          <w:highlight w:val="none"/>
        </w:rPr>
      </w:r>
      <w:bookmarkStart w:id="76" w:name="_Toc535597873"/>
      <w:r>
        <w:rPr>
          <w:highlight w:val="none"/>
        </w:rPr>
      </w:r>
      <w:bookmarkStart w:id="77" w:name="_Toc503948077"/>
      <w:r>
        <w:rPr>
          <w:highlight w:val="none"/>
        </w:rPr>
      </w:r>
      <w:bookmarkStart w:id="78" w:name="_Toc503948584"/>
      <w:r>
        <w:rPr>
          <w:highlight w:val="none"/>
        </w:rPr>
      </w:r>
      <w:bookmarkEnd w:id="66"/>
      <w:r>
        <w:rPr>
          <w:highlight w:val="none"/>
        </w:rPr>
      </w:r>
      <w:bookmarkEnd w:id="67"/>
      <w:r>
        <w:rPr>
          <w:highlight w:val="none"/>
        </w:rPr>
      </w:r>
      <w:bookmarkEnd w:id="68"/>
      <w:r>
        <w:rPr>
          <w:highlight w:val="none"/>
        </w:rPr>
      </w:r>
      <w:bookmarkEnd w:id="69"/>
      <w:r>
        <w:rPr>
          <w:rFonts w:hint="eastAsia" w:ascii="宋体" w:hAnsi="宋体"/>
          <w:highlight w:val="none"/>
        </w:rPr>
        <w:t xml:space="preserve">结算方式：结算价即审定价。</w:t>
      </w:r>
      <w:r>
        <w:rPr>
          <w:rFonts w:hint="eastAsia" w:ascii="宋体" w:hAnsi="宋体"/>
          <w:szCs w:val="21"/>
          <w:highlight w:val="none"/>
        </w:rPr>
        <w:t xml:space="preserve">如乙方磋商时的最终报价相比</w:t>
      </w:r>
      <w:r>
        <w:rPr>
          <w:rFonts w:hint="eastAsia" w:ascii="宋体" w:hAnsi="宋体" w:cs="宋体"/>
          <w:szCs w:val="21"/>
          <w:highlight w:val="none"/>
          <w:lang w:bidi="ar"/>
        </w:rPr>
        <w:t xml:space="preserve">首轮报价</w:t>
      </w:r>
      <w:r>
        <w:rPr>
          <w:rFonts w:hint="eastAsia" w:ascii="宋体" w:hAnsi="宋体"/>
          <w:szCs w:val="21"/>
          <w:highlight w:val="none"/>
        </w:rPr>
        <w:t xml:space="preserve">进行下浮，含税单价以乙方最终报价等比例下浮后的为准。</w:t>
      </w:r>
      <w:r>
        <w:rPr>
          <w:highlight w:val="none"/>
        </w:rPr>
      </w:r>
      <w:r/>
    </w:p>
    <w:p>
      <w:pPr>
        <w:ind w:firstLine="420"/>
        <w:spacing w:line="360" w:lineRule="auto"/>
        <w:rPr>
          <w:rFonts w:ascii="宋体" w:hAnsi="宋体" w:cs="宋体"/>
          <w:color w:val="ff0000"/>
          <w:szCs w:val="21"/>
          <w:highlight w:val="none"/>
          <w:shd w:val="clear" w:color="auto" w:fill="ffffff"/>
        </w:rPr>
      </w:pPr>
      <w:r>
        <w:rPr>
          <w:rFonts w:hint="eastAsia" w:ascii="宋体" w:hAnsi="宋体"/>
          <w:highlight w:val="none"/>
        </w:rPr>
        <w:t xml:space="preserve">付款周期：</w:t>
      </w:r>
      <w:r>
        <w:rPr>
          <w:rFonts w:hint="eastAsia" w:ascii="宋体" w:hAnsi="宋体"/>
          <w:color w:val="ff0000"/>
          <w:highlight w:val="none"/>
        </w:rPr>
        <w:t xml:space="preserve">合同价款分四次支付，工程主体完成支付合同总价的30%，工程竣工并通过审计支付至审定价的60%（留整），竣工满一年付至审定价的80%（取整），竣工满两年按照审定价付清全部款项。</w:t>
      </w:r>
      <w:r>
        <w:rPr>
          <w:highlight w:val="none"/>
        </w:rPr>
      </w:r>
      <w:r/>
    </w:p>
    <w:p>
      <w:pPr>
        <w:ind w:firstLine="422"/>
        <w:spacing w:line="360" w:lineRule="auto"/>
        <w:rPr>
          <w:b/>
          <w:bCs/>
          <w:szCs w:val="21"/>
          <w:highlight w:val="none"/>
        </w:rPr>
      </w:pPr>
      <w:r>
        <w:rPr>
          <w:rFonts w:hint="eastAsia"/>
          <w:b/>
          <w:bCs/>
          <w:szCs w:val="21"/>
          <w:highlight w:val="none"/>
        </w:rPr>
        <w:t xml:space="preserve">二、工程量清单</w:t>
      </w:r>
      <w:bookmarkEnd w:id="74"/>
      <w:r>
        <w:rPr>
          <w:highlight w:val="none"/>
        </w:rPr>
      </w:r>
      <w:bookmarkEnd w:id="75"/>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另附</w:t>
      </w:r>
      <w:r>
        <w:rPr>
          <w:highlight w:val="none"/>
        </w:rPr>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三、报价说明</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1.本项目按工程量清单计价模式进行计价。供应商按照采购文件附件《工程量清单》要求报价。 </w:t>
      </w:r>
      <w:r>
        <w:rPr>
          <w:highlight w:val="none"/>
        </w:rPr>
      </w:r>
      <w:r/>
    </w:p>
    <w:p>
      <w:pPr>
        <w:ind w:firstLine="420"/>
        <w:spacing w:line="360" w:lineRule="auto"/>
        <w:rPr>
          <w:rFonts w:ascii="宋体" w:hAnsi="宋体" w:cs="宋体"/>
          <w:b/>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lang w:val="zh-CN"/>
        </w:rPr>
        <w:t xml:space="preserve">本项目执行财库〔2026〕2号《关于推动解决政府采购异常低价问题相关工作的通知》的相关规定。</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 评审中出现下列情形之一的，评审委员会应当启动异常低价投标（响应）审查程序：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（1）投标（响应）报价低于全部通过符合性审查供应商投标（响应）报价平均值50%的，即投标（响应）报价&lt;全部通过符合性审查供应商投标（响应）报价平均值×50%；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（2）投标（响应）报价低于通过符合性审查的次低报价供应商投标（响应）报价50%的，即投标（响应）报价&lt;通过符合性审查的次低报价供应商投标（响应）报价×50%；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w:t>
      </w:r>
      <w:r>
        <w:rPr>
          <w:rFonts w:hint="eastAsia" w:ascii="宋体" w:hAnsi="宋体" w:cs="宋体"/>
          <w:bCs/>
          <w:color w:val="ff0000"/>
          <w:szCs w:val="21"/>
          <w:highlight w:val="none"/>
        </w:rPr>
        <w:t xml:space="preserve">投标（响应）报价低于采购项目最高限价</w:t>
      </w:r>
      <w:r>
        <w:rPr>
          <w:rFonts w:hint="eastAsia" w:ascii="宋体" w:hAnsi="宋体" w:cs="宋体"/>
          <w:bCs/>
          <w:color w:val="ff0000"/>
          <w:szCs w:val="21"/>
          <w:highlight w:val="none"/>
        </w:rPr>
        <w:t xml:space="preserve">4</w:t>
      </w:r>
      <w:r>
        <w:rPr>
          <w:rFonts w:hint="eastAsia" w:ascii="宋体" w:hAnsi="宋体" w:cs="宋体"/>
          <w:bCs/>
          <w:color w:val="ff0000"/>
          <w:szCs w:val="21"/>
          <w:highlight w:val="none"/>
        </w:rPr>
        <w:t xml:space="preserve">5%的，即投标（响应）报价&lt;采购项目最高限价×</w:t>
      </w:r>
      <w:r>
        <w:rPr>
          <w:rFonts w:hint="eastAsia" w:ascii="宋体" w:hAnsi="宋体" w:cs="宋体"/>
          <w:bCs/>
          <w:color w:val="ff0000"/>
          <w:szCs w:val="21"/>
          <w:highlight w:val="none"/>
        </w:rPr>
        <w:t xml:space="preserve">4</w:t>
      </w:r>
      <w:r>
        <w:rPr>
          <w:rFonts w:hint="eastAsia" w:ascii="宋体" w:hAnsi="宋体" w:cs="宋体"/>
          <w:bCs/>
          <w:color w:val="ff0000"/>
          <w:szCs w:val="21"/>
          <w:highlight w:val="none"/>
        </w:rPr>
        <w:t xml:space="preserve">5%；</w:t>
      </w:r>
      <w:r>
        <w:rPr>
          <w:rFonts w:hint="eastAsia" w:ascii="宋体" w:hAnsi="宋体" w:cs="宋体"/>
          <w:bCs/>
          <w:szCs w:val="21"/>
          <w:highlight w:val="none"/>
        </w:rPr>
        <w:t xml:space="preserve">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（4）评审委员会基于专业判断，认为供应商报价过低，有可能影响产品质量或者不能诚信履约的其他情形。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相关法律法规对供应商报价有规定的，从其规定。 </w:t>
      </w: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 评审委员会启动异常低价投标（响应）审查后，属于前述第1项至第4项情形的，应当要求相关供应商在评审现场30分钟内对投标（响应）价格作出解释，提供项目具体成本测算等与报价合理性相关的书面说明及必要的证明材料，包括但不限于</w:t>
      </w:r>
      <w:r>
        <w:rPr>
          <w:rFonts w:hint="eastAsia" w:ascii="宋体" w:hAnsi="宋体" w:cs="宋体"/>
          <w:highlight w:val="none"/>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cs="宋体"/>
          <w:bCs/>
          <w:szCs w:val="21"/>
          <w:highlight w:val="none"/>
        </w:rPr>
        <w:t xml:space="preserve">等。 </w:t>
      </w:r>
      <w:r>
        <w:rPr>
          <w:highlight w:val="none"/>
        </w:rPr>
      </w:r>
      <w:r/>
    </w:p>
    <w:p>
      <w:pPr>
        <w:ind w:firstLine="422"/>
        <w:jc w:val="left"/>
        <w:spacing w:line="360" w:lineRule="auto"/>
        <w:rPr>
          <w:rFonts w:ascii="宋体" w:hAnsi="宋体" w:cs="宋体"/>
          <w:bCs/>
          <w:szCs w:val="21"/>
          <w:highlight w:val="none"/>
        </w:rPr>
      </w:pPr>
      <w:r>
        <w:rPr>
          <w:rFonts w:hint="eastAsia" w:ascii="宋体" w:hAnsi="宋体" w:cs="宋体"/>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四、质量标准</w:t>
      </w:r>
      <w:r>
        <w:rPr>
          <w:highlight w:val="none"/>
        </w:rPr>
      </w:r>
      <w:r/>
    </w:p>
    <w:p>
      <w:pPr>
        <w:ind w:firstLine="422"/>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承包人的施工质量应</w:t>
      </w:r>
      <w:r>
        <w:rPr>
          <w:rFonts w:hint="eastAsia" w:ascii="宋体" w:hAnsi="宋体" w:cs="宋体"/>
          <w:b/>
          <w:bCs/>
          <w:color w:val="000000"/>
          <w:szCs w:val="21"/>
          <w:highlight w:val="none"/>
        </w:rPr>
        <w:t xml:space="preserve">符合国家质量验收标准</w:t>
      </w:r>
      <w:r>
        <w:rPr>
          <w:rFonts w:hint="eastAsia" w:ascii="宋体" w:hAnsi="宋体" w:cs="宋体"/>
          <w:color w:val="000000"/>
          <w:szCs w:val="21"/>
          <w:highlight w:val="none"/>
        </w:rPr>
        <w:t xml:space="preserve">。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r>
        <w:rPr>
          <w:highlight w:val="none"/>
        </w:rPr>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五、安全要求</w:t>
      </w:r>
      <w:r>
        <w:rPr>
          <w:highlight w:val="none"/>
        </w:rPr>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1.成交供应商遵守国家、地方现行工程建设安全生产有关管理规定，严格按安全标准实行文明施工管理，并随时接受行政监督机构及其安全检查人员依法实施的监督检查。</w:t>
      </w:r>
      <w:r>
        <w:rPr>
          <w:highlight w:val="none"/>
        </w:rPr>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成交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rPr>
          <w:highlight w:val="none"/>
        </w:rPr>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3.成交供应商应做到文明施工，不得扰民，做好施工现场整洁，做好已有设施的保护措施，如有损坏采购人有权要求赔偿，施工垃圾及时清运，清运手续、费用由施工方自行解决。</w:t>
      </w:r>
      <w:r>
        <w:rPr>
          <w:highlight w:val="none"/>
        </w:rPr>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4.其他安全要求具体详见合同条款。</w:t>
      </w:r>
      <w:r>
        <w:rPr>
          <w:highlight w:val="none"/>
        </w:rPr>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六、其他要求</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1.技术规范：执行国家和行业最新规范。</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2.供应商</w:t>
      </w:r>
      <w:r>
        <w:rPr>
          <w:rFonts w:hint="eastAsia" w:ascii="宋体" w:hAnsi="宋体" w:cs="宋体"/>
          <w:szCs w:val="21"/>
          <w:highlight w:val="none"/>
          <w:lang w:val="zh-CN"/>
        </w:rPr>
        <w:t xml:space="preserve">不得做出恶意低价竞标政府采购项目无意诚信履约，只是利用政府采购的低价优先原则，以报出不合理低价为手段，以占据低价优势或牟取中标为条件，以损害</w:t>
      </w:r>
      <w:r>
        <w:rPr>
          <w:rFonts w:hint="eastAsia" w:ascii="宋体" w:hAnsi="宋体" w:cs="宋体"/>
          <w:szCs w:val="21"/>
          <w:highlight w:val="none"/>
        </w:rPr>
        <w:t xml:space="preserve">采购人</w:t>
      </w:r>
      <w:r>
        <w:rPr>
          <w:rFonts w:hint="eastAsia" w:ascii="宋体" w:hAnsi="宋体" w:cs="宋体"/>
          <w:szCs w:val="21"/>
          <w:highlight w:val="none"/>
          <w:lang w:val="zh-CN"/>
        </w:rPr>
        <w:t xml:space="preserve">利益和破坏正常采购秩序为代价的行为。除继续履行将损害国家利益和社会公众利益的，政府采购合同的双方当事人不得擅自变更、中止或者终止合同。成交供应商除发生</w:t>
      </w:r>
      <w:r>
        <w:rPr>
          <w:rFonts w:hint="eastAsia" w:ascii="宋体" w:hAnsi="宋体" w:cs="宋体"/>
          <w:szCs w:val="21"/>
          <w:highlight w:val="none"/>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项目经理每月在施工现场的时间要求：每天不少于8小时，每周不少于6天。项目经理必须常驻现场，离开工地需经发包人及总监理工程师书面同意，若无正当理由且未经发包人及总监理工程师的同意不在工地现场的，发包人每</w:t>
      </w:r>
      <w:r>
        <w:rPr>
          <w:rFonts w:hint="eastAsia" w:ascii="宋体" w:hAnsi="宋体" w:cs="宋体"/>
          <w:szCs w:val="21"/>
          <w:highlight w:val="none"/>
        </w:rPr>
        <w:t xml:space="preserve">发现 1 次处违约金 5000 元/天，可从工程款中扣抵，并保留解除合同的权利；发包人发现项目经理未经批准，擅自离开施工现场超过 5 次，发包人有权直接解除合同；无故不参加工程例会，承包人向发包人支付5000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rPr>
          <w:highlight w:val="none"/>
        </w:rPr>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*七、项目承诺书</w:t>
      </w:r>
      <w:r>
        <w:rPr>
          <w:highlight w:val="none"/>
        </w:rPr>
      </w:r>
      <w:r/>
    </w:p>
    <w:p>
      <w:pPr>
        <w:pStyle w:val="703"/>
        <w:ind w:firstLine="420"/>
        <w:spacing w:before="0" w:after="0" w:line="360" w:lineRule="auto"/>
        <w:rPr>
          <w:rFonts w:ascii="宋体" w:hAnsi="宋体" w:eastAsia="宋体"/>
          <w:b w:val="0"/>
          <w:color w:val="000000"/>
          <w:sz w:val="21"/>
          <w:szCs w:val="21"/>
          <w:highlight w:val="none"/>
        </w:rPr>
      </w:pPr>
      <w:r>
        <w:rPr>
          <w:rFonts w:hint="eastAsia" w:ascii="宋体" w:hAnsi="宋体" w:eastAsia="宋体"/>
          <w:b w:val="0"/>
          <w:color w:val="000000"/>
          <w:sz w:val="21"/>
          <w:szCs w:val="21"/>
          <w:highlight w:val="none"/>
        </w:rPr>
        <w:t xml:space="preserve">1.供应商承诺不得出现以下情况：（1）成交后无正当理由放弃成交资格（2）不与采购人签订政府采购合同（3）签订政府采购合同后无正当理由不履行合同。如出现以上情况之一，则自愿接受采购人及相关监管部门的处罚，采购人保留追究其法律责任的权利。（提供承诺书加盖公章，格式自拟）</w:t>
      </w:r>
      <w:r>
        <w:rPr>
          <w:highlight w:val="none"/>
        </w:rPr>
      </w:r>
      <w:r/>
    </w:p>
    <w:p>
      <w:pPr>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2.供应商承诺施工员、质检（质量）员、安全员、资料员、造价员等班组成员满足每天不少于8小时，每周不少于5天驻场，如不满足则自愿接受采购人的相关处罚。（提供承诺书加盖公章，格式自拟）</w:t>
      </w:r>
      <w:r>
        <w:rPr>
          <w:highlight w:val="none"/>
        </w:rPr>
      </w:r>
      <w:r/>
    </w:p>
    <w:p>
      <w:pPr>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3.成交后成交供应商应针对原设计内容图纸和甲方工作量需求对项目清单进行清标，若清标过程中未发现相关漏项、缺项，后期因此产生的费用和责任均由成交供应商自行承担。（提供承诺书加盖公章，格式自拟）</w:t>
      </w:r>
      <w:r>
        <w:rPr>
          <w:highlight w:val="none"/>
        </w:rPr>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八</w:t>
      </w:r>
      <w:r>
        <w:rPr>
          <w:rFonts w:hint="eastAsia" w:ascii="宋体" w:hAnsi="宋体" w:cs="宋体"/>
          <w:b/>
          <w:bCs/>
          <w:szCs w:val="21"/>
          <w:highlight w:val="none"/>
          <w:lang w:val="zh-CN"/>
        </w:rPr>
        <w:t xml:space="preserve">、</w:t>
      </w:r>
      <w:r>
        <w:rPr>
          <w:rFonts w:hint="eastAsia" w:ascii="宋体" w:hAnsi="宋体" w:cs="宋体"/>
          <w:b/>
          <w:bCs/>
          <w:szCs w:val="21"/>
          <w:highlight w:val="none"/>
        </w:rPr>
        <w:t xml:space="preserve">工程</w:t>
      </w:r>
      <w:r>
        <w:rPr>
          <w:rFonts w:hint="eastAsia" w:ascii="宋体" w:hAnsi="宋体" w:cs="宋体"/>
          <w:b/>
          <w:bCs/>
          <w:szCs w:val="21"/>
          <w:highlight w:val="none"/>
          <w:lang w:val="zh-CN"/>
        </w:rPr>
        <w:t xml:space="preserve">图纸</w:t>
      </w:r>
      <w:r>
        <w:rPr>
          <w:highlight w:val="none"/>
        </w:rPr>
      </w:r>
      <w:r/>
    </w:p>
    <w:p>
      <w:pPr>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供应商自行在百度网盘下载，未下载由此产生的一切后果均由供应商自行承担。</w:t>
      </w:r>
      <w:r>
        <w:rPr>
          <w:highlight w:val="none"/>
        </w:rPr>
      </w:r>
      <w:r/>
    </w:p>
    <w:p>
      <w:pPr>
        <w:ind w:firstLine="420"/>
        <w:spacing w:line="360" w:lineRule="auto"/>
        <w:rPr>
          <w:rFonts w:ascii="宋体" w:hAnsi="宋体" w:cs="宋体"/>
          <w:color w:val="000000"/>
          <w:szCs w:val="21"/>
          <w:highlight w:val="none"/>
          <w:shd w:val="clear" w:color="auto" w:fill="ffffff"/>
        </w:rPr>
      </w:pPr>
      <w:r>
        <w:rPr>
          <w:rFonts w:ascii="宋体" w:hAnsi="宋体" w:cs="宋体"/>
          <w:color w:val="000000"/>
          <w:szCs w:val="21"/>
          <w:highlight w:val="none"/>
          <w:shd w:val="clear" w:color="auto" w:fill="ffffff"/>
          <w:lang w:bidi="ar"/>
        </w:rPr>
      </w:r>
      <w:r>
        <w:rPr>
          <w:highlight w:val="none"/>
        </w:rPr>
      </w:r>
      <w:r/>
    </w:p>
    <w:p>
      <w:pPr>
        <w:ind w:firstLine="420"/>
        <w:spacing w:line="360" w:lineRule="auto"/>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通过网盘分享的文件：图纸.zip</w:t>
      </w:r>
      <w:r>
        <w:rPr>
          <w:highlight w:val="none"/>
        </w:rPr>
      </w:r>
      <w:r/>
    </w:p>
    <w:p>
      <w:pPr>
        <w:ind w:firstLine="420"/>
        <w:spacing w:line="360" w:lineRule="auto"/>
        <w:rPr>
          <w:rFonts w:ascii="宋体" w:hAnsi="宋体" w:cs="宋体"/>
          <w:color w:val="000000"/>
          <w:szCs w:val="21"/>
          <w:highlight w:val="none"/>
          <w:shd w:val="clear" w:color="auto" w:fill="ffffff"/>
        </w:rPr>
        <w:sectPr>
          <w:headerReference w:type="default" r:id="rId9"/>
          <w:footerReference w:type="default" r:id="rId11"/>
          <w:footnotePr/>
          <w:endnotePr/>
          <w:type w:val="nextPage"/>
          <w:pgSz w:w="11906" w:h="16838" w:orient="portrait"/>
          <w:pgMar w:top="1418" w:right="1418" w:bottom="1418" w:left="1418" w:header="720" w:footer="720" w:gutter="0"/>
          <w:pgNumType w:start="1"/>
          <w:cols w:num="1" w:sep="0" w:space="1701" w:equalWidth="1"/>
          <w:docGrid w:linePitch="360"/>
        </w:sectPr>
      </w:pPr>
      <w:r>
        <w:rPr>
          <w:rFonts w:hint="eastAsia" w:ascii="宋体" w:hAnsi="宋体" w:cs="宋体"/>
          <w:color w:val="000000"/>
          <w:szCs w:val="21"/>
          <w:highlight w:val="none"/>
          <w:shd w:val="clear" w:color="auto" w:fill="ffffff"/>
          <w:lang w:bidi="ar"/>
        </w:rPr>
        <w:t xml:space="preserve">链接: https://pan.baidu.com/s/12Qw1PcLBzxWrOHnydtJfzw 提取码: muai</w:t>
      </w:r>
      <w:r>
        <w:rPr>
          <w:highlight w:val="none"/>
        </w:rPr>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九、招标清单编制说明</w:t>
      </w:r>
      <w:r>
        <w:rPr>
          <w:highlight w:val="none"/>
        </w:rPr>
      </w:r>
      <w:r/>
    </w:p>
    <w:p>
      <w:pPr>
        <w:pStyle w:val="1129"/>
        <w:jc w:val="center"/>
        <w:spacing w:line="360" w:lineRule="auto"/>
        <w:rPr>
          <w:rFonts w:hAnsi="宋体"/>
          <w:b/>
          <w:sz w:val="32"/>
          <w:szCs w:val="32"/>
          <w:highlight w:val="none"/>
        </w:rPr>
      </w:pPr>
      <w:r>
        <w:rPr>
          <w:highlight w:val="none"/>
        </w:rPr>
      </w:r>
      <w:bookmarkStart w:id="79" w:name="_Hlk190087283"/>
      <w:r>
        <w:rPr>
          <w:rFonts w:hint="eastAsia" w:hAnsi="宋体"/>
          <w:b/>
          <w:sz w:val="32"/>
          <w:szCs w:val="32"/>
          <w:highlight w:val="none"/>
        </w:rPr>
        <w:t xml:space="preserve">招标清单编制说明</w:t>
      </w:r>
      <w:bookmarkEnd w:id="79"/>
      <w:r>
        <w:rPr>
          <w:highlight w:val="none"/>
        </w:rPr>
      </w:r>
      <w:r/>
    </w:p>
    <w:p>
      <w:pPr>
        <w:ind w:firstLine="420"/>
        <w:spacing w:line="360" w:lineRule="auto"/>
        <w:rPr>
          <w:rFonts w:cs="宋体"/>
          <w:b/>
          <w:bCs/>
          <w:highlight w:val="none"/>
        </w:rPr>
      </w:pPr>
      <w:r>
        <w:rPr>
          <w:rFonts w:hint="eastAsia" w:ascii="Trebuchet MS" w:hAnsi="宋体" w:cs="Trebuchet MS"/>
          <w:szCs w:val="21"/>
          <w:highlight w:val="none"/>
        </w:rPr>
        <w:t xml:space="preserve">工程名称</w:t>
      </w:r>
      <w:r>
        <w:rPr>
          <w:rFonts w:hint="eastAsia" w:ascii="Trebuchet MS" w:hAnsi="宋体" w:cs="Trebuchet MS"/>
          <w:szCs w:val="21"/>
          <w:highlight w:val="none"/>
        </w:rPr>
        <w:t xml:space="preserve">: </w:t>
      </w:r>
      <w:r>
        <w:rPr>
          <w:rFonts w:hint="eastAsia" w:cs="宋体"/>
          <w:szCs w:val="21"/>
          <w:highlight w:val="none"/>
        </w:rPr>
        <w:t xml:space="preserve">马鞍街道鞍山骨灰堂（一期扩建）工程</w:t>
      </w:r>
      <w:r>
        <w:rPr>
          <w:highlight w:val="none"/>
        </w:rPr>
      </w:r>
      <w:r/>
    </w:p>
    <w:tbl>
      <w:tblPr>
        <w:tblStyle w:val="7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68"/>
      </w:tblGrid>
      <w:tr>
        <w:trPr>
          <w:trHeight w:val="4544"/>
        </w:trPr>
        <w:tc>
          <w:tcPr>
            <w:tcW w:w="9286" w:type="dxa"/>
            <w:textDirection w:val="lrTb"/>
            <w:noWrap w:val="false"/>
          </w:tcPr>
          <w:p>
            <w:pPr>
              <w:ind w:firstLine="480"/>
              <w:spacing w:line="500" w:lineRule="exact"/>
              <w:rPr>
                <w:rFonts w:hint="eastAsia" w:ascii="宋体" w:hAnsi="宋体"/>
                <w:sz w:val="24"/>
                <w:highlight w:val="none"/>
              </w:rPr>
            </w:pPr>
            <w:r>
              <w:rPr>
                <w:rFonts w:hint="eastAsia" w:ascii="宋体" w:hAnsi="宋体"/>
                <w:sz w:val="24"/>
                <w:highlight w:val="none"/>
              </w:rPr>
              <w:t xml:space="preserve">一、工程概况：本工程为马鞍街道鞍山骨灰堂（一期扩建）工程，工程地点位于</w:t>
            </w:r>
            <w:r>
              <w:rPr>
                <w:rFonts w:hint="eastAsia" w:ascii="宋体" w:hAnsi="宋体" w:cs="宋体"/>
                <w:sz w:val="24"/>
                <w:highlight w:val="none"/>
              </w:rPr>
              <w:t xml:space="preserve">南京市六合区马鞍街道。</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二、工程招标范围：基础及土建、照明电气、给排水等，具体施工内容详见设计图纸。</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三、工程类别：建筑工程，安装工程。</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四、编制依据及说明：</w:t>
            </w:r>
            <w:r>
              <w:rPr>
                <w:highlight w:val="none"/>
              </w:rPr>
            </w:r>
            <w:r/>
          </w:p>
          <w:p>
            <w:pPr>
              <w:ind w:firstLine="480"/>
              <w:spacing w:line="500" w:lineRule="exact"/>
              <w:rPr>
                <w:rFonts w:hint="eastAsia" w:ascii="宋体" w:hAnsi="宋体"/>
                <w:color w:val="ff0000"/>
                <w:sz w:val="24"/>
                <w:highlight w:val="none"/>
              </w:rPr>
            </w:pPr>
            <w:r>
              <w:rPr>
                <w:rFonts w:hint="eastAsia" w:ascii="宋体" w:hAnsi="宋体"/>
                <w:sz w:val="24"/>
                <w:highlight w:val="none"/>
              </w:rPr>
              <w:t xml:space="preserve">1、根据建设单位提供的由南京环宇建筑设计院有限公司设计的</w:t>
            </w:r>
            <w:r>
              <w:rPr>
                <w:rFonts w:hint="eastAsia"/>
                <w:sz w:val="24"/>
                <w:highlight w:val="none"/>
              </w:rPr>
              <w:t xml:space="preserve">《马鞍街道鞍山骨灰堂（一期扩建）工程</w:t>
            </w:r>
            <w:r>
              <w:rPr>
                <w:rFonts w:hint="eastAsia" w:ascii="宋体" w:hAnsi="宋体"/>
                <w:sz w:val="24"/>
                <w:highlight w:val="none"/>
              </w:rPr>
              <w:t xml:space="preserve">电子版图纸进行编制。</w:t>
            </w:r>
            <w:r>
              <w:rPr>
                <w:highlight w:val="none"/>
              </w:rPr>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2、苏建价[2014]448号，省住房城乡建设厅关于《建设工程工程量清单计价规范》（GB50500-2013）及其9本工程量计算规范的贯彻意见。</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3、《江苏省建筑工程计价定额》（2014）；《江苏省安装工程计价定额》（2014）。</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4、《江苏省建筑工程费用定额》（苏建价[2014]299号）营改增调整。</w:t>
            </w:r>
            <w:r>
              <w:rPr>
                <w:highlight w:val="none"/>
              </w:rPr>
            </w:r>
            <w:r/>
          </w:p>
          <w:p>
            <w:pPr>
              <w:ind w:firstLine="480"/>
              <w:spacing w:line="500" w:lineRule="exact"/>
              <w:rPr>
                <w:rFonts w:hint="eastAsia" w:ascii="宋体" w:hAnsi="宋体"/>
                <w:color w:val="000000"/>
                <w:sz w:val="24"/>
                <w:highlight w:val="none"/>
              </w:rPr>
            </w:pPr>
            <w:r>
              <w:rPr>
                <w:rFonts w:hint="eastAsia" w:ascii="宋体" w:hAnsi="宋体"/>
                <w:sz w:val="24"/>
                <w:highlight w:val="none"/>
              </w:rPr>
              <w:t xml:space="preserve">5、主要材料价格按照南京市及六合区2026年6月份信息指导价，信息指导价没有的材料价格按照编标时相应的市场价</w:t>
            </w:r>
            <w:r>
              <w:rPr>
                <w:rFonts w:hint="eastAsia" w:ascii="宋体" w:hAnsi="宋体"/>
                <w:color w:val="000000"/>
                <w:sz w:val="24"/>
                <w:highlight w:val="none"/>
              </w:rPr>
              <w:t xml:space="preserve">。</w:t>
            </w:r>
            <w:r>
              <w:rPr>
                <w:highlight w:val="none"/>
              </w:rPr>
            </w:r>
            <w:r/>
          </w:p>
          <w:p>
            <w:pPr>
              <w:ind w:firstLine="480"/>
              <w:spacing w:line="500" w:lineRule="exact"/>
              <w:rPr>
                <w:rFonts w:hint="eastAsia" w:ascii="宋体" w:hAnsi="宋体"/>
                <w:color w:val="000000"/>
                <w:sz w:val="24"/>
                <w:highlight w:val="none"/>
              </w:rPr>
            </w:pPr>
            <w:r>
              <w:rPr>
                <w:rFonts w:hint="eastAsia" w:ascii="宋体" w:hAnsi="宋体"/>
                <w:sz w:val="24"/>
                <w:highlight w:val="none"/>
              </w:rPr>
              <w:t xml:space="preserve">6、苏建函价（2025）2号，省住房城乡建设厅关于建筑业增值税计价政策调整的通知；</w:t>
            </w:r>
            <w:r>
              <w:rPr>
                <w:highlight w:val="none"/>
              </w:rPr>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7、人工单价按苏建函价（2026）027号文执行。</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8、本工程所用砼均为商品砼，砼是否采用泵送由各投标人自行考虑，结算时不调整，砼应根据设计图纸要求掺加抗裂纤维及其他外加剂，其费用含在投标报价中。</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9、本工程用砂浆应采用预拌商品砂浆。</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10、本工程考虑施工图之外草坪工程量200m2，考虑碎石道路工程量400m2。</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五、土方部分</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1、人工配合机械挖土，人工修边坡、整平，坑底预留人工挖土、自然放坡、边坡修整等，由投标人结合施工方案自行综合考虑报价，结算时不调整。</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2、现场开挖的土方外运，由投标人自行察看渣土弃置场，其运输距离自行考虑。</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3、基(槽)坑夯填回填土（含四周坑壁回填土）粘土分层夯实回填，现场需用于回填的土符合设计图纸及规范要求，投标人自行考虑堆场，土源及回填投标人根据现场情况自行考虑在综合报价中。</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4、土方开挖时应控制好开挖深度，严禁超挖，因施工方原因造成的超挖工作量自行承担。</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5、本项目土方开挖，若产生内倒，由投标人在报价充分考虑计入报价中。</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6、本项目图纸需深化设计部分，由投标人在报价充分考虑计入报价中。</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六、其他说明：</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1、措施费项目：安全文明施工措施费计取基本费、扬尘污染防治增加费。</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2、本工程量清单包括分部分项工程量清单、总价措施项目清单、单价措施项目清单、其他项目清单。清单项目特征中如未完全描述清楚的但又是该分项工程必须完成的工作内容，投标时均应考虑在综合报价中。</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3、投标人需仔细勘察施工现场，详细了解其施工环境，工地位置及任何其他足以影响承包价及工期的情况，招标人对于现有的施工环境及条件将不增加任何投入，投标人需结合设计图纸和招标工程量清单自行考虑并计入投标价内。</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4、工程量清单中每一个项目的综合单价及措施费中，应包括人工费、材料费、机械（设备）费、管理费、利润、税金、材料差价、场内外运输、机械进退场、临时设施、材料周转、赶工措施、机械停置、噪音排污及夜间施工费、管线保护、交通协调以及根据本招标文件要求的风险金等全部费用。</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5、各种管道孔（含水、电管道孔洞）的预留、填补及防水、金属构件与墙体连接填补及防水，管线暗埋的开槽刨沟及砼面压槽、电表箱、配电箱及消火栓箱等预留（含预留木盒制作、安装、拆除、清理、洞口填缝及饰面修补等），投标人在报价充分考虑。</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6、本项目所有有关管路的穿墙、穿板、打洞、开槽、穿梁、绕梁、因各种管道之间标高不同需要上翻或下翻增加的量、套管、开孔、封堵、修补等一系列相关内容，投标人按现行规范，图纸要求自行考虑在单价中。</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7、招标清单中措施项目以“项”为单位的，投标人自主报价，结算时不调整。</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8、所有主要材料进场前需提供物料样品，经建设单位、监理单位、跟踪审计单位确认后方可采购进场施工，否则不予计量。</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9、投标人充分考虑《江苏省工程建设标准工程住宅工程质量通病控制标准》DGJ32J 16-2014 相关内容，并计入相应报价中，结算时不做调整。</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10、本工程设暂列金额，金额为50000.00元。</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12、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投标单位应按全部内容报价。工程量清单特征描述不全时，其相关技术规范及要求应参照施工图纸和招标文件报价；清单特征中未描述的，但“13计价规范”中注明的工程内容，承包人在报价时应充分考虑“工程内容”而产生的费用，列入相应报价中。</w:t>
            </w:r>
            <w:r>
              <w:rPr>
                <w:highlight w:val="none"/>
              </w:rPr>
            </w:r>
            <w:r/>
          </w:p>
          <w:p>
            <w:pPr>
              <w:ind w:firstLine="480"/>
              <w:spacing w:line="500" w:lineRule="exact"/>
              <w:rPr>
                <w:rFonts w:hint="eastAsia" w:ascii="宋体" w:hAnsi="宋体"/>
                <w:sz w:val="24"/>
                <w:highlight w:val="none"/>
              </w:rPr>
            </w:pPr>
            <w:r>
              <w:rPr>
                <w:rFonts w:hint="eastAsia" w:ascii="宋体" w:hAnsi="宋体"/>
                <w:sz w:val="24"/>
                <w:highlight w:val="none"/>
              </w:rPr>
              <w:t xml:space="preserve">13、如清单中有未尽事宜，请参照图纸进行报价，清单综合单价中均包含图纸中所有做法，投标单位若未在投标截止日期前提出答疑文件，则视为认可此清单包含图纸内所有工程量。工程量清单中每一项目工程量系合同招标工程量，作为投标报价的基础，而不能完全作为对承包商进行支付的依据。结算时，按实际发生并经发包方、监理和跟踪审计认可的工程量为准；</w:t>
            </w:r>
            <w:r>
              <w:rPr>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14、投标单位应在投标前现场察看，并可以对清单提出疑问，如无疑问提出则表示对清单无异议，中标后不得以缺项或工程量有偏差或其他提出合同价款调整的要求，但设计变更及招标人要求变动的内容除外。并请自行考虑施工条件；</w:t>
            </w:r>
            <w:r>
              <w:rPr>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15、中标人有义务配合招标人做好相关单位的协调工作。</w:t>
            </w:r>
            <w:r>
              <w:rPr>
                <w:highlight w:val="none"/>
              </w:rPr>
            </w:r>
            <w:r/>
          </w:p>
          <w:p>
            <w:pPr>
              <w:ind w:firstLine="420"/>
              <w:spacing w:line="500" w:lineRule="exact"/>
              <w:rPr>
                <w:rFonts w:ascii="宋体" w:hAnsi="宋体" w:cs="宋体"/>
                <w:color w:val="000000"/>
                <w:szCs w:val="21"/>
                <w:highlight w:val="none"/>
                <w:shd w:val="clear" w:color="auto" w:fill="ffffff"/>
              </w:rPr>
            </w:pPr>
            <w:r>
              <w:rPr>
                <w:rFonts w:ascii="宋体" w:hAnsi="宋体" w:cs="宋体"/>
                <w:color w:val="000000"/>
                <w:szCs w:val="21"/>
                <w:highlight w:val="none"/>
                <w:shd w:val="clear" w:color="auto" w:fill="ffffff"/>
                <w:lang w:bidi="ar"/>
              </w:rPr>
            </w:r>
            <w:r>
              <w:rPr>
                <w:highlight w:val="none"/>
              </w:rPr>
            </w:r>
            <w:r/>
          </w:p>
        </w:tc>
      </w:tr>
    </w:tbl>
    <w:p>
      <w:pPr>
        <w:ind w:firstLine="420"/>
        <w:spacing w:line="360" w:lineRule="auto"/>
        <w:rPr>
          <w:rFonts w:ascii="宋体" w:hAnsi="宋体" w:cs="宋体"/>
          <w:color w:val="000000"/>
          <w:szCs w:val="21"/>
          <w:highlight w:val="none"/>
          <w:shd w:val="clear" w:color="auto" w:fill="ffffff"/>
        </w:rPr>
        <w:sectPr>
          <w:footnotePr/>
          <w:endnotePr/>
          <w:type w:val="nextPage"/>
          <w:pgSz w:w="11906" w:h="16838" w:orient="portrait"/>
          <w:pgMar w:top="1418" w:right="1418" w:bottom="1418" w:left="1418" w:header="720" w:footer="720" w:gutter="0"/>
          <w:cols w:num="1" w:sep="0" w:space="1701" w:equalWidth="1"/>
          <w:docGrid w:linePitch="360"/>
        </w:sectPr>
      </w:pPr>
      <w:r>
        <w:rPr>
          <w:rFonts w:ascii="宋体" w:hAnsi="宋体" w:cs="宋体"/>
          <w:color w:val="000000"/>
          <w:szCs w:val="21"/>
          <w:highlight w:val="none"/>
          <w:shd w:val="clear" w:color="auto" w:fill="ffffff"/>
          <w:lang w:bidi="ar"/>
        </w:rPr>
      </w:r>
      <w:r>
        <w:rPr>
          <w:highlight w:val="none"/>
        </w:rPr>
      </w:r>
      <w:r/>
    </w:p>
    <w:p>
      <w:pPr>
        <w:ind w:firstLine="560"/>
        <w:jc w:val="left"/>
        <w:spacing w:line="360" w:lineRule="auto"/>
        <w:shd w:val="clear" w:color="auto" w:fill="ffffff"/>
        <w:widowControl/>
        <w:rPr>
          <w:rFonts w:ascii="宋体" w:hAnsi="宋体"/>
          <w:sz w:val="28"/>
          <w:szCs w:val="28"/>
          <w:highlight w:val="none"/>
        </w:rPr>
      </w:pPr>
      <w:r>
        <w:rPr>
          <w:rFonts w:hint="eastAsia" w:ascii="宋体" w:hAnsi="宋体"/>
          <w:sz w:val="28"/>
          <w:szCs w:val="28"/>
          <w:highlight w:val="none"/>
        </w:rPr>
        <w:t xml:space="preserve">合同编号：__________</w:t>
      </w:r>
      <w:r>
        <w:rPr>
          <w:highlight w:val="none"/>
        </w:rPr>
      </w:r>
      <w:r/>
    </w:p>
    <w:p>
      <w:pPr>
        <w:ind w:firstLine="640"/>
        <w:jc w:val="center"/>
        <w:spacing w:line="360" w:lineRule="auto"/>
        <w:rPr>
          <w:rFonts w:ascii="宋体" w:hAnsi="宋体" w:eastAsia="黑体"/>
          <w:bCs/>
          <w:sz w:val="32"/>
          <w:highlight w:val="none"/>
        </w:rPr>
        <w:outlineLvl w:val="0"/>
      </w:pPr>
      <w:r>
        <w:rPr>
          <w:rFonts w:ascii="宋体" w:hAnsi="宋体" w:eastAsia="黑体"/>
          <w:bCs/>
          <w:sz w:val="32"/>
          <w:highlight w:val="none"/>
          <w:lang w:val="zh-CN"/>
        </w:rPr>
      </w:r>
      <w:r>
        <w:rPr>
          <w:highlight w:val="none"/>
        </w:rPr>
      </w:r>
      <w:r/>
    </w:p>
    <w:p>
      <w:pPr>
        <w:ind w:firstLine="640"/>
        <w:jc w:val="center"/>
        <w:spacing w:line="360" w:lineRule="auto"/>
        <w:rPr>
          <w:rFonts w:ascii="宋体" w:hAnsi="宋体" w:eastAsia="黑体"/>
          <w:bCs/>
          <w:sz w:val="32"/>
          <w:highlight w:val="none"/>
        </w:rPr>
        <w:outlineLvl w:val="0"/>
      </w:pPr>
      <w:r>
        <w:rPr>
          <w:highlight w:val="none"/>
        </w:rPr>
      </w:r>
      <w:bookmarkStart w:id="80" w:name="_Toc11204"/>
      <w:r>
        <w:rPr>
          <w:rFonts w:hint="eastAsia" w:ascii="宋体" w:hAnsi="宋体" w:eastAsia="黑体"/>
          <w:bCs/>
          <w:sz w:val="32"/>
          <w:highlight w:val="none"/>
          <w:lang w:val="zh-CN"/>
        </w:rPr>
        <w:t xml:space="preserve">第五章</w:t>
      </w:r>
      <w:r>
        <w:rPr>
          <w:rFonts w:hint="eastAsia" w:ascii="宋体" w:hAnsi="宋体" w:eastAsia="黑体"/>
          <w:bCs/>
          <w:sz w:val="32"/>
          <w:highlight w:val="none"/>
          <w:lang w:val="zh-CN"/>
        </w:rPr>
        <w:t xml:space="preserve">  </w:t>
      </w:r>
      <w:r>
        <w:rPr>
          <w:rFonts w:hint="eastAsia" w:ascii="宋体" w:hAnsi="宋体" w:eastAsia="黑体"/>
          <w:bCs/>
          <w:sz w:val="32"/>
          <w:highlight w:val="none"/>
          <w:lang w:val="zh-CN"/>
        </w:rPr>
        <w:t xml:space="preserve">合同主要条款及格式</w:t>
      </w:r>
      <w:bookmarkEnd w:id="76"/>
      <w:r>
        <w:rPr>
          <w:highlight w:val="none"/>
        </w:rPr>
      </w:r>
      <w:bookmarkEnd w:id="77"/>
      <w:r>
        <w:rPr>
          <w:highlight w:val="none"/>
        </w:rPr>
      </w:r>
      <w:bookmarkEnd w:id="78"/>
      <w:r>
        <w:rPr>
          <w:highlight w:val="none"/>
        </w:rPr>
      </w:r>
      <w:bookmarkEnd w:id="80"/>
      <w:r>
        <w:rPr>
          <w:highlight w:val="none"/>
        </w:rPr>
      </w:r>
      <w:r/>
    </w:p>
    <w:p>
      <w:pPr>
        <w:ind w:firstLine="560"/>
        <w:jc w:val="left"/>
        <w:spacing w:line="360" w:lineRule="auto"/>
        <w:shd w:val="clear" w:color="auto" w:fill="ffffff"/>
        <w:widowControl/>
        <w:rPr>
          <w:rFonts w:ascii="宋体" w:hAnsi="宋体"/>
          <w:sz w:val="28"/>
          <w:szCs w:val="28"/>
          <w:highlight w:val="none"/>
        </w:rPr>
      </w:pPr>
      <w:r>
        <w:rPr>
          <w:rFonts w:ascii="宋体" w:hAnsi="宋体"/>
          <w:sz w:val="28"/>
          <w:szCs w:val="28"/>
          <w:highlight w:val="none"/>
        </w:rPr>
      </w:r>
      <w:r>
        <w:rPr>
          <w:highlight w:val="none"/>
        </w:rPr>
      </w:r>
      <w:r/>
    </w:p>
    <w:p>
      <w:pPr>
        <w:jc w:val="center"/>
        <w:spacing w:line="360" w:lineRule="auto"/>
        <w:shd w:val="clear" w:color="auto" w:fill="ffffff"/>
        <w:widowControl/>
        <w:rPr>
          <w:rFonts w:ascii="宋体" w:hAnsi="宋体"/>
          <w:sz w:val="52"/>
          <w:szCs w:val="52"/>
          <w:highlight w:val="none"/>
        </w:rPr>
      </w:pPr>
      <w:r>
        <w:rPr>
          <w:rFonts w:ascii="宋体" w:hAnsi="宋体"/>
          <w:sz w:val="52"/>
          <w:szCs w:val="52"/>
          <w:highlight w:val="none"/>
        </w:rPr>
      </w:r>
      <w:r>
        <w:rPr>
          <w:highlight w:val="none"/>
        </w:rPr>
      </w:r>
      <w:r/>
    </w:p>
    <w:p>
      <w:pPr>
        <w:jc w:val="center"/>
        <w:spacing w:line="360" w:lineRule="auto"/>
        <w:shd w:val="clear" w:color="auto" w:fill="ffffff"/>
        <w:widowControl/>
        <w:rPr>
          <w:rFonts w:ascii="宋体" w:hAnsi="Calibri"/>
          <w:szCs w:val="21"/>
          <w:highlight w:val="none"/>
        </w:rPr>
      </w:pPr>
      <w:r>
        <w:rPr>
          <w:rFonts w:hint="eastAsia" w:ascii="宋体" w:hAnsi="宋体"/>
          <w:sz w:val="52"/>
          <w:szCs w:val="52"/>
          <w:highlight w:val="none"/>
        </w:rPr>
        <w:t xml:space="preserve">南京市政府采购合同</w:t>
      </w:r>
      <w:r>
        <w:rPr>
          <w:highlight w:val="none"/>
        </w:rPr>
      </w:r>
      <w:r/>
    </w:p>
    <w:p>
      <w:pPr>
        <w:ind w:firstLine="315"/>
        <w:jc w:val="center"/>
        <w:spacing w:line="360" w:lineRule="auto"/>
        <w:shd w:val="clear" w:color="auto" w:fill="ffffff"/>
        <w:widowControl/>
        <w:rPr>
          <w:rFonts w:ascii="宋体" w:hAnsi="Calibri"/>
          <w:szCs w:val="21"/>
          <w:highlight w:val="none"/>
        </w:rPr>
      </w:pPr>
      <w:r>
        <w:rPr>
          <w:rFonts w:hint="eastAsia" w:ascii="宋体" w:hAnsi="Calibri"/>
          <w:sz w:val="32"/>
          <w:szCs w:val="32"/>
          <w:highlight w:val="none"/>
        </w:rPr>
        <w:t xml:space="preserve">（仅供参考）</w:t>
      </w:r>
      <w:r>
        <w:rPr>
          <w:highlight w:val="none"/>
        </w:rPr>
      </w:r>
      <w:r/>
    </w:p>
    <w:p>
      <w:pPr>
        <w:ind w:firstLine="315"/>
        <w:spacing w:line="360" w:lineRule="auto"/>
        <w:shd w:val="clear" w:color="auto" w:fill="ffffff"/>
        <w:widowControl/>
        <w:rPr>
          <w:rFonts w:ascii="宋体" w:hAnsi="Calibri"/>
          <w:b/>
          <w:bCs/>
          <w:sz w:val="36"/>
          <w:szCs w:val="36"/>
          <w:highlight w:val="none"/>
        </w:rPr>
      </w:pPr>
      <w:r>
        <w:rPr>
          <w:rFonts w:ascii="宋体" w:hAnsi="Calibri"/>
          <w:sz w:val="32"/>
          <w:szCs w:val="32"/>
          <w:highlight w:val="none"/>
        </w:rPr>
        <w:t xml:space="preserve"> </w:t>
      </w:r>
      <w:r>
        <w:rPr>
          <w:highlight w:val="none"/>
        </w:rPr>
      </w:r>
      <w:r/>
    </w:p>
    <w:p>
      <w:pPr>
        <w:ind w:firstLine="315"/>
        <w:spacing w:line="360" w:lineRule="auto"/>
        <w:shd w:val="clear" w:color="auto" w:fill="ffffff"/>
        <w:widowControl/>
        <w:rPr>
          <w:rFonts w:ascii="宋体" w:hAnsi="Calibri"/>
          <w:szCs w:val="21"/>
          <w:highlight w:val="none"/>
        </w:rPr>
      </w:pPr>
      <w:r>
        <w:rPr>
          <w:rFonts w:ascii="宋体" w:hAnsi="Calibri"/>
          <w:szCs w:val="21"/>
          <w:highlight w:val="none"/>
        </w:rPr>
      </w:r>
      <w:r>
        <w:rPr>
          <w:highlight w:val="none"/>
        </w:rPr>
      </w:r>
      <w:r/>
    </w:p>
    <w:p>
      <w:pPr>
        <w:ind w:firstLine="315"/>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highlight w:val="none"/>
        </w:rPr>
      </w:r>
      <w:r/>
    </w:p>
    <w:p>
      <w:pPr>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项目编号：</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highlight w:val="none"/>
        </w:rPr>
      </w:r>
      <w:r/>
    </w:p>
    <w:p>
      <w:pPr>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项目名称：</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highlight w:val="none"/>
        </w:rPr>
      </w:r>
      <w:r/>
    </w:p>
    <w:p>
      <w:pPr>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使用单位：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highlight w:val="none"/>
        </w:rPr>
      </w:r>
      <w:r/>
    </w:p>
    <w:p>
      <w:pPr>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供应商：</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highlight w:val="none"/>
        </w:rPr>
      </w:r>
      <w:r/>
    </w:p>
    <w:p>
      <w:pPr>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签订日期：</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highlight w:val="none"/>
        </w:rPr>
      </w:r>
      <w:r/>
    </w:p>
    <w:p>
      <w:pPr>
        <w:spacing w:line="360" w:lineRule="auto"/>
        <w:shd w:val="clear" w:color="auto" w:fill="ffffff"/>
        <w:widowControl/>
        <w:rPr>
          <w:rFonts w:ascii="宋体" w:hAnsi="Calibri"/>
          <w:szCs w:val="21"/>
          <w:highlight w:val="none"/>
        </w:rPr>
      </w:pPr>
      <w:r>
        <w:rPr>
          <w:rFonts w:ascii="宋体" w:hAnsi="Calibri"/>
          <w:sz w:val="36"/>
          <w:szCs w:val="36"/>
          <w:highlight w:val="none"/>
        </w:rPr>
        <w:t xml:space="preserve">      </w:t>
      </w:r>
      <w:r>
        <w:rPr>
          <w:rFonts w:ascii="宋体" w:hAnsi="Calibri"/>
          <w:b/>
          <w:bCs/>
          <w:sz w:val="36"/>
          <w:szCs w:val="36"/>
          <w:highlight w:val="none"/>
        </w:rPr>
        <w:t xml:space="preserve"> </w:t>
      </w:r>
      <w:r>
        <w:rPr>
          <w:highlight w:val="none"/>
        </w:rPr>
      </w:r>
      <w:r/>
    </w:p>
    <w:p>
      <w:pPr>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highlight w:val="none"/>
        </w:rPr>
      </w:r>
      <w:r/>
    </w:p>
    <w:p>
      <w:pPr>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highlight w:val="none"/>
        </w:rPr>
      </w:r>
      <w:r/>
    </w:p>
    <w:p>
      <w:pPr>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highlight w:val="none"/>
        </w:rPr>
      </w:r>
      <w:r/>
    </w:p>
    <w:p>
      <w:pPr>
        <w:jc w:val="center"/>
        <w:spacing w:line="360" w:lineRule="auto"/>
        <w:tabs>
          <w:tab w:val="left" w:pos="3120" w:leader="none"/>
        </w:tabs>
        <w:rPr>
          <w:rFonts w:ascii="宋体" w:hAnsi="宋体"/>
          <w:b/>
          <w:bCs/>
          <w:sz w:val="28"/>
          <w:szCs w:val="30"/>
          <w:highlight w:val="none"/>
        </w:rPr>
      </w:pPr>
      <w:r>
        <w:rPr>
          <w:highlight w:val="none"/>
        </w:rPr>
      </w:r>
      <w:bookmarkStart w:id="81" w:name="_Toc535597874"/>
      <w:r>
        <w:rPr>
          <w:highlight w:val="none"/>
        </w:rPr>
      </w:r>
      <w:bookmarkStart w:id="82" w:name="_Toc503948078"/>
      <w:r>
        <w:rPr>
          <w:highlight w:val="none"/>
        </w:rPr>
      </w:r>
      <w:bookmarkStart w:id="83" w:name="_Toc503948585"/>
      <w:r>
        <w:rPr>
          <w:highlight w:val="none"/>
        </w:rPr>
      </w:r>
      <w:r/>
    </w:p>
    <w:p>
      <w:pPr>
        <w:jc w:val="center"/>
        <w:keepLines/>
        <w:keepNext/>
        <w:spacing w:before="260" w:after="260"/>
        <w:rPr>
          <w:rFonts w:ascii="Arial" w:hAnsi="Arial" w:cs="Arial"/>
          <w:b/>
          <w:color w:val="000000"/>
          <w:sz w:val="32"/>
          <w:highlight w:val="none"/>
        </w:rPr>
      </w:pPr>
      <w:r>
        <w:rPr>
          <w:highlight w:val="none"/>
        </w:rPr>
      </w:r>
      <w:bookmarkStart w:id="84" w:name="_Toc40862137"/>
      <w:r>
        <w:rPr>
          <w:highlight w:val="none"/>
        </w:rPr>
      </w:r>
      <w:bookmarkStart w:id="85" w:name="_Toc26778847"/>
      <w:r>
        <w:rPr>
          <w:rFonts w:ascii="Arial" w:hAnsi="Arial" w:cs="Arial"/>
          <w:b/>
          <w:color w:val="000000"/>
          <w:sz w:val="32"/>
          <w:highlight w:val="none"/>
        </w:rPr>
        <w:t xml:space="preserve">第一部分</w:t>
      </w:r>
      <w:r>
        <w:rPr>
          <w:rFonts w:ascii="Arial" w:hAnsi="Arial" w:cs="Arial"/>
          <w:b/>
          <w:color w:val="000000"/>
          <w:sz w:val="32"/>
          <w:highlight w:val="none"/>
        </w:rPr>
        <w:t xml:space="preserve"> </w:t>
      </w:r>
      <w:r>
        <w:rPr>
          <w:rFonts w:ascii="Arial" w:hAnsi="Arial" w:cs="Arial"/>
          <w:b/>
          <w:color w:val="000000"/>
          <w:sz w:val="32"/>
          <w:highlight w:val="none"/>
        </w:rPr>
        <w:t xml:space="preserve">合同协议书</w:t>
      </w:r>
      <w:bookmarkEnd w:id="84"/>
      <w:r>
        <w:rPr>
          <w:highlight w:val="none"/>
        </w:rPr>
      </w:r>
      <w:bookmarkEnd w:id="85"/>
      <w:r>
        <w:rPr>
          <w:highlight w:val="none"/>
        </w:rPr>
      </w:r>
      <w:r/>
    </w:p>
    <w:p>
      <w:pPr>
        <w:spacing w:line="360" w:lineRule="auto"/>
        <w:rPr>
          <w:rFonts w:ascii="宋体" w:hAnsi="宋体" w:cs="宋体"/>
          <w:szCs w:val="21"/>
          <w:highlight w:val="none"/>
          <w:u w:val="single"/>
        </w:rPr>
      </w:pPr>
      <w:r>
        <w:rPr>
          <w:rFonts w:hint="eastAsia" w:ascii="宋体" w:hAnsi="宋体" w:cs="宋体"/>
          <w:b/>
          <w:szCs w:val="21"/>
          <w:highlight w:val="none"/>
        </w:rPr>
        <w:t xml:space="preserve">发包人（全称）：</w:t>
      </w:r>
      <w:r>
        <w:rPr>
          <w:rFonts w:hint="eastAsia" w:ascii="宋体" w:hAnsi="宋体" w:cs="宋体"/>
          <w:szCs w:val="21"/>
          <w:highlight w:val="none"/>
          <w:u w:val="single"/>
        </w:rPr>
        <w:t xml:space="preserve">                         </w:t>
      </w:r>
      <w:r>
        <w:rPr>
          <w:highlight w:val="none"/>
        </w:rPr>
      </w:r>
      <w:r/>
    </w:p>
    <w:p>
      <w:pPr>
        <w:spacing w:line="360" w:lineRule="auto"/>
        <w:rPr>
          <w:rFonts w:ascii="宋体" w:hAnsi="宋体" w:cs="宋体"/>
          <w:szCs w:val="21"/>
          <w:highlight w:val="none"/>
          <w:u w:val="single"/>
        </w:rPr>
      </w:pPr>
      <w:r>
        <w:rPr>
          <w:rFonts w:hint="eastAsia" w:ascii="宋体" w:hAnsi="宋体" w:cs="宋体"/>
          <w:b/>
          <w:szCs w:val="21"/>
          <w:highlight w:val="none"/>
        </w:rPr>
        <w:t xml:space="preserve">承包人（全称）：</w:t>
      </w:r>
      <w:r>
        <w:rPr>
          <w:rFonts w:hint="eastAsia" w:ascii="宋体" w:hAnsi="宋体" w:cs="宋体"/>
          <w:szCs w:val="21"/>
          <w:highlight w:val="none"/>
          <w:u w:val="single"/>
        </w:rPr>
        <w:t xml:space="preserve">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根据《中华人民共和国民法典》、《中华人民共和国建筑法》及有关法律规定，遵循平等、自愿、公平和诚实信用的原则，双方就</w:t>
      </w:r>
      <w:r>
        <w:rPr>
          <w:rFonts w:hint="eastAsia" w:ascii="宋体" w:hAnsi="宋体" w:cs="宋体"/>
          <w:szCs w:val="21"/>
          <w:highlight w:val="none"/>
          <w:u w:val="single"/>
        </w:rPr>
        <w:t xml:space="preserve">              </w:t>
      </w:r>
      <w:r>
        <w:rPr>
          <w:rFonts w:hint="eastAsia" w:ascii="宋体" w:hAnsi="宋体" w:cs="宋体"/>
          <w:szCs w:val="21"/>
          <w:highlight w:val="none"/>
        </w:rPr>
        <w:t xml:space="preserve">工程施工及有关事项，双方按下列条款签订合同：</w:t>
      </w:r>
      <w:r>
        <w:rPr>
          <w:highlight w:val="none"/>
        </w:rPr>
      </w:r>
      <w:r/>
    </w:p>
    <w:p>
      <w:pPr>
        <w:ind w:firstLine="420"/>
        <w:keepLines/>
        <w:keepNext/>
        <w:spacing w:line="360" w:lineRule="auto"/>
        <w:rPr>
          <w:rFonts w:ascii="宋体" w:hAnsi="宋体" w:cs="宋体"/>
          <w:szCs w:val="21"/>
          <w:highlight w:val="none"/>
        </w:rPr>
      </w:pPr>
      <w:r>
        <w:rPr>
          <w:highlight w:val="none"/>
        </w:rPr>
      </w:r>
      <w:bookmarkStart w:id="86" w:name="_Toc351203481"/>
      <w:r>
        <w:rPr>
          <w:rFonts w:hint="eastAsia" w:ascii="宋体" w:hAnsi="宋体" w:cs="宋体"/>
          <w:szCs w:val="21"/>
          <w:highlight w:val="none"/>
        </w:rPr>
        <w:t xml:space="preserve">一、工程概况</w:t>
      </w:r>
      <w:bookmarkEnd w:id="86"/>
      <w:r>
        <w:rPr>
          <w:highlight w:val="none"/>
        </w:rPr>
      </w:r>
      <w:r/>
    </w:p>
    <w:p>
      <w:pPr>
        <w:ind w:firstLine="420"/>
        <w:spacing w:line="360" w:lineRule="auto"/>
        <w:rPr>
          <w:rStyle w:val="917"/>
          <w:rFonts w:ascii="宋体" w:hAnsi="宋体" w:cs="宋体"/>
          <w:b w:val="0"/>
          <w:bCs w:val="0"/>
          <w:szCs w:val="21"/>
          <w:highlight w:val="none"/>
          <w:u w:val="single"/>
        </w:rPr>
      </w:pPr>
      <w:r>
        <w:rPr>
          <w:rFonts w:hint="eastAsia" w:ascii="宋体" w:hAnsi="宋体" w:cs="宋体"/>
          <w:szCs w:val="21"/>
          <w:highlight w:val="none"/>
        </w:rPr>
        <w:t xml:space="preserve">1.工程名称：</w:t>
      </w:r>
      <w:r>
        <w:rPr>
          <w:rStyle w:val="917"/>
          <w:rFonts w:hint="eastAsia" w:ascii="宋体" w:hAnsi="宋体" w:cs="宋体"/>
          <w:b w:val="0"/>
          <w:bCs w:val="0"/>
          <w:szCs w:val="21"/>
          <w:highlight w:val="none"/>
          <w:u w:val="single"/>
        </w:rPr>
        <w:t xml:space="preserve">             </w:t>
      </w:r>
      <w:r>
        <w:rPr>
          <w:highlight w:val="none"/>
        </w:rPr>
      </w:r>
      <w:r/>
    </w:p>
    <w:p>
      <w:pPr>
        <w:ind w:firstLine="420"/>
        <w:spacing w:line="360" w:lineRule="auto"/>
        <w:rPr>
          <w:rStyle w:val="917"/>
          <w:rFonts w:ascii="宋体" w:hAnsi="宋体" w:cs="宋体"/>
          <w:b w:val="0"/>
          <w:bCs w:val="0"/>
          <w:szCs w:val="21"/>
          <w:highlight w:val="none"/>
          <w:u w:val="single"/>
        </w:rPr>
      </w:pPr>
      <w:r>
        <w:rPr>
          <w:rFonts w:hint="eastAsia" w:ascii="宋体" w:hAnsi="宋体" w:cs="宋体"/>
          <w:szCs w:val="21"/>
          <w:highlight w:val="none"/>
        </w:rPr>
        <w:t xml:space="preserve">2.工程地点：</w:t>
      </w:r>
      <w:r>
        <w:rPr>
          <w:rStyle w:val="917"/>
          <w:rFonts w:hint="eastAsia" w:ascii="宋体" w:hAnsi="宋体" w:cs="宋体"/>
          <w:b w:val="0"/>
          <w:bCs w:val="0"/>
          <w:szCs w:val="21"/>
          <w:highlight w:val="none"/>
        </w:rPr>
        <w:t xml:space="preserve"> </w:t>
      </w:r>
      <w:r>
        <w:rPr>
          <w:rStyle w:val="917"/>
          <w:rFonts w:hint="eastAsia" w:ascii="宋体" w:hAnsi="宋体" w:cs="宋体"/>
          <w:b w:val="0"/>
          <w:bCs w:val="0"/>
          <w:szCs w:val="21"/>
          <w:highlight w:val="none"/>
          <w:u w:val="single"/>
        </w:rPr>
        <w:t xml:space="preserve">            </w:t>
      </w:r>
      <w:r>
        <w:rPr>
          <w:highlight w:val="none"/>
        </w:rPr>
      </w:r>
      <w:r/>
    </w:p>
    <w:p>
      <w:pPr>
        <w:ind w:firstLine="420"/>
        <w:spacing w:line="360" w:lineRule="auto"/>
        <w:rPr>
          <w:rStyle w:val="917"/>
          <w:rFonts w:ascii="宋体" w:hAnsi="宋体" w:cs="宋体"/>
          <w:b w:val="0"/>
          <w:bCs w:val="0"/>
          <w:szCs w:val="21"/>
          <w:highlight w:val="none"/>
          <w:u w:val="single"/>
        </w:rPr>
      </w:pPr>
      <w:r>
        <w:rPr>
          <w:rFonts w:hint="eastAsia" w:ascii="宋体" w:hAnsi="宋体" w:cs="宋体"/>
          <w:szCs w:val="21"/>
          <w:highlight w:val="none"/>
        </w:rPr>
        <w:t xml:space="preserve">3.资金来源：</w:t>
      </w:r>
      <w:r>
        <w:rPr>
          <w:rStyle w:val="917"/>
          <w:rFonts w:hint="eastAsia" w:ascii="宋体" w:hAnsi="宋体" w:cs="宋体"/>
          <w:b w:val="0"/>
          <w:bCs w:val="0"/>
          <w:szCs w:val="21"/>
          <w:highlight w:val="none"/>
          <w:u w:val="single"/>
        </w:rPr>
        <w:t xml:space="preserve">             </w:t>
      </w:r>
      <w:r>
        <w:rPr>
          <w:highlight w:val="none"/>
        </w:rPr>
      </w:r>
      <w:r/>
    </w:p>
    <w:p>
      <w:pPr>
        <w:ind w:firstLine="420"/>
        <w:spacing w:line="360" w:lineRule="auto"/>
        <w:rPr>
          <w:rStyle w:val="917"/>
          <w:rFonts w:ascii="宋体" w:hAnsi="宋体" w:cs="宋体"/>
          <w:b w:val="0"/>
          <w:bCs w:val="0"/>
          <w:szCs w:val="21"/>
          <w:highlight w:val="none"/>
          <w:u w:val="single"/>
        </w:rPr>
      </w:pPr>
      <w:r>
        <w:rPr>
          <w:rFonts w:hint="eastAsia" w:ascii="宋体" w:hAnsi="宋体" w:cs="宋体"/>
          <w:szCs w:val="21"/>
          <w:highlight w:val="none"/>
        </w:rPr>
        <w:t xml:space="preserve">4.工程内容：</w:t>
      </w:r>
      <w:r>
        <w:rPr>
          <w:rFonts w:hint="eastAsia" w:ascii="宋体" w:hAnsi="宋体" w:cs="宋体"/>
          <w:szCs w:val="21"/>
          <w:highlight w:val="none"/>
          <w:u w:val="single"/>
        </w:rPr>
        <w:t xml:space="preserve">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群体工程应附《承包人承揽工程项目一览表》（附件1）。</w:t>
      </w:r>
      <w:r>
        <w:rPr>
          <w:highlight w:val="none"/>
        </w:rPr>
      </w:r>
      <w:r/>
    </w:p>
    <w:p>
      <w:pPr>
        <w:ind w:firstLine="420"/>
        <w:spacing w:line="360" w:lineRule="auto"/>
        <w:rPr>
          <w:rStyle w:val="917"/>
          <w:rFonts w:ascii="宋体" w:hAnsi="宋体" w:cs="宋体"/>
          <w:b w:val="0"/>
          <w:bCs w:val="0"/>
          <w:szCs w:val="21"/>
          <w:highlight w:val="none"/>
          <w:u w:val="single"/>
        </w:rPr>
      </w:pPr>
      <w:r>
        <w:rPr>
          <w:rFonts w:hint="eastAsia" w:ascii="宋体" w:hAnsi="宋体" w:cs="宋体"/>
          <w:szCs w:val="21"/>
          <w:highlight w:val="none"/>
        </w:rPr>
        <w:t xml:space="preserve">5.工程承包范围：</w:t>
      </w:r>
      <w:r>
        <w:rPr>
          <w:rFonts w:hint="eastAsia" w:ascii="宋体" w:hAnsi="宋体" w:cs="宋体"/>
          <w:szCs w:val="21"/>
          <w:highlight w:val="none"/>
          <w:u w:val="single"/>
        </w:rPr>
        <w:t xml:space="preserve"> 工程量清单范围内所有施工内容 </w:t>
      </w:r>
      <w:r>
        <w:rPr>
          <w:highlight w:val="none"/>
        </w:rPr>
      </w:r>
      <w:r/>
    </w:p>
    <w:p>
      <w:pPr>
        <w:ind w:firstLine="420"/>
        <w:spacing w:line="360" w:lineRule="auto"/>
        <w:rPr>
          <w:rFonts w:ascii="宋体" w:hAnsi="宋体" w:cs="宋体"/>
          <w:szCs w:val="21"/>
          <w:highlight w:val="none"/>
        </w:rPr>
      </w:pPr>
      <w:r>
        <w:rPr>
          <w:highlight w:val="none"/>
        </w:rPr>
      </w:r>
      <w:bookmarkStart w:id="87" w:name="_Toc351203482"/>
      <w:r>
        <w:rPr>
          <w:rFonts w:hint="eastAsia" w:ascii="宋体" w:hAnsi="宋体" w:cs="宋体"/>
          <w:szCs w:val="21"/>
          <w:highlight w:val="none"/>
        </w:rPr>
        <w:t xml:space="preserve">二、合同工期</w:t>
      </w:r>
      <w:bookmarkEnd w:id="87"/>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计划开工日期：</w:t>
      </w:r>
      <w:r>
        <w:rPr>
          <w:rFonts w:hint="eastAsia" w:ascii="宋体" w:hAnsi="宋体" w:cs="宋体"/>
          <w:szCs w:val="21"/>
          <w:highlight w:val="none"/>
          <w:u w:val="single"/>
        </w:rPr>
        <w:t xml:space="preserve">以合同签订的日期为准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计划竣工日期：</w:t>
      </w:r>
      <w:r>
        <w:rPr>
          <w:rStyle w:val="917"/>
          <w:rFonts w:hint="eastAsia" w:ascii="宋体" w:hAnsi="宋体" w:cs="宋体"/>
          <w:b w:val="0"/>
          <w:bCs w:val="0"/>
          <w:szCs w:val="21"/>
          <w:highlight w:val="none"/>
          <w:u w:val="single"/>
        </w:rPr>
        <w:t xml:space="preserve">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工期总日历天数：</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日历天。工期总日历天数与根据前述计划开竣工日期计算的工期天数不一致的，以工期总日历天数为准。</w:t>
      </w:r>
      <w:r>
        <w:rPr>
          <w:highlight w:val="none"/>
        </w:rPr>
      </w:r>
      <w:r/>
    </w:p>
    <w:p>
      <w:pPr>
        <w:ind w:firstLine="420"/>
        <w:keepLines/>
        <w:keepNext/>
        <w:spacing w:line="360" w:lineRule="auto"/>
        <w:rPr>
          <w:rFonts w:ascii="宋体" w:hAnsi="宋体" w:cs="宋体"/>
          <w:szCs w:val="21"/>
          <w:highlight w:val="none"/>
        </w:rPr>
      </w:pPr>
      <w:r>
        <w:rPr>
          <w:highlight w:val="none"/>
        </w:rPr>
      </w:r>
      <w:bookmarkStart w:id="88" w:name="_Toc351203483"/>
      <w:r>
        <w:rPr>
          <w:rFonts w:hint="eastAsia" w:ascii="宋体" w:hAnsi="宋体" w:cs="宋体"/>
          <w:szCs w:val="21"/>
          <w:highlight w:val="none"/>
        </w:rPr>
        <w:t xml:space="preserve">三、质量标准</w:t>
      </w:r>
      <w:bookmarkEnd w:id="88"/>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工程质量符合</w:t>
      </w:r>
      <w:r>
        <w:rPr>
          <w:rFonts w:hint="eastAsia" w:ascii="宋体" w:hAnsi="宋体" w:cs="宋体"/>
          <w:szCs w:val="21"/>
          <w:highlight w:val="none"/>
          <w:u w:val="single"/>
        </w:rPr>
        <w:t xml:space="preserve"> 国家验收 </w:t>
      </w:r>
      <w:r>
        <w:rPr>
          <w:rFonts w:hint="eastAsia" w:ascii="宋体" w:hAnsi="宋体" w:cs="宋体"/>
          <w:szCs w:val="21"/>
          <w:highlight w:val="none"/>
        </w:rPr>
        <w:t xml:space="preserve">标准。</w:t>
      </w:r>
      <w:r>
        <w:rPr>
          <w:highlight w:val="none"/>
        </w:rPr>
      </w:r>
      <w:r/>
    </w:p>
    <w:p>
      <w:pPr>
        <w:ind w:firstLine="420"/>
        <w:keepLines/>
        <w:keepNext/>
        <w:spacing w:line="360" w:lineRule="auto"/>
        <w:rPr>
          <w:rFonts w:ascii="宋体" w:hAnsi="宋体" w:cs="宋体"/>
          <w:szCs w:val="21"/>
          <w:highlight w:val="none"/>
        </w:rPr>
      </w:pPr>
      <w:r>
        <w:rPr>
          <w:highlight w:val="none"/>
        </w:rPr>
      </w:r>
      <w:bookmarkStart w:id="89" w:name="_Toc351203484"/>
      <w:r>
        <w:rPr>
          <w:rFonts w:hint="eastAsia" w:ascii="宋体" w:hAnsi="宋体" w:cs="宋体"/>
          <w:szCs w:val="21"/>
          <w:highlight w:val="none"/>
        </w:rPr>
        <w:t xml:space="preserve">四、签约合同价与合同价格形式</w:t>
      </w:r>
      <w:bookmarkEnd w:id="89"/>
      <w:r>
        <w:rPr>
          <w:rFonts w:hint="eastAsia" w:ascii="宋体" w:hAnsi="宋体" w:cs="宋体"/>
          <w:szCs w:val="21"/>
          <w:highlight w:val="none"/>
        </w:rPr>
        <w:tab/>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1.签约合同价为（暂定价）：</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其中：</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（1）安全文明施工费：</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（2）材料和工程设备暂估价金额：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（3）专业工程暂估价金额：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（4）暂列金额：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元)；</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2.合同价格形式：</w:t>
      </w:r>
      <w:r>
        <w:rPr>
          <w:rFonts w:hint="eastAsia" w:ascii="宋体" w:hAnsi="宋体" w:cs="宋体"/>
          <w:szCs w:val="21"/>
          <w:highlight w:val="none"/>
          <w:u w:val="single"/>
        </w:rPr>
        <w:t xml:space="preserve">单价合同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szCs w:val="21"/>
          <w:highlight w:val="none"/>
        </w:rPr>
      </w:pPr>
      <w:r>
        <w:rPr>
          <w:highlight w:val="none"/>
        </w:rPr>
      </w:r>
      <w:bookmarkStart w:id="90" w:name="_Toc351203485"/>
      <w:r>
        <w:rPr>
          <w:rFonts w:hint="eastAsia" w:ascii="宋体" w:hAnsi="宋体" w:cs="宋体"/>
          <w:szCs w:val="21"/>
          <w:highlight w:val="none"/>
        </w:rPr>
        <w:t xml:space="preserve">五、</w:t>
      </w:r>
      <w:bookmarkEnd w:id="90"/>
      <w:r>
        <w:rPr>
          <w:rFonts w:hint="eastAsia" w:ascii="宋体" w:hAnsi="宋体" w:cs="宋体"/>
          <w:szCs w:val="21"/>
          <w:highlight w:val="none"/>
        </w:rPr>
        <w:t xml:space="preserve">项目经理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承包人项目经理：</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szCs w:val="21"/>
          <w:highlight w:val="none"/>
        </w:rPr>
      </w:pPr>
      <w:r>
        <w:rPr>
          <w:highlight w:val="none"/>
        </w:rPr>
      </w:r>
      <w:bookmarkStart w:id="91" w:name="_Toc351203486"/>
      <w:r>
        <w:rPr>
          <w:rFonts w:hint="eastAsia" w:ascii="宋体" w:hAnsi="宋体" w:cs="宋体"/>
          <w:szCs w:val="21"/>
          <w:highlight w:val="none"/>
        </w:rPr>
        <w:t xml:space="preserve">六、合同文件构成</w:t>
      </w:r>
      <w:bookmarkEnd w:id="91"/>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本协议书与下列文件一起构成合同文件：</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（1）中标通知书（如果有）；</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（2）投标函及其附录（如果有）； </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（3）专用合同条款及其附件；</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（4）通用合同条款；</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（5）技术标准和要求；</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（6）图纸；</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（7）已标价工程量清单或预算书；</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（8）其他合同文件。</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在合同订立及履行过程中形成的与合同有关的文件均构成合同文件组成部分。</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highlight w:val="none"/>
        </w:rPr>
      </w:r>
      <w:r/>
    </w:p>
    <w:p>
      <w:pPr>
        <w:ind w:firstLine="420"/>
        <w:keepLines/>
        <w:keepNext/>
        <w:spacing w:line="360" w:lineRule="auto"/>
        <w:rPr>
          <w:rFonts w:ascii="宋体" w:hAnsi="宋体" w:cs="宋体"/>
          <w:szCs w:val="21"/>
          <w:highlight w:val="none"/>
        </w:rPr>
      </w:pPr>
      <w:r>
        <w:rPr>
          <w:highlight w:val="none"/>
        </w:rPr>
      </w:r>
      <w:bookmarkStart w:id="92" w:name="_Toc351203487"/>
      <w:r>
        <w:rPr>
          <w:rFonts w:hint="eastAsia" w:ascii="宋体" w:hAnsi="宋体" w:cs="宋体"/>
          <w:szCs w:val="21"/>
          <w:highlight w:val="none"/>
        </w:rPr>
        <w:t xml:space="preserve">七、承诺</w:t>
      </w:r>
      <w:bookmarkEnd w:id="92"/>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1.发包人承诺按照法律规定履行项目审批手续、筹集工程建设资金并按照合同约定的期限和方式支付合同价款。</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2.承包人承诺按照法律规定及合同约定组织完成工程施工，确保工程质量和安全，不进行转包及违法分包，并在缺陷责任期及保修期内承担相应的工程维修责任。</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3.发包人和承包人通过招投标形式签订合同的，双方理解并承诺不再就同一工程另行签订与合同实质性内容相背离的协议。</w:t>
      </w:r>
      <w:r>
        <w:rPr>
          <w:highlight w:val="none"/>
        </w:rPr>
      </w:r>
      <w:r/>
    </w:p>
    <w:p>
      <w:pPr>
        <w:ind w:firstLine="420"/>
        <w:spacing w:line="360" w:lineRule="auto"/>
        <w:rPr>
          <w:rFonts w:ascii="宋体" w:hAnsi="宋体" w:cs="宋体"/>
          <w:szCs w:val="21"/>
          <w:highlight w:val="none"/>
        </w:rPr>
      </w:pPr>
      <w:r>
        <w:rPr>
          <w:highlight w:val="none"/>
        </w:rPr>
      </w:r>
      <w:bookmarkStart w:id="93" w:name="_Toc351203488"/>
      <w:r>
        <w:rPr>
          <w:rFonts w:hint="eastAsia" w:ascii="宋体" w:hAnsi="宋体" w:cs="宋体"/>
          <w:szCs w:val="21"/>
          <w:highlight w:val="none"/>
        </w:rPr>
        <w:t xml:space="preserve">八、词语含义</w:t>
      </w:r>
      <w:bookmarkEnd w:id="93"/>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本协议书中词语含义与第二部分通用合同条款中赋予的含义相同。</w:t>
      </w:r>
      <w:r>
        <w:rPr>
          <w:highlight w:val="none"/>
        </w:rPr>
      </w:r>
      <w:r/>
    </w:p>
    <w:p>
      <w:pPr>
        <w:ind w:firstLine="420"/>
        <w:keepLines/>
        <w:keepNext/>
        <w:spacing w:line="360" w:lineRule="auto"/>
        <w:rPr>
          <w:rFonts w:ascii="宋体" w:hAnsi="宋体" w:cs="宋体"/>
          <w:szCs w:val="21"/>
          <w:highlight w:val="none"/>
        </w:rPr>
      </w:pPr>
      <w:r>
        <w:rPr>
          <w:highlight w:val="none"/>
        </w:rPr>
      </w:r>
      <w:bookmarkStart w:id="94" w:name="_Toc351203489"/>
      <w:r>
        <w:rPr>
          <w:rFonts w:hint="eastAsia" w:ascii="宋体" w:hAnsi="宋体" w:cs="宋体"/>
          <w:szCs w:val="21"/>
          <w:highlight w:val="none"/>
        </w:rPr>
        <w:t xml:space="preserve">九、签订时间</w:t>
      </w:r>
      <w:bookmarkEnd w:id="94"/>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本合同于</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日签订。</w:t>
      </w:r>
      <w:r>
        <w:rPr>
          <w:highlight w:val="none"/>
        </w:rPr>
      </w:r>
      <w:r/>
    </w:p>
    <w:p>
      <w:pPr>
        <w:ind w:firstLine="420"/>
        <w:keepLines/>
        <w:keepNext/>
        <w:spacing w:line="360" w:lineRule="auto"/>
        <w:rPr>
          <w:rFonts w:ascii="宋体" w:hAnsi="宋体" w:cs="宋体"/>
          <w:szCs w:val="21"/>
          <w:highlight w:val="none"/>
        </w:rPr>
      </w:pPr>
      <w:r>
        <w:rPr>
          <w:highlight w:val="none"/>
        </w:rPr>
      </w:r>
      <w:bookmarkStart w:id="95" w:name="_Toc351203490"/>
      <w:r>
        <w:rPr>
          <w:rFonts w:hint="eastAsia" w:ascii="宋体" w:hAnsi="宋体" w:cs="宋体"/>
          <w:szCs w:val="21"/>
          <w:highlight w:val="none"/>
        </w:rPr>
        <w:t xml:space="preserve">十、签订地点</w:t>
      </w:r>
      <w:bookmarkEnd w:id="95"/>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本合同在</w:t>
      </w:r>
      <w:r>
        <w:rPr>
          <w:rFonts w:hint="eastAsia" w:ascii="宋体" w:hAnsi="宋体" w:cs="宋体"/>
          <w:szCs w:val="21"/>
          <w:highlight w:val="none"/>
          <w:u w:val="single"/>
        </w:rPr>
        <w:t xml:space="preserve">   发包人处     </w:t>
      </w:r>
      <w:r>
        <w:rPr>
          <w:rFonts w:hint="eastAsia" w:ascii="宋体" w:hAnsi="宋体" w:cs="宋体"/>
          <w:szCs w:val="21"/>
          <w:highlight w:val="none"/>
        </w:rPr>
        <w:t xml:space="preserve">签订。</w:t>
      </w:r>
      <w:r>
        <w:rPr>
          <w:highlight w:val="none"/>
        </w:rPr>
      </w:r>
      <w:r/>
    </w:p>
    <w:p>
      <w:pPr>
        <w:ind w:firstLine="420"/>
        <w:keepLines/>
        <w:keepNext/>
        <w:spacing w:line="360" w:lineRule="auto"/>
        <w:rPr>
          <w:rFonts w:ascii="宋体" w:hAnsi="宋体" w:cs="宋体"/>
          <w:szCs w:val="21"/>
          <w:highlight w:val="none"/>
        </w:rPr>
      </w:pPr>
      <w:r>
        <w:rPr>
          <w:highlight w:val="none"/>
        </w:rPr>
      </w:r>
      <w:bookmarkStart w:id="96" w:name="_Toc351203491"/>
      <w:r>
        <w:rPr>
          <w:rFonts w:hint="eastAsia" w:ascii="宋体" w:hAnsi="宋体" w:cs="宋体"/>
          <w:szCs w:val="21"/>
          <w:highlight w:val="none"/>
        </w:rPr>
        <w:t xml:space="preserve">十一、补充协议</w:t>
      </w:r>
      <w:bookmarkEnd w:id="96"/>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合同未尽事宜，合同当事人另行签订补充协议，补充协议是合同的组成部分。</w:t>
      </w:r>
      <w:r>
        <w:rPr>
          <w:highlight w:val="none"/>
        </w:rPr>
      </w:r>
      <w:r/>
    </w:p>
    <w:p>
      <w:pPr>
        <w:ind w:firstLine="420"/>
        <w:keepLines/>
        <w:keepNext/>
        <w:spacing w:line="360" w:lineRule="auto"/>
        <w:rPr>
          <w:rFonts w:ascii="宋体" w:hAnsi="宋体" w:cs="宋体"/>
          <w:szCs w:val="21"/>
          <w:highlight w:val="none"/>
        </w:rPr>
      </w:pPr>
      <w:r>
        <w:rPr>
          <w:highlight w:val="none"/>
        </w:rPr>
      </w:r>
      <w:bookmarkStart w:id="97" w:name="_Toc351203492"/>
      <w:r>
        <w:rPr>
          <w:rFonts w:hint="eastAsia" w:ascii="宋体" w:hAnsi="宋体" w:cs="宋体"/>
          <w:szCs w:val="21"/>
          <w:highlight w:val="none"/>
        </w:rPr>
        <w:t xml:space="preserve">十二、合同生效</w:t>
      </w:r>
      <w:bookmarkEnd w:id="97"/>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本合同自</w:t>
      </w:r>
      <w:r>
        <w:rPr>
          <w:rFonts w:hint="eastAsia" w:ascii="宋体" w:hAnsi="宋体" w:cs="宋体"/>
          <w:szCs w:val="21"/>
          <w:highlight w:val="none"/>
          <w:u w:val="single"/>
        </w:rPr>
        <w:t xml:space="preserve">   双方盖章签字后  </w:t>
      </w:r>
      <w:r>
        <w:rPr>
          <w:rFonts w:hint="eastAsia" w:ascii="宋体" w:hAnsi="宋体" w:cs="宋体"/>
          <w:szCs w:val="21"/>
          <w:highlight w:val="none"/>
        </w:rPr>
        <w:t xml:space="preserve">生效。</w:t>
      </w:r>
      <w:r>
        <w:rPr>
          <w:highlight w:val="none"/>
        </w:rPr>
      </w:r>
      <w:r/>
    </w:p>
    <w:p>
      <w:pPr>
        <w:ind w:firstLine="420"/>
        <w:keepLines/>
        <w:keepNext/>
        <w:spacing w:line="360" w:lineRule="auto"/>
        <w:rPr>
          <w:rFonts w:ascii="宋体" w:hAnsi="宋体" w:cs="宋体"/>
          <w:szCs w:val="21"/>
          <w:highlight w:val="none"/>
        </w:rPr>
      </w:pPr>
      <w:r>
        <w:rPr>
          <w:highlight w:val="none"/>
        </w:rPr>
      </w:r>
      <w:bookmarkStart w:id="98" w:name="_Toc351203493"/>
      <w:r>
        <w:rPr>
          <w:rFonts w:hint="eastAsia" w:ascii="宋体" w:hAnsi="宋体" w:cs="宋体"/>
          <w:szCs w:val="21"/>
          <w:highlight w:val="none"/>
        </w:rPr>
        <w:t xml:space="preserve">十三、本合同所载地址、联系电话均为约定送达方式（包括法院的诉讼文书），任何一方发生变化应提前5日通知对方，否则，由此引起无法送达的的后果，由未履行通知义务的一方承担，即视为送达成功。</w:t>
      </w:r>
      <w:r>
        <w:rPr>
          <w:highlight w:val="none"/>
        </w:rPr>
      </w:r>
      <w:r/>
    </w:p>
    <w:p>
      <w:pPr>
        <w:ind w:firstLine="420"/>
        <w:keepLines/>
        <w:keepNext/>
        <w:spacing w:line="360" w:lineRule="auto"/>
        <w:rPr>
          <w:rFonts w:ascii="宋体" w:hAnsi="宋体" w:cs="宋体"/>
          <w:szCs w:val="21"/>
          <w:highlight w:val="none"/>
        </w:rPr>
      </w:pPr>
      <w:r>
        <w:rPr>
          <w:rFonts w:hint="eastAsia" w:ascii="宋体" w:hAnsi="宋体" w:cs="宋体"/>
          <w:szCs w:val="21"/>
          <w:highlight w:val="none"/>
        </w:rPr>
        <w:t xml:space="preserve">十四、合同份数</w:t>
      </w:r>
      <w:bookmarkEnd w:id="98"/>
      <w:r>
        <w:rPr>
          <w:highlight w:val="none"/>
        </w:rPr>
      </w:r>
      <w:r/>
    </w:p>
    <w:p>
      <w:pPr>
        <w:ind w:firstLine="420"/>
        <w:spacing w:line="360" w:lineRule="auto"/>
        <w:rPr>
          <w:rFonts w:ascii="宋体" w:hAnsi="宋体" w:cs="宋体"/>
          <w:bCs/>
          <w:szCs w:val="21"/>
          <w:highlight w:val="none"/>
        </w:rPr>
      </w:pPr>
      <w:r>
        <w:rPr>
          <w:rFonts w:hint="eastAsia" w:ascii="宋体" w:hAnsi="宋体" w:cs="宋体"/>
          <w:szCs w:val="21"/>
          <w:highlight w:val="none"/>
        </w:rPr>
        <w:t xml:space="preserve">本合同一式</w:t>
      </w:r>
      <w:r>
        <w:rPr>
          <w:rFonts w:hint="eastAsia" w:ascii="宋体" w:hAnsi="宋体" w:cs="宋体"/>
          <w:szCs w:val="21"/>
          <w:highlight w:val="none"/>
          <w:u w:val="single"/>
        </w:rPr>
        <w:t xml:space="preserve"> 捌 </w:t>
      </w:r>
      <w:r>
        <w:rPr>
          <w:rFonts w:hint="eastAsia" w:ascii="宋体" w:hAnsi="宋体" w:cs="宋体"/>
          <w:szCs w:val="21"/>
          <w:highlight w:val="none"/>
        </w:rPr>
        <w:t xml:space="preserve">份，均具有同等法律效力。</w:t>
      </w:r>
      <w:r>
        <w:rPr>
          <w:highlight w:val="none"/>
        </w:rPr>
      </w:r>
      <w:r/>
    </w:p>
    <w:p>
      <w:pPr>
        <w:spacing w:line="360" w:lineRule="auto"/>
        <w:rPr>
          <w:rFonts w:ascii="宋体" w:hAnsi="宋体" w:cs="宋体"/>
          <w:szCs w:val="21"/>
          <w:highlight w:val="none"/>
        </w:rPr>
      </w:pPr>
      <w:r>
        <w:rPr>
          <w:rFonts w:ascii="宋体" w:hAnsi="宋体" w:cs="宋体"/>
          <w:szCs w:val="21"/>
          <w:highlight w:val="none"/>
        </w:rPr>
      </w:r>
      <w:r>
        <w:rPr>
          <w:highlight w:val="none"/>
        </w:rPr>
      </w:r>
      <w:r/>
    </w:p>
    <w:p>
      <w:pPr>
        <w:spacing w:line="360" w:lineRule="auto"/>
        <w:rPr>
          <w:rFonts w:ascii="宋体" w:hAnsi="宋体" w:cs="宋体"/>
          <w:szCs w:val="21"/>
          <w:highlight w:val="none"/>
        </w:rPr>
      </w:pPr>
      <w:r>
        <w:rPr>
          <w:rFonts w:ascii="宋体" w:hAnsi="宋体" w:cs="宋体"/>
          <w:szCs w:val="21"/>
          <w:highlight w:val="none"/>
        </w:rPr>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发包人：(公章)</w:t>
      </w:r>
      <w:r>
        <w:rPr>
          <w:rFonts w:hint="eastAsia" w:ascii="宋体" w:hAnsi="宋体" w:cs="宋体"/>
          <w:szCs w:val="21"/>
          <w:highlight w:val="none"/>
          <w:u w:val="single"/>
        </w:rPr>
        <w:t xml:space="preserve">            </w:t>
      </w:r>
      <w:r>
        <w:rPr>
          <w:rFonts w:hint="eastAsia" w:ascii="宋体" w:hAnsi="宋体" w:cs="宋体"/>
          <w:szCs w:val="21"/>
          <w:highlight w:val="none"/>
        </w:rPr>
        <w:t xml:space="preserve">                          承包人：(公章)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r/>
    </w:p>
    <w:p>
      <w:pPr>
        <w:spacing w:line="360" w:lineRule="auto"/>
        <w:tabs>
          <w:tab w:val="left" w:pos="4410" w:leader="none"/>
        </w:tabs>
        <w:rPr>
          <w:rFonts w:ascii="宋体" w:hAnsi="宋体" w:cs="宋体"/>
          <w:szCs w:val="21"/>
          <w:highlight w:val="none"/>
        </w:rPr>
      </w:pPr>
      <w:r>
        <w:rPr>
          <w:rFonts w:hint="eastAsia" w:ascii="宋体" w:hAnsi="宋体" w:cs="宋体"/>
          <w:szCs w:val="21"/>
          <w:highlight w:val="none"/>
        </w:rPr>
        <w:t xml:space="preserve">组织机构代码：</w:t>
      </w:r>
      <w:r>
        <w:rPr>
          <w:rFonts w:hint="eastAsia" w:ascii="宋体" w:hAnsi="宋体" w:cs="宋体"/>
          <w:szCs w:val="21"/>
          <w:highlight w:val="none"/>
          <w:u w:val="single"/>
        </w:rPr>
        <w:t xml:space="preserve">            </w:t>
      </w:r>
      <w:r>
        <w:rPr>
          <w:rFonts w:hint="eastAsia" w:ascii="宋体" w:hAnsi="宋体" w:cs="宋体"/>
          <w:szCs w:val="21"/>
          <w:highlight w:val="none"/>
        </w:rPr>
        <w:t xml:space="preserve">                          组织机构代码：</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rPr>
          <w:rFonts w:hint="eastAsia" w:ascii="宋体" w:hAnsi="宋体" w:cs="宋体"/>
          <w:szCs w:val="21"/>
          <w:highlight w:val="none"/>
        </w:rPr>
        <w:t xml:space="preserve">                          地  址：</w:t>
      </w:r>
      <w:r>
        <w:rPr>
          <w:rFonts w:hint="eastAsia" w:ascii="宋体" w:hAnsi="宋体" w:cs="宋体"/>
          <w:szCs w:val="21"/>
          <w:highlight w:val="none"/>
          <w:u w:val="single"/>
        </w:rPr>
        <w:t xml:space="preserve">                  </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邮政编码：</w:t>
      </w:r>
      <w:r>
        <w:rPr>
          <w:rFonts w:hint="eastAsia" w:ascii="宋体" w:hAnsi="宋体" w:cs="宋体"/>
          <w:szCs w:val="21"/>
          <w:highlight w:val="none"/>
          <w:u w:val="single"/>
        </w:rPr>
        <w:t xml:space="preserve">                </w:t>
      </w:r>
      <w:r>
        <w:rPr>
          <w:rFonts w:hint="eastAsia" w:ascii="宋体" w:hAnsi="宋体" w:cs="宋体"/>
          <w:szCs w:val="21"/>
          <w:highlight w:val="none"/>
        </w:rPr>
        <w:t xml:space="preserve">                          邮政编码：</w:t>
      </w:r>
      <w:r>
        <w:rPr>
          <w:rFonts w:hint="eastAsia" w:ascii="宋体" w:hAnsi="宋体" w:cs="宋体"/>
          <w:szCs w:val="21"/>
          <w:highlight w:val="none"/>
          <w:u w:val="single"/>
        </w:rPr>
        <w:t xml:space="preserve">                </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法定代表人：</w:t>
      </w:r>
      <w:r>
        <w:rPr>
          <w:rFonts w:hint="eastAsia" w:ascii="宋体" w:hAnsi="宋体" w:cs="宋体"/>
          <w:szCs w:val="21"/>
          <w:highlight w:val="none"/>
          <w:u w:val="single"/>
        </w:rPr>
        <w:t xml:space="preserve">              </w:t>
      </w:r>
      <w:r>
        <w:rPr>
          <w:rFonts w:hint="eastAsia" w:ascii="宋体" w:hAnsi="宋体" w:cs="宋体"/>
          <w:szCs w:val="21"/>
          <w:highlight w:val="none"/>
        </w:rPr>
        <w:t xml:space="preserve">                          法定代表人：</w:t>
      </w:r>
      <w:r>
        <w:rPr>
          <w:rFonts w:hint="eastAsia" w:ascii="宋体" w:hAnsi="宋体" w:cs="宋体"/>
          <w:szCs w:val="21"/>
          <w:highlight w:val="none"/>
          <w:u w:val="single"/>
        </w:rPr>
        <w:t xml:space="preserve">              </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委托代理人：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                          委托代理人：</w:t>
      </w:r>
      <w:r>
        <w:rPr>
          <w:rFonts w:hint="eastAsia" w:ascii="宋体" w:hAnsi="宋体" w:cs="宋体"/>
          <w:szCs w:val="21"/>
          <w:highlight w:val="none"/>
          <w:u w:val="single"/>
        </w:rPr>
        <w:t xml:space="preserve">              </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rPr>
          <w:rFonts w:hint="eastAsia" w:ascii="宋体" w:hAnsi="宋体" w:cs="宋体"/>
          <w:szCs w:val="21"/>
          <w:highlight w:val="none"/>
        </w:rPr>
        <w:t xml:space="preserve">                          电  话：</w:t>
      </w:r>
      <w:r>
        <w:rPr>
          <w:rFonts w:hint="eastAsia" w:ascii="宋体" w:hAnsi="宋体" w:cs="宋体"/>
          <w:szCs w:val="21"/>
          <w:highlight w:val="none"/>
          <w:u w:val="single"/>
        </w:rPr>
        <w:t xml:space="preserve">                  </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rPr>
          <w:rFonts w:hint="eastAsia" w:ascii="宋体" w:hAnsi="宋体" w:cs="宋体"/>
          <w:szCs w:val="21"/>
          <w:highlight w:val="none"/>
        </w:rPr>
        <w:t xml:space="preserve">                          传  真：</w:t>
      </w:r>
      <w:r>
        <w:rPr>
          <w:rFonts w:hint="eastAsia" w:ascii="宋体" w:hAnsi="宋体" w:cs="宋体"/>
          <w:szCs w:val="21"/>
          <w:highlight w:val="none"/>
          <w:u w:val="single"/>
        </w:rPr>
        <w:t xml:space="preserve">                  </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开户银行： </w:t>
      </w:r>
      <w:r>
        <w:rPr>
          <w:rFonts w:hint="eastAsia" w:ascii="宋体" w:hAnsi="宋体" w:cs="宋体"/>
          <w:szCs w:val="21"/>
          <w:highlight w:val="none"/>
          <w:u w:val="single"/>
        </w:rPr>
        <w:t xml:space="preserve">               </w:t>
      </w:r>
      <w:r>
        <w:rPr>
          <w:rFonts w:hint="eastAsia" w:ascii="宋体" w:hAnsi="宋体" w:cs="宋体"/>
          <w:szCs w:val="21"/>
          <w:highlight w:val="none"/>
        </w:rPr>
        <w:t xml:space="preserve">                          开户银行：</w:t>
      </w:r>
      <w:r>
        <w:rPr>
          <w:rFonts w:hint="eastAsia" w:ascii="宋体" w:hAnsi="宋体" w:cs="宋体"/>
          <w:szCs w:val="21"/>
          <w:highlight w:val="none"/>
          <w:u w:val="single"/>
        </w:rPr>
        <w:t xml:space="preserve">                </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账  号：</w:t>
      </w:r>
      <w:r>
        <w:rPr>
          <w:rFonts w:hint="eastAsia" w:ascii="宋体" w:hAnsi="宋体" w:cs="宋体"/>
          <w:szCs w:val="21"/>
          <w:highlight w:val="none"/>
          <w:u w:val="single"/>
        </w:rPr>
        <w:t xml:space="preserve">                  </w:t>
      </w:r>
      <w:r>
        <w:rPr>
          <w:rFonts w:hint="eastAsia" w:ascii="宋体" w:hAnsi="宋体" w:cs="宋体"/>
          <w:szCs w:val="21"/>
          <w:highlight w:val="none"/>
        </w:rPr>
        <w:t xml:space="preserve">                          账  号：</w:t>
      </w:r>
      <w:r>
        <w:rPr>
          <w:rFonts w:hint="eastAsia" w:ascii="宋体" w:hAnsi="宋体" w:cs="宋体"/>
          <w:szCs w:val="21"/>
          <w:highlight w:val="none"/>
          <w:u w:val="single"/>
        </w:rPr>
        <w:t xml:space="preserve">                  </w:t>
      </w:r>
      <w:r>
        <w:rPr>
          <w:highlight w:val="none"/>
        </w:rPr>
      </w:r>
      <w:r/>
    </w:p>
    <w:p>
      <w:pPr>
        <w:rPr>
          <w:rFonts w:ascii="宋体" w:hAnsi="宋体" w:cs="宋体"/>
          <w:szCs w:val="21"/>
          <w:highlight w:val="none"/>
        </w:rPr>
      </w:pPr>
      <w:r>
        <w:rPr>
          <w:rFonts w:ascii="宋体" w:hAnsi="宋体" w:cs="宋体"/>
          <w:szCs w:val="21"/>
          <w:highlight w:val="none"/>
        </w:rPr>
      </w:r>
      <w:r>
        <w:rPr>
          <w:highlight w:val="none"/>
        </w:rPr>
      </w:r>
      <w:r/>
    </w:p>
    <w:p>
      <w:pPr>
        <w:jc w:val="center"/>
        <w:keepLines/>
        <w:keepNext/>
        <w:spacing w:before="260" w:after="260"/>
        <w:rPr>
          <w:rFonts w:ascii="宋体" w:hAnsi="宋体" w:cs="宋体"/>
          <w:b/>
          <w:szCs w:val="21"/>
          <w:highlight w:val="none"/>
        </w:rPr>
      </w:pPr>
      <w:r>
        <w:rPr>
          <w:rFonts w:hint="eastAsia" w:ascii="宋体" w:hAnsi="宋体" w:cs="宋体"/>
          <w:szCs w:val="21"/>
          <w:highlight w:val="none"/>
        </w:rPr>
        <w:br w:type="page" w:clear="all"/>
        <w:t xml:space="preserve"> </w:t>
      </w:r>
      <w:bookmarkStart w:id="99" w:name="_Toc40862138"/>
      <w:r>
        <w:rPr>
          <w:highlight w:val="none"/>
        </w:rPr>
      </w:r>
      <w:bookmarkStart w:id="100" w:name="_Toc351203494"/>
      <w:r>
        <w:rPr>
          <w:highlight w:val="none"/>
        </w:rPr>
      </w:r>
      <w:bookmarkStart w:id="101" w:name="_Toc26778848"/>
      <w:r>
        <w:rPr>
          <w:rFonts w:hint="eastAsia" w:ascii="宋体" w:hAnsi="宋体" w:cs="宋体"/>
          <w:b/>
          <w:szCs w:val="21"/>
          <w:highlight w:val="none"/>
        </w:rPr>
        <w:t xml:space="preserve">第二部分 通用合同条款</w:t>
      </w:r>
      <w:bookmarkStart w:id="102" w:name="_Toc337558727"/>
      <w:r>
        <w:rPr>
          <w:highlight w:val="none"/>
        </w:rPr>
      </w:r>
      <w:bookmarkEnd w:id="99"/>
      <w:r>
        <w:rPr>
          <w:highlight w:val="none"/>
        </w:rPr>
      </w:r>
      <w:bookmarkEnd w:id="100"/>
      <w:r>
        <w:rPr>
          <w:highlight w:val="none"/>
        </w:rPr>
      </w:r>
      <w:bookmarkEnd w:id="101"/>
      <w:r>
        <w:rPr>
          <w:highlight w:val="none"/>
        </w:rPr>
      </w:r>
      <w:r/>
    </w:p>
    <w:p>
      <w:pPr>
        <w:jc w:val="center"/>
        <w:keepLines/>
        <w:keepNext/>
        <w:spacing w:before="260" w:after="260"/>
        <w:rPr>
          <w:rFonts w:ascii="宋体" w:hAnsi="宋体" w:cs="宋体"/>
          <w:bCs/>
          <w:szCs w:val="21"/>
          <w:highlight w:val="none"/>
        </w:rPr>
      </w:pPr>
      <w:r>
        <w:rPr>
          <w:rFonts w:hint="eastAsia" w:ascii="宋体" w:hAnsi="宋体" w:cs="宋体"/>
          <w:bCs/>
          <w:szCs w:val="21"/>
          <w:highlight w:val="none"/>
        </w:rPr>
        <w:t xml:space="preserve">此部分采用《建设工程施工合同》范本（GF-2017-0201）中《第二部分 通用条款》</w:t>
      </w:r>
      <w:r>
        <w:rPr>
          <w:highlight w:val="none"/>
        </w:rPr>
      </w:r>
      <w:r/>
    </w:p>
    <w:p>
      <w:pPr>
        <w:jc w:val="center"/>
        <w:keepLines/>
        <w:keepNext/>
        <w:spacing w:before="260" w:after="260"/>
        <w:rPr>
          <w:rFonts w:ascii="宋体" w:hAnsi="宋体" w:cs="宋体"/>
          <w:b/>
          <w:szCs w:val="21"/>
          <w:highlight w:val="none"/>
        </w:rPr>
      </w:pPr>
      <w:r>
        <w:rPr>
          <w:highlight w:val="none"/>
        </w:rPr>
      </w:r>
      <w:bookmarkStart w:id="103" w:name="_Toc26778849"/>
      <w:r>
        <w:rPr>
          <w:highlight w:val="none"/>
        </w:rPr>
      </w:r>
      <w:bookmarkStart w:id="104" w:name="_Toc40862139"/>
      <w:r>
        <w:rPr>
          <w:highlight w:val="none"/>
        </w:rPr>
      </w:r>
      <w:bookmarkEnd w:id="102"/>
      <w:r>
        <w:rPr>
          <w:rFonts w:hint="eastAsia" w:ascii="宋体" w:hAnsi="宋体" w:cs="宋体"/>
          <w:b/>
          <w:szCs w:val="21"/>
          <w:highlight w:val="none"/>
        </w:rPr>
        <w:t xml:space="preserve">第三部分 专用合同条款</w:t>
      </w:r>
      <w:bookmarkEnd w:id="103"/>
      <w:r>
        <w:rPr>
          <w:highlight w:val="none"/>
        </w:rPr>
      </w:r>
      <w:bookmarkEnd w:id="104"/>
      <w:r>
        <w:rPr>
          <w:highlight w:val="none"/>
        </w:rPr>
      </w:r>
      <w:r/>
    </w:p>
    <w:p>
      <w:pPr>
        <w:ind w:firstLine="420"/>
        <w:spacing w:line="360" w:lineRule="auto"/>
        <w:rPr>
          <w:rFonts w:ascii="宋体" w:hAnsi="宋体" w:cs="宋体"/>
          <w:szCs w:val="21"/>
          <w:highlight w:val="none"/>
        </w:rPr>
      </w:pPr>
      <w:r>
        <w:rPr>
          <w:highlight w:val="none"/>
        </w:rPr>
      </w:r>
      <w:bookmarkStart w:id="105" w:name="_Toc351203633"/>
      <w:r>
        <w:rPr>
          <w:rFonts w:hint="eastAsia" w:ascii="宋体" w:hAnsi="宋体" w:cs="宋体"/>
          <w:szCs w:val="21"/>
          <w:highlight w:val="none"/>
        </w:rPr>
        <w:t xml:space="preserve">1</w:t>
      </w:r>
      <w:bookmarkStart w:id="106" w:name="_Toc296346657"/>
      <w:r>
        <w:rPr>
          <w:highlight w:val="none"/>
        </w:rPr>
      </w:r>
      <w:bookmarkStart w:id="107" w:name="_Toc296347155"/>
      <w:r>
        <w:rPr>
          <w:highlight w:val="none"/>
        </w:rPr>
      </w:r>
      <w:bookmarkStart w:id="108" w:name="_Toc296890984"/>
      <w:r>
        <w:rPr>
          <w:highlight w:val="none"/>
        </w:rPr>
      </w:r>
      <w:bookmarkStart w:id="109" w:name="_Toc297048342"/>
      <w:r>
        <w:rPr>
          <w:highlight w:val="none"/>
        </w:rPr>
      </w:r>
      <w:bookmarkStart w:id="110" w:name="_Toc292559866"/>
      <w:r>
        <w:rPr>
          <w:highlight w:val="none"/>
        </w:rPr>
      </w:r>
      <w:bookmarkStart w:id="111" w:name="_Toc292559361"/>
      <w:r>
        <w:rPr>
          <w:highlight w:val="none"/>
        </w:rPr>
      </w:r>
      <w:bookmarkStart w:id="112" w:name="_Toc297120456"/>
      <w:r>
        <w:rPr>
          <w:highlight w:val="none"/>
        </w:rPr>
      </w:r>
      <w:bookmarkStart w:id="113" w:name="_Toc296503156"/>
      <w:r>
        <w:rPr>
          <w:highlight w:val="none"/>
        </w:rPr>
      </w:r>
      <w:bookmarkStart w:id="114" w:name="_Toc296891196"/>
      <w:r>
        <w:rPr>
          <w:highlight w:val="none"/>
        </w:rPr>
      </w:r>
      <w:bookmarkStart w:id="115" w:name="_Toc296944495"/>
      <w:r>
        <w:rPr>
          <w:rFonts w:hint="eastAsia" w:ascii="宋体" w:hAnsi="宋体" w:cs="宋体"/>
          <w:szCs w:val="21"/>
          <w:highlight w:val="none"/>
        </w:rPr>
        <w:t xml:space="preserve">. 一般约定</w:t>
      </w:r>
      <w:bookmarkEnd w:id="105"/>
      <w:r>
        <w:rPr>
          <w:highlight w:val="none"/>
        </w:rPr>
      </w:r>
      <w:bookmarkEnd w:id="106"/>
      <w:r/>
      <w:bookmarkEnd w:id="107"/>
      <w:r/>
      <w:bookmarkEnd w:id="108"/>
      <w:r/>
      <w:bookmarkEnd w:id="109"/>
      <w:r/>
      <w:bookmarkEnd w:id="110"/>
      <w:r/>
      <w:bookmarkEnd w:id="111"/>
      <w:r/>
      <w:bookmarkEnd w:id="112"/>
      <w:r/>
      <w:bookmarkEnd w:id="113"/>
      <w:r/>
      <w:bookmarkEnd w:id="114"/>
      <w:r/>
      <w:bookmarkEnd w:id="115"/>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 词语定义</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1.1.1合同</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1.1.1.10其他合同文件包括：</w:t>
      </w:r>
      <w:r>
        <w:rPr>
          <w:rFonts w:hint="eastAsia" w:ascii="宋体" w:hAnsi="宋体" w:cs="宋体"/>
          <w:szCs w:val="21"/>
          <w:highlight w:val="none"/>
          <w:u w:val="single"/>
        </w:rPr>
        <w:t xml:space="preserve"> (1)招标文件、工程量清单及其总说明及招标文件修改澄清(含答疑)；(2)明确双方权利、义务的纪要、补充协议；(3)双方有关工程的合同洽商、变更等相关文件。</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1.1.2 合同当事人及其他相关方</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 工程和设备</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1.1.3.7 作为施工现场组成部分的其他场所包括： </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1.1.3.9 永久占地包括： </w:t>
      </w:r>
      <w:r>
        <w:rPr>
          <w:rFonts w:hint="eastAsia" w:ascii="宋体" w:hAnsi="宋体" w:cs="宋体"/>
          <w:szCs w:val="21"/>
          <w:highlight w:val="none"/>
          <w:u w:val="single"/>
        </w:rPr>
        <w:t xml:space="preserve"> 规划红线范围内的土地</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1.1.3.10 临时占地包括：</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1.2法律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适用于合同的其他规范性文件：江苏省、南京市、江宁区的有关工程建设类的规范性文件。</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1.3 标准和规范</w:t>
      </w:r>
      <w:r>
        <w:rPr>
          <w:highlight w:val="none"/>
        </w:rPr>
      </w:r>
      <w:r/>
    </w:p>
    <w:p>
      <w:pPr>
        <w:ind w:firstLine="420"/>
        <w:jc w:val="left"/>
        <w:spacing w:line="360" w:lineRule="auto"/>
        <w:rPr>
          <w:rFonts w:ascii="宋体" w:hAnsi="宋体" w:cs="宋体"/>
          <w:szCs w:val="21"/>
          <w:highlight w:val="none"/>
          <w:u w:val="single"/>
        </w:rPr>
      </w:pPr>
      <w:r>
        <w:rPr>
          <w:rFonts w:hint="eastAsia" w:ascii="宋体" w:hAnsi="宋体" w:cs="宋体"/>
          <w:szCs w:val="21"/>
          <w:highlight w:val="none"/>
        </w:rPr>
        <w:t xml:space="preserve">1.3.1适用于工程的标准规范包括：</w:t>
      </w:r>
      <w:r>
        <w:rPr>
          <w:rFonts w:hint="eastAsia" w:ascii="宋体" w:hAnsi="宋体" w:cs="宋体"/>
          <w:szCs w:val="21"/>
          <w:highlight w:val="none"/>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1.3.2 发包人提供国外标准、规范的名称：</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发包人提供国外标准、规范的份数：</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发包人提供国外标准、规范的名称：</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1.3.3发包人对工程的技术标准和功能要求的特殊要求：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highlight w:val="none"/>
        </w:rPr>
      </w:r>
      <w:bookmarkStart w:id="116" w:name="_Toc351203652"/>
      <w:r>
        <w:rPr>
          <w:rFonts w:hint="eastAsia" w:ascii="宋体" w:hAnsi="宋体" w:cs="宋体"/>
          <w:szCs w:val="21"/>
          <w:highlight w:val="none"/>
        </w:rPr>
        <w:t xml:space="preserve">1.4 合同文件的优先顺序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合同文件组成及优先顺序为：</w:t>
      </w:r>
      <w:r>
        <w:rPr>
          <w:rFonts w:hint="eastAsia" w:ascii="宋体" w:hAnsi="宋体" w:cs="宋体"/>
          <w:spacing w:val="10"/>
          <w:szCs w:val="21"/>
          <w:highlight w:val="none"/>
          <w:u w:val="single"/>
        </w:rPr>
        <w:t xml:space="preserve">（1）合同协议书；（2）中标通知书；（3）投标函；（4）专用条款；（5）通用条款（6）技术标准和要求；（7）工程量清单及招标控制价；（8）其他文件。</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 图纸和承包人文件</w:t>
      </w:r>
      <w:r>
        <w:rPr>
          <w:rFonts w:hint="eastAsia" w:ascii="宋体" w:hAnsi="宋体" w:cs="宋体"/>
          <w:szCs w:val="21"/>
          <w:highlight w:val="none"/>
        </w:rPr>
        <w:tab/>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1.5.1 图纸的提供</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发包人向承包人提供图纸的期限：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发包人向承包人提供图纸的数量：</w:t>
      </w:r>
      <w:r>
        <w:rPr>
          <w:rFonts w:hint="eastAsia" w:ascii="宋体" w:hAnsi="宋体" w:cs="宋体"/>
          <w:szCs w:val="21"/>
          <w:highlight w:val="none"/>
          <w:u w:val="single"/>
        </w:rPr>
        <w:t xml:space="preserve">  5套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发包人向承包人提供图纸的内容：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1.5.2 承包人文件</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需要由承包人提供的文件，包括：</w:t>
      </w:r>
      <w:r>
        <w:rPr>
          <w:rFonts w:hint="eastAsia" w:ascii="宋体" w:hAnsi="宋体" w:cs="宋体"/>
          <w:szCs w:val="21"/>
          <w:highlight w:val="none"/>
          <w:u w:val="single"/>
        </w:rPr>
        <w:t xml:space="preserve">施工组织方案</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承包人提供的文件的期限为：</w:t>
      </w:r>
      <w:r>
        <w:rPr>
          <w:rFonts w:hint="eastAsia" w:ascii="宋体" w:hAnsi="宋体" w:cs="宋体"/>
          <w:szCs w:val="21"/>
          <w:highlight w:val="none"/>
          <w:u w:val="single"/>
        </w:rPr>
        <w:t xml:space="preserve">签订合同后7日内</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承包人提供的文件的数量为：</w:t>
      </w:r>
      <w:r>
        <w:rPr>
          <w:rFonts w:hint="eastAsia" w:ascii="宋体" w:hAnsi="宋体" w:cs="宋体"/>
          <w:szCs w:val="21"/>
          <w:highlight w:val="none"/>
          <w:u w:val="single"/>
        </w:rPr>
        <w:t xml:space="preserve">贰份</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承包人提供的文件的形式为：</w:t>
      </w:r>
      <w:r>
        <w:rPr>
          <w:rFonts w:hint="eastAsia" w:ascii="宋体" w:hAnsi="宋体" w:cs="宋体"/>
          <w:szCs w:val="21"/>
          <w:highlight w:val="none"/>
          <w:u w:val="single"/>
        </w:rPr>
        <w:t xml:space="preserve">书面</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发包人审批承包人文件的期限：</w:t>
      </w:r>
      <w:r>
        <w:rPr>
          <w:rFonts w:hint="eastAsia" w:ascii="宋体" w:hAnsi="宋体" w:cs="宋体"/>
          <w:szCs w:val="21"/>
          <w:highlight w:val="none"/>
          <w:u w:val="single"/>
        </w:rPr>
        <w:t xml:space="preserve">自收到文件后5日内</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1.5.3 现场图纸准备</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关于现场图纸准备的约定：</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1.6 联络</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1.6.1发包人和承包人应当在</w:t>
      </w:r>
      <w:r>
        <w:rPr>
          <w:rFonts w:hint="eastAsia" w:ascii="宋体" w:hAnsi="宋体" w:cs="宋体"/>
          <w:szCs w:val="21"/>
          <w:highlight w:val="none"/>
          <w:u w:val="single"/>
        </w:rPr>
        <w:t xml:space="preserve">3 天</w:t>
      </w:r>
      <w:r>
        <w:rPr>
          <w:rFonts w:hint="eastAsia" w:ascii="宋体" w:hAnsi="宋体" w:cs="宋体"/>
          <w:szCs w:val="21"/>
          <w:highlight w:val="none"/>
        </w:rPr>
        <w:t xml:space="preserve">内将与合同有关的通知、批准、证明、证书、指示、指令、要求、请求、同意、意见、确定和决定等书面函件送达对方当事人。</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1.6.2 发包人接收文件的地点：</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发包人指定的接收人为：。</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承包人接收文件的地点：</w:t>
      </w:r>
      <w:r>
        <w:rPr>
          <w:rFonts w:hint="eastAsia" w:ascii="宋体" w:hAnsi="宋体" w:cs="宋体"/>
          <w:szCs w:val="21"/>
          <w:highlight w:val="none"/>
          <w:u w:val="single"/>
        </w:rPr>
        <w:t xml:space="preserve">项目现场</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承包人指定的接收人为：</w:t>
      </w:r>
      <w:r>
        <w:rPr>
          <w:rFonts w:hint="eastAsia" w:ascii="宋体" w:hAnsi="宋体" w:cs="宋体"/>
          <w:szCs w:val="21"/>
          <w:highlight w:val="none"/>
          <w:u w:val="single"/>
        </w:rPr>
        <w:t xml:space="preserve">项目负责人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监理人接收文件的地点：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监理人指定的接收人为：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1.7 交通运输</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w:t>
      </w:r>
      <w:bookmarkStart w:id="117" w:name="_Toc304295521"/>
      <w:r>
        <w:rPr>
          <w:highlight w:val="none"/>
        </w:rPr>
      </w:r>
      <w:bookmarkStart w:id="118" w:name="_Toc303539100"/>
      <w:r>
        <w:rPr>
          <w:highlight w:val="none"/>
        </w:rPr>
      </w:r>
      <w:bookmarkStart w:id="119" w:name="_Toc312677986"/>
      <w:r>
        <w:rPr>
          <w:highlight w:val="none"/>
        </w:rPr>
      </w:r>
      <w:bookmarkStart w:id="120" w:name="_Toc300934943"/>
      <w:r>
        <w:rPr>
          <w:highlight w:val="none"/>
        </w:rPr>
      </w:r>
      <w:bookmarkStart w:id="121" w:name="_Toc318581155"/>
      <w:r>
        <w:rPr>
          <w:rFonts w:hint="eastAsia" w:ascii="宋体" w:hAnsi="宋体" w:cs="宋体"/>
          <w:szCs w:val="21"/>
          <w:highlight w:val="none"/>
        </w:rPr>
        <w:t xml:space="preserve">.7.1 出入现场的权利</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关于出入现场的权利的约定：</w:t>
      </w:r>
      <w:r>
        <w:rPr>
          <w:rFonts w:hint="eastAsia" w:ascii="宋体" w:hAnsi="宋体" w:cs="宋体"/>
          <w:szCs w:val="21"/>
          <w:highlight w:val="none"/>
          <w:u w:val="single"/>
        </w:rPr>
        <w:t xml:space="preserve">发包人项目负责人及主管领导、承包人项目组成员</w:t>
      </w:r>
      <w:r>
        <w:rPr>
          <w:rFonts w:hint="eastAsia" w:ascii="宋体" w:hAnsi="宋体" w:cs="宋体"/>
          <w:szCs w:val="21"/>
          <w:highlight w:val="none"/>
        </w:rPr>
        <w:t xml:space="preserve">。</w:t>
      </w:r>
      <w:bookmarkEnd w:id="117"/>
      <w:r/>
      <w:bookmarkEnd w:id="118"/>
      <w:r/>
      <w:bookmarkEnd w:id="119"/>
      <w:r/>
      <w:bookmarkEnd w:id="120"/>
      <w:r/>
      <w:bookmarkEnd w:id="121"/>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w:t>
      </w:r>
      <w:bookmarkStart w:id="122" w:name="_Toc318581156"/>
      <w:r>
        <w:rPr>
          <w:highlight w:val="none"/>
        </w:rPr>
      </w:r>
      <w:bookmarkStart w:id="123" w:name="_Toc300934944"/>
      <w:r>
        <w:rPr>
          <w:highlight w:val="none"/>
        </w:rPr>
      </w:r>
      <w:bookmarkStart w:id="124" w:name="_Toc312677987"/>
      <w:r>
        <w:rPr>
          <w:highlight w:val="none"/>
        </w:rPr>
      </w:r>
      <w:bookmarkStart w:id="125" w:name="_Toc303539101"/>
      <w:r>
        <w:rPr>
          <w:highlight w:val="none"/>
        </w:rPr>
      </w:r>
      <w:bookmarkStart w:id="126" w:name="_Toc304295522"/>
      <w:r>
        <w:rPr>
          <w:rFonts w:hint="eastAsia" w:ascii="宋体" w:hAnsi="宋体" w:cs="宋体"/>
          <w:szCs w:val="21"/>
          <w:highlight w:val="none"/>
        </w:rPr>
        <w:t xml:space="preserve">.7.2 场内交通</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关于场外交通和场内交通的边界的约定：</w:t>
      </w:r>
      <w:r>
        <w:rPr>
          <w:rFonts w:hint="eastAsia" w:ascii="宋体" w:hAnsi="宋体" w:cs="宋体"/>
          <w:szCs w:val="21"/>
          <w:highlight w:val="none"/>
          <w:u w:val="single"/>
        </w:rPr>
        <w:t xml:space="preserve">视项目现场情况另行约定</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关于发包人向承包人免费提供满足工程施工需要的场内道路和交通设施的约定：</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bookmarkStart w:id="127" w:name="_Toc318581157"/>
      <w:r>
        <w:rPr>
          <w:highlight w:val="none"/>
        </w:rPr>
      </w:r>
      <w:bookmarkEnd w:id="122"/>
      <w:r>
        <w:rPr>
          <w:highlight w:val="none"/>
        </w:rPr>
      </w:r>
      <w:bookmarkEnd w:id="123"/>
      <w:r>
        <w:rPr>
          <w:highlight w:val="none"/>
        </w:rPr>
      </w:r>
      <w:bookmarkEnd w:id="124"/>
      <w:r>
        <w:rPr>
          <w:highlight w:val="none"/>
        </w:rPr>
      </w:r>
      <w:bookmarkEnd w:id="125"/>
      <w:r>
        <w:rPr>
          <w:highlight w:val="none"/>
        </w:rPr>
      </w:r>
      <w:bookmarkEnd w:id="126"/>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1.7.3超大件和超重件的运输</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运输超大件或超重件所需的道路和桥梁临时加固改造费用和其他有关费用由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bookmarkEnd w:id="127"/>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1.8 知识产权</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highlight w:val="none"/>
          <w:u w:val="single"/>
        </w:rPr>
        <w:t xml:space="preserve">图纸属设计院、其他属发包人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关于发包人提供的上述文件的使用限制的要求：</w:t>
      </w:r>
      <w:r>
        <w:rPr>
          <w:rFonts w:hint="eastAsia" w:ascii="宋体" w:hAnsi="宋体" w:cs="宋体"/>
          <w:szCs w:val="21"/>
          <w:highlight w:val="none"/>
          <w:u w:val="single"/>
        </w:rPr>
        <w:t xml:space="preserve">  仅限于此工程项目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1.9.2 关于承包人为实施工程所编制文件的著作权的归属：</w:t>
      </w:r>
      <w:r>
        <w:rPr>
          <w:rFonts w:hint="eastAsia" w:ascii="宋体" w:hAnsi="宋体" w:cs="宋体"/>
          <w:szCs w:val="21"/>
          <w:highlight w:val="none"/>
          <w:u w:val="single"/>
        </w:rPr>
        <w:t xml:space="preserve"> 属发包人</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关于承包人提供的上述文件的使用限制的要求：</w:t>
      </w:r>
      <w:r>
        <w:rPr>
          <w:rFonts w:hint="eastAsia" w:ascii="宋体" w:hAnsi="宋体" w:cs="宋体"/>
          <w:szCs w:val="21"/>
          <w:highlight w:val="none"/>
          <w:u w:val="single"/>
        </w:rPr>
        <w:t xml:space="preserve">仅限于此工程项目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1.9.3 承包人在施工过程中所采用的专利、专有技术、技术秘密的使用费的承担方式：</w:t>
      </w:r>
      <w:r>
        <w:rPr>
          <w:rFonts w:hint="eastAsia" w:ascii="宋体" w:hAnsi="宋体" w:cs="宋体"/>
          <w:szCs w:val="21"/>
          <w:highlight w:val="none"/>
          <w:u w:val="single"/>
        </w:rPr>
        <w:t xml:space="preserve">由承包人承担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1.10工程量清单错误的修正</w:t>
      </w:r>
      <w:r>
        <w:rPr>
          <w:highlight w:val="none"/>
        </w:rPr>
      </w:r>
      <w:r/>
    </w:p>
    <w:p>
      <w:pPr>
        <w:ind w:firstLine="420"/>
        <w:spacing w:line="360" w:lineRule="auto"/>
        <w:rPr>
          <w:rFonts w:ascii="宋体" w:hAnsi="宋体" w:cs="宋体"/>
          <w:szCs w:val="21"/>
          <w:highlight w:val="none"/>
          <w:u w:val="single"/>
        </w:rPr>
      </w:pPr>
      <w:r>
        <w:rPr>
          <w:highlight w:val="none"/>
        </w:rPr>
      </w:r>
      <w:bookmarkStart w:id="128" w:name="_Toc351203634"/>
      <w:r>
        <w:rPr>
          <w:rFonts w:hint="eastAsia" w:ascii="宋体" w:hAnsi="宋体" w:cs="宋体"/>
          <w:szCs w:val="21"/>
          <w:highlight w:val="none"/>
        </w:rPr>
        <w:t xml:space="preserve">出现工程量清单错误时，是否调整合同价格：</w:t>
      </w:r>
      <w:r>
        <w:rPr>
          <w:rFonts w:hint="eastAsia" w:ascii="宋体" w:hAnsi="宋体" w:cs="宋体"/>
          <w:szCs w:val="21"/>
          <w:highlight w:val="none"/>
          <w:u w:val="single"/>
        </w:rPr>
        <w:t xml:space="preserve">是。</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允许调整合同价格的工程量偏差范围：</w:t>
      </w:r>
      <w:r>
        <w:rPr>
          <w:rFonts w:hint="eastAsia" w:ascii="宋体" w:hAnsi="宋体" w:cs="宋体"/>
          <w:szCs w:val="21"/>
          <w:highlight w:val="none"/>
          <w:u w:val="single"/>
        </w:rPr>
        <w:t xml:space="preserve">（1）对承包人超出设计图纸（含设计</w:t>
      </w:r>
      <w:r>
        <w:rPr>
          <w:rFonts w:hint="eastAsia" w:ascii="宋体" w:hAnsi="宋体" w:cs="宋体"/>
          <w:szCs w:val="21"/>
          <w:highlight w:val="none"/>
          <w:u w:val="single"/>
        </w:rPr>
        <w:t xml:space="preserve">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11.1.1条执行</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rFonts w:hint="eastAsia" w:ascii="宋体" w:hAnsi="宋体" w:cs="宋体"/>
          <w:szCs w:val="21"/>
          <w:highlight w:val="none"/>
        </w:rPr>
        <w:t xml:space="preserve">2</w:t>
      </w:r>
      <w:bookmarkStart w:id="129" w:name="_Toc296346658"/>
      <w:r>
        <w:rPr>
          <w:highlight w:val="none"/>
        </w:rPr>
      </w:r>
      <w:bookmarkStart w:id="130" w:name="_Toc297048343"/>
      <w:r>
        <w:rPr>
          <w:highlight w:val="none"/>
        </w:rPr>
      </w:r>
      <w:bookmarkStart w:id="131" w:name="_Toc296347156"/>
      <w:r>
        <w:rPr>
          <w:highlight w:val="none"/>
        </w:rPr>
      </w:r>
      <w:bookmarkStart w:id="132" w:name="_Toc296890985"/>
      <w:r>
        <w:rPr>
          <w:highlight w:val="none"/>
        </w:rPr>
      </w:r>
      <w:bookmarkStart w:id="133" w:name="_Toc292559362"/>
      <w:r>
        <w:rPr>
          <w:highlight w:val="none"/>
        </w:rPr>
      </w:r>
      <w:bookmarkStart w:id="134" w:name="_Toc296891197"/>
      <w:r>
        <w:rPr>
          <w:highlight w:val="none"/>
        </w:rPr>
      </w:r>
      <w:bookmarkStart w:id="135" w:name="_Toc297120457"/>
      <w:r>
        <w:rPr>
          <w:highlight w:val="none"/>
        </w:rPr>
      </w:r>
      <w:bookmarkStart w:id="136" w:name="_Toc296944496"/>
      <w:r>
        <w:rPr>
          <w:highlight w:val="none"/>
        </w:rPr>
      </w:r>
      <w:bookmarkStart w:id="137" w:name="_Toc296503157"/>
      <w:r>
        <w:rPr>
          <w:highlight w:val="none"/>
        </w:rPr>
      </w:r>
      <w:bookmarkStart w:id="138" w:name="_Toc292559867"/>
      <w:r>
        <w:rPr>
          <w:rFonts w:hint="eastAsia" w:ascii="宋体" w:hAnsi="宋体" w:cs="宋体"/>
          <w:szCs w:val="21"/>
          <w:highlight w:val="none"/>
        </w:rPr>
        <w:t xml:space="preserve">. 发包人</w:t>
      </w:r>
      <w:bookmarkEnd w:id="128"/>
      <w:r>
        <w:rPr>
          <w:highlight w:val="none"/>
        </w:rPr>
      </w:r>
      <w:bookmarkEnd w:id="129"/>
      <w:r/>
      <w:bookmarkEnd w:id="130"/>
      <w:r/>
      <w:bookmarkEnd w:id="131"/>
      <w:r/>
      <w:bookmarkEnd w:id="132"/>
      <w:r/>
      <w:bookmarkEnd w:id="133"/>
      <w:r/>
      <w:bookmarkEnd w:id="134"/>
      <w:r/>
      <w:bookmarkEnd w:id="135"/>
      <w:r/>
      <w:bookmarkEnd w:id="136"/>
      <w:r/>
      <w:bookmarkEnd w:id="137"/>
      <w:r/>
      <w:bookmarkEnd w:id="138"/>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2.1 发包人代表</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发包人代表：</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姓    名：；</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身份证号：；</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职    务：；</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联系电话：；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通信地址：。</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发包人对发包人代表的授权范围如下：</w:t>
      </w:r>
      <w:r>
        <w:rPr>
          <w:rFonts w:hint="eastAsia" w:ascii="宋体" w:hAnsi="宋体" w:cs="宋体"/>
          <w:szCs w:val="21"/>
          <w:highlight w:val="none"/>
          <w:u w:val="single"/>
        </w:rPr>
        <w:t xml:space="preserve">代表发包人行使职权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 施工现场、施工条件和基础资料的提供</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2.2.1 提供施工现场</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关于发包人移交施工现场的期限要求：</w:t>
      </w:r>
      <w:r>
        <w:rPr>
          <w:rFonts w:hint="eastAsia" w:ascii="宋体" w:hAnsi="宋体" w:cs="宋体"/>
          <w:szCs w:val="21"/>
          <w:highlight w:val="none"/>
          <w:u w:val="single"/>
        </w:rPr>
        <w:t xml:space="preserve">签订合同，签署开工令后3日内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2.2.2 提供施工条件</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关于发包人应负责提供施工所需要的条件，包括：</w:t>
      </w:r>
      <w:r>
        <w:rPr>
          <w:rFonts w:hint="eastAsia" w:ascii="宋体" w:hAnsi="宋体" w:cs="宋体"/>
          <w:szCs w:val="21"/>
          <w:highlight w:val="none"/>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2.3 资金来源证明及支付担保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发包人提供资金来源证明的期限要求：</w:t>
      </w:r>
      <w:r>
        <w:rPr>
          <w:rFonts w:hint="eastAsia" w:ascii="宋体" w:hAnsi="宋体" w:cs="宋体"/>
          <w:szCs w:val="21"/>
          <w:highlight w:val="none"/>
          <w:u w:val="single"/>
        </w:rPr>
        <w:t xml:space="preserve">签订合同后7日内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发包人是否提供支付担保：</w:t>
      </w:r>
      <w:r>
        <w:rPr>
          <w:rFonts w:hint="eastAsia" w:ascii="宋体" w:hAnsi="宋体" w:cs="宋体"/>
          <w:szCs w:val="21"/>
          <w:highlight w:val="none"/>
          <w:u w:val="single"/>
        </w:rPr>
        <w:t xml:space="preserve"> 否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发包人提供支付担保的形式：</w:t>
      </w:r>
      <w:r>
        <w:rPr>
          <w:rFonts w:hint="eastAsia" w:ascii="宋体" w:hAnsi="宋体" w:cs="宋体"/>
          <w:szCs w:val="21"/>
          <w:highlight w:val="none"/>
          <w:u w:val="single"/>
        </w:rPr>
        <w:t xml:space="preserve">无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139" w:name="_Toc351203635"/>
      <w:r>
        <w:rPr>
          <w:rFonts w:hint="eastAsia" w:ascii="宋体" w:hAnsi="宋体" w:cs="宋体"/>
          <w:szCs w:val="21"/>
          <w:highlight w:val="none"/>
        </w:rPr>
        <w:t xml:space="preserve">3</w:t>
      </w:r>
      <w:bookmarkStart w:id="140" w:name="_Toc292559868"/>
      <w:r>
        <w:rPr>
          <w:highlight w:val="none"/>
        </w:rPr>
      </w:r>
      <w:bookmarkStart w:id="141" w:name="_Toc297120458"/>
      <w:r>
        <w:rPr>
          <w:highlight w:val="none"/>
        </w:rPr>
      </w:r>
      <w:bookmarkStart w:id="142" w:name="_Toc296503158"/>
      <w:r>
        <w:rPr>
          <w:highlight w:val="none"/>
        </w:rPr>
      </w:r>
      <w:bookmarkStart w:id="143" w:name="_Toc296944497"/>
      <w:r>
        <w:rPr>
          <w:highlight w:val="none"/>
        </w:rPr>
      </w:r>
      <w:bookmarkStart w:id="144" w:name="_Toc296890986"/>
      <w:r>
        <w:rPr>
          <w:highlight w:val="none"/>
        </w:rPr>
      </w:r>
      <w:bookmarkStart w:id="145" w:name="_Toc296347157"/>
      <w:r>
        <w:rPr>
          <w:highlight w:val="none"/>
        </w:rPr>
      </w:r>
      <w:bookmarkStart w:id="146" w:name="_Toc297048344"/>
      <w:r>
        <w:rPr>
          <w:highlight w:val="none"/>
        </w:rPr>
      </w:r>
      <w:bookmarkStart w:id="147" w:name="_Toc296891198"/>
      <w:r>
        <w:rPr>
          <w:highlight w:val="none"/>
        </w:rPr>
      </w:r>
      <w:bookmarkStart w:id="148" w:name="_Toc292559363"/>
      <w:r>
        <w:rPr>
          <w:highlight w:val="none"/>
        </w:rPr>
      </w:r>
      <w:bookmarkStart w:id="149" w:name="_Toc296346659"/>
      <w:r>
        <w:rPr>
          <w:rFonts w:hint="eastAsia" w:ascii="宋体" w:hAnsi="宋体" w:cs="宋体"/>
          <w:szCs w:val="21"/>
          <w:highlight w:val="none"/>
        </w:rPr>
        <w:t xml:space="preserve">. 承包人</w:t>
      </w:r>
      <w:bookmarkEnd w:id="139"/>
      <w:r>
        <w:rPr>
          <w:highlight w:val="none"/>
        </w:rPr>
      </w:r>
      <w:bookmarkEnd w:id="140"/>
      <w:r/>
      <w:bookmarkEnd w:id="141"/>
      <w:r/>
      <w:bookmarkEnd w:id="142"/>
      <w:r/>
      <w:bookmarkEnd w:id="143"/>
      <w:r/>
      <w:bookmarkEnd w:id="144"/>
      <w:r/>
      <w:bookmarkEnd w:id="145"/>
      <w:r/>
      <w:bookmarkEnd w:id="146"/>
      <w:r/>
      <w:bookmarkEnd w:id="147"/>
      <w:r/>
      <w:bookmarkEnd w:id="148"/>
      <w:r/>
      <w:bookmarkEnd w:id="149"/>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3.1 承包人的一般义务</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（1）承包人提交的竣工资料的内容：</w:t>
      </w:r>
      <w:r>
        <w:rPr>
          <w:rFonts w:hint="eastAsia" w:ascii="宋体" w:hAnsi="宋体" w:cs="宋体"/>
          <w:szCs w:val="21"/>
          <w:highlight w:val="none"/>
          <w:u w:val="single"/>
        </w:rPr>
        <w:t xml:space="preserve">  竣工图、竣工结算资料、设计变更、签证等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承包人需要提交的竣工资料套数：</w:t>
      </w:r>
      <w:r>
        <w:rPr>
          <w:rFonts w:hint="eastAsia" w:ascii="宋体" w:hAnsi="宋体" w:cs="宋体"/>
          <w:szCs w:val="21"/>
          <w:highlight w:val="none"/>
          <w:u w:val="single"/>
        </w:rPr>
        <w:t xml:space="preserve">   肆套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承包人提交的竣工资料的费用承担：</w:t>
      </w:r>
      <w:r>
        <w:rPr>
          <w:rFonts w:hint="eastAsia" w:ascii="宋体" w:hAnsi="宋体" w:cs="宋体"/>
          <w:szCs w:val="21"/>
          <w:highlight w:val="none"/>
          <w:u w:val="single"/>
        </w:rPr>
        <w:t xml:space="preserve">   自行承担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承包人提交的竣工资料移交时间：</w:t>
      </w:r>
      <w:r>
        <w:rPr>
          <w:rFonts w:hint="eastAsia" w:ascii="宋体" w:hAnsi="宋体" w:cs="宋体"/>
          <w:szCs w:val="21"/>
          <w:highlight w:val="none"/>
          <w:u w:val="single"/>
        </w:rPr>
        <w:t xml:space="preserve">    工程竣工一个月后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承包人提交的竣工资料形式要求：</w:t>
      </w:r>
      <w:r>
        <w:rPr>
          <w:rFonts w:hint="eastAsia" w:ascii="宋体" w:hAnsi="宋体" w:cs="宋体"/>
          <w:szCs w:val="21"/>
          <w:highlight w:val="none"/>
          <w:u w:val="single"/>
        </w:rPr>
        <w:t xml:space="preserve">   书面、电子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（2）承包人应履行的其他义务：</w:t>
      </w:r>
      <w:r>
        <w:rPr>
          <w:rFonts w:hint="eastAsia" w:ascii="宋体" w:hAnsi="宋体" w:cs="宋体"/>
          <w:szCs w:val="21"/>
          <w:highlight w:val="none"/>
          <w:u w:val="single"/>
        </w:rPr>
        <w:t xml:space="preserve">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3.2 项目经理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3.2.1 项目经理：</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姓    名：；</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身份证号：；</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建造师执业资格等级：；</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建造师注册证书号：；</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建造师执业印章号：；</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安全生产考核合格证书号：；</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联系电话：；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电子信箱：；</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通信地址：；</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承包人对项目经理的授权范围如下：</w:t>
      </w:r>
      <w:r>
        <w:rPr>
          <w:rFonts w:hint="eastAsia" w:ascii="宋体" w:hAnsi="宋体" w:cs="宋体"/>
          <w:szCs w:val="21"/>
          <w:highlight w:val="none"/>
          <w:u w:val="single"/>
        </w:rPr>
        <w:t xml:space="preserve">代表承包人行使合同约定的乙方权利和义务，履行合同约定的乙方职责</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关于项目经理每月在施工现场的时间要求：</w:t>
      </w:r>
      <w:r>
        <w:rPr>
          <w:rFonts w:hint="eastAsia" w:ascii="宋体" w:hAnsi="宋体" w:cs="宋体"/>
          <w:szCs w:val="21"/>
          <w:highlight w:val="none"/>
          <w:u w:val="single"/>
        </w:rPr>
        <w:t xml:space="preserve">一周不少于六天，每天不少于8小时</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承包人未提交劳动合同，以及没有为项目经理缴纳社会保险证明的违约责任：</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项目经理未经批准，擅自离开施工现场的违约责任：</w:t>
      </w:r>
      <w:r>
        <w:rPr>
          <w:rFonts w:hint="eastAsia" w:ascii="宋体" w:hAnsi="宋体" w:cs="宋体"/>
          <w:szCs w:val="21"/>
          <w:highlight w:val="none"/>
          <w:u w:val="single"/>
        </w:rPr>
        <w:t xml:space="preserve">项目经理必须常驻现场，离开工地需经发包人及总监理工程师书面同意，若无正当理由且未经发包人及总监理工程师的同意不在工地现场的，发包人</w:t>
      </w:r>
      <w:r>
        <w:rPr>
          <w:rFonts w:hint="eastAsia" w:ascii="宋体" w:hAnsi="宋体" w:cs="宋体"/>
          <w:szCs w:val="21"/>
          <w:highlight w:val="none"/>
          <w:u w:val="single"/>
        </w:rPr>
        <w:t xml:space="preserve">每发现 1 次处违约金 5000 元/天，可从工程款中扣抵，并保留解除合同的权利；发包人发现项目经理未经批准，擅自离开施工现场超过 5 次，发包人有权直接解除合同；无故不参加工程例会，承包人向发包人支付5000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3.2.3 承包人擅自更换项目经理的违约责任：</w:t>
      </w:r>
      <w:r>
        <w:rPr>
          <w:rFonts w:hint="eastAsia" w:ascii="宋体" w:hAnsi="宋体" w:cs="宋体"/>
          <w:szCs w:val="21"/>
          <w:highlight w:val="none"/>
          <w:u w:val="single"/>
        </w:rPr>
        <w:t xml:space="preserve"> 解除合同、追究违约责任，并报主管局备案</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3.2.4 承包人无正当理由拒绝更换项目经理的违约责任：</w:t>
      </w:r>
      <w:r>
        <w:rPr>
          <w:rFonts w:hint="eastAsia" w:ascii="宋体" w:hAnsi="宋体" w:cs="宋体"/>
          <w:szCs w:val="21"/>
          <w:highlight w:val="none"/>
          <w:u w:val="single"/>
        </w:rPr>
        <w:t xml:space="preserve"> 如出现以上情况或其他违约，发包人有权要求承包人撤换调整其认为不称职的项目经理及项目部成员，承包人拒绝的，发包人有权解除合同</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3.3 承包人人员</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3.3.1 承包人提交项目管理机构及施工现场管理人员安排报告的期限：</w:t>
      </w:r>
      <w:r>
        <w:rPr>
          <w:rFonts w:hint="eastAsia" w:ascii="宋体" w:hAnsi="宋体" w:cs="宋体"/>
          <w:szCs w:val="21"/>
          <w:highlight w:val="none"/>
          <w:u w:val="single"/>
        </w:rPr>
        <w:t xml:space="preserve">  开工前一周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3.3.2 承包人无正当理由拒绝撤换主要施工管理人员的违约责任：</w:t>
      </w:r>
      <w:r>
        <w:rPr>
          <w:rFonts w:hint="eastAsia" w:ascii="宋体" w:hAnsi="宋体" w:cs="宋体"/>
          <w:szCs w:val="21"/>
          <w:highlight w:val="none"/>
          <w:u w:val="single"/>
        </w:rPr>
        <w:t xml:space="preserve">发包人有权要求承包人撤换调整其认为不称职的项目经理及项目部成员，承包人拒绝的，发包人有权解除合同</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3.3.3 承包人主要施工管理人员离开施工现场的批准要求：</w:t>
      </w:r>
      <w:r>
        <w:rPr>
          <w:rFonts w:hint="eastAsia" w:ascii="宋体" w:hAnsi="宋体" w:cs="宋体"/>
          <w:szCs w:val="21"/>
          <w:highlight w:val="none"/>
          <w:u w:val="single"/>
        </w:rPr>
        <w:t xml:space="preserve">经发包人书面批准</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3.3.4承包人擅自更换主要施工管理人员的违约责任：</w:t>
      </w:r>
      <w:r>
        <w:rPr>
          <w:rFonts w:hint="eastAsia" w:ascii="宋体" w:hAnsi="宋体" w:cs="宋体"/>
          <w:szCs w:val="21"/>
          <w:highlight w:val="none"/>
          <w:u w:val="single"/>
        </w:rPr>
        <w:t xml:space="preserve">投标文件中及合同中明确的项目经理和各专业人员不得擅自变更，开工时或施工过程中若有擅自变更，发包人有权解除合同，并追究由此带来的发包人一切损失</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承包人主要施工管理人员擅自离开施工现场的违约责任：</w:t>
      </w:r>
      <w:r>
        <w:rPr>
          <w:rFonts w:hint="eastAsia" w:ascii="宋体" w:hAnsi="宋体" w:cs="宋体"/>
          <w:szCs w:val="21"/>
          <w:highlight w:val="none"/>
          <w:u w:val="single"/>
        </w:rPr>
        <w:t xml:space="preserve">主要人员必须常驻现场，若出现未经发包人书面批准的主要人员更换的情况，则视为违约。如承包人违约，发包人将处罚承包人2000元/次的违约金</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w:t>
      </w:r>
      <w:bookmarkStart w:id="150" w:name="_Toc312677988"/>
      <w:r>
        <w:rPr>
          <w:highlight w:val="none"/>
        </w:rPr>
      </w:r>
      <w:bookmarkStart w:id="151" w:name="_Toc300934945"/>
      <w:r>
        <w:rPr>
          <w:highlight w:val="none"/>
        </w:rPr>
      </w:r>
      <w:bookmarkStart w:id="152" w:name="_Toc297216151"/>
      <w:r>
        <w:rPr>
          <w:highlight w:val="none"/>
        </w:rPr>
      </w:r>
      <w:bookmarkStart w:id="153" w:name="_Toc304295523"/>
      <w:r>
        <w:rPr>
          <w:highlight w:val="none"/>
        </w:rPr>
      </w:r>
      <w:bookmarkStart w:id="154" w:name="_Toc296503159"/>
      <w:r>
        <w:rPr>
          <w:highlight w:val="none"/>
        </w:rPr>
      </w:r>
      <w:bookmarkStart w:id="155" w:name="_Toc296346660"/>
      <w:r>
        <w:rPr>
          <w:highlight w:val="none"/>
        </w:rPr>
      </w:r>
      <w:bookmarkStart w:id="156" w:name="_Toc296347158"/>
      <w:r>
        <w:rPr>
          <w:highlight w:val="none"/>
        </w:rPr>
      </w:r>
      <w:bookmarkStart w:id="157" w:name="_Toc297123492"/>
      <w:r>
        <w:rPr>
          <w:highlight w:val="none"/>
        </w:rPr>
      </w:r>
      <w:bookmarkStart w:id="158" w:name="_Toc303539102"/>
      <w:r>
        <w:rPr>
          <w:highlight w:val="none"/>
        </w:rPr>
      </w:r>
      <w:bookmarkStart w:id="159" w:name="_Toc296890987"/>
      <w:r>
        <w:rPr>
          <w:highlight w:val="none"/>
        </w:rPr>
      </w:r>
      <w:bookmarkStart w:id="160" w:name="_Toc296891199"/>
      <w:r>
        <w:rPr>
          <w:highlight w:val="none"/>
        </w:rPr>
      </w:r>
      <w:bookmarkStart w:id="161" w:name="_Toc292559364"/>
      <w:r>
        <w:rPr>
          <w:highlight w:val="none"/>
        </w:rPr>
      </w:r>
      <w:bookmarkStart w:id="162" w:name="_Toc296944498"/>
      <w:r>
        <w:rPr>
          <w:highlight w:val="none"/>
        </w:rPr>
      </w:r>
      <w:bookmarkStart w:id="163" w:name="_Toc292559869"/>
      <w:r>
        <w:rPr>
          <w:highlight w:val="none"/>
        </w:rPr>
      </w:r>
      <w:bookmarkStart w:id="164" w:name="_Toc297120459"/>
      <w:r>
        <w:rPr>
          <w:highlight w:val="none"/>
        </w:rPr>
      </w:r>
      <w:bookmarkStart w:id="165" w:name="_Toc297048345"/>
      <w:r>
        <w:rPr>
          <w:rFonts w:hint="eastAsia" w:ascii="宋体" w:hAnsi="宋体" w:cs="宋体"/>
          <w:szCs w:val="21"/>
          <w:highlight w:val="none"/>
        </w:rPr>
        <w:t xml:space="preserve">.4 分包</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w:t>
      </w:r>
      <w:bookmarkStart w:id="166" w:name="_Toc303539103"/>
      <w:r>
        <w:rPr>
          <w:highlight w:val="none"/>
        </w:rPr>
      </w:r>
      <w:bookmarkStart w:id="167" w:name="_Toc296891200"/>
      <w:r>
        <w:rPr>
          <w:highlight w:val="none"/>
        </w:rPr>
      </w:r>
      <w:bookmarkStart w:id="168" w:name="_Toc297216152"/>
      <w:r>
        <w:rPr>
          <w:highlight w:val="none"/>
        </w:rPr>
      </w:r>
      <w:bookmarkStart w:id="169" w:name="_Toc292559365"/>
      <w:r>
        <w:rPr>
          <w:highlight w:val="none"/>
        </w:rPr>
      </w:r>
      <w:bookmarkStart w:id="170" w:name="_Toc296503160"/>
      <w:r>
        <w:rPr>
          <w:highlight w:val="none"/>
        </w:rPr>
      </w:r>
      <w:bookmarkStart w:id="171" w:name="_Toc292559870"/>
      <w:r>
        <w:rPr>
          <w:highlight w:val="none"/>
        </w:rPr>
      </w:r>
      <w:bookmarkStart w:id="172" w:name="_Toc297123493"/>
      <w:r>
        <w:rPr>
          <w:highlight w:val="none"/>
        </w:rPr>
      </w:r>
      <w:bookmarkStart w:id="173" w:name="_Toc296944499"/>
      <w:r>
        <w:rPr>
          <w:highlight w:val="none"/>
        </w:rPr>
      </w:r>
      <w:bookmarkStart w:id="174" w:name="_Toc296890988"/>
      <w:r>
        <w:rPr>
          <w:highlight w:val="none"/>
        </w:rPr>
      </w:r>
      <w:bookmarkStart w:id="175" w:name="_Toc300934946"/>
      <w:r>
        <w:rPr>
          <w:highlight w:val="none"/>
        </w:rPr>
      </w:r>
      <w:bookmarkStart w:id="176" w:name="_Toc304295524"/>
      <w:r>
        <w:rPr>
          <w:highlight w:val="none"/>
        </w:rPr>
      </w:r>
      <w:bookmarkStart w:id="177" w:name="_Toc297120460"/>
      <w:r>
        <w:rPr>
          <w:highlight w:val="none"/>
        </w:rPr>
      </w:r>
      <w:bookmarkStart w:id="178" w:name="_Toc296346661"/>
      <w:r>
        <w:rPr>
          <w:highlight w:val="none"/>
        </w:rPr>
      </w:r>
      <w:bookmarkStart w:id="179" w:name="_Toc297048346"/>
      <w:r>
        <w:rPr>
          <w:highlight w:val="none"/>
        </w:rPr>
      </w:r>
      <w:bookmarkStart w:id="180" w:name="_Toc296347159"/>
      <w:r>
        <w:rPr>
          <w:highlight w:val="none"/>
        </w:rPr>
      </w:r>
      <w:bookmarkStart w:id="181" w:name="_Toc318581158"/>
      <w:r>
        <w:rPr>
          <w:highlight w:val="none"/>
        </w:rPr>
      </w:r>
      <w:bookmarkStart w:id="182" w:name="_Toc312677989"/>
      <w:r>
        <w:rPr>
          <w:rFonts w:hint="eastAsia" w:ascii="宋体" w:hAnsi="宋体" w:cs="宋体"/>
          <w:szCs w:val="21"/>
          <w:highlight w:val="none"/>
        </w:rPr>
        <w:t xml:space="preserve">.4.1 分包的一般约定</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禁止分包的工程包括：</w:t>
      </w:r>
      <w:r>
        <w:rPr>
          <w:rFonts w:hint="eastAsia" w:ascii="宋体" w:hAnsi="宋体" w:cs="宋体"/>
          <w:szCs w:val="21"/>
          <w:highlight w:val="none"/>
          <w:u w:val="single"/>
        </w:rPr>
        <w:t xml:space="preserve">主体、关键性工作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主体结构、关键性工作的范围：</w:t>
      </w:r>
      <w:r>
        <w:rPr>
          <w:rFonts w:hint="eastAsia" w:ascii="宋体" w:hAnsi="宋体" w:cs="宋体"/>
          <w:szCs w:val="21"/>
          <w:highlight w:val="none"/>
          <w:u w:val="single"/>
        </w:rPr>
        <w:t xml:space="preserve"> 本协议约定的所有施工内容 </w:t>
      </w:r>
      <w:r>
        <w:rPr>
          <w:rFonts w:hint="eastAsia" w:ascii="宋体" w:hAnsi="宋体" w:cs="宋体"/>
          <w:szCs w:val="21"/>
          <w:highlight w:val="none"/>
        </w:rPr>
        <w:t xml:space="preserve">。</w:t>
      </w:r>
      <w:bookmarkStart w:id="183" w:name="_Toc300934947"/>
      <w:r>
        <w:rPr>
          <w:highlight w:val="none"/>
        </w:rPr>
      </w:r>
      <w:bookmarkStart w:id="184" w:name="_Toc296347160"/>
      <w:r>
        <w:rPr>
          <w:highlight w:val="none"/>
        </w:rPr>
      </w:r>
      <w:bookmarkStart w:id="185" w:name="_Toc296891201"/>
      <w:r>
        <w:rPr>
          <w:highlight w:val="none"/>
        </w:rPr>
      </w:r>
      <w:bookmarkStart w:id="186" w:name="_Toc297123494"/>
      <w:r>
        <w:rPr>
          <w:highlight w:val="none"/>
        </w:rPr>
      </w:r>
      <w:bookmarkStart w:id="187" w:name="_Toc296944500"/>
      <w:r>
        <w:rPr>
          <w:highlight w:val="none"/>
        </w:rPr>
      </w:r>
      <w:bookmarkStart w:id="188" w:name="_Toc296890989"/>
      <w:r>
        <w:rPr>
          <w:highlight w:val="none"/>
        </w:rPr>
      </w:r>
      <w:bookmarkStart w:id="189" w:name="_Toc297048347"/>
      <w:r>
        <w:rPr>
          <w:highlight w:val="none"/>
        </w:rPr>
      </w:r>
      <w:bookmarkStart w:id="190" w:name="_Toc303539104"/>
      <w:r>
        <w:rPr>
          <w:highlight w:val="none"/>
        </w:rPr>
      </w:r>
      <w:bookmarkStart w:id="191" w:name="_Toc297216153"/>
      <w:r>
        <w:rPr>
          <w:highlight w:val="none"/>
        </w:rPr>
      </w:r>
      <w:bookmarkStart w:id="192" w:name="_Toc296503161"/>
      <w:r>
        <w:rPr>
          <w:highlight w:val="none"/>
        </w:rPr>
      </w:r>
      <w:bookmarkStart w:id="193" w:name="_Toc296346662"/>
      <w:r>
        <w:rPr>
          <w:highlight w:val="none"/>
        </w:rPr>
      </w:r>
      <w:bookmarkStart w:id="194" w:name="_Toc297120461"/>
      <w:r>
        <w:rPr>
          <w:highlight w:val="none"/>
        </w:rPr>
      </w:r>
      <w:bookmarkStart w:id="195" w:name="_Toc304295525"/>
      <w:r>
        <w:rPr>
          <w:highlight w:val="none"/>
        </w:rPr>
      </w:r>
      <w:bookmarkEnd w:id="166"/>
      <w:r>
        <w:rPr>
          <w:highlight w:val="none"/>
        </w:rPr>
      </w:r>
      <w:bookmarkEnd w:id="167"/>
      <w:r>
        <w:rPr>
          <w:highlight w:val="none"/>
        </w:rPr>
      </w:r>
      <w:bookmarkEnd w:id="168"/>
      <w:r>
        <w:rPr>
          <w:highlight w:val="none"/>
        </w:rPr>
      </w:r>
      <w:bookmarkEnd w:id="169"/>
      <w:r>
        <w:rPr>
          <w:highlight w:val="none"/>
        </w:rPr>
      </w:r>
      <w:bookmarkEnd w:id="170"/>
      <w:r>
        <w:rPr>
          <w:highlight w:val="none"/>
        </w:rPr>
      </w:r>
      <w:bookmarkEnd w:id="171"/>
      <w:r>
        <w:rPr>
          <w:highlight w:val="none"/>
        </w:rPr>
      </w:r>
      <w:bookmarkEnd w:id="172"/>
      <w:r>
        <w:rPr>
          <w:highlight w:val="none"/>
        </w:rPr>
      </w:r>
      <w:bookmarkEnd w:id="173"/>
      <w:r>
        <w:rPr>
          <w:highlight w:val="none"/>
        </w:rPr>
      </w:r>
      <w:bookmarkEnd w:id="174"/>
      <w:r>
        <w:rPr>
          <w:highlight w:val="none"/>
        </w:rPr>
      </w:r>
      <w:bookmarkEnd w:id="175"/>
      <w:r>
        <w:rPr>
          <w:highlight w:val="none"/>
        </w:rPr>
      </w:r>
      <w:bookmarkEnd w:id="176"/>
      <w:r>
        <w:rPr>
          <w:highlight w:val="none"/>
        </w:rPr>
      </w:r>
      <w:bookmarkEnd w:id="177"/>
      <w:r>
        <w:rPr>
          <w:highlight w:val="none"/>
        </w:rPr>
      </w:r>
      <w:bookmarkEnd w:id="178"/>
      <w:r>
        <w:rPr>
          <w:highlight w:val="none"/>
        </w:rPr>
      </w:r>
      <w:bookmarkEnd w:id="179"/>
      <w:r>
        <w:rPr>
          <w:highlight w:val="none"/>
        </w:rPr>
      </w:r>
      <w:bookmarkEnd w:id="180"/>
      <w:r>
        <w:rPr>
          <w:highlight w:val="none"/>
        </w:rPr>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w:t>
      </w:r>
      <w:bookmarkStart w:id="196" w:name="_Toc312677990"/>
      <w:r>
        <w:rPr>
          <w:highlight w:val="none"/>
        </w:rPr>
      </w:r>
      <w:bookmarkStart w:id="197" w:name="_Toc318581159"/>
      <w:r>
        <w:rPr>
          <w:rFonts w:hint="eastAsia" w:ascii="宋体" w:hAnsi="宋体" w:cs="宋体"/>
          <w:szCs w:val="21"/>
          <w:highlight w:val="none"/>
        </w:rPr>
        <w:t xml:space="preserve">.4.2分包的确定</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允许分包的专业工程包括：</w:t>
      </w:r>
      <w:r>
        <w:rPr>
          <w:rFonts w:hint="eastAsia" w:ascii="宋体" w:hAnsi="宋体" w:cs="宋体"/>
          <w:szCs w:val="21"/>
          <w:highlight w:val="none"/>
          <w:u w:val="single"/>
        </w:rPr>
        <w:t xml:space="preserve">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其他关于分包的约定：</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3.4.3 分包合同价款</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关于分包合同价款支付的约定：</w:t>
      </w:r>
      <w:r>
        <w:rPr>
          <w:rFonts w:hint="eastAsia" w:ascii="宋体" w:hAnsi="宋体" w:cs="宋体"/>
          <w:szCs w:val="21"/>
          <w:highlight w:val="none"/>
          <w:u w:val="single"/>
        </w:rPr>
        <w:t xml:space="preserve">无    </w:t>
      </w:r>
      <w:r>
        <w:rPr>
          <w:rFonts w:hint="eastAsia" w:ascii="宋体" w:hAnsi="宋体" w:cs="宋体"/>
          <w:szCs w:val="21"/>
          <w:highlight w:val="none"/>
        </w:rPr>
        <w:t xml:space="preserve">。</w:t>
      </w:r>
      <w:bookmarkEnd w:id="196"/>
      <w:r/>
      <w:bookmarkEnd w:id="197"/>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3.5 工程照管与成品、半成品保护</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承包人负责照管工程及工程相关的材料、工程设备的起始时间：</w:t>
      </w:r>
      <w:r>
        <w:rPr>
          <w:rFonts w:hint="eastAsia" w:ascii="宋体" w:hAnsi="宋体" w:cs="宋体"/>
          <w:szCs w:val="21"/>
          <w:highlight w:val="none"/>
          <w:u w:val="single"/>
        </w:rPr>
        <w:t xml:space="preserve">  从开工日至竣工日结束后30天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3.6 履约担保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承包人是否提供履约担保：</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承包人提供履约担保的形式、金额及期限的：</w:t>
      </w:r>
      <w:r>
        <w:rPr>
          <w:rFonts w:hint="eastAsia" w:ascii="宋体" w:hAnsi="宋体" w:cs="宋体"/>
          <w:szCs w:val="21"/>
          <w:highlight w:val="none"/>
          <w:u w:val="single"/>
        </w:rPr>
        <w:t xml:space="preserve">    / </w:t>
      </w:r>
      <w:r>
        <w:rPr>
          <w:rFonts w:hint="eastAsia" w:ascii="宋体" w:hAnsi="宋体" w:cs="宋体"/>
          <w:szCs w:val="21"/>
          <w:highlight w:val="none"/>
        </w:rPr>
        <w:t xml:space="preserve"> 。       </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198" w:name="_Toc351203637"/>
      <w:r>
        <w:rPr>
          <w:highlight w:val="none"/>
        </w:rPr>
      </w:r>
      <w:bookmarkStart w:id="199" w:name="_Toc292559872"/>
      <w:r>
        <w:rPr>
          <w:highlight w:val="none"/>
        </w:rPr>
      </w:r>
      <w:bookmarkStart w:id="200" w:name="_Toc296503163"/>
      <w:r>
        <w:rPr>
          <w:highlight w:val="none"/>
        </w:rPr>
      </w:r>
      <w:bookmarkStart w:id="201" w:name="_Toc296891203"/>
      <w:r>
        <w:rPr>
          <w:highlight w:val="none"/>
        </w:rPr>
      </w:r>
      <w:bookmarkStart w:id="202" w:name="_Toc292559367"/>
      <w:r>
        <w:rPr>
          <w:highlight w:val="none"/>
        </w:rPr>
      </w:r>
      <w:bookmarkStart w:id="203" w:name="_Toc297048349"/>
      <w:r>
        <w:rPr>
          <w:highlight w:val="none"/>
        </w:rPr>
      </w:r>
      <w:bookmarkStart w:id="204" w:name="_Toc296944502"/>
      <w:r>
        <w:rPr>
          <w:highlight w:val="none"/>
        </w:rPr>
      </w:r>
      <w:bookmarkStart w:id="205" w:name="_Toc296346664"/>
      <w:r>
        <w:rPr>
          <w:highlight w:val="none"/>
        </w:rPr>
      </w:r>
      <w:bookmarkStart w:id="206" w:name="_Toc296890991"/>
      <w:r>
        <w:rPr>
          <w:highlight w:val="none"/>
        </w:rPr>
      </w:r>
      <w:bookmarkStart w:id="207" w:name="_Toc296347162"/>
      <w:r>
        <w:rPr>
          <w:highlight w:val="none"/>
        </w:rPr>
      </w:r>
      <w:bookmarkStart w:id="208" w:name="_Toc297120463"/>
      <w:r>
        <w:rPr>
          <w:rFonts w:hint="eastAsia" w:ascii="宋体" w:hAnsi="宋体" w:cs="宋体"/>
          <w:szCs w:val="21"/>
          <w:highlight w:val="none"/>
        </w:rPr>
        <w:t xml:space="preserve">4. 工程质量</w:t>
      </w:r>
      <w:bookmarkEnd w:id="198"/>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4.1 质量要求</w:t>
      </w:r>
      <w:r>
        <w:rPr>
          <w:highlight w:val="none"/>
        </w:rPr>
      </w:r>
      <w:r/>
    </w:p>
    <w:p>
      <w:pPr>
        <w:ind w:firstLine="420"/>
        <w:spacing w:line="360" w:lineRule="auto"/>
        <w:rPr>
          <w:rFonts w:ascii="宋体" w:hAnsi="宋体" w:cs="宋体"/>
          <w:szCs w:val="21"/>
          <w:highlight w:val="none"/>
        </w:rPr>
      </w:pPr>
      <w:r>
        <w:rPr>
          <w:highlight w:val="none"/>
        </w:rPr>
      </w:r>
      <w:bookmarkStart w:id="209" w:name="_Toc304295527"/>
      <w:r>
        <w:rPr>
          <w:highlight w:val="none"/>
        </w:rPr>
      </w:r>
      <w:bookmarkStart w:id="210" w:name="_Toc303539106"/>
      <w:r>
        <w:rPr>
          <w:highlight w:val="none"/>
        </w:rPr>
      </w:r>
      <w:bookmarkStart w:id="211" w:name="_Toc297123496"/>
      <w:r>
        <w:rPr>
          <w:highlight w:val="none"/>
        </w:rPr>
      </w:r>
      <w:bookmarkStart w:id="212" w:name="_Toc297216155"/>
      <w:r>
        <w:rPr>
          <w:highlight w:val="none"/>
        </w:rPr>
      </w:r>
      <w:bookmarkStart w:id="213" w:name="_Toc318581164"/>
      <w:r>
        <w:rPr>
          <w:highlight w:val="none"/>
        </w:rPr>
      </w:r>
      <w:bookmarkStart w:id="214" w:name="_Toc300934949"/>
      <w:r>
        <w:rPr>
          <w:highlight w:val="none"/>
        </w:rPr>
      </w:r>
      <w:bookmarkStart w:id="215" w:name="_Toc312677997"/>
      <w:r>
        <w:rPr>
          <w:rFonts w:hint="eastAsia" w:ascii="宋体" w:hAnsi="宋体" w:cs="宋体"/>
          <w:szCs w:val="21"/>
          <w:highlight w:val="none"/>
        </w:rPr>
        <w:t xml:space="preserve">4.1.1 特殊质量标准和要求：</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关于工程奖项的约定：</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4.2 隐蔽工程检查</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4.2.1承包人提前通知监理人隐蔽工程检查的期限的约定：</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监理人不能按时进行检查时，应提前</w:t>
      </w:r>
      <w:r>
        <w:rPr>
          <w:rFonts w:hint="eastAsia" w:ascii="宋体" w:hAnsi="宋体" w:cs="宋体"/>
          <w:szCs w:val="21"/>
          <w:highlight w:val="none"/>
          <w:u w:val="single"/>
        </w:rPr>
        <w:t xml:space="preserve">  8  </w:t>
      </w:r>
      <w:r>
        <w:rPr>
          <w:rFonts w:hint="eastAsia" w:ascii="宋体" w:hAnsi="宋体" w:cs="宋体"/>
          <w:szCs w:val="21"/>
          <w:highlight w:val="none"/>
        </w:rPr>
        <w:t xml:space="preserve">小时提交书面延期要求。</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   24  </w:t>
      </w:r>
      <w:r>
        <w:rPr>
          <w:rFonts w:hint="eastAsia" w:ascii="宋体" w:hAnsi="宋体" w:cs="宋体"/>
          <w:szCs w:val="21"/>
          <w:highlight w:val="none"/>
        </w:rPr>
        <w:t xml:space="preserve">小时。</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216" w:name="_Toc351203638"/>
      <w:r>
        <w:rPr>
          <w:rFonts w:hint="eastAsia" w:ascii="宋体" w:hAnsi="宋体" w:cs="宋体"/>
          <w:szCs w:val="21"/>
          <w:highlight w:val="none"/>
        </w:rPr>
        <w:t xml:space="preserve">5. 安全文明施工与环境保护</w:t>
      </w:r>
      <w:bookmarkEnd w:id="216"/>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5.1安全文明施工</w:t>
      </w:r>
      <w:r>
        <w:rPr>
          <w:highlight w:val="none"/>
        </w:rPr>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5.1.1 项目安全生产的达标目标及相应事项的约定：（1）</w:t>
      </w:r>
      <w:r>
        <w:rPr>
          <w:rFonts w:hint="eastAsia" w:ascii="宋体" w:hAnsi="宋体" w:cs="宋体"/>
          <w:spacing w:val="10"/>
          <w:szCs w:val="21"/>
          <w:highlight w:val="none"/>
          <w:u w:val="single"/>
        </w:rPr>
        <w:t xml:space="preserve">承包人必须按照江宁政办发（2007）157号文规定的标准实行文明施工管理，总承包单位对施工现场的安全施工负总责，专业工程承包单位应当服从总承包单位的文明施工管理。</w:t>
      </w:r>
      <w:r>
        <w:rPr>
          <w:rFonts w:hint="eastAsia" w:ascii="宋体" w:hAnsi="宋体" w:cs="宋体"/>
          <w:szCs w:val="21"/>
          <w:highlight w:val="none"/>
          <w:u w:val="single"/>
        </w:rPr>
        <w:t xml:space="preserve">按安全标准组织施工，根据现场情况采取必要的安全防护措施，全面负责施工现场的安全及第三方人身安全，加强安全教育，坚决杜绝安全事故的发生，并承担一切责任。</w:t>
      </w:r>
      <w:r>
        <w:rPr>
          <w:rFonts w:hint="eastAsia" w:ascii="宋体" w:hAnsi="宋体" w:cs="宋体"/>
          <w:szCs w:val="21"/>
          <w:highlight w:val="none"/>
        </w:rPr>
        <w:t xml:space="preserve">（2）</w:t>
      </w:r>
      <w:r>
        <w:rPr>
          <w:rFonts w:hint="eastAsia" w:ascii="宋体" w:hAnsi="宋体" w:cs="宋体"/>
          <w:szCs w:val="21"/>
          <w:highlight w:val="none"/>
          <w:u w:val="single"/>
        </w:rPr>
        <w:t xml:space="preserve">承包人对安全生产负全责，与发包人另签《安全生产责任协议书》。施工中加强安全防范意识和措施，杜绝安全事故的发生。每发生一起安全事故，发包人可以按违约责任给予责任单位一次性经济处罚，最低为1000元，最高5000元。如发生重大安全事故，影响本项目评优，最高经济处罚为20万元。</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5.1.2 关于治安保卫的特别约定：</w:t>
      </w:r>
      <w:r>
        <w:rPr>
          <w:rFonts w:hint="eastAsia" w:ascii="宋体" w:hAnsi="宋体" w:cs="宋体"/>
          <w:spacing w:val="10"/>
          <w:szCs w:val="21"/>
          <w:highlight w:val="none"/>
          <w:u w:val="single"/>
        </w:rPr>
        <w:t xml:space="preserve">按照江宁政办发（2007）157号文规定，其他按通用条款</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关于编制施工场地治安管理计划的约定：</w:t>
      </w:r>
      <w:r>
        <w:rPr>
          <w:rFonts w:hint="eastAsia" w:ascii="宋体" w:hAnsi="宋体" w:cs="宋体"/>
          <w:szCs w:val="21"/>
          <w:highlight w:val="none"/>
          <w:u w:val="single"/>
        </w:rPr>
        <w:t xml:space="preserve">  在开工前提交的施工组织设计中必须要有此部分内容</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5.1.3 文明施工</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合同当事人对文明施工的要求：</w:t>
      </w:r>
      <w:r>
        <w:rPr>
          <w:rFonts w:hint="eastAsia" w:ascii="宋体" w:hAnsi="宋体" w:cs="宋体"/>
          <w:szCs w:val="21"/>
          <w:highlight w:val="none"/>
          <w:u w:val="single"/>
        </w:rPr>
        <w:t xml:space="preserve"> 施工现场卫生按标准化现场要求管理，材料和设备堆放整齐，施工区和居住区保持整洁卫生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217" w:name="_Toc351203639"/>
      <w:r>
        <w:rPr>
          <w:highlight w:val="none"/>
        </w:rPr>
      </w:r>
      <w:bookmarkEnd w:id="209"/>
      <w:r>
        <w:rPr>
          <w:highlight w:val="none"/>
        </w:rPr>
      </w:r>
      <w:bookmarkEnd w:id="210"/>
      <w:r>
        <w:rPr>
          <w:highlight w:val="none"/>
        </w:rPr>
      </w:r>
      <w:bookmarkEnd w:id="211"/>
      <w:r>
        <w:rPr>
          <w:highlight w:val="none"/>
        </w:rPr>
      </w:r>
      <w:bookmarkEnd w:id="212"/>
      <w:r>
        <w:rPr>
          <w:highlight w:val="none"/>
        </w:rPr>
      </w:r>
      <w:bookmarkEnd w:id="213"/>
      <w:r>
        <w:rPr>
          <w:highlight w:val="none"/>
        </w:rPr>
      </w:r>
      <w:bookmarkEnd w:id="214"/>
      <w:r>
        <w:rPr>
          <w:highlight w:val="none"/>
        </w:rPr>
      </w:r>
      <w:bookmarkEnd w:id="215"/>
      <w:r>
        <w:rPr>
          <w:rFonts w:hint="eastAsia" w:ascii="宋体" w:hAnsi="宋体" w:cs="宋体"/>
          <w:szCs w:val="21"/>
          <w:highlight w:val="none"/>
        </w:rPr>
        <w:t xml:space="preserve">6. 工期和进度</w:t>
      </w:r>
      <w:bookmarkEnd w:id="217"/>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6.1 施工组织设计</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6.1.1 合同当事人约定的施工组织设计应包括的其他内容：</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6.1.2 施工组织设计的提交和修改</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承包人提交详细施工组织设计的期限的约定：</w:t>
      </w:r>
      <w:r>
        <w:rPr>
          <w:rFonts w:hint="eastAsia" w:ascii="宋体" w:hAnsi="宋体" w:cs="宋体"/>
          <w:szCs w:val="21"/>
          <w:highlight w:val="none"/>
          <w:u w:val="single"/>
        </w:rPr>
        <w:t xml:space="preserve">  合同签订后7日内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发包人和监理人在收到详细的施工组织设计后确认或提出修改意见的期限：</w:t>
      </w:r>
      <w:r>
        <w:rPr>
          <w:rFonts w:hint="eastAsia" w:ascii="宋体" w:hAnsi="宋体" w:cs="宋体"/>
          <w:szCs w:val="21"/>
          <w:highlight w:val="none"/>
          <w:u w:val="single"/>
        </w:rPr>
        <w:t xml:space="preserve">5日</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highlight w:val="none"/>
        </w:rPr>
      </w:r>
      <w:bookmarkStart w:id="218" w:name="_Toc312678005"/>
      <w:r>
        <w:rPr>
          <w:highlight w:val="none"/>
        </w:rPr>
      </w:r>
      <w:bookmarkStart w:id="219" w:name="_Toc297123514"/>
      <w:r>
        <w:rPr>
          <w:highlight w:val="none"/>
        </w:rPr>
      </w:r>
      <w:bookmarkStart w:id="220" w:name="_Toc303539123"/>
      <w:r>
        <w:rPr>
          <w:highlight w:val="none"/>
        </w:rPr>
      </w:r>
      <w:bookmarkStart w:id="221" w:name="_Toc304295541"/>
      <w:r>
        <w:rPr>
          <w:highlight w:val="none"/>
        </w:rPr>
      </w:r>
      <w:bookmarkStart w:id="222" w:name="_Toc300934966"/>
      <w:r>
        <w:rPr>
          <w:highlight w:val="none"/>
        </w:rPr>
      </w:r>
      <w:bookmarkStart w:id="223" w:name="_Toc312677479"/>
      <w:r>
        <w:rPr>
          <w:highlight w:val="none"/>
        </w:rPr>
      </w:r>
      <w:bookmarkStart w:id="224" w:name="_Toc297216173"/>
      <w:r>
        <w:rPr>
          <w:rFonts w:hint="eastAsia" w:ascii="宋体" w:hAnsi="宋体" w:cs="宋体"/>
          <w:szCs w:val="21"/>
          <w:highlight w:val="none"/>
        </w:rPr>
        <w:t xml:space="preserve">6.2 施工进度计划</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6.2.1 施工进度计划的修订</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发包人和监理人在收到修订的施工进度计划后确认或提出修改意见的期限：</w:t>
      </w:r>
      <w:r>
        <w:rPr>
          <w:rFonts w:hint="eastAsia" w:ascii="宋体" w:hAnsi="宋体" w:cs="宋体"/>
          <w:szCs w:val="21"/>
          <w:highlight w:val="none"/>
          <w:u w:val="single"/>
        </w:rPr>
        <w:t xml:space="preserve">5日</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6.3 开工</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6.3.1 开工准备</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关于承包人提交工程开工报审表的期限：</w:t>
      </w:r>
      <w:r>
        <w:rPr>
          <w:rFonts w:hint="eastAsia" w:ascii="宋体" w:hAnsi="宋体" w:cs="宋体"/>
          <w:szCs w:val="21"/>
          <w:highlight w:val="none"/>
          <w:u w:val="single"/>
        </w:rPr>
        <w:t xml:space="preserve">  合同签订后10日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关于发包人应完成的其他开工准备工作及期限：</w:t>
      </w:r>
      <w:r>
        <w:rPr>
          <w:rFonts w:hint="eastAsia" w:ascii="宋体" w:hAnsi="宋体" w:cs="宋体"/>
          <w:szCs w:val="21"/>
          <w:highlight w:val="none"/>
          <w:u w:val="single"/>
        </w:rPr>
        <w:t xml:space="preserve"> 临时设施搭建、材料、设备、人员等，合同签订后10日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关于承包人应完成的其他开工准备工作及期限：</w:t>
      </w:r>
      <w:r>
        <w:rPr>
          <w:rFonts w:hint="eastAsia" w:ascii="宋体" w:hAnsi="宋体" w:cs="宋体"/>
          <w:szCs w:val="21"/>
          <w:highlight w:val="none"/>
          <w:u w:val="single"/>
        </w:rPr>
        <w:t xml:space="preserve"> 暂无，如有另行协商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6.3.2开工通知</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因发包人原因造成监理人未能在计划开工日期之日起</w:t>
      </w:r>
      <w:r>
        <w:rPr>
          <w:rFonts w:hint="eastAsia" w:ascii="宋体" w:hAnsi="宋体" w:cs="宋体"/>
          <w:szCs w:val="21"/>
          <w:highlight w:val="none"/>
          <w:u w:val="single"/>
        </w:rPr>
        <w:t xml:space="preserve"> 7 天</w:t>
      </w:r>
      <w:r>
        <w:rPr>
          <w:rFonts w:hint="eastAsia" w:ascii="宋体" w:hAnsi="宋体" w:cs="宋体"/>
          <w:szCs w:val="21"/>
          <w:highlight w:val="none"/>
        </w:rPr>
        <w:t xml:space="preserve">内发出开工通知的，承包人有权提出价格调整要求，或者解除合同。</w:t>
      </w:r>
      <w:bookmarkEnd w:id="218"/>
      <w:r/>
      <w:bookmarkEnd w:id="219"/>
      <w:r/>
      <w:bookmarkEnd w:id="220"/>
      <w:r/>
      <w:bookmarkEnd w:id="221"/>
      <w:r/>
      <w:bookmarkEnd w:id="222"/>
      <w:r/>
      <w:bookmarkEnd w:id="223"/>
      <w:r/>
      <w:bookmarkEnd w:id="224"/>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6.4 测量放线</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6.4.1发包人通过监理人向承包人提供测量基准点、基准线和水准点及其书面资料的期限：</w:t>
      </w:r>
      <w:r>
        <w:rPr>
          <w:rFonts w:hint="eastAsia" w:ascii="宋体" w:hAnsi="宋体" w:cs="宋体"/>
          <w:spacing w:val="10"/>
          <w:szCs w:val="21"/>
          <w:highlight w:val="none"/>
          <w:u w:val="single"/>
        </w:rPr>
        <w:t xml:space="preserve">开工前提供水准点与坐标管制点，按施工图要求由发包人、承包人现场交验</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highlight w:val="none"/>
        </w:rPr>
      </w:r>
      <w:bookmarkStart w:id="225" w:name="_Toc312678010"/>
      <w:r>
        <w:rPr>
          <w:highlight w:val="none"/>
        </w:rPr>
      </w:r>
      <w:bookmarkStart w:id="226" w:name="_Toc297123516"/>
      <w:r>
        <w:rPr>
          <w:highlight w:val="none"/>
        </w:rPr>
      </w:r>
      <w:bookmarkStart w:id="227" w:name="_Toc300934968"/>
      <w:r>
        <w:rPr>
          <w:highlight w:val="none"/>
        </w:rPr>
      </w:r>
      <w:bookmarkStart w:id="228" w:name="_Toc304295546"/>
      <w:r>
        <w:rPr>
          <w:highlight w:val="none"/>
        </w:rPr>
      </w:r>
      <w:bookmarkStart w:id="229" w:name="_Toc303539125"/>
      <w:r>
        <w:rPr>
          <w:highlight w:val="none"/>
        </w:rPr>
      </w:r>
      <w:bookmarkStart w:id="230" w:name="_Toc312677484"/>
      <w:r>
        <w:rPr>
          <w:highlight w:val="none"/>
        </w:rPr>
      </w:r>
      <w:bookmarkStart w:id="231" w:name="_Toc297216175"/>
      <w:r>
        <w:rPr>
          <w:rFonts w:hint="eastAsia" w:ascii="宋体" w:hAnsi="宋体" w:cs="宋体"/>
          <w:szCs w:val="21"/>
          <w:highlight w:val="none"/>
        </w:rPr>
        <w:t xml:space="preserve">6.5 工期延误</w:t>
      </w:r>
      <w:bookmarkEnd w:id="225"/>
      <w:r/>
      <w:bookmarkEnd w:id="226"/>
      <w:r/>
      <w:bookmarkEnd w:id="227"/>
      <w:r/>
      <w:bookmarkEnd w:id="228"/>
      <w:r/>
      <w:bookmarkEnd w:id="229"/>
      <w:r/>
      <w:bookmarkEnd w:id="230"/>
      <w:r/>
      <w:bookmarkEnd w:id="231"/>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6.5.1 因发包人原因导致工期延误</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（7）因发包人原因导致工期延误的其他情形：</w:t>
      </w:r>
      <w:r>
        <w:rPr>
          <w:rFonts w:hint="eastAsia" w:ascii="宋体" w:hAnsi="宋体" w:cs="宋体"/>
          <w:szCs w:val="21"/>
          <w:highlight w:val="none"/>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highlight w:val="none"/>
        </w:rPr>
      </w:r>
      <w:bookmarkStart w:id="232" w:name="_Toc312678012"/>
      <w:r>
        <w:rPr>
          <w:highlight w:val="none"/>
        </w:rPr>
      </w:r>
      <w:bookmarkStart w:id="233" w:name="_Toc318581169"/>
      <w:r>
        <w:rPr>
          <w:highlight w:val="none"/>
        </w:rPr>
      </w:r>
      <w:bookmarkStart w:id="234" w:name="_Toc312677486"/>
      <w:r>
        <w:rPr>
          <w:highlight w:val="none"/>
        </w:rPr>
      </w:r>
      <w:bookmarkStart w:id="235" w:name="_Toc297123518"/>
      <w:r>
        <w:rPr>
          <w:highlight w:val="none"/>
        </w:rPr>
      </w:r>
      <w:bookmarkStart w:id="236" w:name="_Toc300934970"/>
      <w:r>
        <w:rPr>
          <w:highlight w:val="none"/>
        </w:rPr>
      </w:r>
      <w:bookmarkStart w:id="237" w:name="_Toc303539127"/>
      <w:r>
        <w:rPr>
          <w:highlight w:val="none"/>
        </w:rPr>
      </w:r>
      <w:bookmarkStart w:id="238" w:name="_Toc304295548"/>
      <w:r>
        <w:rPr>
          <w:highlight w:val="none"/>
        </w:rPr>
      </w:r>
      <w:bookmarkStart w:id="239" w:name="_Toc297216177"/>
      <w:r>
        <w:rPr>
          <w:rFonts w:hint="eastAsia" w:ascii="宋体" w:hAnsi="宋体" w:cs="宋体"/>
          <w:szCs w:val="21"/>
          <w:highlight w:val="none"/>
        </w:rPr>
        <w:t xml:space="preserve">6.5.2 因承包人原因导致工期延误</w:t>
      </w:r>
      <w:bookmarkEnd w:id="232"/>
      <w:r/>
      <w:bookmarkEnd w:id="233"/>
      <w:r/>
      <w:bookmarkEnd w:id="234"/>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因</w:t>
      </w:r>
      <w:bookmarkStart w:id="240" w:name="_Toc312678013"/>
      <w:r>
        <w:rPr>
          <w:highlight w:val="none"/>
        </w:rPr>
      </w:r>
      <w:bookmarkStart w:id="241" w:name="_Toc312677487"/>
      <w:r>
        <w:rPr>
          <w:highlight w:val="none"/>
        </w:rPr>
      </w:r>
      <w:bookmarkStart w:id="242" w:name="_Toc318581170"/>
      <w:r>
        <w:rPr>
          <w:rFonts w:hint="eastAsia" w:ascii="宋体" w:hAnsi="宋体" w:cs="宋体"/>
          <w:szCs w:val="21"/>
          <w:highlight w:val="none"/>
        </w:rPr>
        <w:t xml:space="preserve">承包人原因造成工期延误，逾期竣工违约金的计算方法为：</w:t>
      </w:r>
      <w:r>
        <w:rPr>
          <w:rFonts w:hint="eastAsia" w:ascii="宋体" w:hAnsi="宋体" w:cs="宋体"/>
          <w:spacing w:val="10"/>
          <w:szCs w:val="21"/>
          <w:highlight w:val="none"/>
          <w:u w:val="single"/>
        </w:rPr>
        <w:t xml:space="preserve">如因承包人原因，导致竣工工期滞后于合同工期，按每滞后一天赔偿发包人2000元违约金</w:t>
      </w:r>
      <w:r>
        <w:rPr>
          <w:rFonts w:hint="eastAsia" w:ascii="宋体" w:hAnsi="宋体" w:cs="宋体"/>
          <w:szCs w:val="21"/>
          <w:highlight w:val="none"/>
        </w:rPr>
        <w:t xml:space="preserve">。</w:t>
      </w:r>
      <w:bookmarkEnd w:id="235"/>
      <w:r>
        <w:rPr>
          <w:highlight w:val="none"/>
        </w:rPr>
      </w:r>
      <w:bookmarkEnd w:id="236"/>
      <w:r>
        <w:rPr>
          <w:highlight w:val="none"/>
        </w:rPr>
      </w:r>
      <w:bookmarkEnd w:id="237"/>
      <w:r>
        <w:rPr>
          <w:highlight w:val="none"/>
        </w:rPr>
      </w:r>
      <w:bookmarkEnd w:id="238"/>
      <w:r>
        <w:rPr>
          <w:highlight w:val="none"/>
        </w:rPr>
      </w:r>
      <w:bookmarkEnd w:id="239"/>
      <w:r>
        <w:rPr>
          <w:highlight w:val="none"/>
        </w:rPr>
      </w:r>
      <w:bookmarkEnd w:id="240"/>
      <w:r>
        <w:rPr>
          <w:highlight w:val="none"/>
        </w:rPr>
      </w:r>
      <w:bookmarkEnd w:id="241"/>
      <w:r>
        <w:rPr>
          <w:highlight w:val="none"/>
        </w:rPr>
      </w:r>
      <w:r/>
    </w:p>
    <w:p>
      <w:pPr>
        <w:ind w:firstLine="420"/>
        <w:spacing w:line="360" w:lineRule="auto"/>
        <w:rPr>
          <w:rFonts w:ascii="宋体" w:hAnsi="宋体" w:cs="宋体"/>
          <w:szCs w:val="21"/>
          <w:highlight w:val="none"/>
        </w:rPr>
      </w:pPr>
      <w:r>
        <w:rPr>
          <w:highlight w:val="none"/>
        </w:rPr>
      </w:r>
      <w:bookmarkStart w:id="243" w:name="_Toc304295549"/>
      <w:r>
        <w:rPr>
          <w:highlight w:val="none"/>
        </w:rPr>
      </w:r>
      <w:bookmarkStart w:id="244" w:name="_Toc297123519"/>
      <w:r>
        <w:rPr>
          <w:highlight w:val="none"/>
        </w:rPr>
      </w:r>
      <w:bookmarkStart w:id="245" w:name="_Toc303539128"/>
      <w:r>
        <w:rPr>
          <w:highlight w:val="none"/>
        </w:rPr>
      </w:r>
      <w:bookmarkStart w:id="246" w:name="_Toc312678015"/>
      <w:r>
        <w:rPr>
          <w:highlight w:val="none"/>
        </w:rPr>
      </w:r>
      <w:bookmarkStart w:id="247" w:name="_Toc300934971"/>
      <w:r>
        <w:rPr>
          <w:highlight w:val="none"/>
        </w:rPr>
      </w:r>
      <w:bookmarkStart w:id="248" w:name="_Toc297216178"/>
      <w:r>
        <w:rPr>
          <w:highlight w:val="none"/>
        </w:rPr>
      </w:r>
      <w:bookmarkEnd w:id="242"/>
      <w:r>
        <w:rPr>
          <w:rFonts w:hint="eastAsia" w:ascii="宋体" w:hAnsi="宋体" w:cs="宋体"/>
          <w:szCs w:val="21"/>
          <w:highlight w:val="none"/>
        </w:rPr>
        <w:t xml:space="preserve">6.6 不</w:t>
      </w:r>
      <w:bookmarkEnd w:id="243"/>
      <w:r>
        <w:rPr>
          <w:highlight w:val="none"/>
        </w:rPr>
      </w:r>
      <w:bookmarkEnd w:id="244"/>
      <w:r>
        <w:rPr>
          <w:highlight w:val="none"/>
        </w:rPr>
      </w:r>
      <w:bookmarkEnd w:id="245"/>
      <w:r>
        <w:rPr>
          <w:highlight w:val="none"/>
        </w:rPr>
      </w:r>
      <w:bookmarkEnd w:id="246"/>
      <w:r>
        <w:rPr>
          <w:highlight w:val="none"/>
        </w:rPr>
      </w:r>
      <w:bookmarkEnd w:id="247"/>
      <w:r>
        <w:rPr>
          <w:highlight w:val="none"/>
        </w:rPr>
      </w:r>
      <w:bookmarkEnd w:id="248"/>
      <w:r>
        <w:rPr>
          <w:rFonts w:hint="eastAsia" w:ascii="宋体" w:hAnsi="宋体" w:cs="宋体"/>
          <w:szCs w:val="21"/>
          <w:highlight w:val="none"/>
        </w:rPr>
        <w:t xml:space="preserve">利物质条件</w:t>
      </w:r>
      <w:r>
        <w:rPr>
          <w:highlight w:val="none"/>
        </w:rPr>
      </w:r>
      <w:r/>
    </w:p>
    <w:p>
      <w:pPr>
        <w:ind w:firstLine="420"/>
        <w:spacing w:line="360" w:lineRule="auto"/>
        <w:rPr>
          <w:rFonts w:ascii="宋体" w:hAnsi="宋体" w:cs="宋体"/>
          <w:szCs w:val="21"/>
          <w:highlight w:val="none"/>
        </w:rPr>
      </w:pPr>
      <w:r>
        <w:rPr>
          <w:highlight w:val="none"/>
        </w:rPr>
      </w:r>
      <w:bookmarkStart w:id="249" w:name="_Toc304295550"/>
      <w:r>
        <w:rPr>
          <w:highlight w:val="none"/>
        </w:rPr>
      </w:r>
      <w:bookmarkStart w:id="250" w:name="_Toc312678016"/>
      <w:r>
        <w:rPr>
          <w:highlight w:val="none"/>
        </w:rPr>
      </w:r>
      <w:bookmarkStart w:id="251" w:name="_Toc318581172"/>
      <w:r>
        <w:rPr>
          <w:highlight w:val="none"/>
        </w:rPr>
      </w:r>
      <w:bookmarkStart w:id="252" w:name="_Toc297123520"/>
      <w:r>
        <w:rPr>
          <w:highlight w:val="none"/>
        </w:rPr>
      </w:r>
      <w:bookmarkStart w:id="253" w:name="_Toc297216179"/>
      <w:r>
        <w:rPr>
          <w:highlight w:val="none"/>
        </w:rPr>
      </w:r>
      <w:bookmarkStart w:id="254" w:name="_Toc300934972"/>
      <w:r>
        <w:rPr>
          <w:highlight w:val="none"/>
        </w:rPr>
      </w:r>
      <w:bookmarkStart w:id="255" w:name="_Toc303539129"/>
      <w:r>
        <w:rPr>
          <w:rFonts w:hint="eastAsia" w:ascii="宋体" w:hAnsi="宋体" w:cs="宋体"/>
          <w:szCs w:val="21"/>
          <w:highlight w:val="none"/>
        </w:rPr>
        <w:t xml:space="preserve">不利物质条件的其他情形和有关约定：</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highlight w:val="none"/>
        </w:rPr>
      </w:r>
      <w:bookmarkStart w:id="256" w:name="_Toc312678017"/>
      <w:r>
        <w:rPr>
          <w:highlight w:val="none"/>
        </w:rPr>
      </w:r>
      <w:bookmarkStart w:id="257" w:name="_Toc304295551"/>
      <w:r>
        <w:rPr>
          <w:highlight w:val="none"/>
        </w:rPr>
      </w:r>
      <w:bookmarkStart w:id="258" w:name="_Toc297123521"/>
      <w:r>
        <w:rPr>
          <w:highlight w:val="none"/>
        </w:rPr>
      </w:r>
      <w:bookmarkStart w:id="259" w:name="_Toc300934973"/>
      <w:r>
        <w:rPr>
          <w:highlight w:val="none"/>
        </w:rPr>
      </w:r>
      <w:bookmarkStart w:id="260" w:name="_Toc303539130"/>
      <w:r>
        <w:rPr>
          <w:highlight w:val="none"/>
        </w:rPr>
      </w:r>
      <w:bookmarkStart w:id="261" w:name="_Toc297216180"/>
      <w:r>
        <w:rPr>
          <w:highlight w:val="none"/>
        </w:rPr>
      </w:r>
      <w:bookmarkEnd w:id="249"/>
      <w:r>
        <w:rPr>
          <w:highlight w:val="none"/>
        </w:rPr>
      </w:r>
      <w:bookmarkEnd w:id="250"/>
      <w:r>
        <w:rPr>
          <w:highlight w:val="none"/>
        </w:rPr>
      </w:r>
      <w:bookmarkEnd w:id="251"/>
      <w:r>
        <w:rPr>
          <w:highlight w:val="none"/>
        </w:rPr>
      </w:r>
      <w:bookmarkEnd w:id="252"/>
      <w:r>
        <w:rPr>
          <w:highlight w:val="none"/>
        </w:rPr>
      </w:r>
      <w:bookmarkEnd w:id="253"/>
      <w:r>
        <w:rPr>
          <w:highlight w:val="none"/>
        </w:rPr>
      </w:r>
      <w:bookmarkEnd w:id="254"/>
      <w:r>
        <w:rPr>
          <w:highlight w:val="none"/>
        </w:rPr>
      </w:r>
      <w:bookmarkEnd w:id="255"/>
      <w:r>
        <w:rPr>
          <w:rFonts w:hint="eastAsia" w:ascii="宋体" w:hAnsi="宋体" w:cs="宋体"/>
          <w:szCs w:val="21"/>
          <w:highlight w:val="none"/>
        </w:rPr>
        <w:t xml:space="preserve">6.7异常恶劣的气候条件</w:t>
      </w:r>
      <w:bookmarkEnd w:id="256"/>
      <w:r/>
      <w:bookmarkEnd w:id="257"/>
      <w:r/>
      <w:bookmarkEnd w:id="258"/>
      <w:r/>
      <w:bookmarkEnd w:id="259"/>
      <w:r/>
      <w:bookmarkEnd w:id="260"/>
      <w:r/>
      <w:bookmarkEnd w:id="261"/>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发包人和承包人同意以下情形视为异常恶劣的气候条件：</w:t>
      </w:r>
      <w:r>
        <w:rPr>
          <w:rFonts w:hint="eastAsia" w:ascii="宋体" w:hAnsi="宋体" w:cs="宋体"/>
          <w:szCs w:val="21"/>
          <w:highlight w:val="none"/>
          <w:u w:val="single"/>
        </w:rPr>
        <w:t xml:space="preserve">按通用条款</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6.9 提前竣工的奖励</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6.9.2提前竣工的奖励：</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262" w:name="_Toc351203640"/>
      <w:r>
        <w:rPr>
          <w:rFonts w:hint="eastAsia" w:ascii="宋体" w:hAnsi="宋体" w:cs="宋体"/>
          <w:szCs w:val="21"/>
          <w:highlight w:val="none"/>
        </w:rPr>
        <w:t xml:space="preserve">7. 材料与设备</w:t>
      </w:r>
      <w:bookmarkEnd w:id="262"/>
      <w:r>
        <w:rPr>
          <w:highlight w:val="none"/>
        </w:rPr>
      </w:r>
      <w:r/>
    </w:p>
    <w:p>
      <w:pPr>
        <w:ind w:firstLine="420"/>
        <w:spacing w:line="360" w:lineRule="auto"/>
        <w:rPr>
          <w:rFonts w:ascii="宋体" w:hAnsi="宋体" w:cs="宋体"/>
          <w:szCs w:val="21"/>
          <w:highlight w:val="none"/>
        </w:rPr>
      </w:pPr>
      <w:r>
        <w:rPr>
          <w:highlight w:val="none"/>
        </w:rPr>
      </w:r>
      <w:bookmarkStart w:id="263" w:name="_Toc312677493"/>
      <w:r>
        <w:rPr>
          <w:highlight w:val="none"/>
        </w:rPr>
      </w:r>
      <w:bookmarkStart w:id="264" w:name="_Toc296890995"/>
      <w:r>
        <w:rPr>
          <w:highlight w:val="none"/>
        </w:rPr>
      </w:r>
      <w:bookmarkStart w:id="265" w:name="_Toc296346668"/>
      <w:r>
        <w:rPr>
          <w:highlight w:val="none"/>
        </w:rPr>
      </w:r>
      <w:bookmarkStart w:id="266" w:name="_Toc304295556"/>
      <w:r>
        <w:rPr>
          <w:highlight w:val="none"/>
        </w:rPr>
      </w:r>
      <w:bookmarkStart w:id="267" w:name="_Toc300934979"/>
      <w:r>
        <w:rPr>
          <w:highlight w:val="none"/>
        </w:rPr>
      </w:r>
      <w:bookmarkStart w:id="268" w:name="_Toc280868654"/>
      <w:r>
        <w:rPr>
          <w:highlight w:val="none"/>
        </w:rPr>
      </w:r>
      <w:bookmarkStart w:id="269" w:name="_Toc296503167"/>
      <w:r>
        <w:rPr>
          <w:highlight w:val="none"/>
        </w:rPr>
      </w:r>
      <w:bookmarkStart w:id="270" w:name="_Toc297123527"/>
      <w:r>
        <w:rPr>
          <w:highlight w:val="none"/>
        </w:rPr>
      </w:r>
      <w:bookmarkStart w:id="271" w:name="_Toc292559877"/>
      <w:r>
        <w:rPr>
          <w:highlight w:val="none"/>
        </w:rPr>
      </w:r>
      <w:bookmarkStart w:id="272" w:name="_Toc296347166"/>
      <w:r>
        <w:rPr>
          <w:highlight w:val="none"/>
        </w:rPr>
      </w:r>
      <w:bookmarkStart w:id="273" w:name="_Toc297216186"/>
      <w:r>
        <w:rPr>
          <w:highlight w:val="none"/>
        </w:rPr>
      </w:r>
      <w:bookmarkStart w:id="274" w:name="_Toc297048353"/>
      <w:r>
        <w:rPr>
          <w:highlight w:val="none"/>
        </w:rPr>
      </w:r>
      <w:bookmarkStart w:id="275" w:name="_Toc312678019"/>
      <w:r>
        <w:rPr>
          <w:highlight w:val="none"/>
        </w:rPr>
      </w:r>
      <w:bookmarkStart w:id="276" w:name="_Toc296944506"/>
      <w:r>
        <w:rPr>
          <w:highlight w:val="none"/>
        </w:rPr>
      </w:r>
      <w:bookmarkStart w:id="277" w:name="_Toc292559372"/>
      <w:r>
        <w:rPr>
          <w:highlight w:val="none"/>
        </w:rPr>
      </w:r>
      <w:bookmarkStart w:id="278" w:name="_Toc303539136"/>
      <w:r>
        <w:rPr>
          <w:highlight w:val="none"/>
        </w:rPr>
      </w:r>
      <w:bookmarkStart w:id="279" w:name="_Toc296891207"/>
      <w:r>
        <w:rPr>
          <w:highlight w:val="none"/>
        </w:rPr>
      </w:r>
      <w:bookmarkStart w:id="280" w:name="_Toc297120467"/>
      <w:r>
        <w:rPr>
          <w:highlight w:val="none"/>
        </w:rPr>
      </w:r>
      <w:bookmarkStart w:id="281" w:name="_Toc280868656"/>
      <w:r>
        <w:rPr>
          <w:highlight w:val="none"/>
        </w:rPr>
      </w:r>
      <w:bookmarkStart w:id="282" w:name="_Toc267251424"/>
      <w:r>
        <w:rPr>
          <w:highlight w:val="none"/>
        </w:rPr>
      </w:r>
      <w:bookmarkStart w:id="283" w:name="_Toc280868655"/>
      <w:r>
        <w:rPr>
          <w:highlight w:val="none"/>
        </w:rPr>
      </w:r>
      <w:bookmarkEnd w:id="199"/>
      <w:r>
        <w:rPr>
          <w:highlight w:val="none"/>
        </w:rPr>
      </w:r>
      <w:bookmarkEnd w:id="200"/>
      <w:r>
        <w:rPr>
          <w:highlight w:val="none"/>
        </w:rPr>
      </w:r>
      <w:bookmarkEnd w:id="201"/>
      <w:r>
        <w:rPr>
          <w:highlight w:val="none"/>
        </w:rPr>
      </w:r>
      <w:bookmarkEnd w:id="202"/>
      <w:r>
        <w:rPr>
          <w:highlight w:val="none"/>
        </w:rPr>
      </w:r>
      <w:bookmarkEnd w:id="203"/>
      <w:r>
        <w:rPr>
          <w:highlight w:val="none"/>
        </w:rPr>
      </w:r>
      <w:bookmarkEnd w:id="204"/>
      <w:r>
        <w:rPr>
          <w:highlight w:val="none"/>
        </w:rPr>
      </w:r>
      <w:bookmarkEnd w:id="205"/>
      <w:r>
        <w:rPr>
          <w:highlight w:val="none"/>
        </w:rPr>
      </w:r>
      <w:bookmarkEnd w:id="206"/>
      <w:r>
        <w:rPr>
          <w:highlight w:val="none"/>
        </w:rPr>
      </w:r>
      <w:bookmarkEnd w:id="207"/>
      <w:r>
        <w:rPr>
          <w:highlight w:val="none"/>
        </w:rPr>
      </w:r>
      <w:bookmarkEnd w:id="208"/>
      <w:r>
        <w:rPr>
          <w:rFonts w:hint="eastAsia" w:ascii="宋体" w:hAnsi="宋体" w:cs="宋体"/>
          <w:szCs w:val="21"/>
          <w:highlight w:val="none"/>
        </w:rPr>
        <w:t xml:space="preserve">7.1 材料与工程设备的保管与使用</w:t>
      </w:r>
      <w:r>
        <w:rPr>
          <w:highlight w:val="none"/>
        </w:rPr>
      </w:r>
      <w:r/>
    </w:p>
    <w:p>
      <w:pPr>
        <w:ind w:firstLine="420"/>
        <w:spacing w:line="360" w:lineRule="auto"/>
        <w:rPr>
          <w:rFonts w:ascii="宋体" w:hAnsi="宋体" w:cs="宋体"/>
          <w:szCs w:val="21"/>
          <w:highlight w:val="none"/>
        </w:rPr>
      </w:pPr>
      <w:r>
        <w:rPr>
          <w:highlight w:val="none"/>
        </w:rPr>
      </w:r>
      <w:bookmarkStart w:id="284" w:name="_Toc292559878"/>
      <w:r>
        <w:rPr>
          <w:highlight w:val="none"/>
        </w:rPr>
      </w:r>
      <w:bookmarkStart w:id="285" w:name="_Toc292559373"/>
      <w:r>
        <w:rPr>
          <w:highlight w:val="none"/>
        </w:rPr>
      </w:r>
      <w:bookmarkStart w:id="286" w:name="_Toc312678020"/>
      <w:r>
        <w:rPr>
          <w:highlight w:val="none"/>
        </w:rPr>
      </w:r>
      <w:bookmarkStart w:id="287" w:name="_Toc297123528"/>
      <w:r>
        <w:rPr>
          <w:highlight w:val="none"/>
        </w:rPr>
      </w:r>
      <w:bookmarkStart w:id="288" w:name="_Toc318581173"/>
      <w:r>
        <w:rPr>
          <w:highlight w:val="none"/>
        </w:rPr>
      </w:r>
      <w:bookmarkStart w:id="289" w:name="_Toc297216187"/>
      <w:r>
        <w:rPr>
          <w:highlight w:val="none"/>
        </w:rPr>
      </w:r>
      <w:bookmarkStart w:id="290" w:name="_Toc296944507"/>
      <w:r>
        <w:rPr>
          <w:highlight w:val="none"/>
        </w:rPr>
      </w:r>
      <w:bookmarkStart w:id="291" w:name="_Toc297048354"/>
      <w:r>
        <w:rPr>
          <w:highlight w:val="none"/>
        </w:rPr>
      </w:r>
      <w:bookmarkStart w:id="292" w:name="_Toc296503168"/>
      <w:r>
        <w:rPr>
          <w:highlight w:val="none"/>
        </w:rPr>
      </w:r>
      <w:bookmarkStart w:id="293" w:name="_Toc304295557"/>
      <w:r>
        <w:rPr>
          <w:highlight w:val="none"/>
        </w:rPr>
      </w:r>
      <w:bookmarkStart w:id="294" w:name="_Toc300934980"/>
      <w:r>
        <w:rPr>
          <w:highlight w:val="none"/>
        </w:rPr>
      </w:r>
      <w:bookmarkStart w:id="295" w:name="_Toc303539137"/>
      <w:r>
        <w:rPr>
          <w:highlight w:val="none"/>
        </w:rPr>
      </w:r>
      <w:bookmarkStart w:id="296" w:name="_Toc312677494"/>
      <w:r>
        <w:rPr>
          <w:highlight w:val="none"/>
        </w:rPr>
      </w:r>
      <w:bookmarkStart w:id="297" w:name="_Toc296890996"/>
      <w:r>
        <w:rPr>
          <w:highlight w:val="none"/>
        </w:rPr>
      </w:r>
      <w:bookmarkStart w:id="298" w:name="_Toc296891208"/>
      <w:r>
        <w:rPr>
          <w:highlight w:val="none"/>
        </w:rPr>
      </w:r>
      <w:bookmarkStart w:id="299" w:name="_Toc297120468"/>
      <w:r>
        <w:rPr>
          <w:highlight w:val="none"/>
        </w:rPr>
      </w:r>
      <w:bookmarkStart w:id="300" w:name="_Toc296346669"/>
      <w:r>
        <w:rPr>
          <w:highlight w:val="none"/>
        </w:rPr>
      </w:r>
      <w:bookmarkStart w:id="301" w:name="_Toc296347167"/>
      <w:r>
        <w:rPr>
          <w:highlight w:val="none"/>
        </w:rPr>
      </w:r>
      <w:bookmarkEnd w:id="263"/>
      <w:r>
        <w:rPr>
          <w:highlight w:val="none"/>
        </w:rPr>
      </w:r>
      <w:bookmarkEnd w:id="264"/>
      <w:r>
        <w:rPr>
          <w:highlight w:val="none"/>
        </w:rPr>
      </w:r>
      <w:bookmarkEnd w:id="265"/>
      <w:r>
        <w:rPr>
          <w:highlight w:val="none"/>
        </w:rPr>
      </w:r>
      <w:bookmarkEnd w:id="266"/>
      <w:r>
        <w:rPr>
          <w:highlight w:val="none"/>
        </w:rPr>
      </w:r>
      <w:bookmarkEnd w:id="267"/>
      <w:r>
        <w:rPr>
          <w:highlight w:val="none"/>
        </w:rPr>
      </w:r>
      <w:bookmarkEnd w:id="268"/>
      <w:r>
        <w:rPr>
          <w:highlight w:val="none"/>
        </w:rPr>
      </w:r>
      <w:bookmarkEnd w:id="269"/>
      <w:r>
        <w:rPr>
          <w:highlight w:val="none"/>
        </w:rPr>
      </w:r>
      <w:bookmarkEnd w:id="270"/>
      <w:r>
        <w:rPr>
          <w:highlight w:val="none"/>
        </w:rPr>
      </w:r>
      <w:bookmarkEnd w:id="271"/>
      <w:r>
        <w:rPr>
          <w:highlight w:val="none"/>
        </w:rPr>
      </w:r>
      <w:bookmarkEnd w:id="272"/>
      <w:r>
        <w:rPr>
          <w:highlight w:val="none"/>
        </w:rPr>
      </w:r>
      <w:bookmarkEnd w:id="273"/>
      <w:r>
        <w:rPr>
          <w:highlight w:val="none"/>
        </w:rPr>
      </w:r>
      <w:bookmarkEnd w:id="274"/>
      <w:r>
        <w:rPr>
          <w:highlight w:val="none"/>
        </w:rPr>
      </w:r>
      <w:bookmarkEnd w:id="275"/>
      <w:r>
        <w:rPr>
          <w:highlight w:val="none"/>
        </w:rPr>
      </w:r>
      <w:bookmarkEnd w:id="276"/>
      <w:r>
        <w:rPr>
          <w:highlight w:val="none"/>
        </w:rPr>
      </w:r>
      <w:bookmarkEnd w:id="277"/>
      <w:r>
        <w:rPr>
          <w:highlight w:val="none"/>
        </w:rPr>
      </w:r>
      <w:bookmarkEnd w:id="278"/>
      <w:r>
        <w:rPr>
          <w:highlight w:val="none"/>
        </w:rPr>
      </w:r>
      <w:bookmarkEnd w:id="279"/>
      <w:r>
        <w:rPr>
          <w:highlight w:val="none"/>
        </w:rPr>
      </w:r>
      <w:bookmarkEnd w:id="280"/>
      <w:r>
        <w:rPr>
          <w:rFonts w:hint="eastAsia" w:ascii="宋体" w:hAnsi="宋体" w:cs="宋体"/>
          <w:szCs w:val="21"/>
          <w:highlight w:val="none"/>
        </w:rPr>
        <w:t xml:space="preserve">7.1.1发包人供应的材料设备的保管费用的承担：</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bookmarkEnd w:id="284"/>
      <w:r>
        <w:rPr>
          <w:highlight w:val="none"/>
        </w:rPr>
      </w:r>
      <w:bookmarkEnd w:id="285"/>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7.2 样品</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7.2.1  样品的报送与封存</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需要承包人报送样品的材料或工程设备，样品的种类、名称、规格、数量要求：</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302" w:name="_Toc351203641"/>
      <w:r>
        <w:rPr>
          <w:highlight w:val="none"/>
        </w:rPr>
      </w:r>
      <w:bookmarkStart w:id="303" w:name="_Toc312678021"/>
      <w:r>
        <w:rPr>
          <w:highlight w:val="none"/>
        </w:rPr>
      </w:r>
      <w:bookmarkStart w:id="304" w:name="_Toc304295559"/>
      <w:r>
        <w:rPr>
          <w:highlight w:val="none"/>
        </w:rPr>
      </w:r>
      <w:bookmarkStart w:id="305" w:name="_Toc300934982"/>
      <w:r>
        <w:rPr>
          <w:highlight w:val="none"/>
        </w:rPr>
      </w:r>
      <w:bookmarkStart w:id="306" w:name="_Toc297123533"/>
      <w:r>
        <w:rPr>
          <w:highlight w:val="none"/>
        </w:rPr>
      </w:r>
      <w:bookmarkStart w:id="307" w:name="_Toc297216192"/>
      <w:r>
        <w:rPr>
          <w:highlight w:val="none"/>
        </w:rPr>
      </w:r>
      <w:bookmarkStart w:id="308" w:name="_Toc312677495"/>
      <w:r>
        <w:rPr>
          <w:highlight w:val="none"/>
        </w:rPr>
      </w:r>
      <w:bookmarkStart w:id="309" w:name="_Toc303539139"/>
      <w:r>
        <w:rPr>
          <w:highlight w:val="none"/>
        </w:rPr>
      </w:r>
      <w:bookmarkStart w:id="310" w:name="_Toc292559883"/>
      <w:r>
        <w:rPr>
          <w:highlight w:val="none"/>
        </w:rPr>
      </w:r>
      <w:bookmarkStart w:id="311" w:name="_Toc297048359"/>
      <w:r>
        <w:rPr>
          <w:highlight w:val="none"/>
        </w:rPr>
      </w:r>
      <w:bookmarkStart w:id="312" w:name="_Toc296944512"/>
      <w:r>
        <w:rPr>
          <w:highlight w:val="none"/>
        </w:rPr>
      </w:r>
      <w:bookmarkStart w:id="313" w:name="_Toc296891001"/>
      <w:r>
        <w:rPr>
          <w:highlight w:val="none"/>
        </w:rPr>
      </w:r>
      <w:bookmarkStart w:id="314" w:name="_Toc296891213"/>
      <w:r>
        <w:rPr>
          <w:highlight w:val="none"/>
        </w:rPr>
      </w:r>
      <w:bookmarkStart w:id="315" w:name="_Toc267251428"/>
      <w:r>
        <w:rPr>
          <w:highlight w:val="none"/>
        </w:rPr>
      </w:r>
      <w:bookmarkStart w:id="316" w:name="_Toc267251427"/>
      <w:r>
        <w:rPr>
          <w:highlight w:val="none"/>
        </w:rPr>
      </w:r>
      <w:bookmarkStart w:id="317" w:name="_Toc296347172"/>
      <w:r>
        <w:rPr>
          <w:highlight w:val="none"/>
        </w:rPr>
      </w:r>
      <w:bookmarkStart w:id="318" w:name="_Toc296346674"/>
      <w:r>
        <w:rPr>
          <w:highlight w:val="none"/>
        </w:rPr>
      </w:r>
      <w:bookmarkStart w:id="319" w:name="_Toc297120473"/>
      <w:r>
        <w:rPr>
          <w:highlight w:val="none"/>
        </w:rPr>
      </w:r>
      <w:bookmarkStart w:id="320" w:name="_Toc296503173"/>
      <w:r>
        <w:rPr>
          <w:highlight w:val="none"/>
        </w:rPr>
      </w:r>
      <w:bookmarkStart w:id="321" w:name="_Toc292559378"/>
      <w:r>
        <w:rPr>
          <w:highlight w:val="none"/>
        </w:rPr>
      </w:r>
      <w:bookmarkEnd w:id="281"/>
      <w:r>
        <w:rPr>
          <w:highlight w:val="none"/>
        </w:rPr>
      </w:r>
      <w:bookmarkEnd w:id="282"/>
      <w:r>
        <w:rPr>
          <w:highlight w:val="none"/>
        </w:rPr>
      </w:r>
      <w:bookmarkEnd w:id="283"/>
      <w:r>
        <w:rPr>
          <w:highlight w:val="none"/>
        </w:rPr>
      </w:r>
      <w:bookmarkEnd w:id="286"/>
      <w:r>
        <w:rPr>
          <w:highlight w:val="none"/>
        </w:rPr>
      </w:r>
      <w:bookmarkEnd w:id="287"/>
      <w:r>
        <w:rPr>
          <w:highlight w:val="none"/>
        </w:rPr>
      </w:r>
      <w:bookmarkEnd w:id="288"/>
      <w:r>
        <w:rPr>
          <w:highlight w:val="none"/>
        </w:rPr>
      </w:r>
      <w:bookmarkEnd w:id="289"/>
      <w:r>
        <w:rPr>
          <w:highlight w:val="none"/>
        </w:rPr>
      </w:r>
      <w:bookmarkEnd w:id="290"/>
      <w:r>
        <w:rPr>
          <w:highlight w:val="none"/>
        </w:rPr>
      </w:r>
      <w:bookmarkEnd w:id="291"/>
      <w:r>
        <w:rPr>
          <w:highlight w:val="none"/>
        </w:rPr>
      </w:r>
      <w:bookmarkEnd w:id="292"/>
      <w:r>
        <w:rPr>
          <w:highlight w:val="none"/>
        </w:rPr>
      </w:r>
      <w:bookmarkEnd w:id="293"/>
      <w:r>
        <w:rPr>
          <w:highlight w:val="none"/>
        </w:rPr>
      </w:r>
      <w:bookmarkEnd w:id="294"/>
      <w:r>
        <w:rPr>
          <w:highlight w:val="none"/>
        </w:rPr>
      </w:r>
      <w:bookmarkEnd w:id="295"/>
      <w:r>
        <w:rPr>
          <w:highlight w:val="none"/>
        </w:rPr>
      </w:r>
      <w:bookmarkEnd w:id="296"/>
      <w:r>
        <w:rPr>
          <w:highlight w:val="none"/>
        </w:rPr>
      </w:r>
      <w:bookmarkEnd w:id="297"/>
      <w:r>
        <w:rPr>
          <w:highlight w:val="none"/>
        </w:rPr>
      </w:r>
      <w:bookmarkEnd w:id="298"/>
      <w:r>
        <w:rPr>
          <w:highlight w:val="none"/>
        </w:rPr>
      </w:r>
      <w:bookmarkEnd w:id="299"/>
      <w:r>
        <w:rPr>
          <w:highlight w:val="none"/>
        </w:rPr>
      </w:r>
      <w:bookmarkEnd w:id="300"/>
      <w:r>
        <w:rPr>
          <w:highlight w:val="none"/>
        </w:rPr>
      </w:r>
      <w:bookmarkEnd w:id="301"/>
      <w:r>
        <w:rPr>
          <w:rFonts w:hint="eastAsia" w:ascii="宋体" w:hAnsi="宋体" w:cs="宋体"/>
          <w:szCs w:val="21"/>
          <w:highlight w:val="none"/>
        </w:rPr>
        <w:t xml:space="preserve">8. 试验与检验</w:t>
      </w:r>
      <w:bookmarkEnd w:id="302"/>
      <w:r>
        <w:rPr>
          <w:highlight w:val="none"/>
        </w:rPr>
      </w:r>
      <w:r/>
    </w:p>
    <w:p>
      <w:pPr>
        <w:ind w:firstLine="420"/>
        <w:spacing w:line="360" w:lineRule="auto"/>
        <w:rPr>
          <w:rFonts w:ascii="宋体" w:hAnsi="宋体" w:cs="宋体"/>
          <w:szCs w:val="21"/>
          <w:highlight w:val="none"/>
        </w:rPr>
      </w:pPr>
      <w:r>
        <w:rPr>
          <w:highlight w:val="none"/>
        </w:rPr>
      </w:r>
      <w:bookmarkStart w:id="322" w:name="_Toc312678022"/>
      <w:r>
        <w:rPr>
          <w:highlight w:val="none"/>
        </w:rPr>
      </w:r>
      <w:bookmarkStart w:id="323" w:name="_Toc303539140"/>
      <w:r>
        <w:rPr>
          <w:highlight w:val="none"/>
        </w:rPr>
      </w:r>
      <w:bookmarkStart w:id="324" w:name="_Toc297216193"/>
      <w:r>
        <w:rPr>
          <w:highlight w:val="none"/>
        </w:rPr>
      </w:r>
      <w:bookmarkStart w:id="325" w:name="_Toc300934983"/>
      <w:r>
        <w:rPr>
          <w:highlight w:val="none"/>
        </w:rPr>
      </w:r>
      <w:bookmarkStart w:id="326" w:name="_Toc304295560"/>
      <w:r>
        <w:rPr>
          <w:highlight w:val="none"/>
        </w:rPr>
      </w:r>
      <w:bookmarkStart w:id="327" w:name="_Toc297123534"/>
      <w:r>
        <w:rPr>
          <w:highlight w:val="none"/>
        </w:rPr>
      </w:r>
      <w:bookmarkStart w:id="328" w:name="_Toc312677496"/>
      <w:r>
        <w:rPr>
          <w:highlight w:val="none"/>
        </w:rPr>
      </w:r>
      <w:bookmarkEnd w:id="303"/>
      <w:r>
        <w:rPr>
          <w:highlight w:val="none"/>
        </w:rPr>
      </w:r>
      <w:bookmarkEnd w:id="304"/>
      <w:r>
        <w:rPr>
          <w:highlight w:val="none"/>
        </w:rPr>
      </w:r>
      <w:bookmarkEnd w:id="305"/>
      <w:r>
        <w:rPr>
          <w:highlight w:val="none"/>
        </w:rPr>
      </w:r>
      <w:bookmarkEnd w:id="306"/>
      <w:r>
        <w:rPr>
          <w:highlight w:val="none"/>
        </w:rPr>
      </w:r>
      <w:bookmarkEnd w:id="307"/>
      <w:r>
        <w:rPr>
          <w:highlight w:val="none"/>
        </w:rPr>
      </w:r>
      <w:bookmarkEnd w:id="308"/>
      <w:r>
        <w:rPr>
          <w:highlight w:val="none"/>
        </w:rPr>
      </w:r>
      <w:bookmarkEnd w:id="309"/>
      <w:r>
        <w:rPr>
          <w:rFonts w:hint="eastAsia" w:ascii="宋体" w:hAnsi="宋体" w:cs="宋体"/>
          <w:szCs w:val="21"/>
          <w:highlight w:val="none"/>
        </w:rPr>
        <w:t xml:space="preserve">8.1试验设备与试验人员</w:t>
      </w:r>
      <w:r>
        <w:rPr>
          <w:highlight w:val="none"/>
        </w:rPr>
      </w:r>
      <w:r/>
    </w:p>
    <w:p>
      <w:pPr>
        <w:ind w:firstLine="420"/>
        <w:spacing w:line="360" w:lineRule="auto"/>
        <w:rPr>
          <w:rFonts w:ascii="宋体" w:hAnsi="宋体" w:cs="宋体"/>
          <w:szCs w:val="21"/>
          <w:highlight w:val="none"/>
        </w:rPr>
      </w:pPr>
      <w:r>
        <w:rPr>
          <w:highlight w:val="none"/>
        </w:rPr>
      </w:r>
      <w:bookmarkStart w:id="329" w:name="_Toc304295561"/>
      <w:r>
        <w:rPr>
          <w:highlight w:val="none"/>
        </w:rPr>
      </w:r>
      <w:bookmarkStart w:id="330" w:name="_Toc300934984"/>
      <w:r>
        <w:rPr>
          <w:highlight w:val="none"/>
        </w:rPr>
      </w:r>
      <w:bookmarkStart w:id="331" w:name="_Toc303539141"/>
      <w:r>
        <w:rPr>
          <w:highlight w:val="none"/>
        </w:rPr>
      </w:r>
      <w:bookmarkStart w:id="332" w:name="_Toc312677497"/>
      <w:r>
        <w:rPr>
          <w:highlight w:val="none"/>
        </w:rPr>
      </w:r>
      <w:bookmarkStart w:id="333" w:name="_Toc297216194"/>
      <w:r>
        <w:rPr>
          <w:highlight w:val="none"/>
        </w:rPr>
      </w:r>
      <w:bookmarkStart w:id="334" w:name="_Toc297123535"/>
      <w:r>
        <w:rPr>
          <w:highlight w:val="none"/>
        </w:rPr>
      </w:r>
      <w:bookmarkStart w:id="335" w:name="_Toc312678023"/>
      <w:r>
        <w:rPr>
          <w:highlight w:val="none"/>
        </w:rPr>
      </w:r>
      <w:bookmarkStart w:id="336" w:name="_Toc318581174"/>
      <w:r>
        <w:rPr>
          <w:highlight w:val="none"/>
        </w:rPr>
      </w:r>
      <w:bookmarkEnd w:id="322"/>
      <w:r>
        <w:rPr>
          <w:highlight w:val="none"/>
        </w:rPr>
      </w:r>
      <w:bookmarkEnd w:id="323"/>
      <w:r>
        <w:rPr>
          <w:highlight w:val="none"/>
        </w:rPr>
      </w:r>
      <w:bookmarkEnd w:id="324"/>
      <w:r>
        <w:rPr>
          <w:highlight w:val="none"/>
        </w:rPr>
      </w:r>
      <w:bookmarkEnd w:id="325"/>
      <w:r>
        <w:rPr>
          <w:highlight w:val="none"/>
        </w:rPr>
      </w:r>
      <w:bookmarkEnd w:id="326"/>
      <w:r>
        <w:rPr>
          <w:highlight w:val="none"/>
        </w:rPr>
      </w:r>
      <w:bookmarkEnd w:id="327"/>
      <w:r>
        <w:rPr>
          <w:highlight w:val="none"/>
        </w:rPr>
      </w:r>
      <w:bookmarkEnd w:id="328"/>
      <w:r>
        <w:rPr>
          <w:rFonts w:hint="eastAsia" w:ascii="宋体" w:hAnsi="宋体" w:cs="宋体"/>
          <w:szCs w:val="21"/>
          <w:highlight w:val="none"/>
        </w:rPr>
        <w:t xml:space="preserve">8.1.1 试验设备</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施工现场需要配置的试验场所：</w:t>
      </w:r>
      <w:bookmarkStart w:id="337" w:name="_Toc303539142"/>
      <w:r>
        <w:rPr>
          <w:highlight w:val="none"/>
        </w:rPr>
      </w:r>
      <w:bookmarkStart w:id="338" w:name="_Toc312677498"/>
      <w:r>
        <w:rPr>
          <w:highlight w:val="none"/>
        </w:rPr>
      </w:r>
      <w:bookmarkStart w:id="339" w:name="_Toc312678024"/>
      <w:r>
        <w:rPr>
          <w:highlight w:val="none"/>
        </w:rPr>
      </w:r>
      <w:bookmarkStart w:id="340" w:name="_Toc300934985"/>
      <w:r>
        <w:rPr>
          <w:highlight w:val="none"/>
        </w:rPr>
      </w:r>
      <w:bookmarkStart w:id="341" w:name="_Toc304295562"/>
      <w:r>
        <w:rPr>
          <w:highlight w:val="none"/>
        </w:rPr>
      </w:r>
      <w:bookmarkStart w:id="342" w:name="_Toc297123536"/>
      <w:r>
        <w:rPr>
          <w:highlight w:val="none"/>
        </w:rPr>
      </w:r>
      <w:bookmarkStart w:id="343" w:name="_Toc297216195"/>
      <w:r>
        <w:rPr>
          <w:highlight w:val="none"/>
        </w:rPr>
      </w:r>
      <w:bookmarkEnd w:id="329"/>
      <w:r>
        <w:rPr>
          <w:highlight w:val="none"/>
        </w:rPr>
      </w:r>
      <w:bookmarkEnd w:id="330"/>
      <w:r>
        <w:rPr>
          <w:highlight w:val="none"/>
        </w:rPr>
      </w:r>
      <w:bookmarkEnd w:id="331"/>
      <w:r>
        <w:rPr>
          <w:highlight w:val="none"/>
        </w:rPr>
      </w:r>
      <w:bookmarkEnd w:id="332"/>
      <w:r>
        <w:rPr>
          <w:highlight w:val="none"/>
        </w:rPr>
      </w:r>
      <w:bookmarkEnd w:id="333"/>
      <w:r>
        <w:rPr>
          <w:highlight w:val="none"/>
        </w:rPr>
      </w:r>
      <w:bookmarkEnd w:id="334"/>
      <w:r>
        <w:rPr>
          <w:highlight w:val="none"/>
        </w:rPr>
      </w:r>
      <w:bookmarkEnd w:id="335"/>
      <w:r>
        <w:rPr>
          <w:rFonts w:hint="eastAsia" w:ascii="宋体" w:hAnsi="宋体" w:cs="宋体"/>
          <w:szCs w:val="21"/>
          <w:highlight w:val="none"/>
          <w:u w:val="single"/>
        </w:rPr>
        <w:t xml:space="preserve">   无   </w:t>
      </w:r>
      <w:r>
        <w:rPr>
          <w:rFonts w:hint="eastAsia" w:ascii="宋体" w:hAnsi="宋体" w:cs="宋体"/>
          <w:szCs w:val="21"/>
          <w:highlight w:val="none"/>
        </w:rPr>
        <w:t xml:space="preserve">。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施工现场需要配备的试验设备：</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施工现场需要具备的其他试验条件：</w:t>
      </w:r>
      <w:r>
        <w:rPr>
          <w:rFonts w:hint="eastAsia" w:ascii="宋体" w:hAnsi="宋体" w:cs="宋体"/>
          <w:szCs w:val="21"/>
          <w:highlight w:val="none"/>
          <w:u w:val="single"/>
        </w:rPr>
        <w:t xml:space="preserve">  暂无，其他按通用条款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8.2 现场工艺试验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现场工艺试验的有关约定：</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344" w:name="_Toc296347192"/>
      <w:r>
        <w:rPr>
          <w:highlight w:val="none"/>
        </w:rPr>
      </w:r>
      <w:bookmarkStart w:id="345" w:name="_Toc296891021"/>
      <w:r>
        <w:rPr>
          <w:highlight w:val="none"/>
        </w:rPr>
      </w:r>
      <w:bookmarkStart w:id="346" w:name="_Toc296891233"/>
      <w:r>
        <w:rPr>
          <w:highlight w:val="none"/>
        </w:rPr>
      </w:r>
      <w:bookmarkStart w:id="347" w:name="_Toc297123540"/>
      <w:r>
        <w:rPr>
          <w:highlight w:val="none"/>
        </w:rPr>
      </w:r>
      <w:bookmarkStart w:id="348" w:name="_Toc351203642"/>
      <w:r>
        <w:rPr>
          <w:highlight w:val="none"/>
        </w:rPr>
      </w:r>
      <w:bookmarkStart w:id="349" w:name="_Toc297120493"/>
      <w:r>
        <w:rPr>
          <w:highlight w:val="none"/>
        </w:rPr>
      </w:r>
      <w:bookmarkStart w:id="350" w:name="_Toc292559903"/>
      <w:r>
        <w:rPr>
          <w:highlight w:val="none"/>
        </w:rPr>
      </w:r>
      <w:bookmarkStart w:id="351" w:name="_Toc292559398"/>
      <w:r>
        <w:rPr>
          <w:highlight w:val="none"/>
        </w:rPr>
      </w:r>
      <w:bookmarkStart w:id="352" w:name="_Toc297048379"/>
      <w:r>
        <w:rPr>
          <w:highlight w:val="none"/>
        </w:rPr>
      </w:r>
      <w:bookmarkStart w:id="353" w:name="_Toc297216199"/>
      <w:r>
        <w:rPr>
          <w:highlight w:val="none"/>
        </w:rPr>
      </w:r>
      <w:bookmarkStart w:id="354" w:name="_Toc304295566"/>
      <w:r>
        <w:rPr>
          <w:highlight w:val="none"/>
        </w:rPr>
      </w:r>
      <w:bookmarkStart w:id="355" w:name="_Toc296346694"/>
      <w:r>
        <w:rPr>
          <w:highlight w:val="none"/>
        </w:rPr>
      </w:r>
      <w:bookmarkStart w:id="356" w:name="_Toc296503193"/>
      <w:r>
        <w:rPr>
          <w:highlight w:val="none"/>
        </w:rPr>
      </w:r>
      <w:bookmarkStart w:id="357" w:name="_Toc296944532"/>
      <w:r>
        <w:rPr>
          <w:highlight w:val="none"/>
        </w:rPr>
      </w:r>
      <w:bookmarkStart w:id="358" w:name="_Toc303539146"/>
      <w:r>
        <w:rPr>
          <w:highlight w:val="none"/>
        </w:rPr>
      </w:r>
      <w:bookmarkStart w:id="359" w:name="_Toc300934989"/>
      <w:r>
        <w:rPr>
          <w:highlight w:val="none"/>
        </w:rPr>
      </w:r>
      <w:bookmarkStart w:id="360" w:name="_Toc312677499"/>
      <w:r>
        <w:rPr>
          <w:highlight w:val="none"/>
        </w:rPr>
      </w:r>
      <w:bookmarkStart w:id="361" w:name="_Toc312678025"/>
      <w:r>
        <w:rPr>
          <w:highlight w:val="none"/>
        </w:rPr>
      </w:r>
      <w:bookmarkStart w:id="362" w:name="_Toc267251439"/>
      <w:r>
        <w:rPr>
          <w:highlight w:val="none"/>
        </w:rPr>
      </w:r>
      <w:bookmarkStart w:id="363" w:name="_Toc267251437"/>
      <w:r>
        <w:rPr>
          <w:highlight w:val="none"/>
        </w:rPr>
      </w:r>
      <w:bookmarkStart w:id="364" w:name="_Toc267251441"/>
      <w:r>
        <w:rPr>
          <w:highlight w:val="none"/>
        </w:rPr>
      </w:r>
      <w:bookmarkStart w:id="365" w:name="_Toc267251435"/>
      <w:r>
        <w:rPr>
          <w:highlight w:val="none"/>
        </w:rPr>
      </w:r>
      <w:bookmarkStart w:id="366" w:name="_Toc267251440"/>
      <w:r>
        <w:rPr>
          <w:highlight w:val="none"/>
        </w:rPr>
      </w:r>
      <w:bookmarkStart w:id="367" w:name="_Toc267251433"/>
      <w:r>
        <w:rPr>
          <w:highlight w:val="none"/>
        </w:rPr>
      </w:r>
      <w:bookmarkStart w:id="368" w:name="_Toc267251442"/>
      <w:r>
        <w:rPr>
          <w:highlight w:val="none"/>
        </w:rPr>
      </w:r>
      <w:bookmarkEnd w:id="310"/>
      <w:r>
        <w:rPr>
          <w:highlight w:val="none"/>
        </w:rPr>
      </w:r>
      <w:bookmarkEnd w:id="311"/>
      <w:r>
        <w:rPr>
          <w:highlight w:val="none"/>
        </w:rPr>
      </w:r>
      <w:bookmarkEnd w:id="312"/>
      <w:r>
        <w:rPr>
          <w:highlight w:val="none"/>
        </w:rPr>
      </w:r>
      <w:bookmarkEnd w:id="313"/>
      <w:r>
        <w:rPr>
          <w:highlight w:val="none"/>
        </w:rPr>
      </w:r>
      <w:bookmarkEnd w:id="314"/>
      <w:r>
        <w:rPr>
          <w:highlight w:val="none"/>
        </w:rPr>
      </w:r>
      <w:bookmarkEnd w:id="315"/>
      <w:r>
        <w:rPr>
          <w:highlight w:val="none"/>
        </w:rPr>
      </w:r>
      <w:bookmarkEnd w:id="316"/>
      <w:r>
        <w:rPr>
          <w:highlight w:val="none"/>
        </w:rPr>
      </w:r>
      <w:bookmarkEnd w:id="317"/>
      <w:r>
        <w:rPr>
          <w:highlight w:val="none"/>
        </w:rPr>
      </w:r>
      <w:bookmarkEnd w:id="318"/>
      <w:r>
        <w:rPr>
          <w:highlight w:val="none"/>
        </w:rPr>
      </w:r>
      <w:bookmarkEnd w:id="319"/>
      <w:r>
        <w:rPr>
          <w:highlight w:val="none"/>
        </w:rPr>
      </w:r>
      <w:bookmarkEnd w:id="320"/>
      <w:r>
        <w:rPr>
          <w:highlight w:val="none"/>
        </w:rPr>
      </w:r>
      <w:bookmarkEnd w:id="321"/>
      <w:r>
        <w:rPr>
          <w:highlight w:val="none"/>
        </w:rPr>
      </w:r>
      <w:bookmarkEnd w:id="336"/>
      <w:r>
        <w:rPr>
          <w:highlight w:val="none"/>
        </w:rPr>
      </w:r>
      <w:bookmarkEnd w:id="337"/>
      <w:r>
        <w:rPr>
          <w:highlight w:val="none"/>
        </w:rPr>
      </w:r>
      <w:bookmarkEnd w:id="338"/>
      <w:r>
        <w:rPr>
          <w:highlight w:val="none"/>
        </w:rPr>
      </w:r>
      <w:bookmarkEnd w:id="339"/>
      <w:r>
        <w:rPr>
          <w:highlight w:val="none"/>
        </w:rPr>
      </w:r>
      <w:bookmarkEnd w:id="340"/>
      <w:r>
        <w:rPr>
          <w:highlight w:val="none"/>
        </w:rPr>
      </w:r>
      <w:bookmarkEnd w:id="341"/>
      <w:r>
        <w:rPr>
          <w:highlight w:val="none"/>
        </w:rPr>
      </w:r>
      <w:bookmarkEnd w:id="342"/>
      <w:r>
        <w:rPr>
          <w:highlight w:val="none"/>
        </w:rPr>
      </w:r>
      <w:bookmarkEnd w:id="343"/>
      <w:r>
        <w:rPr>
          <w:rFonts w:hint="eastAsia" w:ascii="宋体" w:hAnsi="宋体" w:cs="宋体"/>
          <w:szCs w:val="21"/>
          <w:highlight w:val="none"/>
        </w:rPr>
        <w:t xml:space="preserve">9. 变更</w:t>
      </w:r>
      <w:bookmarkEnd w:id="344"/>
      <w:r>
        <w:rPr>
          <w:highlight w:val="none"/>
        </w:rPr>
      </w:r>
      <w:bookmarkEnd w:id="345"/>
      <w:r>
        <w:rPr>
          <w:highlight w:val="none"/>
        </w:rPr>
      </w:r>
      <w:bookmarkEnd w:id="346"/>
      <w:r>
        <w:rPr>
          <w:highlight w:val="none"/>
        </w:rPr>
      </w:r>
      <w:bookmarkEnd w:id="347"/>
      <w:r>
        <w:rPr>
          <w:highlight w:val="none"/>
        </w:rPr>
      </w:r>
      <w:bookmarkEnd w:id="348"/>
      <w:r>
        <w:rPr>
          <w:highlight w:val="none"/>
        </w:rPr>
      </w:r>
      <w:bookmarkEnd w:id="349"/>
      <w:r>
        <w:rPr>
          <w:highlight w:val="none"/>
        </w:rPr>
      </w:r>
      <w:bookmarkEnd w:id="350"/>
      <w:r>
        <w:rPr>
          <w:highlight w:val="none"/>
        </w:rPr>
      </w:r>
      <w:bookmarkEnd w:id="351"/>
      <w:r>
        <w:rPr>
          <w:highlight w:val="none"/>
        </w:rPr>
      </w:r>
      <w:bookmarkEnd w:id="352"/>
      <w:r>
        <w:rPr>
          <w:highlight w:val="none"/>
        </w:rPr>
      </w:r>
      <w:bookmarkEnd w:id="353"/>
      <w:r>
        <w:rPr>
          <w:highlight w:val="none"/>
        </w:rPr>
      </w:r>
      <w:bookmarkEnd w:id="354"/>
      <w:r>
        <w:rPr>
          <w:highlight w:val="none"/>
        </w:rPr>
      </w:r>
      <w:bookmarkEnd w:id="355"/>
      <w:r>
        <w:rPr>
          <w:highlight w:val="none"/>
        </w:rPr>
      </w:r>
      <w:bookmarkEnd w:id="356"/>
      <w:r>
        <w:rPr>
          <w:highlight w:val="none"/>
        </w:rPr>
      </w:r>
      <w:bookmarkEnd w:id="357"/>
      <w:r>
        <w:rPr>
          <w:highlight w:val="none"/>
        </w:rPr>
      </w:r>
      <w:bookmarkEnd w:id="358"/>
      <w:r>
        <w:rPr>
          <w:highlight w:val="none"/>
        </w:rPr>
      </w:r>
      <w:bookmarkEnd w:id="359"/>
      <w:r>
        <w:rPr>
          <w:highlight w:val="none"/>
        </w:rPr>
      </w:r>
      <w:r/>
    </w:p>
    <w:p>
      <w:pPr>
        <w:ind w:firstLine="420"/>
        <w:spacing w:line="360" w:lineRule="auto"/>
        <w:rPr>
          <w:rFonts w:ascii="宋体" w:hAnsi="宋体" w:cs="宋体"/>
          <w:szCs w:val="21"/>
          <w:highlight w:val="none"/>
        </w:rPr>
      </w:pPr>
      <w:r>
        <w:rPr>
          <w:highlight w:val="none"/>
        </w:rPr>
      </w:r>
      <w:bookmarkStart w:id="369" w:name="_Toc296891022"/>
      <w:r>
        <w:rPr>
          <w:highlight w:val="none"/>
        </w:rPr>
      </w:r>
      <w:bookmarkStart w:id="370" w:name="_Toc297048380"/>
      <w:r>
        <w:rPr>
          <w:highlight w:val="none"/>
        </w:rPr>
      </w:r>
      <w:bookmarkStart w:id="371" w:name="_Toc296503194"/>
      <w:r>
        <w:rPr>
          <w:highlight w:val="none"/>
        </w:rPr>
      </w:r>
      <w:bookmarkStart w:id="372" w:name="_Toc296891234"/>
      <w:r>
        <w:rPr>
          <w:highlight w:val="none"/>
        </w:rPr>
      </w:r>
      <w:bookmarkStart w:id="373" w:name="_Toc297123541"/>
      <w:r>
        <w:rPr>
          <w:highlight w:val="none"/>
        </w:rPr>
      </w:r>
      <w:bookmarkStart w:id="374" w:name="_Toc303539147"/>
      <w:r>
        <w:rPr>
          <w:highlight w:val="none"/>
        </w:rPr>
      </w:r>
      <w:bookmarkStart w:id="375" w:name="_Toc304295567"/>
      <w:r>
        <w:rPr>
          <w:highlight w:val="none"/>
        </w:rPr>
      </w:r>
      <w:bookmarkStart w:id="376" w:name="_Toc292559399"/>
      <w:r>
        <w:rPr>
          <w:highlight w:val="none"/>
        </w:rPr>
      </w:r>
      <w:bookmarkStart w:id="377" w:name="_Toc297216200"/>
      <w:r>
        <w:rPr>
          <w:highlight w:val="none"/>
        </w:rPr>
      </w:r>
      <w:bookmarkStart w:id="378" w:name="_Toc296347193"/>
      <w:r>
        <w:rPr>
          <w:highlight w:val="none"/>
        </w:rPr>
      </w:r>
      <w:bookmarkStart w:id="379" w:name="_Toc300934990"/>
      <w:r>
        <w:rPr>
          <w:highlight w:val="none"/>
        </w:rPr>
      </w:r>
      <w:bookmarkStart w:id="380" w:name="_Toc312678026"/>
      <w:r>
        <w:rPr>
          <w:highlight w:val="none"/>
        </w:rPr>
      </w:r>
      <w:bookmarkStart w:id="381" w:name="_Toc296346695"/>
      <w:r>
        <w:rPr>
          <w:highlight w:val="none"/>
        </w:rPr>
      </w:r>
      <w:bookmarkStart w:id="382" w:name="_Toc312677500"/>
      <w:r>
        <w:rPr>
          <w:highlight w:val="none"/>
        </w:rPr>
      </w:r>
      <w:bookmarkStart w:id="383" w:name="_Toc296944533"/>
      <w:r>
        <w:rPr>
          <w:highlight w:val="none"/>
        </w:rPr>
      </w:r>
      <w:bookmarkStart w:id="384" w:name="_Toc297120494"/>
      <w:r>
        <w:rPr>
          <w:highlight w:val="none"/>
        </w:rPr>
      </w:r>
      <w:bookmarkStart w:id="385" w:name="_Toc292559904"/>
      <w:r>
        <w:rPr>
          <w:highlight w:val="none"/>
        </w:rPr>
      </w:r>
      <w:bookmarkEnd w:id="360"/>
      <w:r>
        <w:rPr>
          <w:highlight w:val="none"/>
        </w:rPr>
      </w:r>
      <w:bookmarkEnd w:id="361"/>
      <w:r>
        <w:rPr>
          <w:rFonts w:hint="eastAsia" w:ascii="宋体" w:hAnsi="宋体" w:cs="宋体"/>
          <w:szCs w:val="21"/>
          <w:highlight w:val="none"/>
        </w:rPr>
        <w:t xml:space="preserve">9.1变更的范围</w:t>
      </w:r>
      <w:r>
        <w:rPr>
          <w:highlight w:val="none"/>
        </w:rPr>
      </w:r>
      <w:r/>
    </w:p>
    <w:p>
      <w:pPr>
        <w:ind w:firstLine="420"/>
        <w:keepLines/>
        <w:keepNext/>
        <w:spacing w:line="360" w:lineRule="auto"/>
        <w:rPr>
          <w:rFonts w:ascii="宋体" w:hAnsi="宋体" w:cs="宋体"/>
          <w:szCs w:val="21"/>
          <w:highlight w:val="none"/>
        </w:rPr>
        <w:outlineLvl w:val="3"/>
      </w:pPr>
      <w:r>
        <w:rPr>
          <w:rFonts w:hint="eastAsia" w:ascii="宋体" w:hAnsi="宋体" w:cs="宋体"/>
          <w:szCs w:val="21"/>
          <w:highlight w:val="none"/>
        </w:rPr>
        <w:t xml:space="preserve">关于变更的范围的约定：</w:t>
      </w:r>
      <w:r>
        <w:rPr>
          <w:highlight w:val="none"/>
        </w:rPr>
      </w:r>
      <w:r/>
    </w:p>
    <w:p>
      <w:pPr>
        <w:ind w:firstLine="420"/>
        <w:keepLines/>
        <w:keepNext/>
        <w:spacing w:line="360" w:lineRule="auto"/>
        <w:rPr>
          <w:rFonts w:ascii="宋体" w:hAnsi="宋体" w:cs="宋体"/>
          <w:szCs w:val="21"/>
          <w:highlight w:val="none"/>
          <w:u w:val="single"/>
        </w:rPr>
        <w:outlineLvl w:val="3"/>
      </w:pPr>
      <w:r>
        <w:rPr>
          <w:rFonts w:hint="eastAsia" w:ascii="宋体" w:hAnsi="宋体" w:cs="宋体"/>
          <w:szCs w:val="21"/>
          <w:highlight w:val="none"/>
          <w:u w:val="single"/>
        </w:rPr>
        <w:t xml:space="preserve">（1）经审核，得到发包人、监理、设计单位书面认可的设计变更；</w:t>
      </w:r>
      <w:r>
        <w:rPr>
          <w:highlight w:val="none"/>
        </w:rPr>
      </w:r>
      <w:r/>
    </w:p>
    <w:p>
      <w:pPr>
        <w:ind w:firstLine="420"/>
        <w:keepLines/>
        <w:keepNext/>
        <w:spacing w:line="360" w:lineRule="auto"/>
        <w:rPr>
          <w:rFonts w:ascii="宋体" w:hAnsi="宋体" w:cs="宋体"/>
          <w:szCs w:val="21"/>
          <w:highlight w:val="none"/>
          <w:u w:val="single"/>
        </w:rPr>
        <w:outlineLvl w:val="3"/>
      </w:pPr>
      <w:r>
        <w:rPr>
          <w:rFonts w:hint="eastAsia" w:ascii="宋体" w:hAnsi="宋体" w:cs="宋体"/>
          <w:szCs w:val="21"/>
          <w:highlight w:val="none"/>
          <w:u w:val="single"/>
        </w:rPr>
        <w:t xml:space="preserve">（2）由承包人提出，经过发包人、跟踪审计（如有）和监理、设计单位共同认可的工程签证、工程联系单。</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9.2 变更估价</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9.2.1 变更估价原则</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关于变更估价的约定: </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highlight w:val="none"/>
        </w:rPr>
      </w:r>
      <w:bookmarkStart w:id="386" w:name="_Toc297120497"/>
      <w:r>
        <w:rPr>
          <w:highlight w:val="none"/>
        </w:rPr>
      </w:r>
      <w:bookmarkStart w:id="387" w:name="_Toc297048383"/>
      <w:r>
        <w:rPr>
          <w:highlight w:val="none"/>
        </w:rPr>
      </w:r>
      <w:bookmarkStart w:id="388" w:name="_Toc292559402"/>
      <w:r>
        <w:rPr>
          <w:highlight w:val="none"/>
        </w:rPr>
      </w:r>
      <w:bookmarkStart w:id="389" w:name="_Toc296346698"/>
      <w:r>
        <w:rPr>
          <w:highlight w:val="none"/>
        </w:rPr>
      </w:r>
      <w:bookmarkStart w:id="390" w:name="_Toc296503197"/>
      <w:r>
        <w:rPr>
          <w:highlight w:val="none"/>
        </w:rPr>
      </w:r>
      <w:bookmarkStart w:id="391" w:name="_Toc296891025"/>
      <w:r>
        <w:rPr>
          <w:highlight w:val="none"/>
        </w:rPr>
      </w:r>
      <w:bookmarkStart w:id="392" w:name="_Toc297216203"/>
      <w:r>
        <w:rPr>
          <w:highlight w:val="none"/>
        </w:rPr>
      </w:r>
      <w:bookmarkStart w:id="393" w:name="_Toc303539150"/>
      <w:r>
        <w:rPr>
          <w:highlight w:val="none"/>
        </w:rPr>
      </w:r>
      <w:bookmarkStart w:id="394" w:name="_Toc296891237"/>
      <w:r>
        <w:rPr>
          <w:highlight w:val="none"/>
        </w:rPr>
      </w:r>
      <w:bookmarkStart w:id="395" w:name="_Toc292559907"/>
      <w:r>
        <w:rPr>
          <w:highlight w:val="none"/>
        </w:rPr>
      </w:r>
      <w:bookmarkStart w:id="396" w:name="_Toc297123544"/>
      <w:r>
        <w:rPr>
          <w:highlight w:val="none"/>
        </w:rPr>
      </w:r>
      <w:bookmarkStart w:id="397" w:name="_Toc300934993"/>
      <w:r>
        <w:rPr>
          <w:highlight w:val="none"/>
        </w:rPr>
      </w:r>
      <w:bookmarkStart w:id="398" w:name="_Toc296944536"/>
      <w:r>
        <w:rPr>
          <w:highlight w:val="none"/>
        </w:rPr>
      </w:r>
      <w:bookmarkStart w:id="399" w:name="_Toc296347196"/>
      <w:r>
        <w:rPr>
          <w:highlight w:val="none"/>
        </w:rPr>
      </w:r>
      <w:bookmarkStart w:id="400" w:name="_Toc312677503"/>
      <w:r>
        <w:rPr>
          <w:highlight w:val="none"/>
        </w:rPr>
      </w:r>
      <w:bookmarkStart w:id="401" w:name="_Toc312678029"/>
      <w:r>
        <w:rPr>
          <w:highlight w:val="none"/>
        </w:rPr>
      </w:r>
      <w:bookmarkStart w:id="402" w:name="_Toc304295570"/>
      <w:r>
        <w:rPr>
          <w:highlight w:val="none"/>
        </w:rPr>
      </w:r>
      <w:bookmarkEnd w:id="369"/>
      <w:r>
        <w:rPr>
          <w:highlight w:val="none"/>
        </w:rPr>
      </w:r>
      <w:bookmarkEnd w:id="370"/>
      <w:r>
        <w:rPr>
          <w:highlight w:val="none"/>
        </w:rPr>
      </w:r>
      <w:bookmarkEnd w:id="371"/>
      <w:r>
        <w:rPr>
          <w:highlight w:val="none"/>
        </w:rPr>
      </w:r>
      <w:bookmarkEnd w:id="372"/>
      <w:r>
        <w:rPr>
          <w:highlight w:val="none"/>
        </w:rPr>
      </w:r>
      <w:bookmarkEnd w:id="373"/>
      <w:r>
        <w:rPr>
          <w:highlight w:val="none"/>
        </w:rPr>
      </w:r>
      <w:bookmarkEnd w:id="374"/>
      <w:r>
        <w:rPr>
          <w:highlight w:val="none"/>
        </w:rPr>
      </w:r>
      <w:bookmarkEnd w:id="375"/>
      <w:r>
        <w:rPr>
          <w:highlight w:val="none"/>
        </w:rPr>
      </w:r>
      <w:bookmarkEnd w:id="376"/>
      <w:r>
        <w:rPr>
          <w:highlight w:val="none"/>
        </w:rPr>
      </w:r>
      <w:bookmarkEnd w:id="377"/>
      <w:r>
        <w:rPr>
          <w:highlight w:val="none"/>
        </w:rPr>
      </w:r>
      <w:bookmarkEnd w:id="378"/>
      <w:r>
        <w:rPr>
          <w:highlight w:val="none"/>
        </w:rPr>
      </w:r>
      <w:bookmarkEnd w:id="379"/>
      <w:r>
        <w:rPr>
          <w:highlight w:val="none"/>
        </w:rPr>
      </w:r>
      <w:bookmarkEnd w:id="380"/>
      <w:r>
        <w:rPr>
          <w:highlight w:val="none"/>
        </w:rPr>
      </w:r>
      <w:bookmarkEnd w:id="381"/>
      <w:r>
        <w:rPr>
          <w:highlight w:val="none"/>
        </w:rPr>
      </w:r>
      <w:bookmarkEnd w:id="382"/>
      <w:r>
        <w:rPr>
          <w:highlight w:val="none"/>
        </w:rPr>
      </w:r>
      <w:bookmarkEnd w:id="383"/>
      <w:r>
        <w:rPr>
          <w:highlight w:val="none"/>
        </w:rPr>
      </w:r>
      <w:bookmarkEnd w:id="384"/>
      <w:r>
        <w:rPr>
          <w:highlight w:val="none"/>
        </w:rPr>
      </w:r>
      <w:bookmarkEnd w:id="385"/>
      <w:r>
        <w:rPr>
          <w:rFonts w:hint="eastAsia" w:ascii="宋体" w:hAnsi="宋体" w:cs="宋体"/>
          <w:szCs w:val="21"/>
          <w:highlight w:val="none"/>
        </w:rPr>
        <w:t xml:space="preserve">9.3承</w:t>
      </w:r>
      <w:bookmarkStart w:id="403" w:name="_Toc296503203"/>
      <w:r>
        <w:rPr>
          <w:highlight w:val="none"/>
        </w:rPr>
      </w:r>
      <w:bookmarkStart w:id="404" w:name="_Toc300934994"/>
      <w:r>
        <w:rPr>
          <w:highlight w:val="none"/>
        </w:rPr>
      </w:r>
      <w:bookmarkStart w:id="405" w:name="_Toc297123545"/>
      <w:r>
        <w:rPr>
          <w:highlight w:val="none"/>
        </w:rPr>
      </w:r>
      <w:bookmarkStart w:id="406" w:name="_Toc296891243"/>
      <w:r>
        <w:rPr>
          <w:highlight w:val="none"/>
        </w:rPr>
      </w:r>
      <w:bookmarkStart w:id="407" w:name="_Toc296944542"/>
      <w:r>
        <w:rPr>
          <w:highlight w:val="none"/>
        </w:rPr>
      </w:r>
      <w:bookmarkStart w:id="408" w:name="_Toc292559408"/>
      <w:r>
        <w:rPr>
          <w:highlight w:val="none"/>
        </w:rPr>
      </w:r>
      <w:bookmarkStart w:id="409" w:name="_Toc297048389"/>
      <w:r>
        <w:rPr>
          <w:highlight w:val="none"/>
        </w:rPr>
      </w:r>
      <w:bookmarkStart w:id="410" w:name="_Toc296346704"/>
      <w:r>
        <w:rPr>
          <w:highlight w:val="none"/>
        </w:rPr>
      </w:r>
      <w:bookmarkStart w:id="411" w:name="_Toc296347202"/>
      <w:r>
        <w:rPr>
          <w:highlight w:val="none"/>
        </w:rPr>
      </w:r>
      <w:bookmarkStart w:id="412" w:name="_Toc296891031"/>
      <w:r>
        <w:rPr>
          <w:highlight w:val="none"/>
        </w:rPr>
      </w:r>
      <w:bookmarkStart w:id="413" w:name="_Toc292559913"/>
      <w:r>
        <w:rPr>
          <w:highlight w:val="none"/>
        </w:rPr>
      </w:r>
      <w:bookmarkStart w:id="414" w:name="_Toc297216204"/>
      <w:r>
        <w:rPr>
          <w:highlight w:val="none"/>
        </w:rPr>
      </w:r>
      <w:bookmarkStart w:id="415" w:name="_Toc297120503"/>
      <w:r>
        <w:rPr>
          <w:highlight w:val="none"/>
        </w:rPr>
      </w:r>
      <w:bookmarkStart w:id="416" w:name="_Toc303539151"/>
      <w:r>
        <w:rPr>
          <w:highlight w:val="none"/>
        </w:rPr>
      </w:r>
      <w:bookmarkEnd w:id="386"/>
      <w:r>
        <w:rPr>
          <w:highlight w:val="none"/>
        </w:rPr>
      </w:r>
      <w:bookmarkEnd w:id="387"/>
      <w:r>
        <w:rPr>
          <w:highlight w:val="none"/>
        </w:rPr>
      </w:r>
      <w:bookmarkEnd w:id="388"/>
      <w:r>
        <w:rPr>
          <w:highlight w:val="none"/>
        </w:rPr>
      </w:r>
      <w:bookmarkEnd w:id="389"/>
      <w:r>
        <w:rPr>
          <w:highlight w:val="none"/>
        </w:rPr>
      </w:r>
      <w:bookmarkEnd w:id="390"/>
      <w:r>
        <w:rPr>
          <w:highlight w:val="none"/>
        </w:rPr>
      </w:r>
      <w:bookmarkEnd w:id="391"/>
      <w:r>
        <w:rPr>
          <w:highlight w:val="none"/>
        </w:rPr>
      </w:r>
      <w:bookmarkEnd w:id="392"/>
      <w:r>
        <w:rPr>
          <w:highlight w:val="none"/>
        </w:rPr>
      </w:r>
      <w:bookmarkEnd w:id="393"/>
      <w:r>
        <w:rPr>
          <w:highlight w:val="none"/>
        </w:rPr>
      </w:r>
      <w:bookmarkEnd w:id="394"/>
      <w:r>
        <w:rPr>
          <w:highlight w:val="none"/>
        </w:rPr>
      </w:r>
      <w:bookmarkEnd w:id="395"/>
      <w:r>
        <w:rPr>
          <w:highlight w:val="none"/>
        </w:rPr>
      </w:r>
      <w:bookmarkEnd w:id="396"/>
      <w:r>
        <w:rPr>
          <w:highlight w:val="none"/>
        </w:rPr>
      </w:r>
      <w:bookmarkEnd w:id="397"/>
      <w:r>
        <w:rPr>
          <w:highlight w:val="none"/>
        </w:rPr>
      </w:r>
      <w:bookmarkEnd w:id="398"/>
      <w:r>
        <w:rPr>
          <w:highlight w:val="none"/>
        </w:rPr>
      </w:r>
      <w:bookmarkEnd w:id="399"/>
      <w:r>
        <w:rPr>
          <w:rFonts w:hint="eastAsia" w:ascii="宋体" w:hAnsi="宋体" w:cs="宋体"/>
          <w:szCs w:val="21"/>
          <w:highlight w:val="none"/>
        </w:rPr>
        <w:t xml:space="preserve">包人的合理化建议</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监理人审查承包人合理化建议的期限：</w:t>
      </w:r>
      <w:r>
        <w:rPr>
          <w:rFonts w:hint="eastAsia" w:ascii="宋体" w:hAnsi="宋体" w:cs="宋体"/>
          <w:szCs w:val="21"/>
          <w:highlight w:val="none"/>
          <w:u w:val="single"/>
        </w:rPr>
        <w:t xml:space="preserve">  2日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发包人审批承包人合理化建议的期限：</w:t>
      </w:r>
      <w:r>
        <w:rPr>
          <w:rFonts w:hint="eastAsia" w:ascii="宋体" w:hAnsi="宋体" w:cs="宋体"/>
          <w:szCs w:val="21"/>
          <w:highlight w:val="none"/>
          <w:u w:val="single"/>
        </w:rPr>
        <w:t xml:space="preserve">  2日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承</w:t>
      </w:r>
      <w:bookmarkStart w:id="417" w:name="_Toc312678030"/>
      <w:r>
        <w:rPr>
          <w:highlight w:val="none"/>
        </w:rPr>
      </w:r>
      <w:bookmarkStart w:id="418" w:name="_Toc296503204"/>
      <w:r>
        <w:rPr>
          <w:highlight w:val="none"/>
        </w:rPr>
      </w:r>
      <w:bookmarkStart w:id="419" w:name="_Toc296944543"/>
      <w:r>
        <w:rPr>
          <w:highlight w:val="none"/>
        </w:rPr>
      </w:r>
      <w:bookmarkStart w:id="420" w:name="_Toc296346705"/>
      <w:r>
        <w:rPr>
          <w:highlight w:val="none"/>
        </w:rPr>
      </w:r>
      <w:bookmarkStart w:id="421" w:name="_Toc296891032"/>
      <w:r>
        <w:rPr>
          <w:highlight w:val="none"/>
        </w:rPr>
      </w:r>
      <w:bookmarkStart w:id="422" w:name="_Toc292559409"/>
      <w:r>
        <w:rPr>
          <w:highlight w:val="none"/>
        </w:rPr>
      </w:r>
      <w:bookmarkStart w:id="423" w:name="_Toc312677504"/>
      <w:r>
        <w:rPr>
          <w:highlight w:val="none"/>
        </w:rPr>
      </w:r>
      <w:bookmarkStart w:id="424" w:name="_Toc300934995"/>
      <w:r>
        <w:rPr>
          <w:highlight w:val="none"/>
        </w:rPr>
      </w:r>
      <w:bookmarkStart w:id="425" w:name="_Toc303539152"/>
      <w:r>
        <w:rPr>
          <w:highlight w:val="none"/>
        </w:rPr>
      </w:r>
      <w:bookmarkStart w:id="426" w:name="_Toc318581175"/>
      <w:r>
        <w:rPr>
          <w:highlight w:val="none"/>
        </w:rPr>
      </w:r>
      <w:bookmarkStart w:id="427" w:name="_Toc296891244"/>
      <w:r>
        <w:rPr>
          <w:highlight w:val="none"/>
        </w:rPr>
      </w:r>
      <w:bookmarkStart w:id="428" w:name="_Toc297048390"/>
      <w:r>
        <w:rPr>
          <w:highlight w:val="none"/>
        </w:rPr>
      </w:r>
      <w:bookmarkStart w:id="429" w:name="_Toc297216205"/>
      <w:r>
        <w:rPr>
          <w:highlight w:val="none"/>
        </w:rPr>
      </w:r>
      <w:bookmarkStart w:id="430" w:name="_Toc296347203"/>
      <w:r>
        <w:rPr>
          <w:highlight w:val="none"/>
        </w:rPr>
      </w:r>
      <w:bookmarkStart w:id="431" w:name="_Toc297123546"/>
      <w:r>
        <w:rPr>
          <w:highlight w:val="none"/>
        </w:rPr>
      </w:r>
      <w:bookmarkStart w:id="432" w:name="_Toc292559914"/>
      <w:r>
        <w:rPr>
          <w:highlight w:val="none"/>
        </w:rPr>
      </w:r>
      <w:bookmarkStart w:id="433" w:name="_Toc297120504"/>
      <w:r>
        <w:rPr>
          <w:highlight w:val="none"/>
        </w:rPr>
      </w:r>
      <w:bookmarkStart w:id="434" w:name="_Toc304295571"/>
      <w:r>
        <w:rPr>
          <w:rFonts w:hint="eastAsia" w:ascii="宋体" w:hAnsi="宋体" w:cs="宋体"/>
          <w:szCs w:val="21"/>
          <w:highlight w:val="none"/>
        </w:rPr>
        <w:t xml:space="preserve">包人提出的合理化建议降低了合同价格或者提高了工程经济效益的奖励方法和金额为：</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highlight w:val="none"/>
        </w:rPr>
      </w:r>
      <w:bookmarkStart w:id="435" w:name="_Toc292559404"/>
      <w:r>
        <w:rPr>
          <w:highlight w:val="none"/>
        </w:rPr>
      </w:r>
      <w:bookmarkStart w:id="436" w:name="_Toc296891027"/>
      <w:r>
        <w:rPr>
          <w:highlight w:val="none"/>
        </w:rPr>
      </w:r>
      <w:bookmarkStart w:id="437" w:name="_Toc300934997"/>
      <w:r>
        <w:rPr>
          <w:highlight w:val="none"/>
        </w:rPr>
      </w:r>
      <w:bookmarkStart w:id="438" w:name="_Toc304295574"/>
      <w:r>
        <w:rPr>
          <w:highlight w:val="none"/>
        </w:rPr>
      </w:r>
      <w:bookmarkStart w:id="439" w:name="_Toc303539154"/>
      <w:r>
        <w:rPr>
          <w:highlight w:val="none"/>
        </w:rPr>
      </w:r>
      <w:bookmarkStart w:id="440" w:name="_Toc292559909"/>
      <w:r>
        <w:rPr>
          <w:highlight w:val="none"/>
        </w:rPr>
      </w:r>
      <w:bookmarkStart w:id="441" w:name="_Toc312678033"/>
      <w:r>
        <w:rPr>
          <w:highlight w:val="none"/>
        </w:rPr>
      </w:r>
      <w:bookmarkStart w:id="442" w:name="_Toc297123548"/>
      <w:r>
        <w:rPr>
          <w:highlight w:val="none"/>
        </w:rPr>
      </w:r>
      <w:bookmarkStart w:id="443" w:name="_Toc297048385"/>
      <w:r>
        <w:rPr>
          <w:highlight w:val="none"/>
        </w:rPr>
      </w:r>
      <w:bookmarkStart w:id="444" w:name="_Toc312677507"/>
      <w:r>
        <w:rPr>
          <w:highlight w:val="none"/>
        </w:rPr>
      </w:r>
      <w:bookmarkStart w:id="445" w:name="_Toc296503199"/>
      <w:r>
        <w:rPr>
          <w:highlight w:val="none"/>
        </w:rPr>
      </w:r>
      <w:bookmarkStart w:id="446" w:name="_Toc296944538"/>
      <w:r>
        <w:rPr>
          <w:highlight w:val="none"/>
        </w:rPr>
      </w:r>
      <w:bookmarkStart w:id="447" w:name="_Toc297216207"/>
      <w:r>
        <w:rPr>
          <w:highlight w:val="none"/>
        </w:rPr>
      </w:r>
      <w:bookmarkStart w:id="448" w:name="_Toc296347198"/>
      <w:r>
        <w:rPr>
          <w:highlight w:val="none"/>
        </w:rPr>
      </w:r>
      <w:bookmarkStart w:id="449" w:name="_Toc296346700"/>
      <w:r>
        <w:rPr>
          <w:highlight w:val="none"/>
        </w:rPr>
      </w:r>
      <w:bookmarkStart w:id="450" w:name="_Toc297120499"/>
      <w:r>
        <w:rPr>
          <w:highlight w:val="none"/>
        </w:rPr>
      </w:r>
      <w:bookmarkStart w:id="451" w:name="_Toc296891239"/>
      <w:r>
        <w:rPr>
          <w:highlight w:val="none"/>
        </w:rPr>
      </w:r>
      <w:bookmarkEnd w:id="417"/>
      <w:r>
        <w:rPr>
          <w:highlight w:val="none"/>
        </w:rPr>
      </w:r>
      <w:bookmarkEnd w:id="418"/>
      <w:r>
        <w:rPr>
          <w:highlight w:val="none"/>
        </w:rPr>
      </w:r>
      <w:bookmarkEnd w:id="419"/>
      <w:r>
        <w:rPr>
          <w:highlight w:val="none"/>
        </w:rPr>
      </w:r>
      <w:bookmarkEnd w:id="420"/>
      <w:r>
        <w:rPr>
          <w:highlight w:val="none"/>
        </w:rPr>
      </w:r>
      <w:bookmarkEnd w:id="421"/>
      <w:r>
        <w:rPr>
          <w:highlight w:val="none"/>
        </w:rPr>
      </w:r>
      <w:bookmarkEnd w:id="422"/>
      <w:r>
        <w:rPr>
          <w:highlight w:val="none"/>
        </w:rPr>
      </w:r>
      <w:bookmarkEnd w:id="423"/>
      <w:r>
        <w:rPr>
          <w:highlight w:val="none"/>
        </w:rPr>
      </w:r>
      <w:bookmarkEnd w:id="424"/>
      <w:r>
        <w:rPr>
          <w:highlight w:val="none"/>
        </w:rPr>
      </w:r>
      <w:bookmarkEnd w:id="425"/>
      <w:r>
        <w:rPr>
          <w:highlight w:val="none"/>
        </w:rPr>
      </w:r>
      <w:bookmarkEnd w:id="426"/>
      <w:r>
        <w:rPr>
          <w:highlight w:val="none"/>
        </w:rPr>
      </w:r>
      <w:bookmarkEnd w:id="427"/>
      <w:r>
        <w:rPr>
          <w:highlight w:val="none"/>
        </w:rPr>
      </w:r>
      <w:bookmarkEnd w:id="428"/>
      <w:r>
        <w:rPr>
          <w:highlight w:val="none"/>
        </w:rPr>
      </w:r>
      <w:bookmarkEnd w:id="429"/>
      <w:r>
        <w:rPr>
          <w:highlight w:val="none"/>
        </w:rPr>
      </w:r>
      <w:bookmarkEnd w:id="430"/>
      <w:r>
        <w:rPr>
          <w:highlight w:val="none"/>
        </w:rPr>
      </w:r>
      <w:bookmarkEnd w:id="431"/>
      <w:r>
        <w:rPr>
          <w:highlight w:val="none"/>
        </w:rPr>
      </w:r>
      <w:bookmarkEnd w:id="432"/>
      <w:r>
        <w:rPr>
          <w:highlight w:val="none"/>
        </w:rPr>
      </w:r>
      <w:bookmarkEnd w:id="433"/>
      <w:r>
        <w:rPr>
          <w:highlight w:val="none"/>
        </w:rPr>
      </w:r>
      <w:bookmarkEnd w:id="434"/>
      <w:r>
        <w:rPr>
          <w:rFonts w:hint="eastAsia" w:ascii="宋体" w:hAnsi="宋体" w:cs="宋体"/>
          <w:szCs w:val="21"/>
          <w:highlight w:val="none"/>
        </w:rPr>
        <w:t xml:space="preserve">9.4暂估价</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暂</w:t>
      </w:r>
      <w:bookmarkStart w:id="452" w:name="_Toc318581176"/>
      <w:r>
        <w:rPr>
          <w:highlight w:val="none"/>
        </w:rPr>
      </w:r>
      <w:bookmarkStart w:id="453" w:name="_Toc312678034"/>
      <w:r>
        <w:rPr>
          <w:highlight w:val="none"/>
        </w:rPr>
      </w:r>
      <w:bookmarkStart w:id="454" w:name="_Toc312677508"/>
      <w:r>
        <w:rPr>
          <w:rFonts w:hint="eastAsia" w:ascii="宋体" w:hAnsi="宋体" w:cs="宋体"/>
          <w:szCs w:val="21"/>
          <w:highlight w:val="none"/>
        </w:rPr>
        <w:t xml:space="preserve">估价材料和工程设备的明细详见附件：《暂估价一览表》。</w:t>
      </w:r>
      <w:r>
        <w:rPr>
          <w:highlight w:val="none"/>
        </w:rPr>
      </w:r>
      <w:r/>
    </w:p>
    <w:p>
      <w:pPr>
        <w:ind w:firstLine="420"/>
        <w:spacing w:line="360" w:lineRule="auto"/>
        <w:rPr>
          <w:rFonts w:ascii="宋体" w:hAnsi="宋体" w:cs="宋体"/>
          <w:szCs w:val="21"/>
          <w:highlight w:val="none"/>
        </w:rPr>
      </w:pPr>
      <w:r>
        <w:rPr>
          <w:highlight w:val="none"/>
        </w:rPr>
      </w:r>
      <w:bookmarkStart w:id="455" w:name="_Toc318581177"/>
      <w:r>
        <w:rPr>
          <w:highlight w:val="none"/>
        </w:rPr>
      </w:r>
      <w:bookmarkStart w:id="456" w:name="_Toc312677509"/>
      <w:r>
        <w:rPr>
          <w:highlight w:val="none"/>
        </w:rPr>
      </w:r>
      <w:bookmarkStart w:id="457" w:name="_Toc312678035"/>
      <w:r>
        <w:rPr>
          <w:highlight w:val="none"/>
        </w:rPr>
      </w:r>
      <w:bookmarkEnd w:id="452"/>
      <w:r>
        <w:rPr>
          <w:highlight w:val="none"/>
        </w:rPr>
      </w:r>
      <w:bookmarkEnd w:id="453"/>
      <w:r>
        <w:rPr>
          <w:highlight w:val="none"/>
        </w:rPr>
      </w:r>
      <w:bookmarkEnd w:id="454"/>
      <w:r>
        <w:rPr>
          <w:rFonts w:hint="eastAsia" w:ascii="宋体" w:hAnsi="宋体" w:cs="宋体"/>
          <w:szCs w:val="21"/>
          <w:highlight w:val="none"/>
        </w:rPr>
        <w:t xml:space="preserve">9.5.1 依法必须招标的暂估价项目</w:t>
      </w:r>
      <w:bookmarkEnd w:id="455"/>
      <w:r>
        <w:rPr>
          <w:highlight w:val="none"/>
        </w:rPr>
      </w:r>
      <w:bookmarkEnd w:id="456"/>
      <w:r>
        <w:rPr>
          <w:highlight w:val="none"/>
        </w:rPr>
      </w:r>
      <w:bookmarkEnd w:id="457"/>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ascii="宋体" w:hAnsi="宋体" w:cs="宋体"/>
          <w:szCs w:val="21"/>
          <w:highlight w:val="none"/>
        </w:rPr>
        <w:t xml:space="preserve">对于依法必须招标的暂估价项目的确认和批准采取</w:t>
      </w:r>
      <w:r>
        <w:rPr>
          <w:rFonts w:ascii="宋体" w:hAnsi="宋体" w:cs="宋体"/>
          <w:szCs w:val="21"/>
          <w:highlight w:val="none"/>
          <w:u w:val="single"/>
        </w:rPr>
        <w:t xml:space="preserve">发包人招标</w:t>
      </w:r>
      <w:r>
        <w:rPr>
          <w:rFonts w:ascii="宋体" w:hAnsi="宋体" w:cs="宋体"/>
          <w:szCs w:val="21"/>
          <w:highlight w:val="none"/>
        </w:rPr>
        <w:t xml:space="preserve">方式确定。</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对干依法必须招标的暂估价项目，由发包人招标确定暂估价供应商或专业工程承包人。确定中标人后，由发包人、承包人与中标人共同签订暂估价合同。</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9.5.2 不属于依法必须招标的暂估价项目</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对于不属于依法必须招标的暂估价项目的确认和批准采取第</w:t>
      </w:r>
      <w:r>
        <w:rPr>
          <w:rFonts w:hint="eastAsia" w:ascii="宋体" w:hAnsi="宋体" w:cs="宋体"/>
          <w:szCs w:val="21"/>
          <w:highlight w:val="none"/>
          <w:u w:val="single"/>
        </w:rPr>
        <w:t xml:space="preserve">3</w:t>
      </w:r>
      <w:r>
        <w:rPr>
          <w:rFonts w:hint="eastAsia" w:ascii="宋体" w:hAnsi="宋体" w:cs="宋体"/>
          <w:szCs w:val="21"/>
          <w:highlight w:val="none"/>
        </w:rPr>
        <w:t xml:space="preserve">种方式确定。</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第3种方式：承包人直接实施的暂估价项目</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承包人直接实施的暂估价项目的约定：</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9.6 暂列金额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合同当事人关于暂列金额使用的约定：</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458" w:name="_Toc351203643"/>
      <w:r>
        <w:rPr>
          <w:rFonts w:hint="eastAsia" w:ascii="宋体" w:hAnsi="宋体" w:cs="宋体"/>
          <w:szCs w:val="21"/>
          <w:highlight w:val="none"/>
        </w:rPr>
        <w:t xml:space="preserve">10. 价格调整</w:t>
      </w:r>
      <w:bookmarkEnd w:id="458"/>
      <w:r>
        <w:rPr>
          <w:highlight w:val="none"/>
        </w:rPr>
      </w:r>
      <w:r/>
    </w:p>
    <w:p>
      <w:pPr>
        <w:ind w:firstLine="420"/>
        <w:spacing w:line="360" w:lineRule="auto"/>
        <w:rPr>
          <w:rFonts w:ascii="宋体" w:hAnsi="宋体" w:cs="宋体"/>
          <w:szCs w:val="21"/>
          <w:highlight w:val="none"/>
        </w:rPr>
      </w:pPr>
      <w:r>
        <w:rPr>
          <w:highlight w:val="none"/>
        </w:rPr>
      </w:r>
      <w:bookmarkStart w:id="459" w:name="_Toc292559911"/>
      <w:r>
        <w:rPr>
          <w:highlight w:val="none"/>
        </w:rPr>
      </w:r>
      <w:bookmarkStart w:id="460" w:name="_Toc303539157"/>
      <w:r>
        <w:rPr>
          <w:highlight w:val="none"/>
        </w:rPr>
      </w:r>
      <w:bookmarkStart w:id="461" w:name="_Toc296503201"/>
      <w:r>
        <w:rPr>
          <w:highlight w:val="none"/>
        </w:rPr>
      </w:r>
      <w:bookmarkStart w:id="462" w:name="_Toc300935000"/>
      <w:r>
        <w:rPr>
          <w:highlight w:val="none"/>
        </w:rPr>
      </w:r>
      <w:bookmarkStart w:id="463" w:name="_Toc296891029"/>
      <w:r>
        <w:rPr>
          <w:highlight w:val="none"/>
        </w:rPr>
      </w:r>
      <w:bookmarkStart w:id="464" w:name="_Toc292559406"/>
      <w:r>
        <w:rPr>
          <w:highlight w:val="none"/>
        </w:rPr>
      </w:r>
      <w:bookmarkStart w:id="465" w:name="_Toc297048387"/>
      <w:r>
        <w:rPr>
          <w:highlight w:val="none"/>
        </w:rPr>
      </w:r>
      <w:bookmarkStart w:id="466" w:name="_Toc312678039"/>
      <w:r>
        <w:rPr>
          <w:highlight w:val="none"/>
        </w:rPr>
      </w:r>
      <w:bookmarkStart w:id="467" w:name="_Toc297120501"/>
      <w:r>
        <w:rPr>
          <w:highlight w:val="none"/>
        </w:rPr>
      </w:r>
      <w:bookmarkStart w:id="468" w:name="_Toc304295577"/>
      <w:r>
        <w:rPr>
          <w:highlight w:val="none"/>
        </w:rPr>
      </w:r>
      <w:bookmarkStart w:id="469" w:name="_Toc297216209"/>
      <w:r>
        <w:rPr>
          <w:highlight w:val="none"/>
        </w:rPr>
      </w:r>
      <w:bookmarkStart w:id="470" w:name="_Toc296347200"/>
      <w:r>
        <w:rPr>
          <w:highlight w:val="none"/>
        </w:rPr>
      </w:r>
      <w:bookmarkStart w:id="471" w:name="_Toc296891241"/>
      <w:r>
        <w:rPr>
          <w:highlight w:val="none"/>
        </w:rPr>
      </w:r>
      <w:bookmarkStart w:id="472" w:name="_Toc296346702"/>
      <w:r>
        <w:rPr>
          <w:highlight w:val="none"/>
        </w:rPr>
      </w:r>
      <w:bookmarkStart w:id="473" w:name="_Toc297123550"/>
      <w:r>
        <w:rPr>
          <w:highlight w:val="none"/>
        </w:rPr>
      </w:r>
      <w:bookmarkStart w:id="474" w:name="_Toc296944540"/>
      <w:r>
        <w:rPr>
          <w:rFonts w:hint="eastAsia" w:ascii="宋体" w:hAnsi="宋体" w:cs="宋体"/>
          <w:szCs w:val="21"/>
          <w:highlight w:val="none"/>
        </w:rPr>
        <w:t xml:space="preserve">10.1 市场价格波动引起的调整</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    按相关的国家标准、行业标准等为依据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种方式对合同价格进行调整：</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第1种方式：采用价格指数进行价格调整。</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关于各可调因子、定值和变值权重，以及基本价格指数及其来源的约定：；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第2种方式：采用造价信息进行价格调整。</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（1）关于基准价格的约定：</w:t>
      </w:r>
      <w:r>
        <w:rPr>
          <w:rFonts w:hint="eastAsia" w:ascii="宋体" w:hAnsi="宋体" w:cs="宋体"/>
          <w:szCs w:val="21"/>
          <w:highlight w:val="none"/>
          <w:u w:val="single"/>
        </w:rPr>
        <w:t xml:space="preserve">  材料、工程设备价格变化的价款调整按照发包人提供的基准价格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  5 </w:t>
      </w:r>
      <w:r>
        <w:rPr>
          <w:rFonts w:hint="eastAsia" w:ascii="宋体" w:hAnsi="宋体" w:cs="宋体"/>
          <w:szCs w:val="21"/>
          <w:highlight w:val="none"/>
        </w:rPr>
        <w:t xml:space="preserve">%时，或材料单价跌幅以已标价工程量清单或预算书中载明材料单价为基础超过</w:t>
      </w:r>
      <w:r>
        <w:rPr>
          <w:rFonts w:hint="eastAsia" w:ascii="宋体" w:hAnsi="宋体" w:cs="宋体"/>
          <w:szCs w:val="21"/>
          <w:highlight w:val="none"/>
          <w:u w:val="single"/>
        </w:rPr>
        <w:t xml:space="preserve"> 5  </w:t>
      </w:r>
      <w:r>
        <w:rPr>
          <w:rFonts w:hint="eastAsia" w:ascii="宋体" w:hAnsi="宋体" w:cs="宋体"/>
          <w:szCs w:val="21"/>
          <w:highlight w:val="none"/>
        </w:rPr>
        <w:t xml:space="preserve">%时，其超过部分据实调整。</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 5  </w:t>
      </w:r>
      <w:r>
        <w:rPr>
          <w:rFonts w:hint="eastAsia" w:ascii="宋体" w:hAnsi="宋体" w:cs="宋体"/>
          <w:szCs w:val="21"/>
          <w:highlight w:val="none"/>
        </w:rPr>
        <w:t xml:space="preserve">%时，材料单价涨幅以已标价工程量清单或预算书中载明材料单价为基础超过</w:t>
      </w:r>
      <w:r>
        <w:rPr>
          <w:rFonts w:hint="eastAsia" w:ascii="宋体" w:hAnsi="宋体" w:cs="宋体"/>
          <w:szCs w:val="21"/>
          <w:highlight w:val="none"/>
          <w:u w:val="single"/>
        </w:rPr>
        <w:t xml:space="preserve">  5 </w:t>
      </w:r>
      <w:r>
        <w:rPr>
          <w:rFonts w:hint="eastAsia" w:ascii="宋体" w:hAnsi="宋体" w:cs="宋体"/>
          <w:szCs w:val="21"/>
          <w:highlight w:val="none"/>
        </w:rPr>
        <w:t xml:space="preserve">%时，其超过部分据实调整。</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5  </w:t>
      </w:r>
      <w:r>
        <w:rPr>
          <w:rFonts w:hint="eastAsia" w:ascii="宋体" w:hAnsi="宋体" w:cs="宋体"/>
          <w:szCs w:val="21"/>
          <w:highlight w:val="none"/>
        </w:rPr>
        <w:t xml:space="preserve">%时，其超过部分据实调整。</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第3种方式：其他价格调整方式：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475" w:name="_Toc297120505"/>
      <w:r>
        <w:rPr>
          <w:highlight w:val="none"/>
        </w:rPr>
      </w:r>
      <w:bookmarkStart w:id="476" w:name="_Toc292559410"/>
      <w:r>
        <w:rPr>
          <w:highlight w:val="none"/>
        </w:rPr>
      </w:r>
      <w:bookmarkStart w:id="477" w:name="_Toc296503205"/>
      <w:r>
        <w:rPr>
          <w:highlight w:val="none"/>
        </w:rPr>
      </w:r>
      <w:bookmarkStart w:id="478" w:name="_Toc296891245"/>
      <w:r>
        <w:rPr>
          <w:highlight w:val="none"/>
        </w:rPr>
      </w:r>
      <w:bookmarkStart w:id="479" w:name="_Toc296347204"/>
      <w:r>
        <w:rPr>
          <w:highlight w:val="none"/>
        </w:rPr>
      </w:r>
      <w:bookmarkStart w:id="480" w:name="_Toc292559915"/>
      <w:r>
        <w:rPr>
          <w:highlight w:val="none"/>
        </w:rPr>
      </w:r>
      <w:bookmarkStart w:id="481" w:name="_Toc297048391"/>
      <w:r>
        <w:rPr>
          <w:highlight w:val="none"/>
        </w:rPr>
      </w:r>
      <w:bookmarkStart w:id="482" w:name="_Toc296346706"/>
      <w:r>
        <w:rPr>
          <w:highlight w:val="none"/>
        </w:rPr>
      </w:r>
      <w:bookmarkStart w:id="483" w:name="_Toc296944544"/>
      <w:r>
        <w:rPr>
          <w:highlight w:val="none"/>
        </w:rPr>
      </w:r>
      <w:bookmarkStart w:id="484" w:name="_Toc296891033"/>
      <w:r>
        <w:rPr>
          <w:highlight w:val="none"/>
        </w:rPr>
      </w:r>
      <w:bookmarkStart w:id="485" w:name="_Toc351203644"/>
      <w:r>
        <w:rPr>
          <w:highlight w:val="none"/>
        </w:rPr>
      </w:r>
      <w:bookmarkStart w:id="486" w:name="_Toc297123552"/>
      <w:r>
        <w:rPr>
          <w:highlight w:val="none"/>
        </w:rPr>
      </w:r>
      <w:bookmarkStart w:id="487" w:name="_Toc304295579"/>
      <w:r>
        <w:rPr>
          <w:highlight w:val="none"/>
        </w:rPr>
      </w:r>
      <w:bookmarkStart w:id="488" w:name="_Toc297216211"/>
      <w:r>
        <w:rPr>
          <w:highlight w:val="none"/>
        </w:rPr>
      </w:r>
      <w:bookmarkStart w:id="489" w:name="_Toc300935002"/>
      <w:r>
        <w:rPr>
          <w:highlight w:val="none"/>
        </w:rPr>
      </w:r>
      <w:bookmarkStart w:id="490" w:name="_Toc303539159"/>
      <w:r>
        <w:rPr>
          <w:highlight w:val="none"/>
        </w:rPr>
      </w:r>
      <w:bookmarkStart w:id="491" w:name="_Toc312678040"/>
      <w:r>
        <w:rPr>
          <w:highlight w:val="none"/>
        </w:rPr>
      </w:r>
      <w:bookmarkEnd w:id="362"/>
      <w:r>
        <w:rPr>
          <w:highlight w:val="none"/>
        </w:rPr>
      </w:r>
      <w:bookmarkEnd w:id="363"/>
      <w:r>
        <w:rPr>
          <w:highlight w:val="none"/>
        </w:rPr>
      </w:r>
      <w:bookmarkEnd w:id="364"/>
      <w:r>
        <w:rPr>
          <w:highlight w:val="none"/>
        </w:rPr>
      </w:r>
      <w:bookmarkEnd w:id="365"/>
      <w:r>
        <w:rPr>
          <w:highlight w:val="none"/>
        </w:rPr>
      </w:r>
      <w:bookmarkEnd w:id="366"/>
      <w:r>
        <w:rPr>
          <w:highlight w:val="none"/>
        </w:rPr>
      </w:r>
      <w:bookmarkEnd w:id="367"/>
      <w:r>
        <w:rPr>
          <w:rFonts w:hint="eastAsia" w:ascii="宋体" w:hAnsi="宋体" w:cs="宋体"/>
          <w:szCs w:val="21"/>
          <w:highlight w:val="none"/>
        </w:rPr>
        <w:t xml:space="preserve">11. </w:t>
      </w:r>
      <w:bookmarkEnd w:id="475"/>
      <w:r>
        <w:rPr>
          <w:highlight w:val="none"/>
        </w:rPr>
      </w:r>
      <w:bookmarkEnd w:id="476"/>
      <w:r>
        <w:rPr>
          <w:highlight w:val="none"/>
        </w:rPr>
      </w:r>
      <w:bookmarkEnd w:id="477"/>
      <w:r>
        <w:rPr>
          <w:highlight w:val="none"/>
        </w:rPr>
      </w:r>
      <w:bookmarkEnd w:id="478"/>
      <w:r>
        <w:rPr>
          <w:highlight w:val="none"/>
        </w:rPr>
      </w:r>
      <w:bookmarkEnd w:id="479"/>
      <w:r>
        <w:rPr>
          <w:highlight w:val="none"/>
        </w:rPr>
      </w:r>
      <w:bookmarkEnd w:id="480"/>
      <w:r>
        <w:rPr>
          <w:highlight w:val="none"/>
        </w:rPr>
      </w:r>
      <w:bookmarkEnd w:id="481"/>
      <w:r>
        <w:rPr>
          <w:highlight w:val="none"/>
        </w:rPr>
      </w:r>
      <w:bookmarkEnd w:id="482"/>
      <w:r>
        <w:rPr>
          <w:highlight w:val="none"/>
        </w:rPr>
      </w:r>
      <w:bookmarkEnd w:id="483"/>
      <w:r>
        <w:rPr>
          <w:highlight w:val="none"/>
        </w:rPr>
      </w:r>
      <w:bookmarkEnd w:id="484"/>
      <w:r>
        <w:rPr>
          <w:rFonts w:hint="eastAsia" w:ascii="宋体" w:hAnsi="宋体" w:cs="宋体"/>
          <w:szCs w:val="21"/>
          <w:highlight w:val="none"/>
        </w:rPr>
        <w:t xml:space="preserve">合同价格、计量与支付</w:t>
      </w:r>
      <w:bookmarkEnd w:id="485"/>
      <w:r>
        <w:rPr>
          <w:highlight w:val="none"/>
        </w:rPr>
      </w:r>
      <w:r/>
    </w:p>
    <w:p>
      <w:pPr>
        <w:ind w:firstLine="420"/>
        <w:spacing w:line="360" w:lineRule="auto"/>
        <w:rPr>
          <w:rFonts w:ascii="宋体" w:hAnsi="宋体" w:cs="宋体"/>
          <w:szCs w:val="21"/>
          <w:highlight w:val="none"/>
        </w:rPr>
      </w:pPr>
      <w:r>
        <w:rPr>
          <w:highlight w:val="none"/>
        </w:rPr>
      </w:r>
      <w:bookmarkStart w:id="492" w:name="_Toc267251461"/>
      <w:r>
        <w:rPr>
          <w:highlight w:val="none"/>
        </w:rPr>
      </w:r>
      <w:bookmarkStart w:id="493" w:name="_Toc292559916"/>
      <w:r>
        <w:rPr>
          <w:highlight w:val="none"/>
        </w:rPr>
      </w:r>
      <w:bookmarkStart w:id="494" w:name="_Toc292559411"/>
      <w:r>
        <w:rPr>
          <w:highlight w:val="none"/>
        </w:rPr>
      </w:r>
      <w:bookmarkStart w:id="495" w:name="_Toc296347205"/>
      <w:r>
        <w:rPr>
          <w:highlight w:val="none"/>
        </w:rPr>
      </w:r>
      <w:bookmarkStart w:id="496" w:name="_Toc296944545"/>
      <w:r>
        <w:rPr>
          <w:highlight w:val="none"/>
        </w:rPr>
      </w:r>
      <w:bookmarkStart w:id="497" w:name="_Toc296891034"/>
      <w:r>
        <w:rPr>
          <w:highlight w:val="none"/>
        </w:rPr>
      </w:r>
      <w:bookmarkStart w:id="498" w:name="_Toc297048392"/>
      <w:r>
        <w:rPr>
          <w:highlight w:val="none"/>
        </w:rPr>
      </w:r>
      <w:bookmarkStart w:id="499" w:name="_Toc296503206"/>
      <w:r>
        <w:rPr>
          <w:highlight w:val="none"/>
        </w:rPr>
      </w:r>
      <w:bookmarkStart w:id="500" w:name="_Toc296346707"/>
      <w:r>
        <w:rPr>
          <w:highlight w:val="none"/>
        </w:rPr>
      </w:r>
      <w:bookmarkStart w:id="501" w:name="_Toc297120506"/>
      <w:r>
        <w:rPr>
          <w:highlight w:val="none"/>
        </w:rPr>
      </w:r>
      <w:bookmarkStart w:id="502" w:name="_Toc296891246"/>
      <w:r>
        <w:rPr>
          <w:highlight w:val="none"/>
        </w:rPr>
      </w:r>
      <w:bookmarkStart w:id="503" w:name="_Toc312678041"/>
      <w:r>
        <w:rPr>
          <w:highlight w:val="none"/>
        </w:rPr>
      </w:r>
      <w:bookmarkStart w:id="504" w:name="_Toc300935003"/>
      <w:r>
        <w:rPr>
          <w:highlight w:val="none"/>
        </w:rPr>
      </w:r>
      <w:bookmarkStart w:id="505" w:name="_Toc304295580"/>
      <w:r>
        <w:rPr>
          <w:highlight w:val="none"/>
        </w:rPr>
      </w:r>
      <w:bookmarkStart w:id="506" w:name="_Toc297216212"/>
      <w:r>
        <w:rPr>
          <w:highlight w:val="none"/>
        </w:rPr>
      </w:r>
      <w:bookmarkStart w:id="507" w:name="_Toc303539160"/>
      <w:r>
        <w:rPr>
          <w:highlight w:val="none"/>
        </w:rPr>
      </w:r>
      <w:bookmarkStart w:id="508" w:name="_Toc297123553"/>
      <w:r>
        <w:rPr>
          <w:highlight w:val="none"/>
        </w:rPr>
      </w:r>
      <w:bookmarkEnd w:id="486"/>
      <w:r>
        <w:rPr>
          <w:highlight w:val="none"/>
        </w:rPr>
      </w:r>
      <w:bookmarkEnd w:id="487"/>
      <w:r>
        <w:rPr>
          <w:highlight w:val="none"/>
        </w:rPr>
      </w:r>
      <w:bookmarkEnd w:id="488"/>
      <w:r>
        <w:rPr>
          <w:highlight w:val="none"/>
        </w:rPr>
      </w:r>
      <w:bookmarkEnd w:id="489"/>
      <w:r>
        <w:rPr>
          <w:highlight w:val="none"/>
        </w:rPr>
      </w:r>
      <w:bookmarkEnd w:id="490"/>
      <w:r>
        <w:rPr>
          <w:highlight w:val="none"/>
        </w:rPr>
      </w:r>
      <w:bookmarkEnd w:id="491"/>
      <w:r>
        <w:rPr>
          <w:rFonts w:hint="eastAsia" w:ascii="宋体" w:hAnsi="宋体" w:cs="宋体"/>
          <w:szCs w:val="21"/>
          <w:highlight w:val="none"/>
        </w:rPr>
        <w:t xml:space="preserve">11.1 合</w:t>
      </w:r>
      <w:bookmarkEnd w:id="492"/>
      <w:r>
        <w:rPr>
          <w:highlight w:val="none"/>
        </w:rPr>
      </w:r>
      <w:bookmarkEnd w:id="493"/>
      <w:r>
        <w:rPr>
          <w:highlight w:val="none"/>
        </w:rPr>
      </w:r>
      <w:bookmarkEnd w:id="494"/>
      <w:r>
        <w:rPr>
          <w:rFonts w:hint="eastAsia" w:ascii="宋体" w:hAnsi="宋体" w:cs="宋体"/>
          <w:szCs w:val="21"/>
          <w:highlight w:val="none"/>
        </w:rPr>
        <w:t xml:space="preserve">同价</w:t>
      </w:r>
      <w:bookmarkEnd w:id="495"/>
      <w:r>
        <w:rPr>
          <w:highlight w:val="none"/>
        </w:rPr>
      </w:r>
      <w:bookmarkEnd w:id="496"/>
      <w:r>
        <w:rPr>
          <w:highlight w:val="none"/>
        </w:rPr>
      </w:r>
      <w:bookmarkEnd w:id="497"/>
      <w:r>
        <w:rPr>
          <w:highlight w:val="none"/>
        </w:rPr>
      </w:r>
      <w:bookmarkEnd w:id="498"/>
      <w:r>
        <w:rPr>
          <w:highlight w:val="none"/>
        </w:rPr>
      </w:r>
      <w:bookmarkEnd w:id="499"/>
      <w:r>
        <w:rPr>
          <w:highlight w:val="none"/>
        </w:rPr>
      </w:r>
      <w:bookmarkEnd w:id="500"/>
      <w:r>
        <w:rPr>
          <w:highlight w:val="none"/>
        </w:rPr>
      </w:r>
      <w:bookmarkEnd w:id="501"/>
      <w:r>
        <w:rPr>
          <w:highlight w:val="none"/>
        </w:rPr>
      </w:r>
      <w:bookmarkEnd w:id="502"/>
      <w:r>
        <w:rPr>
          <w:rFonts w:hint="eastAsia" w:ascii="宋体" w:hAnsi="宋体" w:cs="宋体"/>
          <w:szCs w:val="21"/>
          <w:highlight w:val="none"/>
        </w:rPr>
        <w:t xml:space="preserve">格形式</w:t>
      </w:r>
      <w:bookmarkEnd w:id="503"/>
      <w:r/>
      <w:bookmarkEnd w:id="504"/>
      <w:r/>
      <w:bookmarkEnd w:id="505"/>
      <w:r/>
      <w:bookmarkEnd w:id="506"/>
      <w:r/>
      <w:bookmarkEnd w:id="507"/>
      <w:r/>
      <w:bookmarkEnd w:id="508"/>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1、单价合同。</w:t>
      </w:r>
      <w:r>
        <w:rPr>
          <w:highlight w:val="none"/>
        </w:rPr>
      </w:r>
      <w:r/>
    </w:p>
    <w:p>
      <w:pPr>
        <w:ind w:firstLine="420"/>
        <w:spacing w:line="360" w:lineRule="auto"/>
        <w:tabs>
          <w:tab w:val="left" w:pos="0" w:leader="none"/>
          <w:tab w:val="left" w:pos="993" w:leader="none"/>
          <w:tab w:val="left" w:pos="1134" w:leader="none"/>
        </w:tabs>
        <w:rPr>
          <w:rFonts w:ascii="宋体" w:hAnsi="宋体" w:cs="宋体"/>
          <w:szCs w:val="21"/>
          <w:highlight w:val="none"/>
          <w:u w:val="single"/>
        </w:rPr>
      </w:pPr>
      <w:r>
        <w:rPr>
          <w:rFonts w:hint="eastAsia" w:ascii="宋体" w:hAnsi="宋体" w:cs="宋体"/>
          <w:color w:val="000000"/>
          <w:szCs w:val="21"/>
          <w:highlight w:val="none"/>
        </w:rPr>
        <w:t xml:space="preserve">（1）</w:t>
      </w:r>
      <w:r>
        <w:rPr>
          <w:rFonts w:hint="eastAsia" w:ascii="宋体" w:hAnsi="宋体" w:cs="宋体"/>
          <w:szCs w:val="21"/>
          <w:highlight w:val="none"/>
          <w:u w:val="single"/>
        </w:rPr>
        <w:t xml:space="preserve">材料价格风险执行省建设厅《关于加强市政公用材料价格风险控制的指导意见》苏建价（2008）67号文件规定执行；人工工资单价按江宁区相关规定调整。 </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（2）变化幅度10%（含）以内的施工机械使用费的风险； </w:t>
      </w:r>
      <w:r>
        <w:rPr>
          <w:highlight w:val="none"/>
        </w:rPr>
      </w:r>
      <w:r/>
    </w:p>
    <w:p>
      <w:pPr>
        <w:ind w:firstLine="420"/>
        <w:spacing w:line="360" w:lineRule="auto"/>
        <w:tabs>
          <w:tab w:val="left" w:pos="0" w:leader="none"/>
          <w:tab w:val="left" w:pos="993" w:leader="none"/>
          <w:tab w:val="left" w:pos="1134" w:leader="none"/>
        </w:tabs>
        <w:rPr>
          <w:rFonts w:ascii="宋体" w:hAnsi="宋体" w:cs="宋体"/>
          <w:szCs w:val="21"/>
          <w:highlight w:val="none"/>
          <w:u w:val="single"/>
        </w:rPr>
      </w:pPr>
      <w:r>
        <w:rPr>
          <w:rFonts w:hint="eastAsia" w:ascii="宋体" w:hAnsi="宋体" w:cs="宋体"/>
          <w:szCs w:val="21"/>
          <w:highlight w:val="none"/>
          <w:u w:val="single"/>
        </w:rPr>
        <w:t xml:space="preserve">（3）供应商根据自身技术水平、管理、经营状况能够自主控制的风险。 </w:t>
      </w:r>
      <w:r>
        <w:rPr>
          <w:highlight w:val="none"/>
        </w:rPr>
      </w:r>
      <w:r/>
    </w:p>
    <w:p>
      <w:pPr>
        <w:ind w:firstLine="420"/>
        <w:spacing w:line="360" w:lineRule="auto"/>
        <w:tabs>
          <w:tab w:val="left" w:pos="0" w:leader="none"/>
          <w:tab w:val="left" w:pos="993" w:leader="none"/>
          <w:tab w:val="left" w:pos="1134" w:leader="none"/>
        </w:tabs>
        <w:rPr>
          <w:rFonts w:ascii="宋体" w:hAnsi="宋体" w:cs="宋体"/>
          <w:szCs w:val="21"/>
          <w:highlight w:val="none"/>
          <w:u w:val="single"/>
        </w:rPr>
      </w:pPr>
      <w:r>
        <w:rPr>
          <w:rFonts w:hint="eastAsia" w:ascii="宋体" w:hAnsi="宋体" w:cs="宋体"/>
          <w:szCs w:val="21"/>
          <w:highlight w:val="none"/>
          <w:u w:val="single"/>
        </w:rPr>
        <w:t xml:space="preserve">（4）现场条件不利的风险（包括场地环境、基础设施、气候风险影响）。</w:t>
      </w:r>
      <w:r>
        <w:rPr>
          <w:highlight w:val="none"/>
        </w:rPr>
      </w:r>
      <w:r/>
    </w:p>
    <w:p>
      <w:pPr>
        <w:ind w:firstLine="420"/>
        <w:spacing w:line="360" w:lineRule="auto"/>
        <w:tabs>
          <w:tab w:val="left" w:pos="0" w:leader="none"/>
          <w:tab w:val="left" w:pos="993" w:leader="none"/>
          <w:tab w:val="left" w:pos="1134" w:leader="none"/>
        </w:tabs>
        <w:rPr>
          <w:rFonts w:ascii="宋体" w:hAnsi="宋体" w:cs="宋体"/>
          <w:szCs w:val="21"/>
          <w:highlight w:val="none"/>
          <w:u w:val="single"/>
        </w:rPr>
      </w:pPr>
      <w:r>
        <w:rPr>
          <w:rFonts w:hint="eastAsia" w:ascii="宋体" w:hAnsi="宋体" w:cs="宋体"/>
          <w:szCs w:val="21"/>
          <w:highlight w:val="none"/>
          <w:u w:val="single"/>
        </w:rPr>
        <w:t xml:space="preserve">（5）供应商根据现场情况和各类资料能够采取或应当采取的各类措施和方案的风险。</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color w:val="000000"/>
          <w:szCs w:val="21"/>
          <w:highlight w:val="none"/>
        </w:rPr>
        <w:t xml:space="preserve">风险费用的计算方法：</w:t>
      </w:r>
      <w:r>
        <w:rPr>
          <w:rFonts w:hint="eastAsia" w:ascii="宋体" w:hAnsi="宋体" w:cs="宋体"/>
          <w:szCs w:val="21"/>
          <w:highlight w:val="none"/>
          <w:u w:val="single"/>
        </w:rPr>
        <w:t xml:space="preserve">以上风险费用已含在合同单价内，不再另行计取。 </w:t>
      </w:r>
      <w:r>
        <w:rPr>
          <w:highlight w:val="none"/>
        </w:rPr>
      </w:r>
      <w:r/>
    </w:p>
    <w:p>
      <w:pPr>
        <w:ind w:firstLine="420"/>
        <w:spacing w:line="360" w:lineRule="auto"/>
        <w:rPr>
          <w:rFonts w:ascii="宋体" w:hAnsi="宋体" w:cs="宋体"/>
          <w:color w:val="000000"/>
          <w:szCs w:val="21"/>
          <w:highlight w:val="none"/>
        </w:rPr>
      </w:pPr>
      <w:r>
        <w:rPr>
          <w:rFonts w:hint="eastAsia" w:ascii="宋体" w:hAnsi="宋体" w:cs="宋体"/>
          <w:szCs w:val="21"/>
          <w:highlight w:val="none"/>
          <w:u w:val="single"/>
        </w:rPr>
        <w:t xml:space="preserve">因发包人原因造成工期延误的，延误期间发生的材料价格上涨差额由发包人承担；因承包人原因造成工期延误的，延误期间发生的材料价格上涨差额全部由承包人承担</w:t>
      </w:r>
      <w:r>
        <w:rPr>
          <w:rFonts w:hint="eastAsia" w:ascii="宋体" w:hAnsi="宋体" w:cs="宋体"/>
          <w:color w:val="000000"/>
          <w:szCs w:val="21"/>
          <w:highlight w:val="none"/>
        </w:rPr>
        <w:t xml:space="preserve">。</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color w:val="000000"/>
          <w:szCs w:val="21"/>
          <w:highlight w:val="none"/>
        </w:rPr>
        <w:t xml:space="preserve">风险范围以外合同价格的调整方法：</w:t>
      </w:r>
      <w:r>
        <w:rPr>
          <w:rFonts w:hint="eastAsia" w:ascii="宋体" w:hAnsi="宋体" w:cs="宋体"/>
          <w:szCs w:val="21"/>
          <w:highlight w:val="none"/>
          <w:u w:val="single"/>
        </w:rPr>
        <w:t xml:space="preserve">工程量按施工中实际施工图纸+签证+变更计算，招标时工程量清单未施工的项目，竣工价款结算时应予以扣除（包括措施费），综合单价原则上按合同单价（投标单价）执行，执行方法如下：</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1）合同履行期间，由于招标工程量清单中缺项、因工程变更引起已标价工程量清单项目或其工程数量发生变化时，应按照下列规定调整：</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A、已标价工程量清单中有适用于变更工程项目的，应采用该项目的单价。如上述变化引起相关措施项目发生变化时，工程量增加的措施项目费调增，工程量减少的措施项目费调减。</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B、已标价工程量清单中没有适用但有类似于变更工程项目的，可在合理范围内参照类似项目的单价。</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r>
      <w:r>
        <w:rPr>
          <w:rFonts w:hint="eastAsia" w:ascii="宋体" w:hAnsi="宋体" w:cs="宋体"/>
          <w:szCs w:val="21"/>
          <w:highlight w:val="none"/>
          <w:u w:val="single"/>
        </w:rPr>
        <w:tab/>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（2）政策性调整的风险结算：至本工程投标截止日前28天，其后国家的法律、法规、规章和政策发生变化时，应按省级或行业建设主管部门或其授权的工程造价管理机构发布的规定调整合同价款。 </w:t>
      </w:r>
      <w:r>
        <w:rPr>
          <w:highlight w:val="none"/>
        </w:rPr>
      </w:r>
      <w:r/>
    </w:p>
    <w:p>
      <w:pPr>
        <w:ind w:firstLine="420"/>
        <w:spacing w:line="360" w:lineRule="auto"/>
        <w:rPr>
          <w:rFonts w:ascii="宋体" w:hAnsi="宋体"/>
          <w:color w:val="000000"/>
          <w:szCs w:val="21"/>
          <w:highlight w:val="none"/>
        </w:rPr>
      </w:pPr>
      <w:r>
        <w:rPr>
          <w:rFonts w:hint="eastAsia" w:ascii="宋体" w:hAnsi="宋体" w:cs="宋体"/>
          <w:szCs w:val="21"/>
          <w:highlight w:val="none"/>
          <w:u w:val="single"/>
        </w:rPr>
        <w:t xml:space="preserve">（3）</w:t>
      </w:r>
      <w:r>
        <w:rPr>
          <w:rFonts w:hint="eastAsia" w:ascii="宋体" w:hAnsi="宋体"/>
          <w:color w:val="000000"/>
          <w:szCs w:val="21"/>
          <w:highlight w:val="none"/>
          <w:u w:val="single"/>
        </w:rPr>
        <w:t xml:space="preserve">承包人应针对原设计内容图纸和发包人工作量需求对项目清单进行清标，若清标过程中未发现相关漏项、缺项，后期因此产生的费用和责任均由承包人自行承担。</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因发包人原因导致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A、采用单价计算的措施项目费，应按照实际发生变化的措施项目，按照本款中第1）条的规定确定单价。</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B、按总价（或系数）计算的措施项目费，按照实际发生变化的措施项目调整，但应考虑承包人报价浮动因素，即调整金额按照实际调整金额乘以本款中第1）条规定的承包人报价浮动率计算。</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u w:val="single"/>
        </w:rPr>
        <w:t xml:space="preserve">如果承包人未事先将拟实施的方案提交给发包人确认，则应视为工程变更不引起措施项目费的调整或承包人放弃调整措施项目费的权利。</w:t>
      </w:r>
      <w:r>
        <w:rPr>
          <w:highlight w:val="none"/>
        </w:rPr>
      </w:r>
      <w:r/>
    </w:p>
    <w:p>
      <w:pPr>
        <w:ind w:firstLine="420"/>
        <w:spacing w:line="360" w:lineRule="auto"/>
        <w:tabs>
          <w:tab w:val="left" w:pos="0" w:leader="none"/>
          <w:tab w:val="left" w:pos="993" w:leader="none"/>
          <w:tab w:val="left" w:pos="1134" w:leader="none"/>
        </w:tabs>
        <w:rPr>
          <w:rFonts w:ascii="宋体" w:hAnsi="宋体" w:cs="宋体"/>
          <w:szCs w:val="21"/>
          <w:highlight w:val="none"/>
          <w:u w:val="single"/>
        </w:rPr>
      </w:pPr>
      <w:r>
        <w:rPr>
          <w:rFonts w:hint="eastAsia" w:ascii="宋体" w:hAnsi="宋体" w:cs="宋体"/>
          <w:szCs w:val="21"/>
          <w:highlight w:val="none"/>
          <w:u w:val="single"/>
        </w:rPr>
        <w:t xml:space="preserve">承包人达到招标文件关于现场安全文明施工奖励标准的，发包人按要求支付奖励费用，未达到招标文件要求的，则按承包人所达到的创建目标支付奖励费用。</w:t>
      </w:r>
      <w:r>
        <w:rPr>
          <w:highlight w:val="none"/>
        </w:rPr>
      </w:r>
      <w:r/>
    </w:p>
    <w:p>
      <w:pPr>
        <w:ind w:firstLine="420"/>
        <w:spacing w:line="360" w:lineRule="auto"/>
        <w:rPr>
          <w:rFonts w:ascii="宋体" w:hAnsi="宋体" w:cs="宋体"/>
          <w:szCs w:val="21"/>
          <w:highlight w:val="none"/>
        </w:rPr>
      </w:pPr>
      <w:r>
        <w:rPr>
          <w:highlight w:val="none"/>
        </w:rPr>
      </w:r>
      <w:bookmarkStart w:id="509" w:name="_Toc303539161"/>
      <w:r>
        <w:rPr>
          <w:highlight w:val="none"/>
        </w:rPr>
      </w:r>
      <w:bookmarkStart w:id="510" w:name="_Toc304295581"/>
      <w:r>
        <w:rPr>
          <w:highlight w:val="none"/>
        </w:rPr>
      </w:r>
      <w:bookmarkStart w:id="511" w:name="_Toc297123554"/>
      <w:r>
        <w:rPr>
          <w:highlight w:val="none"/>
        </w:rPr>
      </w:r>
      <w:bookmarkStart w:id="512" w:name="_Toc300935004"/>
      <w:r>
        <w:rPr>
          <w:highlight w:val="none"/>
        </w:rPr>
      </w:r>
      <w:bookmarkStart w:id="513" w:name="_Toc297216213"/>
      <w:r>
        <w:rPr>
          <w:highlight w:val="none"/>
        </w:rPr>
      </w:r>
      <w:bookmarkStart w:id="514" w:name="_Toc312678042"/>
      <w:r>
        <w:rPr>
          <w:highlight w:val="none"/>
        </w:rPr>
      </w:r>
      <w:bookmarkStart w:id="515" w:name="_Toc296346708"/>
      <w:r>
        <w:rPr>
          <w:highlight w:val="none"/>
        </w:rPr>
      </w:r>
      <w:bookmarkStart w:id="516" w:name="_Toc296944546"/>
      <w:r>
        <w:rPr>
          <w:highlight w:val="none"/>
        </w:rPr>
      </w:r>
      <w:bookmarkStart w:id="517" w:name="_Toc296891035"/>
      <w:r>
        <w:rPr>
          <w:highlight w:val="none"/>
        </w:rPr>
      </w:r>
      <w:bookmarkStart w:id="518" w:name="_Toc296347206"/>
      <w:r>
        <w:rPr>
          <w:highlight w:val="none"/>
        </w:rPr>
      </w:r>
      <w:bookmarkStart w:id="519" w:name="_Toc296891247"/>
      <w:r>
        <w:rPr>
          <w:highlight w:val="none"/>
        </w:rPr>
      </w:r>
      <w:bookmarkStart w:id="520" w:name="_Toc292559412"/>
      <w:r>
        <w:rPr>
          <w:highlight w:val="none"/>
        </w:rPr>
      </w:r>
      <w:bookmarkStart w:id="521" w:name="_Toc297048393"/>
      <w:r>
        <w:rPr>
          <w:highlight w:val="none"/>
        </w:rPr>
      </w:r>
      <w:bookmarkStart w:id="522" w:name="_Toc292559917"/>
      <w:r>
        <w:rPr>
          <w:highlight w:val="none"/>
        </w:rPr>
      </w:r>
      <w:bookmarkStart w:id="523" w:name="_Toc296503207"/>
      <w:r>
        <w:rPr>
          <w:highlight w:val="none"/>
        </w:rPr>
      </w:r>
      <w:bookmarkStart w:id="524" w:name="_Toc297120507"/>
      <w:r>
        <w:rPr>
          <w:rFonts w:hint="eastAsia" w:ascii="宋体" w:hAnsi="宋体" w:cs="宋体"/>
          <w:szCs w:val="21"/>
          <w:highlight w:val="none"/>
        </w:rPr>
        <w:t xml:space="preserve">11.2 预付款</w:t>
      </w:r>
      <w:bookmarkEnd w:id="509"/>
      <w:r/>
      <w:bookmarkEnd w:id="510"/>
      <w:r/>
      <w:bookmarkEnd w:id="511"/>
      <w:r/>
      <w:bookmarkEnd w:id="512"/>
      <w:r/>
      <w:bookmarkEnd w:id="513"/>
      <w:r/>
      <w:bookmarkEnd w:id="514"/>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11.2.1 预付款的支付</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预付款支付比例或金额：</w:t>
      </w:r>
      <w:r>
        <w:rPr>
          <w:rFonts w:hint="eastAsia" w:ascii="宋体" w:hAnsi="宋体" w:cs="宋体"/>
          <w:spacing w:val="10"/>
          <w:szCs w:val="21"/>
          <w:highlight w:val="none"/>
          <w:u w:val="single"/>
        </w:rPr>
        <w:t xml:space="preserve">/</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预付款支付期限：</w:t>
      </w:r>
      <w:r>
        <w:rPr>
          <w:rFonts w:hint="eastAsia" w:ascii="宋体" w:hAnsi="宋体" w:cs="宋体"/>
          <w:spacing w:val="10"/>
          <w:szCs w:val="21"/>
          <w:highlight w:val="none"/>
          <w:u w:val="single"/>
        </w:rPr>
        <w:t xml:space="preserve">/</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预付款扣回的方式：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11.2.2 预付款担保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承包人提交预付款担保的期限：</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预付款担保的形式为：</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bookmarkEnd w:id="515"/>
      <w:r/>
      <w:bookmarkEnd w:id="516"/>
      <w:r/>
      <w:bookmarkEnd w:id="517"/>
      <w:r/>
      <w:bookmarkEnd w:id="518"/>
      <w:r/>
      <w:bookmarkEnd w:id="519"/>
      <w:r/>
      <w:bookmarkEnd w:id="520"/>
      <w:r/>
      <w:bookmarkEnd w:id="521"/>
      <w:r/>
      <w:bookmarkEnd w:id="522"/>
      <w:r/>
      <w:bookmarkEnd w:id="523"/>
      <w:r/>
      <w:bookmarkEnd w:id="524"/>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 计量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11.3.1 计量原则</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工程量计算规则：</w:t>
      </w:r>
      <w:r>
        <w:rPr>
          <w:rFonts w:hint="eastAsia" w:ascii="宋体" w:hAnsi="宋体" w:cs="宋体"/>
          <w:szCs w:val="21"/>
          <w:highlight w:val="none"/>
          <w:u w:val="single"/>
        </w:rPr>
        <w:t xml:space="preserve">    按相关的国家标准、行业标准等为依据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11.3.2 计量周期</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11.3.2 计量周期</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关于计量周期的约定：</w:t>
      </w:r>
      <w:r>
        <w:rPr>
          <w:rFonts w:ascii="宋体" w:hAnsi="宋体" w:cs="宋体"/>
          <w:color w:val="000000"/>
          <w:sz w:val="22"/>
          <w:highlight w:val="none"/>
          <w:u w:val="single"/>
        </w:rPr>
        <w:t xml:space="preserve">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ascii="宋体" w:hAnsi="宋体" w:cs="宋体"/>
          <w:color w:val="000000"/>
          <w:sz w:val="22"/>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11.3.3 单价合同的计量</w:t>
      </w:r>
      <w:r>
        <w:rPr>
          <w:highlight w:val="none"/>
        </w:rPr>
      </w:r>
      <w:r/>
    </w:p>
    <w:p>
      <w:pPr>
        <w:ind w:firstLine="420"/>
        <w:spacing w:line="360" w:lineRule="auto"/>
        <w:rPr>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关于单价合同计量的约定：</w:t>
      </w:r>
      <w:r>
        <w:rPr>
          <w:rFonts w:ascii="宋体" w:hAnsi="宋体" w:cs="宋体"/>
          <w:color w:val="000000"/>
          <w:szCs w:val="21"/>
          <w:highlight w:val="none"/>
          <w:u w:val="single"/>
        </w:rPr>
        <w:t xml:space="preserve">（1）工程量（特别是拆除和隐蔽工程工程量）的计量与现场签收必须随工程进度随时进行。承包人应于每月25日向监理人报送上月20日至当月19日已完成的工程量报告，并附具进度付款申请单、已完成工程量报表和有关资料。</w:t>
      </w:r>
      <w:r>
        <w:rPr>
          <w:highlight w:val="none"/>
        </w:rPr>
      </w:r>
      <w:r/>
    </w:p>
    <w:p>
      <w:pPr>
        <w:ind w:firstLine="420"/>
        <w:spacing w:line="360" w:lineRule="auto"/>
        <w:rPr>
          <w:rFonts w:ascii="宋体" w:hAnsi="宋体" w:cs="宋体"/>
          <w:color w:val="000000"/>
          <w:szCs w:val="21"/>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highlight w:val="none"/>
        </w:rPr>
      </w:r>
      <w:r/>
    </w:p>
    <w:p>
      <w:pPr>
        <w:ind w:firstLine="420"/>
        <w:spacing w:line="360" w:lineRule="auto"/>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u w:val="single"/>
        </w:rPr>
        <w:t xml:space="preserve">（3）监理人未在收到承包人提交的工程量报表后的7天内完成审核的，承包人报送的工程量报告中的工程量视为承包人实际完成的工程量，据此计算工程价款。</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11.3.4 总价合同的计量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关于总价合同计量的约定：</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11.3.5 其他价格形式合同的计量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其他价格形式的计量方式和程序：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11.4 工程进度款支付</w:t>
      </w:r>
      <w:r>
        <w:rPr>
          <w:highlight w:val="none"/>
        </w:rPr>
      </w:r>
      <w:r/>
    </w:p>
    <w:p>
      <w:pPr>
        <w:ind w:firstLine="420"/>
        <w:spacing w:line="360" w:lineRule="auto"/>
        <w:rPr>
          <w:rFonts w:ascii="宋体" w:hAnsi="宋体" w:cs="宋体"/>
          <w:szCs w:val="21"/>
          <w:highlight w:val="none"/>
        </w:rPr>
      </w:pPr>
      <w:r>
        <w:rPr>
          <w:highlight w:val="none"/>
        </w:rPr>
      </w:r>
      <w:bookmarkStart w:id="525" w:name="_Toc296891039"/>
      <w:r>
        <w:rPr>
          <w:highlight w:val="none"/>
        </w:rPr>
      </w:r>
      <w:bookmarkStart w:id="526" w:name="_Toc297123556"/>
      <w:r>
        <w:rPr>
          <w:highlight w:val="none"/>
        </w:rPr>
      </w:r>
      <w:bookmarkStart w:id="527" w:name="_Toc303539163"/>
      <w:r>
        <w:rPr>
          <w:highlight w:val="none"/>
        </w:rPr>
      </w:r>
      <w:bookmarkStart w:id="528" w:name="_Toc292559416"/>
      <w:r>
        <w:rPr>
          <w:highlight w:val="none"/>
        </w:rPr>
      </w:r>
      <w:bookmarkStart w:id="529" w:name="_Toc296891251"/>
      <w:r>
        <w:rPr>
          <w:highlight w:val="none"/>
        </w:rPr>
      </w:r>
      <w:bookmarkStart w:id="530" w:name="_Toc296503211"/>
      <w:r>
        <w:rPr>
          <w:highlight w:val="none"/>
        </w:rPr>
      </w:r>
      <w:bookmarkStart w:id="531" w:name="_Toc297120511"/>
      <w:r>
        <w:rPr>
          <w:highlight w:val="none"/>
        </w:rPr>
      </w:r>
      <w:bookmarkStart w:id="532" w:name="_Toc296944550"/>
      <w:r>
        <w:rPr>
          <w:highlight w:val="none"/>
        </w:rPr>
      </w:r>
      <w:bookmarkStart w:id="533" w:name="_Toc297216215"/>
      <w:r>
        <w:rPr>
          <w:highlight w:val="none"/>
        </w:rPr>
      </w:r>
      <w:bookmarkStart w:id="534" w:name="_Toc296347210"/>
      <w:r>
        <w:rPr>
          <w:highlight w:val="none"/>
        </w:rPr>
      </w:r>
      <w:bookmarkStart w:id="535" w:name="_Toc296346712"/>
      <w:r>
        <w:rPr>
          <w:highlight w:val="none"/>
        </w:rPr>
      </w:r>
      <w:bookmarkStart w:id="536" w:name="_Toc292559921"/>
      <w:r>
        <w:rPr>
          <w:highlight w:val="none"/>
        </w:rPr>
      </w:r>
      <w:bookmarkStart w:id="537" w:name="_Toc297048397"/>
      <w:r>
        <w:rPr>
          <w:highlight w:val="none"/>
        </w:rPr>
      </w:r>
      <w:bookmarkStart w:id="538" w:name="_Toc300935006"/>
      <w:r>
        <w:rPr>
          <w:rFonts w:hint="eastAsia" w:ascii="宋体" w:hAnsi="宋体" w:cs="宋体"/>
          <w:szCs w:val="21"/>
          <w:highlight w:val="none"/>
        </w:rPr>
        <w:t xml:space="preserve">11.4.1 付款周期</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关于付款周期的约定：</w:t>
      </w:r>
      <w:r>
        <w:rPr>
          <w:highlight w:val="none"/>
        </w:rPr>
      </w:r>
      <w:r/>
    </w:p>
    <w:p>
      <w:pPr>
        <w:ind w:firstLine="420"/>
        <w:spacing w:line="360" w:lineRule="auto"/>
        <w:rPr>
          <w:rFonts w:ascii="宋体" w:hAnsi="宋体"/>
          <w:highlight w:val="none"/>
        </w:rPr>
      </w:pPr>
      <w:r>
        <w:rPr>
          <w:rFonts w:hint="eastAsia" w:ascii="宋体" w:hAnsi="宋体"/>
          <w:highlight w:val="none"/>
        </w:rPr>
        <w:t xml:space="preserve">结算价即审定价。</w:t>
      </w:r>
      <w:r>
        <w:rPr>
          <w:rFonts w:hint="eastAsia" w:ascii="宋体" w:hAnsi="宋体"/>
          <w:szCs w:val="21"/>
          <w:highlight w:val="none"/>
        </w:rPr>
        <w:t xml:space="preserve">如乙方磋商时的最终报价相比</w:t>
      </w:r>
      <w:r>
        <w:rPr>
          <w:rFonts w:hint="eastAsia" w:ascii="宋体" w:hAnsi="宋体" w:cs="宋体"/>
          <w:szCs w:val="21"/>
          <w:highlight w:val="none"/>
          <w:lang w:bidi="ar"/>
        </w:rPr>
        <w:t xml:space="preserve">首轮报价</w:t>
      </w:r>
      <w:r>
        <w:rPr>
          <w:rFonts w:hint="eastAsia" w:ascii="宋体" w:hAnsi="宋体"/>
          <w:szCs w:val="21"/>
          <w:highlight w:val="none"/>
        </w:rPr>
        <w:t xml:space="preserve">进行下浮，含税单价以乙方最终报价等比例下浮后的为准。</w:t>
      </w:r>
      <w:r>
        <w:rPr>
          <w:highlight w:val="none"/>
        </w:rPr>
      </w:r>
      <w:r/>
    </w:p>
    <w:p>
      <w:pPr>
        <w:ind w:firstLine="420"/>
        <w:spacing w:line="360" w:lineRule="auto"/>
        <w:rPr>
          <w:rFonts w:ascii="宋体" w:hAnsi="宋体" w:cs="宋体"/>
          <w:color w:val="ff0000"/>
          <w:szCs w:val="21"/>
          <w:highlight w:val="none"/>
          <w:shd w:val="clear" w:color="auto" w:fill="ffffff"/>
        </w:rPr>
      </w:pPr>
      <w:r>
        <w:rPr>
          <w:rFonts w:hint="eastAsia" w:ascii="宋体" w:hAnsi="宋体"/>
          <w:highlight w:val="none"/>
        </w:rPr>
        <w:t xml:space="preserve">付款周期：</w:t>
      </w:r>
      <w:r>
        <w:rPr>
          <w:rFonts w:hint="eastAsia" w:ascii="宋体" w:hAnsi="宋体"/>
          <w:color w:val="ff0000"/>
          <w:highlight w:val="none"/>
        </w:rPr>
        <w:t xml:space="preserve">合同价款分四次支付，工程主体完成支付合同总价的30%，工程竣工并通过审计支付至审定价的60%（留整），竣工满一年付至审定价的80%（取整），竣工满两年按照审定价付清全部款项。</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关于进度付款申请单编制的约定：</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w:t>
      </w:r>
      <w:bookmarkEnd w:id="525"/>
      <w:r>
        <w:rPr>
          <w:highlight w:val="none"/>
        </w:rPr>
      </w:r>
      <w:bookmarkEnd w:id="526"/>
      <w:r>
        <w:rPr>
          <w:highlight w:val="none"/>
        </w:rPr>
      </w:r>
      <w:bookmarkEnd w:id="527"/>
      <w:r>
        <w:rPr>
          <w:highlight w:val="none"/>
        </w:rPr>
      </w:r>
      <w:bookmarkEnd w:id="528"/>
      <w:r>
        <w:rPr>
          <w:highlight w:val="none"/>
        </w:rPr>
      </w:r>
      <w:bookmarkEnd w:id="529"/>
      <w:r>
        <w:rPr>
          <w:highlight w:val="none"/>
        </w:rPr>
      </w:r>
      <w:bookmarkEnd w:id="530"/>
      <w:r>
        <w:rPr>
          <w:highlight w:val="none"/>
        </w:rPr>
      </w:r>
      <w:bookmarkEnd w:id="531"/>
      <w:r>
        <w:rPr>
          <w:highlight w:val="none"/>
        </w:rPr>
      </w:r>
      <w:bookmarkEnd w:id="532"/>
      <w:r>
        <w:rPr>
          <w:highlight w:val="none"/>
        </w:rPr>
      </w:r>
      <w:bookmarkEnd w:id="533"/>
      <w:r>
        <w:rPr>
          <w:highlight w:val="none"/>
        </w:rPr>
      </w:r>
      <w:bookmarkEnd w:id="534"/>
      <w:r>
        <w:rPr>
          <w:highlight w:val="none"/>
        </w:rPr>
      </w:r>
      <w:bookmarkEnd w:id="535"/>
      <w:r>
        <w:rPr>
          <w:highlight w:val="none"/>
        </w:rPr>
      </w:r>
      <w:bookmarkEnd w:id="536"/>
      <w:r>
        <w:rPr>
          <w:highlight w:val="none"/>
        </w:rPr>
      </w:r>
      <w:bookmarkEnd w:id="537"/>
      <w:r>
        <w:rPr>
          <w:highlight w:val="none"/>
        </w:rPr>
      </w:r>
      <w:bookmarkEnd w:id="538"/>
      <w:r>
        <w:rPr>
          <w:rFonts w:hint="eastAsia" w:ascii="宋体" w:hAnsi="宋体" w:cs="宋体"/>
          <w:szCs w:val="21"/>
          <w:highlight w:val="none"/>
        </w:rPr>
        <w:t xml:space="preserve">1.4.2 进度付款申请单的提交</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（1）单价合同进度付款申请单提交的约定：</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（2）总价合同进度付款申请单提交的约定：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（3）其他价格形式合同进度付款申请单提交的约定：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11.4.3进度款审核和支付</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（1）监理人审查并报送发包人的期限：</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发包人完成审批并签发进度款支付证书的期限：</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（2）发包人支付进度款的期限：</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发包人逾期支付进度款的违约金的计算方式：</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11.4.4 支付分解表的编制</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2、总价合同支付分解表的编制与审批：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3、单价合同的总价项目支付分解表的编制与审批：</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539" w:name="_Toc351203645"/>
      <w:r>
        <w:rPr>
          <w:highlight w:val="none"/>
        </w:rPr>
      </w:r>
      <w:bookmarkStart w:id="540" w:name="_Toc300935015"/>
      <w:r>
        <w:rPr>
          <w:highlight w:val="none"/>
        </w:rPr>
      </w:r>
      <w:bookmarkStart w:id="541" w:name="_Toc296891259"/>
      <w:r>
        <w:rPr>
          <w:highlight w:val="none"/>
        </w:rPr>
      </w:r>
      <w:bookmarkStart w:id="542" w:name="_Toc304295593"/>
      <w:r>
        <w:rPr>
          <w:highlight w:val="none"/>
        </w:rPr>
      </w:r>
      <w:bookmarkStart w:id="543" w:name="_Toc296503219"/>
      <w:r>
        <w:rPr>
          <w:highlight w:val="none"/>
        </w:rPr>
      </w:r>
      <w:bookmarkStart w:id="544" w:name="_Toc292559929"/>
      <w:r>
        <w:rPr>
          <w:highlight w:val="none"/>
        </w:rPr>
      </w:r>
      <w:bookmarkStart w:id="545" w:name="_Toc297048405"/>
      <w:r>
        <w:rPr>
          <w:highlight w:val="none"/>
        </w:rPr>
      </w:r>
      <w:bookmarkStart w:id="546" w:name="_Toc296891047"/>
      <w:r>
        <w:rPr>
          <w:highlight w:val="none"/>
        </w:rPr>
      </w:r>
      <w:bookmarkStart w:id="547" w:name="_Toc303539172"/>
      <w:r>
        <w:rPr>
          <w:highlight w:val="none"/>
        </w:rPr>
      </w:r>
      <w:bookmarkStart w:id="548" w:name="_Toc312678053"/>
      <w:r>
        <w:rPr>
          <w:highlight w:val="none"/>
        </w:rPr>
      </w:r>
      <w:bookmarkStart w:id="549" w:name="_Toc296346720"/>
      <w:r>
        <w:rPr>
          <w:highlight w:val="none"/>
        </w:rPr>
      </w:r>
      <w:bookmarkStart w:id="550" w:name="_Toc297216223"/>
      <w:r>
        <w:rPr>
          <w:highlight w:val="none"/>
        </w:rPr>
      </w:r>
      <w:bookmarkStart w:id="551" w:name="_Toc296347218"/>
      <w:r>
        <w:rPr>
          <w:highlight w:val="none"/>
        </w:rPr>
      </w:r>
      <w:bookmarkStart w:id="552" w:name="_Toc297120519"/>
      <w:r>
        <w:rPr>
          <w:highlight w:val="none"/>
        </w:rPr>
      </w:r>
      <w:bookmarkStart w:id="553" w:name="_Toc297123564"/>
      <w:r>
        <w:rPr>
          <w:highlight w:val="none"/>
        </w:rPr>
      </w:r>
      <w:bookmarkStart w:id="554" w:name="_Toc296944558"/>
      <w:r>
        <w:rPr>
          <w:highlight w:val="none"/>
        </w:rPr>
      </w:r>
      <w:bookmarkStart w:id="555" w:name="_Toc292559424"/>
      <w:r>
        <w:rPr>
          <w:highlight w:val="none"/>
        </w:rPr>
      </w:r>
      <w:bookmarkEnd w:id="368"/>
      <w:r>
        <w:rPr>
          <w:rFonts w:hint="eastAsia" w:ascii="宋体" w:hAnsi="宋体" w:cs="宋体"/>
          <w:szCs w:val="21"/>
          <w:highlight w:val="none"/>
        </w:rPr>
        <w:t xml:space="preserve">12. 验收和工程试车</w:t>
      </w:r>
      <w:bookmarkEnd w:id="539"/>
      <w:r>
        <w:rPr>
          <w:highlight w:val="none"/>
        </w:rPr>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12.1 分部分项工程验收</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12.1.1监理人不能按时进行验收时，应提前</w:t>
      </w:r>
      <w:r>
        <w:rPr>
          <w:rFonts w:hint="eastAsia" w:ascii="宋体" w:hAnsi="宋体" w:cs="宋体"/>
          <w:szCs w:val="21"/>
          <w:highlight w:val="none"/>
          <w:u w:val="single"/>
        </w:rPr>
        <w:t xml:space="preserve">  24  </w:t>
      </w:r>
      <w:r>
        <w:rPr>
          <w:rFonts w:hint="eastAsia" w:ascii="宋体" w:hAnsi="宋体" w:cs="宋体"/>
          <w:szCs w:val="21"/>
          <w:highlight w:val="none"/>
        </w:rPr>
        <w:t xml:space="preserve">小时提交书面延期要求。</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  48  </w:t>
      </w:r>
      <w:r>
        <w:rPr>
          <w:rFonts w:hint="eastAsia" w:ascii="宋体" w:hAnsi="宋体" w:cs="宋体"/>
          <w:szCs w:val="21"/>
          <w:highlight w:val="none"/>
        </w:rPr>
        <w:t xml:space="preserve">小时。</w:t>
      </w:r>
      <w:r>
        <w:rPr>
          <w:highlight w:val="none"/>
        </w:rPr>
      </w:r>
      <w:r/>
    </w:p>
    <w:p>
      <w:pPr>
        <w:ind w:firstLine="420"/>
        <w:spacing w:line="360" w:lineRule="auto"/>
        <w:rPr>
          <w:rFonts w:ascii="宋体" w:hAnsi="宋体" w:cs="宋体"/>
          <w:szCs w:val="21"/>
          <w:highlight w:val="none"/>
        </w:rPr>
      </w:pPr>
      <w:r>
        <w:rPr>
          <w:highlight w:val="none"/>
        </w:rPr>
      </w:r>
      <w:bookmarkStart w:id="556" w:name="_Toc292559933"/>
      <w:r>
        <w:rPr>
          <w:highlight w:val="none"/>
        </w:rPr>
      </w:r>
      <w:bookmarkStart w:id="557" w:name="_Toc296891263"/>
      <w:r>
        <w:rPr>
          <w:highlight w:val="none"/>
        </w:rPr>
      </w:r>
      <w:bookmarkStart w:id="558" w:name="_Toc296503223"/>
      <w:r>
        <w:rPr>
          <w:highlight w:val="none"/>
        </w:rPr>
      </w:r>
      <w:bookmarkStart w:id="559" w:name="_Toc297120523"/>
      <w:r>
        <w:rPr>
          <w:highlight w:val="none"/>
        </w:rPr>
      </w:r>
      <w:bookmarkStart w:id="560" w:name="_Toc303539173"/>
      <w:r>
        <w:rPr>
          <w:highlight w:val="none"/>
        </w:rPr>
      </w:r>
      <w:bookmarkStart w:id="561" w:name="_Toc292559428"/>
      <w:r>
        <w:rPr>
          <w:highlight w:val="none"/>
        </w:rPr>
      </w:r>
      <w:bookmarkStart w:id="562" w:name="_Toc297048409"/>
      <w:r>
        <w:rPr>
          <w:highlight w:val="none"/>
        </w:rPr>
      </w:r>
      <w:bookmarkStart w:id="563" w:name="_Toc296346724"/>
      <w:r>
        <w:rPr>
          <w:highlight w:val="none"/>
        </w:rPr>
      </w:r>
      <w:bookmarkStart w:id="564" w:name="_Toc300935016"/>
      <w:r>
        <w:rPr>
          <w:highlight w:val="none"/>
        </w:rPr>
      </w:r>
      <w:bookmarkStart w:id="565" w:name="_Toc297123565"/>
      <w:r>
        <w:rPr>
          <w:highlight w:val="none"/>
        </w:rPr>
      </w:r>
      <w:bookmarkStart w:id="566" w:name="_Toc296944562"/>
      <w:r>
        <w:rPr>
          <w:highlight w:val="none"/>
        </w:rPr>
      </w:r>
      <w:bookmarkStart w:id="567" w:name="_Toc304295596"/>
      <w:r>
        <w:rPr>
          <w:highlight w:val="none"/>
        </w:rPr>
      </w:r>
      <w:bookmarkStart w:id="568" w:name="_Toc296891051"/>
      <w:r>
        <w:rPr>
          <w:highlight w:val="none"/>
        </w:rPr>
      </w:r>
      <w:bookmarkStart w:id="569" w:name="_Toc296347222"/>
      <w:r>
        <w:rPr>
          <w:highlight w:val="none"/>
        </w:rPr>
      </w:r>
      <w:bookmarkStart w:id="570" w:name="_Toc297216224"/>
      <w:r>
        <w:rPr>
          <w:highlight w:val="none"/>
        </w:rPr>
      </w:r>
      <w:bookmarkStart w:id="571" w:name="_Toc312678056"/>
      <w:r>
        <w:rPr>
          <w:highlight w:val="none"/>
        </w:rPr>
      </w:r>
      <w:bookmarkStart w:id="572" w:name="_Toc267251470"/>
      <w:r>
        <w:rPr>
          <w:highlight w:val="none"/>
        </w:rPr>
      </w:r>
      <w:bookmarkStart w:id="573" w:name="_Toc267251471"/>
      <w:r>
        <w:rPr>
          <w:highlight w:val="none"/>
        </w:rPr>
      </w:r>
      <w:bookmarkStart w:id="574" w:name="_Toc267251476"/>
      <w:r>
        <w:rPr>
          <w:highlight w:val="none"/>
        </w:rPr>
      </w:r>
      <w:bookmarkStart w:id="575" w:name="_Toc267251475"/>
      <w:r>
        <w:rPr>
          <w:highlight w:val="none"/>
        </w:rPr>
      </w:r>
      <w:bookmarkStart w:id="576" w:name="_Toc267251474"/>
      <w:r>
        <w:rPr>
          <w:highlight w:val="none"/>
        </w:rPr>
      </w:r>
      <w:bookmarkStart w:id="577" w:name="_Toc267251472"/>
      <w:r>
        <w:rPr>
          <w:highlight w:val="none"/>
        </w:rPr>
      </w:r>
      <w:bookmarkStart w:id="578" w:name="_Toc267251473"/>
      <w:r>
        <w:rPr>
          <w:rFonts w:hint="eastAsia" w:ascii="宋体" w:hAnsi="宋体" w:cs="宋体"/>
          <w:szCs w:val="21"/>
          <w:highlight w:val="none"/>
        </w:rPr>
        <w:t xml:space="preserve">12.2 竣工验收</w:t>
      </w:r>
      <w:r>
        <w:rPr>
          <w:highlight w:val="none"/>
        </w:rPr>
      </w:r>
      <w:r/>
    </w:p>
    <w:p>
      <w:pPr>
        <w:ind w:firstLine="420"/>
        <w:spacing w:line="360" w:lineRule="auto"/>
        <w:rPr>
          <w:rFonts w:ascii="宋体" w:hAnsi="宋体" w:cs="宋体"/>
          <w:szCs w:val="21"/>
          <w:highlight w:val="none"/>
        </w:rPr>
      </w:pPr>
      <w:r>
        <w:rPr>
          <w:highlight w:val="none"/>
        </w:rPr>
      </w:r>
      <w:bookmarkStart w:id="579" w:name="_Toc280868704"/>
      <w:r>
        <w:rPr>
          <w:highlight w:val="none"/>
        </w:rPr>
      </w:r>
      <w:bookmarkStart w:id="580" w:name="_Toc280868705"/>
      <w:r>
        <w:rPr>
          <w:highlight w:val="none"/>
        </w:rPr>
      </w:r>
      <w:bookmarkStart w:id="581" w:name="_Toc280868706"/>
      <w:r>
        <w:rPr>
          <w:highlight w:val="none"/>
        </w:rPr>
      </w:r>
      <w:bookmarkStart w:id="582" w:name="_Toc280868707"/>
      <w:r>
        <w:rPr>
          <w:highlight w:val="none"/>
        </w:rPr>
      </w:r>
      <w:bookmarkStart w:id="583" w:name="_Toc280868708"/>
      <w:r>
        <w:rPr>
          <w:highlight w:val="none"/>
        </w:rPr>
      </w:r>
      <w:bookmarkStart w:id="584" w:name="_Toc280868709"/>
      <w:r>
        <w:rPr>
          <w:highlight w:val="none"/>
        </w:rPr>
      </w:r>
      <w:bookmarkEnd w:id="556"/>
      <w:r>
        <w:rPr>
          <w:highlight w:val="none"/>
        </w:rPr>
      </w:r>
      <w:bookmarkEnd w:id="557"/>
      <w:r>
        <w:rPr>
          <w:highlight w:val="none"/>
        </w:rPr>
      </w:r>
      <w:bookmarkEnd w:id="558"/>
      <w:r>
        <w:rPr>
          <w:highlight w:val="none"/>
        </w:rPr>
      </w:r>
      <w:bookmarkEnd w:id="559"/>
      <w:r>
        <w:rPr>
          <w:highlight w:val="none"/>
        </w:rPr>
      </w:r>
      <w:bookmarkEnd w:id="560"/>
      <w:r>
        <w:rPr>
          <w:highlight w:val="none"/>
        </w:rPr>
      </w:r>
      <w:bookmarkEnd w:id="561"/>
      <w:r>
        <w:rPr>
          <w:highlight w:val="none"/>
        </w:rPr>
      </w:r>
      <w:bookmarkEnd w:id="562"/>
      <w:r>
        <w:rPr>
          <w:highlight w:val="none"/>
        </w:rPr>
      </w:r>
      <w:bookmarkEnd w:id="563"/>
      <w:r>
        <w:rPr>
          <w:highlight w:val="none"/>
        </w:rPr>
      </w:r>
      <w:bookmarkEnd w:id="564"/>
      <w:r>
        <w:rPr>
          <w:highlight w:val="none"/>
        </w:rPr>
      </w:r>
      <w:bookmarkEnd w:id="565"/>
      <w:r>
        <w:rPr>
          <w:highlight w:val="none"/>
        </w:rPr>
      </w:r>
      <w:bookmarkEnd w:id="566"/>
      <w:r>
        <w:rPr>
          <w:highlight w:val="none"/>
        </w:rPr>
      </w:r>
      <w:bookmarkEnd w:id="567"/>
      <w:r>
        <w:rPr>
          <w:highlight w:val="none"/>
        </w:rPr>
      </w:r>
      <w:bookmarkEnd w:id="568"/>
      <w:r>
        <w:rPr>
          <w:highlight w:val="none"/>
        </w:rPr>
      </w:r>
      <w:bookmarkEnd w:id="569"/>
      <w:r>
        <w:rPr>
          <w:highlight w:val="none"/>
        </w:rPr>
      </w:r>
      <w:bookmarkEnd w:id="570"/>
      <w:r>
        <w:rPr>
          <w:highlight w:val="none"/>
        </w:rPr>
      </w:r>
      <w:bookmarkEnd w:id="571"/>
      <w:r>
        <w:rPr>
          <w:rFonts w:hint="eastAsia" w:ascii="宋体" w:hAnsi="宋体" w:cs="宋体"/>
          <w:szCs w:val="21"/>
          <w:highlight w:val="none"/>
        </w:rPr>
        <w:t xml:space="preserve">12.2.1竣工验收程序</w:t>
      </w:r>
      <w:bookmarkEnd w:id="579"/>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关于竣工验收程序的约定：</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发包人不按照本项约定组织竣工验收、颁发工程接收证书的违约金的计算方法：</w:t>
      </w:r>
      <w:r>
        <w:rPr>
          <w:rFonts w:hint="eastAsia" w:ascii="宋体" w:hAnsi="宋体" w:cs="宋体"/>
          <w:szCs w:val="21"/>
          <w:highlight w:val="none"/>
          <w:u w:val="single"/>
        </w:rPr>
        <w:t xml:space="preserve">无</w:t>
      </w:r>
      <w:r>
        <w:rPr>
          <w:rFonts w:hint="eastAsia" w:ascii="宋体" w:hAnsi="宋体" w:cs="宋体"/>
          <w:szCs w:val="21"/>
          <w:highlight w:val="none"/>
        </w:rPr>
        <w:t xml:space="preserve">。</w:t>
      </w:r>
      <w:bookmarkEnd w:id="580"/>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12.2.2移交、接收全部与部分工程</w:t>
      </w:r>
      <w:bookmarkEnd w:id="581"/>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承包人向发包人移交工程的期限：</w:t>
      </w:r>
      <w:r>
        <w:rPr>
          <w:rFonts w:hint="eastAsia" w:ascii="宋体" w:hAnsi="宋体" w:cs="宋体"/>
          <w:szCs w:val="21"/>
          <w:highlight w:val="none"/>
          <w:u w:val="single"/>
        </w:rPr>
        <w:t xml:space="preserve">   按照合同约定工期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发包人未按本合同约定接收全部或部分工程的，违约金的计算方法为：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bookmarkEnd w:id="582"/>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承包人未按时移交工程的，违约金的计算方法为：</w:t>
      </w:r>
      <w:r>
        <w:rPr>
          <w:rFonts w:hint="eastAsia" w:ascii="宋体" w:hAnsi="宋体" w:cs="宋体"/>
          <w:spacing w:val="10"/>
          <w:szCs w:val="21"/>
          <w:highlight w:val="none"/>
          <w:u w:val="single"/>
        </w:rPr>
        <w:t xml:space="preserve">/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12.3 工程试车</w:t>
      </w:r>
      <w:bookmarkEnd w:id="583"/>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12.3.1 试车程序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工程试车内容：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（1）单机无负荷试车费用由</w:t>
      </w:r>
      <w:r>
        <w:rPr>
          <w:rFonts w:hint="eastAsia" w:ascii="宋体" w:hAnsi="宋体" w:cs="宋体"/>
          <w:szCs w:val="21"/>
          <w:highlight w:val="none"/>
          <w:u w:val="single"/>
        </w:rPr>
        <w:t xml:space="preserve">     /  </w:t>
      </w:r>
      <w:r>
        <w:rPr>
          <w:rFonts w:hint="eastAsia" w:ascii="宋体" w:hAnsi="宋体" w:cs="宋体"/>
          <w:szCs w:val="21"/>
          <w:highlight w:val="none"/>
        </w:rPr>
        <w:t xml:space="preserve">承担；</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（2）无负荷联动试车费用由</w:t>
      </w:r>
      <w:r>
        <w:rPr>
          <w:rFonts w:hint="eastAsia" w:ascii="宋体" w:hAnsi="宋体" w:cs="宋体"/>
          <w:szCs w:val="21"/>
          <w:highlight w:val="none"/>
          <w:u w:val="single"/>
        </w:rPr>
        <w:t xml:space="preserve">     /      </w:t>
      </w:r>
      <w:r>
        <w:rPr>
          <w:rFonts w:hint="eastAsia" w:ascii="宋体" w:hAnsi="宋体" w:cs="宋体"/>
          <w:szCs w:val="21"/>
          <w:highlight w:val="none"/>
        </w:rPr>
        <w:t xml:space="preserve">承担。</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12.3.2 投料试车</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关于投料试车相关事项的约定：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12.4 竣工退场</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12.4.1 竣工退场</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承包人完成竣工退场的期限：</w:t>
      </w:r>
      <w:r>
        <w:rPr>
          <w:rFonts w:hint="eastAsia" w:ascii="宋体" w:hAnsi="宋体" w:cs="宋体"/>
          <w:szCs w:val="21"/>
          <w:highlight w:val="none"/>
          <w:u w:val="single"/>
        </w:rPr>
        <w:t xml:space="preserve">   竣工验收合同20日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585" w:name="_Toc351203646"/>
      <w:r>
        <w:rPr>
          <w:rFonts w:hint="eastAsia" w:ascii="宋体" w:hAnsi="宋体" w:cs="宋体"/>
          <w:szCs w:val="21"/>
          <w:highlight w:val="none"/>
        </w:rPr>
        <w:t xml:space="preserve">13. 竣工结算</w:t>
      </w:r>
      <w:bookmarkEnd w:id="585"/>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13.1 竣工付款申请</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承包人提交竣工付款申请单的期限：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竣工付款申请单应包括的内容：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13.2 竣工结算审核</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发包人完成竣工付款的期限：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关于竣工付款证书异议部分复核的方式和程序：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13.3 最终结清</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13.3.1 最终结清申请单</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承包人提交最终结清申请单的份数：</w:t>
      </w:r>
      <w:r>
        <w:rPr>
          <w:rFonts w:hint="eastAsia" w:ascii="宋体" w:hAnsi="宋体" w:cs="宋体"/>
          <w:szCs w:val="21"/>
          <w:highlight w:val="none"/>
          <w:u w:val="single"/>
        </w:rPr>
        <w:t xml:space="preserve">   叁份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承包人提交最终结算申请单的期限：</w:t>
      </w:r>
      <w:r>
        <w:rPr>
          <w:rFonts w:hint="eastAsia" w:ascii="宋体" w:hAnsi="宋体" w:cs="宋体"/>
          <w:szCs w:val="21"/>
          <w:highlight w:val="none"/>
          <w:u w:val="single"/>
        </w:rPr>
        <w:t xml:space="preserve">   根据进度款支付周期节点时间15日内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13.3.2 最终结清证书和支付</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（1）发包人完成最终结清申请单的审批并颁发最终结清证书的期限：</w:t>
      </w:r>
      <w:r>
        <w:rPr>
          <w:rFonts w:hint="eastAsia" w:ascii="宋体" w:hAnsi="宋体" w:cs="宋体"/>
          <w:szCs w:val="21"/>
          <w:highlight w:val="none"/>
          <w:u w:val="single"/>
        </w:rPr>
        <w:t xml:space="preserve"> 在缺陷责任期终止证书颁发后15天内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（2）发包人完成支付的期限：</w:t>
      </w:r>
      <w:r>
        <w:rPr>
          <w:rFonts w:hint="eastAsia" w:ascii="宋体" w:hAnsi="宋体" w:cs="宋体"/>
          <w:szCs w:val="21"/>
          <w:highlight w:val="none"/>
          <w:u w:val="single"/>
        </w:rPr>
        <w:t xml:space="preserve">  按进度款支付约定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586" w:name="_Toc351203647"/>
      <w:r>
        <w:rPr>
          <w:highlight w:val="none"/>
        </w:rPr>
      </w:r>
      <w:bookmarkStart w:id="587" w:name="_Toc267251483"/>
      <w:r>
        <w:rPr>
          <w:highlight w:val="none"/>
        </w:rPr>
      </w:r>
      <w:bookmarkStart w:id="588" w:name="_Toc267251482"/>
      <w:r>
        <w:rPr>
          <w:highlight w:val="none"/>
        </w:rPr>
      </w:r>
      <w:bookmarkStart w:id="589" w:name="_Toc267251484"/>
      <w:r>
        <w:rPr>
          <w:highlight w:val="none"/>
        </w:rPr>
      </w:r>
      <w:bookmarkStart w:id="590" w:name="_Toc267251485"/>
      <w:r>
        <w:rPr>
          <w:highlight w:val="none"/>
        </w:rPr>
      </w:r>
      <w:bookmarkStart w:id="591" w:name="_Toc267251489"/>
      <w:r>
        <w:rPr>
          <w:highlight w:val="none"/>
        </w:rPr>
      </w:r>
      <w:bookmarkStart w:id="592" w:name="_Toc267251486"/>
      <w:r>
        <w:rPr>
          <w:highlight w:val="none"/>
        </w:rPr>
      </w:r>
      <w:bookmarkStart w:id="593" w:name="_Toc267251490"/>
      <w:r>
        <w:rPr>
          <w:highlight w:val="none"/>
        </w:rPr>
      </w:r>
      <w:bookmarkStart w:id="594" w:name="_Toc267251488"/>
      <w:r>
        <w:rPr>
          <w:highlight w:val="none"/>
        </w:rPr>
      </w:r>
      <w:bookmarkStart w:id="595" w:name="_Toc267251497"/>
      <w:r>
        <w:rPr>
          <w:highlight w:val="none"/>
        </w:rPr>
      </w:r>
      <w:bookmarkStart w:id="596" w:name="_Toc267251498"/>
      <w:r>
        <w:rPr>
          <w:highlight w:val="none"/>
        </w:rPr>
      </w:r>
      <w:bookmarkStart w:id="597" w:name="_Toc267251493"/>
      <w:r>
        <w:rPr>
          <w:highlight w:val="none"/>
        </w:rPr>
      </w:r>
      <w:bookmarkStart w:id="598" w:name="_Toc267251501"/>
      <w:r>
        <w:rPr>
          <w:highlight w:val="none"/>
        </w:rPr>
      </w:r>
      <w:bookmarkStart w:id="599" w:name="_Toc267251491"/>
      <w:r>
        <w:rPr>
          <w:highlight w:val="none"/>
        </w:rPr>
      </w:r>
      <w:bookmarkStart w:id="600" w:name="_Toc267251502"/>
      <w:r>
        <w:rPr>
          <w:highlight w:val="none"/>
        </w:rPr>
      </w:r>
      <w:bookmarkStart w:id="601" w:name="_Toc267251495"/>
      <w:r>
        <w:rPr>
          <w:highlight w:val="none"/>
        </w:rPr>
      </w:r>
      <w:bookmarkStart w:id="602" w:name="_Toc267251499"/>
      <w:r>
        <w:rPr>
          <w:highlight w:val="none"/>
        </w:rPr>
      </w:r>
      <w:bookmarkStart w:id="603" w:name="_Toc267251492"/>
      <w:r>
        <w:rPr>
          <w:highlight w:val="none"/>
        </w:rPr>
      </w:r>
      <w:bookmarkStart w:id="604" w:name="_Toc267251496"/>
      <w:r>
        <w:rPr>
          <w:highlight w:val="none"/>
        </w:rPr>
      </w:r>
      <w:bookmarkStart w:id="605" w:name="_Toc267251503"/>
      <w:r>
        <w:rPr>
          <w:highlight w:val="none"/>
        </w:rPr>
      </w:r>
      <w:bookmarkStart w:id="606" w:name="_Toc267251494"/>
      <w:r>
        <w:rPr>
          <w:highlight w:val="none"/>
        </w:rPr>
      </w:r>
      <w:bookmarkStart w:id="607" w:name="_Toc267251506"/>
      <w:r>
        <w:rPr>
          <w:highlight w:val="none"/>
        </w:rPr>
      </w:r>
      <w:bookmarkStart w:id="608" w:name="_Toc267251504"/>
      <w:r>
        <w:rPr>
          <w:highlight w:val="none"/>
        </w:rPr>
      </w:r>
      <w:bookmarkStart w:id="609" w:name="_Toc267251507"/>
      <w:r>
        <w:rPr>
          <w:highlight w:val="none"/>
        </w:rPr>
      </w:r>
      <w:bookmarkStart w:id="610" w:name="_Toc267251508"/>
      <w:r>
        <w:rPr>
          <w:highlight w:val="none"/>
        </w:rPr>
      </w:r>
      <w:bookmarkStart w:id="611" w:name="_Toc267251511"/>
      <w:r>
        <w:rPr>
          <w:highlight w:val="none"/>
        </w:rPr>
      </w:r>
      <w:bookmarkStart w:id="612" w:name="_Toc267251514"/>
      <w:r>
        <w:rPr>
          <w:highlight w:val="none"/>
        </w:rPr>
      </w:r>
      <w:bookmarkStart w:id="613" w:name="_Toc267251513"/>
      <w:r>
        <w:rPr>
          <w:highlight w:val="none"/>
        </w:rPr>
      </w:r>
      <w:bookmarkStart w:id="614" w:name="_Toc267251515"/>
      <w:r>
        <w:rPr>
          <w:highlight w:val="none"/>
        </w:rPr>
      </w:r>
      <w:bookmarkStart w:id="615" w:name="_Toc267251509"/>
      <w:r>
        <w:rPr>
          <w:highlight w:val="none"/>
        </w:rPr>
      </w:r>
      <w:bookmarkStart w:id="616" w:name="_Toc267251510"/>
      <w:r>
        <w:rPr>
          <w:highlight w:val="none"/>
        </w:rPr>
      </w:r>
      <w:bookmarkEnd w:id="572"/>
      <w:r>
        <w:rPr>
          <w:highlight w:val="none"/>
        </w:rPr>
      </w:r>
      <w:bookmarkEnd w:id="573"/>
      <w:r>
        <w:rPr>
          <w:highlight w:val="none"/>
        </w:rPr>
      </w:r>
      <w:bookmarkEnd w:id="574"/>
      <w:r>
        <w:rPr>
          <w:highlight w:val="none"/>
        </w:rPr>
      </w:r>
      <w:bookmarkEnd w:id="575"/>
      <w:r>
        <w:rPr>
          <w:highlight w:val="none"/>
        </w:rPr>
      </w:r>
      <w:bookmarkEnd w:id="576"/>
      <w:r>
        <w:rPr>
          <w:highlight w:val="none"/>
        </w:rPr>
      </w:r>
      <w:bookmarkEnd w:id="577"/>
      <w:r>
        <w:rPr>
          <w:highlight w:val="none"/>
        </w:rPr>
      </w:r>
      <w:bookmarkEnd w:id="578"/>
      <w:r>
        <w:rPr>
          <w:highlight w:val="none"/>
        </w:rPr>
      </w:r>
      <w:bookmarkEnd w:id="584"/>
      <w:r>
        <w:rPr>
          <w:rFonts w:hint="eastAsia" w:ascii="宋体" w:hAnsi="宋体" w:cs="宋体"/>
          <w:szCs w:val="21"/>
          <w:highlight w:val="none"/>
        </w:rPr>
        <w:t xml:space="preserve">14. 缺陷责任期与保修</w:t>
      </w:r>
      <w:bookmarkEnd w:id="586"/>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14.1缺陷责任期</w:t>
      </w:r>
      <w:bookmarkEnd w:id="587"/>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缺陷责任期的具体期限：</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14.2 质量保证金</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关于是否扣留质量保证金的约定：</w:t>
      </w:r>
      <w:r>
        <w:rPr>
          <w:rFonts w:hint="eastAsia" w:ascii="宋体" w:hAnsi="宋体" w:cs="宋体"/>
          <w:szCs w:val="21"/>
          <w:highlight w:val="none"/>
          <w:u w:val="single"/>
        </w:rPr>
        <w:t xml:space="preserve">  是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14.2.1 承包人提供质量保证金的方式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质量保证金采用以下第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（1）质量保证金保函，保证金额为：；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  3  </w:t>
      </w:r>
      <w:r>
        <w:rPr>
          <w:rFonts w:hint="eastAsia" w:ascii="宋体" w:hAnsi="宋体" w:cs="宋体"/>
          <w:szCs w:val="21"/>
          <w:highlight w:val="none"/>
        </w:rPr>
        <w:t xml:space="preserve">%的工程款；</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（3）其他方式:。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14.2.2 质量保证金的扣留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质量保证金的扣留采取以下第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（1）在支付工程进度款时逐次扣留，在此情形下，质量保证金的计算基数不包括预付款的支付、扣回以及价格调整的金额；</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（2）工程竣工结算时一次性扣留质量保证金；</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（3）其他扣留方式:。</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关于质量保证金的补充约定：</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bookmarkEnd w:id="588"/>
      <w:r/>
      <w:bookmarkEnd w:id="589"/>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14.3保修</w:t>
      </w:r>
      <w:bookmarkEnd w:id="590"/>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14.3.1 保修责任</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工程保修期为：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14.3.2 修复通知</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承包人收到保修通知并到达工程现场的合理时间：</w:t>
      </w:r>
      <w:r>
        <w:rPr>
          <w:rFonts w:hint="eastAsia" w:ascii="宋体" w:hAnsi="宋体" w:cs="宋体"/>
          <w:szCs w:val="21"/>
          <w:highlight w:val="none"/>
          <w:u w:val="single"/>
        </w:rPr>
        <w:t xml:space="preserve">  按通用条款</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617" w:name="_Toc351203648"/>
      <w:r>
        <w:rPr>
          <w:highlight w:val="none"/>
        </w:rPr>
      </w:r>
      <w:bookmarkStart w:id="618" w:name="_Toc280868717"/>
      <w:r>
        <w:rPr>
          <w:highlight w:val="none"/>
        </w:rPr>
      </w:r>
      <w:bookmarkStart w:id="619" w:name="_Toc280868718"/>
      <w:r>
        <w:rPr>
          <w:highlight w:val="none"/>
        </w:rPr>
      </w:r>
      <w:bookmarkEnd w:id="591"/>
      <w:r>
        <w:rPr>
          <w:highlight w:val="none"/>
        </w:rPr>
      </w:r>
      <w:bookmarkEnd w:id="592"/>
      <w:r>
        <w:rPr>
          <w:highlight w:val="none"/>
        </w:rPr>
      </w:r>
      <w:bookmarkEnd w:id="593"/>
      <w:r>
        <w:rPr>
          <w:highlight w:val="none"/>
        </w:rPr>
      </w:r>
      <w:bookmarkEnd w:id="594"/>
      <w:r>
        <w:rPr>
          <w:rFonts w:hint="eastAsia" w:ascii="宋体" w:hAnsi="宋体" w:cs="宋体"/>
          <w:szCs w:val="21"/>
          <w:highlight w:val="none"/>
        </w:rPr>
        <w:t xml:space="preserve">15. 违约</w:t>
      </w:r>
      <w:bookmarkEnd w:id="617"/>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15.1 发包人违约</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15.1.1发包人违约的情形</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发包人违约的其他情形：</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15.1.2 发包人违约的责任</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发包人违约责任的承担方式和计算方法：</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（1）因发包人原因未能在计划开工日期前7天内下达开工通知的违约责任：</w:t>
      </w:r>
      <w:r>
        <w:rPr>
          <w:rFonts w:hint="eastAsia" w:ascii="宋体" w:hAnsi="宋体" w:cs="宋体"/>
          <w:szCs w:val="21"/>
          <w:highlight w:val="none"/>
          <w:u w:val="single"/>
        </w:rPr>
        <w:t xml:space="preserve">按通用条款</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（2）因发包人原因未能按合同约定支付合同价款的违约责任：</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（3）发包人违反第10.1款〔变更的范围〕第（2）项约定，自行实施被取消的工作或转由他人实施的违约责任：</w:t>
      </w:r>
      <w:r>
        <w:rPr>
          <w:rFonts w:hint="eastAsia" w:ascii="宋体" w:hAnsi="宋体" w:cs="宋体"/>
          <w:szCs w:val="21"/>
          <w:highlight w:val="none"/>
          <w:u w:val="single"/>
        </w:rPr>
        <w:t xml:space="preserve">  无 。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（5）因发包人违反合同约定造成暂停施工的违约责任：</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（6）其他：</w:t>
      </w:r>
      <w:r>
        <w:rPr>
          <w:rFonts w:hint="eastAsia" w:ascii="宋体" w:hAnsi="宋体" w:cs="宋体"/>
          <w:szCs w:val="21"/>
          <w:highlight w:val="none"/>
          <w:u w:val="single"/>
        </w:rPr>
        <w:t xml:space="preserve">   无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15.1.3 因发包人违约解除合同</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承包人按16.1.1项〔发包人违约的情形〕约定暂停施工满天后发包人仍不纠正其违约行为并致使合同目的不能实现的，承包人有权解除合同。</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15.2 承包人违约</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15.2.1 承包人违约的情形</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承包人违约的其他情形：</w:t>
      </w:r>
      <w:r>
        <w:rPr>
          <w:rFonts w:hint="eastAsia" w:ascii="宋体" w:hAnsi="宋体" w:cs="宋体"/>
          <w:szCs w:val="21"/>
          <w:highlight w:val="none"/>
          <w:u w:val="single"/>
        </w:rPr>
        <w:t xml:space="preserve"> 工期延误、质量问题、技术文件未按约定时间提交、承包人擅自停要或单方面终止合同等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15.2.2承包人违约的责任</w:t>
      </w:r>
      <w:r>
        <w:rPr>
          <w:highlight w:val="none"/>
        </w:rPr>
      </w:r>
      <w:r/>
    </w:p>
    <w:p>
      <w:pPr>
        <w:ind w:firstLine="420"/>
        <w:spacing w:line="360" w:lineRule="auto"/>
        <w:tabs>
          <w:tab w:val="left" w:pos="905" w:leader="none"/>
        </w:tabs>
        <w:rPr>
          <w:rFonts w:ascii="宋体" w:hAnsi="宋体" w:cs="宋体"/>
          <w:spacing w:val="10"/>
          <w:szCs w:val="21"/>
          <w:highlight w:val="none"/>
          <w:u w:val="single"/>
        </w:rPr>
      </w:pPr>
      <w:r>
        <w:rPr>
          <w:rFonts w:hint="eastAsia" w:ascii="宋体" w:hAnsi="宋体" w:cs="宋体"/>
          <w:szCs w:val="21"/>
          <w:highlight w:val="none"/>
        </w:rPr>
        <w:t xml:space="preserve">承包人违约责任的承担方式和计算方法：</w:t>
      </w:r>
      <w:r>
        <w:rPr>
          <w:rFonts w:hint="eastAsia" w:ascii="宋体" w:hAnsi="宋体" w:cs="宋体"/>
          <w:spacing w:val="10"/>
          <w:szCs w:val="21"/>
          <w:highlight w:val="none"/>
          <w:u w:val="single"/>
        </w:rPr>
        <w:t xml:space="preserve">A、工期延误：如承包人未能完成施工进度计划工作量的80%，发包人有权将其中部分工程委托其他人员进行施工或停止支付工程款，由此产生的费用加收10%的管理费后从承包人的合同款内扣除。</w:t>
      </w:r>
      <w:r>
        <w:rPr>
          <w:highlight w:val="none"/>
        </w:rPr>
      </w:r>
      <w:r/>
    </w:p>
    <w:p>
      <w:pPr>
        <w:ind w:firstLine="460"/>
        <w:spacing w:line="360" w:lineRule="auto"/>
        <w:tabs>
          <w:tab w:val="left" w:pos="905" w:leader="none"/>
        </w:tabs>
        <w:rPr>
          <w:rFonts w:ascii="宋体" w:hAnsi="宋体" w:cs="宋体"/>
          <w:spacing w:val="10"/>
          <w:szCs w:val="21"/>
          <w:highlight w:val="none"/>
          <w:u w:val="single"/>
        </w:rPr>
      </w:pPr>
      <w:r>
        <w:rPr>
          <w:rFonts w:hint="eastAsia" w:ascii="宋体" w:hAnsi="宋体" w:cs="宋体"/>
          <w:spacing w:val="10"/>
          <w:szCs w:val="21"/>
          <w:highlight w:val="none"/>
          <w:u w:val="single"/>
        </w:rPr>
        <w:t xml:space="preserve">B、质量问题：工程质量应符合国家验收规范，若质量未达到要求，承包人应进行整改，返工合格后，发包人有权在承包人工程结算款中扣除由此而发给发包人而造成的经济损失。</w:t>
      </w:r>
      <w:r>
        <w:rPr>
          <w:highlight w:val="none"/>
        </w:rPr>
      </w:r>
      <w:r/>
    </w:p>
    <w:p>
      <w:pPr>
        <w:ind w:firstLine="460"/>
        <w:spacing w:line="360" w:lineRule="auto"/>
        <w:tabs>
          <w:tab w:val="left" w:pos="905" w:leader="none"/>
        </w:tabs>
        <w:rPr>
          <w:rFonts w:ascii="宋体" w:hAnsi="宋体" w:cs="宋体"/>
          <w:spacing w:val="10"/>
          <w:szCs w:val="21"/>
          <w:highlight w:val="none"/>
          <w:u w:val="single"/>
        </w:rPr>
      </w:pPr>
      <w:r>
        <w:rPr>
          <w:rFonts w:hint="eastAsia" w:ascii="宋体" w:hAnsi="宋体" w:cs="宋体"/>
          <w:spacing w:val="10"/>
          <w:szCs w:val="21"/>
          <w:highlight w:val="none"/>
          <w:u w:val="single"/>
        </w:rPr>
        <w:t xml:space="preserve">C、因承包人原因导致技术文件（包括竣工图纸、签证等）未能按约定时间提交，每迟一天，发包人在支付给承包人的工程款内扣除1000元的违约金。同时并不解除承包人继续交付上述技术文件的义务。</w:t>
      </w:r>
      <w:r>
        <w:rPr>
          <w:highlight w:val="none"/>
        </w:rPr>
      </w:r>
      <w:r/>
    </w:p>
    <w:p>
      <w:pPr>
        <w:ind w:firstLine="460"/>
        <w:spacing w:line="360" w:lineRule="auto"/>
        <w:rPr>
          <w:rFonts w:ascii="宋体" w:hAnsi="宋体" w:cs="宋体"/>
          <w:szCs w:val="21"/>
          <w:highlight w:val="none"/>
          <w:u w:val="single"/>
        </w:rPr>
      </w:pPr>
      <w:r>
        <w:rPr>
          <w:rFonts w:hint="eastAsia" w:ascii="宋体" w:hAnsi="宋体" w:cs="宋体"/>
          <w:spacing w:val="10"/>
          <w:szCs w:val="21"/>
          <w:highlight w:val="none"/>
          <w:u w:val="single"/>
        </w:rPr>
        <w:t xml:space="preserve">D、若承包人擅自停工或单方面终止合同的执行或违约，造成合同无法履行，在本合同解除后，承包人必须在5天内无条件退场。发包人将按承包人已完成工程量的70%给予结算，承包人并承担由此而给发包方造成的一切损失。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15.2.3 因承包人违约解除合同</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关于承包人违约解除合同的特别约定：</w:t>
      </w:r>
      <w:r>
        <w:rPr>
          <w:rFonts w:hint="eastAsia" w:ascii="宋体" w:hAnsi="宋体" w:cs="宋体"/>
          <w:spacing w:val="10"/>
          <w:szCs w:val="21"/>
          <w:highlight w:val="none"/>
          <w:u w:val="single"/>
        </w:rPr>
        <w:t xml:space="preserve">在本合同解除后，承包人必须在5天内无条件退场。发包人将按承包人已完成工程量的70%给予结算，承包人并承担由此而给发包方造成的一切损失。</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szCs w:val="21"/>
          <w:highlight w:val="none"/>
          <w:u w:val="single"/>
        </w:rPr>
        <w:t xml:space="preserve">  根据监理、审计出具的报告结算给承包人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620" w:name="_Toc351203649"/>
      <w:r>
        <w:rPr>
          <w:rFonts w:hint="eastAsia" w:ascii="宋体" w:hAnsi="宋体" w:cs="宋体"/>
          <w:szCs w:val="21"/>
          <w:highlight w:val="none"/>
        </w:rPr>
        <w:t xml:space="preserve">16. 不可抗力</w:t>
      </w:r>
      <w:bookmarkEnd w:id="618"/>
      <w:r>
        <w:rPr>
          <w:highlight w:val="none"/>
        </w:rPr>
      </w:r>
      <w:bookmarkEnd w:id="620"/>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16.1 不可抗力的确认</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除通用合同条款约定的不可抗力事件之外，视为不可抗力的其他情形： </w:t>
      </w:r>
      <w:r>
        <w:rPr>
          <w:rFonts w:hint="eastAsia" w:ascii="宋体" w:hAnsi="宋体" w:cs="宋体"/>
          <w:spacing w:val="10"/>
          <w:szCs w:val="21"/>
          <w:highlight w:val="none"/>
          <w:u w:val="single"/>
        </w:rPr>
        <w:t xml:space="preserve">按省级有关部门的规定执行</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16.2 因不可抗力解除合同</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合同解除后，发包人应在商定或确定发包人应支付款项后</w:t>
      </w:r>
      <w:r>
        <w:rPr>
          <w:rFonts w:hint="eastAsia" w:ascii="宋体" w:hAnsi="宋体" w:cs="宋体"/>
          <w:szCs w:val="21"/>
          <w:highlight w:val="none"/>
          <w:u w:val="single"/>
        </w:rPr>
        <w:t xml:space="preserve"> 28天</w:t>
      </w:r>
      <w:r>
        <w:rPr>
          <w:rFonts w:hint="eastAsia" w:ascii="宋体" w:hAnsi="宋体" w:cs="宋体"/>
          <w:szCs w:val="21"/>
          <w:highlight w:val="none"/>
        </w:rPr>
        <w:t xml:space="preserve">内完成款项的支付。</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621" w:name="_Toc351203650"/>
      <w:r>
        <w:rPr>
          <w:rFonts w:hint="eastAsia" w:ascii="宋体" w:hAnsi="宋体" w:cs="宋体"/>
          <w:szCs w:val="21"/>
          <w:highlight w:val="none"/>
        </w:rPr>
        <w:t xml:space="preserve">17. 保险</w:t>
      </w:r>
      <w:bookmarkEnd w:id="621"/>
      <w:r>
        <w:rPr>
          <w:highlight w:val="none"/>
        </w:rPr>
      </w:r>
      <w:bookmarkEnd w:id="619"/>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17.1 工程保险</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关于工程保险的特别约定：</w:t>
      </w:r>
      <w:r>
        <w:rPr>
          <w:rFonts w:hint="eastAsia" w:ascii="宋体" w:hAnsi="宋体" w:cs="宋体"/>
          <w:spacing w:val="10"/>
          <w:szCs w:val="21"/>
          <w:highlight w:val="none"/>
          <w:u w:val="single"/>
        </w:rPr>
        <w:t xml:space="preserve">承包人必须按国家或地方相关规定为从事危险作业的职工办理意外伤害保险，并为施工场地内自有人员生命财产和施工机械设备办理保险，承担保险责任。</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17.2 其他保险</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关于其他保险的约定：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承包人是否应为其施工设备等办理财产保险：</w:t>
      </w:r>
      <w:r>
        <w:rPr>
          <w:rFonts w:hint="eastAsia" w:ascii="宋体" w:hAnsi="宋体" w:cs="宋体"/>
          <w:szCs w:val="21"/>
          <w:highlight w:val="none"/>
          <w:u w:val="single"/>
        </w:rPr>
        <w:t xml:space="preserve">  由承包人自行考虑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17.3 通知义务</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关于变更保险合同时的通知义务的约定：</w:t>
      </w:r>
      <w:r>
        <w:rPr>
          <w:rFonts w:hint="eastAsia" w:ascii="宋体" w:hAnsi="宋体" w:cs="宋体"/>
          <w:szCs w:val="21"/>
          <w:highlight w:val="none"/>
          <w:u w:val="single"/>
        </w:rPr>
        <w:t xml:space="preserve">  按通用条款 </w:t>
      </w:r>
      <w:r>
        <w:rPr>
          <w:rFonts w:hint="eastAsia" w:ascii="宋体" w:hAnsi="宋体" w:cs="宋体"/>
          <w:szCs w:val="21"/>
          <w:highlight w:val="none"/>
        </w:rPr>
        <w:t xml:space="preserve">。</w:t>
      </w:r>
      <w:r>
        <w:rPr>
          <w:highlight w:val="none"/>
        </w:rPr>
      </w:r>
      <w:r/>
    </w:p>
    <w:p>
      <w:pPr>
        <w:ind w:firstLine="420"/>
        <w:keepLines/>
        <w:keepNext/>
        <w:spacing w:line="360" w:lineRule="auto"/>
        <w:rPr>
          <w:rFonts w:ascii="宋体" w:hAnsi="宋体" w:cs="宋体"/>
          <w:bCs/>
          <w:szCs w:val="21"/>
          <w:highlight w:val="none"/>
        </w:rPr>
        <w:outlineLvl w:val="3"/>
      </w:pPr>
      <w:r>
        <w:rPr>
          <w:highlight w:val="none"/>
        </w:rPr>
      </w:r>
      <w:bookmarkStart w:id="622" w:name="_Toc351203651"/>
      <w:r>
        <w:rPr>
          <w:highlight w:val="none"/>
        </w:rPr>
      </w:r>
      <w:bookmarkEnd w:id="595"/>
      <w:r>
        <w:rPr>
          <w:highlight w:val="none"/>
        </w:rPr>
      </w:r>
      <w:bookmarkEnd w:id="596"/>
      <w:r>
        <w:rPr>
          <w:highlight w:val="none"/>
        </w:rPr>
      </w:r>
      <w:bookmarkEnd w:id="597"/>
      <w:r>
        <w:rPr>
          <w:highlight w:val="none"/>
        </w:rPr>
      </w:r>
      <w:bookmarkEnd w:id="598"/>
      <w:r>
        <w:rPr>
          <w:highlight w:val="none"/>
        </w:rPr>
      </w:r>
      <w:bookmarkEnd w:id="599"/>
      <w:r>
        <w:rPr>
          <w:highlight w:val="none"/>
        </w:rPr>
      </w:r>
      <w:bookmarkEnd w:id="600"/>
      <w:r>
        <w:rPr>
          <w:highlight w:val="none"/>
        </w:rPr>
      </w:r>
      <w:bookmarkEnd w:id="601"/>
      <w:r>
        <w:rPr>
          <w:highlight w:val="none"/>
        </w:rPr>
      </w:r>
      <w:bookmarkEnd w:id="602"/>
      <w:r>
        <w:rPr>
          <w:highlight w:val="none"/>
        </w:rPr>
      </w:r>
      <w:bookmarkEnd w:id="603"/>
      <w:r>
        <w:rPr>
          <w:highlight w:val="none"/>
        </w:rPr>
      </w:r>
      <w:bookmarkEnd w:id="604"/>
      <w:r>
        <w:rPr>
          <w:highlight w:val="none"/>
        </w:rPr>
      </w:r>
      <w:bookmarkEnd w:id="605"/>
      <w:r>
        <w:rPr>
          <w:highlight w:val="none"/>
        </w:rPr>
      </w:r>
      <w:bookmarkEnd w:id="606"/>
      <w:r>
        <w:rPr>
          <w:rFonts w:hint="eastAsia" w:ascii="宋体" w:hAnsi="宋体" w:cs="宋体"/>
          <w:szCs w:val="21"/>
          <w:highlight w:val="none"/>
        </w:rPr>
        <w:t xml:space="preserve">18. 争议解决</w:t>
      </w:r>
      <w:bookmarkEnd w:id="622"/>
      <w:r>
        <w:rPr>
          <w:highlight w:val="none"/>
        </w:rPr>
      </w:r>
      <w:bookmarkEnd w:id="607"/>
      <w:r/>
      <w:bookmarkEnd w:id="608"/>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18.1 争</w:t>
      </w:r>
      <w:bookmarkEnd w:id="609"/>
      <w:r>
        <w:rPr>
          <w:rFonts w:hint="eastAsia" w:ascii="宋体" w:hAnsi="宋体" w:cs="宋体"/>
          <w:szCs w:val="21"/>
          <w:highlight w:val="none"/>
        </w:rPr>
        <w:t xml:space="preserve">议评审</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合同当事人是否同意将工程争议提交争议评审小组决定：</w:t>
      </w:r>
      <w:r>
        <w:rPr>
          <w:rFonts w:hint="eastAsia" w:ascii="宋体" w:hAnsi="宋体" w:cs="宋体"/>
          <w:szCs w:val="21"/>
          <w:highlight w:val="none"/>
          <w:u w:val="single"/>
        </w:rPr>
        <w:t xml:space="preserve"> 不同意 </w:t>
      </w:r>
      <w:r>
        <w:rPr>
          <w:rFonts w:hint="eastAsia" w:ascii="宋体" w:hAnsi="宋体" w:cs="宋体"/>
          <w:szCs w:val="21"/>
          <w:highlight w:val="none"/>
        </w:rPr>
        <w:t xml:space="preserve">。  </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18.1.1 争议评审小组的确定</w:t>
      </w:r>
      <w:r>
        <w:rPr>
          <w:highlight w:val="none"/>
        </w:rPr>
      </w:r>
      <w:r/>
    </w:p>
    <w:p>
      <w:pPr>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争议评审小组成员的确定：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选定争议评审员的期限：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争议评审小组成员的报酬承担方式：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其他事项的约定：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18.1.2 争议评审小组的决定</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18.2仲裁或诉讼</w:t>
      </w:r>
      <w:bookmarkEnd w:id="610"/>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因合同及合同有关事项发生的争议，按下列第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种方式解决：</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（1）向仲裁委员会申请仲裁；</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（2）向</w:t>
      </w:r>
      <w:r>
        <w:rPr>
          <w:rFonts w:hint="eastAsia" w:ascii="宋体" w:hAnsi="宋体" w:cs="宋体"/>
          <w:szCs w:val="21"/>
          <w:highlight w:val="none"/>
          <w:u w:val="single"/>
        </w:rPr>
        <w:t xml:space="preserve">    工程所在地  </w:t>
      </w:r>
      <w:r>
        <w:rPr>
          <w:rFonts w:hint="eastAsia" w:ascii="宋体" w:hAnsi="宋体" w:cs="宋体"/>
          <w:szCs w:val="21"/>
          <w:highlight w:val="none"/>
        </w:rPr>
        <w:t xml:space="preserve">人民法院起诉。</w:t>
      </w:r>
      <w:bookmarkEnd w:id="611"/>
      <w:r>
        <w:rPr>
          <w:highlight w:val="none"/>
        </w:rPr>
      </w:r>
      <w:bookmarkEnd w:id="612"/>
      <w:r>
        <w:rPr>
          <w:highlight w:val="none"/>
        </w:rPr>
      </w:r>
      <w:bookmarkEnd w:id="613"/>
      <w:r>
        <w:rPr>
          <w:highlight w:val="none"/>
        </w:rPr>
      </w:r>
      <w:bookmarkEnd w:id="614"/>
      <w:r>
        <w:rPr>
          <w:highlight w:val="none"/>
        </w:rPr>
      </w:r>
      <w:bookmarkEnd w:id="615"/>
      <w:r>
        <w:rPr>
          <w:highlight w:val="none"/>
        </w:rPr>
      </w:r>
      <w:bookmarkEnd w:id="616"/>
      <w:r>
        <w:rPr>
          <w:highlight w:val="none"/>
        </w:rPr>
      </w:r>
      <w:r/>
    </w:p>
    <w:p>
      <w:pPr>
        <w:jc w:val="left"/>
        <w:spacing w:line="360" w:lineRule="auto"/>
        <w:rPr>
          <w:rFonts w:ascii="宋体" w:hAnsi="宋体" w:cs="宋体"/>
          <w:szCs w:val="21"/>
          <w:highlight w:val="none"/>
        </w:rPr>
      </w:pPr>
      <w:r>
        <w:rPr>
          <w:rFonts w:hint="eastAsia" w:ascii="宋体" w:hAnsi="宋体" w:cs="宋体"/>
          <w:b/>
          <w:szCs w:val="21"/>
          <w:highlight w:val="none"/>
        </w:rPr>
        <w:t xml:space="preserve">附件</w:t>
      </w:r>
      <w:bookmarkEnd w:id="116"/>
      <w:r>
        <w:rPr>
          <w:highlight w:val="none"/>
        </w:rPr>
      </w:r>
      <w:r/>
    </w:p>
    <w:p>
      <w:pPr>
        <w:pStyle w:val="923"/>
        <w:rPr>
          <w:rFonts w:ascii="宋体" w:hAnsi="宋体" w:cs="宋体"/>
          <w:highlight w:val="none"/>
        </w:rPr>
      </w:pPr>
      <w:r>
        <w:rPr>
          <w:rFonts w:hint="eastAsia" w:ascii="宋体" w:hAnsi="宋体" w:cs="宋体"/>
          <w:szCs w:val="21"/>
          <w:highlight w:val="none"/>
        </w:rPr>
        <w:t xml:space="preserve">附件1：工程质量保修书</w:t>
      </w:r>
      <w:r>
        <w:rPr>
          <w:highlight w:val="none"/>
        </w:rPr>
      </w:r>
      <w:r/>
    </w:p>
    <w:p>
      <w:pPr>
        <w:pStyle w:val="923"/>
        <w:rPr>
          <w:rFonts w:ascii="宋体" w:hAnsi="宋体" w:cs="宋体"/>
          <w:highlight w:val="none"/>
        </w:rPr>
      </w:pPr>
      <w:r>
        <w:rPr>
          <w:rFonts w:ascii="宋体" w:hAnsi="宋体" w:cs="宋体"/>
          <w:highlight w:val="none"/>
        </w:rPr>
      </w:r>
      <w:r>
        <w:rPr>
          <w:highlight w:val="none"/>
        </w:rPr>
      </w:r>
      <w:r/>
    </w:p>
    <w:p>
      <w:pPr>
        <w:ind w:right="560"/>
        <w:rPr>
          <w:rFonts w:ascii="宋体" w:hAnsi="宋体" w:cs="宋体"/>
          <w:szCs w:val="21"/>
          <w:highlight w:val="none"/>
        </w:rPr>
      </w:pPr>
      <w:r>
        <w:rPr>
          <w:rFonts w:hint="eastAsia" w:ascii="宋体" w:hAnsi="宋体" w:cs="宋体"/>
          <w:szCs w:val="21"/>
          <w:highlight w:val="none"/>
        </w:rPr>
        <w:br w:type="page" w:clear="all"/>
        <w:t xml:space="preserve">附</w:t>
      </w:r>
      <w:bookmarkStart w:id="623" w:name="_Toc296891266"/>
      <w:r>
        <w:rPr>
          <w:highlight w:val="none"/>
        </w:rPr>
      </w:r>
      <w:bookmarkStart w:id="624" w:name="_Toc296503226"/>
      <w:r>
        <w:rPr>
          <w:highlight w:val="none"/>
        </w:rPr>
      </w:r>
      <w:bookmarkStart w:id="625" w:name="_Toc296346727"/>
      <w:r>
        <w:rPr>
          <w:highlight w:val="none"/>
        </w:rPr>
      </w:r>
      <w:bookmarkStart w:id="626" w:name="_Toc296347225"/>
      <w:r>
        <w:rPr>
          <w:highlight w:val="none"/>
        </w:rPr>
      </w:r>
      <w:bookmarkStart w:id="627" w:name="_Toc296891054"/>
      <w:r>
        <w:rPr>
          <w:highlight w:val="none"/>
        </w:rPr>
      </w:r>
      <w:bookmarkStart w:id="628" w:name="_Toc296944565"/>
      <w:r>
        <w:rPr>
          <w:highlight w:val="none"/>
        </w:rPr>
      </w:r>
      <w:bookmarkStart w:id="629" w:name="_Toc267261693"/>
      <w:r>
        <w:rPr>
          <w:rFonts w:hint="eastAsia" w:ascii="宋体" w:hAnsi="宋体" w:cs="宋体"/>
          <w:szCs w:val="21"/>
          <w:highlight w:val="none"/>
        </w:rPr>
        <w:t xml:space="preserve">件1：</w:t>
      </w:r>
      <w:bookmarkEnd w:id="623"/>
      <w:r>
        <w:rPr>
          <w:highlight w:val="none"/>
        </w:rPr>
      </w:r>
      <w:bookmarkEnd w:id="624"/>
      <w:r>
        <w:rPr>
          <w:highlight w:val="none"/>
        </w:rPr>
      </w:r>
      <w:bookmarkEnd w:id="625"/>
      <w:r>
        <w:rPr>
          <w:highlight w:val="none"/>
        </w:rPr>
      </w:r>
      <w:bookmarkEnd w:id="626"/>
      <w:r>
        <w:rPr>
          <w:highlight w:val="none"/>
        </w:rPr>
      </w:r>
      <w:bookmarkEnd w:id="627"/>
      <w:r>
        <w:rPr>
          <w:highlight w:val="none"/>
        </w:rPr>
      </w:r>
      <w:bookmarkEnd w:id="628"/>
      <w:r>
        <w:rPr>
          <w:highlight w:val="none"/>
        </w:rPr>
      </w:r>
      <w:bookmarkEnd w:id="629"/>
      <w:r>
        <w:rPr>
          <w:rFonts w:hint="eastAsia" w:ascii="宋体" w:hAnsi="宋体" w:cs="宋体"/>
          <w:szCs w:val="21"/>
          <w:highlight w:val="none"/>
        </w:rPr>
        <w:t xml:space="preserve">    </w:t>
      </w:r>
      <w:r>
        <w:rPr>
          <w:highlight w:val="none"/>
        </w:rPr>
      </w:r>
      <w:r/>
    </w:p>
    <w:p>
      <w:pPr>
        <w:jc w:val="center"/>
        <w:spacing w:before="120" w:after="120" w:line="440" w:lineRule="exact"/>
        <w:rPr>
          <w:rFonts w:ascii="宋体" w:hAnsi="宋体" w:cs="宋体"/>
          <w:szCs w:val="21"/>
          <w:highlight w:val="none"/>
        </w:rPr>
      </w:pPr>
      <w:r>
        <w:rPr>
          <w:rFonts w:hint="eastAsia" w:ascii="宋体" w:hAnsi="宋体" w:cs="宋体"/>
          <w:szCs w:val="21"/>
          <w:highlight w:val="none"/>
        </w:rPr>
        <w:t xml:space="preserve">工程质量保修书</w:t>
      </w:r>
      <w:r>
        <w:rPr>
          <w:highlight w:val="none"/>
        </w:rPr>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highlight w:val="none"/>
        </w:rPr>
      </w:r>
      <w:r/>
    </w:p>
    <w:p>
      <w:pPr>
        <w:spacing w:line="440" w:lineRule="exact"/>
        <w:rPr>
          <w:rFonts w:ascii="宋体" w:hAnsi="宋体" w:cs="宋体"/>
          <w:szCs w:val="21"/>
          <w:highlight w:val="none"/>
        </w:rPr>
      </w:pPr>
      <w:r>
        <w:rPr>
          <w:rFonts w:hint="eastAsia" w:ascii="宋体" w:hAnsi="宋体" w:cs="宋体"/>
          <w:szCs w:val="21"/>
          <w:highlight w:val="none"/>
        </w:rPr>
        <w:t xml:space="preserve">　　承包人（全称）：</w:t>
      </w:r>
      <w:r>
        <w:rPr>
          <w:rFonts w:hint="eastAsia" w:ascii="宋体" w:hAnsi="宋体" w:cs="宋体"/>
          <w:szCs w:val="21"/>
          <w:highlight w:val="none"/>
          <w:u w:val="single"/>
        </w:rPr>
        <w:t xml:space="preserve">                               </w:t>
      </w:r>
      <w:r>
        <w:rPr>
          <w:highlight w:val="none"/>
        </w:rPr>
      </w:r>
      <w:r/>
    </w:p>
    <w:p>
      <w:pPr>
        <w:spacing w:line="440" w:lineRule="exact"/>
        <w:rPr>
          <w:rFonts w:ascii="宋体" w:hAnsi="宋体" w:cs="宋体"/>
          <w:szCs w:val="21"/>
          <w:highlight w:val="none"/>
        </w:rPr>
      </w:pPr>
      <w:r>
        <w:rPr>
          <w:rFonts w:ascii="宋体" w:hAnsi="宋体" w:cs="宋体"/>
          <w:szCs w:val="21"/>
          <w:highlight w:val="none"/>
        </w:rPr>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发包人和承包人根据《中华人民共和国市政公用法》和《建设工程质量管理条例》，经协商一致就</w:t>
      </w:r>
      <w:r>
        <w:rPr>
          <w:rFonts w:hint="eastAsia" w:ascii="宋体" w:hAnsi="宋体" w:cs="宋体"/>
          <w:bCs/>
          <w:szCs w:val="21"/>
          <w:highlight w:val="none"/>
          <w:u w:val="single"/>
        </w:rPr>
        <w:t xml:space="preserve">                            </w:t>
      </w:r>
      <w:r>
        <w:rPr>
          <w:rFonts w:hint="eastAsia" w:ascii="宋体" w:hAnsi="宋体" w:cs="宋体"/>
          <w:szCs w:val="21"/>
          <w:highlight w:val="none"/>
        </w:rPr>
        <w:t xml:space="preserve">（工程全称）签订工程质量保修书。</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一、工程质量保修范围和内容</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承包人在质量保修期内，按照有关法律规定和合同约定，承担工程质量保修责任。</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szCs w:val="21"/>
          <w:highlight w:val="none"/>
          <w:u w:val="single"/>
        </w:rPr>
        <w:t xml:space="preserve">                                </w:t>
      </w:r>
      <w:r>
        <w:rPr>
          <w:rFonts w:hint="eastAsia" w:ascii="宋体" w:hAnsi="宋体" w:cs="宋体"/>
          <w:szCs w:val="21"/>
          <w:highlight w:val="none"/>
        </w:rPr>
        <w:t xml:space="preserve">。</w:t>
      </w:r>
      <w:r>
        <w:rPr>
          <w:highlight w:val="none"/>
        </w:rPr>
      </w:r>
      <w:r/>
    </w:p>
    <w:p>
      <w:pPr>
        <w:spacing w:line="360" w:lineRule="auto"/>
        <w:rPr>
          <w:rFonts w:ascii="宋体" w:hAnsi="宋体" w:cs="宋体"/>
          <w:szCs w:val="21"/>
          <w:highlight w:val="none"/>
        </w:rPr>
      </w:pPr>
      <w:r>
        <w:rPr>
          <w:rFonts w:hint="eastAsia" w:ascii="宋体" w:hAnsi="宋体" w:cs="宋体"/>
          <w:b/>
          <w:szCs w:val="21"/>
          <w:highlight w:val="none"/>
        </w:rPr>
        <w:t xml:space="preserve">　　</w:t>
      </w:r>
      <w:r>
        <w:rPr>
          <w:rFonts w:hint="eastAsia" w:ascii="宋体" w:hAnsi="宋体" w:cs="宋体"/>
          <w:szCs w:val="21"/>
          <w:highlight w:val="none"/>
        </w:rPr>
        <w:t xml:space="preserve">二、质量保修期</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根据《建设工程质量管理条例》及有关规定，工程的质量保修期如下：</w:t>
      </w:r>
      <w:r>
        <w:rPr>
          <w:highlight w:val="none"/>
        </w:rPr>
      </w:r>
      <w:r/>
    </w:p>
    <w:p>
      <w:pPr>
        <w:ind w:left="420" w:firstLine="105"/>
        <w:spacing w:line="360" w:lineRule="auto"/>
        <w:rPr>
          <w:rFonts w:ascii="宋体" w:hAnsi="宋体" w:cs="宋体"/>
          <w:szCs w:val="21"/>
          <w:highlight w:val="none"/>
        </w:rPr>
      </w:pPr>
      <w:r>
        <w:rPr>
          <w:rFonts w:hint="eastAsia" w:ascii="宋体" w:hAnsi="宋体" w:cs="宋体"/>
          <w:szCs w:val="21"/>
          <w:highlight w:val="none"/>
        </w:rPr>
        <w:t xml:space="preserve">1．地基基础工程和主体结构工程为设计文件规定的工程合理使用年限；</w:t>
      </w:r>
      <w:r>
        <w:rPr>
          <w:highlight w:val="none"/>
        </w:rPr>
      </w:r>
      <w:r/>
    </w:p>
    <w:p>
      <w:pPr>
        <w:ind w:left="420" w:firstLine="105"/>
        <w:spacing w:line="360" w:lineRule="auto"/>
        <w:rPr>
          <w:rFonts w:ascii="宋体" w:hAnsi="宋体" w:cs="宋体"/>
          <w:szCs w:val="21"/>
          <w:highlight w:val="none"/>
        </w:rPr>
      </w:pPr>
      <w:r>
        <w:rPr>
          <w:rFonts w:hint="eastAsia" w:ascii="宋体" w:hAnsi="宋体" w:cs="宋体"/>
          <w:szCs w:val="21"/>
          <w:highlight w:val="none"/>
        </w:rPr>
        <w:t xml:space="preserve">2．屋面防水工程、有防水要求的卫生间、房间和外墙面的防渗为 5 年；</w:t>
      </w:r>
      <w:r>
        <w:rPr>
          <w:highlight w:val="none"/>
        </w:rPr>
      </w:r>
      <w:r/>
    </w:p>
    <w:p>
      <w:pPr>
        <w:ind w:left="420" w:firstLine="105"/>
        <w:spacing w:line="360" w:lineRule="auto"/>
        <w:rPr>
          <w:rFonts w:ascii="宋体" w:hAnsi="宋体" w:cs="宋体"/>
          <w:szCs w:val="21"/>
          <w:highlight w:val="none"/>
        </w:rPr>
      </w:pPr>
      <w:r>
        <w:rPr>
          <w:rFonts w:hint="eastAsia" w:ascii="宋体" w:hAnsi="宋体" w:cs="宋体"/>
          <w:szCs w:val="21"/>
          <w:highlight w:val="none"/>
        </w:rPr>
        <w:t xml:space="preserve">3．装修工程为 2 年；</w:t>
      </w:r>
      <w:r>
        <w:rPr>
          <w:highlight w:val="none"/>
        </w:rPr>
      </w:r>
      <w:r/>
    </w:p>
    <w:p>
      <w:pPr>
        <w:ind w:left="420" w:firstLine="105"/>
        <w:spacing w:line="360" w:lineRule="auto"/>
        <w:rPr>
          <w:rFonts w:ascii="宋体" w:hAnsi="宋体" w:cs="宋体"/>
          <w:szCs w:val="21"/>
          <w:highlight w:val="none"/>
        </w:rPr>
      </w:pPr>
      <w:r>
        <w:rPr>
          <w:rFonts w:hint="eastAsia" w:ascii="宋体" w:hAnsi="宋体" w:cs="宋体"/>
          <w:szCs w:val="21"/>
          <w:highlight w:val="none"/>
        </w:rPr>
        <w:t xml:space="preserve">4．电气管线、给排水管道、设备安装工程为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rPr>
          <w:highlight w:val="none"/>
        </w:rPr>
      </w:r>
      <w:r/>
    </w:p>
    <w:p>
      <w:pPr>
        <w:ind w:left="420" w:firstLine="105"/>
        <w:spacing w:line="360" w:lineRule="auto"/>
        <w:rPr>
          <w:rFonts w:ascii="宋体" w:hAnsi="宋体" w:cs="宋体"/>
          <w:szCs w:val="21"/>
          <w:highlight w:val="none"/>
        </w:rPr>
      </w:pPr>
      <w:r>
        <w:rPr>
          <w:rFonts w:hint="eastAsia" w:ascii="宋体" w:hAnsi="宋体" w:cs="宋体"/>
          <w:szCs w:val="21"/>
          <w:highlight w:val="none"/>
        </w:rPr>
        <w:t xml:space="preserve">5．供热与供冷系统为</w:t>
      </w:r>
      <w:r>
        <w:rPr>
          <w:rFonts w:hint="eastAsia" w:ascii="宋体" w:hAnsi="宋体" w:cs="宋体"/>
          <w:szCs w:val="21"/>
          <w:highlight w:val="none"/>
          <w:u w:val="single"/>
        </w:rPr>
        <w:t xml:space="preserve">  2  </w:t>
      </w:r>
      <w:r>
        <w:rPr>
          <w:rFonts w:hint="eastAsia" w:ascii="宋体" w:hAnsi="宋体" w:cs="宋体"/>
          <w:szCs w:val="21"/>
          <w:highlight w:val="none"/>
        </w:rPr>
        <w:t xml:space="preserve">个采暖期、供冷期；</w:t>
      </w:r>
      <w:r>
        <w:rPr>
          <w:highlight w:val="none"/>
        </w:rPr>
      </w:r>
      <w:r/>
    </w:p>
    <w:p>
      <w:pPr>
        <w:ind w:left="420" w:firstLine="105"/>
        <w:spacing w:line="360" w:lineRule="auto"/>
        <w:rPr>
          <w:rFonts w:ascii="宋体" w:hAnsi="宋体" w:cs="宋体"/>
          <w:szCs w:val="21"/>
          <w:highlight w:val="none"/>
        </w:rPr>
      </w:pPr>
      <w:r>
        <w:rPr>
          <w:rFonts w:hint="eastAsia" w:ascii="宋体" w:hAnsi="宋体" w:cs="宋体"/>
          <w:szCs w:val="21"/>
          <w:highlight w:val="none"/>
        </w:rPr>
        <w:t xml:space="preserve">6．住宅小区内的给排水设施、道路等配套工程为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rPr>
          <w:highlight w:val="none"/>
        </w:rPr>
      </w:r>
      <w:r/>
    </w:p>
    <w:p>
      <w:pPr>
        <w:ind w:left="420" w:firstLine="105"/>
        <w:spacing w:line="360" w:lineRule="auto"/>
        <w:rPr>
          <w:rFonts w:ascii="宋体" w:hAnsi="宋体" w:cs="宋体"/>
          <w:szCs w:val="21"/>
          <w:highlight w:val="none"/>
        </w:rPr>
      </w:pPr>
      <w:r>
        <w:rPr>
          <w:rFonts w:hint="eastAsia" w:ascii="宋体" w:hAnsi="宋体" w:cs="宋体"/>
          <w:szCs w:val="21"/>
          <w:highlight w:val="none"/>
        </w:rPr>
        <w:t xml:space="preserve">7．其他项目保修期限约定如下：</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质量保修期自工程竣工验收合格之日起计算。</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三、缺陷责任期</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工程缺陷责任期为</w:t>
      </w:r>
      <w:r>
        <w:rPr>
          <w:rFonts w:hint="eastAsia" w:ascii="宋体" w:hAnsi="宋体" w:cs="宋体"/>
          <w:szCs w:val="21"/>
          <w:highlight w:val="none"/>
          <w:u w:val="single"/>
        </w:rPr>
        <w:t xml:space="preserve">  24  </w:t>
      </w:r>
      <w:r>
        <w:rPr>
          <w:rFonts w:hint="eastAsia" w:ascii="宋体" w:hAnsi="宋体" w:cs="宋体"/>
          <w:szCs w:val="21"/>
          <w:highlight w:val="none"/>
        </w:rPr>
        <w:t xml:space="preserve">个月，缺陷责任期自工程竣工验收合格之日起计算。单位工程先于全部工程进行验收，单位工程缺陷责任期自单位工程验收合格之日起算。</w:t>
      </w:r>
      <w:r>
        <w:rPr>
          <w:highlight w:val="none"/>
        </w:rPr>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缺陷责任期终止后，发包人应无息退还剩余的质量保证金。</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四、质量保修责任</w:t>
      </w:r>
      <w:r>
        <w:rPr>
          <w:highlight w:val="none"/>
        </w:rPr>
      </w:r>
      <w:r/>
    </w:p>
    <w:p>
      <w:pPr>
        <w:ind w:left="105" w:firstLine="430"/>
        <w:spacing w:line="360" w:lineRule="auto"/>
        <w:rPr>
          <w:rFonts w:ascii="宋体" w:hAnsi="宋体" w:cs="宋体"/>
          <w:szCs w:val="21"/>
          <w:highlight w:val="none"/>
        </w:rPr>
      </w:pPr>
      <w:r>
        <w:rPr>
          <w:rFonts w:hint="eastAsia" w:ascii="宋体" w:hAnsi="宋体" w:cs="宋体"/>
          <w:szCs w:val="21"/>
          <w:highlight w:val="none"/>
        </w:rPr>
        <w:t xml:space="preserve">1．属于保修范围、内容的项目，承包人应当在接到保修通知之日起7天内派人保修。承包人不在约定期限内派人保修的，发包人可以委托他人修理。</w:t>
      </w:r>
      <w:r>
        <w:rPr>
          <w:highlight w:val="none"/>
        </w:rPr>
      </w:r>
      <w:r/>
    </w:p>
    <w:p>
      <w:pPr>
        <w:ind w:left="105" w:firstLine="430"/>
        <w:spacing w:line="360" w:lineRule="auto"/>
        <w:rPr>
          <w:rFonts w:ascii="宋体" w:hAnsi="宋体" w:cs="宋体"/>
          <w:szCs w:val="21"/>
          <w:highlight w:val="none"/>
        </w:rPr>
      </w:pPr>
      <w:r>
        <w:rPr>
          <w:rFonts w:hint="eastAsia" w:ascii="宋体" w:hAnsi="宋体" w:cs="宋体"/>
          <w:szCs w:val="21"/>
          <w:highlight w:val="none"/>
        </w:rPr>
        <w:t xml:space="preserve">2．发生紧急事故需抢修的，承包人在接到事故通知后，应当立即到达事故现场抢修。</w:t>
      </w:r>
      <w:r>
        <w:rPr>
          <w:highlight w:val="none"/>
        </w:rPr>
      </w:r>
      <w:r/>
    </w:p>
    <w:p>
      <w:pPr>
        <w:ind w:left="105" w:firstLine="430"/>
        <w:spacing w:line="360" w:lineRule="auto"/>
        <w:rPr>
          <w:rFonts w:ascii="宋体" w:hAnsi="宋体" w:cs="宋体"/>
          <w:szCs w:val="21"/>
          <w:highlight w:val="none"/>
        </w:rPr>
      </w:pPr>
      <w:r>
        <w:rPr>
          <w:rFonts w:hint="eastAsia" w:ascii="宋体" w:hAnsi="宋体" w:cs="宋体"/>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highlight w:val="none"/>
        </w:rPr>
      </w:r>
      <w:r/>
    </w:p>
    <w:p>
      <w:pPr>
        <w:ind w:left="420" w:firstLine="105"/>
        <w:spacing w:line="360" w:lineRule="auto"/>
        <w:rPr>
          <w:rFonts w:ascii="宋体" w:hAnsi="宋体" w:cs="宋体"/>
          <w:szCs w:val="21"/>
          <w:highlight w:val="none"/>
        </w:rPr>
      </w:pPr>
      <w:r>
        <w:rPr>
          <w:rFonts w:hint="eastAsia" w:ascii="宋体" w:hAnsi="宋体" w:cs="宋体"/>
          <w:szCs w:val="21"/>
          <w:highlight w:val="none"/>
        </w:rPr>
        <w:t xml:space="preserve">4．质量保修完成后，由发包人组织验收。</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五、保修费用</w:t>
      </w:r>
      <w:r>
        <w:rPr>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　　保修费用由造成质量缺陷的责任方承担。</w:t>
      </w:r>
      <w:r>
        <w:rPr>
          <w:highlight w:val="none"/>
        </w:rPr>
      </w:r>
      <w:r/>
    </w:p>
    <w:p>
      <w:pPr>
        <w:ind w:firstLine="422"/>
        <w:jc w:val="left"/>
        <w:spacing w:line="360" w:lineRule="auto"/>
        <w:rPr>
          <w:rFonts w:ascii="宋体" w:hAnsi="宋体" w:cs="宋体"/>
          <w:szCs w:val="21"/>
          <w:highlight w:val="none"/>
          <w:u w:val="single"/>
        </w:rPr>
      </w:pPr>
      <w:r>
        <w:rPr>
          <w:rFonts w:hint="eastAsia" w:ascii="宋体" w:hAnsi="宋体" w:cs="宋体"/>
          <w:b/>
          <w:szCs w:val="21"/>
          <w:highlight w:val="none"/>
        </w:rPr>
        <w:t xml:space="preserve">六</w:t>
      </w:r>
      <w:r>
        <w:rPr>
          <w:rFonts w:hint="eastAsia" w:ascii="宋体" w:hAnsi="宋体" w:cs="宋体"/>
          <w:szCs w:val="21"/>
          <w:highlight w:val="none"/>
        </w:rPr>
        <w:t xml:space="preserve">、双方约定的其他工程质量保修事项：</w:t>
      </w:r>
      <w:r>
        <w:rPr>
          <w:rFonts w:hint="eastAsia" w:ascii="宋体" w:hAnsi="宋体" w:cs="宋体"/>
          <w:szCs w:val="21"/>
          <w:highlight w:val="none"/>
          <w:u w:val="single"/>
        </w:rPr>
        <w:t xml:space="preserve">  另行协商     </w:t>
      </w:r>
      <w:r>
        <w:rPr>
          <w:rFonts w:hint="eastAsia" w:ascii="宋体" w:hAnsi="宋体" w:cs="宋体"/>
          <w:szCs w:val="21"/>
          <w:highlight w:val="none"/>
        </w:rPr>
        <w:t xml:space="preserve">。</w:t>
      </w:r>
      <w:r>
        <w:rPr>
          <w:highlight w:val="none"/>
        </w:rPr>
      </w:r>
      <w:r/>
    </w:p>
    <w:p>
      <w:pPr>
        <w:ind w:firstLine="399"/>
        <w:spacing w:line="360" w:lineRule="auto"/>
        <w:rPr>
          <w:rFonts w:ascii="宋体" w:hAnsi="宋体" w:cs="宋体"/>
          <w:szCs w:val="21"/>
          <w:highlight w:val="none"/>
        </w:rPr>
      </w:pPr>
      <w:r>
        <w:rPr>
          <w:rFonts w:hint="eastAsia" w:ascii="宋体" w:hAnsi="宋体" w:cs="宋体"/>
          <w:szCs w:val="21"/>
          <w:highlight w:val="none"/>
        </w:rPr>
        <w:t xml:space="preserve">工程质量保修书由发包人、承包人在工程竣工验收前共同签署，作为施工合同附件，其有效期限至保修期满。</w:t>
      </w:r>
      <w:r>
        <w:rPr>
          <w:highlight w:val="none"/>
        </w:rPr>
      </w:r>
      <w:r/>
    </w:p>
    <w:p>
      <w:pPr>
        <w:ind w:firstLine="420"/>
        <w:spacing w:line="360" w:lineRule="auto"/>
        <w:rPr>
          <w:rFonts w:ascii="宋体" w:hAnsi="宋体" w:cs="宋体"/>
          <w:szCs w:val="21"/>
          <w:highlight w:val="none"/>
        </w:rPr>
      </w:pPr>
      <w:r>
        <w:rPr>
          <w:rFonts w:ascii="宋体" w:hAnsi="宋体" w:cs="宋体"/>
          <w:szCs w:val="21"/>
          <w:highlight w:val="none"/>
        </w:rPr>
      </w:r>
      <w:r>
        <w:rPr>
          <w:highlight w:val="none"/>
        </w:rPr>
      </w:r>
      <w:r/>
    </w:p>
    <w:p>
      <w:pPr>
        <w:ind w:left="630"/>
        <w:spacing w:line="360" w:lineRule="auto"/>
        <w:rPr>
          <w:rFonts w:ascii="宋体" w:hAnsi="宋体" w:cs="宋体"/>
          <w:szCs w:val="21"/>
          <w:highlight w:val="none"/>
        </w:rPr>
      </w:pPr>
      <w:r>
        <w:rPr>
          <w:rFonts w:hint="eastAsia" w:ascii="宋体" w:hAnsi="宋体" w:cs="宋体"/>
          <w:szCs w:val="21"/>
          <w:highlight w:val="none"/>
        </w:rPr>
        <w:t xml:space="preserve">发包人(公章)：</w:t>
      </w:r>
      <w:r>
        <w:rPr>
          <w:rFonts w:hint="eastAsia" w:ascii="宋体" w:hAnsi="宋体" w:cs="宋体"/>
          <w:szCs w:val="21"/>
          <w:highlight w:val="none"/>
          <w:u w:val="single"/>
        </w:rPr>
        <w:t xml:space="preserve">                   </w:t>
      </w:r>
      <w:r>
        <w:rPr>
          <w:rFonts w:hint="eastAsia" w:ascii="宋体" w:hAnsi="宋体" w:cs="宋体"/>
          <w:szCs w:val="21"/>
          <w:highlight w:val="none"/>
        </w:rPr>
        <w:t xml:space="preserve">      承包人(公章)：</w:t>
      </w:r>
      <w:r>
        <w:rPr>
          <w:rFonts w:hint="eastAsia" w:ascii="宋体" w:hAnsi="宋体" w:cs="宋体"/>
          <w:szCs w:val="21"/>
          <w:highlight w:val="none"/>
          <w:u w:val="single"/>
        </w:rPr>
        <w:t xml:space="preserve">                  </w:t>
      </w:r>
      <w:r>
        <w:rPr>
          <w:highlight w:val="none"/>
        </w:rPr>
      </w:r>
      <w:r/>
    </w:p>
    <w:p>
      <w:pPr>
        <w:ind w:left="630"/>
        <w:spacing w:line="360" w:lineRule="auto"/>
        <w:rPr>
          <w:rFonts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rPr>
          <w:rFonts w:hint="eastAsia" w:ascii="宋体" w:hAnsi="宋体" w:cs="宋体"/>
          <w:szCs w:val="21"/>
          <w:highlight w:val="none"/>
        </w:rPr>
        <w:t xml:space="preserve">       地  址：</w:t>
      </w:r>
      <w:r>
        <w:rPr>
          <w:rFonts w:hint="eastAsia" w:ascii="宋体" w:hAnsi="宋体" w:cs="宋体"/>
          <w:szCs w:val="21"/>
          <w:highlight w:val="none"/>
          <w:u w:val="single"/>
        </w:rPr>
        <w:t xml:space="preserve">                      </w:t>
      </w:r>
      <w:r>
        <w:rPr>
          <w:highlight w:val="none"/>
        </w:rPr>
      </w:r>
      <w:r/>
    </w:p>
    <w:p>
      <w:pPr>
        <w:ind w:left="630"/>
        <w:spacing w:line="360" w:lineRule="auto"/>
        <w:rPr>
          <w:rFonts w:ascii="宋体" w:hAnsi="宋体" w:cs="宋体"/>
          <w:szCs w:val="21"/>
          <w:highlight w:val="none"/>
        </w:rPr>
      </w:pPr>
      <w:r>
        <w:rPr>
          <w:rFonts w:hint="eastAsia" w:ascii="宋体" w:hAnsi="宋体" w:cs="宋体"/>
          <w:szCs w:val="21"/>
          <w:highlight w:val="none"/>
        </w:rPr>
        <w:t xml:space="preserve">法定代表人(签字)：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法定代表人(签字)：</w:t>
      </w:r>
      <w:r>
        <w:rPr>
          <w:rFonts w:hint="eastAsia" w:ascii="宋体" w:hAnsi="宋体" w:cs="宋体"/>
          <w:szCs w:val="21"/>
          <w:highlight w:val="none"/>
          <w:u w:val="single"/>
        </w:rPr>
        <w:t xml:space="preserve">             </w:t>
      </w:r>
      <w:r>
        <w:rPr>
          <w:highlight w:val="none"/>
        </w:rPr>
      </w:r>
      <w:r/>
    </w:p>
    <w:p>
      <w:pPr>
        <w:ind w:left="630"/>
        <w:spacing w:line="360" w:lineRule="auto"/>
        <w:rPr>
          <w:rFonts w:ascii="宋体" w:hAnsi="宋体" w:cs="宋体"/>
          <w:szCs w:val="21"/>
          <w:highlight w:val="none"/>
        </w:rPr>
      </w:pPr>
      <w:r>
        <w:rPr>
          <w:rFonts w:hint="eastAsia" w:ascii="宋体" w:hAnsi="宋体" w:cs="宋体"/>
          <w:szCs w:val="21"/>
          <w:highlight w:val="none"/>
        </w:rPr>
        <w:t xml:space="preserve">委托代理人(签字)：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委托代理人(签字)：</w:t>
      </w:r>
      <w:r>
        <w:rPr>
          <w:rFonts w:hint="eastAsia" w:ascii="宋体" w:hAnsi="宋体" w:cs="宋体"/>
          <w:szCs w:val="21"/>
          <w:highlight w:val="none"/>
          <w:u w:val="single"/>
        </w:rPr>
        <w:t xml:space="preserve">             </w:t>
      </w:r>
      <w:r>
        <w:rPr>
          <w:highlight w:val="none"/>
        </w:rPr>
      </w:r>
      <w:r/>
    </w:p>
    <w:p>
      <w:pPr>
        <w:ind w:left="630"/>
        <w:spacing w:line="360" w:lineRule="auto"/>
        <w:rPr>
          <w:rFonts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rPr>
          <w:rFonts w:hint="eastAsia" w:ascii="宋体" w:hAnsi="宋体" w:cs="宋体"/>
          <w:szCs w:val="21"/>
          <w:highlight w:val="none"/>
        </w:rPr>
        <w:t xml:space="preserve">       电  话：</w:t>
      </w:r>
      <w:r>
        <w:rPr>
          <w:rFonts w:hint="eastAsia" w:ascii="宋体" w:hAnsi="宋体" w:cs="宋体"/>
          <w:szCs w:val="21"/>
          <w:highlight w:val="none"/>
          <w:u w:val="single"/>
        </w:rPr>
        <w:t xml:space="preserve">                       </w:t>
      </w:r>
      <w:r>
        <w:rPr>
          <w:highlight w:val="none"/>
        </w:rPr>
      </w:r>
      <w:r/>
    </w:p>
    <w:p>
      <w:pPr>
        <w:ind w:left="630"/>
        <w:spacing w:line="360" w:lineRule="auto"/>
        <w:rPr>
          <w:rFonts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rPr>
          <w:rFonts w:hint="eastAsia" w:ascii="宋体" w:hAnsi="宋体" w:cs="宋体"/>
          <w:szCs w:val="21"/>
          <w:highlight w:val="none"/>
        </w:rPr>
        <w:t xml:space="preserve">       传  真：</w:t>
      </w:r>
      <w:r>
        <w:rPr>
          <w:rFonts w:hint="eastAsia" w:ascii="宋体" w:hAnsi="宋体" w:cs="宋体"/>
          <w:szCs w:val="21"/>
          <w:highlight w:val="none"/>
          <w:u w:val="single"/>
        </w:rPr>
        <w:t xml:space="preserve">                       </w:t>
      </w:r>
      <w:r>
        <w:rPr>
          <w:highlight w:val="none"/>
        </w:rPr>
      </w:r>
      <w:r/>
    </w:p>
    <w:p>
      <w:pPr>
        <w:ind w:left="630"/>
        <w:spacing w:line="360" w:lineRule="auto"/>
        <w:rPr>
          <w:rFonts w:ascii="宋体" w:hAnsi="宋体" w:cs="宋体"/>
          <w:szCs w:val="21"/>
          <w:highlight w:val="none"/>
        </w:rPr>
      </w:pPr>
      <w:r>
        <w:rPr>
          <w:rFonts w:hint="eastAsia" w:ascii="宋体" w:hAnsi="宋体" w:cs="宋体"/>
          <w:szCs w:val="21"/>
          <w:highlight w:val="none"/>
        </w:rPr>
        <w:t xml:space="preserve">开户银行：</w:t>
      </w:r>
      <w:r>
        <w:rPr>
          <w:rFonts w:hint="eastAsia" w:ascii="宋体" w:hAnsi="宋体" w:cs="宋体"/>
          <w:szCs w:val="21"/>
          <w:highlight w:val="none"/>
          <w:u w:val="single"/>
        </w:rPr>
        <w:t xml:space="preserve">                     </w:t>
      </w:r>
      <w:r>
        <w:rPr>
          <w:rFonts w:hint="eastAsia" w:ascii="宋体" w:hAnsi="宋体" w:cs="宋体"/>
          <w:szCs w:val="21"/>
          <w:highlight w:val="none"/>
        </w:rPr>
        <w:t xml:space="preserve">       开户银行：</w:t>
      </w:r>
      <w:r>
        <w:rPr>
          <w:rFonts w:hint="eastAsia" w:ascii="宋体" w:hAnsi="宋体" w:cs="宋体"/>
          <w:szCs w:val="21"/>
          <w:highlight w:val="none"/>
          <w:u w:val="single"/>
        </w:rPr>
        <w:t xml:space="preserve">                      </w:t>
      </w:r>
      <w:r>
        <w:rPr>
          <w:highlight w:val="none"/>
        </w:rPr>
      </w:r>
      <w:r/>
    </w:p>
    <w:p>
      <w:pPr>
        <w:ind w:left="630"/>
        <w:spacing w:line="360" w:lineRule="auto"/>
        <w:rPr>
          <w:rFonts w:ascii="宋体" w:hAnsi="宋体" w:cs="宋体"/>
          <w:szCs w:val="21"/>
          <w:highlight w:val="none"/>
        </w:rPr>
      </w:pPr>
      <w:r>
        <w:rPr>
          <w:rFonts w:hint="eastAsia" w:ascii="宋体" w:hAnsi="宋体" w:cs="宋体"/>
          <w:szCs w:val="21"/>
          <w:highlight w:val="none"/>
        </w:rPr>
        <w:t xml:space="preserve">账  号：</w:t>
      </w:r>
      <w:r>
        <w:rPr>
          <w:rFonts w:hint="eastAsia" w:ascii="宋体" w:hAnsi="宋体" w:cs="宋体"/>
          <w:szCs w:val="21"/>
          <w:highlight w:val="none"/>
          <w:u w:val="single"/>
        </w:rPr>
        <w:t xml:space="preserve">                       </w:t>
      </w:r>
      <w:r>
        <w:rPr>
          <w:rFonts w:hint="eastAsia" w:ascii="宋体" w:hAnsi="宋体" w:cs="宋体"/>
          <w:szCs w:val="21"/>
          <w:highlight w:val="none"/>
        </w:rPr>
        <w:t xml:space="preserve">       账  号：</w:t>
      </w:r>
      <w:r>
        <w:rPr>
          <w:rFonts w:hint="eastAsia" w:ascii="宋体" w:hAnsi="宋体" w:cs="宋体"/>
          <w:szCs w:val="21"/>
          <w:highlight w:val="none"/>
          <w:u w:val="single"/>
        </w:rPr>
        <w:t xml:space="preserve">                        </w:t>
      </w:r>
      <w:r>
        <w:rPr>
          <w:highlight w:val="none"/>
        </w:rPr>
      </w:r>
      <w:r/>
    </w:p>
    <w:p>
      <w:pPr>
        <w:pStyle w:val="1004"/>
        <w:ind w:left="208" w:firstLine="447"/>
        <w:jc w:val="both"/>
        <w:spacing w:line="240" w:lineRule="auto"/>
        <w:rPr>
          <w:rFonts w:ascii="Arial" w:hAnsi="Arial" w:cs="Arial"/>
          <w:sz w:val="21"/>
          <w:szCs w:val="21"/>
          <w:highlight w:val="none"/>
          <w:u w:val="single"/>
        </w:rPr>
      </w:pPr>
      <w:r>
        <w:rPr>
          <w:highlight w:val="none"/>
        </w:rPr>
      </w:r>
      <w:bookmarkStart w:id="630" w:name="_Toc9842"/>
      <w:r>
        <w:rPr>
          <w:highlight w:val="none"/>
        </w:rPr>
      </w:r>
      <w:bookmarkStart w:id="631" w:name="_Toc19425"/>
      <w:r>
        <w:rPr>
          <w:rFonts w:ascii="Arial" w:hAnsi="Arial" w:eastAsia="宋体" w:cs="Arial"/>
          <w:sz w:val="21"/>
          <w:szCs w:val="21"/>
          <w:highlight w:val="none"/>
          <w:lang w:val="en-US"/>
        </w:rPr>
        <w:t xml:space="preserve">邮政编码：</w:t>
      </w:r>
      <w:r>
        <w:rPr>
          <w:rFonts w:ascii="Arial" w:hAnsi="Arial" w:cs="Arial"/>
          <w:sz w:val="21"/>
          <w:szCs w:val="21"/>
          <w:highlight w:val="none"/>
          <w:u w:val="single"/>
        </w:rPr>
        <w:t xml:space="preserve">                      </w:t>
      </w:r>
      <w:r>
        <w:rPr>
          <w:rFonts w:ascii="Arial" w:hAnsi="Arial" w:eastAsia="宋体" w:cs="Arial"/>
          <w:sz w:val="21"/>
          <w:szCs w:val="21"/>
          <w:highlight w:val="none"/>
        </w:rPr>
        <w:t xml:space="preserve">      </w:t>
      </w:r>
      <w:r>
        <w:rPr>
          <w:rFonts w:ascii="Arial" w:hAnsi="Arial" w:eastAsia="宋体" w:cs="Arial"/>
          <w:sz w:val="21"/>
          <w:szCs w:val="21"/>
          <w:highlight w:val="none"/>
        </w:rPr>
        <w:t xml:space="preserve">邮政编码：</w:t>
      </w:r>
      <w:bookmarkEnd w:id="630"/>
      <w:r>
        <w:rPr>
          <w:highlight w:val="none"/>
        </w:rPr>
      </w:r>
      <w:bookmarkEnd w:id="631"/>
      <w:r>
        <w:rPr>
          <w:rFonts w:ascii="Arial" w:hAnsi="Arial" w:cs="Arial"/>
          <w:sz w:val="21"/>
          <w:szCs w:val="21"/>
          <w:highlight w:val="none"/>
          <w:u w:val="single"/>
        </w:rPr>
        <w:t xml:space="preserve">                      </w:t>
      </w:r>
      <w:r>
        <w:rPr>
          <w:highlight w:val="none"/>
        </w:rPr>
      </w:r>
      <w:r/>
    </w:p>
    <w:p>
      <w:pPr>
        <w:pStyle w:val="990"/>
        <w:rPr>
          <w:rFonts w:ascii="Arial" w:hAnsi="Arial" w:cs="Arial"/>
          <w:color w:val="000000"/>
          <w:highlight w:val="none"/>
          <w:u w:val="single"/>
        </w:rPr>
      </w:pPr>
      <w:r>
        <w:rPr>
          <w:rFonts w:ascii="Arial" w:hAnsi="Arial" w:cs="Arial"/>
          <w:color w:val="000000"/>
          <w:highlight w:val="none"/>
          <w:u w:val="single"/>
        </w:rPr>
      </w:r>
      <w:r>
        <w:rPr>
          <w:highlight w:val="none"/>
        </w:rPr>
      </w:r>
      <w:r/>
    </w:p>
    <w:p>
      <w:pPr>
        <w:pStyle w:val="1004"/>
        <w:ind w:left="208" w:firstLine="447"/>
        <w:jc w:val="both"/>
        <w:spacing w:line="240" w:lineRule="auto"/>
        <w:rPr>
          <w:rFonts w:ascii="Arial" w:hAnsi="Arial" w:cs="Arial"/>
          <w:sz w:val="21"/>
          <w:szCs w:val="21"/>
          <w:highlight w:val="none"/>
          <w:u w:val="single"/>
        </w:rPr>
      </w:pPr>
      <w:r>
        <w:rPr>
          <w:rFonts w:ascii="Arial" w:hAnsi="Arial" w:eastAsia="宋体" w:cs="Arial"/>
          <w:sz w:val="21"/>
          <w:szCs w:val="21"/>
          <w:highlight w:val="none"/>
        </w:rPr>
        <w:t xml:space="preserve">      </w:t>
      </w:r>
      <w:r>
        <w:rPr>
          <w:highlight w:val="none"/>
        </w:rPr>
      </w:r>
      <w:r/>
    </w:p>
    <w:p>
      <w:pPr>
        <w:pStyle w:val="990"/>
        <w:rPr>
          <w:rFonts w:ascii="Arial" w:hAnsi="Arial" w:cs="Arial"/>
          <w:color w:val="000000"/>
          <w:highlight w:val="none"/>
          <w:u w:val="single"/>
        </w:rPr>
      </w:pPr>
      <w:r>
        <w:rPr>
          <w:rFonts w:ascii="Arial" w:hAnsi="Arial" w:cs="Arial"/>
          <w:color w:val="000000"/>
          <w:highlight w:val="none"/>
          <w:u w:val="single"/>
        </w:rPr>
      </w:r>
      <w:r>
        <w:rPr>
          <w:highlight w:val="none"/>
        </w:rPr>
      </w:r>
      <w:r/>
    </w:p>
    <w:p>
      <w:pPr>
        <w:pStyle w:val="1004"/>
        <w:spacing w:line="240" w:lineRule="auto"/>
        <w:rPr>
          <w:highlight w:val="none"/>
        </w:rPr>
      </w:pPr>
      <w:r>
        <w:rPr>
          <w:rFonts w:ascii="Arial" w:hAnsi="Arial" w:eastAsia="宋体" w:cs="Arial"/>
          <w:sz w:val="21"/>
          <w:szCs w:val="21"/>
          <w:highlight w:val="none"/>
        </w:rPr>
        <w:br w:type="page" w:clear="all"/>
      </w:r>
      <w:bookmarkStart w:id="632" w:name="_Toc9391"/>
      <w:r>
        <w:rPr>
          <w:rFonts w:hint="eastAsia"/>
          <w:highlight w:val="none"/>
        </w:rPr>
        <w:t xml:space="preserve">第六章</w:t>
      </w:r>
      <w:r>
        <w:rPr>
          <w:rFonts w:hint="eastAsia"/>
          <w:highlight w:val="none"/>
        </w:rPr>
        <w:t xml:space="preserve"> </w:t>
      </w:r>
      <w:r>
        <w:rPr>
          <w:rFonts w:hint="eastAsia"/>
          <w:highlight w:val="none"/>
          <w:lang w:val="en-US"/>
        </w:rPr>
        <w:t xml:space="preserve"> </w:t>
      </w:r>
      <w:r>
        <w:rPr>
          <w:rFonts w:hint="eastAsia"/>
          <w:highlight w:val="none"/>
        </w:rPr>
        <w:t xml:space="preserve">磋商响应文件格式</w:t>
      </w:r>
      <w:bookmarkEnd w:id="81"/>
      <w:r>
        <w:rPr>
          <w:highlight w:val="none"/>
        </w:rPr>
      </w:r>
      <w:bookmarkEnd w:id="82"/>
      <w:r>
        <w:rPr>
          <w:highlight w:val="none"/>
        </w:rPr>
      </w:r>
      <w:bookmarkEnd w:id="83"/>
      <w:r>
        <w:rPr>
          <w:highlight w:val="none"/>
        </w:rPr>
      </w:r>
      <w:bookmarkEnd w:id="632"/>
      <w:r>
        <w:rPr>
          <w:highlight w:val="none"/>
        </w:rPr>
      </w:r>
      <w:r/>
    </w:p>
    <w:p>
      <w:pPr>
        <w:rPr>
          <w:rFonts w:ascii="宋体"/>
          <w:b/>
          <w:szCs w:val="21"/>
          <w:highlight w:val="none"/>
        </w:rPr>
      </w:pPr>
      <w:r>
        <w:rPr>
          <w:rFonts w:ascii="宋体"/>
          <w:b/>
          <w:szCs w:val="21"/>
          <w:highlight w:val="none"/>
          <w:lang w:val="zh-CN"/>
        </w:rPr>
      </w:r>
      <w:r>
        <w:rPr>
          <w:highlight w:val="non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1"/>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1"/>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   （加盖CA电子公章）    </w:t>
      </w:r>
      <w:r>
        <w:rPr>
          <w:rFonts w:ascii="SimSun" w:hAnsi="SimSun" w:eastAsia="SimSun" w:cs="SimSun"/>
          <w:b/>
          <w:color w:val="000000"/>
          <w:sz w:val="36"/>
        </w:rPr>
        <w:t xml:space="preserve">  </w:t>
      </w:r>
      <w:r/>
    </w:p>
    <w:p>
      <w:pPr>
        <w:ind w:left="0" w:right="0" w:firstLine="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shd w:val="nil"/>
        <w:rPr>
          <w:rFonts w:ascii="宋体"/>
          <w:b/>
          <w:bCs/>
          <w:highlight w:val="none"/>
        </w:rPr>
        <w:outlineLvl w:val="1"/>
      </w:pPr>
      <w:r>
        <w:rPr>
          <w:highlight w:val="none"/>
        </w:rPr>
        <w:br w:type="page" w:clear="all"/>
      </w:r>
      <w:r>
        <w:rPr>
          <w:highlight w:val="none"/>
        </w:rPr>
      </w:r>
    </w:p>
    <w:p>
      <w:pPr>
        <w:jc w:val="center"/>
        <w:rPr>
          <w:highlight w:val="none"/>
        </w:rPr>
        <w:outlineLvl w:val="1"/>
      </w:pPr>
      <w:r>
        <w:rPr>
          <w:b/>
          <w:bCs/>
          <w:sz w:val="36"/>
          <w:szCs w:val="44"/>
          <w:highlight w:val="none"/>
        </w:rPr>
        <w:t xml:space="preserve">目 录</w:t>
      </w:r>
      <w:r>
        <w:rPr>
          <w:highlight w:val="none"/>
        </w:rPr>
      </w:r>
      <w:r>
        <w:rPr>
          <w:highlight w:val="none"/>
        </w:rPr>
      </w:r>
    </w:p>
    <w:p>
      <w:pPr>
        <w:contextualSpacing w:val="0"/>
        <w:jc w:val="left"/>
        <w:spacing w:before="0" w:after="0" w:line="396" w:lineRule="exact"/>
        <w:rPr>
          <w:sz w:val="24"/>
          <w:szCs w:val="32"/>
          <w:highlight w:val="none"/>
        </w:rPr>
        <w:outlineLvl w:val="1"/>
        <w:suppressLineNumbers w:val="0"/>
      </w:pPr>
      <w:r>
        <w:rPr>
          <w:sz w:val="24"/>
          <w:szCs w:val="32"/>
          <w:highlight w:val="none"/>
        </w:rPr>
        <w:t xml:space="preserve">一</w:t>
      </w:r>
      <w:r>
        <w:rPr>
          <w:sz w:val="24"/>
          <w:szCs w:val="32"/>
          <w:highlight w:val="none"/>
        </w:rPr>
        <w:t xml:space="preserve">、</w:t>
      </w:r>
      <w:r>
        <w:rPr>
          <w:sz w:val="24"/>
          <w:szCs w:val="32"/>
          <w:highlight w:val="none"/>
        </w:rPr>
        <w:t xml:space="preserve">磋商申请及声明</w:t>
      </w:r>
      <w:r>
        <w:rPr>
          <w:sz w:val="24"/>
          <w:szCs w:val="32"/>
          <w:highlight w:val="none"/>
        </w:rPr>
      </w:r>
      <w:r>
        <w:rPr>
          <w:sz w:val="24"/>
          <w:szCs w:val="32"/>
          <w:highlight w:val="none"/>
        </w:rPr>
      </w:r>
    </w:p>
    <w:p>
      <w:pPr>
        <w:contextualSpacing w:val="0"/>
        <w:jc w:val="left"/>
        <w:spacing w:before="0" w:after="0" w:line="396" w:lineRule="exact"/>
        <w:rPr>
          <w:sz w:val="24"/>
          <w:szCs w:val="32"/>
          <w:highlight w:val="none"/>
        </w:rPr>
        <w:outlineLvl w:val="1"/>
        <w:suppressLineNumbers w:val="0"/>
      </w:pPr>
      <w:r>
        <w:rPr>
          <w:sz w:val="24"/>
          <w:szCs w:val="32"/>
          <w:highlight w:val="none"/>
        </w:rPr>
        <w:t xml:space="preserve">二</w:t>
      </w:r>
      <w:r>
        <w:rPr>
          <w:sz w:val="24"/>
          <w:szCs w:val="32"/>
          <w:highlight w:val="none"/>
        </w:rPr>
        <w:t xml:space="preserve">、</w:t>
      </w:r>
      <w:r>
        <w:rPr>
          <w:sz w:val="24"/>
          <w:szCs w:val="32"/>
          <w:highlight w:val="none"/>
        </w:rPr>
        <w:t xml:space="preserve">法定代表人</w:t>
      </w:r>
      <w:r>
        <w:rPr>
          <w:sz w:val="24"/>
          <w:szCs w:val="32"/>
          <w:highlight w:val="none"/>
        </w:rPr>
        <w:t xml:space="preserve">授权</w:t>
      </w:r>
      <w:r>
        <w:rPr>
          <w:sz w:val="24"/>
          <w:szCs w:val="32"/>
          <w:highlight w:val="none"/>
        </w:rPr>
        <w:t xml:space="preserve">委托书</w:t>
      </w:r>
      <w:r>
        <w:rPr>
          <w:sz w:val="24"/>
          <w:szCs w:val="32"/>
          <w:highlight w:val="none"/>
        </w:rPr>
      </w:r>
      <w:r>
        <w:rPr>
          <w:sz w:val="24"/>
          <w:szCs w:val="32"/>
          <w:highlight w:val="none"/>
        </w:rPr>
      </w:r>
    </w:p>
    <w:p>
      <w:pPr>
        <w:contextualSpacing w:val="0"/>
        <w:jc w:val="left"/>
        <w:spacing w:before="0" w:after="0" w:line="396" w:lineRule="exact"/>
        <w:rPr>
          <w:sz w:val="24"/>
          <w:szCs w:val="32"/>
          <w:highlight w:val="none"/>
        </w:rPr>
        <w:outlineLvl w:val="1"/>
        <w:suppressLineNumbers w:val="0"/>
      </w:pPr>
      <w:r>
        <w:rPr>
          <w:sz w:val="24"/>
          <w:szCs w:val="32"/>
          <w:highlight w:val="none"/>
        </w:rPr>
        <w:t xml:space="preserve">三</w:t>
      </w:r>
      <w:r>
        <w:rPr>
          <w:sz w:val="24"/>
          <w:szCs w:val="32"/>
          <w:highlight w:val="none"/>
        </w:rPr>
        <w:t xml:space="preserve">、</w:t>
      </w:r>
      <w:r>
        <w:rPr>
          <w:sz w:val="24"/>
          <w:szCs w:val="32"/>
          <w:highlight w:val="none"/>
        </w:rPr>
        <w:t xml:space="preserve">磋商报价表</w:t>
      </w:r>
      <w:r>
        <w:rPr>
          <w:sz w:val="24"/>
          <w:szCs w:val="32"/>
          <w:highlight w:val="none"/>
        </w:rPr>
      </w:r>
      <w:r>
        <w:rPr>
          <w:sz w:val="24"/>
          <w:szCs w:val="32"/>
          <w:highlight w:val="none"/>
        </w:rPr>
      </w:r>
    </w:p>
    <w:p>
      <w:pPr>
        <w:contextualSpacing w:val="0"/>
        <w:jc w:val="left"/>
        <w:spacing w:before="0" w:after="0" w:line="396" w:lineRule="exact"/>
        <w:rPr>
          <w:sz w:val="24"/>
          <w:szCs w:val="32"/>
          <w:highlight w:val="none"/>
        </w:rPr>
        <w:outlineLvl w:val="1"/>
        <w:suppressLineNumbers w:val="0"/>
      </w:pPr>
      <w:r>
        <w:rPr>
          <w:sz w:val="24"/>
          <w:szCs w:val="32"/>
          <w:highlight w:val="none"/>
        </w:rPr>
        <w:t xml:space="preserve">四</w:t>
      </w:r>
      <w:r>
        <w:rPr>
          <w:sz w:val="24"/>
          <w:szCs w:val="32"/>
          <w:highlight w:val="none"/>
        </w:rPr>
        <w:t xml:space="preserve">、</w:t>
      </w:r>
      <w:r>
        <w:rPr>
          <w:sz w:val="24"/>
          <w:szCs w:val="32"/>
          <w:highlight w:val="none"/>
        </w:rPr>
        <w:t xml:space="preserve">分项报价</w:t>
      </w:r>
      <w:r>
        <w:rPr>
          <w:sz w:val="24"/>
          <w:szCs w:val="32"/>
          <w:highlight w:val="none"/>
        </w:rPr>
        <w:t xml:space="preserve">明细</w:t>
      </w:r>
      <w:r>
        <w:rPr>
          <w:sz w:val="24"/>
          <w:szCs w:val="32"/>
          <w:highlight w:val="none"/>
        </w:rPr>
        <w:t xml:space="preserve">表</w:t>
      </w:r>
      <w:r>
        <w:rPr>
          <w:sz w:val="24"/>
          <w:szCs w:val="32"/>
          <w:highlight w:val="none"/>
        </w:rPr>
      </w:r>
      <w:r>
        <w:rPr>
          <w:sz w:val="24"/>
          <w:szCs w:val="32"/>
          <w:highlight w:val="none"/>
        </w:rPr>
      </w:r>
    </w:p>
    <w:p>
      <w:pPr>
        <w:contextualSpacing w:val="0"/>
        <w:jc w:val="left"/>
        <w:spacing w:before="0" w:after="0" w:line="396" w:lineRule="exact"/>
        <w:rPr>
          <w:sz w:val="24"/>
          <w:szCs w:val="32"/>
          <w:highlight w:val="none"/>
        </w:rPr>
        <w:outlineLvl w:val="1"/>
        <w:suppressLineNumbers w:val="0"/>
      </w:pPr>
      <w:r>
        <w:rPr>
          <w:sz w:val="24"/>
          <w:szCs w:val="32"/>
          <w:highlight w:val="none"/>
        </w:rPr>
        <w:t xml:space="preserve">五</w:t>
      </w:r>
      <w:r>
        <w:rPr>
          <w:sz w:val="24"/>
          <w:szCs w:val="32"/>
          <w:highlight w:val="none"/>
        </w:rPr>
        <w:t xml:space="preserve">、</w:t>
      </w:r>
      <w:r>
        <w:rPr>
          <w:sz w:val="24"/>
          <w:szCs w:val="32"/>
          <w:highlight w:val="none"/>
        </w:rPr>
        <w:t xml:space="preserve">商务条款</w:t>
      </w:r>
      <w:r>
        <w:rPr>
          <w:sz w:val="24"/>
          <w:szCs w:val="32"/>
          <w:highlight w:val="none"/>
        </w:rPr>
        <w:t xml:space="preserve">响应</w:t>
      </w:r>
      <w:r>
        <w:rPr>
          <w:sz w:val="24"/>
          <w:szCs w:val="32"/>
          <w:highlight w:val="none"/>
        </w:rPr>
        <w:t xml:space="preserve">表</w:t>
      </w:r>
      <w:r>
        <w:rPr>
          <w:sz w:val="24"/>
          <w:szCs w:val="32"/>
          <w:highlight w:val="none"/>
        </w:rPr>
      </w:r>
      <w:r>
        <w:rPr>
          <w:sz w:val="24"/>
          <w:szCs w:val="32"/>
          <w:highlight w:val="none"/>
        </w:rPr>
      </w:r>
    </w:p>
    <w:p>
      <w:pPr>
        <w:contextualSpacing w:val="0"/>
        <w:jc w:val="left"/>
        <w:spacing w:before="0" w:after="0" w:line="396" w:lineRule="exact"/>
        <w:rPr>
          <w:sz w:val="24"/>
          <w:szCs w:val="32"/>
          <w:highlight w:val="none"/>
        </w:rPr>
        <w:outlineLvl w:val="1"/>
        <w:suppressLineNumbers w:val="0"/>
      </w:pPr>
      <w:r>
        <w:rPr>
          <w:sz w:val="24"/>
          <w:szCs w:val="32"/>
          <w:highlight w:val="none"/>
        </w:rPr>
        <w:t xml:space="preserve">六</w:t>
      </w:r>
      <w:r>
        <w:rPr>
          <w:sz w:val="24"/>
          <w:szCs w:val="32"/>
          <w:highlight w:val="none"/>
        </w:rPr>
        <w:t xml:space="preserve">、</w:t>
      </w:r>
      <w:r>
        <w:rPr>
          <w:sz w:val="24"/>
          <w:szCs w:val="32"/>
          <w:highlight w:val="none"/>
        </w:rPr>
        <w:t xml:space="preserve">技术</w:t>
      </w:r>
      <w:r>
        <w:rPr>
          <w:sz w:val="24"/>
          <w:szCs w:val="32"/>
          <w:highlight w:val="none"/>
        </w:rPr>
        <w:t xml:space="preserve">规格</w:t>
      </w:r>
      <w:r>
        <w:rPr>
          <w:sz w:val="24"/>
          <w:szCs w:val="32"/>
          <w:highlight w:val="none"/>
        </w:rPr>
        <w:t xml:space="preserve">偏离表</w:t>
      </w:r>
      <w:r>
        <w:rPr>
          <w:sz w:val="24"/>
          <w:szCs w:val="32"/>
          <w:highlight w:val="none"/>
        </w:rPr>
      </w:r>
      <w:r>
        <w:rPr>
          <w:sz w:val="24"/>
          <w:szCs w:val="32"/>
          <w:highlight w:val="none"/>
        </w:rPr>
      </w:r>
    </w:p>
    <w:p>
      <w:pPr>
        <w:contextualSpacing w:val="0"/>
        <w:jc w:val="left"/>
        <w:spacing w:before="0" w:after="0" w:line="396" w:lineRule="exact"/>
        <w:rPr>
          <w:sz w:val="24"/>
          <w:szCs w:val="32"/>
          <w:highlight w:val="none"/>
          <w14:ligatures w14:val="none"/>
        </w:rPr>
        <w:outlineLvl w:val="1"/>
        <w:suppressLineNumbers w:val="0"/>
      </w:pPr>
      <w:r>
        <w:rPr>
          <w:sz w:val="24"/>
          <w:szCs w:val="32"/>
          <w:highlight w:val="none"/>
        </w:rPr>
        <w:t xml:space="preserve">七</w:t>
      </w:r>
      <w:r>
        <w:rPr>
          <w:sz w:val="24"/>
          <w:szCs w:val="32"/>
          <w:highlight w:val="none"/>
        </w:rPr>
        <w:t xml:space="preserve">、</w:t>
      </w:r>
      <w:r>
        <w:rPr>
          <w:sz w:val="24"/>
          <w:szCs w:val="32"/>
          <w:highlight w:val="none"/>
          <w:lang w:val="zh-CN"/>
        </w:rPr>
        <w:t xml:space="preserve">第一章磋商邀请中规定的资格条件证明文件</w:t>
      </w:r>
      <w:r>
        <w:rPr>
          <w:sz w:val="24"/>
          <w:szCs w:val="32"/>
          <w:highlight w:val="none"/>
        </w:rPr>
      </w:r>
      <w:r>
        <w:rPr>
          <w:sz w:val="24"/>
          <w:szCs w:val="32"/>
          <w:highlight w:val="none"/>
        </w:rPr>
      </w:r>
    </w:p>
    <w:p>
      <w:pPr>
        <w:contextualSpacing w:val="0"/>
        <w:jc w:val="left"/>
        <w:spacing w:before="0" w:after="0" w:line="396" w:lineRule="exact"/>
        <w:rPr>
          <w:sz w:val="24"/>
          <w:szCs w:val="32"/>
          <w:highlight w:val="none"/>
          <w14:ligatures w14:val="none"/>
        </w:rPr>
        <w:outlineLvl w:val="1"/>
        <w:suppressLineNumbers w:val="0"/>
      </w:pPr>
      <w:r>
        <w:rPr>
          <w:sz w:val="24"/>
          <w:szCs w:val="32"/>
          <w:highlight w:val="none"/>
        </w:rPr>
        <w:t xml:space="preserve">八</w:t>
      </w:r>
      <w:r>
        <w:rPr>
          <w:sz w:val="24"/>
          <w:szCs w:val="32"/>
          <w:highlight w:val="none"/>
        </w:rPr>
        <w:t xml:space="preserve">、</w:t>
      </w:r>
      <w:r>
        <w:rPr>
          <w:sz w:val="24"/>
          <w:szCs w:val="32"/>
          <w:highlight w:val="none"/>
        </w:rPr>
        <w:t xml:space="preserve">无重大违法记录声明</w:t>
      </w:r>
      <w:r>
        <w:rPr>
          <w:sz w:val="24"/>
          <w:szCs w:val="32"/>
          <w:highlight w:val="none"/>
        </w:rPr>
      </w:r>
      <w:r>
        <w:rPr>
          <w:sz w:val="24"/>
          <w:szCs w:val="32"/>
          <w:highlight w:val="none"/>
        </w:rPr>
      </w:r>
    </w:p>
    <w:p>
      <w:pPr>
        <w:contextualSpacing w:val="0"/>
        <w:jc w:val="left"/>
        <w:spacing w:before="0" w:after="0" w:line="396" w:lineRule="exact"/>
        <w:rPr>
          <w:sz w:val="24"/>
          <w:szCs w:val="32"/>
          <w:highlight w:val="none"/>
          <w14:ligatures w14:val="none"/>
        </w:rPr>
        <w:outlineLvl w:val="1"/>
        <w:suppressLineNumbers w:val="0"/>
      </w:pPr>
      <w:r>
        <w:rPr>
          <w:sz w:val="24"/>
          <w:szCs w:val="32"/>
          <w:highlight w:val="none"/>
        </w:rPr>
        <w:t xml:space="preserve">九</w:t>
      </w:r>
      <w:r>
        <w:rPr>
          <w:sz w:val="24"/>
          <w:szCs w:val="32"/>
          <w:highlight w:val="none"/>
        </w:rPr>
        <w:t xml:space="preserve">、</w:t>
      </w:r>
      <w:r>
        <w:rPr>
          <w:sz w:val="24"/>
          <w:szCs w:val="32"/>
          <w:highlight w:val="none"/>
        </w:rPr>
        <w:t xml:space="preserve">安全生产责任</w:t>
      </w:r>
      <w:r>
        <w:rPr>
          <w:sz w:val="24"/>
          <w:szCs w:val="32"/>
          <w:highlight w:val="none"/>
        </w:rPr>
        <w:t xml:space="preserve">承诺书</w:t>
      </w:r>
      <w:r>
        <w:rPr>
          <w:sz w:val="24"/>
          <w:szCs w:val="32"/>
          <w:highlight w:val="none"/>
        </w:rPr>
      </w:r>
      <w:r>
        <w:rPr>
          <w:sz w:val="24"/>
          <w:szCs w:val="32"/>
          <w:highlight w:val="none"/>
        </w:rPr>
      </w:r>
      <w:r>
        <w:rPr>
          <w:sz w:val="24"/>
          <w:szCs w:val="32"/>
          <w:highlight w:val="none"/>
        </w:rPr>
      </w:r>
    </w:p>
    <w:p>
      <w:pPr>
        <w:contextualSpacing w:val="0"/>
        <w:jc w:val="left"/>
        <w:spacing w:before="0" w:after="0" w:line="396" w:lineRule="exact"/>
        <w:rPr>
          <w:sz w:val="24"/>
          <w:szCs w:val="32"/>
          <w:highlight w:val="none"/>
          <w14:ligatures w14:val="none"/>
        </w:rPr>
        <w:outlineLvl w:val="1"/>
        <w:suppressLineNumbers w:val="0"/>
      </w:pPr>
      <w:r>
        <w:rPr>
          <w:sz w:val="24"/>
          <w:szCs w:val="32"/>
          <w:highlight w:val="none"/>
        </w:rPr>
        <w:t xml:space="preserve">十</w:t>
      </w:r>
      <w:r>
        <w:rPr>
          <w:sz w:val="24"/>
          <w:szCs w:val="32"/>
          <w:highlight w:val="none"/>
        </w:rPr>
        <w:t xml:space="preserve">、</w:t>
      </w:r>
      <w:r>
        <w:rPr>
          <w:sz w:val="24"/>
          <w:szCs w:val="32"/>
          <w:highlight w:val="none"/>
        </w:rPr>
        <w:t xml:space="preserve">具备履行合同所必需的设备和专业技术能力的声明</w:t>
      </w:r>
      <w:r>
        <w:rPr>
          <w:sz w:val="24"/>
          <w:szCs w:val="32"/>
          <w:highlight w:val="none"/>
        </w:rPr>
      </w:r>
      <w:r>
        <w:rPr>
          <w:sz w:val="24"/>
          <w:szCs w:val="32"/>
          <w:highlight w:val="none"/>
        </w:rPr>
      </w:r>
    </w:p>
    <w:p>
      <w:pPr>
        <w:contextualSpacing w:val="0"/>
        <w:jc w:val="left"/>
        <w:spacing w:before="0" w:after="0" w:line="396" w:lineRule="exact"/>
        <w:rPr>
          <w:sz w:val="24"/>
          <w:szCs w:val="24"/>
          <w:highlight w:val="none"/>
          <w14:ligatures w14:val="none"/>
        </w:rPr>
        <w:outlineLvl w:val="1"/>
        <w:suppressLineNumbers w:val="0"/>
      </w:pPr>
      <w:r>
        <w:rPr>
          <w:sz w:val="24"/>
          <w:szCs w:val="32"/>
          <w:highlight w:val="none"/>
        </w:rPr>
        <w:t xml:space="preserve">十一</w:t>
      </w:r>
      <w:r>
        <w:rPr>
          <w:sz w:val="24"/>
          <w:szCs w:val="32"/>
          <w:highlight w:val="none"/>
        </w:rPr>
        <w:t xml:space="preserve">、</w:t>
      </w:r>
      <w:r>
        <w:rPr>
          <w:sz w:val="24"/>
          <w:szCs w:val="32"/>
          <w:highlight w:val="none"/>
        </w:rPr>
        <w:t xml:space="preserve">中小企业声明函 </w:t>
      </w:r>
      <w:r>
        <w:rPr>
          <w:sz w:val="24"/>
          <w:szCs w:val="32"/>
          <w:highlight w:val="none"/>
          <w14:ligatures w14:val="none"/>
        </w:rPr>
      </w:r>
    </w:p>
    <w:p>
      <w:pPr>
        <w:contextualSpacing w:val="0"/>
        <w:jc w:val="left"/>
        <w:spacing w:before="0" w:after="0" w:line="396" w:lineRule="exact"/>
        <w:rPr>
          <w:sz w:val="24"/>
          <w:szCs w:val="24"/>
          <w:highlight w:val="none"/>
          <w14:ligatures w14:val="none"/>
        </w:rPr>
        <w:outlineLvl w:val="1"/>
        <w:suppressLineNumbers w:val="0"/>
      </w:pPr>
      <w:r>
        <w:rPr>
          <w:sz w:val="24"/>
          <w:szCs w:val="32"/>
          <w:highlight w:val="none"/>
        </w:rPr>
        <w:t xml:space="preserve">十二</w:t>
      </w:r>
      <w:r>
        <w:rPr>
          <w:sz w:val="24"/>
          <w:szCs w:val="32"/>
          <w:highlight w:val="none"/>
        </w:rPr>
        <w:t xml:space="preserve">、</w:t>
      </w:r>
      <w:r>
        <w:rPr>
          <w:sz w:val="24"/>
          <w:szCs w:val="32"/>
          <w:highlight w:val="none"/>
        </w:rPr>
        <w:t xml:space="preserve">残疾人福利性单位声明函（如有，无则不提供此项）</w:t>
      </w:r>
      <w:r>
        <w:rPr>
          <w:sz w:val="24"/>
          <w:szCs w:val="32"/>
          <w:highlight w:val="none"/>
        </w:rPr>
      </w:r>
      <w:r/>
    </w:p>
    <w:p>
      <w:pPr>
        <w:contextualSpacing w:val="0"/>
        <w:jc w:val="left"/>
        <w:spacing w:before="0" w:after="0" w:line="396" w:lineRule="exact"/>
        <w:rPr>
          <w:sz w:val="24"/>
          <w:szCs w:val="32"/>
          <w:highlight w:val="none"/>
          <w14:ligatures w14:val="none"/>
        </w:rPr>
        <w:outlineLvl w:val="1"/>
        <w:suppressLineNumbers w:val="0"/>
      </w:pPr>
      <w:r>
        <w:rPr>
          <w:sz w:val="24"/>
          <w:szCs w:val="32"/>
          <w:highlight w:val="none"/>
        </w:rPr>
        <w:t xml:space="preserve">十</w:t>
      </w:r>
      <w:r>
        <w:rPr>
          <w:sz w:val="24"/>
          <w:szCs w:val="32"/>
          <w:highlight w:val="none"/>
        </w:rPr>
        <w:t xml:space="preserve">三</w:t>
      </w:r>
      <w:r>
        <w:rPr>
          <w:sz w:val="24"/>
          <w:szCs w:val="32"/>
          <w:highlight w:val="none"/>
        </w:rPr>
        <w:t xml:space="preserve">、</w:t>
      </w:r>
      <w:r>
        <w:rPr>
          <w:sz w:val="24"/>
          <w:szCs w:val="32"/>
          <w:highlight w:val="none"/>
        </w:rPr>
        <w:t xml:space="preserve">属于监狱企业的证明文件（如有，无则不提供此项）</w:t>
      </w:r>
      <w:r>
        <w:rPr>
          <w:sz w:val="24"/>
          <w:szCs w:val="32"/>
          <w:highlight w:val="none"/>
        </w:rPr>
      </w:r>
      <w:r>
        <w:rPr>
          <w:sz w:val="24"/>
          <w:szCs w:val="32"/>
          <w:highlight w:val="none"/>
        </w:rPr>
      </w:r>
    </w:p>
    <w:p>
      <w:pPr>
        <w:contextualSpacing w:val="0"/>
        <w:jc w:val="left"/>
        <w:spacing w:before="0" w:after="0" w:line="396" w:lineRule="exact"/>
        <w:rPr>
          <w:sz w:val="24"/>
          <w:szCs w:val="32"/>
          <w:highlight w:val="none"/>
          <w14:ligatures w14:val="none"/>
        </w:rPr>
        <w:outlineLvl w:val="1"/>
        <w:suppressLineNumbers w:val="0"/>
      </w:pPr>
      <w:r>
        <w:rPr>
          <w:sz w:val="24"/>
          <w:szCs w:val="32"/>
          <w:highlight w:val="none"/>
        </w:rPr>
        <w:t xml:space="preserve">十</w:t>
      </w:r>
      <w:r>
        <w:rPr>
          <w:sz w:val="24"/>
          <w:szCs w:val="32"/>
          <w:highlight w:val="none"/>
        </w:rPr>
        <w:t xml:space="preserve">四</w:t>
      </w:r>
      <w:r>
        <w:rPr>
          <w:sz w:val="24"/>
          <w:szCs w:val="32"/>
          <w:highlight w:val="none"/>
        </w:rPr>
        <w:t xml:space="preserve">、</w:t>
      </w:r>
      <w:r>
        <w:rPr>
          <w:sz w:val="24"/>
          <w:szCs w:val="32"/>
          <w:highlight w:val="none"/>
        </w:rPr>
        <w:t xml:space="preserve">节能产品认证文件（如有，无则不提供此项）</w:t>
      </w:r>
      <w:r>
        <w:rPr>
          <w:sz w:val="24"/>
          <w:szCs w:val="32"/>
          <w:highlight w:val="none"/>
        </w:rPr>
      </w:r>
      <w:r>
        <w:rPr>
          <w:sz w:val="24"/>
          <w:szCs w:val="32"/>
          <w:highlight w:val="none"/>
        </w:rPr>
      </w:r>
    </w:p>
    <w:p>
      <w:pPr>
        <w:contextualSpacing w:val="0"/>
        <w:jc w:val="left"/>
        <w:spacing w:before="0" w:after="0" w:line="396" w:lineRule="exact"/>
        <w:rPr>
          <w:sz w:val="24"/>
          <w:szCs w:val="32"/>
          <w:highlight w:val="none"/>
          <w14:ligatures w14:val="none"/>
        </w:rPr>
        <w:outlineLvl w:val="1"/>
        <w:suppressLineNumbers w:val="0"/>
      </w:pPr>
      <w:r>
        <w:rPr>
          <w:sz w:val="24"/>
          <w:szCs w:val="32"/>
          <w:highlight w:val="none"/>
        </w:rPr>
        <w:t xml:space="preserve">十</w:t>
      </w:r>
      <w:r>
        <w:rPr>
          <w:sz w:val="24"/>
          <w:szCs w:val="32"/>
          <w:highlight w:val="none"/>
        </w:rPr>
        <w:t xml:space="preserve">五</w:t>
      </w:r>
      <w:r>
        <w:rPr>
          <w:sz w:val="24"/>
          <w:szCs w:val="32"/>
          <w:highlight w:val="none"/>
        </w:rPr>
        <w:t xml:space="preserve">、</w:t>
      </w:r>
      <w:r>
        <w:rPr>
          <w:sz w:val="24"/>
          <w:szCs w:val="32"/>
          <w:highlight w:val="none"/>
        </w:rPr>
        <w:t xml:space="preserve">环境标志产品认证文件（如有，无则不提供此项）</w:t>
      </w:r>
      <w:r>
        <w:rPr>
          <w:sz w:val="24"/>
          <w:szCs w:val="32"/>
          <w:highlight w:val="none"/>
        </w:rPr>
      </w:r>
      <w:r>
        <w:rPr>
          <w:sz w:val="24"/>
          <w:szCs w:val="32"/>
          <w:highlight w:val="none"/>
        </w:rPr>
      </w:r>
    </w:p>
    <w:p>
      <w:pPr>
        <w:contextualSpacing w:val="0"/>
        <w:jc w:val="left"/>
        <w:spacing w:before="0" w:after="0" w:line="396" w:lineRule="exact"/>
        <w:rPr>
          <w:sz w:val="24"/>
          <w:szCs w:val="32"/>
          <w:highlight w:val="none"/>
          <w14:ligatures w14:val="none"/>
        </w:rPr>
        <w:outlineLvl w:val="1"/>
        <w:suppressLineNumbers w:val="0"/>
      </w:pPr>
      <w:r>
        <w:rPr>
          <w:sz w:val="24"/>
          <w:szCs w:val="32"/>
          <w:highlight w:val="none"/>
        </w:rPr>
        <w:t xml:space="preserve">十</w:t>
      </w:r>
      <w:r>
        <w:rPr>
          <w:sz w:val="24"/>
          <w:szCs w:val="32"/>
          <w:highlight w:val="none"/>
        </w:rPr>
        <w:t xml:space="preserve">六</w:t>
      </w:r>
      <w:r>
        <w:rPr>
          <w:sz w:val="24"/>
          <w:szCs w:val="32"/>
          <w:highlight w:val="none"/>
        </w:rPr>
        <w:t xml:space="preserve">、</w:t>
      </w:r>
      <w:r>
        <w:rPr>
          <w:sz w:val="24"/>
          <w:szCs w:val="32"/>
          <w:highlight w:val="none"/>
        </w:rPr>
        <w:t xml:space="preserve">南京市政府采购供应商信用记录表暨信用承诺书</w:t>
      </w:r>
      <w:r>
        <w:rPr>
          <w:sz w:val="24"/>
          <w:szCs w:val="32"/>
          <w:highlight w:val="none"/>
        </w:rPr>
      </w:r>
      <w:r>
        <w:rPr>
          <w:sz w:val="24"/>
          <w:szCs w:val="32"/>
          <w:highlight w:val="none"/>
        </w:rPr>
      </w:r>
    </w:p>
    <w:p>
      <w:pPr>
        <w:contextualSpacing w:val="0"/>
        <w:jc w:val="left"/>
        <w:spacing w:before="0" w:after="0" w:line="396" w:lineRule="exact"/>
        <w:rPr>
          <w:sz w:val="24"/>
          <w:szCs w:val="32"/>
          <w:highlight w:val="none"/>
          <w14:ligatures w14:val="none"/>
        </w:rPr>
        <w:outlineLvl w:val="1"/>
        <w:suppressLineNumbers w:val="0"/>
      </w:pPr>
      <w:r>
        <w:rPr>
          <w:sz w:val="24"/>
          <w:szCs w:val="32"/>
          <w:highlight w:val="none"/>
        </w:rPr>
        <w:t xml:space="preserve">十</w:t>
      </w:r>
      <w:r>
        <w:rPr>
          <w:sz w:val="24"/>
          <w:szCs w:val="32"/>
          <w:highlight w:val="none"/>
        </w:rPr>
        <w:t xml:space="preserve">七</w:t>
      </w:r>
      <w:r>
        <w:rPr>
          <w:sz w:val="24"/>
          <w:szCs w:val="32"/>
          <w:highlight w:val="none"/>
        </w:rPr>
        <w:t xml:space="preserve">、</w:t>
      </w:r>
      <w:r>
        <w:rPr>
          <w:sz w:val="24"/>
          <w:szCs w:val="32"/>
          <w:highlight w:val="none"/>
        </w:rPr>
        <w:t xml:space="preserve">“信用中国”、“中国政府采购网”网站截图 </w:t>
      </w:r>
      <w:r>
        <w:rPr>
          <w:sz w:val="24"/>
          <w:szCs w:val="32"/>
          <w:highlight w:val="none"/>
        </w:rPr>
      </w:r>
      <w:r>
        <w:rPr>
          <w:sz w:val="24"/>
          <w:szCs w:val="32"/>
          <w:highlight w:val="none"/>
        </w:rPr>
      </w:r>
    </w:p>
    <w:p>
      <w:pPr>
        <w:contextualSpacing w:val="0"/>
        <w:jc w:val="left"/>
        <w:spacing w:before="0" w:after="0" w:line="396" w:lineRule="exact"/>
        <w:rPr>
          <w:sz w:val="24"/>
          <w:szCs w:val="32"/>
          <w:highlight w:val="none"/>
          <w14:ligatures w14:val="none"/>
        </w:rPr>
        <w:outlineLvl w:val="1"/>
        <w:suppressLineNumbers w:val="0"/>
      </w:pPr>
      <w:r>
        <w:rPr>
          <w:sz w:val="24"/>
          <w:szCs w:val="32"/>
          <w:highlight w:val="none"/>
        </w:rPr>
        <w:t xml:space="preserve">十</w:t>
      </w:r>
      <w:r>
        <w:rPr>
          <w:sz w:val="24"/>
          <w:szCs w:val="32"/>
          <w:highlight w:val="none"/>
        </w:rPr>
        <w:t xml:space="preserve">八</w:t>
      </w:r>
      <w:r>
        <w:rPr>
          <w:sz w:val="24"/>
          <w:szCs w:val="32"/>
          <w:highlight w:val="none"/>
        </w:rPr>
        <w:t xml:space="preserve">、</w:t>
      </w:r>
      <w:r>
        <w:rPr>
          <w:sz w:val="24"/>
          <w:szCs w:val="32"/>
          <w:highlight w:val="none"/>
        </w:rPr>
        <w:t xml:space="preserve">磋商供应商认为需提供的其他资料</w:t>
      </w:r>
      <w:r>
        <w:rPr>
          <w:sz w:val="24"/>
          <w:szCs w:val="32"/>
          <w:highlight w:val="none"/>
        </w:rPr>
      </w:r>
      <w:r>
        <w:rPr>
          <w:sz w:val="24"/>
          <w:szCs w:val="32"/>
          <w:highlight w:val="none"/>
        </w:rPr>
      </w:r>
    </w:p>
    <w:p>
      <w:pPr>
        <w:rPr>
          <w:highlight w:val="none"/>
        </w:rPr>
        <w:outlineLvl w:val="1"/>
      </w:pPr>
      <w:r>
        <w:rPr>
          <w:highlight w:val="none"/>
        </w:rPr>
      </w:r>
      <w:r>
        <w:rPr>
          <w:highlight w:val="none"/>
        </w:rPr>
      </w:r>
    </w:p>
    <w:p>
      <w:pPr>
        <w:rPr>
          <w:highlight w:val="none"/>
        </w:rPr>
        <w:outlineLvl w:val="1"/>
      </w:pPr>
      <w:r>
        <w:rPr>
          <w:highlight w:val="none"/>
        </w:rPr>
      </w:r>
      <w:r>
        <w:rPr>
          <w:highlight w:val="none"/>
        </w:rPr>
      </w:r>
    </w:p>
    <w:p>
      <w:pPr>
        <w:rPr>
          <w:highlight w:val="none"/>
        </w:rPr>
        <w:outlineLvl w:val="1"/>
      </w:pPr>
      <w:r>
        <w:rPr>
          <w:highlight w:val="none"/>
        </w:rPr>
      </w:r>
      <w:r>
        <w:rPr>
          <w:highlight w:val="none"/>
        </w:rPr>
      </w:r>
    </w:p>
    <w:p>
      <w:pPr>
        <w:shd w:val="nil"/>
        <w:rPr>
          <w:highlight w:val="none"/>
        </w:rPr>
        <w:outlineLvl w:val="1"/>
      </w:pPr>
      <w:r>
        <w:rPr>
          <w:highlight w:val="none"/>
        </w:rPr>
        <w:br w:type="page" w:clear="all"/>
      </w:r>
      <w:r>
        <w:rPr>
          <w:highlight w:val="none"/>
        </w:rPr>
      </w:r>
    </w:p>
    <w:p>
      <w:pPr>
        <w:rPr>
          <w:highlight w:val="none"/>
        </w:rPr>
        <w:outlineLvl w:val="1"/>
      </w:pPr>
      <w:r>
        <w:rPr>
          <w:highlight w:val="none"/>
        </w:rPr>
      </w:r>
      <w:bookmarkStart w:id="633" w:name="_Toc15809"/>
      <w:r>
        <w:rPr>
          <w:rFonts w:hint="eastAsia" w:ascii="宋体"/>
          <w:b/>
          <w:szCs w:val="21"/>
          <w:highlight w:val="none"/>
          <w:lang w:val="zh-CN"/>
        </w:rPr>
        <w:t xml:space="preserve">一、磋商申请及声明</w:t>
      </w:r>
      <w:bookmarkEnd w:id="633"/>
      <w:r>
        <w:rPr>
          <w:highlight w:val="none"/>
        </w:rPr>
      </w:r>
      <w:r/>
    </w:p>
    <w:p>
      <w:pPr>
        <w:jc w:val="center"/>
        <w:rPr>
          <w:rFonts w:ascii="黑体" w:eastAsia="黑体"/>
          <w:sz w:val="36"/>
          <w:szCs w:val="36"/>
          <w:highlight w:val="none"/>
        </w:rPr>
      </w:pPr>
      <w:r>
        <w:rPr>
          <w:highlight w:val="none"/>
        </w:rPr>
      </w:r>
      <w:bookmarkStart w:id="634" w:name="_Toc503948079"/>
      <w:r>
        <w:rPr>
          <w:highlight w:val="none"/>
        </w:rPr>
      </w:r>
      <w:bookmarkStart w:id="635" w:name="_Toc503948586"/>
      <w:r>
        <w:rPr>
          <w:rFonts w:hint="eastAsia" w:ascii="黑体" w:eastAsia="黑体"/>
          <w:sz w:val="36"/>
          <w:szCs w:val="36"/>
          <w:highlight w:val="none"/>
        </w:rPr>
        <w:t xml:space="preserve">磋商申请及声明</w:t>
      </w:r>
      <w:bookmarkEnd w:id="634"/>
      <w:r>
        <w:rPr>
          <w:highlight w:val="none"/>
        </w:rPr>
      </w:r>
      <w:bookmarkEnd w:id="635"/>
      <w:r>
        <w:rPr>
          <w:highlight w:val="none"/>
        </w:rPr>
      </w:r>
      <w:r/>
    </w:p>
    <w:p>
      <w:pPr>
        <w:spacing w:line="360" w:lineRule="auto"/>
        <w:rPr>
          <w:highlight w:val="none"/>
        </w:rPr>
      </w:pPr>
      <w:r>
        <w:rPr>
          <w:highlight w:val="none"/>
        </w:rPr>
      </w:r>
      <w:bookmarkStart w:id="636" w:name="_Toc503948587"/>
      <w:r>
        <w:rPr>
          <w:highlight w:val="none"/>
        </w:rPr>
      </w:r>
      <w:bookmarkStart w:id="637" w:name="_Toc503948080"/>
      <w:r>
        <w:rPr>
          <w:highlight w:val="none"/>
        </w:rPr>
      </w:r>
      <w:r/>
    </w:p>
    <w:p>
      <w:pPr>
        <w:spacing w:line="360" w:lineRule="auto"/>
        <w:rPr>
          <w:highlight w:val="none"/>
        </w:rPr>
      </w:pPr>
      <w:r>
        <w:rPr>
          <w:rFonts w:hint="eastAsia"/>
          <w:highlight w:val="none"/>
        </w:rPr>
        <w:t xml:space="preserve">致：</w:t>
      </w:r>
      <w:bookmarkEnd w:id="636"/>
      <w:r>
        <w:rPr>
          <w:highlight w:val="none"/>
        </w:rPr>
      </w:r>
      <w:bookmarkEnd w:id="637"/>
      <w:r>
        <w:rPr>
          <w:rFonts w:hint="eastAsia"/>
          <w:highlight w:val="none"/>
        </w:rPr>
        <w:t xml:space="preserve">南京市六合区人民政府马鞍街道办事处</w:t>
      </w:r>
      <w:r>
        <w:rPr>
          <w:highlight w:val="none"/>
        </w:rPr>
      </w:r>
      <w:r/>
    </w:p>
    <w:p>
      <w:pPr>
        <w:ind w:firstLine="420"/>
        <w:spacing w:line="360" w:lineRule="auto"/>
        <w:rPr>
          <w:rFonts w:ascii="宋体"/>
          <w:szCs w:val="21"/>
          <w:highlight w:val="none"/>
        </w:rPr>
      </w:pPr>
      <w:r>
        <w:rPr>
          <w:rFonts w:hint="eastAsia" w:ascii="宋体"/>
          <w:szCs w:val="21"/>
          <w:highlight w:val="none"/>
          <w:lang w:val="zh-CN"/>
        </w:rPr>
        <w:t xml:space="preserve">根据贵方</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（项目编号）磋商邀请，正式授权下述签字人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ascii="宋体"/>
          <w:szCs w:val="21"/>
          <w:highlight w:val="none"/>
          <w:lang w:val="zh-CN"/>
        </w:rPr>
        <w:t xml:space="preserve">(</w:t>
      </w:r>
      <w:r>
        <w:rPr>
          <w:rFonts w:hint="eastAsia" w:ascii="宋体"/>
          <w:szCs w:val="21"/>
          <w:highlight w:val="none"/>
          <w:lang w:val="zh-CN"/>
        </w:rPr>
        <w:t xml:space="preserve">姓名和职务</w:t>
      </w:r>
      <w:r>
        <w:rPr>
          <w:rFonts w:ascii="宋体"/>
          <w:szCs w:val="21"/>
          <w:highlight w:val="none"/>
          <w:lang w:val="zh-CN"/>
        </w:rPr>
        <w:t xml:space="preserve">)</w:t>
      </w:r>
      <w:r>
        <w:rPr>
          <w:rFonts w:hint="eastAsia" w:ascii="宋体"/>
          <w:szCs w:val="21"/>
          <w:highlight w:val="none"/>
          <w:lang w:val="zh-CN"/>
        </w:rPr>
        <w:t xml:space="preserve">代表磋商供应商</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（磋商供应商名称），提交磋商文件。</w:t>
      </w:r>
      <w:r>
        <w:rPr>
          <w:highlight w:val="none"/>
        </w:rPr>
      </w:r>
      <w:r/>
    </w:p>
    <w:p>
      <w:pPr>
        <w:ind w:firstLine="420"/>
        <w:spacing w:line="360" w:lineRule="auto"/>
        <w:rPr>
          <w:rFonts w:ascii="宋体"/>
          <w:szCs w:val="21"/>
          <w:highlight w:val="none"/>
        </w:rPr>
      </w:pPr>
      <w:r>
        <w:rPr>
          <w:rFonts w:hint="eastAsia" w:ascii="宋体"/>
          <w:szCs w:val="21"/>
          <w:highlight w:val="none"/>
          <w:lang w:val="zh-CN"/>
        </w:rPr>
        <w:t xml:space="preserve">据此函，签字人兹宣布声明和承诺如下：</w:t>
      </w:r>
      <w:r>
        <w:rPr>
          <w:highlight w:val="none"/>
        </w:rPr>
      </w:r>
      <w:r/>
    </w:p>
    <w:p>
      <w:pPr>
        <w:ind w:firstLine="420"/>
        <w:spacing w:line="360" w:lineRule="auto"/>
        <w:rPr>
          <w:highlight w:val="none"/>
        </w:rPr>
      </w:pPr>
      <w:r>
        <w:rPr>
          <w:rFonts w:ascii="宋体"/>
          <w:szCs w:val="21"/>
          <w:highlight w:val="none"/>
          <w:lang w:val="zh-CN"/>
        </w:rPr>
        <w:t xml:space="preserve">1</w:t>
      </w:r>
      <w:r>
        <w:rPr>
          <w:rFonts w:hint="eastAsia" w:ascii="宋体"/>
          <w:szCs w:val="21"/>
          <w:highlight w:val="none"/>
        </w:rPr>
        <w:t xml:space="preserve">.</w:t>
      </w:r>
      <w:r>
        <w:rPr>
          <w:rFonts w:hint="eastAsia" w:ascii="宋体"/>
          <w:b/>
          <w:szCs w:val="21"/>
          <w:highlight w:val="none"/>
          <w:lang w:val="zh-CN"/>
        </w:rPr>
        <w:t xml:space="preserve">我们的资格条件完全符合本次招标要求</w:t>
      </w:r>
      <w:r>
        <w:rPr>
          <w:rFonts w:hint="eastAsia" w:ascii="宋体"/>
          <w:szCs w:val="21"/>
          <w:highlight w:val="none"/>
          <w:lang w:val="zh-CN"/>
        </w:rPr>
        <w:t xml:space="preserve">，</w:t>
      </w:r>
      <w:r>
        <w:rPr>
          <w:rFonts w:hint="eastAsia"/>
          <w:highlight w:val="none"/>
        </w:rPr>
        <w:t xml:space="preserve">我们</w:t>
      </w:r>
      <w:r>
        <w:rPr>
          <w:rFonts w:hint="eastAsia" w:ascii="宋体"/>
          <w:szCs w:val="21"/>
          <w:highlight w:val="none"/>
          <w:lang w:val="zh-CN"/>
        </w:rPr>
        <w:t xml:space="preserve">同意并向贵方提供了与磋商有关的所有证据和资料。</w:t>
      </w:r>
      <w:r>
        <w:rPr>
          <w:highlight w:val="none"/>
        </w:rPr>
      </w:r>
      <w:r/>
    </w:p>
    <w:p>
      <w:pPr>
        <w:ind w:firstLine="420"/>
        <w:spacing w:line="360" w:lineRule="auto"/>
        <w:rPr>
          <w:rFonts w:ascii="宋体"/>
          <w:b/>
          <w:szCs w:val="21"/>
          <w:highlight w:val="none"/>
          <w:u w:val="single"/>
        </w:rPr>
      </w:pPr>
      <w:r>
        <w:rPr>
          <w:rFonts w:hint="eastAsia"/>
          <w:highlight w:val="none"/>
        </w:rPr>
        <w:t xml:space="preserve">2.</w:t>
      </w:r>
      <w:r>
        <w:rPr>
          <w:rFonts w:hint="eastAsia" w:ascii="宋体"/>
          <w:szCs w:val="21"/>
          <w:highlight w:val="none"/>
          <w:lang w:val="zh-CN"/>
        </w:rPr>
        <w:t xml:space="preserve">按</w:t>
      </w:r>
      <w:r>
        <w:rPr>
          <w:rFonts w:hint="eastAsia" w:ascii="宋体"/>
          <w:szCs w:val="21"/>
          <w:highlight w:val="none"/>
        </w:rPr>
        <w:t xml:space="preserve">采购</w:t>
      </w:r>
      <w:r>
        <w:rPr>
          <w:rFonts w:hint="eastAsia" w:ascii="宋体"/>
          <w:szCs w:val="21"/>
          <w:highlight w:val="none"/>
          <w:lang w:val="zh-CN"/>
        </w:rPr>
        <w:t xml:space="preserve">要求，我们的磋商</w:t>
      </w:r>
      <w:r>
        <w:rPr>
          <w:rFonts w:hint="eastAsia" w:ascii="宋体" w:hAnsi="宋体"/>
          <w:szCs w:val="21"/>
          <w:highlight w:val="none"/>
        </w:rPr>
        <w:t xml:space="preserve">报价总价为：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hAnsi="宋体"/>
          <w:szCs w:val="21"/>
          <w:highlight w:val="none"/>
        </w:rPr>
        <w:t xml:space="preserve">（大写）人民币；工期：</w:t>
      </w:r>
      <w:r>
        <w:rPr>
          <w:rFonts w:ascii="宋体" w:hAnsi="宋体"/>
          <w:szCs w:val="21"/>
          <w:highlight w:val="none"/>
          <w:u w:val="single"/>
        </w:rPr>
        <w:t xml:space="preserve">120</w:t>
      </w:r>
      <w:r>
        <w:rPr>
          <w:rFonts w:ascii="宋体" w:hAnsi="宋体"/>
          <w:szCs w:val="21"/>
          <w:highlight w:val="none"/>
          <w:u w:val="single"/>
        </w:rPr>
        <w:t xml:space="preserve">日历</w:t>
      </w:r>
      <w:r>
        <w:rPr>
          <w:rFonts w:hint="eastAsia" w:ascii="宋体" w:hAnsi="宋体"/>
          <w:szCs w:val="21"/>
          <w:highlight w:val="none"/>
          <w:u w:val="single"/>
        </w:rPr>
        <w:t xml:space="preserve">天</w:t>
      </w:r>
      <w:r>
        <w:rPr>
          <w:rFonts w:hint="eastAsia" w:ascii="宋体" w:hAnsi="宋体"/>
          <w:szCs w:val="21"/>
          <w:highlight w:val="none"/>
        </w:rPr>
        <w:t xml:space="preserve">；拟派的项目负责人为：</w:t>
      </w:r>
      <w:r>
        <w:rPr>
          <w:rFonts w:hint="eastAsia" w:ascii="宋体" w:hAnsi="宋体"/>
          <w:szCs w:val="21"/>
          <w:highlight w:val="none"/>
          <w:u w:val="single"/>
        </w:rPr>
        <w:t xml:space="preserve">       </w:t>
      </w:r>
      <w:r>
        <w:rPr>
          <w:rFonts w:hint="eastAsia" w:ascii="宋体" w:hAnsi="宋体"/>
          <w:szCs w:val="21"/>
          <w:highlight w:val="none"/>
        </w:rPr>
        <w:t xml:space="preserve">。</w:t>
      </w:r>
      <w:r>
        <w:rPr>
          <w:highlight w:val="none"/>
        </w:rPr>
      </w:r>
      <w:r/>
    </w:p>
    <w:p>
      <w:pPr>
        <w:ind w:firstLine="420"/>
        <w:spacing w:line="360" w:lineRule="auto"/>
        <w:rPr>
          <w:rFonts w:ascii="宋体"/>
          <w:szCs w:val="21"/>
          <w:highlight w:val="none"/>
        </w:rPr>
      </w:pPr>
      <w:r>
        <w:rPr>
          <w:rFonts w:hint="eastAsia" w:ascii="宋体"/>
          <w:szCs w:val="21"/>
          <w:highlight w:val="none"/>
        </w:rPr>
        <w:t xml:space="preserve">3.</w:t>
      </w:r>
      <w:r>
        <w:rPr>
          <w:rFonts w:hint="eastAsia" w:ascii="宋体"/>
          <w:szCs w:val="21"/>
          <w:highlight w:val="none"/>
          <w:lang w:val="zh-CN"/>
        </w:rPr>
        <w:t xml:space="preserve">我们已详细审核全部磋商文件及其有效补充文件，我们放弃对磋商文件任何误解的权利，提交磋商文件后，</w:t>
      </w:r>
      <w:r>
        <w:rPr>
          <w:rFonts w:hint="eastAsia" w:ascii="宋体"/>
          <w:b/>
          <w:szCs w:val="21"/>
          <w:highlight w:val="none"/>
          <w:lang w:val="zh-CN"/>
        </w:rPr>
        <w:t xml:space="preserve">不对磋商文件本身提出质疑</w:t>
      </w:r>
      <w:r>
        <w:rPr>
          <w:rFonts w:hint="eastAsia" w:ascii="宋体"/>
          <w:szCs w:val="21"/>
          <w:highlight w:val="none"/>
          <w:lang w:val="zh-CN"/>
        </w:rPr>
        <w:t xml:space="preserve">。</w:t>
      </w:r>
      <w:r>
        <w:rPr>
          <w:highlight w:val="none"/>
        </w:rPr>
      </w:r>
      <w:r/>
    </w:p>
    <w:p>
      <w:pPr>
        <w:ind w:firstLine="420"/>
        <w:spacing w:line="360" w:lineRule="auto"/>
        <w:rPr>
          <w:rFonts w:ascii="宋体"/>
          <w:szCs w:val="21"/>
          <w:highlight w:val="none"/>
        </w:rPr>
      </w:pPr>
      <w:r>
        <w:rPr>
          <w:rFonts w:hint="eastAsia" w:ascii="宋体"/>
          <w:szCs w:val="21"/>
          <w:highlight w:val="none"/>
        </w:rPr>
        <w:t xml:space="preserve">4.</w:t>
      </w:r>
      <w:r>
        <w:rPr>
          <w:rFonts w:hint="eastAsia" w:ascii="宋体"/>
          <w:szCs w:val="21"/>
          <w:highlight w:val="none"/>
          <w:lang w:val="zh-CN"/>
        </w:rPr>
        <w:t xml:space="preserve">我们同意从规定的磋商日期起遵循本磋商文件，并在规定的磋商有效期期满之前均具有约束力。</w:t>
      </w:r>
      <w:r>
        <w:rPr>
          <w:highlight w:val="none"/>
        </w:rPr>
      </w:r>
      <w:r/>
    </w:p>
    <w:p>
      <w:pPr>
        <w:ind w:firstLine="420"/>
        <w:spacing w:line="360" w:lineRule="auto"/>
        <w:rPr>
          <w:rFonts w:ascii="宋体"/>
          <w:szCs w:val="21"/>
          <w:highlight w:val="none"/>
        </w:rPr>
      </w:pPr>
      <w:r>
        <w:rPr>
          <w:rFonts w:hint="eastAsia" w:ascii="宋体"/>
          <w:szCs w:val="21"/>
          <w:highlight w:val="none"/>
        </w:rPr>
        <w:t xml:space="preserve">5.</w:t>
      </w:r>
      <w:r>
        <w:rPr>
          <w:rFonts w:hint="eastAsia" w:ascii="宋体"/>
          <w:szCs w:val="21"/>
          <w:highlight w:val="none"/>
          <w:lang w:val="zh-CN"/>
        </w:rPr>
        <w:t xml:space="preserve">一旦我方中标，我方将根据磋商文件的规定严格履行合同，并保证于承诺的时间完成</w:t>
      </w:r>
      <w:r>
        <w:rPr>
          <w:rFonts w:hint="eastAsia" w:ascii="宋体"/>
          <w:szCs w:val="21"/>
          <w:highlight w:val="none"/>
        </w:rPr>
        <w:t xml:space="preserve">工程</w:t>
      </w:r>
      <w:r>
        <w:rPr>
          <w:rFonts w:hint="eastAsia" w:ascii="宋体"/>
          <w:szCs w:val="21"/>
          <w:highlight w:val="none"/>
          <w:lang w:val="zh-CN"/>
        </w:rPr>
        <w:t xml:space="preserve">，交付采购人验收、使用。</w:t>
      </w:r>
      <w:r>
        <w:rPr>
          <w:highlight w:val="none"/>
        </w:rPr>
      </w:r>
      <w:r/>
    </w:p>
    <w:p>
      <w:pPr>
        <w:ind w:firstLine="420"/>
        <w:spacing w:line="360" w:lineRule="auto"/>
        <w:rPr>
          <w:rFonts w:ascii="宋体"/>
          <w:szCs w:val="21"/>
          <w:highlight w:val="none"/>
        </w:rPr>
      </w:pPr>
      <w:r>
        <w:rPr>
          <w:rFonts w:hint="eastAsia" w:ascii="宋体"/>
          <w:szCs w:val="21"/>
          <w:highlight w:val="none"/>
        </w:rPr>
        <w:t xml:space="preserve">6.</w:t>
      </w:r>
      <w:r>
        <w:rPr>
          <w:rFonts w:hint="eastAsia" w:ascii="宋体"/>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rPr>
          <w:highlight w:val="none"/>
        </w:rPr>
      </w:r>
      <w:r/>
    </w:p>
    <w:p>
      <w:pPr>
        <w:ind w:firstLine="420"/>
        <w:spacing w:line="360" w:lineRule="auto"/>
        <w:rPr>
          <w:rFonts w:ascii="宋体"/>
          <w:szCs w:val="21"/>
          <w:highlight w:val="none"/>
        </w:rPr>
      </w:pPr>
      <w:r>
        <w:rPr>
          <w:rFonts w:hint="eastAsia" w:ascii="宋体"/>
          <w:szCs w:val="21"/>
          <w:highlight w:val="none"/>
        </w:rPr>
        <w:t xml:space="preserve">7.</w:t>
      </w:r>
      <w:r>
        <w:rPr>
          <w:rFonts w:hint="eastAsia" w:ascii="宋体"/>
          <w:szCs w:val="21"/>
          <w:highlight w:val="none"/>
          <w:lang w:val="zh-CN"/>
        </w:rPr>
        <w:t xml:space="preserve">与本磋商有关的正式联系方式为：</w:t>
      </w:r>
      <w:r>
        <w:rPr>
          <w:highlight w:val="none"/>
        </w:rPr>
      </w:r>
      <w:r/>
    </w:p>
    <w:p>
      <w:pPr>
        <w:ind w:firstLine="420"/>
        <w:spacing w:line="360" w:lineRule="auto"/>
        <w:rPr>
          <w:rFonts w:ascii="宋体"/>
          <w:szCs w:val="21"/>
          <w:highlight w:val="none"/>
          <w:u w:val="single"/>
        </w:rPr>
      </w:pPr>
      <w:r>
        <w:rPr>
          <w:rFonts w:hint="eastAsia" w:ascii="宋体"/>
          <w:szCs w:val="21"/>
          <w:highlight w:val="none"/>
          <w:lang w:val="zh-CN"/>
        </w:rPr>
        <w:t xml:space="preserve">地址：                                          电话：</w:t>
      </w:r>
      <w:r>
        <w:rPr>
          <w:highlight w:val="none"/>
        </w:rPr>
      </w:r>
      <w:r/>
    </w:p>
    <w:p>
      <w:pPr>
        <w:ind w:firstLine="420"/>
        <w:spacing w:line="360" w:lineRule="auto"/>
        <w:rPr>
          <w:rFonts w:ascii="宋体"/>
          <w:szCs w:val="21"/>
          <w:highlight w:val="none"/>
        </w:rPr>
      </w:pPr>
      <w:r>
        <w:rPr>
          <w:rFonts w:hint="eastAsia" w:ascii="宋体"/>
          <w:szCs w:val="21"/>
          <w:highlight w:val="none"/>
          <w:lang w:val="zh-CN"/>
        </w:rPr>
        <w:t xml:space="preserve">传真：                                          开户银行：</w:t>
      </w:r>
      <w:r>
        <w:rPr>
          <w:highlight w:val="none"/>
        </w:rPr>
      </w:r>
      <w:r/>
    </w:p>
    <w:p>
      <w:pPr>
        <w:ind w:firstLine="420"/>
        <w:spacing w:line="360" w:lineRule="auto"/>
        <w:rPr>
          <w:rFonts w:ascii="宋体"/>
          <w:szCs w:val="21"/>
          <w:highlight w:val="none"/>
        </w:rPr>
      </w:pPr>
      <w:r>
        <w:rPr>
          <w:rFonts w:hint="eastAsia" w:ascii="宋体"/>
          <w:szCs w:val="21"/>
          <w:highlight w:val="none"/>
          <w:lang w:val="zh-CN"/>
        </w:rPr>
        <w:t xml:space="preserve">银行账号：</w:t>
      </w:r>
      <w:r>
        <w:rPr>
          <w:highlight w:val="none"/>
        </w:rPr>
      </w:r>
      <w:r/>
    </w:p>
    <w:p>
      <w:pPr>
        <w:ind w:firstLine="420"/>
        <w:spacing w:line="360" w:lineRule="auto"/>
        <w:rPr>
          <w:rFonts w:ascii="宋体"/>
          <w:szCs w:val="21"/>
          <w:highlight w:val="none"/>
          <w:u w:val="single"/>
        </w:rPr>
      </w:pPr>
      <w:r>
        <w:rPr>
          <w:rFonts w:hint="eastAsia" w:ascii="宋体"/>
          <w:szCs w:val="21"/>
          <w:highlight w:val="none"/>
          <w:lang w:val="zh-CN"/>
        </w:rPr>
        <w:t xml:space="preserve">磋商供应商授权委托人姓名（签字）：</w:t>
      </w:r>
      <w:r>
        <w:rPr>
          <w:highlight w:val="none"/>
        </w:rPr>
      </w:r>
      <w:r/>
    </w:p>
    <w:p>
      <w:pPr>
        <w:ind w:firstLine="420"/>
        <w:spacing w:line="360" w:lineRule="auto"/>
        <w:rPr>
          <w:rFonts w:ascii="宋体"/>
          <w:szCs w:val="21"/>
          <w:highlight w:val="none"/>
        </w:rPr>
      </w:pPr>
      <w:r>
        <w:rPr>
          <w:rFonts w:hint="eastAsia" w:ascii="宋体"/>
          <w:szCs w:val="21"/>
          <w:highlight w:val="none"/>
          <w:lang w:val="zh-CN"/>
        </w:rPr>
        <w:t xml:space="preserve">磋商供应商名称（盖章）</w:t>
      </w:r>
      <w:r>
        <w:rPr>
          <w:rFonts w:hint="eastAsia" w:ascii="宋体" w:hAnsi="宋体" w:cs="宋体"/>
          <w:szCs w:val="21"/>
          <w:highlight w:val="none"/>
          <w:lang w:val="zh-CN"/>
        </w:rPr>
        <w:t xml:space="preserve">:</w:t>
      </w:r>
      <w:r>
        <w:rPr>
          <w:highlight w:val="none"/>
        </w:rPr>
      </w:r>
      <w:r/>
    </w:p>
    <w:p>
      <w:pPr>
        <w:ind w:firstLine="420"/>
        <w:spacing w:line="360" w:lineRule="auto"/>
        <w:rPr>
          <w:rFonts w:ascii="宋体"/>
          <w:szCs w:val="21"/>
          <w:highlight w:val="none"/>
        </w:rPr>
      </w:pPr>
      <w:r>
        <w:rPr>
          <w:rFonts w:hint="eastAsia" w:ascii="宋体"/>
          <w:szCs w:val="21"/>
          <w:highlight w:val="none"/>
          <w:lang w:val="zh-CN"/>
        </w:rPr>
        <w:t xml:space="preserve">日期：   年   月   日</w:t>
      </w:r>
      <w:r>
        <w:rPr>
          <w:highlight w:val="none"/>
        </w:rPr>
      </w:r>
      <w:r/>
    </w:p>
    <w:p>
      <w:pPr>
        <w:ind w:firstLine="420"/>
        <w:rPr>
          <w:rFonts w:ascii="宋体" w:hAnsi="宋体"/>
          <w:b/>
          <w:szCs w:val="21"/>
          <w:highlight w:val="none"/>
        </w:rPr>
      </w:pPr>
      <w:r>
        <w:rPr>
          <w:rFonts w:ascii="宋体" w:hAnsi="宋体"/>
          <w:b/>
          <w:szCs w:val="21"/>
          <w:highlight w:val="none"/>
        </w:rPr>
      </w:r>
      <w:r>
        <w:rPr>
          <w:highlight w:val="none"/>
        </w:rPr>
      </w:r>
      <w:r/>
    </w:p>
    <w:p>
      <w:pPr>
        <w:ind w:firstLine="420"/>
        <w:rPr>
          <w:rFonts w:ascii="宋体" w:hAnsi="宋体"/>
          <w:b/>
          <w:szCs w:val="21"/>
          <w:highlight w:val="none"/>
        </w:rPr>
      </w:pPr>
      <w:r>
        <w:rPr>
          <w:rFonts w:ascii="宋体" w:hAnsi="宋体"/>
          <w:b/>
          <w:szCs w:val="21"/>
          <w:highlight w:val="none"/>
        </w:rPr>
      </w:r>
      <w:r>
        <w:rPr>
          <w:highlight w:val="none"/>
        </w:rPr>
      </w:r>
      <w:r/>
    </w:p>
    <w:p>
      <w:pPr>
        <w:pStyle w:val="893"/>
        <w:rPr>
          <w:highlight w:val="none"/>
        </w:rPr>
      </w:pPr>
      <w:r>
        <w:rPr>
          <w:highlight w:val="none"/>
        </w:rPr>
      </w:r>
      <w:r>
        <w:rPr>
          <w:highlight w:val="none"/>
        </w:rPr>
      </w:r>
      <w:r/>
    </w:p>
    <w:p>
      <w:pPr>
        <w:jc w:val="left"/>
        <w:rPr>
          <w:rFonts w:ascii="宋体" w:hAnsi="宋体"/>
          <w:b/>
          <w:szCs w:val="21"/>
          <w:highlight w:val="none"/>
        </w:rPr>
        <w:outlineLvl w:val="1"/>
      </w:pPr>
      <w:r>
        <w:rPr>
          <w:rFonts w:hint="eastAsia" w:ascii="宋体" w:hAnsi="宋体"/>
          <w:b/>
          <w:szCs w:val="21"/>
          <w:highlight w:val="none"/>
        </w:rPr>
        <w:br w:type="page" w:clear="all"/>
      </w:r>
      <w:bookmarkStart w:id="638" w:name="_Toc23370"/>
      <w:r>
        <w:rPr>
          <w:rFonts w:hint="eastAsia" w:ascii="宋体" w:hAnsi="宋体"/>
          <w:b/>
          <w:szCs w:val="21"/>
          <w:highlight w:val="none"/>
        </w:rPr>
        <w:t xml:space="preserve">二、法定代表人授权委托书</w:t>
      </w:r>
      <w:bookmarkEnd w:id="638"/>
      <w:r>
        <w:rPr>
          <w:highlight w:val="none"/>
        </w:rPr>
      </w:r>
      <w:r/>
    </w:p>
    <w:p>
      <w:pPr>
        <w:jc w:val="center"/>
        <w:rPr>
          <w:rFonts w:ascii="黑体" w:eastAsia="黑体"/>
          <w:sz w:val="36"/>
          <w:szCs w:val="36"/>
          <w:highlight w:val="none"/>
        </w:rPr>
      </w:pPr>
      <w:r>
        <w:rPr>
          <w:highlight w:val="none"/>
        </w:rPr>
      </w:r>
      <w:bookmarkStart w:id="639" w:name="_Toc503948588"/>
      <w:r>
        <w:rPr>
          <w:highlight w:val="none"/>
        </w:rPr>
      </w:r>
      <w:bookmarkStart w:id="640" w:name="_Toc503948081"/>
      <w:r>
        <w:rPr>
          <w:highlight w:val="none"/>
        </w:rPr>
      </w:r>
      <w:r/>
    </w:p>
    <w:p>
      <w:pPr>
        <w:jc w:val="center"/>
        <w:rPr>
          <w:rFonts w:ascii="黑体" w:eastAsia="黑体"/>
          <w:sz w:val="36"/>
          <w:szCs w:val="36"/>
          <w:highlight w:val="none"/>
        </w:rPr>
      </w:pPr>
      <w:r>
        <w:rPr>
          <w:rFonts w:hint="eastAsia" w:ascii="黑体" w:eastAsia="黑体"/>
          <w:sz w:val="36"/>
          <w:szCs w:val="36"/>
          <w:highlight w:val="none"/>
        </w:rPr>
        <w:t xml:space="preserve">法定代表人授权委托书</w:t>
      </w:r>
      <w:bookmarkEnd w:id="639"/>
      <w:r>
        <w:rPr>
          <w:highlight w:val="none"/>
        </w:rPr>
      </w:r>
      <w:bookmarkEnd w:id="640"/>
      <w:r>
        <w:rPr>
          <w:highlight w:val="none"/>
        </w:rPr>
      </w:r>
      <w:r/>
    </w:p>
    <w:p>
      <w:pPr>
        <w:jc w:val="left"/>
        <w:spacing w:line="360" w:lineRule="auto"/>
        <w:widowControl/>
        <w:rPr>
          <w:rFonts w:ascii="宋体"/>
          <w:szCs w:val="21"/>
          <w:highlight w:val="none"/>
        </w:rPr>
      </w:pPr>
      <w:r>
        <w:rPr>
          <w:rFonts w:ascii="宋体"/>
          <w:szCs w:val="21"/>
          <w:highlight w:val="none"/>
          <w:lang w:val="zh-CN"/>
        </w:rPr>
      </w:r>
      <w:r>
        <w:rPr>
          <w:highlight w:val="none"/>
        </w:rPr>
      </w:r>
      <w:r/>
    </w:p>
    <w:p>
      <w:pPr>
        <w:jc w:val="left"/>
        <w:spacing w:line="360" w:lineRule="auto"/>
        <w:widowControl/>
        <w:rPr>
          <w:rFonts w:ascii="宋体" w:cs="宋体"/>
          <w:szCs w:val="21"/>
          <w:highlight w:val="none"/>
        </w:rPr>
      </w:pPr>
      <w:r>
        <w:rPr>
          <w:rFonts w:hint="eastAsia" w:ascii="宋体"/>
          <w:szCs w:val="21"/>
          <w:highlight w:val="none"/>
          <w:lang w:val="zh-CN"/>
        </w:rPr>
        <w:t xml:space="preserve">南京市六合区人民政府马鞍街道办事处</w:t>
      </w:r>
      <w:r>
        <w:rPr>
          <w:rFonts w:hint="eastAsia"/>
          <w:highlight w:val="none"/>
        </w:rPr>
        <w:t xml:space="preserve">：</w:t>
      </w:r>
      <w:r>
        <w:rPr>
          <w:highlight w:val="none"/>
        </w:rPr>
      </w:r>
      <w:r/>
    </w:p>
    <w:p>
      <w:pPr>
        <w:ind w:firstLine="420"/>
        <w:jc w:val="left"/>
        <w:spacing w:line="360" w:lineRule="auto"/>
        <w:widowControl/>
        <w:rPr>
          <w:rFonts w:ascii="宋体" w:cs="宋体"/>
          <w:szCs w:val="21"/>
          <w:highlight w:val="none"/>
        </w:rPr>
      </w:pPr>
      <w:r>
        <w:rPr>
          <w:rFonts w:hint="eastAsia" w:ascii="宋体" w:cs="宋体"/>
          <w:szCs w:val="21"/>
          <w:highlight w:val="none"/>
          <w:lang w:val="zh-CN"/>
        </w:rPr>
        <w:t xml:space="preserve">本授权书声明：注册于</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（磋商供应商住址）的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（磋商供应商名称）法定代表人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（法定代表人姓名、职务）代表本公司授权在下面签字的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（磋商供应商代表姓名、职务）为本公司的合法代理人，就贵方组织的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(项目编号）磋商，以本公司名义处理一切与之有关的事务。</w:t>
      </w:r>
      <w:r>
        <w:rPr>
          <w:highlight w:val="none"/>
        </w:rPr>
      </w:r>
      <w:r/>
    </w:p>
    <w:p>
      <w:pPr>
        <w:ind w:firstLine="420"/>
        <w:jc w:val="left"/>
        <w:spacing w:line="360" w:lineRule="auto"/>
        <w:widowControl/>
        <w:rPr>
          <w:rFonts w:ascii="宋体" w:cs="宋体"/>
          <w:szCs w:val="21"/>
          <w:highlight w:val="none"/>
        </w:rPr>
      </w:pPr>
      <w:r>
        <w:rPr>
          <w:rFonts w:hint="eastAsia" w:ascii="宋体" w:cs="宋体"/>
          <w:szCs w:val="21"/>
          <w:highlight w:val="none"/>
          <w:lang w:val="zh-CN"/>
        </w:rPr>
        <w:t xml:space="preserve">本授权书于    年  月  日签字生效，特此声明。</w:t>
      </w:r>
      <w:r>
        <w:rPr>
          <w:highlight w:val="none"/>
        </w:rPr>
      </w:r>
      <w:r/>
    </w:p>
    <w:p>
      <w:pPr>
        <w:jc w:val="left"/>
        <w:spacing w:line="360" w:lineRule="auto"/>
        <w:widowControl/>
        <w:rPr>
          <w:highlight w:val="none"/>
        </w:rPr>
      </w:pPr>
      <w:r>
        <w:rPr>
          <w:rFonts w:hint="eastAsia" w:ascii="宋体" w:cs="宋体"/>
          <w:szCs w:val="21"/>
          <w:highlight w:val="none"/>
          <w:lang w:val="zh-CN"/>
        </w:rPr>
        <w:t xml:space="preserve"> </w:t>
      </w:r>
      <w:r>
        <w:rPr>
          <w:rFonts w:hint="eastAsia" w:ascii="宋体" w:cs="宋体"/>
          <w:szCs w:val="21"/>
          <w:highlight w:val="none"/>
        </w:rPr>
        <w:t xml:space="preserve">  </w:t>
      </w:r>
      <w:r>
        <w:rPr>
          <w:rFonts w:hint="eastAsia" w:ascii="宋体" w:cs="宋体"/>
          <w:szCs w:val="21"/>
          <w:highlight w:val="none"/>
          <w:lang w:val="zh-CN"/>
        </w:rPr>
        <w:t xml:space="preserve">（附件：法定代表人身份证复印件、授权委托人身份证复印件、授权委托人社保材料）</w:t>
      </w:r>
      <w:r>
        <w:rPr>
          <w:highlight w:val="none"/>
        </w:rPr>
      </w:r>
      <w:r/>
    </w:p>
    <w:p>
      <w:pPr>
        <w:jc w:val="left"/>
        <w:spacing w:line="360" w:lineRule="auto"/>
        <w:widowControl/>
        <w:rPr>
          <w:rFonts w:ascii="宋体" w:cs="宋体"/>
          <w:szCs w:val="21"/>
          <w:highlight w:val="none"/>
        </w:rPr>
      </w:pPr>
      <w:r>
        <w:rPr>
          <w:rFonts w:hint="eastAsia" w:ascii="宋体" w:cs="宋体"/>
          <w:szCs w:val="21"/>
          <w:highlight w:val="none"/>
          <w:lang w:val="zh-CN"/>
        </w:rPr>
        <w:t xml:space="preserve">    法定代表人签字或盖章：</w:t>
      </w:r>
      <w:r>
        <w:rPr>
          <w:highlight w:val="none"/>
        </w:rPr>
      </w:r>
      <w:r/>
    </w:p>
    <w:p>
      <w:pPr>
        <w:jc w:val="left"/>
        <w:spacing w:line="360" w:lineRule="auto"/>
        <w:widowControl/>
        <w:rPr>
          <w:rFonts w:ascii="宋体" w:cs="宋体"/>
          <w:szCs w:val="21"/>
          <w:highlight w:val="none"/>
        </w:rPr>
      </w:pPr>
      <w:r>
        <w:rPr>
          <w:rFonts w:hint="eastAsia" w:ascii="宋体" w:cs="宋体"/>
          <w:szCs w:val="21"/>
          <w:highlight w:val="none"/>
          <w:lang w:val="zh-CN"/>
        </w:rPr>
        <w:t xml:space="preserve">    授权委托人签字或盖章：                    </w:t>
      </w:r>
      <w:r>
        <w:rPr>
          <w:highlight w:val="none"/>
        </w:rPr>
      </w:r>
      <w:r/>
    </w:p>
    <w:p>
      <w:pPr>
        <w:ind w:firstLine="420"/>
        <w:jc w:val="left"/>
        <w:spacing w:line="360" w:lineRule="auto"/>
        <w:widowControl/>
        <w:tabs>
          <w:tab w:val="left" w:pos="1440" w:leader="none"/>
        </w:tabs>
        <w:rPr>
          <w:rFonts w:ascii="宋体" w:cs="宋体"/>
          <w:szCs w:val="21"/>
          <w:highlight w:val="none"/>
        </w:rPr>
      </w:pPr>
      <w:r>
        <w:rPr>
          <w:rFonts w:hint="eastAsia" w:ascii="宋体" w:cs="宋体"/>
          <w:szCs w:val="21"/>
          <w:highlight w:val="none"/>
          <w:lang w:val="zh-CN"/>
        </w:rPr>
        <w:t xml:space="preserve">日        期：        年    月    日</w:t>
      </w:r>
      <w:r>
        <w:rPr>
          <w:highlight w:val="none"/>
        </w:rPr>
      </w:r>
      <w:r/>
    </w:p>
    <w:p>
      <w:pPr>
        <w:jc w:val="left"/>
        <w:spacing w:line="360" w:lineRule="auto"/>
        <w:widowControl/>
        <w:rPr>
          <w:rFonts w:ascii="宋体" w:cs="宋体"/>
          <w:b/>
          <w:szCs w:val="21"/>
          <w:highlight w:val="none"/>
        </w:rPr>
      </w:pPr>
      <w:r>
        <w:rPr>
          <w:rFonts w:ascii="宋体" w:cs="宋体"/>
          <w:b/>
          <w:szCs w:val="21"/>
          <w:highlight w:val="none"/>
          <w:lang w:val="zh-CN"/>
        </w:rPr>
      </w:r>
      <w:r>
        <w:rPr>
          <w:highlight w:val="none"/>
        </w:rPr>
      </w:r>
      <w:r/>
    </w:p>
    <w:p>
      <w:pPr>
        <w:jc w:val="left"/>
        <w:spacing w:line="360" w:lineRule="auto"/>
        <w:widowControl/>
        <w:rPr>
          <w:rFonts w:ascii="宋体" w:hAnsi="宋体" w:cs="宋体"/>
          <w:b/>
          <w:szCs w:val="21"/>
          <w:highlight w:val="none"/>
        </w:rPr>
        <w:outlineLvl w:val="1"/>
      </w:pPr>
      <w:r>
        <w:rPr>
          <w:rFonts w:hint="eastAsia" w:ascii="宋体" w:cs="宋体"/>
          <w:b/>
          <w:szCs w:val="21"/>
          <w:highlight w:val="none"/>
          <w:lang w:val="zh-CN"/>
        </w:rPr>
        <w:br w:type="page" w:clear="all"/>
      </w:r>
      <w:bookmarkStart w:id="641" w:name="_Toc3811"/>
      <w:r>
        <w:rPr>
          <w:rFonts w:hint="eastAsia" w:ascii="宋体" w:cs="宋体"/>
          <w:b/>
          <w:szCs w:val="21"/>
          <w:highlight w:val="none"/>
          <w:lang w:val="zh-CN"/>
        </w:rPr>
        <w:t xml:space="preserve">三、</w:t>
      </w:r>
      <w:r>
        <w:rPr>
          <w:rFonts w:hint="eastAsia" w:ascii="宋体" w:hAnsi="宋体" w:cs="宋体"/>
          <w:b/>
          <w:szCs w:val="21"/>
          <w:highlight w:val="none"/>
          <w:lang w:val="zh-CN"/>
        </w:rPr>
        <w:t xml:space="preserve">磋商报价表</w:t>
      </w:r>
      <w:bookmarkEnd w:id="641"/>
      <w:r>
        <w:rPr>
          <w:highlight w:val="none"/>
        </w:rPr>
      </w:r>
      <w:r/>
    </w:p>
    <w:p>
      <w:pPr>
        <w:jc w:val="center"/>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报价表（第</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 xml:space="preserve">轮）</w:t>
      </w:r>
      <w:r>
        <w:rPr>
          <w:highlight w:val="none"/>
        </w:rPr>
      </w:r>
      <w:r/>
    </w:p>
    <w:p>
      <w:pPr>
        <w:ind w:firstLine="210"/>
        <w:spacing w:line="360" w:lineRule="auto"/>
        <w:rPr>
          <w:rFonts w:ascii="宋体" w:hAnsi="宋体"/>
          <w:bCs/>
          <w:szCs w:val="21"/>
          <w:highlight w:val="none"/>
        </w:rPr>
      </w:pPr>
      <w:r>
        <w:rPr>
          <w:rFonts w:hint="eastAsia" w:ascii="宋体" w:hAnsi="宋体" w:cs="宋体"/>
          <w:bCs/>
          <w:szCs w:val="21"/>
          <w:highlight w:val="none"/>
        </w:rPr>
        <w:t xml:space="preserve">项目编号：                                 货币单位：人民币元</w:t>
      </w:r>
      <w:r>
        <w:rPr>
          <w:highlight w:val="none"/>
        </w:rPr>
      </w:r>
      <w:r/>
    </w:p>
    <w:tbl>
      <w:tblPr>
        <w:tblW w:w="97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left"/>
              <w:rPr>
                <w:rFonts w:ascii="宋体" w:hAnsi="宋体" w:cs="宋体"/>
                <w:bCs/>
                <w:szCs w:val="21"/>
                <w:highlight w:val="none"/>
              </w:rPr>
            </w:pPr>
            <w:r>
              <w:rPr>
                <w:rFonts w:hint="eastAsia" w:ascii="宋体" w:hAnsi="宋体" w:cs="宋体"/>
                <w:bCs/>
                <w:szCs w:val="21"/>
                <w:highlight w:val="none"/>
                <w:lang w:eastAsia="en-US"/>
              </w:rPr>
              <w:t xml:space="preserve">项目名称</w:t>
            </w:r>
            <w:r>
              <w:rPr>
                <w:highlight w:val="none"/>
              </w:rPr>
            </w:r>
            <w:r/>
          </w:p>
        </w:tc>
        <w:tc>
          <w:tcPr>
            <w:tcW w:w="2735" w:type="dxa"/>
            <w:vAlign w:val="center"/>
            <w:textDirection w:val="lrTb"/>
            <w:noWrap w:val="false"/>
          </w:tcPr>
          <w:p>
            <w:pPr>
              <w:jc w:val="left"/>
              <w:rPr>
                <w:rFonts w:ascii="宋体" w:hAnsi="宋体" w:cs="宋体"/>
                <w:bCs/>
                <w:szCs w:val="21"/>
                <w:highlight w:val="none"/>
              </w:rPr>
            </w:pPr>
            <w:r>
              <w:rPr>
                <w:rFonts w:hint="eastAsia" w:ascii="宋体" w:hAnsi="宋体" w:cs="宋体"/>
                <w:bCs/>
                <w:szCs w:val="21"/>
                <w:highlight w:val="none"/>
                <w:lang w:eastAsia="en-US"/>
              </w:rPr>
              <w:t xml:space="preserve">项目内容</w:t>
            </w:r>
            <w:r>
              <w:rPr>
                <w:highlight w:val="none"/>
              </w:rPr>
            </w:r>
            <w:r/>
          </w:p>
        </w:tc>
        <w:tc>
          <w:tcPr>
            <w:tcW w:w="4282" w:type="dxa"/>
            <w:vAlign w:val="center"/>
            <w:textDirection w:val="lrTb"/>
            <w:noWrap w:val="false"/>
          </w:tcPr>
          <w:p>
            <w:pPr>
              <w:jc w:val="left"/>
              <w:rPr>
                <w:rFonts w:ascii="宋体" w:hAnsi="宋体" w:cs="宋体"/>
                <w:bCs/>
                <w:szCs w:val="21"/>
                <w:highlight w:val="none"/>
              </w:rPr>
            </w:pPr>
            <w:r>
              <w:rPr>
                <w:rFonts w:hint="eastAsia" w:ascii="宋体" w:hAnsi="宋体" w:cs="宋体"/>
                <w:bCs/>
                <w:szCs w:val="21"/>
                <w:highlight w:val="none"/>
                <w:lang w:eastAsia="en-US"/>
              </w:rPr>
              <w:t xml:space="preserve">总价（小写）</w:t>
            </w:r>
            <w:r>
              <w:rPr>
                <w:highlight w:val="none"/>
              </w:rPr>
            </w:r>
            <w:r/>
          </w:p>
        </w:tc>
      </w:tr>
      <w:tr>
        <w:trPr>
          <w:cantSplit/>
          <w:trHeight w:val="725"/>
        </w:trPr>
        <w:tc>
          <w:tcPr>
            <w:tcW w:w="2735" w:type="dxa"/>
            <w:vAlign w:val="center"/>
            <w:textDirection w:val="lrTb"/>
            <w:noWrap w:val="false"/>
          </w:tcPr>
          <w:p>
            <w:pPr>
              <w:jc w:val="left"/>
              <w:rPr>
                <w:rFonts w:ascii="宋体" w:hAnsi="宋体" w:cs="宋体"/>
                <w:bCs/>
                <w:szCs w:val="21"/>
                <w:highlight w:val="none"/>
              </w:rPr>
            </w:pPr>
            <w:r>
              <w:rPr>
                <w:rFonts w:ascii="宋体" w:hAnsi="宋体" w:cs="宋体"/>
                <w:bCs/>
                <w:szCs w:val="21"/>
                <w:highlight w:val="none"/>
                <w:lang w:eastAsia="en-US"/>
              </w:rPr>
            </w:r>
            <w:r>
              <w:rPr>
                <w:highlight w:val="none"/>
              </w:rPr>
            </w:r>
            <w:r/>
          </w:p>
        </w:tc>
        <w:tc>
          <w:tcPr>
            <w:tcW w:w="2735" w:type="dxa"/>
            <w:vAlign w:val="center"/>
            <w:textDirection w:val="lrTb"/>
            <w:noWrap w:val="false"/>
          </w:tcPr>
          <w:p>
            <w:pPr>
              <w:jc w:val="left"/>
              <w:rPr>
                <w:rFonts w:ascii="宋体" w:hAnsi="宋体" w:cs="宋体"/>
                <w:bCs/>
                <w:szCs w:val="21"/>
                <w:highlight w:val="none"/>
              </w:rPr>
            </w:pPr>
            <w:r>
              <w:rPr>
                <w:rFonts w:hint="eastAsia" w:ascii="宋体" w:hAnsi="宋体" w:cs="宋体"/>
                <w:bCs/>
                <w:szCs w:val="21"/>
                <w:highlight w:val="none"/>
                <w:lang w:eastAsia="en-US"/>
              </w:rPr>
              <w:t xml:space="preserve">详见响应文件</w:t>
            </w:r>
            <w:r>
              <w:rPr>
                <w:highlight w:val="none"/>
              </w:rPr>
            </w:r>
            <w:r/>
          </w:p>
        </w:tc>
        <w:tc>
          <w:tcPr>
            <w:tcW w:w="4282" w:type="dxa"/>
            <w:vAlign w:val="center"/>
            <w:textDirection w:val="lrTb"/>
            <w:noWrap w:val="false"/>
          </w:tcPr>
          <w:p>
            <w:pPr>
              <w:jc w:val="left"/>
              <w:rPr>
                <w:rFonts w:ascii="宋体" w:hAnsi="宋体" w:cs="宋体"/>
                <w:bCs/>
                <w:szCs w:val="21"/>
                <w:highlight w:val="none"/>
              </w:rPr>
            </w:pPr>
            <w:r>
              <w:rPr>
                <w:rFonts w:ascii="宋体" w:hAnsi="宋体" w:cs="宋体"/>
                <w:bCs/>
                <w:szCs w:val="21"/>
                <w:highlight w:val="none"/>
                <w:lang w:eastAsia="en-US"/>
              </w:rPr>
            </w:r>
            <w:r>
              <w:rPr>
                <w:highlight w:val="none"/>
              </w:rPr>
            </w:r>
            <w:r/>
          </w:p>
        </w:tc>
      </w:tr>
      <w:tr>
        <w:trPr>
          <w:cantSplit/>
          <w:trHeight w:val="725"/>
        </w:trPr>
        <w:tc>
          <w:tcPr>
            <w:tcW w:w="2735" w:type="dxa"/>
            <w:vAlign w:val="center"/>
            <w:textDirection w:val="lrTb"/>
            <w:noWrap w:val="false"/>
          </w:tcPr>
          <w:p>
            <w:pPr>
              <w:jc w:val="left"/>
              <w:rPr>
                <w:rFonts w:ascii="宋体" w:hAnsi="宋体" w:cs="宋体"/>
                <w:bCs/>
                <w:szCs w:val="21"/>
                <w:highlight w:val="none"/>
              </w:rPr>
            </w:pPr>
            <w:r>
              <w:rPr>
                <w:rFonts w:hint="eastAsia" w:ascii="宋体" w:hAnsi="宋体" w:cs="宋体"/>
                <w:bCs/>
                <w:szCs w:val="21"/>
                <w:highlight w:val="none"/>
                <w:lang w:eastAsia="en-US"/>
              </w:rPr>
              <w:t xml:space="preserve">总价（大写）：</w:t>
            </w:r>
            <w:r>
              <w:rPr>
                <w:highlight w:val="none"/>
              </w:rPr>
            </w:r>
            <w:r/>
          </w:p>
        </w:tc>
        <w:tc>
          <w:tcPr>
            <w:gridSpan w:val="2"/>
            <w:tcW w:w="7017" w:type="dxa"/>
            <w:vAlign w:val="center"/>
            <w:textDirection w:val="lrTb"/>
            <w:noWrap w:val="false"/>
          </w:tcPr>
          <w:p>
            <w:pPr>
              <w:jc w:val="left"/>
              <w:rPr>
                <w:rFonts w:ascii="宋体" w:hAnsi="宋体" w:cs="宋体"/>
                <w:bCs/>
                <w:szCs w:val="21"/>
                <w:highlight w:val="none"/>
              </w:rPr>
            </w:pPr>
            <w:r>
              <w:rPr>
                <w:rFonts w:ascii="宋体" w:hAnsi="宋体" w:cs="宋体"/>
                <w:bCs/>
                <w:szCs w:val="21"/>
                <w:highlight w:val="none"/>
                <w:lang w:eastAsia="en-US"/>
              </w:rPr>
            </w:r>
            <w:r>
              <w:rPr>
                <w:highlight w:val="none"/>
              </w:rPr>
            </w:r>
            <w:r/>
          </w:p>
        </w:tc>
      </w:tr>
    </w:tbl>
    <w:p>
      <w:pPr>
        <w:jc w:val="left"/>
        <w:spacing w:line="360" w:lineRule="auto"/>
        <w:widowControl/>
        <w:rPr>
          <w:rFonts w:ascii="宋体" w:hAnsi="宋体" w:cs="宋体"/>
          <w:szCs w:val="21"/>
          <w:highlight w:val="none"/>
        </w:rPr>
      </w:pPr>
      <w:r>
        <w:rPr>
          <w:rFonts w:ascii="宋体" w:hAnsi="宋体" w:cs="宋体"/>
          <w:szCs w:val="21"/>
          <w:highlight w:val="none"/>
          <w:lang w:val="zh-CN"/>
        </w:rPr>
      </w:r>
      <w:r>
        <w:rPr>
          <w:highlight w:val="none"/>
        </w:rPr>
      </w:r>
      <w:r/>
    </w:p>
    <w:p>
      <w:pPr>
        <w:ind w:left="20"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报价说明：</w:t>
      </w:r>
      <w:r>
        <w:rPr>
          <w:highlight w:val="none"/>
        </w:rPr>
      </w:r>
      <w:r/>
    </w:p>
    <w:p>
      <w:pPr>
        <w:ind w:left="20"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1、报价包括完成项目的所有费用。采购人不再支付报价以外的任何费用。</w:t>
      </w:r>
      <w:r>
        <w:rPr>
          <w:highlight w:val="none"/>
        </w:rPr>
      </w:r>
      <w:r/>
    </w:p>
    <w:p>
      <w:pPr>
        <w:ind w:left="20"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2、报价以总价为准，大小写不一致以大写为准。</w:t>
      </w:r>
      <w:r>
        <w:rPr>
          <w:highlight w:val="none"/>
        </w:rPr>
      </w:r>
      <w:r/>
    </w:p>
    <w:p>
      <w:pPr>
        <w:ind w:left="20"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3、偏离说明：详见《偏离表》。</w:t>
      </w:r>
      <w:r>
        <w:rPr>
          <w:highlight w:val="none"/>
        </w:rPr>
      </w:r>
      <w:r/>
    </w:p>
    <w:p>
      <w:pPr>
        <w:ind w:left="20"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4、如最后报价未列明单价，则最后所报各项单价计算方法为：（最后报价/ 最初报价）* 各项最初报价的单价。</w:t>
      </w:r>
      <w:r>
        <w:rPr>
          <w:highlight w:val="none"/>
        </w:rPr>
      </w:r>
      <w:r/>
    </w:p>
    <w:p>
      <w:pPr>
        <w:ind w:left="20" w:firstLine="420"/>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rPr>
          <w:highlight w:val="none"/>
        </w:rPr>
      </w:r>
      <w:r/>
    </w:p>
    <w:p>
      <w:pPr>
        <w:ind w:left="20"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供应商（</w:t>
      </w:r>
      <w:r>
        <w:rPr>
          <w:rFonts w:hint="eastAsia" w:ascii="宋体" w:hAnsi="宋体" w:cs="宋体"/>
          <w:szCs w:val="21"/>
          <w:highlight w:val="none"/>
          <w:lang w:val="zh-CN" w:bidi="zh-CN"/>
        </w:rPr>
        <w:t xml:space="preserve">盖章</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highlight w:val="none"/>
        </w:rPr>
      </w:r>
      <w:r/>
    </w:p>
    <w:p>
      <w:pPr>
        <w:jc w:val="left"/>
        <w:spacing w:line="360" w:lineRule="auto"/>
        <w:widowControl/>
        <w:rPr>
          <w:rFonts w:ascii="宋体" w:hAnsi="宋体" w:cs="宋体"/>
          <w:szCs w:val="21"/>
          <w:highlight w:val="none"/>
        </w:rPr>
      </w:pPr>
      <w:r>
        <w:rPr>
          <w:rFonts w:ascii="宋体" w:hAnsi="宋体" w:cs="宋体"/>
          <w:szCs w:val="21"/>
          <w:highlight w:val="none"/>
          <w:lang w:val="zh-CN"/>
        </w:rPr>
      </w:r>
      <w:r>
        <w:rPr>
          <w:highlight w:val="none"/>
        </w:rPr>
      </w:r>
      <w:r/>
    </w:p>
    <w:p>
      <w:pPr>
        <w:widowControl/>
        <w:rPr>
          <w:rFonts w:ascii="宋体" w:hAnsi="宋体" w:cs="宋体"/>
          <w:b/>
          <w:szCs w:val="21"/>
          <w:highlight w:val="none"/>
        </w:rPr>
        <w:outlineLvl w:val="1"/>
      </w:pPr>
      <w:r>
        <w:rPr>
          <w:rFonts w:ascii="宋体" w:hAnsi="宋体" w:cs="宋体"/>
          <w:b/>
          <w:szCs w:val="21"/>
          <w:highlight w:val="none"/>
          <w:lang w:val="zh-CN"/>
        </w:rPr>
      </w:r>
      <w:r>
        <w:rPr>
          <w:highlight w:val="none"/>
        </w:rPr>
      </w:r>
      <w:r/>
    </w:p>
    <w:p>
      <w:pPr>
        <w:widowControl/>
        <w:rPr>
          <w:rFonts w:ascii="宋体" w:hAnsi="宋体" w:cs="宋体"/>
          <w:b/>
          <w:szCs w:val="21"/>
          <w:highlight w:val="none"/>
        </w:rPr>
        <w:outlineLvl w:val="1"/>
      </w:pPr>
      <w:r>
        <w:rPr>
          <w:rFonts w:ascii="宋体" w:hAnsi="宋体" w:cs="宋体"/>
          <w:b/>
          <w:szCs w:val="21"/>
          <w:highlight w:val="none"/>
          <w:lang w:val="zh-CN"/>
        </w:rPr>
      </w:r>
      <w:r>
        <w:rPr>
          <w:highlight w:val="none"/>
        </w:rPr>
      </w:r>
      <w:r/>
    </w:p>
    <w:p>
      <w:pPr>
        <w:widowControl/>
        <w:rPr>
          <w:rFonts w:ascii="宋体" w:hAnsi="宋体" w:cs="宋体"/>
          <w:b/>
          <w:szCs w:val="21"/>
          <w:highlight w:val="none"/>
        </w:rPr>
        <w:outlineLvl w:val="1"/>
      </w:pPr>
      <w:r>
        <w:rPr>
          <w:rFonts w:ascii="宋体" w:hAnsi="宋体" w:cs="宋体"/>
          <w:b/>
          <w:szCs w:val="21"/>
          <w:highlight w:val="none"/>
          <w:lang w:val="zh-CN"/>
        </w:rPr>
      </w:r>
      <w:r>
        <w:rPr>
          <w:highlight w:val="none"/>
        </w:rPr>
      </w:r>
      <w:r/>
    </w:p>
    <w:p>
      <w:pPr>
        <w:shd w:val="nil"/>
        <w:rPr>
          <w:rFonts w:ascii="宋体" w:hAnsi="宋体" w:cs="宋体"/>
          <w:b/>
          <w:bCs/>
          <w:highlight w:val="none"/>
        </w:rPr>
        <w:outlineLvl w:val="1"/>
      </w:pPr>
      <w:r>
        <w:rPr>
          <w:highlight w:val="none"/>
        </w:rPr>
        <w:br w:type="page" w:clear="all"/>
      </w:r>
      <w:r>
        <w:rPr>
          <w:highlight w:val="none"/>
        </w:rPr>
      </w:r>
    </w:p>
    <w:p>
      <w:pPr>
        <w:widowControl/>
        <w:rPr>
          <w:highlight w:val="none"/>
        </w:rPr>
        <w:outlineLvl w:val="1"/>
      </w:pPr>
      <w:r>
        <w:rPr>
          <w:highlight w:val="none"/>
        </w:rPr>
      </w:r>
      <w:bookmarkStart w:id="642" w:name="_Toc15405"/>
      <w:r>
        <w:rPr>
          <w:rFonts w:hint="eastAsia" w:ascii="宋体" w:hAnsi="宋体" w:cs="宋体"/>
          <w:b/>
          <w:bCs/>
          <w:szCs w:val="21"/>
          <w:highlight w:val="none"/>
        </w:rPr>
        <w:t xml:space="preserve">四</w:t>
      </w:r>
      <w:r>
        <w:rPr>
          <w:rFonts w:hint="eastAsia" w:ascii="宋体" w:hAnsi="宋体" w:cs="宋体"/>
          <w:b/>
          <w:szCs w:val="21"/>
          <w:highlight w:val="none"/>
          <w:lang w:val="zh-CN"/>
        </w:rPr>
        <w:t xml:space="preserve">、</w:t>
      </w:r>
      <w:r>
        <w:rPr>
          <w:rFonts w:hint="eastAsia" w:ascii="宋体" w:hAnsi="宋体" w:cs="宋体"/>
          <w:b/>
          <w:szCs w:val="21"/>
          <w:highlight w:val="none"/>
        </w:rPr>
        <w:t xml:space="preserve">分项报价明细表</w:t>
      </w:r>
      <w:bookmarkEnd w:id="642"/>
      <w:r>
        <w:rPr>
          <w:highlight w:val="none"/>
        </w:rPr>
      </w:r>
      <w:r/>
    </w:p>
    <w:p>
      <w:pPr>
        <w:ind w:firstLine="405"/>
        <w:rPr>
          <w:rFonts w:ascii="宋体" w:hAnsi="宋体"/>
          <w:szCs w:val="21"/>
          <w:highlight w:val="none"/>
        </w:rPr>
      </w:pPr>
      <w:r>
        <w:rPr>
          <w:rFonts w:ascii="宋体" w:hAnsi="宋体"/>
          <w:szCs w:val="21"/>
          <w:highlight w:val="none"/>
        </w:rPr>
      </w:r>
      <w:r>
        <w:rPr>
          <w:highlight w:val="none"/>
        </w:rPr>
      </w:r>
      <w:r/>
    </w:p>
    <w:p>
      <w:pPr>
        <w:spacing w:line="360" w:lineRule="auto"/>
        <w:shd w:val="clear" w:color="auto" w:fill="ffffff"/>
        <w:widowControl/>
        <w:rPr>
          <w:rFonts w:ascii="宋体" w:hAnsi="宋体" w:cs="宋体"/>
          <w:highlight w:val="none"/>
        </w:rPr>
      </w:pPr>
      <w:r>
        <w:rPr>
          <w:rFonts w:hint="eastAsia" w:ascii="宋体" w:hAnsi="宋体" w:cs="宋体"/>
          <w:highlight w:val="none"/>
        </w:rPr>
        <w:t xml:space="preserve">（按第四章、二、工程量清单进行报价）</w:t>
      </w:r>
      <w:r>
        <w:rPr>
          <w:highlight w:val="none"/>
        </w:rPr>
      </w:r>
      <w:r/>
    </w:p>
    <w:p>
      <w:pPr>
        <w:rPr>
          <w:rFonts w:ascii="宋体" w:hAnsi="宋体"/>
          <w:b/>
          <w:bCs/>
          <w:szCs w:val="21"/>
          <w:highlight w:val="none"/>
        </w:rPr>
      </w:pPr>
      <w:r>
        <w:rPr>
          <w:rFonts w:ascii="宋体" w:hAnsi="宋体"/>
          <w:b/>
          <w:bCs/>
          <w:szCs w:val="21"/>
          <w:highlight w:val="none"/>
        </w:rPr>
      </w:r>
      <w:r>
        <w:rPr>
          <w:highlight w:val="none"/>
        </w:rPr>
      </w:r>
      <w:r/>
    </w:p>
    <w:p>
      <w:pPr>
        <w:jc w:val="left"/>
        <w:widowControl/>
        <w:rPr>
          <w:rFonts w:ascii="宋体" w:hAnsi="宋体" w:cs="宋体"/>
          <w:b/>
          <w:szCs w:val="21"/>
          <w:highlight w:val="none"/>
        </w:rPr>
      </w:pPr>
      <w:r>
        <w:rPr>
          <w:rFonts w:hint="eastAsia" w:ascii="宋体" w:hAnsi="宋体" w:cs="宋体"/>
          <w:b/>
          <w:szCs w:val="21"/>
          <w:highlight w:val="none"/>
          <w:lang w:val="zh-CN"/>
        </w:rPr>
        <w:t xml:space="preserve">说明：</w:t>
      </w:r>
      <w:r>
        <w:rPr>
          <w:highlight w:val="none"/>
        </w:rPr>
      </w:r>
      <w:r/>
    </w:p>
    <w:p>
      <w:pPr>
        <w:ind w:right="290"/>
        <w:spacing w:line="360" w:lineRule="auto"/>
        <w:rPr>
          <w:rFonts w:ascii="宋体" w:hAnsi="宋体"/>
          <w:b/>
          <w:szCs w:val="21"/>
          <w:highlight w:val="none"/>
          <w:u w:val="single"/>
        </w:rPr>
        <w:outlineLvl w:val="1"/>
      </w:pPr>
      <w:r>
        <w:rPr>
          <w:highlight w:val="none"/>
        </w:rPr>
      </w:r>
      <w:bookmarkStart w:id="643" w:name="_Toc7587"/>
      <w:r>
        <w:rPr>
          <w:highlight w:val="none"/>
        </w:rPr>
      </w:r>
      <w:bookmarkStart w:id="644" w:name="_Toc22013"/>
      <w:r>
        <w:rPr>
          <w:rFonts w:hint="eastAsia" w:ascii="宋体" w:hAnsi="宋体"/>
          <w:b/>
          <w:szCs w:val="21"/>
          <w:highlight w:val="none"/>
          <w:u w:val="single"/>
        </w:rPr>
        <w:t xml:space="preserve">1.不提供此表格的将视为没有实质性响应磋商文件。</w:t>
      </w:r>
      <w:bookmarkEnd w:id="643"/>
      <w:r>
        <w:rPr>
          <w:highlight w:val="none"/>
        </w:rPr>
      </w:r>
      <w:bookmarkEnd w:id="644"/>
      <w:r>
        <w:rPr>
          <w:highlight w:val="none"/>
        </w:rPr>
      </w:r>
      <w:r/>
    </w:p>
    <w:p>
      <w:pPr>
        <w:ind w:firstLine="5060"/>
        <w:widowControl/>
        <w:rPr>
          <w:rFonts w:ascii="宋体" w:hAnsi="宋体" w:cs="宋体"/>
          <w:b/>
          <w:szCs w:val="21"/>
          <w:highlight w:val="none"/>
        </w:rPr>
      </w:pPr>
      <w:r>
        <w:rPr>
          <w:rFonts w:ascii="宋体" w:hAnsi="宋体" w:cs="宋体"/>
          <w:b/>
          <w:szCs w:val="21"/>
          <w:highlight w:val="none"/>
          <w:lang w:val="zh-CN"/>
        </w:rPr>
      </w:r>
      <w:r>
        <w:rPr>
          <w:highlight w:val="none"/>
        </w:rPr>
      </w:r>
      <w:r/>
    </w:p>
    <w:p>
      <w:pPr>
        <w:ind w:right="290"/>
        <w:spacing w:line="360" w:lineRule="auto"/>
        <w:rPr>
          <w:rFonts w:ascii="宋体" w:hAnsi="宋体"/>
          <w:sz w:val="24"/>
          <w:highlight w:val="none"/>
        </w:rPr>
        <w:outlineLvl w:val="1"/>
      </w:pPr>
      <w:r>
        <w:rPr>
          <w:rFonts w:hint="eastAsia" w:ascii="宋体" w:hAnsi="宋体" w:cs="宋体"/>
          <w:b/>
          <w:bCs/>
          <w:szCs w:val="21"/>
          <w:highlight w:val="none"/>
          <w:lang w:val="zh-CN"/>
        </w:rPr>
        <w:br w:type="page" w:clear="all"/>
      </w:r>
      <w:bookmarkStart w:id="645" w:name="_Toc30128"/>
      <w:r>
        <w:rPr>
          <w:rFonts w:hint="eastAsia" w:ascii="宋体" w:hAnsi="宋体" w:cs="宋体"/>
          <w:b/>
          <w:szCs w:val="21"/>
          <w:highlight w:val="none"/>
          <w:lang w:val="zh-CN"/>
        </w:rPr>
        <w:t xml:space="preserve">五、商务条款响应表</w:t>
      </w:r>
      <w:bookmarkEnd w:id="645"/>
      <w:r>
        <w:rPr>
          <w:highlight w:val="none"/>
        </w:rPr>
      </w:r>
      <w:r/>
    </w:p>
    <w:p>
      <w:pPr>
        <w:ind w:left="223"/>
        <w:jc w:val="left"/>
        <w:rPr>
          <w:rFonts w:ascii="宋体" w:hAnsi="宋体"/>
          <w:sz w:val="24"/>
          <w:highlight w:val="none"/>
        </w:rPr>
      </w:pPr>
      <w:r>
        <w:rPr>
          <w:rFonts w:ascii="宋体" w:hAnsi="宋体"/>
          <w:sz w:val="24"/>
          <w:highlight w:val="none"/>
          <w:lang w:val="zh-CN"/>
        </w:rPr>
      </w:r>
      <w:r>
        <w:rPr>
          <w:highlight w:val="none"/>
        </w:rPr>
      </w:r>
      <w:r/>
    </w:p>
    <w:p>
      <w:pPr>
        <w:jc w:val="center"/>
        <w:rPr>
          <w:rFonts w:ascii="宋体" w:hAnsi="宋体" w:cs="宋体"/>
          <w:sz w:val="24"/>
          <w:highlight w:val="none"/>
        </w:rPr>
      </w:pPr>
      <w:r>
        <w:rPr>
          <w:rFonts w:hint="eastAsia" w:ascii="宋体" w:hAnsi="宋体"/>
          <w:b/>
          <w:sz w:val="32"/>
          <w:szCs w:val="32"/>
          <w:highlight w:val="none"/>
          <w:lang w:val="zh-CN"/>
        </w:rPr>
        <w:t xml:space="preserve">商务条款响应表</w:t>
      </w:r>
      <w:r>
        <w:rPr>
          <w:highlight w:val="none"/>
        </w:rPr>
      </w:r>
      <w:r/>
    </w:p>
    <w:p>
      <w:pPr>
        <w:ind w:left="223"/>
        <w:jc w:val="left"/>
        <w:rPr>
          <w:rFonts w:ascii="宋体" w:hAnsi="宋体" w:cs="宋体"/>
          <w:sz w:val="24"/>
          <w:highlight w:val="none"/>
        </w:rPr>
      </w:pPr>
      <w:r>
        <w:rPr>
          <w:rFonts w:ascii="宋体" w:hAnsi="宋体" w:cs="宋体"/>
          <w:sz w:val="24"/>
          <w:highlight w:val="none"/>
          <w:lang w:val="zh-CN" w:bidi="zh-CN"/>
        </w:rPr>
      </w:r>
      <w:r>
        <w:rPr>
          <w:highlight w:val="none"/>
        </w:rPr>
      </w:r>
      <w:r/>
    </w:p>
    <w:p>
      <w:pPr>
        <w:ind w:left="223"/>
        <w:jc w:val="left"/>
        <w:rPr>
          <w:rFonts w:ascii="宋体" w:hAnsi="宋体" w:cs="宋体"/>
          <w:szCs w:val="21"/>
          <w:highlight w:val="none"/>
        </w:rPr>
      </w:pPr>
      <w:r>
        <w:rPr>
          <w:rFonts w:hint="eastAsia" w:ascii="宋体" w:hAnsi="宋体" w:cs="宋体"/>
          <w:szCs w:val="21"/>
          <w:highlight w:val="none"/>
          <w:lang w:val="zh-CN" w:bidi="zh-CN"/>
        </w:rPr>
        <w:t xml:space="preserve">项目编号：</w:t>
      </w:r>
      <w:r>
        <w:rPr>
          <w:highlight w:val="none"/>
        </w:rPr>
      </w:r>
      <w:r/>
    </w:p>
    <w:p>
      <w:pPr>
        <w:ind w:left="223"/>
        <w:spacing w:before="119"/>
        <w:rPr>
          <w:rFonts w:ascii="宋体" w:hAnsi="宋体" w:cs="宋体"/>
          <w:szCs w:val="21"/>
          <w:highlight w:val="none"/>
        </w:rPr>
      </w:pPr>
      <w:r>
        <w:rPr>
          <w:rFonts w:hint="eastAsia" w:ascii="宋体" w:hAnsi="宋体" w:cs="宋体"/>
          <w:szCs w:val="21"/>
          <w:highlight w:val="none"/>
          <w:lang w:val="zh-CN" w:bidi="zh-CN"/>
        </w:rPr>
        <w:t xml:space="preserve">项目名称：</w:t>
      </w:r>
      <w:r>
        <w:rPr>
          <w:highlight w:val="none"/>
        </w:rPr>
      </w:r>
      <w:r/>
    </w:p>
    <w:tbl>
      <w:tblPr>
        <w:tblW w:w="570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1207"/>
        <w:gridCol w:w="3244"/>
        <w:gridCol w:w="2498"/>
        <w:gridCol w:w="2132"/>
        <w:gridCol w:w="1246"/>
      </w:tblGrid>
      <w:tr>
        <w:trPr>
          <w:jc w:val="center"/>
          <w:trHeight w:val="468"/>
        </w:trPr>
        <w:tc>
          <w:tcPr>
            <w:tcW w:w="584" w:type="dxa"/>
            <w:vAlign w:val="center"/>
            <w:textDirection w:val="lrTb"/>
            <w:noWrap w:val="false"/>
          </w:tcPr>
          <w:p>
            <w:pPr>
              <w:jc w:val="center"/>
              <w:spacing w:before="98"/>
              <w:rPr>
                <w:rFonts w:ascii="宋体" w:hAnsi="宋体" w:cs="宋体"/>
                <w:b/>
                <w:szCs w:val="21"/>
                <w:highlight w:val="none"/>
              </w:rPr>
            </w:pPr>
            <w:r>
              <w:rPr>
                <w:rFonts w:hint="eastAsia" w:ascii="宋体" w:hAnsi="宋体" w:cs="宋体"/>
                <w:b/>
                <w:szCs w:val="21"/>
                <w:highlight w:val="none"/>
                <w:lang w:val="zh-CN" w:bidi="zh-CN"/>
              </w:rPr>
              <w:t xml:space="preserve">序号</w:t>
            </w:r>
            <w:r>
              <w:rPr>
                <w:highlight w:val="none"/>
              </w:rPr>
            </w:r>
            <w:r/>
          </w:p>
        </w:tc>
        <w:tc>
          <w:tcPr>
            <w:tcW w:w="1570" w:type="dxa"/>
            <w:vAlign w:val="center"/>
            <w:textDirection w:val="lrTb"/>
            <w:noWrap w:val="false"/>
          </w:tcPr>
          <w:p>
            <w:pPr>
              <w:jc w:val="center"/>
              <w:spacing w:before="98"/>
              <w:rPr>
                <w:rFonts w:ascii="宋体" w:hAnsi="宋体" w:cs="宋体"/>
                <w:b/>
                <w:szCs w:val="21"/>
                <w:highlight w:val="none"/>
              </w:rPr>
            </w:pPr>
            <w:r>
              <w:rPr>
                <w:rFonts w:hint="eastAsia" w:ascii="宋体" w:hAnsi="宋体" w:cs="宋体"/>
                <w:b/>
                <w:szCs w:val="21"/>
                <w:highlight w:val="none"/>
                <w:lang w:val="zh-CN" w:bidi="zh-CN"/>
              </w:rPr>
              <w:t xml:space="preserve">招标文件的商务条款</w:t>
            </w:r>
            <w:r>
              <w:rPr>
                <w:highlight w:val="none"/>
              </w:rPr>
            </w:r>
            <w:r/>
          </w:p>
        </w:tc>
        <w:tc>
          <w:tcPr>
            <w:tcW w:w="1209" w:type="dxa"/>
            <w:textDirection w:val="lrTb"/>
            <w:noWrap w:val="false"/>
          </w:tcPr>
          <w:p>
            <w:pPr>
              <w:jc w:val="center"/>
              <w:spacing w:before="98"/>
              <w:rPr>
                <w:rFonts w:ascii="宋体" w:hAnsi="宋体" w:cs="宋体"/>
                <w:b/>
                <w:szCs w:val="21"/>
                <w:highlight w:val="none"/>
              </w:rPr>
            </w:pPr>
            <w:r>
              <w:rPr>
                <w:rFonts w:hint="eastAsia" w:ascii="宋体" w:hAnsi="宋体" w:cs="宋体"/>
                <w:b/>
                <w:szCs w:val="21"/>
                <w:highlight w:val="none"/>
                <w:lang w:val="zh-CN" w:bidi="zh-CN"/>
              </w:rPr>
              <w:t xml:space="preserve">实际响应</w:t>
            </w:r>
            <w:r>
              <w:rPr>
                <w:highlight w:val="none"/>
              </w:rPr>
            </w:r>
            <w:r/>
          </w:p>
        </w:tc>
        <w:tc>
          <w:tcPr>
            <w:tcW w:w="1032" w:type="dxa"/>
            <w:textDirection w:val="lrTb"/>
            <w:noWrap w:val="false"/>
          </w:tcPr>
          <w:p>
            <w:pPr>
              <w:jc w:val="center"/>
              <w:spacing w:before="98"/>
              <w:rPr>
                <w:rFonts w:ascii="宋体" w:hAnsi="宋体" w:cs="宋体"/>
                <w:b/>
                <w:szCs w:val="21"/>
                <w:highlight w:val="none"/>
              </w:rPr>
            </w:pPr>
            <w:r>
              <w:rPr>
                <w:rFonts w:hint="eastAsia" w:ascii="宋体" w:hAnsi="宋体" w:cs="宋体"/>
                <w:b/>
                <w:szCs w:val="21"/>
                <w:highlight w:val="none"/>
                <w:lang w:val="zh-CN" w:bidi="zh-CN"/>
              </w:rPr>
              <w:t xml:space="preserve">符合/正偏离/负偏离</w:t>
            </w:r>
            <w:r>
              <w:rPr>
                <w:highlight w:val="none"/>
              </w:rPr>
            </w:r>
            <w:r/>
          </w:p>
        </w:tc>
        <w:tc>
          <w:tcPr>
            <w:tcW w:w="603" w:type="dxa"/>
            <w:textDirection w:val="lrTb"/>
            <w:noWrap w:val="false"/>
          </w:tcPr>
          <w:p>
            <w:pPr>
              <w:jc w:val="center"/>
              <w:spacing w:before="98"/>
              <w:rPr>
                <w:rFonts w:ascii="宋体" w:hAnsi="宋体" w:cs="宋体"/>
                <w:b/>
                <w:szCs w:val="21"/>
                <w:highlight w:val="none"/>
              </w:rPr>
            </w:pPr>
            <w:r>
              <w:rPr>
                <w:rFonts w:hint="eastAsia" w:ascii="宋体" w:hAnsi="宋体" w:cs="宋体"/>
                <w:b/>
                <w:szCs w:val="21"/>
                <w:highlight w:val="none"/>
                <w:lang w:val="zh-CN" w:bidi="zh-CN"/>
              </w:rPr>
              <w:t xml:space="preserve">备注</w:t>
            </w:r>
            <w:r>
              <w:rPr>
                <w:highlight w:val="none"/>
              </w:rPr>
            </w:r>
            <w:r/>
          </w:p>
        </w:tc>
      </w:tr>
      <w:tr>
        <w:trPr>
          <w:jc w:val="center"/>
          <w:trHeight w:val="467"/>
        </w:trPr>
        <w:tc>
          <w:tcPr>
            <w:tcW w:w="584" w:type="dxa"/>
            <w:vAlign w:val="center"/>
            <w:textDirection w:val="lrTb"/>
            <w:noWrap w:val="false"/>
          </w:tcPr>
          <w:p>
            <w:pPr>
              <w:ind w:left="11"/>
              <w:jc w:val="center"/>
              <w:rPr>
                <w:rFonts w:ascii="宋体" w:hAnsi="宋体" w:cs="宋体"/>
                <w:szCs w:val="21"/>
                <w:highlight w:val="none"/>
              </w:rPr>
            </w:pPr>
            <w:r>
              <w:rPr>
                <w:rFonts w:ascii="宋体" w:hAnsi="宋体" w:cs="宋体"/>
                <w:szCs w:val="21"/>
                <w:highlight w:val="none"/>
                <w:lang w:val="zh-CN" w:bidi="zh-CN"/>
              </w:rPr>
            </w:r>
            <w:r>
              <w:rPr>
                <w:highlight w:val="none"/>
              </w:rPr>
            </w:r>
            <w:r/>
          </w:p>
        </w:tc>
        <w:tc>
          <w:tcPr>
            <w:tcW w:w="1570" w:type="dxa"/>
            <w:vAlign w:val="center"/>
            <w:textDirection w:val="lrTb"/>
            <w:noWrap w:val="false"/>
          </w:tcPr>
          <w:p>
            <w:pPr>
              <w:ind w:right="1190"/>
              <w:jc w:val="left"/>
              <w:rPr>
                <w:rFonts w:ascii="宋体" w:hAnsi="宋体" w:cs="宋体"/>
                <w:szCs w:val="21"/>
                <w:highlight w:val="none"/>
              </w:rPr>
            </w:pPr>
            <w:r>
              <w:rPr>
                <w:rFonts w:ascii="宋体" w:hAnsi="宋体" w:cs="宋体"/>
                <w:szCs w:val="21"/>
                <w:highlight w:val="none"/>
                <w:lang w:bidi="zh-CN"/>
              </w:rPr>
            </w:r>
            <w:r>
              <w:rPr>
                <w:highlight w:val="none"/>
              </w:rPr>
            </w:r>
            <w:r/>
          </w:p>
        </w:tc>
        <w:tc>
          <w:tcPr>
            <w:tcW w:w="1209" w:type="dxa"/>
            <w:textDirection w:val="lrTb"/>
            <w:noWrap w:val="false"/>
          </w:tcPr>
          <w:p>
            <w:pPr>
              <w:jc w:val="center"/>
              <w:spacing w:before="98"/>
              <w:rPr>
                <w:rFonts w:ascii="宋体" w:hAnsi="宋体" w:cs="宋体"/>
                <w:b/>
                <w:szCs w:val="21"/>
                <w:highlight w:val="none"/>
              </w:rPr>
            </w:pPr>
            <w:r>
              <w:rPr>
                <w:rFonts w:ascii="宋体" w:hAnsi="宋体" w:cs="宋体"/>
                <w:b/>
                <w:szCs w:val="21"/>
                <w:highlight w:val="none"/>
                <w:lang w:val="zh-CN" w:bidi="zh-CN"/>
              </w:rPr>
            </w:r>
            <w:r>
              <w:rPr>
                <w:highlight w:val="none"/>
              </w:rPr>
            </w:r>
            <w:r/>
          </w:p>
        </w:tc>
        <w:tc>
          <w:tcPr>
            <w:tcW w:w="1032" w:type="dxa"/>
            <w:textDirection w:val="lrTb"/>
            <w:noWrap w:val="false"/>
          </w:tcPr>
          <w:p>
            <w:pPr>
              <w:jc w:val="center"/>
              <w:spacing w:before="98"/>
              <w:rPr>
                <w:rFonts w:ascii="宋体" w:hAnsi="宋体" w:cs="宋体"/>
                <w:b/>
                <w:szCs w:val="21"/>
                <w:highlight w:val="none"/>
              </w:rPr>
            </w:pPr>
            <w:r>
              <w:rPr>
                <w:rFonts w:ascii="宋体" w:hAnsi="宋体" w:cs="宋体"/>
                <w:b/>
                <w:szCs w:val="21"/>
                <w:highlight w:val="none"/>
                <w:lang w:val="zh-CN" w:bidi="zh-CN"/>
              </w:rPr>
            </w:r>
            <w:r>
              <w:rPr>
                <w:highlight w:val="none"/>
              </w:rPr>
            </w:r>
            <w:r/>
          </w:p>
        </w:tc>
        <w:tc>
          <w:tcPr>
            <w:tcW w:w="603" w:type="dxa"/>
            <w:textDirection w:val="lrTb"/>
            <w:noWrap w:val="false"/>
          </w:tcPr>
          <w:p>
            <w:pPr>
              <w:jc w:val="center"/>
              <w:spacing w:before="98"/>
              <w:rPr>
                <w:rFonts w:ascii="宋体" w:hAnsi="宋体" w:cs="宋体"/>
                <w:b/>
                <w:szCs w:val="21"/>
                <w:highlight w:val="none"/>
              </w:rPr>
            </w:pPr>
            <w:r>
              <w:rPr>
                <w:rFonts w:ascii="宋体" w:hAnsi="宋体" w:cs="宋体"/>
                <w:b/>
                <w:szCs w:val="21"/>
                <w:highlight w:val="none"/>
                <w:lang w:val="zh-CN" w:bidi="zh-CN"/>
              </w:rPr>
            </w:r>
            <w:r>
              <w:rPr>
                <w:highlight w:val="none"/>
              </w:rPr>
            </w:r>
            <w:r/>
          </w:p>
        </w:tc>
      </w:tr>
      <w:tr>
        <w:trPr>
          <w:jc w:val="center"/>
          <w:trHeight w:val="467"/>
        </w:trPr>
        <w:tc>
          <w:tcPr>
            <w:tcW w:w="584" w:type="dxa"/>
            <w:vAlign w:val="center"/>
            <w:textDirection w:val="lrTb"/>
            <w:noWrap w:val="false"/>
          </w:tcPr>
          <w:p>
            <w:pPr>
              <w:ind w:left="11"/>
              <w:jc w:val="center"/>
              <w:spacing w:before="99"/>
              <w:rPr>
                <w:rFonts w:ascii="宋体" w:hAnsi="宋体" w:cs="宋体"/>
                <w:szCs w:val="21"/>
                <w:highlight w:val="none"/>
              </w:rPr>
            </w:pPr>
            <w:r>
              <w:rPr>
                <w:rFonts w:ascii="宋体" w:hAnsi="宋体" w:cs="宋体"/>
                <w:szCs w:val="21"/>
                <w:highlight w:val="none"/>
                <w:lang w:val="zh-CN" w:bidi="zh-CN"/>
              </w:rPr>
            </w:r>
            <w:r>
              <w:rPr>
                <w:highlight w:val="none"/>
              </w:rPr>
            </w:r>
            <w:r/>
          </w:p>
        </w:tc>
        <w:tc>
          <w:tcPr>
            <w:tcW w:w="1570" w:type="dxa"/>
            <w:vAlign w:val="center"/>
            <w:textDirection w:val="lrTb"/>
            <w:noWrap w:val="false"/>
          </w:tcPr>
          <w:p>
            <w:pPr>
              <w:jc w:val="left"/>
              <w:spacing w:before="99"/>
              <w:rPr>
                <w:rFonts w:ascii="宋体" w:hAnsi="宋体" w:cs="宋体"/>
                <w:szCs w:val="21"/>
                <w:highlight w:val="none"/>
              </w:rPr>
            </w:pPr>
            <w:r>
              <w:rPr>
                <w:rFonts w:ascii="宋体" w:hAnsi="宋体" w:cs="宋体"/>
                <w:szCs w:val="21"/>
                <w:highlight w:val="none"/>
                <w:lang w:val="zh-CN" w:bidi="zh-CN"/>
              </w:rPr>
            </w:r>
            <w:r>
              <w:rPr>
                <w:highlight w:val="none"/>
              </w:rPr>
            </w:r>
            <w:r/>
          </w:p>
        </w:tc>
        <w:tc>
          <w:tcPr>
            <w:tcW w:w="1209"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032"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603"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r>
      <w:tr>
        <w:trPr>
          <w:jc w:val="center"/>
          <w:trHeight w:val="468"/>
        </w:trPr>
        <w:tc>
          <w:tcPr>
            <w:tcW w:w="584" w:type="dxa"/>
            <w:vAlign w:val="center"/>
            <w:textDirection w:val="lrTb"/>
            <w:noWrap w:val="false"/>
          </w:tcPr>
          <w:p>
            <w:pPr>
              <w:ind w:left="11"/>
              <w:jc w:val="center"/>
              <w:spacing w:before="99"/>
              <w:rPr>
                <w:rFonts w:ascii="宋体" w:hAnsi="宋体" w:cs="宋体"/>
                <w:szCs w:val="21"/>
                <w:highlight w:val="none"/>
              </w:rPr>
            </w:pPr>
            <w:r>
              <w:rPr>
                <w:rFonts w:ascii="宋体" w:hAnsi="宋体" w:cs="宋体"/>
                <w:szCs w:val="21"/>
                <w:highlight w:val="none"/>
                <w:lang w:val="zh-CN" w:bidi="zh-CN"/>
              </w:rPr>
            </w:r>
            <w:r>
              <w:rPr>
                <w:highlight w:val="none"/>
              </w:rPr>
            </w:r>
            <w:r/>
          </w:p>
        </w:tc>
        <w:tc>
          <w:tcPr>
            <w:tcW w:w="1570" w:type="dxa"/>
            <w:vAlign w:val="center"/>
            <w:textDirection w:val="lrTb"/>
            <w:noWrap w:val="false"/>
          </w:tcPr>
          <w:p>
            <w:pPr>
              <w:jc w:val="left"/>
              <w:spacing w:before="99"/>
              <w:rPr>
                <w:rFonts w:ascii="宋体" w:hAnsi="宋体" w:cs="宋体"/>
                <w:szCs w:val="21"/>
                <w:highlight w:val="none"/>
              </w:rPr>
            </w:pPr>
            <w:r>
              <w:rPr>
                <w:rFonts w:ascii="宋体" w:hAnsi="宋体" w:cs="宋体"/>
                <w:szCs w:val="21"/>
                <w:highlight w:val="none"/>
                <w:lang w:val="zh-CN" w:bidi="zh-CN"/>
              </w:rPr>
            </w:r>
            <w:r>
              <w:rPr>
                <w:highlight w:val="none"/>
              </w:rPr>
            </w:r>
            <w:r/>
          </w:p>
        </w:tc>
        <w:tc>
          <w:tcPr>
            <w:tcW w:w="1209"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032"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603"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r>
      <w:tr>
        <w:trPr>
          <w:jc w:val="center"/>
          <w:trHeight w:val="467"/>
        </w:trPr>
        <w:tc>
          <w:tcPr>
            <w:tcW w:w="584" w:type="dxa"/>
            <w:vAlign w:val="center"/>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c>
          <w:tcPr>
            <w:tcW w:w="1570" w:type="dxa"/>
            <w:vAlign w:val="center"/>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c>
          <w:tcPr>
            <w:tcW w:w="1209" w:type="dxa"/>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c>
          <w:tcPr>
            <w:tcW w:w="1032" w:type="dxa"/>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c>
          <w:tcPr>
            <w:tcW w:w="603" w:type="dxa"/>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r>
      <w:tr>
        <w:trPr>
          <w:jc w:val="center"/>
          <w:trHeight w:val="467"/>
        </w:trPr>
        <w:tc>
          <w:tcPr>
            <w:tcW w:w="584" w:type="dxa"/>
            <w:vAlign w:val="center"/>
            <w:textDirection w:val="lrTb"/>
            <w:noWrap w:val="false"/>
          </w:tcPr>
          <w:p>
            <w:pPr>
              <w:jc w:val="center"/>
              <w:rPr>
                <w:rFonts w:ascii="宋体" w:hAnsi="宋体" w:cs="宋体"/>
                <w:szCs w:val="21"/>
                <w:highlight w:val="none"/>
              </w:rPr>
            </w:pPr>
            <w:r>
              <w:rPr>
                <w:rFonts w:ascii="宋体" w:hAnsi="宋体" w:cs="宋体"/>
                <w:szCs w:val="21"/>
                <w:highlight w:val="none"/>
                <w:lang w:val="zh-CN" w:bidi="zh-CN"/>
              </w:rPr>
            </w:r>
            <w:r>
              <w:rPr>
                <w:highlight w:val="none"/>
              </w:rPr>
            </w:r>
            <w:r/>
          </w:p>
        </w:tc>
        <w:tc>
          <w:tcPr>
            <w:tcW w:w="157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bidi="zh-CN"/>
              </w:rPr>
              <w:t xml:space="preserve">（行数不够，自行添加）</w:t>
            </w:r>
            <w:r>
              <w:rPr>
                <w:highlight w:val="none"/>
              </w:rPr>
            </w:r>
            <w:r/>
          </w:p>
        </w:tc>
        <w:tc>
          <w:tcPr>
            <w:tcW w:w="1209" w:type="dxa"/>
            <w:textDirection w:val="lrTb"/>
            <w:noWrap w:val="false"/>
          </w:tcPr>
          <w:p>
            <w:pPr>
              <w:jc w:val="center"/>
              <w:rPr>
                <w:rFonts w:ascii="宋体" w:hAnsi="宋体" w:cs="宋体"/>
                <w:szCs w:val="21"/>
                <w:highlight w:val="none"/>
              </w:rPr>
            </w:pPr>
            <w:r>
              <w:rPr>
                <w:rFonts w:ascii="宋体" w:hAnsi="宋体" w:cs="宋体"/>
                <w:szCs w:val="21"/>
                <w:highlight w:val="none"/>
                <w:lang w:val="zh-CN" w:bidi="zh-CN"/>
              </w:rPr>
            </w:r>
            <w:r>
              <w:rPr>
                <w:highlight w:val="none"/>
              </w:rPr>
            </w:r>
            <w:r/>
          </w:p>
        </w:tc>
        <w:tc>
          <w:tcPr>
            <w:tcW w:w="1032" w:type="dxa"/>
            <w:textDirection w:val="lrTb"/>
            <w:noWrap w:val="false"/>
          </w:tcPr>
          <w:p>
            <w:pPr>
              <w:jc w:val="center"/>
              <w:rPr>
                <w:rFonts w:ascii="宋体" w:hAnsi="宋体" w:cs="宋体"/>
                <w:szCs w:val="21"/>
                <w:highlight w:val="none"/>
              </w:rPr>
            </w:pPr>
            <w:r>
              <w:rPr>
                <w:rFonts w:ascii="宋体" w:hAnsi="宋体" w:cs="宋体"/>
                <w:szCs w:val="21"/>
                <w:highlight w:val="none"/>
                <w:lang w:val="zh-CN" w:bidi="zh-CN"/>
              </w:rPr>
            </w:r>
            <w:r>
              <w:rPr>
                <w:highlight w:val="none"/>
              </w:rPr>
            </w:r>
            <w:r/>
          </w:p>
        </w:tc>
        <w:tc>
          <w:tcPr>
            <w:tcW w:w="603" w:type="dxa"/>
            <w:textDirection w:val="lrTb"/>
            <w:noWrap w:val="false"/>
          </w:tcPr>
          <w:p>
            <w:pPr>
              <w:jc w:val="center"/>
              <w:rPr>
                <w:rFonts w:ascii="宋体" w:hAnsi="宋体" w:cs="宋体"/>
                <w:szCs w:val="21"/>
                <w:highlight w:val="none"/>
              </w:rPr>
            </w:pPr>
            <w:r>
              <w:rPr>
                <w:rFonts w:ascii="宋体" w:hAnsi="宋体" w:cs="宋体"/>
                <w:szCs w:val="21"/>
                <w:highlight w:val="none"/>
                <w:lang w:val="zh-CN" w:bidi="zh-CN"/>
              </w:rPr>
            </w:r>
            <w:r>
              <w:rPr>
                <w:highlight w:val="none"/>
              </w:rPr>
            </w:r>
            <w:r/>
          </w:p>
        </w:tc>
      </w:tr>
    </w:tbl>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说明：</w:t>
      </w:r>
      <w:r>
        <w:rPr>
          <w:highlight w:val="none"/>
        </w:rPr>
      </w:r>
      <w:r/>
    </w:p>
    <w:p>
      <w:pPr>
        <w:ind w:firstLine="48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1.如果行数不够，请自行增加。</w:t>
      </w:r>
      <w:r>
        <w:rPr>
          <w:highlight w:val="none"/>
        </w:rPr>
      </w:r>
      <w:r/>
    </w:p>
    <w:p>
      <w:pPr>
        <w:ind w:firstLine="48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2.供应商必须仔细阅读磋商文件所有条款，并对所有符合或偏离的条目列入上表，未列入上表的视作供应商完全接受。</w:t>
      </w:r>
      <w:r>
        <w:rPr>
          <w:highlight w:val="none"/>
        </w:rPr>
      </w:r>
      <w:r/>
    </w:p>
    <w:p>
      <w:pPr>
        <w:ind w:left="223"/>
        <w:jc w:val="left"/>
        <w:rPr>
          <w:rFonts w:ascii="宋体" w:hAnsi="宋体" w:cs="宋体"/>
          <w:szCs w:val="21"/>
          <w:highlight w:val="none"/>
        </w:rPr>
      </w:pPr>
      <w:r>
        <w:rPr>
          <w:rFonts w:ascii="宋体" w:hAnsi="宋体" w:cs="宋体"/>
          <w:szCs w:val="21"/>
          <w:highlight w:val="none"/>
          <w:lang w:val="zh-CN" w:bidi="zh-CN"/>
        </w:rPr>
      </w:r>
      <w:r>
        <w:rPr>
          <w:highlight w:val="none"/>
        </w:rPr>
      </w:r>
      <w:r/>
    </w:p>
    <w:p>
      <w:pPr>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rPr>
          <w:highlight w:val="none"/>
        </w:rPr>
      </w:r>
      <w:r/>
    </w:p>
    <w:p>
      <w:pPr>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rPr>
          <w:highlight w:val="none"/>
        </w:rPr>
      </w:r>
      <w:r/>
    </w:p>
    <w:p>
      <w:pPr>
        <w:ind w:left="4410"/>
        <w:tabs>
          <w:tab w:val="left" w:pos="1379" w:leader="none"/>
          <w:tab w:val="left" w:pos="2219" w:leader="none"/>
          <w:tab w:val="left" w:pos="2848" w:leader="none"/>
          <w:tab w:val="left" w:pos="3374" w:leader="none"/>
        </w:tabs>
        <w:rPr>
          <w:rFonts w:ascii="宋体" w:hAnsi="宋体" w:cs="宋体"/>
          <w:szCs w:val="21"/>
          <w:highlight w:val="none"/>
        </w:rPr>
      </w:pPr>
      <w:r>
        <w:rPr>
          <w:rFonts w:hint="eastAsia" w:ascii="宋体" w:hAnsi="宋体" w:cs="宋体"/>
          <w:szCs w:val="21"/>
          <w:highlight w:val="none"/>
        </w:rPr>
        <w:t xml:space="preserve">供应商</w:t>
      </w:r>
      <w:r>
        <w:rPr>
          <w:rFonts w:hint="eastAsia" w:ascii="宋体" w:hAnsi="宋体" w:cs="宋体"/>
          <w:szCs w:val="21"/>
          <w:highlight w:val="none"/>
          <w:lang w:val="zh-CN" w:bidi="zh-CN"/>
        </w:rPr>
        <w:t xml:space="preserve">（盖章）： </w:t>
      </w:r>
      <w:r>
        <w:rPr>
          <w:highlight w:val="none"/>
        </w:rPr>
      </w:r>
      <w:r/>
    </w:p>
    <w:p>
      <w:pPr>
        <w:ind w:left="4410"/>
        <w:tabs>
          <w:tab w:val="left" w:pos="1379" w:leader="none"/>
          <w:tab w:val="left" w:pos="2219" w:leader="none"/>
          <w:tab w:val="left" w:pos="2848" w:leader="none"/>
          <w:tab w:val="left" w:pos="3374" w:leader="none"/>
        </w:tabs>
        <w:rPr>
          <w:rFonts w:ascii="宋体" w:hAnsi="宋体" w:cs="宋体"/>
          <w:szCs w:val="21"/>
          <w:highlight w:val="none"/>
        </w:rPr>
      </w:pPr>
      <w:r>
        <w:rPr>
          <w:rFonts w:ascii="宋体" w:hAnsi="宋体" w:cs="宋体"/>
          <w:szCs w:val="21"/>
          <w:highlight w:val="none"/>
          <w:lang w:val="zh-CN" w:bidi="zh-CN"/>
        </w:rPr>
      </w:r>
      <w:r>
        <w:rPr>
          <w:highlight w:val="none"/>
        </w:rPr>
      </w:r>
      <w:r/>
    </w:p>
    <w:p>
      <w:pPr>
        <w:ind w:left="4410"/>
        <w:tabs>
          <w:tab w:val="left" w:pos="1379" w:leader="none"/>
          <w:tab w:val="left" w:pos="2219" w:leader="none"/>
          <w:tab w:val="left" w:pos="2848" w:leader="none"/>
          <w:tab w:val="left" w:pos="3374" w:leader="none"/>
        </w:tabs>
        <w:rPr>
          <w:rFonts w:ascii="宋体" w:hAnsi="宋体" w:cs="宋体"/>
          <w:szCs w:val="21"/>
          <w:highlight w:val="none"/>
        </w:rPr>
      </w:pPr>
      <w:r>
        <w:rPr>
          <w:rFonts w:hint="eastAsia" w:ascii="宋体" w:hAnsi="宋体" w:cs="宋体"/>
          <w:szCs w:val="21"/>
          <w:highlight w:val="none"/>
          <w:lang w:val="zh-CN" w:bidi="zh-CN"/>
        </w:rPr>
        <w:t xml:space="preserve">授权委托人</w:t>
      </w:r>
      <w:r>
        <w:rPr>
          <w:rFonts w:hint="eastAsia" w:ascii="宋体" w:hAnsi="宋体"/>
          <w:szCs w:val="21"/>
          <w:highlight w:val="none"/>
        </w:rPr>
        <w:t xml:space="preserve">（签字）</w:t>
      </w:r>
      <w:r>
        <w:rPr>
          <w:rFonts w:hint="eastAsia" w:ascii="宋体" w:hAnsi="宋体" w:cs="宋体"/>
          <w:szCs w:val="21"/>
          <w:highlight w:val="none"/>
          <w:lang w:val="zh-CN" w:bidi="zh-CN"/>
        </w:rPr>
        <w:t xml:space="preserve">：</w:t>
      </w:r>
      <w:r>
        <w:rPr>
          <w:highlight w:val="none"/>
        </w:rPr>
      </w:r>
      <w:r/>
    </w:p>
    <w:p>
      <w:pPr>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lang w:val="zh-CN"/>
        </w:rPr>
      </w:r>
      <w:r>
        <w:rPr>
          <w:highlight w:val="none"/>
        </w:rPr>
      </w:r>
      <w:r/>
    </w:p>
    <w:p>
      <w:pPr>
        <w:ind w:left="4410"/>
        <w:tabs>
          <w:tab w:val="left" w:pos="1379" w:leader="none"/>
          <w:tab w:val="left" w:pos="2219" w:leader="none"/>
          <w:tab w:val="left" w:pos="2848" w:leader="none"/>
          <w:tab w:val="left" w:pos="3374" w:leader="none"/>
        </w:tabs>
        <w:rPr>
          <w:rFonts w:ascii="宋体" w:hAnsi="宋体"/>
          <w:szCs w:val="21"/>
          <w:highlight w:val="none"/>
        </w:rPr>
      </w:pPr>
      <w:r>
        <w:rPr>
          <w:rFonts w:hint="eastAsia" w:ascii="宋体" w:hAnsi="宋体"/>
          <w:szCs w:val="21"/>
          <w:highlight w:val="none"/>
          <w:lang w:val="zh-CN"/>
        </w:rPr>
        <w:t xml:space="preserve">日期：  年 月 日</w:t>
      </w:r>
      <w:r>
        <w:rPr>
          <w:highlight w:val="none"/>
        </w:rPr>
      </w:r>
      <w:r/>
    </w:p>
    <w:p>
      <w:pPr>
        <w:ind w:right="287"/>
        <w:spacing w:before="58" w:line="360" w:lineRule="auto"/>
        <w:rPr>
          <w:rFonts w:ascii="宋体" w:hAnsi="宋体" w:cs="宋体"/>
          <w:b/>
          <w:szCs w:val="21"/>
          <w:highlight w:val="none"/>
        </w:rPr>
      </w:pPr>
      <w:r>
        <w:rPr>
          <w:rFonts w:ascii="宋体" w:hAnsi="宋体" w:cs="宋体"/>
          <w:b/>
          <w:szCs w:val="21"/>
          <w:highlight w:val="none"/>
          <w:lang w:val="zh-CN" w:bidi="zh-CN"/>
        </w:rPr>
      </w:r>
      <w:r>
        <w:rPr>
          <w:highlight w:val="none"/>
        </w:rPr>
      </w:r>
      <w:r/>
    </w:p>
    <w:p>
      <w:pPr>
        <w:pStyle w:val="912"/>
        <w:rPr>
          <w:highlight w:val="none"/>
        </w:rPr>
      </w:pPr>
      <w:r>
        <w:rPr>
          <w:highlight w:val="none"/>
        </w:rPr>
      </w:r>
      <w:bookmarkStart w:id="646" w:name="_Toc22560"/>
      <w:r>
        <w:rPr>
          <w:highlight w:val="none"/>
        </w:rPr>
      </w:r>
      <w:r/>
    </w:p>
    <w:p>
      <w:pPr>
        <w:rPr>
          <w:rFonts w:ascii="宋体" w:hAnsi="宋体" w:cs="宋体"/>
          <w:szCs w:val="21"/>
          <w:highlight w:val="none"/>
        </w:rPr>
        <w:outlineLvl w:val="1"/>
      </w:pPr>
      <w:r>
        <w:rPr>
          <w:rFonts w:hint="eastAsia" w:ascii="宋体" w:hAnsi="宋体"/>
          <w:sz w:val="24"/>
          <w:highlight w:val="none"/>
          <w:lang w:val="zh-CN"/>
        </w:rPr>
        <w:br w:type="page" w:clear="all"/>
      </w:r>
      <w:bookmarkStart w:id="647" w:name="_Toc6302"/>
      <w:r>
        <w:rPr>
          <w:rFonts w:hint="eastAsia" w:ascii="宋体" w:hAnsi="宋体" w:cs="宋体"/>
          <w:b/>
          <w:szCs w:val="21"/>
          <w:highlight w:val="none"/>
          <w:lang w:val="zh-CN"/>
        </w:rPr>
        <w:t xml:space="preserve">六、技术规格偏离表</w:t>
      </w:r>
      <w:bookmarkEnd w:id="646"/>
      <w:r>
        <w:rPr>
          <w:highlight w:val="none"/>
        </w:rPr>
      </w:r>
      <w:bookmarkEnd w:id="647"/>
      <w:r>
        <w:rPr>
          <w:highlight w:val="none"/>
        </w:rPr>
      </w:r>
      <w:r/>
    </w:p>
    <w:p>
      <w:pPr>
        <w:ind w:left="223"/>
        <w:jc w:val="left"/>
        <w:rPr>
          <w:rFonts w:ascii="宋体" w:hAnsi="宋体"/>
          <w:sz w:val="24"/>
          <w:highlight w:val="none"/>
        </w:rPr>
      </w:pPr>
      <w:r>
        <w:rPr>
          <w:rFonts w:ascii="宋体" w:hAnsi="宋体"/>
          <w:sz w:val="24"/>
          <w:highlight w:val="none"/>
          <w:lang w:val="zh-CN"/>
        </w:rPr>
      </w:r>
      <w:r>
        <w:rPr>
          <w:highlight w:val="none"/>
        </w:rPr>
      </w:r>
      <w:r/>
    </w:p>
    <w:p>
      <w:pPr>
        <w:jc w:val="center"/>
        <w:rPr>
          <w:rFonts w:ascii="宋体" w:hAnsi="宋体" w:cs="宋体"/>
          <w:sz w:val="24"/>
          <w:highlight w:val="none"/>
        </w:rPr>
      </w:pPr>
      <w:r>
        <w:rPr>
          <w:rFonts w:hint="eastAsia" w:ascii="宋体" w:hAnsi="宋体"/>
          <w:b/>
          <w:sz w:val="32"/>
          <w:szCs w:val="32"/>
          <w:highlight w:val="none"/>
          <w:lang w:val="zh-CN"/>
        </w:rPr>
        <w:t xml:space="preserve">技术规格偏离表</w:t>
      </w:r>
      <w:r>
        <w:rPr>
          <w:highlight w:val="none"/>
        </w:rPr>
      </w:r>
      <w:r/>
    </w:p>
    <w:p>
      <w:pPr>
        <w:ind w:left="223"/>
        <w:jc w:val="left"/>
        <w:rPr>
          <w:rFonts w:ascii="宋体" w:hAnsi="宋体" w:cs="宋体"/>
          <w:sz w:val="24"/>
          <w:highlight w:val="none"/>
        </w:rPr>
      </w:pPr>
      <w:r>
        <w:rPr>
          <w:rFonts w:ascii="宋体" w:hAnsi="宋体" w:cs="宋体"/>
          <w:sz w:val="24"/>
          <w:highlight w:val="none"/>
          <w:lang w:val="zh-CN" w:bidi="zh-CN"/>
        </w:rPr>
      </w:r>
      <w:r>
        <w:rPr>
          <w:highlight w:val="none"/>
        </w:rPr>
      </w:r>
      <w:r/>
    </w:p>
    <w:p>
      <w:pPr>
        <w:ind w:left="223"/>
        <w:jc w:val="left"/>
        <w:rPr>
          <w:rFonts w:ascii="宋体" w:hAnsi="宋体" w:cs="宋体"/>
          <w:szCs w:val="21"/>
          <w:highlight w:val="none"/>
        </w:rPr>
      </w:pPr>
      <w:r>
        <w:rPr>
          <w:rFonts w:hint="eastAsia" w:ascii="宋体" w:hAnsi="宋体" w:cs="宋体"/>
          <w:szCs w:val="21"/>
          <w:highlight w:val="none"/>
          <w:lang w:val="zh-CN" w:bidi="zh-CN"/>
        </w:rPr>
        <w:t xml:space="preserve">项目编号：</w:t>
      </w:r>
      <w:r>
        <w:rPr>
          <w:highlight w:val="none"/>
        </w:rPr>
      </w:r>
      <w:r/>
    </w:p>
    <w:p>
      <w:pPr>
        <w:ind w:left="223"/>
        <w:spacing w:before="119"/>
        <w:rPr>
          <w:rFonts w:ascii="宋体" w:hAnsi="宋体" w:cs="宋体"/>
          <w:szCs w:val="21"/>
          <w:highlight w:val="none"/>
        </w:rPr>
      </w:pPr>
      <w:r>
        <w:rPr>
          <w:rFonts w:hint="eastAsia" w:ascii="宋体" w:hAnsi="宋体" w:cs="宋体"/>
          <w:szCs w:val="21"/>
          <w:highlight w:val="none"/>
          <w:lang w:val="zh-CN" w:bidi="zh-CN"/>
        </w:rPr>
        <w:t xml:space="preserve">项目名称：</w:t>
      </w:r>
      <w:r>
        <w:rPr>
          <w:highlight w:val="none"/>
        </w:rPr>
      </w:r>
      <w:r/>
    </w:p>
    <w:tbl>
      <w:tblPr>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1131"/>
        <w:gridCol w:w="2177"/>
        <w:gridCol w:w="2454"/>
        <w:gridCol w:w="2037"/>
        <w:gridCol w:w="1251"/>
      </w:tblGrid>
      <w:tr>
        <w:trPr>
          <w:jc w:val="center"/>
          <w:trHeight w:val="465"/>
        </w:trPr>
        <w:tc>
          <w:tcPr>
            <w:tcW w:w="624" w:type="dxa"/>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lang w:val="zh-CN" w:bidi="zh-CN"/>
              </w:rPr>
              <w:t xml:space="preserve">序号</w:t>
            </w:r>
            <w:r>
              <w:rPr>
                <w:highlight w:val="none"/>
              </w:rPr>
            </w:r>
            <w:r/>
          </w:p>
        </w:tc>
        <w:tc>
          <w:tcPr>
            <w:tcW w:w="1202" w:type="dxa"/>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lang w:val="zh-CN" w:bidi="zh-CN"/>
              </w:rPr>
              <w:t xml:space="preserve">招标文件的</w:t>
            </w:r>
            <w:r>
              <w:rPr>
                <w:rFonts w:hint="eastAsia" w:ascii="宋体" w:hAnsi="宋体" w:cs="宋体"/>
                <w:b/>
                <w:szCs w:val="21"/>
                <w:highlight w:val="none"/>
                <w:lang w:bidi="zh-CN"/>
              </w:rPr>
              <w:t xml:space="preserve">技术</w:t>
            </w:r>
            <w:r>
              <w:rPr>
                <w:rFonts w:hint="eastAsia" w:ascii="宋体" w:hAnsi="宋体" w:cs="宋体"/>
                <w:b/>
                <w:szCs w:val="21"/>
                <w:highlight w:val="none"/>
                <w:lang w:val="zh-CN" w:bidi="zh-CN"/>
              </w:rPr>
              <w:t xml:space="preserve">参数</w:t>
            </w:r>
            <w:r>
              <w:rPr>
                <w:highlight w:val="none"/>
              </w:rPr>
            </w:r>
            <w:r/>
          </w:p>
        </w:tc>
        <w:tc>
          <w:tcPr>
            <w:tcW w:w="1355" w:type="dxa"/>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lang w:val="zh-CN" w:bidi="zh-CN"/>
              </w:rPr>
              <w:t xml:space="preserve">实际响应</w:t>
            </w:r>
            <w:r>
              <w:rPr>
                <w:highlight w:val="none"/>
              </w:rPr>
            </w:r>
            <w:r/>
          </w:p>
        </w:tc>
        <w:tc>
          <w:tcPr>
            <w:tcW w:w="1125" w:type="dxa"/>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lang w:val="zh-CN" w:bidi="zh-CN"/>
              </w:rPr>
              <w:t xml:space="preserve">符合/正偏离/负偏离</w:t>
            </w:r>
            <w:r>
              <w:rPr>
                <w:highlight w:val="none"/>
              </w:rPr>
            </w:r>
            <w:r/>
          </w:p>
        </w:tc>
        <w:tc>
          <w:tcPr>
            <w:tcW w:w="691" w:type="dxa"/>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lang w:val="zh-CN" w:bidi="zh-CN"/>
              </w:rPr>
              <w:t xml:space="preserve">备注</w:t>
            </w:r>
            <w:r>
              <w:rPr>
                <w:highlight w:val="none"/>
              </w:rPr>
            </w:r>
            <w:r/>
          </w:p>
        </w:tc>
      </w:tr>
      <w:tr>
        <w:trPr>
          <w:jc w:val="center"/>
          <w:trHeight w:val="467"/>
        </w:trPr>
        <w:tc>
          <w:tcPr>
            <w:tcW w:w="624"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202"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355"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125"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691"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r>
      <w:tr>
        <w:trPr>
          <w:jc w:val="center"/>
          <w:trHeight w:val="468"/>
        </w:trPr>
        <w:tc>
          <w:tcPr>
            <w:tcW w:w="624"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202"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355"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125"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691"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r>
      <w:tr>
        <w:trPr>
          <w:jc w:val="center"/>
          <w:trHeight w:val="467"/>
        </w:trPr>
        <w:tc>
          <w:tcPr>
            <w:tcW w:w="624"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202"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355"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1125"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c>
          <w:tcPr>
            <w:tcW w:w="691" w:type="dxa"/>
            <w:textDirection w:val="lrTb"/>
            <w:noWrap w:val="false"/>
          </w:tcPr>
          <w:p>
            <w:pPr>
              <w:spacing w:line="360" w:lineRule="auto"/>
              <w:rPr>
                <w:rFonts w:ascii="宋体" w:hAnsi="宋体" w:cs="宋体"/>
                <w:szCs w:val="21"/>
                <w:highlight w:val="none"/>
              </w:rPr>
            </w:pPr>
            <w:r>
              <w:rPr>
                <w:rFonts w:ascii="宋体" w:hAnsi="宋体" w:cs="宋体"/>
                <w:szCs w:val="21"/>
                <w:highlight w:val="none"/>
                <w:lang w:val="zh-CN" w:bidi="zh-CN"/>
              </w:rPr>
            </w:r>
            <w:r>
              <w:rPr>
                <w:highlight w:val="none"/>
              </w:rPr>
            </w:r>
            <w:r/>
          </w:p>
        </w:tc>
      </w:tr>
      <w:tr>
        <w:trPr>
          <w:jc w:val="center"/>
          <w:trHeight w:val="468"/>
        </w:trPr>
        <w:tc>
          <w:tcPr>
            <w:tcW w:w="624" w:type="dxa"/>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c>
          <w:tcPr>
            <w:tcW w:w="1202" w:type="dxa"/>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c>
          <w:tcPr>
            <w:tcW w:w="1355" w:type="dxa"/>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c>
          <w:tcPr>
            <w:tcW w:w="1125" w:type="dxa"/>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c>
          <w:tcPr>
            <w:tcW w:w="691" w:type="dxa"/>
            <w:textDirection w:val="lrTb"/>
            <w:noWrap w:val="false"/>
          </w:tcPr>
          <w:p>
            <w:pPr>
              <w:jc w:val="center"/>
              <w:spacing w:before="98"/>
              <w:rPr>
                <w:rFonts w:ascii="宋体" w:hAnsi="宋体" w:cs="宋体"/>
                <w:szCs w:val="21"/>
                <w:highlight w:val="none"/>
              </w:rPr>
            </w:pPr>
            <w:r>
              <w:rPr>
                <w:rFonts w:hint="eastAsia" w:ascii="宋体" w:hAnsi="宋体" w:cs="宋体"/>
                <w:szCs w:val="21"/>
                <w:highlight w:val="none"/>
                <w:lang w:val="zh-CN" w:bidi="zh-CN"/>
              </w:rPr>
              <w:t xml:space="preserve">…</w:t>
            </w:r>
            <w:r>
              <w:rPr>
                <w:highlight w:val="none"/>
              </w:rPr>
            </w:r>
            <w:r/>
          </w:p>
        </w:tc>
      </w:tr>
      <w:tr>
        <w:trPr>
          <w:jc w:val="center"/>
          <w:trHeight w:val="467"/>
        </w:trPr>
        <w:tc>
          <w:tcPr>
            <w:tcW w:w="624" w:type="dxa"/>
            <w:textDirection w:val="lrTb"/>
            <w:noWrap w:val="false"/>
          </w:tcPr>
          <w:p>
            <w:pPr>
              <w:jc w:val="center"/>
              <w:rPr>
                <w:rFonts w:ascii="宋体" w:hAnsi="宋体" w:cs="宋体"/>
                <w:szCs w:val="21"/>
                <w:highlight w:val="none"/>
              </w:rPr>
            </w:pPr>
            <w:r>
              <w:rPr>
                <w:rFonts w:ascii="宋体" w:hAnsi="宋体" w:cs="宋体"/>
                <w:szCs w:val="21"/>
                <w:highlight w:val="none"/>
                <w:lang w:val="zh-CN" w:bidi="zh-CN"/>
              </w:rPr>
            </w:r>
            <w:r>
              <w:rPr>
                <w:highlight w:val="none"/>
              </w:rPr>
            </w:r>
            <w:r/>
          </w:p>
        </w:tc>
        <w:tc>
          <w:tcPr>
            <w:tcW w:w="1202" w:type="dxa"/>
            <w:textDirection w:val="lrTb"/>
            <w:noWrap w:val="false"/>
          </w:tcPr>
          <w:p>
            <w:pPr>
              <w:jc w:val="center"/>
              <w:rPr>
                <w:rFonts w:ascii="宋体" w:hAnsi="宋体" w:cs="宋体"/>
                <w:szCs w:val="21"/>
                <w:highlight w:val="none"/>
              </w:rPr>
            </w:pPr>
            <w:r>
              <w:rPr>
                <w:rFonts w:hint="eastAsia" w:ascii="宋体" w:hAnsi="宋体" w:cs="宋体"/>
                <w:szCs w:val="21"/>
                <w:highlight w:val="none"/>
                <w:lang w:val="zh-CN" w:bidi="zh-CN"/>
              </w:rPr>
              <w:t xml:space="preserve">（行数不够，自行添加）</w:t>
            </w:r>
            <w:r>
              <w:rPr>
                <w:highlight w:val="none"/>
              </w:rPr>
            </w:r>
            <w:r/>
          </w:p>
        </w:tc>
        <w:tc>
          <w:tcPr>
            <w:tcW w:w="1355" w:type="dxa"/>
            <w:textDirection w:val="lrTb"/>
            <w:noWrap w:val="false"/>
          </w:tcPr>
          <w:p>
            <w:pPr>
              <w:jc w:val="center"/>
              <w:rPr>
                <w:rFonts w:ascii="宋体" w:hAnsi="宋体" w:cs="宋体"/>
                <w:szCs w:val="21"/>
                <w:highlight w:val="none"/>
              </w:rPr>
            </w:pPr>
            <w:r>
              <w:rPr>
                <w:rFonts w:ascii="宋体" w:hAnsi="宋体" w:cs="宋体"/>
                <w:szCs w:val="21"/>
                <w:highlight w:val="none"/>
                <w:lang w:val="zh-CN" w:bidi="zh-CN"/>
              </w:rPr>
            </w:r>
            <w:r>
              <w:rPr>
                <w:highlight w:val="none"/>
              </w:rPr>
            </w:r>
            <w:r/>
          </w:p>
        </w:tc>
        <w:tc>
          <w:tcPr>
            <w:tcW w:w="1125" w:type="dxa"/>
            <w:textDirection w:val="lrTb"/>
            <w:noWrap w:val="false"/>
          </w:tcPr>
          <w:p>
            <w:pPr>
              <w:jc w:val="center"/>
              <w:rPr>
                <w:rFonts w:ascii="宋体" w:hAnsi="宋体" w:cs="宋体"/>
                <w:szCs w:val="21"/>
                <w:highlight w:val="none"/>
              </w:rPr>
            </w:pPr>
            <w:r>
              <w:rPr>
                <w:rFonts w:ascii="宋体" w:hAnsi="宋体" w:cs="宋体"/>
                <w:szCs w:val="21"/>
                <w:highlight w:val="none"/>
                <w:lang w:val="zh-CN" w:bidi="zh-CN"/>
              </w:rPr>
            </w:r>
            <w:r>
              <w:rPr>
                <w:highlight w:val="none"/>
              </w:rPr>
            </w:r>
            <w:r/>
          </w:p>
        </w:tc>
        <w:tc>
          <w:tcPr>
            <w:tcW w:w="691" w:type="dxa"/>
            <w:textDirection w:val="lrTb"/>
            <w:noWrap w:val="false"/>
          </w:tcPr>
          <w:p>
            <w:pPr>
              <w:jc w:val="center"/>
              <w:rPr>
                <w:rFonts w:ascii="宋体" w:hAnsi="宋体" w:cs="宋体"/>
                <w:szCs w:val="21"/>
                <w:highlight w:val="none"/>
              </w:rPr>
            </w:pPr>
            <w:r>
              <w:rPr>
                <w:rFonts w:ascii="宋体" w:hAnsi="宋体" w:cs="宋体"/>
                <w:szCs w:val="21"/>
                <w:highlight w:val="none"/>
                <w:lang w:val="zh-CN" w:bidi="zh-CN"/>
              </w:rPr>
            </w:r>
            <w:r>
              <w:rPr>
                <w:highlight w:val="none"/>
              </w:rPr>
            </w:r>
            <w:r/>
          </w:p>
        </w:tc>
      </w:tr>
    </w:tbl>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说明：</w:t>
      </w:r>
      <w:r>
        <w:rPr>
          <w:highlight w:val="none"/>
        </w:rPr>
      </w:r>
      <w:r/>
    </w:p>
    <w:p>
      <w:pPr>
        <w:ind w:firstLine="48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1.如果行数不够，请自行增加。</w:t>
      </w:r>
      <w:r>
        <w:rPr>
          <w:highlight w:val="none"/>
        </w:rPr>
      </w:r>
      <w:r/>
    </w:p>
    <w:p>
      <w:pPr>
        <w:ind w:firstLine="480"/>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2.供应商必须仔细阅读磋商文件所有条款，并对所有符合或偏离的条目列入上表，未列入上表的视作供应商完全接受。</w:t>
      </w:r>
      <w:r>
        <w:rPr>
          <w:highlight w:val="none"/>
        </w:rPr>
      </w:r>
      <w:r/>
    </w:p>
    <w:p>
      <w:pPr>
        <w:tabs>
          <w:tab w:val="left" w:pos="7067" w:leader="none"/>
          <w:tab w:val="left" w:pos="8327" w:leader="none"/>
          <w:tab w:val="left" w:pos="8956" w:leader="none"/>
          <w:tab w:val="left" w:pos="9482" w:leader="none"/>
        </w:tabs>
        <w:rPr>
          <w:rFonts w:ascii="宋体" w:hAnsi="宋体" w:cs="宋体"/>
          <w:szCs w:val="21"/>
          <w:highlight w:val="none"/>
        </w:rPr>
      </w:pPr>
      <w:r>
        <w:rPr>
          <w:rFonts w:ascii="宋体" w:hAnsi="宋体" w:cs="宋体"/>
          <w:szCs w:val="21"/>
          <w:highlight w:val="none"/>
          <w:lang w:val="zh-CN" w:bidi="zh-CN"/>
        </w:rPr>
      </w:r>
      <w:r>
        <w:rPr>
          <w:highlight w:val="none"/>
        </w:rPr>
      </w:r>
      <w:r/>
    </w:p>
    <w:p>
      <w:pPr>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rPr>
          <w:highlight w:val="none"/>
        </w:rPr>
      </w:r>
      <w:r/>
    </w:p>
    <w:p>
      <w:pPr>
        <w:ind w:left="4410"/>
        <w:tabs>
          <w:tab w:val="left" w:pos="1379" w:leader="none"/>
          <w:tab w:val="left" w:pos="2219" w:leader="none"/>
          <w:tab w:val="left" w:pos="2848" w:leader="none"/>
          <w:tab w:val="left" w:pos="3374" w:leader="none"/>
        </w:tabs>
        <w:rPr>
          <w:rFonts w:ascii="宋体" w:hAnsi="宋体" w:cs="宋体"/>
          <w:szCs w:val="21"/>
          <w:highlight w:val="none"/>
        </w:rPr>
      </w:pPr>
      <w:r>
        <w:rPr>
          <w:rFonts w:hint="eastAsia" w:ascii="宋体" w:hAnsi="宋体" w:cs="宋体"/>
          <w:szCs w:val="21"/>
          <w:highlight w:val="none"/>
        </w:rPr>
        <w:t xml:space="preserve">供应商</w:t>
      </w:r>
      <w:r>
        <w:rPr>
          <w:rFonts w:hint="eastAsia" w:ascii="宋体" w:hAnsi="宋体" w:cs="宋体"/>
          <w:szCs w:val="21"/>
          <w:highlight w:val="none"/>
          <w:lang w:val="zh-CN" w:bidi="zh-CN"/>
        </w:rPr>
        <w:t xml:space="preserve">（盖章）： </w:t>
      </w:r>
      <w:r>
        <w:rPr>
          <w:highlight w:val="none"/>
        </w:rPr>
      </w:r>
      <w:r/>
    </w:p>
    <w:p>
      <w:pPr>
        <w:ind w:left="4410"/>
        <w:tabs>
          <w:tab w:val="left" w:pos="1379" w:leader="none"/>
          <w:tab w:val="left" w:pos="2219" w:leader="none"/>
          <w:tab w:val="left" w:pos="2848" w:leader="none"/>
          <w:tab w:val="left" w:pos="3374" w:leader="none"/>
        </w:tabs>
        <w:rPr>
          <w:rFonts w:ascii="宋体" w:hAnsi="宋体" w:cs="宋体"/>
          <w:szCs w:val="21"/>
          <w:highlight w:val="none"/>
        </w:rPr>
      </w:pPr>
      <w:r>
        <w:rPr>
          <w:rFonts w:ascii="宋体" w:hAnsi="宋体" w:cs="宋体"/>
          <w:szCs w:val="21"/>
          <w:highlight w:val="none"/>
          <w:lang w:val="zh-CN" w:bidi="zh-CN"/>
        </w:rPr>
      </w:r>
      <w:r>
        <w:rPr>
          <w:highlight w:val="none"/>
        </w:rPr>
      </w:r>
      <w:r/>
    </w:p>
    <w:p>
      <w:pPr>
        <w:ind w:left="4410"/>
        <w:tabs>
          <w:tab w:val="left" w:pos="1379" w:leader="none"/>
          <w:tab w:val="left" w:pos="2219" w:leader="none"/>
          <w:tab w:val="left" w:pos="2848" w:leader="none"/>
          <w:tab w:val="left" w:pos="3374" w:leader="none"/>
        </w:tabs>
        <w:rPr>
          <w:rFonts w:ascii="宋体" w:hAnsi="宋体" w:cs="宋体"/>
          <w:szCs w:val="21"/>
          <w:highlight w:val="none"/>
        </w:rPr>
      </w:pPr>
      <w:r>
        <w:rPr>
          <w:rFonts w:hint="eastAsia" w:ascii="宋体" w:hAnsi="宋体" w:cs="宋体"/>
          <w:szCs w:val="21"/>
          <w:highlight w:val="none"/>
          <w:lang w:val="zh-CN" w:bidi="zh-CN"/>
        </w:rPr>
        <w:t xml:space="preserve">授权委托人</w:t>
      </w:r>
      <w:r>
        <w:rPr>
          <w:rFonts w:hint="eastAsia" w:ascii="宋体" w:hAnsi="宋体"/>
          <w:szCs w:val="21"/>
          <w:highlight w:val="none"/>
        </w:rPr>
        <w:t xml:space="preserve">（签字）</w:t>
      </w:r>
      <w:r>
        <w:rPr>
          <w:rFonts w:hint="eastAsia" w:ascii="宋体" w:hAnsi="宋体" w:cs="宋体"/>
          <w:szCs w:val="21"/>
          <w:highlight w:val="none"/>
          <w:lang w:val="zh-CN" w:bidi="zh-CN"/>
        </w:rPr>
        <w:t xml:space="preserve">：</w:t>
      </w:r>
      <w:r>
        <w:rPr>
          <w:highlight w:val="none"/>
        </w:rPr>
      </w:r>
      <w:r/>
    </w:p>
    <w:p>
      <w:pPr>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lang w:val="zh-CN"/>
        </w:rPr>
      </w:r>
      <w:r>
        <w:rPr>
          <w:highlight w:val="none"/>
        </w:rPr>
      </w:r>
      <w:r/>
    </w:p>
    <w:p>
      <w:pPr>
        <w:ind w:left="4410"/>
        <w:tabs>
          <w:tab w:val="left" w:pos="1379" w:leader="none"/>
          <w:tab w:val="left" w:pos="2219" w:leader="none"/>
          <w:tab w:val="left" w:pos="2848" w:leader="none"/>
          <w:tab w:val="left" w:pos="3374" w:leader="none"/>
        </w:tabs>
        <w:rPr>
          <w:rFonts w:ascii="宋体" w:hAnsi="宋体"/>
          <w:szCs w:val="21"/>
          <w:highlight w:val="none"/>
        </w:rPr>
      </w:pPr>
      <w:r>
        <w:rPr>
          <w:rFonts w:hint="eastAsia" w:ascii="宋体" w:hAnsi="宋体"/>
          <w:szCs w:val="21"/>
          <w:highlight w:val="none"/>
          <w:lang w:val="zh-CN"/>
        </w:rPr>
        <w:t xml:space="preserve">日期：  年 月 日</w:t>
      </w:r>
      <w:r>
        <w:rPr>
          <w:highlight w:val="none"/>
        </w:rPr>
      </w:r>
      <w:r/>
    </w:p>
    <w:p>
      <w:pPr>
        <w:spacing w:line="440" w:lineRule="exact"/>
        <w:rPr>
          <w:rFonts w:ascii="宋体" w:hAnsi="宋体" w:cs="宋体"/>
          <w:b/>
          <w:szCs w:val="21"/>
          <w:highlight w:val="none"/>
        </w:rPr>
      </w:pPr>
      <w:r>
        <w:rPr>
          <w:rFonts w:ascii="宋体" w:hAnsi="宋体" w:cs="宋体"/>
          <w:b/>
          <w:szCs w:val="21"/>
          <w:highlight w:val="none"/>
          <w:lang w:val="zh-CN" w:bidi="zh-CN"/>
        </w:rPr>
      </w:r>
      <w:r>
        <w:rPr>
          <w:highlight w:val="none"/>
        </w:rPr>
      </w:r>
      <w:r/>
    </w:p>
    <w:p>
      <w:pPr>
        <w:rPr>
          <w:rFonts w:ascii="宋体" w:hAnsi="宋体" w:cs="宋体"/>
          <w:b/>
          <w:szCs w:val="21"/>
          <w:highlight w:val="none"/>
        </w:rPr>
      </w:pPr>
      <w:r>
        <w:rPr>
          <w:rFonts w:ascii="宋体" w:hAnsi="宋体" w:cs="宋体"/>
          <w:b/>
          <w:szCs w:val="21"/>
          <w:highlight w:val="none"/>
          <w:lang w:bidi="ar"/>
        </w:rPr>
      </w:r>
      <w:r>
        <w:rPr>
          <w:highlight w:val="none"/>
        </w:rPr>
      </w:r>
      <w:r/>
    </w:p>
    <w:p>
      <w:pPr>
        <w:pStyle w:val="886"/>
        <w:rPr>
          <w:rFonts w:ascii="宋体" w:hAnsi="宋体" w:cs="宋体"/>
          <w:b/>
          <w:szCs w:val="21"/>
          <w:highlight w:val="none"/>
        </w:rPr>
      </w:pPr>
      <w:r>
        <w:rPr>
          <w:rFonts w:ascii="宋体" w:hAnsi="宋体" w:cs="宋体"/>
          <w:b/>
          <w:szCs w:val="21"/>
          <w:highlight w:val="none"/>
          <w:lang w:bidi="ar"/>
        </w:rPr>
      </w:r>
      <w:r>
        <w:rPr>
          <w:highlight w:val="none"/>
        </w:rPr>
      </w:r>
      <w:r/>
    </w:p>
    <w:p>
      <w:pPr>
        <w:pStyle w:val="886"/>
        <w:rPr>
          <w:rFonts w:ascii="宋体" w:hAnsi="宋体" w:cs="宋体"/>
          <w:b/>
          <w:szCs w:val="21"/>
          <w:highlight w:val="none"/>
        </w:rPr>
      </w:pPr>
      <w:r>
        <w:rPr>
          <w:rFonts w:ascii="宋体" w:hAnsi="宋体" w:cs="宋体"/>
          <w:b/>
          <w:szCs w:val="21"/>
          <w:highlight w:val="none"/>
          <w:lang w:bidi="ar"/>
        </w:rPr>
      </w:r>
      <w:r>
        <w:rPr>
          <w:highlight w:val="none"/>
        </w:rPr>
      </w:r>
      <w:r/>
    </w:p>
    <w:p>
      <w:pPr>
        <w:pStyle w:val="886"/>
        <w:rPr>
          <w:rFonts w:ascii="宋体" w:hAnsi="宋体" w:cs="宋体"/>
          <w:b/>
          <w:szCs w:val="21"/>
          <w:highlight w:val="none"/>
        </w:rPr>
      </w:pPr>
      <w:r>
        <w:rPr>
          <w:rFonts w:ascii="宋体" w:hAnsi="宋体" w:cs="宋体"/>
          <w:b/>
          <w:szCs w:val="21"/>
          <w:highlight w:val="none"/>
          <w:lang w:bidi="ar"/>
        </w:rPr>
      </w:r>
      <w:r>
        <w:rPr>
          <w:highlight w:val="none"/>
        </w:rPr>
      </w:r>
      <w:r/>
    </w:p>
    <w:p>
      <w:pPr>
        <w:pStyle w:val="886"/>
        <w:rPr>
          <w:rFonts w:ascii="宋体" w:hAnsi="宋体" w:cs="宋体"/>
          <w:b/>
          <w:szCs w:val="21"/>
          <w:highlight w:val="none"/>
        </w:rPr>
      </w:pPr>
      <w:r>
        <w:rPr>
          <w:rFonts w:ascii="宋体" w:hAnsi="宋体" w:cs="宋体"/>
          <w:b/>
          <w:szCs w:val="21"/>
          <w:highlight w:val="none"/>
          <w:lang w:bidi="ar"/>
        </w:rPr>
      </w:r>
      <w:r>
        <w:rPr>
          <w:highlight w:val="none"/>
        </w:rPr>
      </w:r>
      <w:r/>
    </w:p>
    <w:p>
      <w:pPr>
        <w:pStyle w:val="886"/>
        <w:rPr>
          <w:rFonts w:ascii="宋体" w:hAnsi="宋体" w:cs="宋体"/>
          <w:b/>
          <w:szCs w:val="21"/>
          <w:highlight w:val="none"/>
        </w:rPr>
      </w:pPr>
      <w:r>
        <w:rPr>
          <w:rFonts w:ascii="宋体" w:hAnsi="宋体" w:cs="宋体"/>
          <w:b/>
          <w:szCs w:val="21"/>
          <w:highlight w:val="none"/>
          <w:lang w:bidi="ar"/>
        </w:rPr>
      </w:r>
      <w:r>
        <w:rPr>
          <w:highlight w:val="none"/>
        </w:rPr>
      </w:r>
      <w:r/>
    </w:p>
    <w:p>
      <w:pPr>
        <w:rPr>
          <w:rFonts w:ascii="宋体" w:hAnsi="宋体"/>
          <w:b/>
          <w:szCs w:val="21"/>
          <w:highlight w:val="none"/>
        </w:rPr>
        <w:outlineLvl w:val="0"/>
      </w:pPr>
      <w:r>
        <w:rPr>
          <w:rFonts w:ascii="宋体" w:hAnsi="宋体"/>
          <w:b/>
          <w:szCs w:val="21"/>
          <w:highlight w:val="none"/>
        </w:rPr>
      </w:r>
      <w:r>
        <w:rPr>
          <w:highlight w:val="none"/>
        </w:rPr>
      </w:r>
      <w:r/>
    </w:p>
    <w:p>
      <w:pPr>
        <w:rPr>
          <w:rFonts w:ascii="宋体" w:hAnsi="宋体"/>
          <w:b/>
          <w:szCs w:val="21"/>
          <w:highlight w:val="none"/>
        </w:rPr>
        <w:outlineLvl w:val="0"/>
      </w:pPr>
      <w:r>
        <w:rPr>
          <w:rFonts w:ascii="宋体" w:hAnsi="宋体"/>
          <w:b/>
          <w:szCs w:val="21"/>
          <w:highlight w:val="none"/>
        </w:rPr>
      </w:r>
      <w:r>
        <w:rPr>
          <w:highlight w:val="none"/>
        </w:rPr>
      </w:r>
      <w:r/>
    </w:p>
    <w:p>
      <w:pPr>
        <w:rPr>
          <w:rFonts w:ascii="宋体" w:hAnsi="宋体" w:cs="宋体"/>
          <w:bCs/>
          <w:szCs w:val="21"/>
          <w:highlight w:val="none"/>
        </w:rPr>
        <w:outlineLvl w:val="1"/>
      </w:pPr>
      <w:r>
        <w:rPr>
          <w:rFonts w:hint="eastAsia" w:ascii="宋体" w:hAnsi="宋体"/>
          <w:b/>
          <w:szCs w:val="21"/>
          <w:highlight w:val="none"/>
        </w:rPr>
        <w:br w:type="page" w:clear="all"/>
      </w:r>
      <w:bookmarkStart w:id="648" w:name="_Toc3445"/>
      <w:r>
        <w:rPr>
          <w:rFonts w:hint="eastAsia" w:ascii="宋体" w:hAnsi="宋体"/>
          <w:b/>
          <w:szCs w:val="21"/>
          <w:highlight w:val="none"/>
        </w:rPr>
        <w:t xml:space="preserve">七、</w:t>
      </w:r>
      <w:bookmarkEnd w:id="648"/>
      <w:r>
        <w:rPr>
          <w:rFonts w:hint="eastAsia" w:ascii="宋体" w:hAnsi="宋体" w:cs="宋体"/>
          <w:b/>
          <w:szCs w:val="21"/>
          <w:highlight w:val="none"/>
          <w:lang w:val="zh-CN"/>
        </w:rPr>
        <w:t xml:space="preserve">第一章磋商邀请中规定的资格条件证明文件</w:t>
      </w:r>
      <w:r>
        <w:rPr>
          <w:highlight w:val="none"/>
        </w:rPr>
      </w:r>
      <w:r/>
    </w:p>
    <w:p>
      <w:pPr>
        <w:rPr>
          <w:rFonts w:ascii="宋体" w:hAnsi="宋体" w:cs="宋体"/>
          <w:bCs/>
          <w:szCs w:val="21"/>
          <w:highlight w:val="none"/>
        </w:rPr>
        <w:outlineLvl w:val="0"/>
      </w:pPr>
      <w:r>
        <w:rPr>
          <w:rFonts w:ascii="宋体" w:hAnsi="宋体" w:cs="宋体"/>
          <w:bCs/>
          <w:szCs w:val="21"/>
          <w:highlight w:val="none"/>
          <w:lang w:val="zh-CN"/>
        </w:rPr>
      </w:r>
      <w:r>
        <w:rPr>
          <w:highlight w:val="none"/>
        </w:rPr>
      </w:r>
      <w:r/>
    </w:p>
    <w:p>
      <w:pPr>
        <w:rPr>
          <w:rFonts w:ascii="宋体" w:hAnsi="宋体" w:cs="宋体"/>
          <w:bCs/>
          <w:szCs w:val="21"/>
          <w:highlight w:val="none"/>
        </w:rPr>
        <w:outlineLvl w:val="0"/>
      </w:pPr>
      <w:r>
        <w:rPr>
          <w:rFonts w:ascii="宋体" w:hAnsi="宋体" w:cs="宋体"/>
          <w:bCs/>
          <w:szCs w:val="21"/>
          <w:highlight w:val="none"/>
          <w:lang w:val="zh-CN"/>
        </w:rPr>
      </w:r>
      <w:r>
        <w:rPr>
          <w:highlight w:val="none"/>
        </w:rPr>
      </w:r>
      <w:r/>
    </w:p>
    <w:p>
      <w:pPr>
        <w:rPr>
          <w:rFonts w:ascii="宋体" w:hAnsi="宋体" w:cs="宋体"/>
          <w:bCs/>
          <w:szCs w:val="21"/>
          <w:highlight w:val="none"/>
        </w:rPr>
        <w:outlineLvl w:val="0"/>
      </w:pPr>
      <w:r>
        <w:rPr>
          <w:rFonts w:ascii="宋体" w:hAnsi="宋体" w:cs="宋体"/>
          <w:bCs/>
          <w:szCs w:val="21"/>
          <w:highlight w:val="none"/>
          <w:lang w:val="zh-CN"/>
        </w:rPr>
      </w:r>
      <w:r>
        <w:rPr>
          <w:highlight w:val="none"/>
        </w:rPr>
      </w:r>
      <w:r/>
    </w:p>
    <w:p>
      <w:pPr>
        <w:rPr>
          <w:rFonts w:ascii="宋体" w:hAnsi="宋体" w:cs="宋体"/>
          <w:bCs/>
          <w:szCs w:val="21"/>
          <w:highlight w:val="none"/>
        </w:rPr>
        <w:outlineLvl w:val="0"/>
      </w:pPr>
      <w:r>
        <w:rPr>
          <w:rFonts w:ascii="宋体" w:hAnsi="宋体" w:cs="宋体"/>
          <w:bCs/>
          <w:szCs w:val="21"/>
          <w:highlight w:val="none"/>
          <w:lang w:val="zh-CN"/>
        </w:rPr>
      </w:r>
      <w:r>
        <w:rPr>
          <w:highlight w:val="none"/>
        </w:rPr>
      </w:r>
      <w:r/>
    </w:p>
    <w:p>
      <w:pPr>
        <w:rPr>
          <w:rFonts w:ascii="宋体" w:hAnsi="宋体"/>
          <w:b/>
          <w:szCs w:val="21"/>
          <w:highlight w:val="none"/>
        </w:rPr>
        <w:outlineLvl w:val="0"/>
      </w:pPr>
      <w:r>
        <w:rPr>
          <w:rFonts w:ascii="宋体" w:hAnsi="宋体"/>
          <w:b/>
          <w:szCs w:val="21"/>
          <w:highlight w:val="none"/>
        </w:rPr>
      </w:r>
      <w:r>
        <w:rPr>
          <w:highlight w:val="none"/>
        </w:rPr>
      </w:r>
      <w:r/>
    </w:p>
    <w:p>
      <w:pPr>
        <w:rPr>
          <w:rFonts w:ascii="宋体" w:hAnsi="宋体"/>
          <w:b/>
          <w:szCs w:val="21"/>
          <w:highlight w:val="none"/>
        </w:rPr>
        <w:outlineLvl w:val="0"/>
      </w:pPr>
      <w:r>
        <w:rPr>
          <w:rFonts w:ascii="宋体" w:hAnsi="宋体"/>
          <w:b/>
          <w:szCs w:val="21"/>
          <w:highlight w:val="none"/>
        </w:rPr>
      </w:r>
      <w:r>
        <w:rPr>
          <w:highlight w:val="none"/>
        </w:rPr>
      </w:r>
      <w:r/>
    </w:p>
    <w:p>
      <w:pPr>
        <w:rPr>
          <w:rFonts w:ascii="宋体" w:hAnsi="宋体"/>
          <w:b/>
          <w:bCs/>
          <w:highlight w:val="none"/>
        </w:rPr>
        <w:outlineLvl w:val="1"/>
      </w:pPr>
      <w:r>
        <w:rPr>
          <w:highlight w:val="none"/>
        </w:rPr>
      </w:r>
      <w:r>
        <w:rPr>
          <w:highlight w:val="none"/>
        </w:rPr>
      </w:r>
    </w:p>
    <w:p>
      <w:pPr>
        <w:rPr>
          <w:highlight w:val="none"/>
        </w:rPr>
        <w:outlineLvl w:val="1"/>
      </w:pPr>
      <w:r>
        <w:rPr>
          <w:highlight w:val="none"/>
        </w:rPr>
      </w:r>
      <w:r>
        <w:rPr>
          <w:highlight w:val="none"/>
        </w:rPr>
      </w:r>
    </w:p>
    <w:p>
      <w:pPr>
        <w:rPr>
          <w:highlight w:val="none"/>
        </w:rPr>
        <w:outlineLvl w:val="1"/>
      </w:pPr>
      <w:r>
        <w:rPr>
          <w:highlight w:val="none"/>
        </w:rPr>
      </w:r>
      <w:r>
        <w:rPr>
          <w:highlight w:val="none"/>
        </w:rPr>
      </w:r>
    </w:p>
    <w:p>
      <w:pPr>
        <w:rPr>
          <w:highlight w:val="none"/>
        </w:rPr>
        <w:outlineLvl w:val="1"/>
      </w:pPr>
      <w:r>
        <w:rPr>
          <w:highlight w:val="none"/>
        </w:rPr>
      </w:r>
      <w:r>
        <w:rPr>
          <w:highlight w:val="none"/>
        </w:rPr>
      </w:r>
    </w:p>
    <w:p>
      <w:pPr>
        <w:rPr>
          <w:highlight w:val="none"/>
        </w:rPr>
        <w:outlineLvl w:val="1"/>
      </w:pPr>
      <w:r>
        <w:rPr>
          <w:highlight w:val="none"/>
        </w:rPr>
      </w:r>
      <w:r>
        <w:rPr>
          <w:highlight w:val="none"/>
        </w:rPr>
      </w:r>
    </w:p>
    <w:p>
      <w:pPr>
        <w:rPr>
          <w:highlight w:val="none"/>
        </w:rPr>
        <w:outlineLvl w:val="1"/>
      </w:pPr>
      <w:r>
        <w:rPr>
          <w:highlight w:val="none"/>
        </w:rPr>
      </w:r>
      <w:bookmarkStart w:id="649" w:name="_Toc11005"/>
      <w:r>
        <w:rPr>
          <w:rFonts w:hint="eastAsia" w:ascii="宋体" w:hAnsi="宋体" w:cs="宋体"/>
          <w:b/>
          <w:szCs w:val="21"/>
          <w:highlight w:val="none"/>
        </w:rPr>
        <w:t xml:space="preserve">八</w:t>
      </w:r>
      <w:r>
        <w:rPr>
          <w:rFonts w:hint="eastAsia" w:ascii="宋体" w:hAnsi="宋体"/>
          <w:b/>
          <w:szCs w:val="21"/>
          <w:highlight w:val="none"/>
        </w:rPr>
        <w:t xml:space="preserve">、无重大违法记录声明</w:t>
      </w:r>
      <w:bookmarkEnd w:id="649"/>
      <w:r>
        <w:rPr>
          <w:highlight w:val="none"/>
        </w:rPr>
      </w:r>
      <w:r/>
    </w:p>
    <w:p>
      <w:pPr>
        <w:jc w:val="left"/>
        <w:widowControl/>
        <w:rPr>
          <w:b/>
          <w:highlight w:val="none"/>
        </w:rPr>
      </w:pPr>
      <w:r>
        <w:rPr>
          <w:b/>
          <w:highlight w:val="none"/>
        </w:rPr>
      </w:r>
      <w:r>
        <w:rPr>
          <w:highlight w:val="none"/>
        </w:rPr>
      </w:r>
      <w:r/>
    </w:p>
    <w:p>
      <w:pPr>
        <w:jc w:val="center"/>
        <w:rPr>
          <w:rFonts w:ascii="黑体" w:eastAsia="黑体"/>
          <w:sz w:val="36"/>
          <w:szCs w:val="36"/>
          <w:highlight w:val="none"/>
        </w:rPr>
      </w:pPr>
      <w:r>
        <w:rPr>
          <w:rFonts w:ascii="黑体" w:eastAsia="黑体"/>
          <w:sz w:val="36"/>
          <w:szCs w:val="36"/>
          <w:highlight w:val="none"/>
        </w:rPr>
      </w:r>
      <w:r>
        <w:rPr>
          <w:highlight w:val="none"/>
        </w:rPr>
      </w:r>
      <w:r/>
    </w:p>
    <w:p>
      <w:pPr>
        <w:jc w:val="center"/>
        <w:rPr>
          <w:rFonts w:ascii="黑体" w:eastAsia="黑体"/>
          <w:sz w:val="36"/>
          <w:szCs w:val="36"/>
          <w:highlight w:val="none"/>
        </w:rPr>
      </w:pPr>
      <w:r>
        <w:rPr>
          <w:rFonts w:hint="eastAsia" w:ascii="黑体" w:eastAsia="黑体"/>
          <w:sz w:val="36"/>
          <w:szCs w:val="36"/>
          <w:highlight w:val="none"/>
        </w:rPr>
        <w:t xml:space="preserve">无重大违法记录声明</w:t>
      </w:r>
      <w:r>
        <w:rPr>
          <w:highlight w:val="none"/>
        </w:rPr>
      </w:r>
      <w:r/>
    </w:p>
    <w:p>
      <w:pPr>
        <w:jc w:val="left"/>
        <w:rPr>
          <w:highlight w:val="none"/>
        </w:rPr>
      </w:pPr>
      <w:r>
        <w:rPr>
          <w:highlight w:val="none"/>
        </w:rPr>
      </w:r>
      <w:r>
        <w:rPr>
          <w:highlight w:val="none"/>
        </w:rPr>
      </w:r>
      <w:r/>
    </w:p>
    <w:p>
      <w:pPr>
        <w:jc w:val="left"/>
        <w:rPr>
          <w:highlight w:val="none"/>
        </w:rPr>
      </w:pPr>
      <w:r>
        <w:rPr>
          <w:rFonts w:hint="eastAsia"/>
          <w:highlight w:val="none"/>
        </w:rPr>
        <w:t xml:space="preserve">南京市六合区人民政府马鞍街道办事处</w:t>
      </w:r>
      <w:r>
        <w:rPr>
          <w:rFonts w:hint="eastAsia"/>
          <w:highlight w:val="none"/>
        </w:rPr>
        <w:t xml:space="preserve">：</w:t>
      </w:r>
      <w:r>
        <w:rPr>
          <w:highlight w:val="none"/>
        </w:rPr>
      </w:r>
      <w:r/>
    </w:p>
    <w:p>
      <w:pPr>
        <w:jc w:val="left"/>
        <w:rPr>
          <w:highlight w:val="none"/>
        </w:rPr>
      </w:pPr>
      <w:r>
        <w:rPr>
          <w:highlight w:val="none"/>
        </w:rPr>
      </w:r>
      <w:r>
        <w:rPr>
          <w:highlight w:val="none"/>
        </w:rPr>
      </w:r>
      <w:r/>
    </w:p>
    <w:p>
      <w:pPr>
        <w:ind w:firstLine="420"/>
        <w:jc w:val="left"/>
        <w:spacing w:line="360" w:lineRule="auto"/>
        <w:rPr>
          <w:rFonts w:ascii="宋体" w:hAnsi="宋体" w:cs="宋体"/>
          <w:highlight w:val="none"/>
        </w:rPr>
      </w:pPr>
      <w:r>
        <w:rPr>
          <w:rFonts w:hint="eastAsia" w:ascii="宋体" w:hAnsi="宋体" w:cs="宋体"/>
          <w:highlight w:val="none"/>
        </w:rPr>
        <w:t xml:space="preserve">我单位（供应商名称）郑重声明：</w:t>
      </w:r>
      <w:r>
        <w:rPr>
          <w:highlight w:val="none"/>
        </w:rPr>
      </w:r>
      <w:r/>
    </w:p>
    <w:p>
      <w:pPr>
        <w:ind w:firstLine="420"/>
        <w:jc w:val="left"/>
        <w:spacing w:line="360" w:lineRule="auto"/>
        <w:rPr>
          <w:rFonts w:ascii="宋体" w:hAnsi="宋体" w:cs="宋体"/>
          <w:highlight w:val="none"/>
        </w:rPr>
      </w:pPr>
      <w:r>
        <w:rPr>
          <w:rFonts w:hint="eastAsia" w:ascii="宋体" w:hAnsi="宋体" w:cs="宋体"/>
          <w:highlight w:val="none"/>
        </w:rPr>
        <w:t xml:space="preserve">参加本次采购活动前3年内在经营活动中 </w:t>
      </w:r>
      <w:r>
        <w:rPr>
          <w:rFonts w:hint="eastAsia" w:ascii="宋体" w:hAnsi="宋体" w:cs="宋体"/>
          <w:highlight w:val="none"/>
          <w:u w:val="single"/>
        </w:rPr>
        <w:t xml:space="preserve">         （</w:t>
      </w:r>
      <w:r>
        <w:rPr>
          <w:rFonts w:hint="eastAsia" w:ascii="宋体" w:hAnsi="宋体" w:cs="宋体"/>
          <w:highlight w:val="none"/>
        </w:rPr>
        <w:t xml:space="preserve">在下划线上如实填写：有或没有）重大违法记录。</w:t>
      </w:r>
      <w:r>
        <w:rPr>
          <w:highlight w:val="none"/>
        </w:rPr>
      </w:r>
      <w:r/>
    </w:p>
    <w:p>
      <w:pPr>
        <w:ind w:firstLine="420"/>
        <w:jc w:val="left"/>
        <w:spacing w:line="360" w:lineRule="auto"/>
        <w:rPr>
          <w:rFonts w:ascii="宋体" w:hAnsi="宋体" w:cs="宋体"/>
          <w:highlight w:val="none"/>
        </w:rPr>
      </w:pPr>
      <w:r>
        <w:rPr>
          <w:rFonts w:hint="eastAsia" w:ascii="宋体" w:hAnsi="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rPr>
          <w:highlight w:val="none"/>
        </w:rPr>
      </w:r>
      <w:r/>
    </w:p>
    <w:p>
      <w:pPr>
        <w:ind w:firstLine="420"/>
        <w:jc w:val="left"/>
        <w:rPr>
          <w:highlight w:val="none"/>
        </w:rPr>
      </w:pPr>
      <w:r>
        <w:rPr>
          <w:highlight w:val="none"/>
        </w:rPr>
      </w:r>
      <w:r>
        <w:rPr>
          <w:highlight w:val="none"/>
        </w:rPr>
      </w:r>
      <w:r/>
    </w:p>
    <w:p>
      <w:pPr>
        <w:ind w:firstLine="420"/>
        <w:jc w:val="left"/>
        <w:rPr>
          <w:highlight w:val="none"/>
        </w:rPr>
      </w:pPr>
      <w:r>
        <w:rPr>
          <w:rFonts w:hint="eastAsia"/>
          <w:highlight w:val="none"/>
        </w:rPr>
        <w:t xml:space="preserve">声明人（公章）：</w:t>
      </w:r>
      <w:r>
        <w:rPr>
          <w:highlight w:val="none"/>
        </w:rPr>
      </w:r>
      <w:r/>
    </w:p>
    <w:p>
      <w:pPr>
        <w:jc w:val="left"/>
        <w:rPr>
          <w:highlight w:val="none"/>
        </w:rPr>
      </w:pPr>
      <w:r>
        <w:rPr>
          <w:highlight w:val="none"/>
        </w:rPr>
      </w:r>
      <w:r>
        <w:rPr>
          <w:highlight w:val="none"/>
        </w:rPr>
      </w:r>
      <w:r/>
    </w:p>
    <w:p>
      <w:pPr>
        <w:jc w:val="right"/>
        <w:rPr>
          <w:highlight w:val="none"/>
        </w:rPr>
      </w:pPr>
      <w:r>
        <w:rPr>
          <w:rFonts w:hint="eastAsia"/>
          <w:highlight w:val="none"/>
        </w:rPr>
        <w:t xml:space="preserve">年</w:t>
      </w:r>
      <w:r>
        <w:rPr>
          <w:rFonts w:hint="eastAsia"/>
          <w:highlight w:val="none"/>
        </w:rPr>
        <w:t xml:space="preserve">      </w:t>
      </w:r>
      <w:r>
        <w:rPr>
          <w:rFonts w:hint="eastAsia"/>
          <w:highlight w:val="none"/>
        </w:rPr>
        <w:t xml:space="preserve">月</w:t>
      </w:r>
      <w:r>
        <w:rPr>
          <w:rFonts w:hint="eastAsia"/>
          <w:highlight w:val="none"/>
        </w:rPr>
        <w:t xml:space="preserve">      </w:t>
      </w:r>
      <w:r>
        <w:rPr>
          <w:rFonts w:hint="eastAsia"/>
          <w:highlight w:val="none"/>
        </w:rPr>
        <w:t xml:space="preserve">日</w:t>
      </w:r>
      <w:r>
        <w:rPr>
          <w:highlight w:val="none"/>
        </w:rPr>
      </w:r>
      <w:r/>
    </w:p>
    <w:p>
      <w:pPr>
        <w:rPr>
          <w:highlight w:val="none"/>
        </w:rPr>
      </w:pPr>
      <w:r>
        <w:rPr>
          <w:highlight w:val="none"/>
        </w:rPr>
      </w:r>
      <w:r>
        <w:rPr>
          <w:highlight w:val="none"/>
        </w:rPr>
      </w:r>
      <w:r/>
    </w:p>
    <w:p>
      <w:pPr>
        <w:pStyle w:val="886"/>
        <w:rPr>
          <w:highlight w:val="none"/>
        </w:rPr>
      </w:pPr>
      <w:r>
        <w:rPr>
          <w:highlight w:val="none"/>
        </w:rPr>
      </w:r>
      <w:r>
        <w:rPr>
          <w:highlight w:val="none"/>
        </w:rPr>
      </w:r>
      <w:r/>
    </w:p>
    <w:p>
      <w:pPr>
        <w:spacing w:line="360" w:lineRule="auto"/>
        <w:rPr>
          <w:rFonts w:ascii="宋体" w:hAnsi="宋体" w:cs="宋体"/>
          <w:b/>
          <w:spacing w:val="15"/>
          <w:szCs w:val="21"/>
          <w:highlight w:val="none"/>
        </w:rPr>
        <w:outlineLvl w:val="1"/>
      </w:pPr>
      <w:r>
        <w:rPr>
          <w:rFonts w:ascii="宋体" w:hAnsi="宋体" w:cs="宋体"/>
          <w:b/>
          <w:spacing w:val="15"/>
          <w:szCs w:val="21"/>
          <w:highlight w:val="none"/>
        </w:rPr>
      </w:r>
      <w:r>
        <w:rPr>
          <w:highlight w:val="none"/>
        </w:rPr>
      </w:r>
      <w:r/>
    </w:p>
    <w:p>
      <w:pPr>
        <w:spacing w:line="360" w:lineRule="auto"/>
        <w:rPr>
          <w:rFonts w:ascii="宋体" w:hAnsi="宋体" w:cs="宋体"/>
          <w:b/>
          <w:spacing w:val="15"/>
          <w:szCs w:val="21"/>
          <w:highlight w:val="none"/>
        </w:rPr>
        <w:outlineLvl w:val="1"/>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1"/>
      </w:pPr>
      <w:r>
        <w:rPr>
          <w:highlight w:val="none"/>
        </w:rPr>
      </w:r>
      <w:bookmarkStart w:id="650" w:name="_Toc23310"/>
      <w:r>
        <w:rPr>
          <w:rFonts w:hint="eastAsia" w:ascii="宋体" w:hAnsi="宋体" w:cs="宋体"/>
          <w:b/>
          <w:spacing w:val="15"/>
          <w:szCs w:val="21"/>
          <w:highlight w:val="none"/>
        </w:rPr>
        <w:br w:type="page" w:clear="all"/>
      </w:r>
      <w:bookmarkStart w:id="651" w:name="_Toc24427"/>
      <w:r>
        <w:rPr>
          <w:rFonts w:hint="eastAsia" w:ascii="宋体" w:hAnsi="宋体" w:cs="宋体"/>
          <w:b/>
          <w:spacing w:val="15"/>
          <w:szCs w:val="21"/>
          <w:highlight w:val="none"/>
        </w:rPr>
        <w:t xml:space="preserve">九、</w:t>
      </w:r>
      <w:r>
        <w:rPr>
          <w:rFonts w:hint="eastAsia" w:ascii="宋体" w:hAnsi="宋体" w:cs="宋体"/>
          <w:b/>
          <w:bCs/>
          <w:spacing w:val="15"/>
          <w:szCs w:val="21"/>
          <w:highlight w:val="none"/>
        </w:rPr>
        <w:t xml:space="preserve">安全生产责任承诺书</w:t>
      </w:r>
      <w:bookmarkEnd w:id="650"/>
      <w:r>
        <w:rPr>
          <w:highlight w:val="none"/>
        </w:rPr>
      </w:r>
      <w:bookmarkEnd w:id="651"/>
      <w:r>
        <w:rPr>
          <w:highlight w:val="none"/>
        </w:rPr>
      </w:r>
      <w:r/>
    </w:p>
    <w:p>
      <w:pPr>
        <w:jc w:val="center"/>
        <w:rPr>
          <w:rFonts w:ascii="黑体" w:eastAsia="黑体"/>
          <w:sz w:val="36"/>
          <w:szCs w:val="36"/>
          <w:highlight w:val="none"/>
        </w:rPr>
      </w:pPr>
      <w:r>
        <w:rPr>
          <w:rFonts w:ascii="黑体" w:eastAsia="黑体"/>
          <w:sz w:val="36"/>
          <w:szCs w:val="36"/>
          <w:highlight w:val="none"/>
        </w:rPr>
      </w:r>
      <w:r>
        <w:rPr>
          <w:highlight w:val="none"/>
        </w:rPr>
      </w:r>
      <w:r/>
    </w:p>
    <w:p>
      <w:pPr>
        <w:jc w:val="center"/>
        <w:rPr>
          <w:rFonts w:ascii="宋体" w:hAnsi="宋体" w:cs="宋体"/>
          <w:b/>
          <w:bCs/>
          <w:spacing w:val="15"/>
          <w:szCs w:val="21"/>
          <w:highlight w:val="none"/>
        </w:rPr>
      </w:pPr>
      <w:r>
        <w:rPr>
          <w:rFonts w:hint="eastAsia" w:ascii="黑体" w:eastAsia="黑体"/>
          <w:sz w:val="36"/>
          <w:szCs w:val="36"/>
          <w:highlight w:val="none"/>
        </w:rPr>
        <w:t xml:space="preserve">安全生产责任承诺书</w:t>
      </w:r>
      <w:r>
        <w:rPr>
          <w:highlight w:val="none"/>
        </w:rPr>
      </w:r>
      <w:r/>
    </w:p>
    <w:p>
      <w:pPr>
        <w:jc w:val="center"/>
        <w:rPr>
          <w:rFonts w:ascii="宋体" w:hAnsi="宋体" w:cs="宋体"/>
          <w:b/>
          <w:bCs/>
          <w:spacing w:val="15"/>
          <w:szCs w:val="21"/>
          <w:highlight w:val="none"/>
        </w:rPr>
      </w:pPr>
      <w:r>
        <w:rPr>
          <w:rFonts w:ascii="宋体" w:hAnsi="宋体" w:cs="宋体"/>
          <w:b/>
          <w:bCs/>
          <w:spacing w:val="15"/>
          <w:szCs w:val="21"/>
          <w:highlight w:val="none"/>
        </w:rPr>
      </w:r>
      <w:r>
        <w:rPr>
          <w:highlight w:val="none"/>
        </w:rPr>
      </w:r>
      <w:r/>
    </w:p>
    <w:p>
      <w:pPr>
        <w:jc w:val="left"/>
        <w:rPr>
          <w:highlight w:val="none"/>
        </w:rPr>
      </w:pPr>
      <w:r>
        <w:rPr>
          <w:rFonts w:hint="eastAsia"/>
          <w:highlight w:val="none"/>
        </w:rPr>
        <w:t xml:space="preserve">南京市六合区人民政府马鞍街道办事处</w:t>
      </w:r>
      <w:r>
        <w:rPr>
          <w:rFonts w:hint="eastAsia"/>
          <w:highlight w:val="none"/>
        </w:rPr>
        <w:t xml:space="preserve">：</w:t>
      </w:r>
      <w:r>
        <w:rPr>
          <w:highlight w:val="none"/>
        </w:rPr>
      </w:r>
      <w:r/>
    </w:p>
    <w:p>
      <w:pPr>
        <w:jc w:val="left"/>
        <w:rPr>
          <w:highlight w:val="none"/>
        </w:rPr>
      </w:pPr>
      <w:r>
        <w:rPr>
          <w:highlight w:val="none"/>
        </w:rPr>
      </w:r>
      <w:r>
        <w:rPr>
          <w:highlight w:val="none"/>
        </w:rPr>
      </w:r>
      <w:r/>
    </w:p>
    <w:p>
      <w:pPr>
        <w:ind w:firstLine="480"/>
        <w:jc w:val="left"/>
        <w:rPr>
          <w:rFonts w:ascii="宋体" w:hAnsi="宋体" w:cs="宋体"/>
          <w:spacing w:val="15"/>
          <w:szCs w:val="21"/>
          <w:highlight w:val="none"/>
        </w:rPr>
      </w:pPr>
      <w:r>
        <w:rPr>
          <w:rFonts w:hint="eastAsia" w:ascii="宋体" w:hAnsi="宋体" w:cs="宋体"/>
          <w:spacing w:val="15"/>
          <w:szCs w:val="21"/>
          <w:highlight w:val="none"/>
        </w:rPr>
        <w:t xml:space="preserve">我公司现向贵单位承诺，我公司在</w:t>
      </w:r>
      <w:r>
        <w:rPr>
          <w:rFonts w:hint="eastAsia" w:ascii="宋体" w:hAnsi="宋体"/>
          <w:b/>
          <w:szCs w:val="21"/>
          <w:highlight w:val="none"/>
        </w:rPr>
        <w:t xml:space="preserve">项目名称：</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cs="宋体"/>
          <w:szCs w:val="21"/>
          <w:highlight w:val="none"/>
        </w:rPr>
        <w:t xml:space="preserve">实施</w:t>
      </w:r>
      <w:r>
        <w:rPr>
          <w:rFonts w:hint="eastAsia" w:ascii="宋体" w:hAnsi="宋体" w:cs="宋体"/>
          <w:spacing w:val="15"/>
          <w:szCs w:val="21"/>
          <w:highlight w:val="none"/>
        </w:rPr>
        <w:t xml:space="preserve">过程中，保证不发生重大人员伤亡事故，在此过程中所发生的一切工伤事故，或安全事故，均由我公司承担一切责任。</w:t>
      </w:r>
      <w:r>
        <w:rPr>
          <w:highlight w:val="none"/>
        </w:rPr>
      </w:r>
      <w:r/>
    </w:p>
    <w:p>
      <w:pPr>
        <w:ind w:firstLine="480"/>
        <w:jc w:val="left"/>
        <w:rPr>
          <w:rFonts w:ascii="宋体" w:hAnsi="宋体" w:cs="宋体"/>
          <w:spacing w:val="15"/>
          <w:szCs w:val="21"/>
          <w:highlight w:val="none"/>
        </w:rPr>
      </w:pPr>
      <w:r>
        <w:rPr>
          <w:rFonts w:ascii="宋体" w:hAnsi="宋体" w:cs="宋体"/>
          <w:spacing w:val="15"/>
          <w:szCs w:val="21"/>
          <w:highlight w:val="none"/>
        </w:rPr>
      </w:r>
      <w:r>
        <w:rPr>
          <w:highlight w:val="none"/>
        </w:rPr>
      </w:r>
      <w:r/>
    </w:p>
    <w:p>
      <w:pPr>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承诺单位（公章）：</w:t>
      </w:r>
      <w:r>
        <w:rPr>
          <w:highlight w:val="none"/>
        </w:rPr>
      </w:r>
      <w:r/>
    </w:p>
    <w:p>
      <w:pPr>
        <w:ind w:firstLine="480"/>
        <w:jc w:val="left"/>
        <w:rPr>
          <w:rFonts w:ascii="宋体" w:hAnsi="宋体"/>
          <w:spacing w:val="15"/>
          <w:szCs w:val="21"/>
          <w:highlight w:val="none"/>
        </w:rPr>
      </w:pPr>
      <w:r>
        <w:rPr>
          <w:rFonts w:ascii="宋体" w:hAnsi="宋体"/>
          <w:spacing w:val="15"/>
          <w:szCs w:val="21"/>
          <w:highlight w:val="none"/>
        </w:rPr>
      </w:r>
      <w:r>
        <w:rPr>
          <w:highlight w:val="none"/>
        </w:rPr>
      </w:r>
      <w:r/>
    </w:p>
    <w:p>
      <w:pPr>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法定代表人（签字或盖章）：</w:t>
      </w:r>
      <w:r>
        <w:rPr>
          <w:highlight w:val="none"/>
        </w:rPr>
      </w:r>
      <w:r/>
    </w:p>
    <w:p>
      <w:pPr>
        <w:ind w:firstLine="480"/>
        <w:jc w:val="left"/>
        <w:rPr>
          <w:rFonts w:ascii="宋体" w:hAnsi="宋体"/>
          <w:spacing w:val="15"/>
          <w:szCs w:val="21"/>
          <w:highlight w:val="none"/>
        </w:rPr>
      </w:pPr>
      <w:r>
        <w:rPr>
          <w:rFonts w:ascii="宋体" w:hAnsi="宋体"/>
          <w:spacing w:val="15"/>
          <w:szCs w:val="21"/>
          <w:highlight w:val="none"/>
        </w:rPr>
      </w:r>
      <w:r>
        <w:rPr>
          <w:highlight w:val="none"/>
        </w:rPr>
      </w:r>
      <w:r/>
    </w:p>
    <w:p>
      <w:pPr>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代理人（签字或盖章）：</w:t>
      </w:r>
      <w:r>
        <w:rPr>
          <w:highlight w:val="none"/>
        </w:rPr>
      </w:r>
      <w:r/>
    </w:p>
    <w:p>
      <w:pPr>
        <w:ind w:firstLine="480"/>
        <w:jc w:val="left"/>
        <w:rPr>
          <w:rFonts w:ascii="宋体" w:hAnsi="宋体"/>
          <w:spacing w:val="15"/>
          <w:szCs w:val="21"/>
          <w:highlight w:val="none"/>
        </w:rPr>
      </w:pPr>
      <w:r>
        <w:rPr>
          <w:rFonts w:ascii="宋体" w:hAnsi="宋体"/>
          <w:spacing w:val="15"/>
          <w:szCs w:val="21"/>
          <w:highlight w:val="none"/>
        </w:rPr>
      </w:r>
      <w:r>
        <w:rPr>
          <w:highlight w:val="none"/>
        </w:rPr>
      </w:r>
      <w:r/>
    </w:p>
    <w:p>
      <w:pPr>
        <w:ind w:firstLine="480"/>
        <w:spacing w:line="360" w:lineRule="auto"/>
        <w:rPr>
          <w:rFonts w:ascii="宋体" w:hAnsi="宋体" w:cs="宋体"/>
          <w:spacing w:val="15"/>
          <w:szCs w:val="21"/>
          <w:highlight w:val="none"/>
        </w:rPr>
        <w:outlineLvl w:val="1"/>
      </w:pPr>
      <w:r>
        <w:rPr>
          <w:highlight w:val="none"/>
        </w:rPr>
      </w:r>
      <w:bookmarkStart w:id="652" w:name="_Toc22403"/>
      <w:r>
        <w:rPr>
          <w:highlight w:val="none"/>
        </w:rPr>
      </w:r>
      <w:bookmarkStart w:id="653" w:name="_Toc26658"/>
      <w:r>
        <w:rPr>
          <w:rFonts w:hint="eastAsia" w:ascii="宋体" w:hAnsi="宋体" w:cs="宋体"/>
          <w:spacing w:val="15"/>
          <w:szCs w:val="21"/>
          <w:highlight w:val="none"/>
        </w:rPr>
        <w:t xml:space="preserve">日期：</w:t>
      </w:r>
      <w:bookmarkEnd w:id="652"/>
      <w:r>
        <w:rPr>
          <w:highlight w:val="none"/>
        </w:rPr>
      </w:r>
      <w:bookmarkEnd w:id="653"/>
      <w:r>
        <w:rPr>
          <w:highlight w:val="none"/>
        </w:rPr>
      </w:r>
      <w:r/>
    </w:p>
    <w:p>
      <w:pPr>
        <w:ind w:firstLine="480"/>
        <w:spacing w:line="360" w:lineRule="auto"/>
        <w:rPr>
          <w:rFonts w:ascii="宋体" w:hAnsi="宋体" w:cs="宋体"/>
          <w:spacing w:val="15"/>
          <w:szCs w:val="21"/>
          <w:highlight w:val="none"/>
        </w:rPr>
        <w:outlineLvl w:val="1"/>
      </w:pPr>
      <w:r>
        <w:rPr>
          <w:rFonts w:ascii="宋体" w:hAnsi="宋体" w:cs="宋体"/>
          <w:spacing w:val="15"/>
          <w:szCs w:val="21"/>
          <w:highlight w:val="none"/>
        </w:rPr>
      </w:r>
      <w:r>
        <w:rPr>
          <w:highlight w:val="none"/>
        </w:rPr>
      </w:r>
      <w:r/>
    </w:p>
    <w:p>
      <w:pPr>
        <w:ind w:firstLine="480"/>
        <w:spacing w:line="360" w:lineRule="auto"/>
        <w:rPr>
          <w:rFonts w:ascii="宋体" w:hAnsi="宋体" w:cs="宋体"/>
          <w:spacing w:val="15"/>
          <w:szCs w:val="21"/>
          <w:highlight w:val="none"/>
        </w:rPr>
        <w:outlineLvl w:val="1"/>
      </w:pPr>
      <w:r>
        <w:rPr>
          <w:rFonts w:ascii="宋体" w:hAnsi="宋体" w:cs="宋体"/>
          <w:spacing w:val="15"/>
          <w:szCs w:val="21"/>
          <w:highlight w:val="none"/>
        </w:rPr>
      </w:r>
      <w:r>
        <w:rPr>
          <w:highlight w:val="none"/>
        </w:rPr>
      </w:r>
      <w:r/>
    </w:p>
    <w:p>
      <w:pPr>
        <w:ind w:firstLine="480"/>
        <w:spacing w:line="360" w:lineRule="auto"/>
        <w:rPr>
          <w:rFonts w:ascii="宋体" w:hAnsi="宋体" w:cs="宋体"/>
          <w:spacing w:val="15"/>
          <w:szCs w:val="21"/>
          <w:highlight w:val="none"/>
        </w:rPr>
        <w:outlineLvl w:val="1"/>
      </w:pPr>
      <w:r>
        <w:rPr>
          <w:rFonts w:ascii="宋体" w:hAnsi="宋体" w:cs="宋体"/>
          <w:spacing w:val="15"/>
          <w:szCs w:val="21"/>
          <w:highlight w:val="none"/>
        </w:rPr>
      </w:r>
      <w:r>
        <w:rPr>
          <w:highlight w:val="none"/>
        </w:rPr>
      </w:r>
      <w:r/>
    </w:p>
    <w:p>
      <w:pPr>
        <w:spacing w:line="360" w:lineRule="auto"/>
        <w:rPr>
          <w:rFonts w:hint="eastAsia" w:ascii="宋体" w:hAnsi="宋体" w:cs="宋体"/>
          <w:b/>
          <w:bCs/>
          <w:spacing w:val="15"/>
          <w:highlight w:val="none"/>
        </w:rPr>
        <w:outlineLvl w:val="1"/>
      </w:pPr>
      <w:r>
        <w:rPr>
          <w:highlight w:val="none"/>
        </w:rPr>
      </w:r>
      <w:r>
        <w:rPr>
          <w:highlight w:val="none"/>
        </w:rPr>
      </w:r>
    </w:p>
    <w:p>
      <w:pPr>
        <w:spacing w:line="360" w:lineRule="auto"/>
        <w:rPr>
          <w:highlight w:val="none"/>
        </w:rPr>
        <w:outlineLvl w:val="1"/>
      </w:pPr>
      <w:r>
        <w:rPr>
          <w:highlight w:val="none"/>
        </w:rPr>
      </w:r>
      <w:r>
        <w:rPr>
          <w:highlight w:val="none"/>
        </w:rPr>
      </w:r>
    </w:p>
    <w:p>
      <w:pPr>
        <w:spacing w:line="360" w:lineRule="auto"/>
        <w:rPr>
          <w:highlight w:val="none"/>
        </w:rPr>
        <w:outlineLvl w:val="1"/>
      </w:pPr>
      <w:r>
        <w:rPr>
          <w:highlight w:val="none"/>
        </w:rPr>
      </w:r>
      <w:r>
        <w:rPr>
          <w:highlight w:val="none"/>
        </w:rPr>
      </w:r>
    </w:p>
    <w:p>
      <w:pPr>
        <w:spacing w:line="360" w:lineRule="auto"/>
        <w:rPr>
          <w:highlight w:val="none"/>
        </w:rPr>
        <w:outlineLvl w:val="1"/>
      </w:pPr>
      <w:r>
        <w:rPr>
          <w:highlight w:val="none"/>
        </w:rPr>
      </w:r>
      <w:bookmarkStart w:id="654" w:name="_Toc14786"/>
      <w:r>
        <w:rPr>
          <w:rFonts w:hint="eastAsia" w:ascii="宋体" w:hAnsi="宋体" w:cs="宋体"/>
          <w:b/>
          <w:spacing w:val="15"/>
          <w:szCs w:val="21"/>
          <w:highlight w:val="none"/>
        </w:rPr>
        <w:t xml:space="preserve">十、具备履行合同所必需的设备和专业技术能力的声明</w:t>
      </w:r>
      <w:bookmarkEnd w:id="654"/>
      <w:r/>
      <w:r/>
      <w:r>
        <w:rPr>
          <w:rFonts w:hint="eastAsia" w:ascii="宋体" w:hAnsi="宋体" w:cs="宋体"/>
          <w:b/>
          <w:bCs/>
          <w:spacing w:val="15"/>
          <w:highlight w:val="none"/>
        </w:rPr>
      </w:r>
    </w:p>
    <w:p>
      <w:pPr>
        <w:jc w:val="center"/>
        <w:rPr>
          <w:rFonts w:ascii="黑体" w:eastAsia="黑体"/>
          <w:sz w:val="36"/>
          <w:szCs w:val="36"/>
          <w:highlight w:val="none"/>
        </w:rPr>
      </w:pPr>
      <w:r>
        <w:rPr>
          <w:rFonts w:ascii="黑体" w:eastAsia="黑体"/>
          <w:sz w:val="36"/>
          <w:szCs w:val="36"/>
          <w:highlight w:val="none"/>
        </w:rPr>
      </w:r>
      <w:r>
        <w:rPr>
          <w:highlight w:val="none"/>
        </w:rPr>
      </w:r>
      <w:r/>
    </w:p>
    <w:p>
      <w:pPr>
        <w:jc w:val="center"/>
        <w:rPr>
          <w:rFonts w:ascii="黑体" w:eastAsia="黑体"/>
          <w:sz w:val="36"/>
          <w:szCs w:val="36"/>
          <w:highlight w:val="none"/>
        </w:rPr>
      </w:pPr>
      <w:r>
        <w:rPr>
          <w:rFonts w:hint="eastAsia" w:ascii="黑体" w:eastAsia="黑体"/>
          <w:sz w:val="36"/>
          <w:szCs w:val="36"/>
          <w:highlight w:val="none"/>
        </w:rPr>
        <w:t xml:space="preserve">具备履行合同所必需的设备和专业技术能力的声明</w:t>
      </w:r>
      <w:r>
        <w:rPr>
          <w:highlight w:val="none"/>
        </w:rPr>
      </w:r>
      <w:r/>
    </w:p>
    <w:p>
      <w:pPr>
        <w:jc w:val="left"/>
        <w:rPr>
          <w:highlight w:val="none"/>
        </w:rPr>
      </w:pPr>
      <w:r>
        <w:rPr>
          <w:highlight w:val="none"/>
        </w:rPr>
      </w:r>
      <w:r>
        <w:rPr>
          <w:highlight w:val="none"/>
        </w:rPr>
      </w:r>
      <w:r/>
    </w:p>
    <w:p>
      <w:pPr>
        <w:jc w:val="left"/>
        <w:rPr>
          <w:highlight w:val="none"/>
        </w:rPr>
      </w:pPr>
      <w:r>
        <w:rPr>
          <w:rFonts w:hint="eastAsia"/>
          <w:highlight w:val="none"/>
        </w:rPr>
        <w:t xml:space="preserve">南京市六合区人民政府马鞍街道办事处</w:t>
      </w:r>
      <w:r>
        <w:rPr>
          <w:rFonts w:hint="eastAsia"/>
          <w:highlight w:val="none"/>
        </w:rPr>
        <w:t xml:space="preserve">：</w:t>
      </w:r>
      <w:r>
        <w:rPr>
          <w:highlight w:val="none"/>
        </w:rPr>
      </w:r>
      <w:r/>
    </w:p>
    <w:p>
      <w:pPr>
        <w:spacing w:line="360" w:lineRule="auto"/>
        <w:rPr>
          <w:rFonts w:ascii="宋体" w:hAnsi="宋体"/>
          <w:szCs w:val="21"/>
          <w:highlight w:val="none"/>
        </w:rPr>
      </w:pPr>
      <w:r>
        <w:rPr>
          <w:rFonts w:ascii="宋体" w:hAnsi="宋体"/>
          <w:szCs w:val="21"/>
          <w:highlight w:val="none"/>
        </w:rPr>
      </w:r>
      <w:r>
        <w:rPr>
          <w:highlight w:val="none"/>
        </w:rPr>
      </w:r>
      <w:r/>
    </w:p>
    <w:p>
      <w:pPr>
        <w:ind w:firstLine="492"/>
        <w:spacing w:line="360" w:lineRule="auto"/>
        <w:rPr>
          <w:rFonts w:ascii="宋体" w:hAnsi="宋体"/>
          <w:szCs w:val="21"/>
          <w:highlight w:val="none"/>
        </w:rPr>
      </w:pPr>
      <w:r>
        <w:rPr>
          <w:rFonts w:hint="eastAsia" w:ascii="宋体" w:hAnsi="宋体"/>
          <w:szCs w:val="21"/>
          <w:highlight w:val="none"/>
        </w:rPr>
        <w:t xml:space="preserve">我单位 （供应商名称）郑重声明：我公司具备履行本项采购合同所必需的设备和专业技术能力，为履行本项采购合同我单位具备如下主要设备和主要专业技术能力：</w:t>
      </w:r>
      <w:r>
        <w:rPr>
          <w:highlight w:val="none"/>
        </w:rPr>
      </w:r>
      <w:r/>
    </w:p>
    <w:p>
      <w:pPr>
        <w:ind w:firstLine="492"/>
        <w:spacing w:line="360" w:lineRule="auto"/>
        <w:rPr>
          <w:rFonts w:ascii="宋体" w:hAnsi="宋体"/>
          <w:szCs w:val="21"/>
          <w:highlight w:val="none"/>
        </w:rPr>
      </w:pPr>
      <w:r>
        <w:rPr>
          <w:rFonts w:hint="eastAsia" w:ascii="宋体" w:hAnsi="宋体"/>
          <w:szCs w:val="21"/>
          <w:highlight w:val="none"/>
        </w:rPr>
        <w:t xml:space="preserve">主要设备有</w:t>
      </w:r>
      <w:r>
        <w:rPr>
          <w:rFonts w:hint="eastAsia" w:ascii="宋体" w:hAnsi="宋体"/>
          <w:szCs w:val="21"/>
          <w:highlight w:val="none"/>
          <w:u w:val="single"/>
        </w:rPr>
        <w:t xml:space="preserve">：                  </w:t>
      </w:r>
      <w:r>
        <w:rPr>
          <w:rFonts w:hint="eastAsia" w:ascii="宋体" w:hAnsi="宋体"/>
          <w:szCs w:val="21"/>
          <w:highlight w:val="none"/>
        </w:rPr>
        <w:t xml:space="preserve">。</w:t>
      </w:r>
      <w:r>
        <w:rPr>
          <w:highlight w:val="none"/>
        </w:rPr>
      </w:r>
      <w:r/>
    </w:p>
    <w:p>
      <w:pPr>
        <w:ind w:firstLine="492"/>
        <w:spacing w:line="360" w:lineRule="auto"/>
        <w:rPr>
          <w:rFonts w:ascii="宋体" w:hAnsi="宋体"/>
          <w:szCs w:val="21"/>
          <w:highlight w:val="none"/>
        </w:rPr>
      </w:pPr>
      <w:r>
        <w:rPr>
          <w:rFonts w:hint="eastAsia" w:ascii="宋体" w:hAnsi="宋体"/>
          <w:szCs w:val="21"/>
          <w:highlight w:val="none"/>
        </w:rPr>
        <w:t xml:space="preserve">主要专业技术能力有</w:t>
      </w:r>
      <w:r>
        <w:rPr>
          <w:rFonts w:hint="eastAsia" w:ascii="宋体" w:hAnsi="宋体"/>
          <w:szCs w:val="21"/>
          <w:highlight w:val="none"/>
          <w:u w:val="single"/>
        </w:rPr>
        <w:t xml:space="preserve">：                  </w:t>
      </w:r>
      <w:r>
        <w:rPr>
          <w:rFonts w:hint="eastAsia" w:ascii="宋体" w:hAnsi="宋体"/>
          <w:szCs w:val="21"/>
          <w:highlight w:val="none"/>
        </w:rPr>
        <w:t xml:space="preserve">。</w:t>
      </w:r>
      <w:r>
        <w:rPr>
          <w:highlight w:val="none"/>
        </w:rPr>
      </w:r>
      <w:r/>
    </w:p>
    <w:p>
      <w:pPr>
        <w:ind w:firstLine="492"/>
        <w:spacing w:line="360" w:lineRule="auto"/>
        <w:rPr>
          <w:rFonts w:ascii="宋体" w:hAnsi="宋体"/>
          <w:szCs w:val="21"/>
          <w:highlight w:val="none"/>
        </w:rPr>
      </w:pPr>
      <w:r>
        <w:rPr>
          <w:rFonts w:hint="eastAsia" w:ascii="宋体" w:hAnsi="宋体"/>
          <w:szCs w:val="21"/>
          <w:highlight w:val="none"/>
        </w:rPr>
        <w:t xml:space="preserve">声明人（公章）：</w:t>
      </w:r>
      <w:r>
        <w:rPr>
          <w:highlight w:val="none"/>
        </w:rPr>
      </w:r>
      <w:r/>
    </w:p>
    <w:p>
      <w:pPr>
        <w:jc w:val="left"/>
        <w:rPr>
          <w:highlight w:val="none"/>
        </w:rPr>
      </w:pPr>
      <w:r>
        <w:rPr>
          <w:highlight w:val="none"/>
        </w:rPr>
      </w:r>
      <w:r>
        <w:rPr>
          <w:highlight w:val="none"/>
        </w:rPr>
      </w:r>
      <w:r/>
    </w:p>
    <w:p>
      <w:pPr>
        <w:jc w:val="right"/>
        <w:rPr>
          <w:highlight w:val="none"/>
        </w:rPr>
      </w:pPr>
      <w:r>
        <w:rPr>
          <w:rFonts w:hint="eastAsia"/>
          <w:highlight w:val="none"/>
        </w:rPr>
        <w:t xml:space="preserve">年</w:t>
      </w:r>
      <w:r>
        <w:rPr>
          <w:rFonts w:hint="eastAsia"/>
          <w:highlight w:val="none"/>
        </w:rPr>
        <w:t xml:space="preserve">      </w:t>
      </w:r>
      <w:r>
        <w:rPr>
          <w:rFonts w:hint="eastAsia"/>
          <w:highlight w:val="none"/>
        </w:rPr>
        <w:t xml:space="preserve">月</w:t>
      </w:r>
      <w:r>
        <w:rPr>
          <w:rFonts w:hint="eastAsia"/>
          <w:highlight w:val="none"/>
        </w:rPr>
        <w:t xml:space="preserve">      </w:t>
      </w:r>
      <w:r>
        <w:rPr>
          <w:rFonts w:hint="eastAsia"/>
          <w:highlight w:val="none"/>
        </w:rPr>
        <w:t xml:space="preserve">日</w:t>
      </w:r>
      <w:r>
        <w:rPr>
          <w:highlight w:val="none"/>
        </w:rPr>
      </w:r>
      <w:r/>
    </w:p>
    <w:p>
      <w:pPr>
        <w:jc w:val="left"/>
        <w:rPr>
          <w:highlight w:val="none"/>
        </w:rPr>
      </w:pPr>
      <w:r>
        <w:rPr>
          <w:highlight w:val="none"/>
        </w:rPr>
      </w:r>
      <w:r>
        <w:rPr>
          <w:highlight w:val="none"/>
        </w:rPr>
      </w:r>
      <w:r/>
    </w:p>
    <w:p>
      <w:pPr>
        <w:ind w:right="1512"/>
        <w:jc w:val="right"/>
        <w:spacing w:before="1" w:after="200"/>
        <w:rPr>
          <w:highlight w:val="none"/>
        </w:rPr>
        <w:outlineLvl w:val="0"/>
      </w:pPr>
      <w:r>
        <w:rPr>
          <w:highlight w:val="none"/>
        </w:rPr>
      </w:r>
      <w:r>
        <w:rPr>
          <w:highlight w:val="none"/>
        </w:rPr>
      </w:r>
      <w:r/>
    </w:p>
    <w:p>
      <w:pPr>
        <w:spacing w:line="85" w:lineRule="atLeast"/>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r>
      <w:r>
        <w:rPr>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br w:type="page" w:clear="all"/>
      </w:r>
      <w:bookmarkStart w:id="655" w:name="_Toc21344"/>
      <w:r>
        <w:rPr>
          <w:rFonts w:hint="eastAsia" w:ascii="宋体" w:hAnsi="宋体" w:cs="宋体"/>
          <w:b/>
          <w:color w:val="000000"/>
          <w:szCs w:val="21"/>
          <w:highlight w:val="none"/>
        </w:rPr>
        <w:t xml:space="preserve">十</w:t>
      </w:r>
      <w:r>
        <w:rPr>
          <w:rFonts w:hint="eastAsia" w:ascii="宋体" w:hAnsi="宋体" w:cs="宋体"/>
          <w:b/>
          <w:color w:val="000000"/>
          <w:spacing w:val="15"/>
          <w:szCs w:val="21"/>
          <w:highlight w:val="none"/>
        </w:rPr>
        <w:t xml:space="preserve">一</w:t>
      </w:r>
      <w:r>
        <w:rPr>
          <w:rFonts w:ascii="宋体" w:hAnsi="宋体" w:cs="宋体"/>
          <w:b/>
          <w:color w:val="000000"/>
          <w:szCs w:val="21"/>
          <w:highlight w:val="none"/>
        </w:rPr>
        <w:t xml:space="preserve">、中小企业声明函</w:t>
      </w:r>
      <w:bookmarkEnd w:id="655"/>
      <w:r>
        <w:rPr>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中小企业声明函</w:t>
      </w:r>
      <w:r>
        <w:rPr>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本公司（联合体）郑重声明，根据《政府采购促进中小企业发展管理办法》（财库﹝2020﹞46 号）的规定，本公司（联合体）参加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（单位名称）的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（项目名称）采购活动，工程的施工单位全部为符合政策要求的中小企业。相关企业（含联合体中的中小企业、签订分包意向协议的中小企业）的具体情况如下： </w:t>
      </w:r>
      <w:r>
        <w:rPr>
          <w:highlight w:val="none"/>
        </w:rPr>
      </w:r>
      <w:r/>
    </w:p>
    <w:p>
      <w:pPr>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1.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（标的名称），属于</w:t>
      </w:r>
      <w:r>
        <w:rPr>
          <w:rFonts w:ascii="宋体" w:hAnsi="宋体"/>
          <w:b/>
          <w:szCs w:val="21"/>
          <w:highlight w:val="none"/>
          <w:u w:val="single"/>
        </w:rPr>
        <w:t xml:space="preserve">      </w:t>
      </w:r>
      <w:r>
        <w:rPr>
          <w:rFonts w:ascii="宋体" w:hAnsi="宋体" w:cs="宋体"/>
          <w:color w:val="000000"/>
          <w:spacing w:val="15"/>
          <w:szCs w:val="21"/>
          <w:highlight w:val="none"/>
        </w:rPr>
        <w:t xml:space="preserve">（采购文件中明确的所属行业）；承建（承接）企业为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（企业名称），从业人员</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人，营业收入为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rPr>
        <w:t xml:space="preserve">万元</w:t>
      </w:r>
      <w:r>
        <w:rPr>
          <w:rFonts w:ascii="宋体" w:hAnsi="宋体" w:cs="宋体"/>
          <w:color w:val="000000"/>
          <w:spacing w:val="15"/>
          <w:szCs w:val="21"/>
          <w:highlight w:val="none"/>
        </w:rPr>
        <w:t xml:space="preserve">，资产总额为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rPr>
        <w:t xml:space="preserve">万元</w:t>
      </w:r>
      <w:r>
        <w:rPr>
          <w:rFonts w:ascii="宋体" w:hAnsi="宋体" w:cs="宋体"/>
          <w:color w:val="000000"/>
          <w:spacing w:val="15"/>
          <w:szCs w:val="21"/>
          <w:highlight w:val="none"/>
        </w:rPr>
        <w:t xml:space="preserve"> ，属于</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（中型企业、小型企业、微型企业）； </w:t>
      </w:r>
      <w:r>
        <w:rPr>
          <w:highlight w:val="none"/>
        </w:rPr>
      </w:r>
      <w:r/>
    </w:p>
    <w:p>
      <w:pPr>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r>
      <w:r>
        <w:rPr>
          <w:highlight w:val="none"/>
        </w:rPr>
      </w:r>
      <w:r/>
    </w:p>
    <w:p>
      <w:pPr>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highlight w:val="none"/>
        </w:rPr>
      </w:r>
      <w:r/>
    </w:p>
    <w:p>
      <w:pPr>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以上企业，不属于大企业的分支机构，不存在控股股东为大企业的情形，也不存在与大企业的负责人为同一人的情形。 </w:t>
      </w: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本企业对上述声明内容的真实性负责。如有虚假，将依法承担相应责任。</w:t>
      </w:r>
      <w:r>
        <w:rPr>
          <w:highlight w:val="none"/>
        </w:rPr>
      </w:r>
      <w:r/>
    </w:p>
    <w:p>
      <w:pPr>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r>
      <w:r>
        <w:rPr>
          <w:highlight w:val="none"/>
        </w:rPr>
      </w:r>
      <w:r/>
    </w:p>
    <w:p>
      <w:pPr>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（注:1.</w:t>
      </w:r>
      <w:r>
        <w:rPr>
          <w:rFonts w:ascii="宋体" w:hAnsi="宋体" w:cs="宋体"/>
          <w:color w:val="000000"/>
          <w:spacing w:val="15"/>
          <w:szCs w:val="21"/>
          <w:highlight w:val="none"/>
        </w:rPr>
        <w:t xml:space="preserve">从业人员、营业收入、资产总额填报上一年度数据，无上一年度数据的新成立企业可不填报。</w:t>
      </w:r>
      <w:r>
        <w:rPr>
          <w:rFonts w:hint="eastAsia" w:ascii="宋体" w:hAnsi="宋体" w:cs="宋体"/>
          <w:color w:val="000000"/>
          <w:spacing w:val="15"/>
          <w:szCs w:val="21"/>
          <w:highlight w:val="none"/>
        </w:rPr>
        <w:t xml:space="preserve">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ascii="宋体" w:hAnsi="宋体" w:cs="宋体"/>
          <w:color w:val="000000"/>
          <w:spacing w:val="15"/>
          <w:szCs w:val="21"/>
          <w:highlight w:val="none"/>
        </w:rPr>
        <w:t xml:space="preserve"> </w:t>
      </w: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ind w:firstLine="4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企业名称（盖章）：</w:t>
      </w:r>
      <w:r>
        <w:rPr>
          <w:highlight w:val="none"/>
        </w:rPr>
      </w:r>
      <w:r/>
    </w:p>
    <w:p>
      <w:pPr>
        <w:ind w:firstLine="4560"/>
        <w:spacing w:line="85" w:lineRule="atLeast"/>
        <w:rPr>
          <w:rFonts w:ascii="宋体" w:hAnsi="宋体" w:cs="宋体"/>
          <w:color w:val="000000"/>
          <w:spacing w:val="15"/>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日 期：</w:t>
      </w:r>
      <w:r>
        <w:rPr>
          <w:highlight w:val="none"/>
        </w:rPr>
      </w:r>
      <w:r/>
    </w:p>
    <w:p>
      <w:pPr>
        <w:pStyle w:val="900"/>
        <w:rPr>
          <w:rFonts w:cs="宋体"/>
          <w:color w:val="000000"/>
          <w:spacing w:val="15"/>
          <w:sz w:val="22"/>
          <w:highlight w:val="none"/>
        </w:rPr>
      </w:pPr>
      <w:r>
        <w:rPr>
          <w:rFonts w:cs="宋体"/>
          <w:color w:val="000000"/>
          <w:spacing w:val="15"/>
          <w:sz w:val="22"/>
          <w:highlight w:val="none"/>
        </w:rPr>
      </w:r>
      <w:r>
        <w:rPr>
          <w:highlight w:val="none"/>
        </w:rPr>
      </w:r>
      <w:r/>
    </w:p>
    <w:p>
      <w:pPr>
        <w:spacing w:line="85" w:lineRule="atLeast"/>
        <w:rPr>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highlight w:val="none"/>
        </w:rPr>
        <mc:AlternateContent>
          <mc:Choice Requires="wpg">
            <w:drawing>
              <wp:inline xmlns:wp="http://schemas.openxmlformats.org/drawingml/2006/wordprocessingDrawing" distT="0" distB="0" distL="0" distR="0">
                <wp:extent cx="6199505" cy="3593960"/>
                <wp:effectExtent l="0" t="0" r="0" b="0"/>
                <wp:docPr id="1"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3387" t="7433" r="2022" b="2114"/>
                        <a:stretch/>
                      </pic:blipFill>
                      <pic:spPr bwMode="auto">
                        <a:xfrm>
                          <a:off x="0" y="0"/>
                          <a:ext cx="6199505" cy="3593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8.1pt;height:283.0pt;mso-wrap-distance-left:0.0pt;mso-wrap-distance-top:0.0pt;mso-wrap-distance-right:0.0pt;mso-wrap-distance-bottom:0.0pt;" stroked="f">
                <v:path textboxrect="0,0,0,0"/>
                <v:imagedata r:id="rId12" o:title=""/>
              </v:shape>
            </w:pict>
          </mc:Fallback>
        </mc:AlternateContent>
      </w:r>
      <w:r>
        <w:rPr>
          <w:rFonts w:ascii="宋体" w:hAnsi="宋体" w:cs="宋体"/>
          <w:b/>
          <w:color w:val="000000"/>
          <w:spacing w:val="15"/>
          <w:szCs w:val="21"/>
          <w:highlight w:val="none"/>
        </w:rPr>
        <w:br w:type="page" w:clear="all"/>
      </w:r>
      <w:bookmarkStart w:id="656" w:name="_Toc9640"/>
      <w:r>
        <w:rPr>
          <w:rFonts w:hint="eastAsia" w:ascii="宋体" w:hAnsi="宋体" w:cs="宋体"/>
          <w:b/>
          <w:color w:val="000000"/>
          <w:spacing w:val="15"/>
          <w:szCs w:val="21"/>
          <w:highlight w:val="none"/>
        </w:rPr>
        <w:t xml:space="preserve">十二</w:t>
      </w:r>
      <w:r>
        <w:rPr>
          <w:rFonts w:ascii="宋体" w:hAnsi="宋体" w:cs="宋体"/>
          <w:b/>
          <w:color w:val="000000"/>
          <w:spacing w:val="15"/>
          <w:szCs w:val="21"/>
          <w:highlight w:val="none"/>
        </w:rPr>
        <w:t xml:space="preserve">、残疾人福利性单位声明函</w:t>
      </w:r>
      <w:r>
        <w:rPr>
          <w:rFonts w:hint="eastAsia" w:ascii="宋体" w:hAnsi="宋体" w:cs="宋体"/>
          <w:b/>
          <w:color w:val="000000"/>
          <w:spacing w:val="15"/>
          <w:szCs w:val="21"/>
          <w:highlight w:val="none"/>
        </w:rPr>
        <w:t xml:space="preserve">（如有，无则不提供此项）</w:t>
      </w:r>
      <w:bookmarkEnd w:id="656"/>
      <w:r>
        <w:rPr>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残疾人福利性单位声明函</w:t>
      </w:r>
      <w:r>
        <w:rPr>
          <w:highlight w:val="none"/>
        </w:rPr>
      </w:r>
      <w:r/>
    </w:p>
    <w:p>
      <w:pPr>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本单位郑重声明，根据《财政部 民政部 中国残疾人联合会关于促进残疾人就业政府采 购政策的通知》（财库〔2017〕 141 号）的规定，本单位为符合条件的残疾人福利性单位，且本单位参加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项目采购活动提供本单位制造的货物（由本单位承担工程 /提供服务），或者提供其他残疾人福利性单位制造的货物（不包括使用非残疾人福利性单 位注册商标的货物）。 </w:t>
      </w:r>
      <w:r>
        <w:rPr>
          <w:highlight w:val="none"/>
        </w:rPr>
      </w:r>
      <w:r/>
    </w:p>
    <w:p>
      <w:pPr>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highlight w:val="none"/>
        </w:rPr>
        <w:t xml:space="preserve">本单位对上述声明的真实性负责。如有虚假，将依法承担相应责任</w:t>
      </w:r>
      <w:r>
        <w:rPr>
          <w:rFonts w:ascii="宋体" w:hAnsi="宋体" w:cs="宋体"/>
          <w:color w:val="000000"/>
          <w:spacing w:val="15"/>
          <w:szCs w:val="21"/>
          <w:highlight w:val="none"/>
        </w:rPr>
        <w:t xml:space="preserve">。 </w:t>
      </w:r>
      <w:r>
        <w:rPr>
          <w:highlight w:val="none"/>
        </w:rPr>
      </w:r>
      <w:r/>
    </w:p>
    <w:p>
      <w:pPr>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highlight w:val="none"/>
        </w:rPr>
      </w:r>
      <w:r/>
    </w:p>
    <w:p>
      <w:pPr>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highlight w:val="none"/>
        </w:rPr>
      </w:r>
      <w:r/>
    </w:p>
    <w:p>
      <w:pPr>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单位名称（盖章）： </w:t>
      </w:r>
      <w:r>
        <w:rPr>
          <w:highlight w:val="none"/>
        </w:rPr>
      </w:r>
      <w:r/>
    </w:p>
    <w:p>
      <w:pPr>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日 期：</w:t>
      </w:r>
      <w:r>
        <w:rPr>
          <w:highlight w:val="none"/>
        </w:rPr>
      </w:r>
      <w:r/>
    </w:p>
    <w:p>
      <w:pPr>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rPr>
          <w:highlight w:val="none"/>
        </w:rPr>
      </w:r>
      <w:bookmarkStart w:id="657" w:name="_Toc28893"/>
      <w:r>
        <w:rPr>
          <w:rFonts w:hint="eastAsia" w:ascii="宋体" w:hAnsi="宋体" w:cs="宋体"/>
          <w:b/>
          <w:color w:val="000000"/>
          <w:spacing w:val="15"/>
          <w:szCs w:val="21"/>
          <w:highlight w:val="none"/>
        </w:rPr>
        <w:t xml:space="preserve">十三、属于监狱企业的证明文件（如有，无则不提供此项）</w:t>
      </w:r>
      <w:bookmarkEnd w:id="657"/>
      <w:r>
        <w:rPr>
          <w:highlight w:val="none"/>
        </w:rPr>
      </w:r>
      <w:r/>
    </w:p>
    <w:p>
      <w:pPr>
        <w:jc w:val="cente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highlight w:val="none"/>
        </w:rPr>
      </w:r>
      <w:r/>
    </w:p>
    <w:p>
      <w:pPr>
        <w:jc w:val="center"/>
        <w:spacing w:line="85" w:lineRule="atLeast"/>
        <w:rPr>
          <w:rFonts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highlight w:val="none"/>
        </w:rPr>
        <w:t xml:space="preserve">属于监狱企业的证明文件</w:t>
      </w:r>
      <w:r>
        <w:rPr>
          <w:highlight w:val="none"/>
        </w:rPr>
      </w:r>
      <w:r/>
    </w:p>
    <w:p>
      <w:pP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（提供由省级以上监狱管理局、戒毒管理局(含新疆生产建设兵团)出具的属于监狱企业的证 明文件）</w:t>
      </w:r>
      <w:r>
        <w:rPr>
          <w:highlight w:val="none"/>
        </w:rPr>
      </w:r>
      <w:r/>
    </w:p>
    <w:p>
      <w:pP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highlight w:val="none"/>
        </w:rPr>
      </w:r>
      <w:r/>
    </w:p>
    <w:p>
      <w:pPr>
        <w:spacing w:line="85" w:lineRule="atLeast"/>
        <w:rPr>
          <w:rFonts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r>
      <w:r>
        <w:rPr>
          <w:highlight w:val="none"/>
        </w:rPr>
      </w:r>
      <w:r/>
    </w:p>
    <w:p>
      <w:pPr>
        <w:spacing w:line="85" w:lineRule="atLeast"/>
        <w:rPr>
          <w:rFonts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r>
      <w:r>
        <w:rPr>
          <w:highlight w:val="none"/>
        </w:rPr>
      </w:r>
      <w:r/>
    </w:p>
    <w:p>
      <w:pPr>
        <w:spacing w:line="85" w:lineRule="atLeast"/>
        <w:rPr>
          <w:rFonts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r>
      <w:r>
        <w:rPr>
          <w:highlight w:val="none"/>
        </w:rPr>
      </w:r>
      <w:r/>
    </w:p>
    <w:p>
      <w:pP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rPr>
          <w:highlight w:val="none"/>
        </w:rPr>
      </w:r>
      <w:bookmarkStart w:id="658" w:name="_Toc10952"/>
      <w:r>
        <w:rPr>
          <w:rFonts w:hint="eastAsia" w:ascii="宋体" w:hAnsi="宋体" w:cs="宋体"/>
          <w:b/>
          <w:color w:val="000000"/>
          <w:spacing w:val="15"/>
          <w:szCs w:val="21"/>
          <w:highlight w:val="none"/>
        </w:rPr>
        <w:t xml:space="preserve">十四、节能产品认证文件（如有，无则不提供此项）</w:t>
      </w:r>
      <w:bookmarkEnd w:id="658"/>
      <w:r>
        <w:rPr>
          <w:highlight w:val="none"/>
        </w:rPr>
      </w:r>
      <w:r/>
    </w:p>
    <w:p>
      <w:pPr>
        <w:jc w:val="center"/>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r>
      <w:r>
        <w:rPr>
          <w:highlight w:val="none"/>
        </w:rPr>
      </w:r>
      <w:r/>
    </w:p>
    <w:p>
      <w:pPr>
        <w:jc w:val="cente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节能产品认证文件</w:t>
      </w:r>
      <w:r>
        <w:rPr>
          <w:highlight w:val="none"/>
        </w:rPr>
      </w:r>
      <w:r/>
    </w:p>
    <w:p>
      <w:pPr>
        <w:jc w:val="cente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（提供产品在《节能产品政府采购清单》中相应的页面）</w:t>
      </w:r>
      <w:r>
        <w:rPr>
          <w:highlight w:val="none"/>
        </w:rPr>
      </w:r>
      <w:r/>
    </w:p>
    <w:p>
      <w:pPr>
        <w:jc w:val="cente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highlight w:val="none"/>
        </w:rPr>
      </w:r>
      <w:r/>
    </w:p>
    <w:p>
      <w:pP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highlight w:val="none"/>
        </w:rPr>
      </w:r>
      <w:r/>
    </w:p>
    <w:p>
      <w:pPr>
        <w:rPr>
          <w:rFonts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r>
      <w:r>
        <w:rPr>
          <w:highlight w:val="none"/>
        </w:rPr>
      </w:r>
      <w:r/>
    </w:p>
    <w:p>
      <w:pPr>
        <w:rPr>
          <w:rFonts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r>
      <w:r>
        <w:rPr>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rPr>
          <w:highlight w:val="none"/>
        </w:rPr>
      </w:r>
      <w:bookmarkStart w:id="659" w:name="_Toc17753"/>
      <w:r>
        <w:rPr>
          <w:rFonts w:hint="eastAsia" w:ascii="宋体" w:hAnsi="宋体" w:cs="宋体"/>
          <w:b/>
          <w:color w:val="000000"/>
          <w:spacing w:val="15"/>
          <w:szCs w:val="21"/>
          <w:highlight w:val="none"/>
        </w:rPr>
        <w:t xml:space="preserve">十五、环境标志产品认证文件（如有，无则不提供此项）</w:t>
      </w:r>
      <w:bookmarkEnd w:id="659"/>
      <w:r>
        <w:rPr>
          <w:highlight w:val="none"/>
        </w:rPr>
      </w:r>
      <w:r/>
    </w:p>
    <w:p>
      <w:pP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highlight w:val="none"/>
        </w:rPr>
      </w:r>
      <w:r/>
    </w:p>
    <w:p>
      <w:pPr>
        <w:jc w:val="cente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环境标志产品认证文件</w:t>
      </w:r>
      <w:r>
        <w:rPr>
          <w:highlight w:val="none"/>
        </w:rPr>
      </w:r>
      <w:r/>
    </w:p>
    <w:p>
      <w:pPr>
        <w:jc w:val="cente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（提供产品在《环境标志产品政府采购清单》中相应的页面）</w:t>
      </w:r>
      <w:r>
        <w:rPr>
          <w:highlight w:val="none"/>
        </w:rPr>
      </w:r>
      <w:r/>
    </w:p>
    <w:p>
      <w:pP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highlight w:val="none"/>
        </w:rPr>
      </w:r>
      <w:r/>
    </w:p>
    <w:p>
      <w:pPr>
        <w:spacing w:line="85" w:lineRule="atLeast"/>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highlight w:val="none"/>
        </w:rPr>
      </w:r>
      <w:r/>
    </w:p>
    <w:p>
      <w:pPr>
        <w:spacing w:line="85" w:lineRule="atLeast"/>
        <w:rPr>
          <w:rFonts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r>
      <w:r>
        <w:rPr>
          <w:highlight w:val="none"/>
        </w:rPr>
      </w:r>
      <w:r/>
    </w:p>
    <w:p>
      <w:pPr>
        <w:spacing w:line="85" w:lineRule="atLeast"/>
        <w:rPr>
          <w:rFonts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r>
      <w:r>
        <w:rPr>
          <w:highlight w:val="none"/>
        </w:rPr>
      </w:r>
      <w:r/>
    </w:p>
    <w:p>
      <w:pPr>
        <w:ind w:right="1512"/>
        <w:jc w:val="center"/>
        <w:spacing w:before="1" w:after="200"/>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ind w:right="1512"/>
        <w:spacing w:before="1" w:after="200"/>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ind w:right="1512"/>
        <w:spacing w:before="1" w:after="200"/>
        <w:rPr>
          <w:rFonts w:ascii="宋体" w:hAnsi="宋体" w:cs="宋体"/>
          <w:b/>
          <w:bCs/>
          <w:highlight w:val="none"/>
        </w:rPr>
        <w:outlineLvl w:val="0"/>
      </w:pPr>
      <w:r>
        <w:rPr>
          <w:highlight w:val="none"/>
        </w:rPr>
      </w:r>
      <w:r>
        <w:rPr>
          <w:highlight w:val="none"/>
        </w:rPr>
      </w:r>
    </w:p>
    <w:p>
      <w:pPr>
        <w:ind w:right="1512"/>
        <w:spacing w:before="1" w:after="200"/>
        <w:rPr>
          <w:highlight w:val="none"/>
        </w:rPr>
        <w:outlineLvl w:val="0"/>
      </w:pPr>
      <w:r>
        <w:rPr>
          <w:highlight w:val="none"/>
        </w:rPr>
      </w:r>
      <w:r>
        <w:rPr>
          <w:highlight w:val="none"/>
        </w:rPr>
      </w:r>
    </w:p>
    <w:p>
      <w:pPr>
        <w:ind w:right="1512"/>
        <w:spacing w:before="1" w:after="200"/>
        <w:rPr>
          <w:highlight w:val="none"/>
        </w:rPr>
        <w:outlineLvl w:val="0"/>
      </w:pPr>
      <w:r>
        <w:rPr>
          <w:highlight w:val="none"/>
        </w:rPr>
      </w:r>
      <w:r>
        <w:rPr>
          <w:highlight w:val="none"/>
        </w:rPr>
      </w:r>
    </w:p>
    <w:p>
      <w:pPr>
        <w:ind w:right="1512"/>
        <w:spacing w:before="1" w:after="200"/>
        <w:rPr>
          <w:highlight w:val="none"/>
        </w:rPr>
        <w:outlineLvl w:val="0"/>
      </w:pPr>
      <w:r>
        <w:rPr>
          <w:highlight w:val="none"/>
        </w:rPr>
      </w:r>
      <w:bookmarkStart w:id="661" w:name="_Toc26638"/>
      <w:r>
        <w:rPr>
          <w:rFonts w:hint="eastAsia" w:ascii="宋体" w:hAnsi="宋体" w:cs="宋体"/>
          <w:b/>
          <w:spacing w:val="15"/>
          <w:szCs w:val="21"/>
          <w:highlight w:val="none"/>
        </w:rPr>
        <w:t xml:space="preserve">十</w:t>
      </w:r>
      <w:r>
        <w:rPr>
          <w:rFonts w:hint="eastAsia" w:ascii="宋体" w:hAnsi="宋体"/>
          <w:b/>
          <w:szCs w:val="21"/>
          <w:highlight w:val="none"/>
        </w:rPr>
        <w:t xml:space="preserve">六</w:t>
      </w:r>
      <w:r>
        <w:rPr>
          <w:rFonts w:hint="eastAsia" w:ascii="宋体" w:hAnsi="宋体"/>
          <w:b/>
          <w:szCs w:val="21"/>
          <w:highlight w:val="none"/>
        </w:rPr>
      </w:r>
      <w:r>
        <w:rPr>
          <w:rFonts w:hint="eastAsia" w:ascii="宋体" w:hAnsi="宋体" w:cs="宋体"/>
          <w:b/>
          <w:bCs/>
          <w:szCs w:val="21"/>
          <w:highlight w:val="none"/>
          <w:lang w:bidi="zh-CN"/>
        </w:rPr>
        <w:t xml:space="preserve">、南京市政府采购供应商信用记录表暨信用承诺书</w:t>
      </w:r>
      <w:bookmarkEnd w:id="661"/>
      <w:r>
        <w:rPr>
          <w:highlight w:val="none"/>
        </w:rPr>
      </w:r>
      <w:r/>
    </w:p>
    <w:p>
      <w:pPr>
        <w:spacing w:line="360" w:lineRule="auto"/>
        <w:rPr>
          <w:rFonts w:ascii="宋体" w:hAnsi="宋体" w:cs="宋体"/>
          <w:bCs/>
          <w:szCs w:val="21"/>
          <w:highlight w:val="none"/>
        </w:rPr>
      </w:pPr>
      <w:r>
        <w:rPr>
          <w:rFonts w:ascii="宋体" w:hAnsi="宋体" w:cs="宋体"/>
          <w:bCs/>
          <w:szCs w:val="21"/>
          <w:highlight w:val="none"/>
          <w:lang w:val="zh-CN" w:bidi="zh-CN"/>
        </w:rPr>
        <w:t xml:space="preserve">（直接填写无效，需至“南京政府采购供应商诚信档案管理系统”在线打印）</w:t>
      </w:r>
      <w:r>
        <w:rPr>
          <w:highlight w:val="none"/>
        </w:rPr>
      </w:r>
      <w:r/>
    </w:p>
    <w:p>
      <w:pPr>
        <w:spacing w:line="360" w:lineRule="auto"/>
        <w:rPr>
          <w:rFonts w:ascii="宋体" w:hAnsi="宋体" w:cs="宋体"/>
          <w:bCs/>
          <w:szCs w:val="21"/>
          <w:highlight w:val="none"/>
        </w:rPr>
      </w:pPr>
      <w:r>
        <w:rPr>
          <w:rFonts w:hint="eastAsia" w:ascii="宋体" w:hAnsi="宋体" w:cs="宋体"/>
          <w:bCs/>
          <w:szCs w:val="21"/>
          <w:highlight w:val="none"/>
          <w:lang w:bidi="zh-CN"/>
        </w:rPr>
        <w:t xml:space="preserve">说明：</w:t>
      </w:r>
      <w:r>
        <w:rPr>
          <w:rFonts w:hint="eastAsia" w:ascii="宋体" w:hAnsi="宋体" w:cs="宋体"/>
          <w:bCs/>
          <w:szCs w:val="21"/>
          <w:highlight w:val="none"/>
          <w:lang w:val="zh-CN" w:bidi="zh-CN"/>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rPr>
          <w:highlight w:val="none"/>
        </w:rPr>
      </w:r>
      <w:r/>
    </w:p>
    <w:p>
      <w:pPr>
        <w:spacing w:line="360" w:lineRule="auto"/>
        <w:rPr>
          <w:rFonts w:ascii="宋体" w:hAnsi="宋体" w:cs="宋体"/>
          <w:bCs/>
          <w:szCs w:val="21"/>
          <w:highlight w:val="none"/>
        </w:rPr>
      </w:pPr>
      <w:r>
        <w:rPr>
          <w:rFonts w:hint="eastAsia" w:ascii="宋体" w:hAnsi="宋体" w:cs="宋体"/>
          <w:bCs/>
          <w:szCs w:val="21"/>
          <w:highlight w:val="none"/>
          <w:lang w:val="zh-CN" w:bidi="zh-CN"/>
        </w:rPr>
        <w:t xml:space="preserve">（2）供应商必须在提交投标（响应）文件截止日2天前办理登记注册手续。供应商拟申请网上注册的，应当按以下程序进行：</w:t>
      </w:r>
      <w:r>
        <w:rPr>
          <w:highlight w:val="none"/>
        </w:rPr>
      </w:r>
      <w:r/>
    </w:p>
    <w:p>
      <w:pPr>
        <w:spacing w:line="360" w:lineRule="auto"/>
        <w:rPr>
          <w:rFonts w:ascii="宋体" w:hAnsi="宋体" w:cs="宋体"/>
          <w:bCs/>
          <w:szCs w:val="21"/>
          <w:highlight w:val="none"/>
        </w:rPr>
      </w:pPr>
      <w:r>
        <w:rPr>
          <w:rFonts w:hint="eastAsia" w:ascii="宋体" w:hAnsi="宋体" w:cs="宋体"/>
          <w:bCs/>
          <w:szCs w:val="21"/>
          <w:highlight w:val="none"/>
          <w:lang w:val="zh-CN" w:bidi="zh-CN"/>
        </w:rPr>
        <w:t xml:space="preserve">a.在“南京市政府采购供应商诚信档案管理系统”新用户注册界面，自行设置账号、登录密码，如实填写注册页信息，并进行信用承诺确认后，提交注册申请；</w:t>
      </w:r>
      <w:r>
        <w:rPr>
          <w:highlight w:val="none"/>
        </w:rPr>
      </w:r>
      <w:r/>
    </w:p>
    <w:p>
      <w:pPr>
        <w:spacing w:line="360" w:lineRule="auto"/>
        <w:rPr>
          <w:rFonts w:ascii="宋体" w:hAnsi="宋体" w:cs="宋体"/>
          <w:bCs/>
          <w:szCs w:val="21"/>
          <w:highlight w:val="none"/>
        </w:rPr>
      </w:pPr>
      <w:r>
        <w:rPr>
          <w:rFonts w:hint="eastAsia" w:ascii="宋体" w:hAnsi="宋体" w:cs="宋体"/>
          <w:bCs/>
          <w:szCs w:val="21"/>
          <w:highlight w:val="none"/>
          <w:lang w:val="zh-CN" w:bidi="zh-CN"/>
        </w:rPr>
        <w:t xml:space="preserve">b.系统审核后，供应商即可登录系统，进行《南京市政府采购供应商信用记录表暨信用承诺书》下载打印；</w:t>
      </w:r>
      <w:r>
        <w:rPr>
          <w:highlight w:val="none"/>
        </w:rPr>
      </w:r>
      <w:r/>
    </w:p>
    <w:p>
      <w:pPr>
        <w:spacing w:line="360" w:lineRule="auto"/>
        <w:rPr>
          <w:rFonts w:ascii="宋体" w:hAnsi="宋体" w:cs="宋体"/>
          <w:bCs/>
          <w:szCs w:val="21"/>
          <w:highlight w:val="none"/>
        </w:rPr>
      </w:pPr>
      <w:r>
        <w:rPr>
          <w:rFonts w:hint="eastAsia" w:ascii="宋体" w:hAnsi="宋体" w:cs="宋体"/>
          <w:bCs/>
          <w:szCs w:val="21"/>
          <w:highlight w:val="none"/>
          <w:lang w:val="zh-CN" w:bidi="zh-CN"/>
        </w:rPr>
        <w:t xml:space="preserve">c.南京市政府采购供应商诚信档案管理系统客服电话：025-52718366。供应商可就用户注册与打印事宜进行咨询。</w:t>
      </w:r>
      <w:r>
        <w:rPr>
          <w:highlight w:val="none"/>
        </w:rPr>
      </w:r>
      <w:r/>
    </w:p>
    <w:p>
      <w:pPr>
        <w:spacing w:line="360" w:lineRule="auto"/>
        <w:rPr>
          <w:rFonts w:ascii="宋体" w:hAnsi="宋体" w:cs="宋体"/>
          <w:bCs/>
          <w:szCs w:val="21"/>
          <w:highlight w:val="none"/>
        </w:rPr>
      </w:pPr>
      <w:r>
        <w:rPr>
          <w:rFonts w:hint="eastAsia" w:ascii="宋体" w:hAnsi="宋体" w:cs="宋体"/>
          <w:bCs/>
          <w:szCs w:val="21"/>
          <w:highlight w:val="none"/>
          <w:lang w:val="zh-CN" w:bidi="zh-CN"/>
        </w:rPr>
        <w:t xml:space="preserve">（3）供应商参加本次政府采购活动时，</w:t>
      </w:r>
      <w:r>
        <w:rPr>
          <w:rFonts w:hint="eastAsia" w:ascii="宋体" w:hAnsi="宋体" w:cs="宋体"/>
          <w:bCs/>
          <w:szCs w:val="21"/>
          <w:highlight w:val="none"/>
          <w:u w:val="single"/>
          <w:lang w:val="zh-CN" w:bidi="zh-CN"/>
        </w:rPr>
        <w:t xml:space="preserve">在磋商文件发布之日起至递交响应文件截止日前</w:t>
      </w:r>
      <w:r>
        <w:rPr>
          <w:rFonts w:hint="eastAsia" w:ascii="宋体" w:hAnsi="宋体" w:cs="宋体"/>
          <w:bCs/>
          <w:szCs w:val="21"/>
          <w:highlight w:val="none"/>
          <w:lang w:val="zh-CN" w:bidi="zh-CN"/>
        </w:rPr>
        <w:t xml:space="preserve">，应先登录“南京公共采购信息网”在线打印其</w:t>
      </w:r>
      <w:r>
        <w:rPr>
          <w:rFonts w:hint="eastAsia" w:ascii="宋体" w:hAnsi="宋体" w:cs="宋体"/>
          <w:bCs/>
          <w:szCs w:val="21"/>
          <w:highlight w:val="none"/>
          <w:lang w:bidi="zh-CN"/>
        </w:rPr>
        <w:t xml:space="preserve">附带二维码的</w:t>
      </w:r>
      <w:r>
        <w:rPr>
          <w:rFonts w:hint="eastAsia" w:ascii="宋体" w:hAnsi="宋体" w:cs="宋体"/>
          <w:bCs/>
          <w:szCs w:val="21"/>
          <w:highlight w:val="none"/>
          <w:lang w:val="zh-CN" w:bidi="zh-CN"/>
        </w:rPr>
        <w:t xml:space="preserve">《南京市政府采购供应商信用记录表暨信用承诺书》，</w:t>
      </w:r>
      <w:r>
        <w:rPr>
          <w:rFonts w:hint="eastAsia" w:ascii="宋体" w:hAnsi="宋体" w:cs="宋体"/>
          <w:bCs/>
          <w:szCs w:val="21"/>
          <w:highlight w:val="none"/>
          <w:lang w:bidi="zh-CN"/>
        </w:rPr>
        <w:t xml:space="preserve">法定代表人签名并</w:t>
      </w:r>
      <w:r>
        <w:rPr>
          <w:rFonts w:hint="eastAsia" w:ascii="宋体" w:hAnsi="宋体" w:cs="宋体"/>
          <w:bCs/>
          <w:szCs w:val="21"/>
          <w:highlight w:val="none"/>
          <w:lang w:val="zh-CN" w:bidi="zh-CN"/>
        </w:rPr>
        <w:t xml:space="preserve">加盖单位公章后作为响应文件的组成部分。</w:t>
      </w:r>
      <w:r>
        <w:rPr>
          <w:highlight w:val="none"/>
        </w:rPr>
      </w:r>
      <w:r/>
    </w:p>
    <w:p>
      <w:pPr>
        <w:rPr>
          <w:rFonts w:ascii="宋体" w:hAnsi="宋体" w:cs="宋体"/>
          <w:b/>
          <w:spacing w:val="15"/>
          <w:szCs w:val="21"/>
          <w:highlight w:val="none"/>
        </w:rPr>
      </w:pPr>
      <w:r>
        <w:rPr>
          <w:rFonts w:ascii="宋体" w:hAnsi="宋体" w:cs="宋体"/>
          <w:b/>
          <w:spacing w:val="15"/>
          <w:szCs w:val="21"/>
          <w:highlight w:val="none"/>
        </w:rPr>
      </w:r>
      <w:r>
        <w:rPr>
          <w:highlight w:val="none"/>
        </w:rPr>
      </w:r>
      <w:r/>
    </w:p>
    <w:p>
      <w:pPr>
        <w:rPr>
          <w:rFonts w:ascii="宋体" w:hAnsi="宋体" w:cs="宋体"/>
          <w:b/>
          <w:spacing w:val="15"/>
          <w:szCs w:val="21"/>
          <w:highlight w:val="none"/>
        </w:rPr>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highlight w:val="none"/>
        </w:rPr>
      </w:r>
      <w:bookmarkStart w:id="662" w:name="_Toc11497"/>
      <w:r/>
      <w:bookmarkStart w:id="663" w:name="_Toc22543"/>
      <w:r>
        <w:rPr>
          <w:highlight w:val="none"/>
        </w:rPr>
      </w:r>
      <w:bookmarkEnd w:id="662"/>
      <w:r>
        <w:rPr>
          <w:highlight w:val="none"/>
        </w:rPr>
      </w:r>
      <w:r/>
      <w:r>
        <w:rPr>
          <w:rFonts w:hint="eastAsia" w:ascii="宋体" w:hAnsi="宋体" w:cs="宋体"/>
          <w:b/>
          <w:spacing w:val="15"/>
          <w:szCs w:val="21"/>
          <w:highlight w:val="none"/>
        </w:rPr>
        <w:t xml:space="preserve">十</w:t>
      </w:r>
      <w:r>
        <w:rPr>
          <w:rFonts w:hint="eastAsia" w:ascii="宋体" w:hAnsi="宋体" w:cs="宋体"/>
          <w:b/>
          <w:spacing w:val="15"/>
          <w:szCs w:val="21"/>
          <w:highlight w:val="none"/>
        </w:rPr>
        <w:t xml:space="preserve">七</w:t>
      </w:r>
      <w:r>
        <w:rPr>
          <w:rFonts w:hint="eastAsia" w:ascii="宋体" w:hAnsi="宋体" w:cs="宋体"/>
          <w:b/>
          <w:spacing w:val="15"/>
          <w:szCs w:val="21"/>
          <w:highlight w:val="none"/>
        </w:rPr>
        <w:t xml:space="preserve">、“信用中国”、“中国政府采购网”网站截图</w:t>
      </w:r>
      <w:bookmarkEnd w:id="663"/>
      <w:r>
        <w:rPr>
          <w:highlight w:val="none"/>
        </w:rPr>
      </w:r>
      <w:r/>
      <w:r>
        <w:rPr>
          <w:rFonts w:ascii="宋体" w:hAnsi="宋体" w:cs="宋体"/>
          <w:b/>
          <w:spacing w:val="15"/>
          <w:szCs w:val="21"/>
          <w:highlight w:val="none"/>
        </w:rP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1"/>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1"/>
      </w:pPr>
      <w:r>
        <w:rPr>
          <w:rFonts w:hint="eastAsia" w:ascii="宋体" w:hAnsi="宋体" w:cs="宋体"/>
          <w:b/>
          <w:spacing w:val="15"/>
          <w:szCs w:val="21"/>
          <w:highlight w:val="none"/>
        </w:rPr>
        <w:t xml:space="preserve">十</w:t>
      </w:r>
      <w:r>
        <w:rPr>
          <w:rFonts w:hint="eastAsia" w:ascii="宋体" w:hAnsi="宋体" w:cs="宋体"/>
          <w:b/>
          <w:spacing w:val="15"/>
          <w:szCs w:val="21"/>
          <w:highlight w:val="none"/>
        </w:rPr>
        <w:t xml:space="preserve">八</w:t>
      </w:r>
      <w:r>
        <w:rPr>
          <w:rFonts w:hint="eastAsia" w:ascii="宋体" w:hAnsi="宋体" w:cs="宋体"/>
          <w:b/>
          <w:spacing w:val="15"/>
          <w:szCs w:val="21"/>
          <w:highlight w:val="none"/>
        </w:rPr>
        <w:t xml:space="preserve">、磋商供应商认为需提供的其他资料</w:t>
      </w:r>
      <w:r>
        <w:rPr>
          <w:highlight w:val="none"/>
        </w:rPr>
      </w:r>
      <w:r/>
    </w:p>
    <w:p>
      <w:pPr>
        <w:rPr>
          <w:rFonts w:ascii="宋体" w:hAnsi="宋体" w:cs="宋体"/>
          <w:b/>
          <w:spacing w:val="15"/>
          <w:szCs w:val="21"/>
          <w:highlight w:val="none"/>
        </w:rPr>
      </w:pPr>
      <w:r>
        <w:rPr>
          <w:rFonts w:ascii="宋体" w:hAnsi="宋体" w:cs="宋体"/>
          <w:b/>
          <w:spacing w:val="15"/>
          <w:szCs w:val="21"/>
          <w:highlight w:val="none"/>
        </w:rPr>
      </w:r>
      <w:r>
        <w:rPr>
          <w:highlight w:val="none"/>
        </w:rPr>
      </w:r>
      <w:r/>
    </w:p>
    <w:p>
      <w:pPr>
        <w:rPr>
          <w:rFonts w:ascii="宋体" w:hAnsi="宋体" w:cs="宋体"/>
          <w:b/>
          <w:spacing w:val="15"/>
          <w:szCs w:val="21"/>
          <w:highlight w:val="none"/>
        </w:rPr>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jc w:val="left"/>
        <w:rPr>
          <w:rFonts w:ascii="宋体" w:hAnsi="宋体" w:cs="宋体"/>
          <w:b/>
          <w:spacing w:val="15"/>
          <w:szCs w:val="21"/>
          <w:highlight w:val="none"/>
        </w:rPr>
        <w:outlineLvl w:val="0"/>
      </w:pPr>
      <w:r>
        <w:rPr>
          <w:rFonts w:ascii="宋体" w:hAnsi="宋体" w:cs="宋体"/>
          <w:b/>
          <w:spacing w:val="15"/>
          <w:szCs w:val="21"/>
          <w:highlight w:val="none"/>
        </w:rPr>
      </w:r>
      <w:r>
        <w:rPr>
          <w:highlight w:val="none"/>
        </w:rPr>
      </w:r>
      <w:r/>
    </w:p>
    <w:p>
      <w:pPr>
        <w:rPr>
          <w:rFonts w:ascii="宋体" w:cs="宋体"/>
          <w:szCs w:val="21"/>
          <w:highlight w:val="none"/>
        </w:rPr>
      </w:pPr>
      <w:r>
        <w:rPr>
          <w:rFonts w:ascii="宋体" w:cs="宋体"/>
          <w:szCs w:val="21"/>
          <w:highlight w:val="none"/>
          <w:lang w:val="zh-CN"/>
        </w:rPr>
      </w:r>
      <w:r>
        <w:rPr>
          <w:highlight w:val="none"/>
        </w:rPr>
      </w:r>
      <w:r/>
    </w:p>
    <w:p>
      <w:pPr>
        <w:jc w:val="left"/>
        <w:widowControl/>
        <w:rPr>
          <w:rFonts w:ascii="宋体" w:hAnsi="宋体"/>
          <w:szCs w:val="21"/>
          <w:highlight w:val="none"/>
        </w:rPr>
      </w:pPr>
      <w:r>
        <w:rPr>
          <w:rFonts w:ascii="宋体" w:hAnsi="宋体"/>
          <w:szCs w:val="21"/>
          <w:highlight w:val="none"/>
        </w:rPr>
      </w:r>
      <w:r>
        <w:rPr>
          <w:highlight w:val="none"/>
        </w:rPr>
      </w:r>
      <w:r/>
    </w:p>
    <w:p>
      <w:pPr>
        <w:jc w:val="left"/>
        <w:rPr>
          <w:rFonts w:ascii="宋体" w:hAnsi="宋体" w:cs="黑体"/>
          <w:b/>
          <w:bCs/>
          <w:szCs w:val="21"/>
          <w:highlight w:val="none"/>
        </w:rPr>
        <w:outlineLvl w:val="0"/>
      </w:pPr>
      <w:r>
        <w:rPr>
          <w:rFonts w:ascii="宋体" w:hAnsi="宋体" w:cs="黑体"/>
          <w:b/>
          <w:bCs/>
          <w:szCs w:val="21"/>
          <w:highlight w:val="none"/>
          <w:lang w:val="zh-CN"/>
        </w:rPr>
      </w:r>
      <w:r>
        <w:rPr>
          <w:highlight w:val="none"/>
        </w:rPr>
      </w:r>
      <w:r/>
    </w:p>
    <w:p>
      <w:pPr>
        <w:rPr>
          <w:rFonts w:ascii="宋体" w:cs="宋体"/>
          <w:szCs w:val="21"/>
          <w:highlight w:val="none"/>
        </w:rPr>
      </w:pPr>
      <w:r>
        <w:rPr>
          <w:rFonts w:ascii="宋体" w:cs="宋体"/>
          <w:szCs w:val="21"/>
          <w:highlight w:val="none"/>
          <w:lang w:val="zh-CN"/>
        </w:rPr>
      </w:r>
      <w:r>
        <w:rPr>
          <w:highlight w:val="none"/>
        </w:rPr>
      </w:r>
      <w:r/>
    </w:p>
    <w:sectPr>
      <w:footnotePr/>
      <w:endnotePr/>
      <w:type w:val="nextPage"/>
      <w:pgSz w:w="11906" w:h="16838" w:orient="portrait"/>
      <w:pgMar w:top="1418" w:right="1418" w:bottom="1418" w:left="1418"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KNLe">
    <w:panose1 w:val="020B0503020202020204"/>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rPr>
        <w:rFonts w:ascii="宋体" w:hAnsi="宋体" w:cs="宋体"/>
      </w:rPr>
    </w:pPr>
    <w:r>
      <w:rPr>
        <w:rFonts w:ascii="宋体" w:hAnsi="宋体" w:cs="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49750974"/>
      <w:docPartObj>
        <w:docPartGallery w:val="Page Numbers (Bottom of Page)"/>
        <w:docPartUnique w:val="true"/>
      </w:docPartObj>
      <w:rPr/>
    </w:sdtPr>
    <w:sdtContent>
      <w:p>
        <w:pPr>
          <w:pStyle w:val="730"/>
          <w:jc w:val="center"/>
        </w:pPr>
        <w:r>
          <w:fldChar w:fldCharType="begin"/>
        </w:r>
        <w:r>
          <w:instrText xml:space="preserve">PAGE   \* MERGEFORMAT</w:instrText>
        </w:r>
        <w:r>
          <w:fldChar w:fldCharType="separate"/>
        </w:r>
        <w:r>
          <w:rPr>
            <w:lang w:val="zh-CN"/>
          </w:rPr>
          <w:t xml:space="preserve">6</w:t>
        </w:r>
        <w:r>
          <w:fldChar w:fldCharType="end"/>
        </w:r>
        <w:r/>
      </w:p>
    </w:sdtContent>
  </w:sdt>
  <w:p>
    <w:pPr>
      <w:spacing w:line="0" w:lineRule="atLeast"/>
      <w:tabs>
        <w:tab w:val="center" w:pos="4535" w:leader="none"/>
      </w:tabs>
      <w:rPr>
        <w:sz w:val="16"/>
        <w:szCs w:val="0"/>
      </w:rPr>
    </w:pPr>
    <w:r>
      <w:rPr>
        <w:sz w:val="16"/>
        <w:szCs w:val="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Pr>
    <w:r>
      <w:rPr>
        <w:rFonts w:hint="eastAsia"/>
      </w:rPr>
      <w:t xml:space="preserve">马鞍街道鞍山骨灰堂（一期扩建）工程</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rPr>
        <w:rFonts w:ascii="宋体" w:hAnsi="宋体" w:cs="宋体"/>
      </w:rPr>
    </w:pPr>
    <w:r>
      <w:rPr>
        <w:rFonts w:hint="eastAsia" w:ascii="宋体" w:hAnsi="宋体" w:cs="宋体"/>
      </w:rPr>
      <w:t xml:space="preserve">马鞍街道鞍山骨灰堂（一期扩建）工程</w:t>
    </w:r>
    <w:r/>
  </w:p>
  <w:p>
    <w:pPr>
      <w:spacing w:line="200" w:lineRule="exact"/>
      <w:rPr>
        <w:sz w:val="20"/>
      </w:rPr>
    </w:pPr>
    <w:r>
      <w:rPr>
        <w:sz w:val="20"/>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8 Char"/>
    <w:basedOn w:val="709"/>
    <w:link w:val="707"/>
    <w:uiPriority w:val="9"/>
    <w:rPr>
      <w:rFonts w:ascii="Arial" w:hAnsi="Arial" w:eastAsia="Arial" w:cs="Arial"/>
      <w:i/>
      <w:iCs/>
      <w:sz w:val="22"/>
      <w:szCs w:val="22"/>
    </w:rPr>
  </w:style>
  <w:style w:type="character" w:styleId="693">
    <w:name w:val="Heading 9 Char"/>
    <w:basedOn w:val="709"/>
    <w:link w:val="708"/>
    <w:uiPriority w:val="9"/>
    <w:rPr>
      <w:rFonts w:ascii="Arial" w:hAnsi="Arial" w:eastAsia="Arial" w:cs="Arial"/>
      <w:i/>
      <w:iCs/>
      <w:sz w:val="21"/>
      <w:szCs w:val="21"/>
    </w:rPr>
  </w:style>
  <w:style w:type="character" w:styleId="694">
    <w:name w:val="Title Char"/>
    <w:basedOn w:val="709"/>
    <w:link w:val="721"/>
    <w:uiPriority w:val="10"/>
    <w:rPr>
      <w:sz w:val="48"/>
      <w:szCs w:val="48"/>
    </w:rPr>
  </w:style>
  <w:style w:type="character" w:styleId="695">
    <w:name w:val="Quote Char"/>
    <w:link w:val="725"/>
    <w:uiPriority w:val="29"/>
    <w:rPr>
      <w:i/>
    </w:rPr>
  </w:style>
  <w:style w:type="character" w:styleId="696">
    <w:name w:val="Intense Quote Char"/>
    <w:link w:val="727"/>
    <w:uiPriority w:val="30"/>
    <w:rPr>
      <w:i/>
    </w:rPr>
  </w:style>
  <w:style w:type="character" w:styleId="697">
    <w:name w:val="Footnote Text Char"/>
    <w:link w:val="860"/>
    <w:uiPriority w:val="99"/>
    <w:rPr>
      <w:sz w:val="18"/>
    </w:rPr>
  </w:style>
  <w:style w:type="character" w:styleId="698">
    <w:name w:val="Endnote Text Char"/>
    <w:link w:val="863"/>
    <w:uiPriority w:val="99"/>
    <w:rPr>
      <w:sz w:val="20"/>
    </w:rPr>
  </w:style>
  <w:style w:type="paragraph" w:styleId="699" w:default="1">
    <w:name w:val="Normal"/>
    <w:qFormat/>
    <w:pPr>
      <w:jc w:val="both"/>
      <w:widowControl w:val="off"/>
    </w:pPr>
    <w:rPr>
      <w:sz w:val="21"/>
      <w:szCs w:val="24"/>
    </w:rPr>
  </w:style>
  <w:style w:type="paragraph" w:styleId="700">
    <w:name w:val="Heading 1"/>
    <w:basedOn w:val="699"/>
    <w:next w:val="699"/>
    <w:link w:val="877"/>
    <w:qFormat/>
    <w:pPr>
      <w:keepLines/>
      <w:keepNext/>
      <w:spacing w:before="340" w:after="330" w:line="576" w:lineRule="auto"/>
      <w:outlineLvl w:val="0"/>
    </w:pPr>
    <w:rPr>
      <w:b/>
      <w:bCs/>
      <w:sz w:val="44"/>
      <w:szCs w:val="44"/>
    </w:rPr>
  </w:style>
  <w:style w:type="paragraph" w:styleId="701">
    <w:name w:val="Heading 2"/>
    <w:basedOn w:val="699"/>
    <w:next w:val="699"/>
    <w:link w:val="878"/>
    <w:qFormat/>
    <w:pPr>
      <w:keepLines/>
      <w:keepNext/>
      <w:spacing w:before="260" w:after="260" w:line="413" w:lineRule="auto"/>
      <w:outlineLvl w:val="1"/>
    </w:pPr>
    <w:rPr>
      <w:rFonts w:ascii="Arial" w:hAnsi="Arial" w:eastAsia="黑体"/>
      <w:b/>
      <w:bCs/>
      <w:sz w:val="32"/>
      <w:szCs w:val="32"/>
    </w:rPr>
  </w:style>
  <w:style w:type="paragraph" w:styleId="702">
    <w:name w:val="Heading 3"/>
    <w:basedOn w:val="699"/>
    <w:next w:val="699"/>
    <w:link w:val="879"/>
    <w:qFormat/>
    <w:pPr>
      <w:keepLines/>
      <w:keepNext/>
      <w:spacing w:before="260" w:after="260" w:line="413" w:lineRule="auto"/>
      <w:outlineLvl w:val="2"/>
    </w:pPr>
    <w:rPr>
      <w:b/>
      <w:bCs/>
      <w:sz w:val="32"/>
      <w:szCs w:val="32"/>
    </w:rPr>
  </w:style>
  <w:style w:type="paragraph" w:styleId="703">
    <w:name w:val="Heading 4"/>
    <w:basedOn w:val="699"/>
    <w:next w:val="699"/>
    <w:link w:val="880"/>
    <w:qFormat/>
    <w:pPr>
      <w:keepLines/>
      <w:keepNext/>
      <w:spacing w:before="120" w:after="120"/>
      <w:outlineLvl w:val="3"/>
    </w:pPr>
    <w:rPr>
      <w:rFonts w:ascii="Arial" w:hAnsi="Arial" w:eastAsia="黑体"/>
      <w:b/>
      <w:sz w:val="28"/>
      <w:szCs w:val="20"/>
    </w:rPr>
  </w:style>
  <w:style w:type="paragraph" w:styleId="704">
    <w:name w:val="Heading 5"/>
    <w:basedOn w:val="699"/>
    <w:next w:val="699"/>
    <w:link w:val="881"/>
    <w:qFormat/>
    <w:pPr>
      <w:ind w:left="1008" w:hanging="1008"/>
      <w:keepLines/>
      <w:keepNext/>
      <w:spacing w:before="280" w:after="290" w:line="372" w:lineRule="auto"/>
      <w:tabs>
        <w:tab w:val="left" w:pos="1008" w:leader="none"/>
      </w:tabs>
      <w:outlineLvl w:val="4"/>
    </w:pPr>
    <w:rPr>
      <w:b/>
      <w:bCs/>
      <w:sz w:val="28"/>
      <w:szCs w:val="28"/>
    </w:rPr>
  </w:style>
  <w:style w:type="paragraph" w:styleId="705">
    <w:name w:val="Heading 6"/>
    <w:basedOn w:val="699"/>
    <w:next w:val="699"/>
    <w:link w:val="882"/>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06">
    <w:name w:val="Heading 7"/>
    <w:basedOn w:val="699"/>
    <w:next w:val="699"/>
    <w:link w:val="883"/>
    <w:qFormat/>
    <w:pPr>
      <w:ind w:left="1296" w:hanging="1296"/>
      <w:keepLines/>
      <w:keepNext/>
      <w:spacing w:before="240" w:after="64" w:line="317" w:lineRule="auto"/>
      <w:tabs>
        <w:tab w:val="left" w:pos="1296" w:leader="none"/>
      </w:tabs>
      <w:outlineLvl w:val="6"/>
    </w:pPr>
    <w:rPr>
      <w:b/>
      <w:bCs/>
      <w:sz w:val="24"/>
    </w:rPr>
  </w:style>
  <w:style w:type="paragraph" w:styleId="707">
    <w:name w:val="Heading 8"/>
    <w:basedOn w:val="699"/>
    <w:next w:val="699"/>
    <w:link w:val="717"/>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08">
    <w:name w:val="Heading 9"/>
    <w:basedOn w:val="699"/>
    <w:next w:val="699"/>
    <w:link w:val="718"/>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09" w:default="1">
    <w:name w:val="Default Paragraph Font"/>
    <w:uiPriority w:val="1"/>
    <w:semiHidden/>
    <w:unhideWhenUsed/>
  </w:style>
  <w:style w:type="table" w:styleId="710" w:default="1">
    <w:name w:val="Normal Table"/>
    <w:uiPriority w:val="99"/>
    <w:semiHidden/>
    <w:unhideWhenUsed/>
    <w:tblPr>
      <w:tblInd w:w="0" w:type="dxa"/>
      <w:tblCellMar>
        <w:left w:w="108" w:type="dxa"/>
        <w:top w:w="0" w:type="dxa"/>
        <w:right w:w="108" w:type="dxa"/>
        <w:bottom w:w="0" w:type="dxa"/>
      </w:tblCellMar>
    </w:tblPr>
  </w:style>
  <w:style w:type="numbering" w:styleId="711" w:default="1">
    <w:name w:val="No List"/>
    <w:uiPriority w:val="99"/>
    <w:semiHidden/>
    <w:unhideWhenUsed/>
  </w:style>
  <w:style w:type="character" w:styleId="712" w:customStyle="1">
    <w:name w:val="Heading 3 Char"/>
    <w:uiPriority w:val="9"/>
    <w:rPr>
      <w:rFonts w:ascii="Arial" w:hAnsi="Arial" w:eastAsia="Arial" w:cs="Arial"/>
      <w:sz w:val="30"/>
      <w:szCs w:val="30"/>
    </w:rPr>
  </w:style>
  <w:style w:type="character" w:styleId="713" w:customStyle="1">
    <w:name w:val="Heading 4 Char"/>
    <w:uiPriority w:val="9"/>
    <w:rPr>
      <w:rFonts w:ascii="Arial" w:hAnsi="Arial" w:eastAsia="Arial" w:cs="Arial"/>
      <w:b/>
      <w:bCs/>
      <w:sz w:val="26"/>
      <w:szCs w:val="26"/>
    </w:rPr>
  </w:style>
  <w:style w:type="character" w:styleId="714" w:customStyle="1">
    <w:name w:val="Heading 5 Char"/>
    <w:uiPriority w:val="9"/>
    <w:rPr>
      <w:rFonts w:ascii="Arial" w:hAnsi="Arial" w:eastAsia="Arial" w:cs="Arial"/>
      <w:b/>
      <w:bCs/>
      <w:sz w:val="24"/>
      <w:szCs w:val="24"/>
    </w:rPr>
  </w:style>
  <w:style w:type="character" w:styleId="715" w:customStyle="1">
    <w:name w:val="Heading 6 Char"/>
    <w:uiPriority w:val="9"/>
    <w:rPr>
      <w:rFonts w:ascii="Arial" w:hAnsi="Arial" w:eastAsia="Arial" w:cs="Arial"/>
      <w:b/>
      <w:bCs/>
      <w:sz w:val="22"/>
      <w:szCs w:val="22"/>
    </w:rPr>
  </w:style>
  <w:style w:type="character" w:styleId="716" w:customStyle="1">
    <w:name w:val="Heading 7 Char"/>
    <w:uiPriority w:val="9"/>
    <w:rPr>
      <w:rFonts w:ascii="Arial" w:hAnsi="Arial" w:eastAsia="Arial" w:cs="Arial"/>
      <w:b/>
      <w:bCs/>
      <w:i/>
      <w:iCs/>
      <w:sz w:val="22"/>
      <w:szCs w:val="22"/>
    </w:rPr>
  </w:style>
  <w:style w:type="character" w:styleId="717" w:customStyle="1">
    <w:name w:val="标题 8 Char"/>
    <w:link w:val="707"/>
    <w:uiPriority w:val="9"/>
    <w:rPr>
      <w:rFonts w:ascii="Arial" w:hAnsi="Arial" w:eastAsia="Arial" w:cs="Arial"/>
      <w:i/>
      <w:iCs/>
      <w:sz w:val="22"/>
      <w:szCs w:val="22"/>
    </w:rPr>
  </w:style>
  <w:style w:type="character" w:styleId="718" w:customStyle="1">
    <w:name w:val="标题 9 Char"/>
    <w:link w:val="708"/>
    <w:uiPriority w:val="9"/>
    <w:rPr>
      <w:rFonts w:ascii="Arial" w:hAnsi="Arial" w:eastAsia="Arial" w:cs="Arial"/>
      <w:i/>
      <w:iCs/>
      <w:sz w:val="21"/>
      <w:szCs w:val="21"/>
    </w:rPr>
  </w:style>
  <w:style w:type="paragraph" w:styleId="719">
    <w:name w:val="List Paragraph"/>
    <w:basedOn w:val="699"/>
    <w:uiPriority w:val="34"/>
    <w:qFormat/>
    <w:pPr>
      <w:contextualSpacing/>
      <w:ind w:left="720"/>
    </w:pPr>
  </w:style>
  <w:style w:type="paragraph" w:styleId="720">
    <w:name w:val="No Spacing"/>
    <w:uiPriority w:val="1"/>
    <w:qFormat/>
    <w:pPr>
      <w:contextualSpacing/>
      <w:jc w:val="both"/>
      <w:widowControl w:val="off"/>
    </w:pPr>
    <w:rPr>
      <w:sz w:val="24"/>
    </w:rPr>
  </w:style>
  <w:style w:type="paragraph" w:styleId="721">
    <w:name w:val="Title"/>
    <w:basedOn w:val="699"/>
    <w:link w:val="722"/>
    <w:qFormat/>
    <w:pPr>
      <w:jc w:val="center"/>
      <w:spacing w:line="420" w:lineRule="exact"/>
      <w:widowControl/>
    </w:pPr>
    <w:rPr>
      <w:rFonts w:eastAsia="黑体"/>
      <w:b/>
      <w:sz w:val="28"/>
      <w:szCs w:val="20"/>
      <w:lang w:val="en-GB"/>
    </w:rPr>
  </w:style>
  <w:style w:type="character" w:styleId="722" w:customStyle="1">
    <w:name w:val="标题 Char"/>
    <w:link w:val="721"/>
    <w:uiPriority w:val="10"/>
    <w:rPr>
      <w:sz w:val="48"/>
      <w:szCs w:val="48"/>
    </w:rPr>
  </w:style>
  <w:style w:type="paragraph" w:styleId="723">
    <w:name w:val="Subtitle"/>
    <w:basedOn w:val="699"/>
    <w:next w:val="699"/>
    <w:link w:val="908"/>
    <w:qFormat/>
    <w:pPr>
      <w:jc w:val="center"/>
      <w:spacing w:after="560"/>
      <w:widowControl/>
    </w:pPr>
    <w:rPr>
      <w:rFonts w:ascii="Cambria" w:hAnsi="Cambria"/>
      <w:caps/>
      <w:spacing w:val="20"/>
      <w:sz w:val="18"/>
      <w:szCs w:val="18"/>
      <w:lang w:eastAsia="en-US" w:bidi="en-US"/>
    </w:rPr>
  </w:style>
  <w:style w:type="character" w:styleId="724" w:customStyle="1">
    <w:name w:val="Subtitle Char"/>
    <w:uiPriority w:val="11"/>
    <w:rPr>
      <w:sz w:val="24"/>
      <w:szCs w:val="24"/>
    </w:rPr>
  </w:style>
  <w:style w:type="paragraph" w:styleId="725">
    <w:name w:val="Quote"/>
    <w:basedOn w:val="699"/>
    <w:next w:val="699"/>
    <w:link w:val="726"/>
    <w:uiPriority w:val="29"/>
    <w:qFormat/>
    <w:pPr>
      <w:ind w:left="720" w:right="720"/>
    </w:pPr>
    <w:rPr>
      <w:i/>
    </w:rPr>
  </w:style>
  <w:style w:type="character" w:styleId="726" w:customStyle="1">
    <w:name w:val="引用 Char1"/>
    <w:link w:val="725"/>
    <w:uiPriority w:val="29"/>
    <w:rPr>
      <w:i/>
    </w:rPr>
  </w:style>
  <w:style w:type="paragraph" w:styleId="727">
    <w:name w:val="Intense Quote"/>
    <w:basedOn w:val="699"/>
    <w:next w:val="699"/>
    <w:link w:val="7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明显引用 Char1"/>
    <w:link w:val="727"/>
    <w:uiPriority w:val="30"/>
    <w:rPr>
      <w:i/>
    </w:rPr>
  </w:style>
  <w:style w:type="paragraph" w:styleId="729">
    <w:name w:val="Header"/>
    <w:basedOn w:val="699"/>
    <w:link w:val="904"/>
    <w:qFormat/>
    <w:pPr>
      <w:jc w:val="center"/>
      <w:tabs>
        <w:tab w:val="center" w:pos="4153" w:leader="none"/>
        <w:tab w:val="right" w:pos="8306" w:leader="none"/>
      </w:tabs>
      <w:pBdr>
        <w:bottom w:val="single" w:color="000000" w:sz="6" w:space="1"/>
      </w:pBdr>
    </w:pPr>
    <w:rPr>
      <w:sz w:val="18"/>
      <w:szCs w:val="18"/>
    </w:rPr>
  </w:style>
  <w:style w:type="paragraph" w:styleId="730">
    <w:name w:val="Footer"/>
    <w:basedOn w:val="699"/>
    <w:link w:val="903"/>
    <w:uiPriority w:val="99"/>
    <w:qFormat/>
    <w:pPr>
      <w:jc w:val="left"/>
      <w:tabs>
        <w:tab w:val="center" w:pos="4153" w:leader="none"/>
        <w:tab w:val="right" w:pos="8306" w:leader="none"/>
      </w:tabs>
    </w:pPr>
    <w:rPr>
      <w:sz w:val="18"/>
      <w:szCs w:val="18"/>
    </w:rPr>
  </w:style>
  <w:style w:type="paragraph" w:styleId="731">
    <w:name w:val="Caption"/>
    <w:basedOn w:val="699"/>
    <w:next w:val="699"/>
    <w:uiPriority w:val="35"/>
    <w:semiHidden/>
    <w:unhideWhenUsed/>
    <w:qFormat/>
    <w:pPr>
      <w:spacing w:line="276" w:lineRule="auto"/>
    </w:pPr>
    <w:rPr>
      <w:b/>
      <w:bCs/>
      <w:color w:val="4f81bd" w:themeColor="accent1"/>
      <w:sz w:val="18"/>
      <w:szCs w:val="18"/>
    </w:rPr>
  </w:style>
  <w:style w:type="character" w:styleId="732" w:customStyle="1">
    <w:name w:val="Caption Char"/>
    <w:uiPriority w:val="99"/>
  </w:style>
  <w:style w:type="table" w:styleId="733">
    <w:name w:val="Table Grid"/>
    <w:basedOn w:val="710"/>
    <w:uiPriority w:val="59"/>
    <w:rPr>
      <w:rFonts w:ascii="Calibri" w:hAnsi="Calibri"/>
      <w:sz w:val="21"/>
      <w:szCs w:val="22"/>
    </w:rPr>
    <w:tblPr/>
  </w:style>
  <w:style w:type="table" w:styleId="734"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35">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3"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4">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3"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4"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65"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6"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7"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8">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0"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1"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2"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3"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4"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5">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6"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7"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78"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79"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0"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1"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2">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1"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2"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3"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4"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6">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7"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8"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99"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0"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1"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2"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3">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06"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7"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8"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9"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0">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3"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4"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5"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6"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8"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9"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0"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1"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2"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3"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4">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5"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26"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27"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28"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9"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0"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8"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9"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0"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1"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2"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6"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7"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8"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9"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3"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4"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55"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56"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7"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8"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9">
    <w:name w:val="Hyperlink"/>
    <w:uiPriority w:val="99"/>
    <w:qFormat/>
    <w:rPr>
      <w:color w:val="0000ff"/>
      <w:u w:val="single"/>
    </w:rPr>
  </w:style>
  <w:style w:type="paragraph" w:styleId="860">
    <w:name w:val="footnote text"/>
    <w:basedOn w:val="699"/>
    <w:link w:val="861"/>
    <w:qFormat/>
    <w:pPr>
      <w:jc w:val="left"/>
    </w:pPr>
    <w:rPr>
      <w:sz w:val="18"/>
      <w:szCs w:val="18"/>
    </w:rPr>
  </w:style>
  <w:style w:type="character" w:styleId="861" w:customStyle="1">
    <w:name w:val="脚注文本 Char"/>
    <w:link w:val="860"/>
    <w:uiPriority w:val="99"/>
    <w:rPr>
      <w:sz w:val="18"/>
    </w:rPr>
  </w:style>
  <w:style w:type="character" w:styleId="862">
    <w:name w:val="footnote reference"/>
    <w:qFormat/>
    <w:rPr>
      <w:vertAlign w:val="superscript"/>
    </w:rPr>
  </w:style>
  <w:style w:type="paragraph" w:styleId="863">
    <w:name w:val="endnote text"/>
    <w:basedOn w:val="699"/>
    <w:link w:val="864"/>
    <w:uiPriority w:val="99"/>
    <w:semiHidden/>
    <w:unhideWhenUsed/>
    <w:rPr>
      <w:sz w:val="20"/>
    </w:rPr>
  </w:style>
  <w:style w:type="character" w:styleId="864" w:customStyle="1">
    <w:name w:val="尾注文本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699"/>
    <w:next w:val="699"/>
    <w:uiPriority w:val="39"/>
    <w:qFormat/>
  </w:style>
  <w:style w:type="paragraph" w:styleId="867">
    <w:name w:val="toc 2"/>
    <w:basedOn w:val="699"/>
    <w:next w:val="699"/>
    <w:uiPriority w:val="39"/>
    <w:qFormat/>
    <w:pPr>
      <w:ind w:left="420"/>
    </w:pPr>
  </w:style>
  <w:style w:type="paragraph" w:styleId="868">
    <w:name w:val="toc 3"/>
    <w:basedOn w:val="699"/>
    <w:next w:val="699"/>
    <w:uiPriority w:val="39"/>
    <w:qFormat/>
    <w:pPr>
      <w:ind w:left="840"/>
    </w:pPr>
  </w:style>
  <w:style w:type="paragraph" w:styleId="869">
    <w:name w:val="toc 4"/>
    <w:basedOn w:val="699"/>
    <w:next w:val="699"/>
    <w:uiPriority w:val="39"/>
    <w:unhideWhenUsed/>
    <w:pPr>
      <w:ind w:left="850"/>
      <w:spacing w:after="57"/>
    </w:pPr>
  </w:style>
  <w:style w:type="paragraph" w:styleId="870">
    <w:name w:val="toc 5"/>
    <w:basedOn w:val="699"/>
    <w:next w:val="699"/>
    <w:uiPriority w:val="39"/>
    <w:unhideWhenUsed/>
    <w:pPr>
      <w:ind w:left="1134"/>
      <w:spacing w:after="57"/>
    </w:pPr>
  </w:style>
  <w:style w:type="paragraph" w:styleId="871">
    <w:name w:val="toc 6"/>
    <w:basedOn w:val="699"/>
    <w:next w:val="699"/>
    <w:uiPriority w:val="39"/>
    <w:unhideWhenUsed/>
    <w:pPr>
      <w:ind w:left="1417"/>
      <w:spacing w:after="57"/>
    </w:pPr>
  </w:style>
  <w:style w:type="paragraph" w:styleId="872">
    <w:name w:val="toc 7"/>
    <w:basedOn w:val="699"/>
    <w:next w:val="699"/>
    <w:uiPriority w:val="39"/>
    <w:unhideWhenUsed/>
    <w:pPr>
      <w:ind w:left="1701"/>
      <w:spacing w:after="57"/>
    </w:pPr>
  </w:style>
  <w:style w:type="paragraph" w:styleId="873">
    <w:name w:val="toc 8"/>
    <w:basedOn w:val="699"/>
    <w:next w:val="699"/>
    <w:uiPriority w:val="39"/>
    <w:unhideWhenUsed/>
    <w:pPr>
      <w:ind w:left="1984"/>
      <w:spacing w:after="57"/>
    </w:pPr>
  </w:style>
  <w:style w:type="paragraph" w:styleId="874">
    <w:name w:val="toc 9"/>
    <w:basedOn w:val="699"/>
    <w:next w:val="699"/>
    <w:uiPriority w:val="39"/>
    <w:unhideWhenUsed/>
    <w:pPr>
      <w:ind w:left="2268"/>
      <w:spacing w:after="57"/>
    </w:pPr>
  </w:style>
  <w:style w:type="paragraph" w:styleId="875">
    <w:name w:val="TOC Heading"/>
    <w:basedOn w:val="700"/>
    <w:next w:val="699"/>
    <w:uiPriority w:val="39"/>
    <w:qFormat/>
    <w:pPr>
      <w:jc w:val="left"/>
      <w:spacing w:before="480" w:after="0" w:line="276" w:lineRule="auto"/>
      <w:widowControl/>
      <w:outlineLvl w:val="9"/>
    </w:pPr>
    <w:rPr>
      <w:rFonts w:ascii="Cambria" w:hAnsi="Cambria"/>
      <w:color w:val="365f91"/>
      <w:sz w:val="28"/>
      <w:szCs w:val="28"/>
    </w:rPr>
  </w:style>
  <w:style w:type="paragraph" w:styleId="876">
    <w:name w:val="table of figures"/>
    <w:basedOn w:val="699"/>
    <w:next w:val="699"/>
    <w:uiPriority w:val="99"/>
    <w:unhideWhenUsed/>
  </w:style>
  <w:style w:type="character" w:styleId="877" w:customStyle="1">
    <w:name w:val="标题 1 Char"/>
    <w:link w:val="700"/>
    <w:qFormat/>
    <w:rPr>
      <w:rFonts w:eastAsia="宋体"/>
      <w:b/>
      <w:bCs/>
      <w:sz w:val="44"/>
      <w:szCs w:val="44"/>
      <w:lang w:val="en-US" w:eastAsia="zh-CN" w:bidi="ar-SA"/>
    </w:rPr>
  </w:style>
  <w:style w:type="character" w:styleId="878" w:customStyle="1">
    <w:name w:val="标题 2 Char"/>
    <w:link w:val="701"/>
    <w:semiHidden/>
    <w:qFormat/>
    <w:rPr>
      <w:rFonts w:ascii="Arial" w:hAnsi="Arial" w:eastAsia="黑体"/>
      <w:b/>
      <w:bCs/>
      <w:sz w:val="32"/>
      <w:szCs w:val="32"/>
      <w:lang w:val="en-US" w:eastAsia="zh-CN" w:bidi="ar-SA"/>
    </w:rPr>
  </w:style>
  <w:style w:type="character" w:styleId="879" w:customStyle="1">
    <w:name w:val="标题 3 Char2"/>
    <w:link w:val="702"/>
    <w:semiHidden/>
    <w:qFormat/>
    <w:rPr>
      <w:rFonts w:eastAsia="宋体"/>
      <w:b/>
      <w:bCs/>
      <w:sz w:val="32"/>
      <w:szCs w:val="32"/>
      <w:lang w:val="en-US" w:eastAsia="zh-CN" w:bidi="ar-SA"/>
    </w:rPr>
  </w:style>
  <w:style w:type="character" w:styleId="880" w:customStyle="1">
    <w:name w:val="标题 4 Char"/>
    <w:link w:val="703"/>
    <w:qFormat/>
    <w:rPr>
      <w:rFonts w:ascii="Arial" w:hAnsi="Arial" w:eastAsia="黑体"/>
      <w:b/>
      <w:sz w:val="28"/>
      <w:lang w:val="en-US" w:eastAsia="zh-CN" w:bidi="ar-SA"/>
    </w:rPr>
  </w:style>
  <w:style w:type="character" w:styleId="881" w:customStyle="1">
    <w:name w:val="标题 5 Char"/>
    <w:link w:val="704"/>
    <w:semiHidden/>
    <w:qFormat/>
    <w:rPr>
      <w:rFonts w:eastAsia="宋体"/>
      <w:b/>
      <w:bCs/>
      <w:sz w:val="28"/>
      <w:szCs w:val="28"/>
      <w:lang w:val="en-US" w:eastAsia="zh-CN" w:bidi="ar-SA"/>
    </w:rPr>
  </w:style>
  <w:style w:type="character" w:styleId="882" w:customStyle="1">
    <w:name w:val="标题 6 Char"/>
    <w:link w:val="705"/>
    <w:semiHidden/>
    <w:qFormat/>
    <w:rPr>
      <w:rFonts w:ascii="Arial" w:hAnsi="Arial" w:eastAsia="黑体"/>
      <w:b/>
      <w:bCs/>
      <w:sz w:val="24"/>
      <w:szCs w:val="24"/>
      <w:lang w:val="en-US" w:eastAsia="zh-CN" w:bidi="ar-SA"/>
    </w:rPr>
  </w:style>
  <w:style w:type="character" w:styleId="883" w:customStyle="1">
    <w:name w:val="标题 7 Char"/>
    <w:link w:val="706"/>
    <w:semiHidden/>
    <w:qFormat/>
    <w:rPr>
      <w:rFonts w:eastAsia="宋体"/>
      <w:b/>
      <w:bCs/>
      <w:sz w:val="24"/>
      <w:szCs w:val="24"/>
      <w:lang w:val="en-US" w:eastAsia="zh-CN" w:bidi="ar-SA"/>
    </w:rPr>
  </w:style>
  <w:style w:type="paragraph" w:styleId="884">
    <w:name w:val="List Number 2"/>
    <w:basedOn w:val="699"/>
    <w:qFormat/>
    <w:pPr>
      <w:ind w:left="1440" w:hanging="1440"/>
      <w:spacing w:line="360" w:lineRule="auto"/>
      <w:tabs>
        <w:tab w:val="left" w:pos="1440" w:leader="none"/>
      </w:tabs>
    </w:pPr>
    <w:rPr>
      <w:sz w:val="24"/>
    </w:rPr>
  </w:style>
  <w:style w:type="paragraph" w:styleId="885">
    <w:name w:val="List Number"/>
    <w:basedOn w:val="699"/>
    <w:qFormat/>
    <w:pPr>
      <w:ind w:left="2952" w:hanging="432"/>
      <w:tabs>
        <w:tab w:val="left" w:pos="2952" w:leader="none"/>
      </w:tabs>
    </w:pPr>
  </w:style>
  <w:style w:type="paragraph" w:styleId="886">
    <w:name w:val="Normal Indent"/>
    <w:basedOn w:val="699"/>
    <w:qFormat/>
    <w:pPr>
      <w:ind w:firstLine="420"/>
    </w:pPr>
    <w:rPr>
      <w:szCs w:val="20"/>
    </w:rPr>
  </w:style>
  <w:style w:type="paragraph" w:styleId="887">
    <w:name w:val="Document Map"/>
    <w:basedOn w:val="699"/>
    <w:link w:val="888"/>
    <w:qFormat/>
    <w:pPr>
      <w:shd w:val="clear" w:color="auto" w:fill="000080"/>
    </w:pPr>
  </w:style>
  <w:style w:type="character" w:styleId="888" w:customStyle="1">
    <w:name w:val="文档结构图 Char"/>
    <w:link w:val="887"/>
    <w:semiHidden/>
    <w:qFormat/>
    <w:rPr>
      <w:rFonts w:eastAsia="宋体"/>
      <w:sz w:val="21"/>
      <w:szCs w:val="24"/>
      <w:lang w:val="en-US" w:eastAsia="zh-CN" w:bidi="ar-SA"/>
    </w:rPr>
  </w:style>
  <w:style w:type="paragraph" w:styleId="889">
    <w:name w:val="annotation text"/>
    <w:basedOn w:val="699"/>
    <w:link w:val="890"/>
    <w:qFormat/>
    <w:pPr>
      <w:jc w:val="left"/>
    </w:pPr>
    <w:rPr>
      <w:szCs w:val="20"/>
    </w:rPr>
  </w:style>
  <w:style w:type="character" w:styleId="890" w:customStyle="1">
    <w:name w:val="批注文字 Char"/>
    <w:link w:val="889"/>
    <w:qFormat/>
    <w:rPr>
      <w:rFonts w:eastAsia="宋体"/>
      <w:sz w:val="21"/>
      <w:lang w:val="en-US" w:eastAsia="zh-CN" w:bidi="ar-SA"/>
    </w:rPr>
  </w:style>
  <w:style w:type="paragraph" w:styleId="891">
    <w:name w:val="Salutation"/>
    <w:basedOn w:val="699"/>
    <w:next w:val="699"/>
    <w:qFormat/>
    <w:rPr>
      <w:rFonts w:ascii="仿宋_GB2312" w:eastAsia="仿宋_GB2312"/>
      <w:sz w:val="28"/>
      <w:szCs w:val="20"/>
    </w:rPr>
  </w:style>
  <w:style w:type="paragraph" w:styleId="892">
    <w:name w:val="Body Text 3"/>
    <w:basedOn w:val="699"/>
    <w:qFormat/>
    <w:pPr>
      <w:spacing w:after="120"/>
    </w:pPr>
    <w:rPr>
      <w:sz w:val="16"/>
      <w:szCs w:val="16"/>
    </w:rPr>
  </w:style>
  <w:style w:type="paragraph" w:styleId="893">
    <w:name w:val="Body Text"/>
    <w:basedOn w:val="699"/>
    <w:next w:val="699"/>
    <w:qFormat/>
    <w:pPr>
      <w:jc w:val="center"/>
    </w:pPr>
    <w:rPr>
      <w:rFonts w:ascii="方正大黑简体" w:eastAsia="方正大黑简体"/>
      <w:position w:val="6"/>
      <w:sz w:val="30"/>
      <w:szCs w:val="20"/>
    </w:rPr>
  </w:style>
  <w:style w:type="paragraph" w:styleId="894">
    <w:name w:val="Body Text Indent"/>
    <w:basedOn w:val="699"/>
    <w:qFormat/>
    <w:pPr>
      <w:ind w:left="420"/>
      <w:spacing w:after="120"/>
    </w:pPr>
  </w:style>
  <w:style w:type="paragraph" w:styleId="895">
    <w:name w:val="index 4"/>
    <w:basedOn w:val="699"/>
    <w:next w:val="699"/>
    <w:uiPriority w:val="99"/>
    <w:qFormat/>
    <w:pPr>
      <w:ind w:left="1260"/>
    </w:pPr>
    <w:rPr>
      <w:rFonts w:ascii="Calibri" w:hAnsi="Calibri"/>
      <w:szCs w:val="22"/>
    </w:rPr>
  </w:style>
  <w:style w:type="paragraph" w:styleId="896">
    <w:name w:val="Plain Text"/>
    <w:basedOn w:val="699"/>
    <w:link w:val="897"/>
    <w:qFormat/>
    <w:rPr>
      <w:rFonts w:ascii="宋体" w:hAnsi="Courier New"/>
      <w:szCs w:val="21"/>
    </w:rPr>
  </w:style>
  <w:style w:type="character" w:styleId="897" w:customStyle="1">
    <w:name w:val="纯文本 Char"/>
    <w:link w:val="896"/>
    <w:qFormat/>
    <w:rPr>
      <w:rFonts w:ascii="宋体" w:hAnsi="Courier New" w:eastAsia="宋体"/>
      <w:sz w:val="21"/>
      <w:szCs w:val="21"/>
      <w:lang w:val="en-US" w:eastAsia="zh-CN" w:bidi="ar-SA"/>
    </w:rPr>
  </w:style>
  <w:style w:type="paragraph" w:styleId="898">
    <w:name w:val="index 3"/>
    <w:basedOn w:val="699"/>
    <w:next w:val="699"/>
    <w:qFormat/>
    <w:pPr>
      <w:ind w:left="840"/>
    </w:pPr>
    <w:rPr>
      <w:szCs w:val="20"/>
    </w:rPr>
  </w:style>
  <w:style w:type="paragraph" w:styleId="899">
    <w:name w:val="Date"/>
    <w:basedOn w:val="699"/>
    <w:next w:val="699"/>
    <w:qFormat/>
    <w:pPr>
      <w:ind w:left="100"/>
    </w:pPr>
    <w:rPr>
      <w:sz w:val="28"/>
      <w:szCs w:val="20"/>
    </w:rPr>
  </w:style>
  <w:style w:type="paragraph" w:styleId="900">
    <w:name w:val="Body Text Indent 2"/>
    <w:basedOn w:val="699"/>
    <w:next w:val="699"/>
    <w:qFormat/>
    <w:pPr>
      <w:ind w:firstLine="480"/>
      <w:spacing w:line="400" w:lineRule="exact"/>
    </w:pPr>
    <w:rPr>
      <w:rFonts w:ascii="宋体" w:hAnsi="宋体"/>
      <w:sz w:val="24"/>
    </w:rPr>
  </w:style>
  <w:style w:type="paragraph" w:styleId="901">
    <w:name w:val="Balloon Text"/>
    <w:basedOn w:val="699"/>
    <w:link w:val="902"/>
    <w:qFormat/>
    <w:rPr>
      <w:sz w:val="18"/>
      <w:szCs w:val="18"/>
    </w:rPr>
  </w:style>
  <w:style w:type="character" w:styleId="902" w:customStyle="1">
    <w:name w:val="批注框文本 Char"/>
    <w:link w:val="901"/>
    <w:semiHidden/>
    <w:qFormat/>
    <w:rPr>
      <w:rFonts w:eastAsia="宋体"/>
      <w:sz w:val="18"/>
      <w:szCs w:val="18"/>
      <w:lang w:val="en-US" w:eastAsia="zh-CN" w:bidi="ar-SA"/>
    </w:rPr>
  </w:style>
  <w:style w:type="character" w:styleId="903" w:customStyle="1">
    <w:name w:val="页脚 Char1"/>
    <w:link w:val="730"/>
    <w:uiPriority w:val="99"/>
    <w:qFormat/>
    <w:rPr>
      <w:rFonts w:eastAsia="宋体"/>
      <w:sz w:val="18"/>
      <w:szCs w:val="18"/>
      <w:lang w:val="en-US" w:eastAsia="zh-CN" w:bidi="ar-SA"/>
    </w:rPr>
  </w:style>
  <w:style w:type="character" w:styleId="904" w:customStyle="1">
    <w:name w:val="页眉 Char"/>
    <w:link w:val="729"/>
    <w:qFormat/>
    <w:rPr>
      <w:rFonts w:eastAsia="宋体"/>
      <w:sz w:val="18"/>
      <w:szCs w:val="18"/>
      <w:lang w:val="en-US" w:eastAsia="zh-CN" w:bidi="ar-SA"/>
    </w:rPr>
  </w:style>
  <w:style w:type="paragraph" w:styleId="905">
    <w:name w:val="Signature"/>
    <w:basedOn w:val="699"/>
    <w:qFormat/>
    <w:pPr>
      <w:jc w:val="center"/>
      <w:spacing w:after="600" w:line="312" w:lineRule="atLeast"/>
    </w:pPr>
    <w:rPr>
      <w:rFonts w:eastAsia="仿宋_GB2312"/>
      <w:sz w:val="24"/>
      <w:szCs w:val="20"/>
    </w:rPr>
  </w:style>
  <w:style w:type="paragraph" w:styleId="906">
    <w:name w:val="index heading"/>
    <w:basedOn w:val="699"/>
    <w:next w:val="907"/>
    <w:qFormat/>
    <w:rPr>
      <w:szCs w:val="20"/>
    </w:rPr>
  </w:style>
  <w:style w:type="paragraph" w:styleId="907">
    <w:name w:val="index 1"/>
    <w:basedOn w:val="699"/>
    <w:next w:val="699"/>
    <w:qFormat/>
    <w:pPr>
      <w:jc w:val="center"/>
      <w:tabs>
        <w:tab w:val="left" w:pos="1260" w:leader="none"/>
      </w:tabs>
    </w:pPr>
    <w:rPr>
      <w:rFonts w:ascii="仿宋_GB2312" w:hAnsi="宋体" w:eastAsia="仿宋_GB2312"/>
      <w:sz w:val="30"/>
      <w:szCs w:val="20"/>
    </w:rPr>
  </w:style>
  <w:style w:type="character" w:styleId="908" w:customStyle="1">
    <w:name w:val="副标题 Char"/>
    <w:link w:val="723"/>
    <w:qFormat/>
    <w:rPr>
      <w:rFonts w:ascii="Cambria" w:hAnsi="Cambria" w:eastAsia="宋体"/>
      <w:caps/>
      <w:spacing w:val="20"/>
      <w:sz w:val="18"/>
      <w:szCs w:val="18"/>
      <w:lang w:val="en-US" w:eastAsia="en-US" w:bidi="en-US"/>
    </w:rPr>
  </w:style>
  <w:style w:type="paragraph" w:styleId="909">
    <w:name w:val="Body Text Indent 3"/>
    <w:basedOn w:val="699"/>
    <w:qFormat/>
    <w:pPr>
      <w:ind w:left="480"/>
      <w:spacing w:before="120" w:after="120" w:line="264" w:lineRule="auto"/>
    </w:pPr>
    <w:rPr>
      <w:b/>
      <w:bCs/>
      <w:sz w:val="24"/>
      <w:szCs w:val="20"/>
    </w:rPr>
  </w:style>
  <w:style w:type="paragraph" w:styleId="910">
    <w:name w:val="Body Text 2"/>
    <w:basedOn w:val="699"/>
    <w:qFormat/>
    <w:pPr>
      <w:jc w:val="center"/>
    </w:pPr>
    <w:rPr>
      <w:b/>
      <w:bCs/>
      <w:sz w:val="72"/>
      <w:szCs w:val="20"/>
    </w:rPr>
  </w:style>
  <w:style w:type="paragraph" w:styleId="911">
    <w:name w:val="HTML Preformatted"/>
    <w:basedOn w:val="6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12">
    <w:name w:val="Normal (Web)"/>
    <w:basedOn w:val="699"/>
    <w:uiPriority w:val="99"/>
    <w:qFormat/>
    <w:pPr>
      <w:jc w:val="left"/>
      <w:spacing w:before="100" w:beforeAutospacing="1" w:after="100" w:afterAutospacing="1"/>
      <w:widowControl/>
    </w:pPr>
    <w:rPr>
      <w:rFonts w:ascii="宋体" w:hAnsi="宋体" w:cs="宋体"/>
      <w:sz w:val="24"/>
    </w:rPr>
  </w:style>
  <w:style w:type="paragraph" w:styleId="913">
    <w:name w:val="annotation subject"/>
    <w:basedOn w:val="889"/>
    <w:next w:val="889"/>
    <w:qFormat/>
    <w:rPr>
      <w:b/>
      <w:bCs/>
      <w:szCs w:val="24"/>
    </w:rPr>
  </w:style>
  <w:style w:type="paragraph" w:styleId="914">
    <w:name w:val="Body Text First Indent"/>
    <w:basedOn w:val="893"/>
    <w:link w:val="915"/>
    <w:qFormat/>
    <w:pPr>
      <w:ind w:firstLine="420"/>
      <w:jc w:val="both"/>
      <w:spacing w:after="120"/>
    </w:pPr>
    <w:rPr>
      <w:rFonts w:ascii="Times New Roman" w:eastAsia="宋体"/>
      <w:position w:val="0"/>
      <w:sz w:val="21"/>
      <w:szCs w:val="24"/>
    </w:rPr>
  </w:style>
  <w:style w:type="character" w:styleId="915" w:customStyle="1">
    <w:name w:val="正文首行缩进 Char"/>
    <w:link w:val="914"/>
    <w:qFormat/>
    <w:rPr>
      <w:rFonts w:eastAsia="宋体"/>
      <w:sz w:val="21"/>
      <w:szCs w:val="24"/>
      <w:lang w:val="en-US" w:eastAsia="zh-CN" w:bidi="ar-SA"/>
    </w:rPr>
  </w:style>
  <w:style w:type="paragraph" w:styleId="916">
    <w:name w:val="Body Text First Indent 2"/>
    <w:basedOn w:val="894"/>
    <w:uiPriority w:val="99"/>
    <w:qFormat/>
    <w:pPr>
      <w:ind w:left="0" w:firstLine="420"/>
      <w:spacing w:after="0" w:line="360" w:lineRule="auto"/>
    </w:pPr>
    <w:rPr>
      <w:rFonts w:ascii="宋体" w:hAnsi="宋体"/>
    </w:rPr>
  </w:style>
  <w:style w:type="character" w:styleId="917">
    <w:name w:val="Strong"/>
    <w:qFormat/>
    <w:rPr>
      <w:b/>
      <w:bCs/>
    </w:rPr>
  </w:style>
  <w:style w:type="character" w:styleId="918">
    <w:name w:val="page number"/>
    <w:qFormat/>
  </w:style>
  <w:style w:type="character" w:styleId="919" w:customStyle="1">
    <w:name w:val="已访问的超链接"/>
    <w:qFormat/>
    <w:rPr>
      <w:color w:val="800080"/>
      <w:u w:val="single"/>
    </w:rPr>
  </w:style>
  <w:style w:type="character" w:styleId="920">
    <w:name w:val="Emphasis"/>
    <w:uiPriority w:val="20"/>
    <w:qFormat/>
    <w:rPr>
      <w:i/>
    </w:rPr>
  </w:style>
  <w:style w:type="character" w:styleId="921">
    <w:name w:val="line number"/>
    <w:qFormat/>
  </w:style>
  <w:style w:type="character" w:styleId="922">
    <w:name w:val="annotation reference"/>
    <w:qFormat/>
    <w:rPr>
      <w:sz w:val="21"/>
      <w:szCs w:val="21"/>
    </w:rPr>
  </w:style>
  <w:style w:type="paragraph" w:styleId="923" w:customStyle="1">
    <w:name w:val="列表段落"/>
    <w:basedOn w:val="699"/>
    <w:next w:val="699"/>
    <w:uiPriority w:val="99"/>
    <w:qFormat/>
    <w:pPr>
      <w:ind w:firstLine="420"/>
    </w:pPr>
  </w:style>
  <w:style w:type="paragraph" w:styleId="924" w:customStyle="1">
    <w:name w:val="标题 11"/>
    <w:basedOn w:val="699"/>
    <w:next w:val="699"/>
    <w:qFormat/>
    <w:pPr>
      <w:keepLines/>
      <w:keepNext/>
      <w:spacing w:before="340" w:after="330" w:line="576" w:lineRule="auto"/>
      <w:outlineLvl w:val="0"/>
    </w:pPr>
    <w:rPr>
      <w:b/>
      <w:bCs/>
      <w:sz w:val="44"/>
      <w:szCs w:val="44"/>
    </w:rPr>
  </w:style>
  <w:style w:type="paragraph" w:styleId="925" w:customStyle="1">
    <w:name w:val="首行缩进"/>
    <w:basedOn w:val="699"/>
    <w:uiPriority w:val="99"/>
    <w:qFormat/>
    <w:pPr>
      <w:ind w:firstLine="420"/>
      <w:spacing w:line="360" w:lineRule="auto"/>
    </w:pPr>
  </w:style>
  <w:style w:type="character" w:styleId="926" w:customStyle="1">
    <w:name w:val="正文 + 宋体 Char"/>
    <w:qFormat/>
    <w:rPr>
      <w:rFonts w:eastAsia="宋体"/>
      <w:sz w:val="21"/>
      <w:szCs w:val="24"/>
      <w:lang w:val="en-US" w:eastAsia="zh-CN" w:bidi="ar-SA"/>
    </w:rPr>
  </w:style>
  <w:style w:type="character" w:styleId="927" w:customStyle="1">
    <w:name w:val="样式 样式 样式 样式 内容 + 首行缩进:  2 字符18 + 首行缩进:  5.71 厘米 + 首行缩进:  8.04 厘米... Char"/>
    <w:link w:val="928"/>
    <w:rPr>
      <w:rFonts w:ascii="Trebuchet MS" w:hAnsi="Trebuchet MS"/>
      <w:color w:val="404040"/>
      <w:sz w:val="24"/>
      <w:lang w:eastAsia="en-US" w:bidi="en-US"/>
    </w:rPr>
  </w:style>
  <w:style w:type="paragraph" w:styleId="928" w:customStyle="1">
    <w:name w:val="样式 样式 样式 样式 内容 + 首行缩进:  2 字符18 + 首行缩进:  5.71 厘米 + 首行缩进:  8.04 厘米..."/>
    <w:basedOn w:val="699"/>
    <w:link w:val="927"/>
    <w:pPr>
      <w:ind w:firstLine="480"/>
      <w:jc w:val="left"/>
      <w:spacing w:line="360" w:lineRule="auto"/>
      <w:widowControl/>
    </w:pPr>
    <w:rPr>
      <w:rFonts w:ascii="Trebuchet MS" w:hAnsi="Trebuchet MS"/>
      <w:color w:val="404040"/>
      <w:sz w:val="24"/>
      <w:szCs w:val="20"/>
      <w:lang w:eastAsia="en-US" w:bidi="en-US"/>
    </w:rPr>
  </w:style>
  <w:style w:type="character" w:styleId="929" w:customStyle="1">
    <w:name w:val="style131"/>
    <w:qFormat/>
    <w:rPr>
      <w:rFonts w:cs="Times New Roman"/>
      <w:sz w:val="18"/>
      <w:szCs w:val="18"/>
    </w:rPr>
  </w:style>
  <w:style w:type="character" w:styleId="930" w:customStyle="1">
    <w:name w:val="1page sec3 Char2"/>
    <w:qFormat/>
    <w:rPr>
      <w:rFonts w:eastAsia="宋体"/>
      <w:sz w:val="18"/>
      <w:szCs w:val="18"/>
      <w:lang w:val="en-US" w:eastAsia="zh-CN" w:bidi="ar-SA"/>
    </w:rPr>
  </w:style>
  <w:style w:type="character" w:styleId="931" w:customStyle="1">
    <w:name w:val="华宇段落1 Char Char Char"/>
    <w:qFormat/>
    <w:rPr>
      <w:rFonts w:eastAsia="宋体"/>
      <w:bCs/>
      <w:sz w:val="24"/>
      <w:szCs w:val="24"/>
      <w:lang w:val="en-US" w:eastAsia="zh-CN" w:bidi="ar-SA"/>
    </w:rPr>
  </w:style>
  <w:style w:type="character" w:styleId="932" w:customStyle="1">
    <w:name w:val="h Char Char"/>
    <w:qFormat/>
    <w:rPr>
      <w:sz w:val="18"/>
      <w:szCs w:val="18"/>
    </w:rPr>
  </w:style>
  <w:style w:type="character" w:styleId="933" w:customStyle="1">
    <w:name w:val="小四 段落 宋体 Char1"/>
    <w:qFormat/>
    <w:rPr>
      <w:rFonts w:eastAsia="宋体"/>
      <w:sz w:val="24"/>
      <w:szCs w:val="24"/>
      <w:lang w:val="en-US" w:eastAsia="zh-CN" w:bidi="ar-SA"/>
    </w:rPr>
  </w:style>
  <w:style w:type="character" w:styleId="934" w:customStyle="1">
    <w:name w:val="正文缩进 Char1"/>
    <w:link w:val="935"/>
    <w:qFormat/>
    <w:rPr>
      <w:rFonts w:eastAsia="宋体"/>
      <w:lang w:bidi="ar-SA"/>
    </w:rPr>
  </w:style>
  <w:style w:type="paragraph" w:styleId="935" w:customStyle="1">
    <w:name w:val="正文缩进1"/>
    <w:basedOn w:val="699"/>
    <w:link w:val="934"/>
    <w:qFormat/>
    <w:pPr>
      <w:ind w:firstLine="420"/>
    </w:pPr>
    <w:rPr>
      <w:sz w:val="20"/>
      <w:szCs w:val="20"/>
    </w:rPr>
  </w:style>
  <w:style w:type="character" w:styleId="936" w:customStyle="1">
    <w:name w:val="无间隔 Char"/>
    <w:link w:val="937"/>
    <w:qFormat/>
    <w:rPr>
      <w:rFonts w:ascii="Calibri" w:hAnsi="Calibri" w:eastAsia="微软雅黑"/>
      <w:sz w:val="24"/>
      <w:szCs w:val="22"/>
      <w:lang w:val="en-US" w:eastAsia="zh-CN" w:bidi="ar-SA"/>
    </w:rPr>
  </w:style>
  <w:style w:type="paragraph" w:styleId="937" w:customStyle="1">
    <w:name w:val="无间隔1"/>
    <w:link w:val="936"/>
    <w:qFormat/>
    <w:pPr>
      <w:jc w:val="both"/>
      <w:widowControl w:val="off"/>
    </w:pPr>
    <w:rPr>
      <w:rFonts w:ascii="Calibri" w:hAnsi="Calibri" w:eastAsia="微软雅黑"/>
      <w:sz w:val="24"/>
      <w:szCs w:val="22"/>
    </w:rPr>
  </w:style>
  <w:style w:type="character" w:styleId="938" w:customStyle="1">
    <w:name w:val="引用 Char"/>
    <w:link w:val="939"/>
    <w:qFormat/>
    <w:rPr>
      <w:rFonts w:ascii="Cambria" w:hAnsi="Cambria" w:eastAsia="宋体"/>
      <w:i/>
      <w:iCs/>
      <w:sz w:val="22"/>
      <w:szCs w:val="22"/>
      <w:lang w:val="en-US" w:eastAsia="en-US" w:bidi="en-US"/>
    </w:rPr>
  </w:style>
  <w:style w:type="paragraph" w:styleId="939" w:customStyle="1">
    <w:name w:val="引用1"/>
    <w:basedOn w:val="699"/>
    <w:next w:val="699"/>
    <w:link w:val="938"/>
    <w:qFormat/>
    <w:pPr>
      <w:jc w:val="left"/>
      <w:spacing w:after="200" w:line="252" w:lineRule="auto"/>
      <w:widowControl/>
    </w:pPr>
    <w:rPr>
      <w:rFonts w:ascii="Cambria" w:hAnsi="Cambria"/>
      <w:i/>
      <w:iCs/>
      <w:sz w:val="22"/>
      <w:szCs w:val="22"/>
      <w:lang w:eastAsia="en-US" w:bidi="en-US"/>
    </w:rPr>
  </w:style>
  <w:style w:type="character" w:styleId="940" w:customStyle="1">
    <w:name w:val="特点 Char1"/>
    <w:qFormat/>
    <w:rPr>
      <w:rFonts w:eastAsia="宋体"/>
      <w:sz w:val="21"/>
      <w:lang w:val="en-US" w:eastAsia="zh-CN" w:bidi="ar-SA"/>
    </w:rPr>
  </w:style>
  <w:style w:type="character" w:styleId="941" w:customStyle="1">
    <w:name w:val="Header Char"/>
    <w:qFormat/>
    <w:rPr>
      <w:rFonts w:cs="Times New Roman"/>
      <w:sz w:val="18"/>
      <w:szCs w:val="18"/>
    </w:rPr>
  </w:style>
  <w:style w:type="character" w:styleId="942" w:customStyle="1">
    <w:name w:val="Heading 1 Char"/>
    <w:qFormat/>
    <w:rPr>
      <w:rFonts w:ascii="Times New Roman" w:hAnsi="Times New Roman" w:eastAsia="宋体" w:cs="Times New Roman"/>
      <w:b/>
      <w:bCs/>
      <w:sz w:val="44"/>
      <w:szCs w:val="44"/>
    </w:rPr>
  </w:style>
  <w:style w:type="character" w:styleId="943" w:customStyle="1">
    <w:name w:val="标题 21"/>
    <w:rPr>
      <w:rFonts w:ascii="黑体" w:eastAsia="黑体"/>
      <w:b/>
      <w:sz w:val="30"/>
      <w:szCs w:val="30"/>
      <w:lang w:val="en-US" w:eastAsia="zh-CN" w:bidi="ar-SA"/>
    </w:rPr>
  </w:style>
  <w:style w:type="character" w:styleId="944" w:customStyle="1">
    <w:name w:val="Char Char2"/>
    <w:qFormat/>
    <w:rPr>
      <w:rFonts w:ascii="宋体" w:hAnsi="Courier New" w:eastAsia="宋体"/>
      <w:sz w:val="21"/>
      <w:szCs w:val="21"/>
      <w:lang w:val="en-US" w:eastAsia="zh-CN" w:bidi="ar-SA"/>
    </w:rPr>
  </w:style>
  <w:style w:type="character" w:styleId="945" w:customStyle="1">
    <w:name w:val="1page sec3 Char"/>
    <w:qFormat/>
    <w:rPr>
      <w:rFonts w:eastAsia="宋体"/>
      <w:sz w:val="18"/>
      <w:lang w:val="en-US" w:eastAsia="zh-CN"/>
    </w:rPr>
  </w:style>
  <w:style w:type="character" w:styleId="946" w:customStyle="1">
    <w:name w:val="normalfont1"/>
    <w:qFormat/>
    <w:rPr>
      <w:rFonts w:ascii="ˎ̥" w:hAnsi="ˎ̥"/>
      <w:sz w:val="18"/>
      <w:szCs w:val="18"/>
      <w:u w:val="none"/>
    </w:rPr>
  </w:style>
  <w:style w:type="character" w:styleId="947" w:customStyle="1">
    <w:name w:val="sect1.2.3 Char1"/>
    <w:qFormat/>
    <w:rPr>
      <w:rFonts w:eastAsia="宋体"/>
      <w:b/>
      <w:bCs/>
      <w:sz w:val="32"/>
      <w:szCs w:val="32"/>
      <w:lang w:val="en-US" w:eastAsia="zh-CN" w:bidi="ar-SA"/>
    </w:rPr>
  </w:style>
  <w:style w:type="character" w:styleId="948" w:customStyle="1">
    <w:name w:val="样式 宋体 小四"/>
    <w:qFormat/>
    <w:rPr>
      <w:rFonts w:ascii="宋体" w:hAnsi="宋体"/>
      <w:sz w:val="24"/>
    </w:rPr>
  </w:style>
  <w:style w:type="character" w:styleId="949" w:customStyle="1">
    <w:name w:val="页脚 Char"/>
    <w:uiPriority w:val="99"/>
    <w:rPr>
      <w:lang w:eastAsia="zh-CN"/>
    </w:rPr>
  </w:style>
  <w:style w:type="character" w:styleId="950" w:customStyle="1">
    <w:name w:val="样式 首行缩进:  2 字符 Char Char"/>
    <w:link w:val="951"/>
    <w:qFormat/>
    <w:rPr>
      <w:rFonts w:eastAsia="宋体" w:cs="宋体"/>
      <w:sz w:val="24"/>
      <w:lang w:val="en-US" w:eastAsia="zh-CN" w:bidi="ar-SA"/>
    </w:rPr>
  </w:style>
  <w:style w:type="paragraph" w:styleId="951" w:customStyle="1">
    <w:name w:val="样式 首行缩进:  2 字符"/>
    <w:basedOn w:val="699"/>
    <w:link w:val="950"/>
    <w:qFormat/>
    <w:pPr>
      <w:ind w:firstLine="480"/>
      <w:spacing w:line="360" w:lineRule="auto"/>
    </w:pPr>
    <w:rPr>
      <w:rFonts w:cs="宋体"/>
      <w:sz w:val="24"/>
      <w:szCs w:val="20"/>
    </w:rPr>
  </w:style>
  <w:style w:type="character" w:styleId="952" w:customStyle="1">
    <w:name w:val="textcontents"/>
    <w:qFormat/>
  </w:style>
  <w:style w:type="character" w:styleId="953" w:customStyle="1">
    <w:name w:val="明显引用 Char"/>
    <w:link w:val="954"/>
    <w:qFormat/>
    <w:rPr>
      <w:rFonts w:ascii="Cambria" w:hAnsi="Cambria" w:eastAsia="宋体"/>
      <w:caps/>
      <w:color w:val="622423"/>
      <w:spacing w:val="5"/>
      <w:lang w:val="en-US" w:eastAsia="en-US" w:bidi="en-US"/>
    </w:rPr>
  </w:style>
  <w:style w:type="paragraph" w:styleId="954" w:customStyle="1">
    <w:name w:val="明显引用1"/>
    <w:basedOn w:val="699"/>
    <w:next w:val="699"/>
    <w:link w:val="953"/>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55" w:customStyle="1">
    <w:name w:val="ih151"/>
    <w:qFormat/>
    <w:rPr>
      <w:color w:val="666666"/>
      <w:sz w:val="18"/>
      <w:szCs w:val="18"/>
      <w:u w:val="none"/>
    </w:rPr>
  </w:style>
  <w:style w:type="character" w:styleId="956" w:customStyle="1">
    <w:name w:val="content_lineheight1"/>
    <w:qFormat/>
  </w:style>
  <w:style w:type="character" w:styleId="957" w:customStyle="1">
    <w:name w:val="标题 3 Char1"/>
    <w:qFormat/>
    <w:rPr>
      <w:rFonts w:eastAsia="宋体"/>
      <w:b/>
      <w:bCs/>
      <w:sz w:val="32"/>
      <w:szCs w:val="32"/>
      <w:lang w:val="en-US" w:eastAsia="zh-CN" w:bidi="ar-SA"/>
    </w:rPr>
  </w:style>
  <w:style w:type="character" w:styleId="958" w:customStyle="1">
    <w:name w:val="apple-style-span"/>
    <w:qFormat/>
  </w:style>
  <w:style w:type="character" w:styleId="95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960" w:customStyle="1">
    <w:name w:val="样式 宋体"/>
    <w:qFormat/>
    <w:rPr>
      <w:rFonts w:ascii="宋体" w:hAnsi="宋体" w:eastAsia="宋体"/>
      <w:sz w:val="24"/>
      <w:szCs w:val="24"/>
    </w:rPr>
  </w:style>
  <w:style w:type="character" w:styleId="961" w:customStyle="1">
    <w:name w:val="Title1 Char"/>
    <w:qFormat/>
    <w:rPr>
      <w:rFonts w:eastAsia="宋体"/>
      <w:b/>
      <w:bCs/>
      <w:sz w:val="44"/>
      <w:szCs w:val="44"/>
      <w:lang w:val="en-US" w:eastAsia="zh-CN" w:bidi="ar-SA"/>
    </w:rPr>
  </w:style>
  <w:style w:type="character" w:styleId="962" w:customStyle="1">
    <w:name w:val="1page sec3 Char1"/>
    <w:qFormat/>
    <w:rPr>
      <w:sz w:val="18"/>
      <w:szCs w:val="18"/>
    </w:rPr>
  </w:style>
  <w:style w:type="character" w:styleId="963" w:customStyle="1">
    <w:name w:val="小四 段落 宋体 Char Char Char1"/>
    <w:qFormat/>
    <w:rPr>
      <w:rFonts w:ascii="宋体" w:hAnsi="宋体" w:eastAsia="宋体"/>
      <w:sz w:val="24"/>
      <w:szCs w:val="24"/>
      <w:lang w:val="en-US" w:eastAsia="zh-CN" w:bidi="ar-SA"/>
    </w:rPr>
  </w:style>
  <w:style w:type="character" w:styleId="964" w:customStyle="1">
    <w:name w:val="小四 段落 宋体 Char Char Char Char Char Char Char Char"/>
    <w:qFormat/>
    <w:rPr>
      <w:rFonts w:eastAsia="宋体"/>
      <w:sz w:val="24"/>
      <w:szCs w:val="24"/>
      <w:lang w:val="en-US" w:eastAsia="zh-CN" w:bidi="ar-SA"/>
    </w:rPr>
  </w:style>
  <w:style w:type="character" w:styleId="965" w:customStyle="1">
    <w:name w:val="Heading 2 Char"/>
    <w:qFormat/>
    <w:rPr>
      <w:rFonts w:ascii="Calibri Light" w:hAnsi="Calibri Light" w:eastAsia="宋体" w:cs="Times New Roman"/>
      <w:b/>
      <w:bCs/>
      <w:sz w:val="32"/>
      <w:szCs w:val="32"/>
    </w:rPr>
  </w:style>
  <w:style w:type="character" w:styleId="966" w:customStyle="1">
    <w:name w:val="小四 段落 宋体 Char Char Char Char1"/>
    <w:qFormat/>
    <w:rPr>
      <w:rFonts w:eastAsia="宋体"/>
      <w:sz w:val="24"/>
      <w:szCs w:val="24"/>
      <w:lang w:val="en-US" w:eastAsia="zh-CN" w:bidi="ar-SA"/>
    </w:rPr>
  </w:style>
  <w:style w:type="character" w:styleId="967" w:customStyle="1">
    <w:name w:val="标题 3 Char"/>
    <w:qFormat/>
    <w:rPr>
      <w:rFonts w:eastAsia="仿宋_GB2312"/>
      <w:b/>
      <w:bCs/>
      <w:sz w:val="28"/>
      <w:szCs w:val="32"/>
      <w:lang w:val="en-US" w:eastAsia="zh-CN" w:bidi="ar-SA"/>
    </w:rPr>
  </w:style>
  <w:style w:type="character" w:styleId="968" w:customStyle="1">
    <w:name w:val="标准小四 Char Char"/>
    <w:qFormat/>
    <w:rPr>
      <w:rFonts w:ascii="Arial" w:hAnsi="Arial" w:eastAsia="宋体"/>
      <w:sz w:val="24"/>
      <w:szCs w:val="21"/>
      <w:lang w:val="en-US" w:eastAsia="zh-CN" w:bidi="ar-SA"/>
    </w:rPr>
  </w:style>
  <w:style w:type="character" w:styleId="969" w:customStyle="1">
    <w:name w:val="subtitle1"/>
    <w:qFormat/>
    <w:rPr>
      <w:rFonts w:ascii="Georgia" w:hAnsi="Georgia"/>
      <w:b/>
      <w:bCs/>
      <w:color w:val="666666"/>
      <w:sz w:val="18"/>
      <w:szCs w:val="18"/>
    </w:rPr>
  </w:style>
  <w:style w:type="character" w:styleId="970" w:customStyle="1">
    <w:name w:val="标准文本 Char Char"/>
    <w:qFormat/>
    <w:rPr>
      <w:rFonts w:eastAsia="宋体" w:cs="宋体"/>
      <w:sz w:val="24"/>
      <w:szCs w:val="24"/>
      <w:lang w:val="en-US" w:eastAsia="zh-CN" w:bidi="ar-SA"/>
    </w:rPr>
  </w:style>
  <w:style w:type="character" w:styleId="971" w:customStyle="1">
    <w:name w:val="3zw"/>
    <w:qFormat/>
  </w:style>
  <w:style w:type="character" w:styleId="972" w:customStyle="1">
    <w:name w:val="t1"/>
    <w:qFormat/>
  </w:style>
  <w:style w:type="character" w:styleId="973" w:customStyle="1">
    <w:name w:val="H2 Char1"/>
    <w:qFormat/>
    <w:rPr>
      <w:rFonts w:ascii="Arial" w:hAnsi="Arial" w:eastAsia="黑体"/>
      <w:b/>
      <w:bCs/>
      <w:sz w:val="32"/>
      <w:szCs w:val="32"/>
      <w:lang w:val="en-US" w:eastAsia="zh-CN" w:bidi="ar-SA"/>
    </w:rPr>
  </w:style>
  <w:style w:type="character" w:styleId="974" w:customStyle="1">
    <w:name w:val="2nd level Char"/>
    <w:qFormat/>
    <w:rPr>
      <w:rFonts w:ascii="Arial" w:hAnsi="Arial" w:eastAsia="黑体"/>
      <w:b/>
      <w:bCs/>
      <w:sz w:val="32"/>
      <w:szCs w:val="32"/>
      <w:lang w:val="en-US" w:eastAsia="zh-CN" w:bidi="ar-SA"/>
    </w:rPr>
  </w:style>
  <w:style w:type="character" w:styleId="975" w:customStyle="1">
    <w:name w:val="Footer Char"/>
    <w:qFormat/>
    <w:rPr>
      <w:rFonts w:cs="Times New Roman"/>
      <w:sz w:val="18"/>
      <w:szCs w:val="18"/>
    </w:rPr>
  </w:style>
  <w:style w:type="character" w:styleId="976" w:customStyle="1">
    <w:name w:val="副标题 字符1"/>
    <w:rPr>
      <w:rFonts w:ascii="Cambria" w:hAnsi="Cambria"/>
      <w:sz w:val="24"/>
      <w:szCs w:val="24"/>
    </w:rPr>
  </w:style>
  <w:style w:type="paragraph" w:styleId="977" w:customStyle="1">
    <w:name w:val="p16"/>
    <w:basedOn w:val="699"/>
    <w:qFormat/>
    <w:pPr>
      <w:ind w:left="720"/>
      <w:jc w:val="left"/>
      <w:widowControl/>
    </w:pPr>
    <w:rPr>
      <w:rFonts w:ascii="Arial" w:hAnsi="Arial" w:cs="Arial"/>
      <w:sz w:val="24"/>
    </w:rPr>
  </w:style>
  <w:style w:type="paragraph" w:styleId="978" w:customStyle="1">
    <w:name w:val="Char Char Char Char Char Char Char Char Char Char Char Char Char Char Char Char Char Char Char Char Char Char Char"/>
    <w:basedOn w:val="699"/>
    <w:qFormat/>
    <w:rPr>
      <w:rFonts w:ascii="Tahoma" w:hAnsi="Tahoma"/>
      <w:sz w:val="24"/>
      <w:szCs w:val="20"/>
    </w:rPr>
  </w:style>
  <w:style w:type="paragraph" w:styleId="979" w:customStyle="1">
    <w:name w:val="段"/>
    <w:next w:val="699"/>
    <w:qFormat/>
    <w:pPr>
      <w:ind w:firstLine="200"/>
      <w:jc w:val="both"/>
    </w:pPr>
    <w:rPr>
      <w:rFonts w:ascii="宋体"/>
      <w:sz w:val="21"/>
    </w:rPr>
  </w:style>
  <w:style w:type="paragraph" w:styleId="980" w:customStyle="1">
    <w:name w:val="华宇段落1 Char"/>
    <w:basedOn w:val="699"/>
    <w:qFormat/>
    <w:pPr>
      <w:ind w:firstLine="200"/>
      <w:spacing w:line="360" w:lineRule="auto"/>
    </w:pPr>
    <w:rPr>
      <w:bCs/>
      <w:sz w:val="24"/>
    </w:rPr>
  </w:style>
  <w:style w:type="paragraph" w:styleId="981" w:customStyle="1">
    <w:name w:val="xl44"/>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2" w:customStyle="1">
    <w:name w:val="样式 样式 首行缩进:  2 字符 + 行距: 1.5 倍行距"/>
    <w:basedOn w:val="699"/>
    <w:qFormat/>
    <w:pPr>
      <w:ind w:firstLine="470"/>
      <w:spacing w:line="360" w:lineRule="auto"/>
    </w:pPr>
    <w:rPr>
      <w:sz w:val="24"/>
      <w:szCs w:val="20"/>
    </w:rPr>
  </w:style>
  <w:style w:type="paragraph" w:styleId="983" w:customStyle="1">
    <w:name w:val="xl33"/>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984" w:customStyle="1">
    <w:name w:val="1"/>
    <w:basedOn w:val="699"/>
    <w:next w:val="910"/>
    <w:qFormat/>
    <w:pPr>
      <w:spacing w:line="360" w:lineRule="auto"/>
    </w:pPr>
    <w:rPr>
      <w:rFonts w:eastAsia="仿宋_GB2312"/>
      <w:sz w:val="24"/>
    </w:rPr>
  </w:style>
  <w:style w:type="paragraph" w:styleId="985" w:customStyle="1">
    <w:name w:val="xl37"/>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986" w:customStyle="1">
    <w:name w:val="xl39"/>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7" w:customStyle="1">
    <w:name w:val="z-窗体底端1"/>
    <w:basedOn w:val="699"/>
    <w:next w:val="699"/>
    <w:qFormat/>
    <w:pPr>
      <w:jc w:val="center"/>
      <w:widowControl/>
      <w:pBdr>
        <w:top w:val="single" w:color="000000" w:sz="6" w:space="1"/>
      </w:pBdr>
    </w:pPr>
    <w:rPr>
      <w:rFonts w:ascii="Arial" w:hAnsi="Arial" w:cs="Arial"/>
      <w:vanish/>
      <w:sz w:val="16"/>
      <w:szCs w:val="16"/>
    </w:rPr>
  </w:style>
  <w:style w:type="paragraph" w:styleId="988" w:customStyle="1">
    <w:name w:val="xl40"/>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9" w:customStyle="1">
    <w:name w:val="正文 + 宋体"/>
    <w:basedOn w:val="699"/>
    <w:qFormat/>
    <w:pPr>
      <w:ind w:firstLine="420"/>
      <w:spacing w:line="360" w:lineRule="auto"/>
    </w:pPr>
  </w:style>
  <w:style w:type="paragraph" w:styleId="990" w:customStyle="1">
    <w:name w:val="正文格式"/>
    <w:basedOn w:val="699"/>
    <w:qFormat/>
    <w:pPr>
      <w:ind w:left="178" w:right="44" w:hanging="178"/>
      <w:jc w:val="left"/>
      <w:spacing w:line="360" w:lineRule="auto"/>
      <w:widowControl/>
    </w:pPr>
    <w:rPr>
      <w:rFonts w:ascii="宋体" w:hAnsi="宋体"/>
      <w:bCs/>
      <w:szCs w:val="21"/>
    </w:rPr>
  </w:style>
  <w:style w:type="paragraph" w:styleId="991" w:customStyle="1">
    <w:name w:val="flName"/>
    <w:basedOn w:val="992"/>
    <w:qFormat/>
    <w:pPr>
      <w:spacing w:before="0" w:line="113" w:lineRule="atLeast"/>
    </w:pPr>
  </w:style>
  <w:style w:type="paragraph" w:styleId="992" w:customStyle="1">
    <w:name w:val="flNote"/>
    <w:basedOn w:val="699"/>
    <w:qFormat/>
    <w:pPr>
      <w:jc w:val="center"/>
      <w:spacing w:before="567" w:line="360" w:lineRule="atLeast"/>
    </w:pPr>
    <w:rPr>
      <w:rFonts w:eastAsia="黑体"/>
      <w:b/>
      <w:sz w:val="24"/>
      <w:szCs w:val="20"/>
    </w:rPr>
  </w:style>
  <w:style w:type="paragraph" w:styleId="993" w:customStyle="1">
    <w:name w:val="标题 4宋体"/>
    <w:basedOn w:val="703"/>
    <w:qFormat/>
    <w:pPr>
      <w:jc w:val="left"/>
      <w:keepLines w:val="0"/>
      <w:spacing w:before="0" w:after="0" w:line="360" w:lineRule="auto"/>
    </w:pPr>
    <w:rPr>
      <w:rFonts w:ascii="宋体" w:hAnsi="宋体" w:eastAsia="宋体"/>
      <w:bCs/>
      <w:color w:val="000000"/>
      <w:sz w:val="24"/>
    </w:rPr>
  </w:style>
  <w:style w:type="paragraph" w:styleId="994" w:customStyle="1">
    <w:name w:val="Char Char Char Char Char Char Char Char Char Char Char"/>
    <w:basedOn w:val="699"/>
    <w:qFormat/>
    <w:rPr>
      <w:rFonts w:ascii="Tahoma" w:hAnsi="Tahoma"/>
      <w:sz w:val="24"/>
      <w:szCs w:val="20"/>
    </w:rPr>
  </w:style>
  <w:style w:type="paragraph" w:styleId="995" w:customStyle="1">
    <w:name w:val="xl38"/>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996" w:customStyle="1">
    <w:name w:val="font7"/>
    <w:basedOn w:val="699"/>
    <w:qFormat/>
    <w:pPr>
      <w:jc w:val="left"/>
      <w:spacing w:before="100" w:beforeAutospacing="1" w:after="100" w:afterAutospacing="1"/>
      <w:widowControl/>
    </w:pPr>
    <w:rPr>
      <w:rFonts w:hint="eastAsia" w:ascii="宋体" w:hAnsi="宋体"/>
      <w:b/>
      <w:bCs/>
      <w:sz w:val="24"/>
    </w:rPr>
  </w:style>
  <w:style w:type="paragraph" w:styleId="997" w:customStyle="1">
    <w:name w:val="Default"/>
    <w:qFormat/>
    <w:pPr>
      <w:widowControl w:val="off"/>
    </w:pPr>
    <w:rPr>
      <w:rFonts w:ascii="宋体" w:cs="宋体"/>
      <w:color w:val="000000"/>
      <w:sz w:val="24"/>
      <w:szCs w:val="24"/>
    </w:rPr>
  </w:style>
  <w:style w:type="paragraph" w:styleId="998" w:customStyle="1">
    <w:name w:val="章标题"/>
    <w:next w:val="979"/>
    <w:qFormat/>
    <w:pPr>
      <w:jc w:val="both"/>
      <w:outlineLvl w:val="1"/>
    </w:pPr>
    <w:rPr>
      <w:rFonts w:eastAsia="黑体"/>
      <w:sz w:val="21"/>
    </w:rPr>
  </w:style>
  <w:style w:type="paragraph" w:styleId="999" w:customStyle="1">
    <w:name w:val="样式2"/>
    <w:basedOn w:val="699"/>
    <w:qFormat/>
    <w:pPr>
      <w:ind w:left="200"/>
      <w:spacing w:line="360" w:lineRule="auto"/>
    </w:pPr>
    <w:rPr>
      <w:rFonts w:ascii="宋体" w:hAnsi="宋体"/>
      <w:b/>
      <w:sz w:val="24"/>
    </w:rPr>
  </w:style>
  <w:style w:type="paragraph" w:styleId="1000" w:customStyle="1">
    <w:name w:val="表头_5"/>
    <w:basedOn w:val="699"/>
    <w:qFormat/>
    <w:pPr>
      <w:spacing w:line="360" w:lineRule="auto"/>
    </w:pPr>
    <w:rPr>
      <w:b/>
      <w:bCs/>
      <w:sz w:val="28"/>
      <w:szCs w:val="21"/>
    </w:rPr>
  </w:style>
  <w:style w:type="paragraph" w:styleId="1001" w:customStyle="1">
    <w:name w:val="符号与编号 Char Char"/>
    <w:basedOn w:val="699"/>
    <w:qFormat/>
    <w:pPr>
      <w:ind w:left="839" w:hanging="419"/>
      <w:spacing w:line="400" w:lineRule="atLeast"/>
      <w:tabs>
        <w:tab w:val="left" w:pos="840" w:leader="none"/>
      </w:tabs>
    </w:pPr>
    <w:rPr>
      <w:sz w:val="24"/>
    </w:rPr>
  </w:style>
  <w:style w:type="paragraph" w:styleId="1002" w:customStyle="1">
    <w:name w:val="段落"/>
    <w:qFormat/>
    <w:pPr>
      <w:ind w:firstLine="480"/>
      <w:jc w:val="both"/>
      <w:spacing w:before="120" w:after="120" w:line="360" w:lineRule="auto"/>
    </w:pPr>
    <w:rPr>
      <w:rFonts w:eastAsia="仿宋_GB2312"/>
      <w:sz w:val="24"/>
      <w:szCs w:val="24"/>
    </w:rPr>
  </w:style>
  <w:style w:type="paragraph" w:styleId="1003" w:customStyle="1">
    <w:name w:val="标准小四"/>
    <w:basedOn w:val="699"/>
    <w:qFormat/>
    <w:pPr>
      <w:ind w:firstLine="480"/>
      <w:spacing w:line="360" w:lineRule="auto"/>
    </w:pPr>
    <w:rPr>
      <w:rFonts w:ascii="Arial" w:hAnsi="Arial"/>
      <w:sz w:val="24"/>
      <w:szCs w:val="21"/>
    </w:rPr>
  </w:style>
  <w:style w:type="paragraph" w:styleId="1004" w:customStyle="1">
    <w:name w:val="标题1，章节第一层"/>
    <w:basedOn w:val="990"/>
    <w:next w:val="990"/>
    <w:qFormat/>
    <w:pPr>
      <w:ind w:left="272" w:hanging="272"/>
      <w:jc w:val="center"/>
      <w:tabs>
        <w:tab w:val="left" w:pos="693" w:leader="none"/>
      </w:tabs>
      <w:outlineLvl w:val="0"/>
    </w:pPr>
    <w:rPr>
      <w:rFonts w:eastAsia="黑体"/>
      <w:color w:val="000000"/>
      <w:sz w:val="32"/>
      <w:szCs w:val="24"/>
      <w:lang w:val="zh-CN"/>
    </w:rPr>
  </w:style>
  <w:style w:type="paragraph" w:styleId="1005" w:customStyle="1">
    <w:name w:val="样式 样式 标题 3H3sect1.2.3BOD 0Heading 3 - oldh3l3CTLevel 3 Head... +..."/>
    <w:basedOn w:val="699"/>
    <w:qFormat/>
    <w:pPr>
      <w:jc w:val="left"/>
      <w:keepLines/>
      <w:keepNext/>
      <w:outlineLvl w:val="2"/>
    </w:pPr>
    <w:rPr>
      <w:rFonts w:cs="宋体"/>
      <w:b/>
      <w:bCs/>
      <w:sz w:val="24"/>
      <w:szCs w:val="20"/>
    </w:rPr>
  </w:style>
  <w:style w:type="paragraph" w:styleId="1006" w:customStyle="1">
    <w:name w:val="部分1"/>
    <w:basedOn w:val="699"/>
    <w:qFormat/>
    <w:pPr>
      <w:jc w:val="center"/>
      <w:keepNext/>
      <w:pageBreakBefore/>
      <w:spacing w:line="360" w:lineRule="auto"/>
      <w:tabs>
        <w:tab w:val="left" w:pos="360" w:leader="none"/>
      </w:tabs>
      <w:outlineLvl w:val="0"/>
    </w:pPr>
    <w:rPr>
      <w:rFonts w:eastAsia="黑体"/>
      <w:b/>
      <w:sz w:val="36"/>
      <w:szCs w:val="20"/>
    </w:rPr>
  </w:style>
  <w:style w:type="paragraph" w:styleId="1007" w:customStyle="1">
    <w:name w:val="Char Char Char Char Char Char Char Char Char Char Char Char Char Char"/>
    <w:basedOn w:val="699"/>
    <w:qFormat/>
    <w:rPr>
      <w:rFonts w:ascii="Tahoma" w:hAnsi="Tahoma"/>
      <w:sz w:val="24"/>
      <w:szCs w:val="20"/>
    </w:rPr>
  </w:style>
  <w:style w:type="paragraph" w:styleId="1008" w:customStyle="1">
    <w:name w:val="xl45"/>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9" w:customStyle="1">
    <w:name w:val="小四 段落 宋体 Char"/>
    <w:basedOn w:val="885"/>
    <w:qFormat/>
    <w:pPr>
      <w:ind w:left="0" w:right="-33" w:firstLine="600"/>
      <w:jc w:val="left"/>
      <w:tabs>
        <w:tab w:val="clear" w:pos="2952" w:leader="none"/>
      </w:tabs>
    </w:pPr>
    <w:rPr>
      <w:rFonts w:ascii="仿宋_GB2312" w:eastAsia="仿宋_GB2312"/>
      <w:sz w:val="30"/>
      <w:szCs w:val="30"/>
    </w:rPr>
  </w:style>
  <w:style w:type="paragraph" w:styleId="1010" w:customStyle="1">
    <w:name w:val="正文 首行缩进:  2 字符 Char"/>
    <w:basedOn w:val="699"/>
    <w:qFormat/>
    <w:pPr>
      <w:ind w:firstLine="480"/>
      <w:spacing w:line="360" w:lineRule="auto"/>
    </w:pPr>
    <w:rPr>
      <w:rFonts w:cs="宋体"/>
      <w:sz w:val="24"/>
      <w:szCs w:val="20"/>
    </w:rPr>
  </w:style>
  <w:style w:type="paragraph" w:styleId="1011" w:customStyle="1">
    <w:name w:val="7"/>
    <w:basedOn w:val="699"/>
    <w:next w:val="912"/>
    <w:qFormat/>
    <w:pPr>
      <w:jc w:val="left"/>
      <w:spacing w:before="100" w:beforeAutospacing="1" w:after="100" w:afterAutospacing="1"/>
      <w:widowControl/>
    </w:pPr>
    <w:rPr>
      <w:rFonts w:ascii="宋体" w:hAnsi="宋体"/>
      <w:sz w:val="24"/>
      <w:szCs w:val="20"/>
    </w:rPr>
  </w:style>
  <w:style w:type="paragraph" w:styleId="1012" w:customStyle="1">
    <w:name w:val="列出段落1"/>
    <w:basedOn w:val="699"/>
    <w:qFormat/>
    <w:pPr>
      <w:ind w:firstLine="420"/>
    </w:pPr>
    <w:rPr>
      <w:rFonts w:ascii="Calibri" w:hAnsi="Calibri"/>
      <w:szCs w:val="22"/>
    </w:rPr>
  </w:style>
  <w:style w:type="paragraph" w:styleId="1013" w:customStyle="1">
    <w:name w:val="Char Char Char Char"/>
    <w:basedOn w:val="699"/>
    <w:qFormat/>
    <w:pPr>
      <w:jc w:val="center"/>
      <w:spacing w:after="160" w:line="240" w:lineRule="exact"/>
      <w:widowControl/>
    </w:pPr>
    <w:rPr>
      <w:rFonts w:ascii="黑体" w:hAnsi="Verdana" w:eastAsia="黑体"/>
      <w:sz w:val="32"/>
      <w:szCs w:val="32"/>
      <w:lang w:eastAsia="en-US"/>
    </w:rPr>
  </w:style>
  <w:style w:type="paragraph" w:styleId="1014" w:customStyle="1">
    <w:name w:val="项目符号，二级"/>
    <w:basedOn w:val="990"/>
    <w:next w:val="990"/>
    <w:qFormat/>
    <w:pPr>
      <w:ind w:left="1337" w:right="-27" w:firstLine="480"/>
      <w:tabs>
        <w:tab w:val="left" w:pos="1211" w:leader="none"/>
        <w:tab w:val="left" w:pos="1337" w:leader="none"/>
      </w:tabs>
    </w:pPr>
    <w:rPr>
      <w:bCs w:val="0"/>
      <w:color w:val="000000"/>
      <w:sz w:val="24"/>
      <w:szCs w:val="24"/>
    </w:rPr>
  </w:style>
  <w:style w:type="paragraph" w:styleId="1015" w:customStyle="1">
    <w:name w:val="项目符号，一级"/>
    <w:basedOn w:val="990"/>
    <w:next w:val="990"/>
    <w:qFormat/>
    <w:pPr>
      <w:ind w:left="376" w:firstLine="0"/>
      <w:spacing w:line="240" w:lineRule="atLeast"/>
      <w:tabs>
        <w:tab w:val="left" w:pos="1320" w:leader="none"/>
      </w:tabs>
    </w:pPr>
    <w:rPr>
      <w:bCs w:val="0"/>
      <w:color w:val="000000"/>
      <w:szCs w:val="24"/>
    </w:rPr>
  </w:style>
  <w:style w:type="paragraph" w:styleId="1016" w:customStyle="1">
    <w:name w:val="样式1"/>
    <w:basedOn w:val="699"/>
    <w:qFormat/>
    <w:pPr>
      <w:ind w:firstLine="480"/>
      <w:spacing w:line="300" w:lineRule="auto"/>
    </w:pPr>
    <w:rPr>
      <w:sz w:val="24"/>
    </w:rPr>
  </w:style>
  <w:style w:type="paragraph" w:styleId="1017" w:customStyle="1">
    <w:name w:val="样式 标题 2第一章 标题 2Heading 2 HiddenHeading 2 CCBSheading 2H2h2..."/>
    <w:basedOn w:val="701"/>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18" w:customStyle="1">
    <w:name w:val="Char Char Char Char Char Char Char"/>
    <w:basedOn w:val="699"/>
    <w:qFormat/>
    <w:rPr>
      <w:rFonts w:ascii="Tahoma" w:hAnsi="Tahoma"/>
      <w:sz w:val="24"/>
      <w:szCs w:val="20"/>
    </w:rPr>
  </w:style>
  <w:style w:type="paragraph" w:styleId="1019" w:customStyle="1">
    <w:name w:val="默认段落字体 Para Char Char Char Char Char Char Char"/>
    <w:basedOn w:val="699"/>
    <w:qFormat/>
    <w:rPr>
      <w:rFonts w:ascii="Tahoma" w:hAnsi="Tahoma"/>
      <w:sz w:val="24"/>
      <w:szCs w:val="20"/>
    </w:rPr>
  </w:style>
  <w:style w:type="paragraph" w:styleId="1020" w:customStyle="1">
    <w:name w:val="马刚标题3"/>
    <w:basedOn w:val="699"/>
    <w:next w:val="6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21" w:customStyle="1">
    <w:name w:val="Char Char Char Char Char Char Char Char Char Char Char Char Char Char Char Char Char Char Char Char Char"/>
    <w:basedOn w:val="699"/>
    <w:qFormat/>
    <w:rPr>
      <w:rFonts w:ascii="Tahoma" w:hAnsi="Tahoma"/>
      <w:sz w:val="24"/>
      <w:szCs w:val="20"/>
    </w:rPr>
  </w:style>
  <w:style w:type="paragraph" w:styleId="1022" w:customStyle="1">
    <w:name w:val="正文_0_0"/>
    <w:qFormat/>
    <w:pPr>
      <w:jc w:val="both"/>
      <w:widowControl w:val="off"/>
    </w:pPr>
    <w:rPr>
      <w:sz w:val="21"/>
      <w:szCs w:val="24"/>
    </w:rPr>
  </w:style>
  <w:style w:type="paragraph" w:styleId="1023" w:customStyle="1">
    <w:name w:val="正文 居中"/>
    <w:basedOn w:val="699"/>
    <w:qFormat/>
    <w:pPr>
      <w:jc w:val="center"/>
      <w:spacing w:line="360" w:lineRule="auto"/>
    </w:pPr>
    <w:rPr>
      <w:sz w:val="24"/>
      <w:szCs w:val="20"/>
    </w:rPr>
  </w:style>
  <w:style w:type="paragraph" w:styleId="1024" w:customStyle="1">
    <w:name w:val="Char Char Char1"/>
    <w:basedOn w:val="699"/>
    <w:qFormat/>
    <w:rPr>
      <w:rFonts w:ascii="Tahoma" w:hAnsi="Tahoma"/>
      <w:sz w:val="24"/>
      <w:szCs w:val="20"/>
    </w:rPr>
  </w:style>
  <w:style w:type="paragraph" w:styleId="1025" w:customStyle="1">
    <w:name w:val="宏图高科"/>
    <w:basedOn w:val="699"/>
    <w:qFormat/>
    <w:pPr>
      <w:ind w:firstLine="480"/>
      <w:spacing w:line="360" w:lineRule="auto"/>
    </w:pPr>
    <w:rPr>
      <w:rFonts w:eastAsia="楷体_GB2312"/>
      <w:sz w:val="24"/>
      <w:szCs w:val="20"/>
    </w:rPr>
  </w:style>
  <w:style w:type="paragraph" w:styleId="1026" w:customStyle="1">
    <w:name w:val="小四 段落 宋体 Char Char Char Char"/>
    <w:basedOn w:val="699"/>
    <w:qFormat/>
    <w:pPr>
      <w:ind w:right="-33" w:firstLine="480"/>
      <w:jc w:val="left"/>
      <w:spacing w:line="360" w:lineRule="auto"/>
    </w:pPr>
    <w:rPr>
      <w:sz w:val="24"/>
    </w:rPr>
  </w:style>
  <w:style w:type="paragraph" w:styleId="1027" w:customStyle="1">
    <w:name w:val="tableau"/>
    <w:basedOn w:val="699"/>
    <w:qFormat/>
    <w:pPr>
      <w:jc w:val="center"/>
      <w:spacing w:before="20" w:after="20"/>
      <w:widowControl/>
    </w:pPr>
    <w:rPr>
      <w:rFonts w:ascii="Arial" w:hAnsi="Arial"/>
      <w:sz w:val="16"/>
      <w:szCs w:val="20"/>
      <w:lang w:val="en-GB" w:eastAsia="en-US"/>
    </w:rPr>
  </w:style>
  <w:style w:type="paragraph" w:styleId="1028" w:customStyle="1">
    <w:name w:val="content_lineheight"/>
    <w:basedOn w:val="699"/>
    <w:qFormat/>
    <w:pPr>
      <w:jc w:val="left"/>
      <w:spacing w:before="100" w:beforeAutospacing="1" w:after="100" w:afterAutospacing="1"/>
      <w:widowControl/>
    </w:pPr>
    <w:rPr>
      <w:rFonts w:ascii="宋体" w:hAnsi="宋体"/>
      <w:sz w:val="24"/>
    </w:rPr>
  </w:style>
  <w:style w:type="paragraph" w:styleId="1029" w:customStyle="1">
    <w:name w:val="样式 样式 首行缩进:  0.74 厘米 行距: 1.5 倍行距 + 段后: 0.5 行"/>
    <w:basedOn w:val="699"/>
    <w:qFormat/>
    <w:pPr>
      <w:ind w:firstLine="420"/>
      <w:spacing w:line="360" w:lineRule="auto"/>
    </w:pPr>
    <w:rPr>
      <w:rFonts w:ascii="楷体_GB2312" w:eastAsia="楷体_GB2312"/>
      <w:bCs/>
      <w:sz w:val="24"/>
      <w:szCs w:val="20"/>
    </w:rPr>
  </w:style>
  <w:style w:type="paragraph" w:styleId="1030" w:customStyle="1">
    <w:name w:val="Char Char Char Char Char Char Char Char Char1"/>
    <w:basedOn w:val="699"/>
    <w:qFormat/>
    <w:pPr>
      <w:ind w:left="360" w:hanging="360"/>
      <w:tabs>
        <w:tab w:val="left" w:pos="360" w:leader="none"/>
      </w:tabs>
    </w:pPr>
    <w:rPr>
      <w:sz w:val="24"/>
    </w:rPr>
  </w:style>
  <w:style w:type="paragraph" w:styleId="1031" w:customStyle="1">
    <w:name w:val="项目符号：一级"/>
    <w:basedOn w:val="990"/>
    <w:next w:val="990"/>
    <w:qFormat/>
    <w:pPr>
      <w:ind w:right="-134"/>
    </w:pPr>
    <w:rPr>
      <w:bCs w:val="0"/>
    </w:rPr>
  </w:style>
  <w:style w:type="paragraph" w:styleId="1032" w:customStyle="1">
    <w:name w:val="正文缩进2字符"/>
    <w:basedOn w:val="699"/>
    <w:qFormat/>
    <w:pPr>
      <w:ind w:firstLine="200"/>
      <w:spacing w:line="300" w:lineRule="auto"/>
    </w:pPr>
    <w:rPr>
      <w:rFonts w:ascii="仿宋_GB2312" w:eastAsia="仿宋_GB2312"/>
      <w:sz w:val="32"/>
      <w:szCs w:val="32"/>
    </w:rPr>
  </w:style>
  <w:style w:type="paragraph" w:styleId="1033" w:customStyle="1">
    <w:name w:val="font6"/>
    <w:basedOn w:val="699"/>
    <w:qFormat/>
    <w:pPr>
      <w:jc w:val="left"/>
      <w:spacing w:before="100" w:beforeAutospacing="1" w:after="100" w:afterAutospacing="1"/>
      <w:widowControl/>
    </w:pPr>
    <w:rPr>
      <w:szCs w:val="21"/>
    </w:rPr>
  </w:style>
  <w:style w:type="paragraph" w:styleId="1034" w:customStyle="1">
    <w:name w:val="标题3，章节第三层"/>
    <w:basedOn w:val="699"/>
    <w:next w:val="990"/>
    <w:qFormat/>
    <w:pPr>
      <w:spacing w:before="78" w:line="300" w:lineRule="auto"/>
      <w:outlineLvl w:val="2"/>
    </w:pPr>
    <w:rPr>
      <w:rFonts w:ascii="Arial" w:hAnsi="Arial" w:eastAsia="华文细黑"/>
      <w:sz w:val="30"/>
    </w:rPr>
  </w:style>
  <w:style w:type="paragraph" w:styleId="1035" w:customStyle="1">
    <w:name w:val="表蕊"/>
    <w:basedOn w:val="699"/>
    <w:qFormat/>
    <w:pPr>
      <w:jc w:val="left"/>
      <w:spacing w:line="320" w:lineRule="atLeast"/>
    </w:pPr>
    <w:rPr>
      <w:rFonts w:eastAsia="楷体_GB2312"/>
      <w:spacing w:val="-10"/>
      <w:szCs w:val="20"/>
    </w:rPr>
  </w:style>
  <w:style w:type="paragraph" w:styleId="1036" w:customStyle="1">
    <w:name w:val="公文正文"/>
    <w:basedOn w:val="894"/>
    <w:qFormat/>
    <w:pPr>
      <w:ind w:left="0" w:firstLine="200"/>
      <w:spacing w:after="0"/>
    </w:pPr>
    <w:rPr>
      <w:rFonts w:ascii="仿宋_GB2312" w:hAnsi="宋体" w:eastAsia="仿宋_GB2312"/>
      <w:sz w:val="28"/>
    </w:rPr>
  </w:style>
  <w:style w:type="paragraph" w:styleId="1037" w:customStyle="1">
    <w:name w:val="样式4 Char"/>
    <w:basedOn w:val="699"/>
    <w:qFormat/>
    <w:pPr>
      <w:ind w:firstLine="480"/>
      <w:jc w:val="left"/>
      <w:spacing w:line="360" w:lineRule="auto"/>
      <w:widowControl/>
    </w:pPr>
    <w:rPr>
      <w:rFonts w:cs="宋体"/>
      <w:color w:val="000000"/>
      <w:sz w:val="24"/>
    </w:rPr>
  </w:style>
  <w:style w:type="paragraph" w:styleId="1038" w:customStyle="1">
    <w:name w:val="zw"/>
    <w:basedOn w:val="699"/>
    <w:qFormat/>
    <w:pPr>
      <w:ind w:firstLine="480"/>
      <w:jc w:val="left"/>
      <w:spacing w:line="360" w:lineRule="auto"/>
      <w:widowControl/>
    </w:pPr>
    <w:rPr>
      <w:rFonts w:ascii="宋体" w:hAnsi="宋体"/>
      <w:bCs/>
      <w:sz w:val="24"/>
      <w:szCs w:val="20"/>
    </w:rPr>
  </w:style>
  <w:style w:type="paragraph" w:styleId="1039" w:customStyle="1">
    <w:name w:val="retrait3"/>
    <w:basedOn w:val="699"/>
    <w:qFormat/>
    <w:pPr>
      <w:ind w:left="851"/>
      <w:jc w:val="left"/>
      <w:spacing w:before="20" w:after="20"/>
      <w:widowControl/>
    </w:pPr>
    <w:rPr>
      <w:rFonts w:ascii="Arial" w:hAnsi="Arial"/>
      <w:sz w:val="24"/>
      <w:szCs w:val="20"/>
      <w:lang w:val="en-GB"/>
    </w:rPr>
  </w:style>
  <w:style w:type="paragraph" w:styleId="1040" w:customStyle="1">
    <w:name w:val="Char2"/>
    <w:basedOn w:val="887"/>
    <w:qFormat/>
    <w:rPr>
      <w:rFonts w:ascii="Tahoma" w:hAnsi="Tahoma"/>
      <w:sz w:val="24"/>
    </w:rPr>
  </w:style>
  <w:style w:type="paragraph" w:styleId="1041" w:customStyle="1">
    <w:name w:val="方案正文"/>
    <w:basedOn w:val="699"/>
    <w:qFormat/>
    <w:pPr>
      <w:ind w:firstLine="359"/>
      <w:jc w:val="left"/>
      <w:spacing w:before="156" w:line="360" w:lineRule="auto"/>
    </w:pPr>
    <w:rPr>
      <w:rFonts w:ascii="Arial" w:hAnsi="Arial" w:cs="宋体"/>
      <w:sz w:val="24"/>
      <w:szCs w:val="21"/>
    </w:rPr>
  </w:style>
  <w:style w:type="paragraph" w:styleId="1042" w:customStyle="1">
    <w:name w:val="标题4，章节第四层"/>
    <w:basedOn w:val="699"/>
    <w:next w:val="699"/>
    <w:qFormat/>
    <w:pPr>
      <w:spacing w:line="360" w:lineRule="auto"/>
      <w:tabs>
        <w:tab w:val="left" w:pos="0" w:leader="none"/>
      </w:tabs>
      <w:outlineLvl w:val="3"/>
    </w:pPr>
    <w:rPr>
      <w:rFonts w:ascii="宋体" w:hAnsi="宋体"/>
      <w:b/>
      <w:sz w:val="24"/>
    </w:rPr>
  </w:style>
  <w:style w:type="paragraph" w:styleId="1043" w:customStyle="1">
    <w:name w:val="小四 段落 宋体 Char Char Char"/>
    <w:basedOn w:val="885"/>
    <w:qFormat/>
    <w:pPr>
      <w:ind w:left="0" w:right="-33" w:firstLine="545"/>
      <w:jc w:val="left"/>
      <w:spacing w:line="360" w:lineRule="auto"/>
      <w:tabs>
        <w:tab w:val="clear" w:pos="2952" w:leader="none"/>
      </w:tabs>
    </w:pPr>
    <w:rPr>
      <w:sz w:val="24"/>
    </w:rPr>
  </w:style>
  <w:style w:type="paragraph" w:styleId="1044" w:customStyle="1">
    <w:name w:val="文档正文"/>
    <w:basedOn w:val="699"/>
    <w:qFormat/>
    <w:pPr>
      <w:spacing w:line="360" w:lineRule="auto"/>
    </w:pPr>
    <w:rPr>
      <w:rFonts w:ascii="宋体" w:hAnsi="宋体"/>
      <w:b/>
      <w:bCs/>
    </w:rPr>
  </w:style>
  <w:style w:type="paragraph" w:styleId="1045" w:customStyle="1">
    <w:name w:val="丁华标题2"/>
    <w:basedOn w:val="701"/>
    <w:next w:val="1046"/>
    <w:qFormat/>
    <w:pPr>
      <w:ind w:left="567" w:hanging="567"/>
      <w:jc w:val="left"/>
      <w:spacing w:before="120" w:after="120"/>
      <w:tabs>
        <w:tab w:val="left" w:pos="567" w:leader="none"/>
      </w:tabs>
    </w:pPr>
    <w:rPr>
      <w:color w:val="000000"/>
      <w:sz w:val="28"/>
      <w:szCs w:val="20"/>
    </w:rPr>
  </w:style>
  <w:style w:type="paragraph" w:styleId="1046" w:customStyle="1">
    <w:name w:val="丁华正文"/>
    <w:basedOn w:val="909"/>
    <w:qFormat/>
    <w:pPr>
      <w:ind w:left="0" w:firstLine="510"/>
      <w:spacing w:before="0" w:after="0" w:line="360" w:lineRule="auto"/>
    </w:pPr>
    <w:rPr>
      <w:rFonts w:ascii="宋体" w:hAnsi="Arial"/>
      <w:bCs w:val="0"/>
      <w:color w:val="000000"/>
      <w:szCs w:val="16"/>
    </w:rPr>
  </w:style>
  <w:style w:type="paragraph" w:styleId="1047" w:customStyle="1">
    <w:name w:val="表格内容"/>
    <w:basedOn w:val="699"/>
    <w:qFormat/>
    <w:pPr>
      <w:jc w:val="center"/>
      <w:spacing w:before="60" w:line="300" w:lineRule="auto"/>
      <w:widowControl/>
    </w:pPr>
    <w:rPr>
      <w:szCs w:val="20"/>
    </w:rPr>
  </w:style>
  <w:style w:type="paragraph" w:styleId="1048" w:customStyle="1">
    <w:name w:val="样式 小四 段前: 3 磅 段后: 3 磅 行距: 1.5 倍行距"/>
    <w:basedOn w:val="699"/>
    <w:qFormat/>
    <w:pPr>
      <w:ind w:firstLine="540"/>
      <w:spacing w:before="60" w:after="60" w:line="360" w:lineRule="auto"/>
    </w:pPr>
    <w:rPr>
      <w:rFonts w:cs="宋体"/>
      <w:sz w:val="24"/>
    </w:rPr>
  </w:style>
  <w:style w:type="paragraph" w:styleId="1049" w:customStyle="1">
    <w:name w:val="正文表标题"/>
    <w:next w:val="979"/>
    <w:qFormat/>
    <w:pPr>
      <w:ind w:left="900" w:hanging="420"/>
      <w:jc w:val="center"/>
      <w:tabs>
        <w:tab w:val="left" w:pos="900" w:leader="none"/>
      </w:tabs>
    </w:pPr>
    <w:rPr>
      <w:rFonts w:ascii="黑体" w:eastAsia="黑体"/>
      <w:sz w:val="21"/>
    </w:rPr>
  </w:style>
  <w:style w:type="paragraph" w:styleId="1050" w:customStyle="1">
    <w:name w:val="列出段落11"/>
    <w:basedOn w:val="699"/>
    <w:qFormat/>
    <w:pPr>
      <w:contextualSpacing/>
      <w:ind w:left="720"/>
      <w:jc w:val="left"/>
      <w:widowControl/>
    </w:pPr>
    <w:rPr>
      <w:rFonts w:ascii="Arial" w:hAnsi="Arial" w:eastAsia="黑体"/>
      <w:sz w:val="24"/>
      <w:lang w:eastAsia="en-US"/>
    </w:rPr>
  </w:style>
  <w:style w:type="paragraph" w:styleId="1051" w:customStyle="1">
    <w:name w:val="正文--表格内正文"/>
    <w:basedOn w:val="699"/>
    <w:qFormat/>
    <w:pPr>
      <w:jc w:val="center"/>
      <w:spacing w:line="0" w:lineRule="atLeast"/>
    </w:pPr>
    <w:rPr>
      <w:rFonts w:ascii="宋体" w:hAnsi="宋体"/>
      <w:color w:val="000000"/>
      <w:sz w:val="24"/>
    </w:rPr>
  </w:style>
  <w:style w:type="paragraph" w:styleId="1052" w:customStyle="1">
    <w:name w:val="公文标题 2"/>
    <w:basedOn w:val="699"/>
    <w:next w:val="1036"/>
    <w:qFormat/>
    <w:pPr>
      <w:outlineLvl w:val="1"/>
    </w:pPr>
    <w:rPr>
      <w:rFonts w:ascii="仿宋_GB2312" w:hAnsi="宋体" w:eastAsia="仿宋_GB2312"/>
      <w:sz w:val="28"/>
    </w:rPr>
  </w:style>
  <w:style w:type="paragraph" w:styleId="1053" w:customStyle="1">
    <w:name w:val="标题5，章节第五层"/>
    <w:basedOn w:val="699"/>
    <w:next w:val="6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54" w:customStyle="1">
    <w:name w:val="样式 段后: 0.5 行 左  0.75 字符"/>
    <w:basedOn w:val="699"/>
    <w:qFormat/>
    <w:pPr>
      <w:ind w:firstLine="420"/>
      <w:spacing w:line="360" w:lineRule="auto"/>
      <w:widowControl/>
    </w:pPr>
    <w:rPr>
      <w:rFonts w:hAnsi="Arial" w:cs="Arial"/>
      <w:szCs w:val="21"/>
    </w:rPr>
  </w:style>
  <w:style w:type="paragraph" w:styleId="1055" w:customStyle="1">
    <w:name w:val="Char Char2 Char"/>
    <w:basedOn w:val="699"/>
    <w:qFormat/>
    <w:pPr>
      <w:ind w:left="390" w:hanging="390"/>
      <w:keepLines/>
      <w:keepNext/>
      <w:pageBreakBefore/>
      <w:tabs>
        <w:tab w:val="left" w:pos="390" w:leader="none"/>
      </w:tabs>
    </w:pPr>
    <w:rPr>
      <w:rFonts w:ascii="Tahoma" w:hAnsi="Tahoma"/>
      <w:sz w:val="24"/>
      <w:szCs w:val="20"/>
    </w:rPr>
  </w:style>
  <w:style w:type="paragraph" w:styleId="1056" w:customStyle="1">
    <w:name w:val="Char1 Char Char Char"/>
    <w:basedOn w:val="699"/>
    <w:qFormat/>
    <w:rPr>
      <w:rFonts w:ascii="Tahoma" w:hAnsi="Tahoma"/>
      <w:sz w:val="24"/>
      <w:szCs w:val="20"/>
    </w:rPr>
  </w:style>
  <w:style w:type="paragraph" w:styleId="1057" w:customStyle="1">
    <w:name w:val="z-窗体顶端1"/>
    <w:basedOn w:val="699"/>
    <w:next w:val="699"/>
    <w:qFormat/>
    <w:pPr>
      <w:jc w:val="center"/>
      <w:widowControl/>
      <w:pBdr>
        <w:bottom w:val="single" w:color="000000" w:sz="6" w:space="1"/>
      </w:pBdr>
    </w:pPr>
    <w:rPr>
      <w:rFonts w:ascii="Arial" w:hAnsi="Arial" w:cs="Arial"/>
      <w:vanish/>
      <w:sz w:val="16"/>
      <w:szCs w:val="16"/>
    </w:rPr>
  </w:style>
  <w:style w:type="paragraph" w:styleId="1058" w:customStyle="1">
    <w:name w:val="Char Char Char Char Char Char Char1"/>
    <w:basedOn w:val="699"/>
    <w:qFormat/>
    <w:pPr>
      <w:jc w:val="left"/>
    </w:pPr>
    <w:rPr>
      <w:rFonts w:ascii="Tahoma" w:hAnsi="Tahoma"/>
      <w:sz w:val="24"/>
      <w:szCs w:val="20"/>
    </w:rPr>
  </w:style>
  <w:style w:type="paragraph" w:styleId="1059" w:customStyle="1">
    <w:name w:val="条1"/>
    <w:basedOn w:val="699"/>
    <w:qFormat/>
    <w:pPr>
      <w:ind w:left="780" w:hanging="360"/>
      <w:spacing w:before="156" w:line="360" w:lineRule="auto"/>
      <w:tabs>
        <w:tab w:val="left" w:pos="780" w:leader="none"/>
      </w:tabs>
    </w:pPr>
    <w:rPr>
      <w:rFonts w:eastAsia="黑体"/>
      <w:sz w:val="24"/>
      <w:szCs w:val="20"/>
    </w:rPr>
  </w:style>
  <w:style w:type="paragraph" w:styleId="1060" w:customStyle="1">
    <w:name w:val="正文文本 New New"/>
    <w:basedOn w:val="699"/>
    <w:qFormat/>
    <w:pPr>
      <w:ind w:firstLine="200"/>
      <w:spacing w:before="60" w:after="60" w:line="360" w:lineRule="auto"/>
      <w:widowControl/>
    </w:pPr>
    <w:rPr>
      <w:rFonts w:eastAsia="华文楷体"/>
      <w:sz w:val="24"/>
    </w:rPr>
  </w:style>
  <w:style w:type="paragraph" w:styleId="1061" w:customStyle="1">
    <w:name w:val="Char Char1 Char Char Char Char1 Char Char Char Char Char Char"/>
    <w:basedOn w:val="699"/>
    <w:qFormat/>
    <w:rPr>
      <w:rFonts w:ascii="Tahoma" w:hAnsi="Tahoma"/>
      <w:sz w:val="24"/>
      <w:szCs w:val="20"/>
    </w:rPr>
  </w:style>
  <w:style w:type="paragraph" w:styleId="1062" w:customStyle="1">
    <w:name w:val="表格内文字"/>
    <w:basedOn w:val="699"/>
    <w:qFormat/>
    <w:pPr>
      <w:spacing w:line="300" w:lineRule="atLeast"/>
    </w:pPr>
    <w:rPr>
      <w:sz w:val="18"/>
    </w:rPr>
  </w:style>
  <w:style w:type="paragraph" w:styleId="1063" w:customStyle="1">
    <w:name w:val="正文 首行缩进:  2 字符 Char Char"/>
    <w:basedOn w:val="699"/>
    <w:qFormat/>
    <w:pPr>
      <w:ind w:firstLine="480"/>
      <w:spacing w:line="360" w:lineRule="auto"/>
    </w:pPr>
    <w:rPr>
      <w:rFonts w:ascii="楷体_GB2312" w:eastAsia="楷体_GB2312"/>
      <w:bCs/>
      <w:sz w:val="24"/>
    </w:rPr>
  </w:style>
  <w:style w:type="paragraph" w:styleId="1064" w:customStyle="1">
    <w:name w:val="xl28"/>
    <w:basedOn w:val="699"/>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065" w:customStyle="1">
    <w:name w:val="正文lzq"/>
    <w:basedOn w:val="699"/>
    <w:qFormat/>
    <w:pPr>
      <w:ind w:firstLine="480"/>
      <w:spacing w:line="360" w:lineRule="auto"/>
    </w:pPr>
    <w:rPr>
      <w:sz w:val="24"/>
      <w:szCs w:val="20"/>
    </w:rPr>
  </w:style>
  <w:style w:type="paragraph" w:styleId="1066" w:customStyle="1">
    <w:name w:val="标题2，章节第二层"/>
    <w:basedOn w:val="699"/>
    <w:next w:val="990"/>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067" w:customStyle="1">
    <w:name w:val="目录标题"/>
    <w:basedOn w:val="700"/>
    <w:next w:val="699"/>
    <w:uiPriority w:val="39"/>
    <w:unhideWhenUsed/>
    <w:qFormat/>
    <w:pPr>
      <w:jc w:val="left"/>
      <w:spacing w:before="480" w:after="0" w:line="276" w:lineRule="auto"/>
      <w:widowControl/>
      <w:outlineLvl w:val="9"/>
    </w:pPr>
    <w:rPr>
      <w:rFonts w:ascii="Cambria" w:hAnsi="Cambria"/>
      <w:color w:val="365f91"/>
      <w:sz w:val="28"/>
      <w:szCs w:val="28"/>
    </w:rPr>
  </w:style>
  <w:style w:type="paragraph" w:styleId="1068" w:customStyle="1">
    <w:name w:val="Test2"/>
    <w:basedOn w:val="701"/>
    <w:qFormat/>
    <w:pPr>
      <w:jc w:val="center"/>
      <w:spacing w:line="480" w:lineRule="exact"/>
      <w:widowControl/>
    </w:pPr>
    <w:rPr>
      <w:rFonts w:ascii="黑体"/>
      <w:sz w:val="24"/>
      <w:szCs w:val="24"/>
    </w:rPr>
  </w:style>
  <w:style w:type="paragraph" w:styleId="1069" w:customStyle="1">
    <w:name w:val="Char Char11"/>
    <w:basedOn w:val="699"/>
    <w:qFormat/>
    <w:rPr>
      <w:rFonts w:ascii="Tahoma" w:hAnsi="Tahoma"/>
      <w:sz w:val="24"/>
      <w:szCs w:val="20"/>
    </w:rPr>
  </w:style>
  <w:style w:type="paragraph" w:styleId="1070" w:customStyle="1">
    <w:name w:val="样式 模板正文 + 左侧:  2 字符 段前: 0 磅 行距: 单倍行距"/>
    <w:basedOn w:val="699"/>
    <w:qFormat/>
    <w:pPr>
      <w:ind w:firstLine="200"/>
      <w:spacing w:before="120" w:line="320" w:lineRule="exact"/>
    </w:pPr>
    <w:rPr>
      <w:rFonts w:ascii="Arial" w:hAnsi="Arial" w:cs="宋体"/>
      <w:szCs w:val="20"/>
    </w:rPr>
  </w:style>
  <w:style w:type="paragraph" w:styleId="1071" w:customStyle="1">
    <w:name w:val="flType"/>
    <w:basedOn w:val="991"/>
    <w:qFormat/>
    <w:pPr>
      <w:spacing w:after="284"/>
    </w:pPr>
    <w:rPr>
      <w:rFonts w:eastAsia="宋体"/>
      <w:b w:val="0"/>
    </w:rPr>
  </w:style>
  <w:style w:type="paragraph" w:styleId="1072" w:customStyle="1">
    <w:name w:val="Char Char Char Char Char Char Char Char Char"/>
    <w:basedOn w:val="699"/>
    <w:qFormat/>
    <w:rPr>
      <w:szCs w:val="21"/>
    </w:rPr>
  </w:style>
  <w:style w:type="paragraph" w:styleId="1073" w:customStyle="1">
    <w:name w:val="Char"/>
    <w:basedOn w:val="699"/>
    <w:qFormat/>
    <w:pPr>
      <w:spacing w:line="360" w:lineRule="auto"/>
    </w:pPr>
    <w:rPr>
      <w:rFonts w:ascii="Tahoma" w:hAnsi="Tahoma"/>
      <w:sz w:val="24"/>
      <w:szCs w:val="20"/>
    </w:rPr>
  </w:style>
  <w:style w:type="paragraph" w:styleId="1074" w:customStyle="1">
    <w:name w:val="a0"/>
    <w:basedOn w:val="699"/>
    <w:qFormat/>
    <w:pPr>
      <w:spacing w:before="100" w:beforeAutospacing="1" w:after="100" w:afterAutospacing="1"/>
      <w:widowControl/>
    </w:pPr>
    <w:rPr>
      <w:rFonts w:ascii="宋体" w:hAnsi="宋体" w:cs="宋体"/>
      <w:sz w:val="24"/>
    </w:rPr>
  </w:style>
  <w:style w:type="paragraph" w:styleId="1075" w:customStyle="1">
    <w:name w:val="xl34"/>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customStyle="1">
    <w:name w:val="正文1"/>
    <w:basedOn w:val="699"/>
    <w:next w:val="699"/>
    <w:qFormat/>
    <w:pPr>
      <w:ind w:firstLine="510"/>
      <w:spacing w:before="156" w:line="360" w:lineRule="auto"/>
    </w:pPr>
    <w:rPr>
      <w:sz w:val="24"/>
      <w:szCs w:val="20"/>
    </w:rPr>
  </w:style>
  <w:style w:type="paragraph" w:styleId="1077" w:customStyle="1">
    <w:name w:val="a"/>
    <w:basedOn w:val="699"/>
    <w:qFormat/>
    <w:pPr>
      <w:spacing w:before="100" w:beforeAutospacing="1" w:after="100" w:afterAutospacing="1"/>
      <w:widowControl/>
    </w:pPr>
    <w:rPr>
      <w:rFonts w:ascii="宋体" w:hAnsi="宋体" w:cs="宋体"/>
      <w:sz w:val="24"/>
    </w:rPr>
  </w:style>
  <w:style w:type="paragraph" w:styleId="1078" w:customStyle="1">
    <w:name w:val="标准文本"/>
    <w:basedOn w:val="699"/>
    <w:qFormat/>
    <w:pPr>
      <w:ind w:firstLine="480"/>
      <w:spacing w:line="360" w:lineRule="auto"/>
    </w:pPr>
    <w:rPr>
      <w:rFonts w:cs="宋体"/>
      <w:sz w:val="24"/>
    </w:rPr>
  </w:style>
  <w:style w:type="paragraph" w:styleId="1079" w:customStyle="1">
    <w:name w:val="CD 正文"/>
    <w:basedOn w:val="699"/>
    <w:qFormat/>
    <w:pPr>
      <w:jc w:val="left"/>
    </w:pPr>
    <w:rPr>
      <w:rFonts w:ascii="Arial" w:hAnsi="Arial" w:eastAsia="微软雅黑"/>
    </w:rPr>
  </w:style>
  <w:style w:type="paragraph" w:styleId="1080" w:customStyle="1">
    <w:name w:val="样式 标题 3H3sect1.2.3BOD 0Heading 3 - oldh3l3CTLevel 3 Head..."/>
    <w:basedOn w:val="702"/>
    <w:qFormat/>
    <w:pPr>
      <w:jc w:val="left"/>
      <w:spacing w:line="240" w:lineRule="auto"/>
    </w:pPr>
    <w:rPr>
      <w:rFonts w:cs="宋体"/>
      <w:sz w:val="30"/>
      <w:szCs w:val="20"/>
    </w:rPr>
  </w:style>
  <w:style w:type="paragraph" w:styleId="1081" w:customStyle="1">
    <w:name w:val="正文文本 21"/>
    <w:basedOn w:val="699"/>
    <w:qFormat/>
    <w:pPr>
      <w:ind w:left="720" w:hanging="720"/>
      <w:widowControl/>
    </w:pPr>
    <w:rPr>
      <w:sz w:val="24"/>
      <w:szCs w:val="20"/>
      <w:lang w:val="en-GB"/>
    </w:rPr>
  </w:style>
  <w:style w:type="paragraph" w:styleId="1082" w:customStyle="1">
    <w:name w:val="Char Char Char"/>
    <w:basedOn w:val="887"/>
    <w:qFormat/>
    <w:pPr>
      <w:spacing w:line="436" w:lineRule="exact"/>
    </w:pPr>
  </w:style>
  <w:style w:type="paragraph" w:styleId="1083" w:customStyle="1">
    <w:name w:val="xl36"/>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普通(网站)1"/>
    <w:basedOn w:val="699"/>
    <w:qFormat/>
    <w:pPr>
      <w:jc w:val="left"/>
      <w:spacing w:before="100" w:beforeAutospacing="1" w:after="100" w:afterAutospacing="1"/>
      <w:widowControl/>
    </w:pPr>
    <w:rPr>
      <w:rFonts w:ascii="宋体" w:cs="宋体"/>
      <w:sz w:val="24"/>
    </w:rPr>
  </w:style>
  <w:style w:type="paragraph" w:styleId="1085" w:customStyle="1">
    <w:name w:val="Char Char Char Char Char Char Char Char Char Char Char1 Char Char Char1"/>
    <w:basedOn w:val="699"/>
    <w:qFormat/>
    <w:pPr>
      <w:ind w:firstLine="200"/>
      <w:jc w:val="left"/>
    </w:pPr>
    <w:rPr>
      <w:rFonts w:ascii="Tahoma" w:hAnsi="Tahoma"/>
      <w:sz w:val="24"/>
    </w:rPr>
  </w:style>
  <w:style w:type="paragraph" w:styleId="1086" w:customStyle="1">
    <w:name w:val="方案文档"/>
    <w:basedOn w:val="699"/>
    <w:qFormat/>
    <w:pPr>
      <w:ind w:firstLine="225"/>
      <w:spacing w:before="60" w:after="60" w:line="360" w:lineRule="auto"/>
    </w:pPr>
    <w:rPr>
      <w:rFonts w:ascii="宋体"/>
      <w:color w:val="000000"/>
      <w:sz w:val="24"/>
      <w:szCs w:val="20"/>
    </w:rPr>
  </w:style>
  <w:style w:type="paragraph" w:styleId="1087" w:customStyle="1">
    <w:name w:val="af17cgridlangnp1033langf"/>
    <w:qFormat/>
    <w:pPr>
      <w:ind w:left="567" w:firstLine="510"/>
      <w:jc w:val="both"/>
      <w:spacing w:before="156" w:line="360" w:lineRule="atLeast"/>
      <w:widowControl w:val="off"/>
    </w:pPr>
  </w:style>
  <w:style w:type="paragraph" w:styleId="1088" w:customStyle="1">
    <w:name w:val="Char Char Char Char Char"/>
    <w:basedOn w:val="699"/>
    <w:qFormat/>
    <w:rPr>
      <w:rFonts w:ascii="Tahoma" w:hAnsi="Tahoma"/>
      <w:sz w:val="24"/>
      <w:szCs w:val="20"/>
    </w:rPr>
  </w:style>
  <w:style w:type="paragraph" w:styleId="1089" w:customStyle="1">
    <w:name w:val="Char Char1 Char1"/>
    <w:basedOn w:val="699"/>
    <w:qFormat/>
    <w:pPr>
      <w:jc w:val="left"/>
      <w:spacing w:after="160" w:line="240" w:lineRule="exact"/>
      <w:widowControl/>
    </w:pPr>
    <w:rPr>
      <w:rFonts w:ascii="Verdana" w:hAnsi="Verdana"/>
      <w:sz w:val="20"/>
      <w:szCs w:val="20"/>
      <w:lang w:eastAsia="en-US"/>
    </w:rPr>
  </w:style>
  <w:style w:type="paragraph" w:styleId="1090" w:customStyle="1">
    <w:name w:val="xl43"/>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1" w:customStyle="1">
    <w:name w:val="样式3"/>
    <w:basedOn w:val="699"/>
    <w:next w:val="699"/>
    <w:qFormat/>
    <w:pPr>
      <w:spacing w:line="360" w:lineRule="auto"/>
    </w:pPr>
    <w:rPr>
      <w:szCs w:val="20"/>
    </w:rPr>
  </w:style>
  <w:style w:type="paragraph" w:styleId="1092" w:customStyle="1">
    <w:name w:val="样式"/>
    <w:basedOn w:val="699"/>
    <w:qFormat/>
    <w:pPr>
      <w:spacing w:before="120" w:after="120" w:line="360" w:lineRule="auto"/>
    </w:pPr>
    <w:rPr>
      <w:rFonts w:ascii="宋体"/>
      <w:sz w:val="24"/>
      <w:szCs w:val="20"/>
    </w:rPr>
  </w:style>
  <w:style w:type="paragraph" w:styleId="1093" w:customStyle="1">
    <w:name w:val="符号与编号"/>
    <w:basedOn w:val="699"/>
    <w:qFormat/>
    <w:pPr>
      <w:ind w:left="900" w:hanging="420"/>
      <w:spacing w:line="400" w:lineRule="atLeast"/>
      <w:tabs>
        <w:tab w:val="left" w:pos="900" w:leader="none"/>
      </w:tabs>
    </w:pPr>
    <w:rPr>
      <w:sz w:val="24"/>
    </w:rPr>
  </w:style>
  <w:style w:type="paragraph" w:styleId="1094" w:customStyle="1">
    <w:name w:val="默认段落字体 Para Char"/>
    <w:basedOn w:val="699"/>
    <w:qFormat/>
    <w:pPr>
      <w:spacing w:line="360" w:lineRule="auto"/>
    </w:pPr>
    <w:rPr>
      <w:sz w:val="24"/>
    </w:rPr>
  </w:style>
  <w:style w:type="paragraph" w:styleId="1095" w:customStyle="1">
    <w:name w:val="二级条标题"/>
    <w:basedOn w:val="699"/>
    <w:next w:val="979"/>
    <w:qFormat/>
    <w:pPr>
      <w:ind w:hanging="420"/>
      <w:widowControl/>
      <w:tabs>
        <w:tab w:val="left" w:pos="2240" w:leader="none"/>
      </w:tabs>
      <w:outlineLvl w:val="3"/>
    </w:pPr>
    <w:rPr>
      <w:rFonts w:eastAsia="黑体"/>
      <w:szCs w:val="20"/>
    </w:rPr>
  </w:style>
  <w:style w:type="paragraph" w:styleId="1096" w:customStyle="1">
    <w:name w:val="xl35"/>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7" w:customStyle="1">
    <w:name w:val="马刚标题4"/>
    <w:basedOn w:val="1020"/>
    <w:next w:val="699"/>
    <w:qFormat/>
    <w:pPr>
      <w:spacing w:before="100" w:after="40"/>
      <w:tabs>
        <w:tab w:val="left" w:pos="1050" w:leader="none"/>
      </w:tabs>
      <w:outlineLvl w:val="3"/>
    </w:pPr>
    <w:rPr>
      <w:b w:val="0"/>
    </w:rPr>
  </w:style>
  <w:style w:type="paragraph" w:styleId="1098" w:customStyle="1">
    <w:name w:val="插图"/>
    <w:basedOn w:val="699"/>
    <w:qFormat/>
    <w:pPr>
      <w:jc w:val="center"/>
      <w:tabs>
        <w:tab w:val="left" w:pos="1620" w:leader="none"/>
      </w:tabs>
    </w:pPr>
    <w:rPr>
      <w:bCs/>
      <w:color w:val="000000"/>
      <w:szCs w:val="22"/>
    </w:rPr>
  </w:style>
  <w:style w:type="paragraph" w:styleId="1099" w:customStyle="1">
    <w:name w:val="普通(网站)11"/>
    <w:basedOn w:val="699"/>
    <w:qFormat/>
    <w:pPr>
      <w:jc w:val="left"/>
      <w:spacing w:before="100" w:beforeAutospacing="1" w:after="100" w:afterAutospacing="1"/>
      <w:widowControl/>
    </w:pPr>
    <w:rPr>
      <w:rFonts w:ascii="宋体" w:hAnsi="宋体" w:cs="宋体"/>
      <w:sz w:val="24"/>
    </w:rPr>
  </w:style>
  <w:style w:type="paragraph" w:styleId="1100" w:customStyle="1">
    <w:name w:val="Char Char1 Char"/>
    <w:basedOn w:val="699"/>
    <w:qFormat/>
    <w:pPr>
      <w:jc w:val="left"/>
      <w:spacing w:after="160" w:line="240" w:lineRule="exact"/>
      <w:widowControl/>
    </w:pPr>
    <w:rPr>
      <w:rFonts w:ascii="Verdana" w:hAnsi="Verdana"/>
      <w:sz w:val="20"/>
      <w:szCs w:val="20"/>
      <w:lang w:eastAsia="en-US"/>
    </w:rPr>
  </w:style>
  <w:style w:type="paragraph" w:styleId="1101" w:customStyle="1">
    <w:name w:val="样式 标题 3H32nd Subheadl3CTh3Level 3 Headlevel_3PIM 3Headi...2"/>
    <w:basedOn w:val="702"/>
    <w:qFormat/>
    <w:pPr>
      <w:ind w:left="709" w:hanging="709"/>
      <w:jc w:val="left"/>
      <w:spacing w:after="120" w:line="360" w:lineRule="auto"/>
      <w:tabs>
        <w:tab w:val="left" w:pos="709" w:leader="none"/>
      </w:tabs>
    </w:pPr>
    <w:rPr>
      <w:rFonts w:cs="宋体"/>
      <w:sz w:val="30"/>
      <w:szCs w:val="20"/>
    </w:rPr>
  </w:style>
  <w:style w:type="paragraph" w:styleId="1102" w:customStyle="1">
    <w:name w:val="大标题"/>
    <w:basedOn w:val="699"/>
    <w:next w:val="699"/>
    <w:qFormat/>
    <w:pPr>
      <w:ind w:hanging="420"/>
      <w:pageBreakBefore/>
      <w:spacing w:line="360" w:lineRule="auto"/>
      <w:tabs>
        <w:tab w:val="left" w:pos="420" w:leader="none"/>
      </w:tabs>
      <w:outlineLvl w:val="0"/>
    </w:pPr>
    <w:rPr>
      <w:b/>
      <w:iCs/>
      <w:sz w:val="44"/>
    </w:rPr>
  </w:style>
  <w:style w:type="paragraph" w:styleId="1103" w:customStyle="1">
    <w:name w:val="默认段落字体 Para Char Char Char Char Char Char Char Char Char1 Char Char Char Char Char Char Char"/>
    <w:basedOn w:val="887"/>
    <w:qFormat/>
    <w:rPr>
      <w:szCs w:val="20"/>
    </w:rPr>
  </w:style>
  <w:style w:type="paragraph" w:styleId="1104" w:customStyle="1">
    <w:name w:val="xl41"/>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05" w:customStyle="1">
    <w:name w:val="正文2"/>
    <w:basedOn w:val="699"/>
    <w:qFormat/>
    <w:pPr>
      <w:ind w:firstLine="510"/>
      <w:spacing w:before="156" w:line="360" w:lineRule="auto"/>
    </w:pPr>
    <w:rPr>
      <w:sz w:val="24"/>
      <w:szCs w:val="20"/>
    </w:rPr>
  </w:style>
  <w:style w:type="paragraph" w:styleId="1106" w:customStyle="1">
    <w:name w:val="font5"/>
    <w:basedOn w:val="699"/>
    <w:qFormat/>
    <w:pPr>
      <w:jc w:val="left"/>
      <w:spacing w:before="100" w:beforeAutospacing="1" w:after="100" w:afterAutospacing="1"/>
      <w:widowControl/>
    </w:pPr>
    <w:rPr>
      <w:rFonts w:ascii="宋体" w:hAnsi="宋体" w:cs="宋体"/>
      <w:sz w:val="18"/>
      <w:szCs w:val="18"/>
    </w:rPr>
  </w:style>
  <w:style w:type="paragraph" w:styleId="1107" w:customStyle="1">
    <w:name w:val="样式 加点正文 + 段前: 0.5 行 段后: 0.5 行1"/>
    <w:basedOn w:val="699"/>
    <w:qFormat/>
    <w:pPr>
      <w:ind w:left="1268" w:hanging="420"/>
      <w:spacing w:line="300" w:lineRule="auto"/>
      <w:tabs>
        <w:tab w:val="left" w:pos="1268" w:leader="none"/>
      </w:tabs>
    </w:pPr>
    <w:rPr>
      <w:sz w:val="24"/>
      <w:szCs w:val="20"/>
    </w:rPr>
  </w:style>
  <w:style w:type="paragraph" w:styleId="1108" w:customStyle="1">
    <w:name w:val="Char Char1"/>
    <w:basedOn w:val="699"/>
    <w:qFormat/>
    <w:pPr>
      <w:jc w:val="left"/>
      <w:spacing w:after="160" w:line="240" w:lineRule="exact"/>
      <w:widowControl/>
    </w:pPr>
    <w:rPr>
      <w:rFonts w:eastAsia="仿宋_GB2312"/>
      <w:sz w:val="28"/>
    </w:rPr>
  </w:style>
  <w:style w:type="paragraph" w:styleId="1109" w:customStyle="1">
    <w:name w:val="p0"/>
    <w:basedOn w:val="699"/>
    <w:qFormat/>
    <w:pPr>
      <w:widowControl/>
    </w:pPr>
    <w:rPr>
      <w:szCs w:val="21"/>
    </w:rPr>
  </w:style>
  <w:style w:type="paragraph" w:styleId="1110" w:customStyle="1">
    <w:name w:val="列出段落2"/>
    <w:basedOn w:val="699"/>
    <w:qFormat/>
    <w:pPr>
      <w:contextualSpacing/>
      <w:ind w:left="720"/>
      <w:jc w:val="left"/>
      <w:widowControl/>
    </w:pPr>
    <w:rPr>
      <w:rFonts w:ascii="Arial" w:hAnsi="Arial" w:eastAsia="黑体"/>
      <w:sz w:val="24"/>
      <w:lang w:eastAsia="en-US"/>
    </w:rPr>
  </w:style>
  <w:style w:type="paragraph" w:styleId="1111" w:customStyle="1">
    <w:name w:val="Char1"/>
    <w:basedOn w:val="699"/>
    <w:qFormat/>
    <w:rPr>
      <w:rFonts w:ascii="仿宋_GB2312" w:eastAsia="仿宋_GB2312"/>
      <w:b/>
      <w:sz w:val="32"/>
      <w:szCs w:val="32"/>
    </w:rPr>
  </w:style>
  <w:style w:type="paragraph" w:styleId="1112" w:customStyle="1">
    <w:name w:val="qw"/>
    <w:qFormat/>
    <w:pPr>
      <w:jc w:val="both"/>
      <w:spacing w:line="312" w:lineRule="atLeast"/>
      <w:widowControl w:val="off"/>
    </w:pPr>
    <w:rPr>
      <w:rFonts w:ascii="宋体"/>
      <w:sz w:val="24"/>
    </w:rPr>
  </w:style>
  <w:style w:type="paragraph" w:styleId="1113" w:customStyle="1">
    <w:name w:val="小四 段落 宋体"/>
    <w:basedOn w:val="885"/>
    <w:qFormat/>
    <w:pPr>
      <w:ind w:left="113" w:right="113" w:firstLine="425"/>
      <w:jc w:val="left"/>
      <w:spacing w:line="360" w:lineRule="auto"/>
      <w:tabs>
        <w:tab w:val="clear" w:pos="2952" w:leader="none"/>
      </w:tabs>
    </w:pPr>
    <w:rPr>
      <w:sz w:val="24"/>
    </w:rPr>
  </w:style>
  <w:style w:type="paragraph" w:styleId="1114" w:customStyle="1">
    <w:name w:val="xl42"/>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15" w:customStyle="1">
    <w:name w:val="xl32"/>
    <w:basedOn w:val="6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6" w:customStyle="1">
    <w:name w:val="马刚标题1"/>
    <w:basedOn w:val="700"/>
    <w:next w:val="699"/>
    <w:qFormat/>
    <w:pPr>
      <w:ind w:left="567" w:hanging="567"/>
      <w:jc w:val="left"/>
      <w:spacing w:before="400" w:after="120"/>
      <w:tabs>
        <w:tab w:val="left" w:pos="315" w:leader="none"/>
        <w:tab w:val="left" w:pos="567" w:leader="none"/>
      </w:tabs>
    </w:pPr>
    <w:rPr>
      <w:rFonts w:eastAsia="黑体"/>
      <w:b w:val="0"/>
      <w:bCs w:val="0"/>
      <w:sz w:val="32"/>
      <w:szCs w:val="20"/>
    </w:rPr>
  </w:style>
  <w:style w:type="character" w:styleId="1117" w:customStyle="1">
    <w:name w:val="font21"/>
    <w:rPr>
      <w:rFonts w:ascii="Times New Roman" w:hAnsi="Times New Roman"/>
      <w:color w:val="000000"/>
      <w:sz w:val="20"/>
      <w:u w:val="none"/>
    </w:rPr>
  </w:style>
  <w:style w:type="character" w:styleId="1118" w:customStyle="1">
    <w:name w:val="纯文本 字符1"/>
    <w:rPr>
      <w:rFonts w:ascii="宋体" w:hAnsi="Courier New"/>
      <w:sz w:val="21"/>
    </w:rPr>
  </w:style>
  <w:style w:type="paragraph" w:styleId="1119" w:customStyle="1">
    <w:name w:val="正文 A"/>
    <w:qFormat/>
    <w:pPr>
      <w:jc w:val="both"/>
      <w:widowControl w:val="off"/>
    </w:pPr>
    <w:rPr>
      <w:rFonts w:eastAsia="ヒラギノ角ゴ Pro W3"/>
      <w:color w:val="000000"/>
      <w:sz w:val="21"/>
    </w:rPr>
  </w:style>
  <w:style w:type="character" w:styleId="1120" w:customStyle="1">
    <w:name w:val="rvts9"/>
    <w:uiPriority w:val="99"/>
    <w:qFormat/>
    <w:rPr>
      <w:rFonts w:ascii="KNLe" w:hAnsi="KNLe"/>
    </w:rPr>
  </w:style>
  <w:style w:type="character" w:styleId="1121" w:customStyle="1">
    <w:name w:val="rvts11"/>
    <w:qFormat/>
    <w:rPr>
      <w:rFonts w:ascii="KNLe" w:hAnsi="KNLe" w:cs="Times New Roman"/>
      <w:u w:val="single"/>
    </w:rPr>
  </w:style>
  <w:style w:type="paragraph" w:styleId="1122" w:customStyle="1">
    <w:name w:val="WPSOffice手动目录 1"/>
  </w:style>
  <w:style w:type="paragraph" w:styleId="1123" w:customStyle="1">
    <w:name w:val="WPSOffice手动目录 2"/>
  </w:style>
  <w:style w:type="paragraph" w:styleId="1124" w:customStyle="1">
    <w:name w:val="yzz表文"/>
    <w:basedOn w:val="699"/>
    <w:qFormat/>
    <w:pPr>
      <w:jc w:val="center"/>
      <w:widowControl/>
    </w:pPr>
    <w:rPr>
      <w:lang w:val="en-GB"/>
    </w:rPr>
  </w:style>
  <w:style w:type="character" w:styleId="1125" w:customStyle="1">
    <w:name w:val="NormalCharacter1"/>
    <w:semiHidden/>
    <w:qFormat/>
  </w:style>
  <w:style w:type="paragraph" w:styleId="1126" w:customStyle="1">
    <w:name w:val="正文（绿盟科技）"/>
    <w:qFormat/>
    <w:pPr>
      <w:spacing w:line="300" w:lineRule="auto"/>
    </w:pPr>
    <w:rPr>
      <w:rFonts w:ascii="Arial" w:hAnsi="Arial" w:cs="黑体"/>
      <w:sz w:val="21"/>
      <w:szCs w:val="21"/>
    </w:rPr>
  </w:style>
  <w:style w:type="paragraph" w:styleId="1127" w:customStyle="1">
    <w:name w:val="Table Paragraph"/>
    <w:basedOn w:val="699"/>
    <w:uiPriority w:val="99"/>
    <w:qFormat/>
    <w:pPr>
      <w:jc w:val="left"/>
    </w:pPr>
    <w:rPr>
      <w:rFonts w:ascii="Calibri" w:hAnsi="Calibri"/>
      <w:sz w:val="22"/>
      <w:szCs w:val="22"/>
      <w:lang w:eastAsia="en-US"/>
    </w:rPr>
  </w:style>
  <w:style w:type="paragraph" w:styleId="1128" w:customStyle="1">
    <w:name w:val="普通(网站)111"/>
    <w:basedOn w:val="699"/>
    <w:uiPriority w:val="99"/>
    <w:qFormat/>
    <w:pPr>
      <w:jc w:val="left"/>
      <w:spacing w:before="100" w:beforeAutospacing="1" w:after="100" w:afterAutospacing="1"/>
      <w:widowControl/>
    </w:pPr>
    <w:rPr>
      <w:rFonts w:ascii="Trebuchet MS" w:hAnsi="Trebuchet MS" w:cs="Trebuchet MS"/>
      <w:sz w:val="24"/>
    </w:rPr>
  </w:style>
  <w:style w:type="paragraph" w:styleId="1129" w:customStyle="1">
    <w:name w:val="纯文本11"/>
    <w:qFormat/>
    <w:pPr>
      <w:jc w:val="both"/>
      <w:widowControl w:val="off"/>
    </w:pPr>
    <w:rPr>
      <w:rFonts w:ascii="Trebuchet MS" w:hAnsi="华文楷体" w:cs="Tahoma"/>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史佳</cp:lastModifiedBy>
  <cp:revision>7</cp:revision>
  <dcterms:created xsi:type="dcterms:W3CDTF">2026-07-20T03:00:00Z</dcterms:created>
  <dcterms:modified xsi:type="dcterms:W3CDTF">2026-07-29T01:43:28Z</dcterms:modified>
</cp:coreProperties>
</file>