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center"/>
        <w:spacing w:before="120" w:after="120" w:line="360" w:lineRule="auto"/>
        <w:rPr>
          <w:rFonts w:ascii="宋体" w:hAnsi="宋体" w:cs="宋体"/>
          <w:b/>
          <w:color w:val="000000"/>
          <w:sz w:val="72"/>
          <w:szCs w:val="72"/>
          <w:highlight w:val="none"/>
        </w:rPr>
      </w:pPr>
      <w:r>
        <w:rPr>
          <w:rFonts w:hint="eastAsia" w:ascii="宋体" w:hAnsi="宋体" w:cs="宋体"/>
          <w:color w:val="000000"/>
          <w:sz w:val="24"/>
          <w:szCs w:val="24"/>
          <w:highlight w:val="none"/>
        </w:rPr>
        <w:t xml:space="preserve">   </w:t>
      </w:r>
      <w:r>
        <w:rPr>
          <w:rFonts w:ascii="宋体" w:hAnsi="宋体" w:cs="宋体"/>
          <w:b/>
          <w:color w:val="000000"/>
          <w:sz w:val="72"/>
          <w:szCs w:val="72"/>
          <w:highlight w:val="none"/>
        </w:rPr>
      </w:r>
      <w:r/>
    </w:p>
    <w:p>
      <w:pPr>
        <w:pStyle w:val="881"/>
        <w:jc w:val="center"/>
        <w:rPr>
          <w:rFonts w:hAnsi="宋体"/>
          <w:b/>
          <w:color w:val="000000"/>
          <w:sz w:val="96"/>
          <w:szCs w:val="72"/>
          <w:highlight w:val="none"/>
          <w:lang w:eastAsia="zh-CN"/>
        </w:rPr>
      </w:pPr>
      <w:r>
        <w:rPr>
          <w:rFonts w:hint="eastAsia" w:hAnsi="宋体"/>
          <w:b/>
          <w:color w:val="000000"/>
          <w:sz w:val="80"/>
          <w:szCs w:val="80"/>
          <w:highlight w:val="none"/>
          <w:lang w:eastAsia="zh-CN"/>
        </w:rPr>
        <w:t xml:space="preserve">泰州市海陵区政府采购</w:t>
      </w:r>
      <w:r>
        <w:rPr>
          <w:rFonts w:hAnsi="宋体"/>
          <w:b/>
          <w:color w:val="000000"/>
          <w:sz w:val="96"/>
          <w:szCs w:val="72"/>
          <w:highlight w:val="none"/>
          <w:lang w:eastAsia="zh-CN"/>
        </w:rPr>
      </w:r>
      <w:r/>
    </w:p>
    <w:p>
      <w:pPr>
        <w:pStyle w:val="881"/>
        <w:jc w:val="center"/>
        <w:rPr>
          <w:rFonts w:hAnsi="宋体"/>
          <w:b/>
          <w:color w:val="000000"/>
          <w:sz w:val="72"/>
          <w:szCs w:val="72"/>
          <w:highlight w:val="none"/>
          <w:lang w:eastAsia="zh-CN"/>
        </w:rPr>
        <w:outlineLvl w:val="0"/>
      </w:pPr>
      <w:r/>
      <w:bookmarkStart w:id="0" w:name="_Toc32028"/>
      <w:r/>
      <w:bookmarkStart w:id="1" w:name="_Toc27410"/>
      <w:r/>
      <w:bookmarkStart w:id="2" w:name="_Toc31636"/>
      <w:r>
        <w:rPr>
          <w:rFonts w:hint="eastAsia" w:hAnsi="宋体"/>
          <w:b/>
          <w:color w:val="000000"/>
          <w:sz w:val="72"/>
          <w:szCs w:val="72"/>
          <w:highlight w:val="none"/>
          <w:lang w:eastAsia="zh-CN"/>
        </w:rPr>
        <w:t xml:space="preserve">公  开</w:t>
      </w:r>
      <w:bookmarkEnd w:id="0"/>
      <w:r/>
      <w:bookmarkEnd w:id="1"/>
      <w:r/>
      <w:bookmarkEnd w:id="2"/>
      <w:r>
        <w:rPr>
          <w:rFonts w:hAnsi="宋体"/>
          <w:b/>
          <w:color w:val="000000"/>
          <w:sz w:val="72"/>
          <w:szCs w:val="72"/>
          <w:highlight w:val="none"/>
          <w:lang w:eastAsia="zh-CN"/>
        </w:rPr>
      </w:r>
      <w:r/>
    </w:p>
    <w:p>
      <w:pPr>
        <w:pStyle w:val="881"/>
        <w:ind w:firstLine="198"/>
        <w:jc w:val="center"/>
        <w:spacing w:after="0" w:line="240" w:lineRule="auto"/>
        <w:rPr>
          <w:rFonts w:hAnsi="宋体"/>
          <w:b/>
          <w:color w:val="000000"/>
          <w:sz w:val="72"/>
          <w:szCs w:val="72"/>
          <w:highlight w:val="none"/>
          <w:lang w:eastAsia="zh-CN"/>
        </w:rPr>
      </w:pPr>
      <w:r>
        <w:rPr>
          <w:rFonts w:hint="eastAsia" w:hAnsi="宋体"/>
          <w:b/>
          <w:color w:val="000000"/>
          <w:sz w:val="72"/>
          <w:szCs w:val="72"/>
          <w:highlight w:val="none"/>
          <w:lang w:eastAsia="zh-CN"/>
        </w:rPr>
        <w:t xml:space="preserve">招 标 文 件</w:t>
      </w:r>
      <w:r>
        <w:rPr>
          <w:rFonts w:hAnsi="宋体"/>
          <w:b/>
          <w:color w:val="000000"/>
          <w:sz w:val="72"/>
          <w:szCs w:val="72"/>
          <w:highlight w:val="none"/>
          <w:lang w:eastAsia="zh-CN"/>
        </w:rPr>
      </w:r>
      <w:r/>
    </w:p>
    <w:p>
      <w:pPr>
        <w:pStyle w:val="860"/>
        <w:jc w:val="center"/>
        <w:rPr>
          <w:color w:val="000000"/>
          <w:highlight w:val="none"/>
        </w:rPr>
      </w:pPr>
      <w:r>
        <w:rPr>
          <w:rFonts w:hint="eastAsia"/>
          <w:color w:val="000000"/>
          <w:sz w:val="30"/>
          <w:szCs w:val="30"/>
          <w:highlight w:val="none"/>
        </w:rPr>
        <w:t xml:space="preserve">(</w:t>
      </w:r>
      <w:r>
        <w:rPr>
          <w:rFonts w:hint="eastAsia" w:ascii="华文中宋" w:hAnsi="华文中宋" w:eastAsia="华文中宋"/>
          <w:bCs/>
          <w:color w:val="000000"/>
          <w:sz w:val="30"/>
          <w:highlight w:val="none"/>
        </w:rPr>
        <w:t xml:space="preserve">全流程电子化不见面开标</w:t>
      </w:r>
      <w:r>
        <w:rPr>
          <w:rFonts w:hint="eastAsia"/>
          <w:color w:val="000000"/>
          <w:sz w:val="30"/>
          <w:szCs w:val="30"/>
          <w:highlight w:val="none"/>
        </w:rPr>
        <w:t xml:space="preserve">）</w:t>
      </w:r>
      <w:r>
        <w:rPr>
          <w:color w:val="000000"/>
          <w:highlight w:val="none"/>
        </w:rPr>
      </w:r>
      <w:r/>
    </w:p>
    <w:p>
      <w:pPr>
        <w:pStyle w:val="851"/>
        <w:ind w:firstLine="840"/>
        <w:rPr>
          <w:rFonts w:ascii="黑体" w:hAnsi="华文中宋" w:eastAsia="黑体"/>
          <w:bCs/>
          <w:color w:val="000000"/>
          <w:sz w:val="28"/>
          <w:szCs w:val="30"/>
          <w:highlight w:val="none"/>
        </w:rPr>
      </w:pPr>
      <w:r>
        <w:rPr>
          <w:rFonts w:ascii="黑体" w:hAnsi="华文中宋" w:eastAsia="黑体"/>
          <w:bCs/>
          <w:color w:val="000000"/>
          <w:sz w:val="28"/>
          <w:szCs w:val="30"/>
          <w:highlight w:val="none"/>
        </w:rPr>
      </w:r>
      <w:r/>
    </w:p>
    <w:p>
      <w:pPr>
        <w:pStyle w:val="851"/>
        <w:ind w:firstLine="840"/>
        <w:rPr>
          <w:rFonts w:hint="eastAsia" w:ascii="黑体" w:hAnsi="华文中宋" w:eastAsia="黑体"/>
          <w:bCs/>
          <w:strike/>
          <w:color w:val="000000"/>
          <w:sz w:val="28"/>
          <w:szCs w:val="30"/>
          <w:highlight w:val="none"/>
          <w:lang w:eastAsia="zh-CN"/>
        </w:rPr>
        <w:outlineLvl w:val="0"/>
      </w:pPr>
      <w:r/>
      <w:bookmarkStart w:id="3" w:name="_Toc15527"/>
      <w:r/>
      <w:bookmarkStart w:id="4" w:name="_Toc22239"/>
      <w:r/>
      <w:bookmarkStart w:id="5" w:name="_Toc1140"/>
      <w:r>
        <w:rPr>
          <w:rFonts w:hint="eastAsia" w:ascii="黑体" w:hAnsi="华文中宋" w:eastAsia="黑体"/>
          <w:bCs/>
          <w:color w:val="000000"/>
          <w:sz w:val="28"/>
          <w:szCs w:val="30"/>
          <w:highlight w:val="none"/>
        </w:rPr>
        <w:t xml:space="preserve">项目编号：</w:t>
      </w:r>
      <w:bookmarkEnd w:id="3"/>
      <w:r/>
      <w:bookmarkEnd w:id="4"/>
      <w:r/>
      <w:bookmarkEnd w:id="5"/>
      <w:r>
        <w:rPr>
          <w:rFonts w:hint="eastAsia" w:ascii="黑体" w:hAnsi="华文中宋" w:eastAsia="黑体"/>
          <w:bCs/>
          <w:color w:val="000000"/>
          <w:sz w:val="28"/>
          <w:szCs w:val="30"/>
          <w:highlight w:val="none"/>
          <w:lang w:eastAsia="zh-CN"/>
        </w:rPr>
        <w:t xml:space="preserve">JSZC-321202-TZZC-G2026-0004</w:t>
      </w:r>
      <w:r>
        <w:rPr>
          <w:rFonts w:hint="eastAsia" w:ascii="黑体" w:hAnsi="华文中宋" w:eastAsia="黑体"/>
          <w:bCs/>
          <w:strike/>
          <w:color w:val="000000"/>
          <w:sz w:val="28"/>
          <w:szCs w:val="30"/>
          <w:highlight w:val="none"/>
          <w:lang w:eastAsia="zh-CN"/>
        </w:rPr>
      </w:r>
      <w:r/>
    </w:p>
    <w:p>
      <w:pPr>
        <w:pStyle w:val="851"/>
        <w:ind w:firstLine="840"/>
        <w:rPr>
          <w:rFonts w:ascii="黑体" w:hAnsi="华文中宋" w:eastAsia="黑体"/>
          <w:bCs/>
          <w:strike/>
          <w:color w:val="000000"/>
          <w:sz w:val="28"/>
          <w:szCs w:val="30"/>
          <w:highlight w:val="none"/>
        </w:rPr>
      </w:pPr>
      <w:r>
        <w:rPr>
          <w:rFonts w:hint="eastAsia" w:ascii="黑体" w:hAnsi="华文中宋" w:eastAsia="黑体"/>
          <w:bCs/>
          <w:color w:val="000000"/>
          <w:sz w:val="28"/>
          <w:szCs w:val="30"/>
          <w:highlight w:val="none"/>
        </w:rPr>
        <w:t xml:space="preserve">项目名称：泰州市海陵区华港镇及红旗街道村庄生活污水处理运维服务项目</w:t>
      </w:r>
      <w:r>
        <w:rPr>
          <w:rFonts w:ascii="黑体" w:hAnsi="华文中宋" w:eastAsia="黑体"/>
          <w:bCs/>
          <w:strike/>
          <w:color w:val="000000"/>
          <w:sz w:val="28"/>
          <w:szCs w:val="30"/>
          <w:highlight w:val="none"/>
        </w:rPr>
      </w:r>
      <w:r/>
    </w:p>
    <w:p>
      <w:pPr>
        <w:pStyle w:val="851"/>
        <w:ind w:firstLine="948"/>
        <w:jc w:val="left"/>
        <w:spacing w:before="120" w:after="120"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51"/>
        <w:ind w:firstLine="2249"/>
        <w:jc w:val="left"/>
        <w:spacing w:before="120" w:after="120" w:line="360" w:lineRule="auto"/>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51"/>
        <w:jc w:val="left"/>
        <w:spacing w:line="360" w:lineRule="auto"/>
        <w:rPr>
          <w:rFonts w:ascii="宋体" w:hAnsi="宋体" w:cs="宋体"/>
          <w:b/>
          <w:bCs/>
          <w:color w:val="000000"/>
          <w:sz w:val="28"/>
          <w:szCs w:val="32"/>
          <w:highlight w:val="none"/>
        </w:rPr>
      </w:pPr>
      <w:r/>
      <w:bookmarkStart w:id="6" w:name="_Toc11357"/>
      <w:r/>
      <w:bookmarkEnd w:id="6"/>
      <w:r>
        <w:rPr>
          <w:rFonts w:ascii="宋体" w:hAnsi="宋体" w:cs="宋体"/>
          <w:b/>
          <w:bCs/>
          <w:color w:val="000000"/>
          <w:sz w:val="28"/>
          <w:szCs w:val="32"/>
          <w:highlight w:val="none"/>
        </w:rPr>
      </w:r>
      <w:r/>
    </w:p>
    <w:p>
      <w:pPr>
        <w:pStyle w:val="851"/>
        <w:jc w:val="center"/>
        <w:spacing w:line="360" w:lineRule="auto"/>
        <w:widowControl/>
        <w:rPr>
          <w:rFonts w:ascii="宋体" w:hAnsi="宋体" w:eastAsia="黑体" w:cs="黑体"/>
          <w:color w:val="000000"/>
          <w:sz w:val="28"/>
          <w:szCs w:val="32"/>
          <w:highlight w:val="none"/>
        </w:rPr>
      </w:pPr>
      <w:r>
        <w:rPr>
          <w:rFonts w:ascii="宋体" w:hAnsi="宋体" w:eastAsia="黑体" w:cs="黑体"/>
          <w:color w:val="000000"/>
          <w:sz w:val="28"/>
          <w:szCs w:val="32"/>
          <w:highlight w:val="none"/>
        </w:rPr>
      </w:r>
      <w:r/>
    </w:p>
    <w:p>
      <w:pPr>
        <w:pStyle w:val="851"/>
        <w:jc w:val="center"/>
        <w:spacing w:line="360" w:lineRule="auto"/>
        <w:widowControl/>
        <w:rPr>
          <w:rFonts w:ascii="宋体" w:hAnsi="宋体" w:eastAsia="黑体" w:cs="黑体"/>
          <w:color w:val="000000"/>
          <w:sz w:val="28"/>
          <w:szCs w:val="28"/>
          <w:highlight w:val="none"/>
        </w:rPr>
      </w:pPr>
      <w:r>
        <w:rPr>
          <w:rFonts w:hint="eastAsia" w:ascii="宋体" w:hAnsi="宋体" w:eastAsia="黑体" w:cs="黑体"/>
          <w:color w:val="000000"/>
          <w:sz w:val="28"/>
          <w:szCs w:val="28"/>
          <w:highlight w:val="none"/>
        </w:rPr>
        <w:t xml:space="preserve">采购单位：泰州市海陵区市政园林养护服务中心</w:t>
      </w:r>
      <w:r>
        <w:rPr>
          <w:rFonts w:ascii="宋体" w:hAnsi="宋体" w:eastAsia="黑体" w:cs="黑体"/>
          <w:color w:val="000000"/>
          <w:sz w:val="28"/>
          <w:szCs w:val="28"/>
          <w:highlight w:val="none"/>
        </w:rPr>
      </w:r>
      <w:r/>
    </w:p>
    <w:p>
      <w:pPr>
        <w:pStyle w:val="851"/>
        <w:jc w:val="center"/>
        <w:spacing w:line="360" w:lineRule="auto"/>
        <w:widowControl/>
        <w:rPr>
          <w:rFonts w:hint="eastAsia" w:ascii="宋体" w:hAnsi="宋体" w:eastAsia="黑体" w:cs="黑体"/>
          <w:color w:val="000000"/>
          <w:sz w:val="28"/>
          <w:szCs w:val="28"/>
          <w:highlight w:val="none"/>
        </w:rPr>
      </w:pPr>
      <w:r>
        <w:rPr>
          <w:rFonts w:hint="eastAsia" w:ascii="宋体" w:hAnsi="宋体" w:eastAsia="黑体" w:cs="黑体"/>
          <w:color w:val="000000"/>
          <w:sz w:val="28"/>
          <w:szCs w:val="28"/>
          <w:highlight w:val="none"/>
        </w:rPr>
        <w:t xml:space="preserve">招标代理：泰州市中诚工程咨询有限公司</w:t>
      </w:r>
      <w:r>
        <w:rPr>
          <w:rFonts w:hint="eastAsia" w:ascii="宋体" w:hAnsi="宋体" w:eastAsia="黑体" w:cs="黑体"/>
          <w:color w:val="000000"/>
          <w:sz w:val="28"/>
          <w:szCs w:val="28"/>
          <w:highlight w:val="none"/>
        </w:rPr>
      </w:r>
      <w:r/>
    </w:p>
    <w:p>
      <w:pPr>
        <w:pStyle w:val="851"/>
        <w:jc w:val="center"/>
        <w:spacing w:line="360" w:lineRule="auto"/>
        <w:widowControl/>
        <w:rPr>
          <w:rFonts w:ascii="宋体" w:hAnsi="宋体" w:eastAsia="黑体" w:cs="黑体"/>
          <w:color w:val="000000"/>
          <w:sz w:val="28"/>
          <w:szCs w:val="28"/>
          <w:highlight w:val="none"/>
        </w:rPr>
      </w:pPr>
      <w:r>
        <w:rPr>
          <w:rFonts w:hint="eastAsia" w:ascii="宋体" w:hAnsi="宋体" w:eastAsia="黑体" w:cs="黑体"/>
          <w:color w:val="000000"/>
          <w:sz w:val="28"/>
          <w:szCs w:val="28"/>
          <w:highlight w:val="none"/>
        </w:rPr>
        <w:t xml:space="preserve">202</w:t>
      </w:r>
      <w:r>
        <w:rPr>
          <w:rFonts w:hint="eastAsia" w:ascii="宋体" w:hAnsi="宋体" w:eastAsia="黑体" w:cs="黑体"/>
          <w:color w:val="000000"/>
          <w:sz w:val="28"/>
          <w:szCs w:val="28"/>
          <w:highlight w:val="none"/>
          <w:lang w:val="en-US" w:eastAsia="zh-CN"/>
        </w:rPr>
        <w:t xml:space="preserve">6</w:t>
      </w:r>
      <w:r>
        <w:rPr>
          <w:rFonts w:hint="eastAsia" w:ascii="宋体" w:hAnsi="宋体" w:eastAsia="黑体" w:cs="黑体"/>
          <w:color w:val="000000"/>
          <w:sz w:val="28"/>
          <w:szCs w:val="28"/>
          <w:highlight w:val="none"/>
        </w:rPr>
        <w:t xml:space="preserve">年</w:t>
      </w:r>
      <w:r>
        <w:rPr>
          <w:rFonts w:hint="eastAsia" w:ascii="宋体" w:hAnsi="宋体" w:eastAsia="黑体" w:cs="黑体"/>
          <w:color w:val="000000"/>
          <w:sz w:val="28"/>
          <w:szCs w:val="28"/>
          <w:highlight w:val="none"/>
          <w:lang w:val="en-US" w:eastAsia="zh-CN"/>
        </w:rPr>
        <w:t xml:space="preserve">7</w:t>
      </w:r>
      <w:r>
        <w:rPr>
          <w:rFonts w:hint="eastAsia" w:ascii="宋体" w:hAnsi="宋体" w:eastAsia="黑体" w:cs="黑体"/>
          <w:color w:val="000000"/>
          <w:sz w:val="28"/>
          <w:szCs w:val="28"/>
          <w:highlight w:val="none"/>
        </w:rPr>
        <w:t xml:space="preserve">月</w:t>
      </w:r>
      <w:r>
        <w:rPr>
          <w:rFonts w:ascii="宋体" w:hAnsi="宋体" w:eastAsia="黑体" w:cs="黑体"/>
          <w:color w:val="000000"/>
          <w:sz w:val="28"/>
          <w:szCs w:val="28"/>
          <w:highlight w:val="none"/>
        </w:rPr>
      </w:r>
      <w:r/>
    </w:p>
    <w:p>
      <w:pPr>
        <w:pStyle w:val="851"/>
        <w:rPr>
          <w:rFonts w:ascii="黑体" w:eastAsia="黑体"/>
          <w:b/>
          <w:color w:val="000000"/>
          <w:sz w:val="44"/>
          <w:highlight w:val="none"/>
        </w:rPr>
      </w:pPr>
      <w:r/>
      <w:bookmarkStart w:id="7" w:name="_Toc513029200"/>
      <w:r/>
      <w:bookmarkEnd w:id="7"/>
      <w:r/>
      <w:bookmarkStart w:id="8" w:name="_Toc16938516"/>
      <w:r/>
      <w:bookmarkEnd w:id="8"/>
      <w:r/>
      <w:bookmarkStart w:id="9" w:name="_Toc479757206"/>
      <w:r/>
      <w:bookmarkEnd w:id="9"/>
      <w:r/>
      <w:bookmarkStart w:id="10" w:name="_Toc20823272"/>
      <w:r/>
      <w:bookmarkEnd w:id="10"/>
      <w:r/>
      <w:bookmarkStart w:id="11" w:name="_Toc523127445"/>
      <w:r/>
      <w:bookmarkEnd w:id="11"/>
      <w:r>
        <w:rPr>
          <w:rFonts w:hint="eastAsia" w:ascii="黑体" w:eastAsia="黑体"/>
          <w:b/>
          <w:color w:val="000000"/>
          <w:sz w:val="44"/>
          <w:highlight w:val="none"/>
        </w:rPr>
        <w:br w:type="page" w:clear="all"/>
      </w:r>
      <w:r>
        <w:rPr>
          <w:rFonts w:ascii="黑体" w:eastAsia="黑体"/>
          <w:b/>
          <w:color w:val="000000"/>
          <w:sz w:val="44"/>
          <w:highlight w:val="none"/>
        </w:rPr>
      </w:r>
      <w:r/>
    </w:p>
    <w:p>
      <w:pPr>
        <w:pStyle w:val="1719"/>
        <w:ind w:firstLine="0"/>
        <w:jc w:val="center"/>
        <w:spacing w:after="0" w:line="240" w:lineRule="auto"/>
        <w:rPr>
          <w:rFonts w:ascii="黑体" w:eastAsia="黑体"/>
          <w:b/>
          <w:color w:val="000000"/>
          <w:sz w:val="44"/>
          <w:highlight w:val="none"/>
        </w:rPr>
      </w:pPr>
      <w:r>
        <w:rPr>
          <w:rFonts w:ascii="黑体" w:eastAsia="黑体"/>
          <w:b/>
          <w:color w:val="000000"/>
          <w:sz w:val="44"/>
          <w:highlight w:val="none"/>
        </w:rPr>
      </w:r>
      <w:r/>
    </w:p>
    <w:p>
      <w:pPr>
        <w:pStyle w:val="1719"/>
        <w:ind w:firstLine="0"/>
        <w:jc w:val="center"/>
        <w:spacing w:after="0" w:line="240" w:lineRule="auto"/>
        <w:rPr>
          <w:b/>
          <w:color w:val="000000"/>
          <w:highlight w:val="none"/>
          <w:u w:val="single"/>
        </w:rPr>
      </w:pPr>
      <w:r>
        <w:rPr>
          <w:rFonts w:hint="eastAsia" w:ascii="黑体" w:eastAsia="黑体"/>
          <w:b/>
          <w:color w:val="000000"/>
          <w:sz w:val="44"/>
          <w:highlight w:val="none"/>
        </w:rPr>
        <w:t xml:space="preserve">总  目  录</w:t>
      </w:r>
      <w:r>
        <w:rPr>
          <w:b/>
          <w:color w:val="000000"/>
          <w:highlight w:val="none"/>
          <w:u w:val="singl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TOC \o "1-1" \h \u </w:instrText>
      </w:r>
      <w:r>
        <w:rPr>
          <w:rFonts w:hint="eastAsia" w:ascii="宋体" w:hAnsi="宋体" w:cs="宋体"/>
          <w:color w:val="000000"/>
          <w:sz w:val="24"/>
          <w:szCs w:val="24"/>
          <w:highlight w:val="none"/>
        </w:rPr>
        <w:fldChar w:fldCharType="separate"/>
      </w:r>
      <w:r>
        <w:rPr>
          <w:rFonts w:ascii="宋体" w:hAnsi="宋体" w:cs="宋体"/>
          <w:color w:val="000000"/>
          <w:szCs w:val="24"/>
          <w:highlight w:val="none"/>
        </w:rPr>
      </w:r>
      <w:r/>
    </w:p>
    <w:p>
      <w:pPr>
        <w:pStyle w:val="899"/>
        <w:tabs>
          <w:tab w:val="right" w:pos="8528" w:leader="dot"/>
        </w:tabs>
        <w:rPr>
          <w:color w:val="000000"/>
          <w:highlight w:val="none"/>
        </w:rPr>
      </w:pPr>
      <w:r>
        <w:rPr>
          <w:color w:val="000000"/>
          <w:highlight w:val="none"/>
        </w:rPr>
        <w:fldChar w:fldCharType="begin"/>
      </w:r>
      <w:r>
        <w:rPr>
          <w:color w:val="000000"/>
          <w:highlight w:val="none"/>
        </w:rPr>
        <w:instrText xml:space="preserve"> HYPERLINK \l "_Toc27566" </w:instrText>
      </w:r>
      <w:r>
        <w:rPr>
          <w:color w:val="000000"/>
          <w:highlight w:val="none"/>
        </w:rPr>
        <w:fldChar w:fldCharType="separate"/>
      </w:r>
      <w:r>
        <w:rPr>
          <w:rFonts w:hint="eastAsia"/>
          <w:color w:val="000000"/>
          <w:szCs w:val="4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_Toc27566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899"/>
        <w:tabs>
          <w:tab w:val="right" w:pos="8528" w:leader="dot"/>
        </w:tabs>
        <w:rPr>
          <w:color w:val="000000"/>
          <w:highlight w:val="none"/>
        </w:rPr>
      </w:pPr>
      <w:r>
        <w:rPr>
          <w:color w:val="000000"/>
          <w:highlight w:val="none"/>
        </w:rPr>
        <w:fldChar w:fldCharType="begin"/>
      </w:r>
      <w:r>
        <w:rPr>
          <w:color w:val="000000"/>
          <w:highlight w:val="none"/>
        </w:rPr>
        <w:instrText xml:space="preserve"> HYPERLINK \l "_Toc23648" </w:instrText>
      </w:r>
      <w:r>
        <w:rPr>
          <w:color w:val="000000"/>
          <w:highlight w:val="none"/>
        </w:rPr>
        <w:fldChar w:fldCharType="separate"/>
      </w:r>
      <w:r>
        <w:rPr>
          <w:rFonts w:hint="eastAsia" w:ascii="黑体" w:hAnsi="黑体" w:cs="黑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_Toc23648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899"/>
        <w:tabs>
          <w:tab w:val="right" w:pos="8528" w:leader="dot"/>
        </w:tabs>
        <w:rPr>
          <w:rFonts w:hint="eastAsia" w:eastAsia="仿宋"/>
          <w:color w:val="000000"/>
          <w:highlight w:val="none"/>
          <w:lang w:val="en-US" w:eastAsia="zh-CN"/>
        </w:rPr>
      </w:pPr>
      <w:r>
        <w:rPr>
          <w:color w:val="000000"/>
          <w:highlight w:val="none"/>
        </w:rPr>
        <w:fldChar w:fldCharType="begin"/>
      </w:r>
      <w:r>
        <w:rPr>
          <w:color w:val="000000"/>
          <w:highlight w:val="none"/>
        </w:rPr>
        <w:instrText xml:space="preserve"> HYPERLINK \l "_Toc21336" </w:instrText>
      </w:r>
      <w:r>
        <w:rPr>
          <w:color w:val="000000"/>
          <w:highlight w:val="none"/>
        </w:rPr>
        <w:fldChar w:fldCharType="separate"/>
      </w:r>
      <w:r>
        <w:rPr>
          <w:rFonts w:hint="eastAsia" w:ascii="黑体" w:hAnsi="黑体" w:cs="黑体"/>
          <w:color w:val="000000"/>
          <w:highlight w:val="none"/>
        </w:rPr>
        <w:t xml:space="preserve">第三章  合同文本</w:t>
      </w:r>
      <w:r>
        <w:rPr>
          <w:color w:val="000000"/>
          <w:highlight w:val="none"/>
        </w:rPr>
        <w:tab/>
      </w:r>
      <w:r>
        <w:rPr>
          <w:rFonts w:hint="eastAsia"/>
          <w:color w:val="000000"/>
          <w:highlight w:val="none"/>
          <w:lang w:val="en-US" w:eastAsia="zh-CN"/>
        </w:rPr>
        <w:t xml:space="preserve">2</w:t>
      </w:r>
      <w:r>
        <w:rPr>
          <w:color w:val="000000"/>
          <w:highlight w:val="none"/>
        </w:rPr>
        <w:fldChar w:fldCharType="end"/>
      </w:r>
      <w:r>
        <w:rPr>
          <w:rFonts w:hint="eastAsia"/>
          <w:color w:val="000000"/>
          <w:highlight w:val="none"/>
          <w:lang w:val="en-US" w:eastAsia="zh-CN"/>
        </w:rPr>
        <w:t xml:space="preserve">1</w:t>
      </w:r>
      <w:r>
        <w:rPr>
          <w:rFonts w:hint="eastAsia" w:eastAsia="仿宋"/>
          <w:color w:val="000000"/>
          <w:highlight w:val="none"/>
          <w:lang w:val="en-US" w:eastAsia="zh-CN"/>
        </w:rPr>
      </w:r>
      <w:r/>
    </w:p>
    <w:p>
      <w:pPr>
        <w:pStyle w:val="899"/>
        <w:tabs>
          <w:tab w:val="right" w:pos="8528" w:leader="dot"/>
        </w:tabs>
        <w:rPr>
          <w:rFonts w:hint="eastAsia" w:eastAsia="仿宋"/>
          <w:color w:val="000000"/>
          <w:highlight w:val="none"/>
          <w:lang w:val="en-US" w:eastAsia="zh-CN"/>
        </w:rPr>
      </w:pPr>
      <w:r>
        <w:rPr>
          <w:color w:val="000000"/>
          <w:highlight w:val="none"/>
        </w:rPr>
        <w:fldChar w:fldCharType="begin"/>
      </w:r>
      <w:r>
        <w:rPr>
          <w:color w:val="000000"/>
          <w:highlight w:val="none"/>
        </w:rPr>
        <w:instrText xml:space="preserve"> HYPERLINK \l "_Toc7866" </w:instrText>
      </w:r>
      <w:r>
        <w:rPr>
          <w:color w:val="000000"/>
          <w:highlight w:val="none"/>
        </w:rPr>
        <w:fldChar w:fldCharType="separate"/>
      </w:r>
      <w:r>
        <w:rPr>
          <w:rFonts w:hint="eastAsia"/>
          <w:color w:val="000000"/>
          <w:szCs w:val="40"/>
          <w:highlight w:val="none"/>
        </w:rPr>
        <w:t xml:space="preserve">第四章  采购需求</w:t>
      </w:r>
      <w:r>
        <w:rPr>
          <w:color w:val="000000"/>
          <w:highlight w:val="none"/>
        </w:rPr>
        <w:tab/>
      </w:r>
      <w:r>
        <w:rPr>
          <w:rFonts w:hint="eastAsia"/>
          <w:color w:val="000000"/>
          <w:highlight w:val="none"/>
          <w:lang w:val="en-US" w:eastAsia="zh-CN"/>
        </w:rPr>
        <w:t xml:space="preserve">5</w:t>
      </w:r>
      <w:r>
        <w:rPr>
          <w:color w:val="000000"/>
          <w:highlight w:val="none"/>
        </w:rPr>
        <w:fldChar w:fldCharType="end"/>
      </w:r>
      <w:r>
        <w:rPr>
          <w:rFonts w:hint="eastAsia"/>
          <w:color w:val="000000"/>
          <w:highlight w:val="none"/>
          <w:lang w:val="en-US" w:eastAsia="zh-CN"/>
        </w:rPr>
        <w:t xml:space="preserve">1</w:t>
      </w:r>
      <w:r>
        <w:rPr>
          <w:rFonts w:hint="eastAsia" w:eastAsia="仿宋"/>
          <w:color w:val="000000"/>
          <w:highlight w:val="none"/>
          <w:lang w:val="en-US" w:eastAsia="zh-CN"/>
        </w:rPr>
      </w:r>
      <w:r/>
    </w:p>
    <w:p>
      <w:pPr>
        <w:pStyle w:val="899"/>
        <w:tabs>
          <w:tab w:val="right" w:pos="8528" w:leader="dot"/>
        </w:tabs>
        <w:rPr>
          <w:rFonts w:hint="eastAsia" w:eastAsia="仿宋"/>
          <w:color w:val="000000"/>
          <w:highlight w:val="none"/>
          <w:lang w:val="en-US" w:eastAsia="zh-CN"/>
        </w:rPr>
      </w:pPr>
      <w:r>
        <w:rPr>
          <w:color w:val="000000"/>
          <w:highlight w:val="none"/>
        </w:rPr>
        <w:fldChar w:fldCharType="begin"/>
      </w:r>
      <w:r>
        <w:rPr>
          <w:color w:val="000000"/>
          <w:highlight w:val="none"/>
        </w:rPr>
        <w:instrText xml:space="preserve"> HYPERLINK \l "_Toc18784" </w:instrText>
      </w:r>
      <w:r>
        <w:rPr>
          <w:color w:val="000000"/>
          <w:highlight w:val="none"/>
        </w:rPr>
        <w:fldChar w:fldCharType="separate"/>
      </w:r>
      <w:r>
        <w:rPr>
          <w:rFonts w:hint="eastAsia" w:ascii="黑体" w:hAnsi="黑体" w:cs="黑体"/>
          <w:color w:val="000000"/>
          <w:highlight w:val="none"/>
        </w:rPr>
        <w:t xml:space="preserve">第五章  评标方法与评标标准</w:t>
      </w:r>
      <w:r>
        <w:rPr>
          <w:color w:val="000000"/>
          <w:highlight w:val="none"/>
        </w:rPr>
        <w:tab/>
      </w:r>
      <w:r>
        <w:rPr>
          <w:rFonts w:hint="eastAsia"/>
          <w:color w:val="000000"/>
          <w:highlight w:val="none"/>
          <w:lang w:val="en-US" w:eastAsia="zh-CN"/>
        </w:rPr>
        <w:t xml:space="preserve">6</w:t>
      </w:r>
      <w:r>
        <w:rPr>
          <w:color w:val="000000"/>
          <w:highlight w:val="none"/>
        </w:rPr>
        <w:fldChar w:fldCharType="end"/>
      </w:r>
      <w:r>
        <w:rPr>
          <w:rFonts w:hint="eastAsia"/>
          <w:color w:val="000000"/>
          <w:highlight w:val="none"/>
          <w:lang w:val="en-US" w:eastAsia="zh-CN"/>
        </w:rPr>
        <w:t xml:space="preserve">3</w:t>
      </w:r>
      <w:r>
        <w:rPr>
          <w:rFonts w:hint="eastAsia" w:eastAsia="仿宋"/>
          <w:color w:val="000000"/>
          <w:highlight w:val="none"/>
          <w:lang w:val="en-US" w:eastAsia="zh-CN"/>
        </w:rPr>
      </w:r>
      <w:r/>
    </w:p>
    <w:p>
      <w:pPr>
        <w:pStyle w:val="899"/>
        <w:tabs>
          <w:tab w:val="right" w:pos="8528" w:leader="dot"/>
        </w:tabs>
        <w:rPr>
          <w:color w:val="000000"/>
          <w:highlight w:val="none"/>
        </w:rPr>
      </w:pPr>
      <w:r>
        <w:rPr>
          <w:color w:val="000000"/>
          <w:highlight w:val="none"/>
        </w:rPr>
        <w:fldChar w:fldCharType="begin"/>
      </w:r>
      <w:r>
        <w:rPr>
          <w:color w:val="000000"/>
          <w:highlight w:val="none"/>
        </w:rPr>
        <w:instrText xml:space="preserve"> HYPERLINK \l "_Toc2552" </w:instrText>
      </w:r>
      <w:r>
        <w:rPr>
          <w:color w:val="000000"/>
          <w:highlight w:val="none"/>
        </w:rPr>
        <w:fldChar w:fldCharType="separate"/>
      </w:r>
      <w:r>
        <w:rPr>
          <w:rFonts w:hint="eastAsia"/>
          <w:color w:val="000000"/>
          <w:szCs w:val="40"/>
          <w:highlight w:val="none"/>
        </w:rPr>
        <w:t xml:space="preserve">第六章  投标文件格式</w:t>
      </w:r>
      <w:r>
        <w:rPr>
          <w:color w:val="000000"/>
          <w:highlight w:val="none"/>
        </w:rPr>
        <w:tab/>
      </w:r>
      <w:r>
        <w:rPr>
          <w:color w:val="000000"/>
          <w:highlight w:val="none"/>
        </w:rPr>
        <w:t xml:space="preserve">68</w:t>
      </w:r>
      <w:r>
        <w:rPr>
          <w:color w:val="000000"/>
          <w:highlight w:val="none"/>
        </w:rPr>
        <w:fldChar w:fldCharType="end"/>
      </w:r>
      <w:r>
        <w:rPr>
          <w:color w:val="000000"/>
          <w:highlight w:val="none"/>
        </w:rPr>
      </w:r>
      <w:r/>
    </w:p>
    <w:p>
      <w:pPr>
        <w:pStyle w:val="851"/>
        <w:jc w:val="center"/>
        <w:rPr>
          <w:rFonts w:ascii="宋体" w:hAnsi="宋体" w:cs="宋体"/>
          <w:color w:val="000000"/>
          <w:szCs w:val="24"/>
          <w:highlight w:val="none"/>
        </w:rPr>
      </w:pPr>
      <w:r>
        <w:rPr>
          <w:rFonts w:hint="eastAsia" w:ascii="宋体" w:hAnsi="宋体" w:cs="宋体"/>
          <w:color w:val="000000"/>
          <w:szCs w:val="24"/>
          <w:highlight w:val="none"/>
        </w:rPr>
        <w:fldChar w:fldCharType="end"/>
      </w:r>
      <w:r>
        <w:rPr>
          <w:rFonts w:ascii="宋体" w:hAnsi="宋体" w:cs="宋体"/>
          <w:color w:val="000000"/>
          <w:szCs w:val="24"/>
          <w:highlight w:val="none"/>
        </w:rPr>
      </w:r>
      <w:r/>
    </w:p>
    <w:p>
      <w:pPr>
        <w:pStyle w:val="851"/>
        <w:rPr>
          <w:rFonts w:ascii="宋体" w:hAnsi="宋体" w:cs="宋体"/>
          <w:color w:val="000000"/>
          <w:szCs w:val="24"/>
          <w:highlight w:val="none"/>
        </w:rPr>
      </w:pPr>
      <w:r>
        <w:rPr>
          <w:rFonts w:ascii="宋体" w:hAnsi="宋体" w:cs="宋体"/>
          <w:color w:val="000000"/>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44"/>
          <w:szCs w:val="44"/>
          <w:highlight w:val="none"/>
        </w:rPr>
      </w:pPr>
      <w:r>
        <w:rPr>
          <w:rFonts w:ascii="宋体" w:hAnsi="宋体" w:cs="宋体"/>
          <w:color w:val="000000"/>
          <w:sz w:val="44"/>
          <w:szCs w:val="44"/>
          <w:highlight w:val="none"/>
        </w:rPr>
      </w:r>
      <w:r/>
    </w:p>
    <w:p>
      <w:pPr>
        <w:pStyle w:val="851"/>
        <w:rPr>
          <w:rFonts w:ascii="宋体" w:hAnsi="宋体" w:cs="宋体"/>
          <w:color w:val="000000"/>
          <w:sz w:val="44"/>
          <w:szCs w:val="44"/>
          <w:highlight w:val="none"/>
        </w:rPr>
      </w:pPr>
      <w:r>
        <w:rPr>
          <w:rFonts w:hint="eastAsia" w:ascii="宋体" w:hAnsi="宋体" w:cs="宋体"/>
          <w:color w:val="000000"/>
          <w:sz w:val="44"/>
          <w:szCs w:val="44"/>
          <w:highlight w:val="none"/>
        </w:rPr>
        <w:br w:type="page" w:clear="all"/>
      </w:r>
      <w:r>
        <w:rPr>
          <w:rFonts w:ascii="宋体" w:hAnsi="宋体" w:cs="宋体"/>
          <w:color w:val="000000"/>
          <w:sz w:val="44"/>
          <w:szCs w:val="44"/>
          <w:highlight w:val="none"/>
        </w:rPr>
      </w:r>
      <w:r/>
    </w:p>
    <w:p>
      <w:pPr>
        <w:pStyle w:val="887"/>
        <w:spacing w:before="0" w:after="159" w:line="240" w:lineRule="auto"/>
        <w:tabs>
          <w:tab w:val="left" w:pos="879" w:leader="none"/>
        </w:tabs>
        <w:rPr>
          <w:color w:val="000000"/>
          <w:highlight w:val="none"/>
        </w:rPr>
      </w:pPr>
      <w:r/>
      <w:bookmarkStart w:id="12" w:name="_Toc27566"/>
      <w:r>
        <w:rPr>
          <w:rFonts w:hint="eastAsia"/>
          <w:color w:val="000000"/>
          <w:sz w:val="44"/>
          <w:szCs w:val="40"/>
          <w:highlight w:val="none"/>
        </w:rPr>
        <w:t xml:space="preserve">第一章  </w:t>
      </w:r>
      <w:bookmarkEnd w:id="12"/>
      <w:r>
        <w:rPr>
          <w:rFonts w:hint="eastAsia"/>
          <w:color w:val="000000"/>
          <w:sz w:val="44"/>
          <w:szCs w:val="40"/>
          <w:highlight w:val="none"/>
        </w:rPr>
        <w:t xml:space="preserve">招标公告</w:t>
      </w:r>
      <w:r>
        <w:rPr>
          <w:color w:val="000000"/>
          <w:highlight w:val="none"/>
        </w:rPr>
      </w:r>
      <w:r/>
    </w:p>
    <w:p>
      <w:pPr>
        <w:pStyle w:val="851"/>
        <w:ind w:firstLine="480"/>
        <w:spacing w:line="460" w:lineRule="exact"/>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single"/>
        </w:rPr>
        <w:t xml:space="preserve">泰州市海陵区华港镇及红旗街道村庄生活污水处理运维服务项目</w:t>
      </w:r>
      <w:r>
        <w:rPr>
          <w:rFonts w:hint="eastAsia" w:ascii="宋体" w:hAnsi="宋体" w:cs="宋体"/>
          <w:color w:val="000000"/>
          <w:sz w:val="24"/>
          <w:szCs w:val="24"/>
          <w:highlight w:val="none"/>
        </w:rPr>
        <w:t xml:space="preserve">招标项目的潜在投标人可在</w:t>
      </w:r>
      <w:r>
        <w:rPr>
          <w:rFonts w:hint="eastAsia" w:ascii="宋体" w:hAnsi="宋体" w:cs="宋体"/>
          <w:color w:val="000000"/>
          <w:sz w:val="24"/>
          <w:szCs w:val="24"/>
          <w:highlight w:val="none"/>
          <w:u w:val="single"/>
        </w:rPr>
        <w:t xml:space="preserve">“苏采云”政府采购一体化平台”自行免费下载</w:t>
      </w:r>
      <w:r>
        <w:rPr>
          <w:rFonts w:hint="eastAsia" w:ascii="宋体" w:hAnsi="宋体" w:cs="宋体"/>
          <w:color w:val="000000"/>
          <w:sz w:val="24"/>
          <w:szCs w:val="24"/>
          <w:highlight w:val="none"/>
        </w:rPr>
        <w:t xml:space="preserve">招标文件，并于</w:t>
      </w:r>
      <w:r>
        <w:rPr>
          <w:rFonts w:hint="eastAsia" w:ascii="宋体" w:hAnsi="宋体" w:cs="宋体"/>
          <w:color w:val="000000"/>
          <w:sz w:val="24"/>
          <w:szCs w:val="24"/>
          <w:highlight w:val="none"/>
          <w:u w:val="single"/>
        </w:rPr>
        <w:t xml:space="preserve">2026年8月</w:t>
      </w:r>
      <w:r>
        <w:rPr>
          <w:rFonts w:hint="eastAsia" w:ascii="宋体" w:hAnsi="宋体" w:cs="宋体"/>
          <w:color w:val="000000"/>
          <w:sz w:val="24"/>
          <w:szCs w:val="24"/>
          <w:highlight w:val="none"/>
          <w:u w:val="single"/>
          <w:lang w:val="en-US" w:eastAsia="zh-CN"/>
        </w:rPr>
        <w:t xml:space="preserve">4</w:t>
      </w:r>
      <w:r>
        <w:rPr>
          <w:rFonts w:hint="eastAsia" w:ascii="宋体" w:hAnsi="宋体" w:cs="宋体"/>
          <w:color w:val="000000"/>
          <w:sz w:val="24"/>
          <w:szCs w:val="24"/>
          <w:highlight w:val="none"/>
          <w:u w:val="single"/>
        </w:rPr>
        <w:t xml:space="preserve">日9点00分（</w:t>
      </w:r>
      <w:r>
        <w:rPr>
          <w:rFonts w:hint="eastAsia" w:ascii="宋体" w:hAnsi="宋体" w:cs="宋体"/>
          <w:color w:val="000000"/>
          <w:sz w:val="24"/>
          <w:szCs w:val="24"/>
          <w:highlight w:val="none"/>
        </w:rPr>
        <w:t xml:space="preserve">北京时间）前递交投标文件。</w:t>
      </w:r>
      <w:r>
        <w:rPr>
          <w:rFonts w:ascii="宋体" w:hAnsi="宋体" w:cs="宋体"/>
          <w:color w:val="000000"/>
          <w:sz w:val="24"/>
          <w:szCs w:val="24"/>
          <w:highlight w:val="none"/>
        </w:rPr>
      </w:r>
      <w:r/>
    </w:p>
    <w:p>
      <w:pPr>
        <w:pStyle w:val="851"/>
        <w:keepLines/>
        <w:keepNext/>
        <w:spacing w:line="460" w:lineRule="exact"/>
        <w:rPr>
          <w:rFonts w:ascii="宋体" w:hAnsi="宋体" w:cs="宋体"/>
          <w:color w:val="000000"/>
          <w:sz w:val="24"/>
          <w:szCs w:val="24"/>
          <w:highlight w:val="none"/>
        </w:rPr>
      </w:pPr>
      <w:r/>
      <w:bookmarkStart w:id="13" w:name="_Toc28359002"/>
      <w:r/>
      <w:bookmarkEnd w:id="13"/>
      <w:r/>
      <w:bookmarkStart w:id="14" w:name="_Toc35393621"/>
      <w:r/>
      <w:bookmarkEnd w:id="14"/>
      <w:r/>
      <w:bookmarkStart w:id="15" w:name="_Toc38985263"/>
      <w:r/>
      <w:bookmarkEnd w:id="15"/>
      <w:r/>
      <w:bookmarkStart w:id="16" w:name="_Toc35393790"/>
      <w:r/>
      <w:bookmarkEnd w:id="16"/>
      <w:r/>
      <w:bookmarkStart w:id="17" w:name="_Toc28359079"/>
      <w:r/>
      <w:bookmarkEnd w:id="17"/>
      <w:r/>
      <w:bookmarkStart w:id="18" w:name="_Hlk24379207"/>
      <w:r>
        <w:rPr>
          <w:rFonts w:hint="eastAsia" w:ascii="宋体" w:hAnsi="宋体" w:cs="宋体"/>
          <w:b/>
          <w:bCs/>
          <w:color w:val="000000"/>
          <w:sz w:val="32"/>
          <w:szCs w:val="32"/>
          <w:highlight w:val="none"/>
        </w:rPr>
        <w:t xml:space="preserve">一、项目基本情况</w:t>
      </w:r>
      <w:bookmarkEnd w:id="18"/>
      <w:r>
        <w:rPr>
          <w:rFonts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JSZC-321202-TZZC-G2026-0004</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2.项目名称：泰州市海陵区华港镇及红旗街道村庄生活污水处理运维服务项目</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19" w:name="_Toc28359003"/>
      <w:r>
        <w:rPr>
          <w:rFonts w:hint="eastAsia" w:ascii="宋体" w:hAnsi="宋体" w:cs="宋体"/>
          <w:color w:val="000000"/>
          <w:sz w:val="24"/>
          <w:szCs w:val="24"/>
          <w:highlight w:val="none"/>
        </w:rPr>
        <w:t xml:space="preserve">3.预算金额：890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实际</w:t>
      </w:r>
      <w:r>
        <w:rPr>
          <w:rFonts w:hint="eastAsia" w:ascii="宋体" w:hAnsi="宋体" w:cs="宋体"/>
          <w:color w:val="000000"/>
          <w:sz w:val="24"/>
          <w:szCs w:val="24"/>
          <w:highlight w:val="none"/>
        </w:rPr>
        <w:t xml:space="preserve">批准</w:t>
      </w:r>
      <w:r>
        <w:rPr>
          <w:rFonts w:hint="eastAsia" w:ascii="宋体" w:hAnsi="宋体" w:cs="宋体"/>
          <w:color w:val="000000"/>
          <w:sz w:val="24"/>
          <w:szCs w:val="24"/>
          <w:highlight w:val="none"/>
        </w:rPr>
        <w:t xml:space="preserve">后</w:t>
      </w:r>
      <w:r>
        <w:rPr>
          <w:rFonts w:hint="eastAsia" w:ascii="宋体" w:hAnsi="宋体" w:cs="宋体"/>
          <w:color w:val="000000"/>
          <w:sz w:val="24"/>
          <w:szCs w:val="24"/>
          <w:highlight w:val="none"/>
        </w:rPr>
        <w:t xml:space="preserve">预算</w:t>
      </w:r>
      <w:r>
        <w:rPr>
          <w:rFonts w:hint="eastAsia" w:ascii="宋体" w:hAnsi="宋体" w:cs="宋体"/>
          <w:color w:val="000000"/>
          <w:sz w:val="24"/>
          <w:szCs w:val="24"/>
          <w:highlight w:val="none"/>
        </w:rPr>
        <w:t xml:space="preserve">金额</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rPr>
        <w:t xml:space="preserve">883.27万元</w:t>
      </w:r>
      <w:r>
        <w:rPr>
          <w:rFonts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4.最高限价，最高限价总价为</w:t>
      </w:r>
      <w:r>
        <w:rPr>
          <w:rFonts w:hint="eastAsia" w:ascii="宋体" w:hAnsi="宋体" w:cs="宋体"/>
          <w:color w:val="000000"/>
          <w:sz w:val="24"/>
          <w:szCs w:val="24"/>
          <w:highlight w:val="none"/>
          <w:u w:val="single"/>
        </w:rPr>
        <w:t xml:space="preserve">882.668525</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采购需求（简介）：对泰州市海陵区华港镇及红旗街道15个行政村生活污水处理，以及提供李家庄村、港口村等12个存量设施及配套管网运维服务，污水处理量及管网运维长度详见采购需求。（详细内容见本招标文件第四章） </w:t>
      </w:r>
      <w:r>
        <w:rPr>
          <w:rFonts w:hint="eastAsia"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6.合同履行期限：两年。</w:t>
      </w:r>
      <w:r>
        <w:rPr>
          <w:rFonts w:hint="eastAsia"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w:t>
      </w:r>
      <w:r>
        <w:rPr>
          <w:rFonts w:hint="eastAsia" w:ascii="宋体" w:hAnsi="宋体" w:cs="宋体"/>
          <w:color w:val="000000"/>
          <w:sz w:val="24"/>
          <w:szCs w:val="24"/>
          <w:highlight w:val="none"/>
          <w:u w:val="single"/>
        </w:rPr>
        <w:t xml:space="preserve"> 接受 </w:t>
      </w:r>
      <w:r>
        <w:rPr>
          <w:rFonts w:hint="eastAsia" w:ascii="宋体" w:hAnsi="宋体" w:cs="宋体"/>
          <w:color w:val="000000"/>
          <w:sz w:val="24"/>
          <w:szCs w:val="24"/>
          <w:highlight w:val="none"/>
        </w:rPr>
        <w:t xml:space="preserve">联合体投标（接受/不接受）：</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该项目允许由两个（不得超过两个，否则联合体无效）自然人、法人或者其他组织组成一个联合体，以一个投标人的身份共同参加政府采购。如果参加联合体投标,还应符合下列要求：</w:t>
      </w:r>
      <w:r>
        <w:rPr>
          <w:rFonts w:ascii="宋体" w:hAnsi="宋体" w:cs="宋体"/>
          <w:color w:val="000000"/>
          <w:sz w:val="24"/>
          <w:szCs w:val="24"/>
          <w:highlight w:val="none"/>
        </w:rPr>
      </w:r>
      <w:r/>
    </w:p>
    <w:p>
      <w:pPr>
        <w:pStyle w:val="851"/>
        <w:ind w:firstLine="480"/>
        <w:jc w:val="left"/>
        <w:spacing w:line="46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a.</w:t>
      </w:r>
      <w:r>
        <w:rPr>
          <w:rFonts w:hint="eastAsia" w:ascii="宋体" w:hAnsi="宋体"/>
          <w:color w:val="000000"/>
          <w:sz w:val="24"/>
          <w:highlight w:val="none"/>
        </w:rPr>
        <w:t xml:space="preserve">联合体各方之间应当签订共同投标协议，明确约定联合体各方承担的工作和相应的责任（包括技术服务人员分工安排），并将共同投标协议连同投标文件一并提交。联合体各方签订共同投标协议后，不得再以自己名义单独在同一项目中投标，也不得组成新的联合体参加同一项目投标。</w:t>
      </w:r>
      <w:r>
        <w:rPr>
          <w:rFonts w:ascii="宋体" w:hAnsi="宋体"/>
          <w:color w:val="000000"/>
          <w:sz w:val="24"/>
          <w:highlight w:val="none"/>
        </w:rPr>
      </w:r>
      <w:r/>
    </w:p>
    <w:p>
      <w:pPr>
        <w:pStyle w:val="851"/>
        <w:ind w:firstLine="480"/>
        <w:jc w:val="left"/>
        <w:spacing w:line="46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b.</w:t>
      </w:r>
      <w:r>
        <w:rPr>
          <w:rFonts w:hint="eastAsia" w:ascii="宋体" w:hAnsi="宋体"/>
          <w:color w:val="000000"/>
          <w:sz w:val="24"/>
          <w:highlight w:val="none"/>
        </w:rPr>
        <w:t xml:space="preserve">联合体各方必须指定联合体牵头人，由牵头人的法定代表人或其授权委托人为联合</w:t>
      </w:r>
      <w:r>
        <w:rPr>
          <w:rFonts w:ascii="宋体" w:hAnsi="宋体"/>
          <w:color w:val="000000"/>
          <w:sz w:val="24"/>
          <w:highlight w:val="none"/>
        </w:rPr>
        <w:t xml:space="preserve">体授权代表执行联合体有关的决议，以联合体名义处理与本项目相关的事务；</w:t>
      </w:r>
      <w:r>
        <w:rPr>
          <w:rFonts w:hint="eastAsia" w:ascii="宋体" w:hAnsi="宋体"/>
          <w:color w:val="000000"/>
          <w:sz w:val="24"/>
          <w:highlight w:val="none"/>
        </w:rPr>
        <w:t xml:space="preserve">由联合体各方各提交一份授权书，证明其联合体主体的资格，该授权书作为投标文件的组成部分一并提交招标人。联合体投标的（联合体协议须各方按要求签署并上传），除联合体协议书外的其他资料如有签字、盖章、电子签</w:t>
      </w:r>
      <w:r>
        <w:rPr>
          <w:rFonts w:ascii="宋体" w:hAnsi="宋体"/>
          <w:color w:val="000000"/>
          <w:sz w:val="24"/>
          <w:highlight w:val="none"/>
        </w:rPr>
        <w:t xml:space="preserve">章要求的只需联合体牵头单位对投标文件签字、盖章、电子签章</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851"/>
        <w:ind w:firstLine="480"/>
        <w:jc w:val="left"/>
        <w:spacing w:line="46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c.</w:t>
      </w:r>
      <w:r>
        <w:rPr>
          <w:rFonts w:hint="eastAsia" w:ascii="宋体" w:hAnsi="宋体"/>
          <w:color w:val="000000"/>
          <w:sz w:val="24"/>
          <w:highlight w:val="none"/>
        </w:rPr>
        <w:t xml:space="preserve">以联合体形式进行政府采购的，参加联合体的供应商均应当具备中华人民共和国政府采购法》第二十二条规定的条件。</w:t>
      </w:r>
      <w:r>
        <w:rPr>
          <w:rFonts w:ascii="宋体" w:hAnsi="宋体"/>
          <w:color w:val="000000"/>
          <w:sz w:val="24"/>
          <w:highlight w:val="none"/>
        </w:rPr>
      </w:r>
      <w:r/>
    </w:p>
    <w:p>
      <w:pPr>
        <w:pStyle w:val="851"/>
        <w:ind w:firstLine="480"/>
        <w:jc w:val="left"/>
        <w:spacing w:line="46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d.</w:t>
      </w:r>
      <w:r>
        <w:rPr>
          <w:rFonts w:hint="eastAsia" w:ascii="宋体" w:hAnsi="宋体"/>
          <w:color w:val="000000"/>
          <w:sz w:val="24"/>
          <w:highlight w:val="none"/>
        </w:rPr>
        <w:t xml:space="preserve">联合体中标后，合同应由各成员的合法授权代表签字并加盖各成员公章，以便对联合体成员作为整体和他们各自作为独立体均具有法律约束力。</w:t>
      </w:r>
      <w:r>
        <w:rPr>
          <w:rFonts w:ascii="宋体" w:hAnsi="宋体"/>
          <w:color w:val="000000"/>
          <w:sz w:val="24"/>
          <w:highlight w:val="none"/>
        </w:rPr>
      </w:r>
      <w:r/>
    </w:p>
    <w:p>
      <w:pPr>
        <w:pStyle w:val="851"/>
        <w:ind w:firstLine="480"/>
        <w:jc w:val="left"/>
        <w:spacing w:line="46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e</w:t>
      </w:r>
      <w:r>
        <w:rPr>
          <w:rFonts w:ascii="宋体" w:hAnsi="宋体"/>
          <w:color w:val="000000"/>
          <w:sz w:val="24"/>
          <w:highlight w:val="none"/>
        </w:rPr>
        <w:t xml:space="preserve">.</w:t>
      </w:r>
      <w:r>
        <w:rPr>
          <w:rFonts w:hint="eastAsia" w:ascii="宋体" w:hAnsi="宋体"/>
          <w:color w:val="000000"/>
          <w:sz w:val="24"/>
          <w:highlight w:val="none"/>
        </w:rPr>
        <w:t xml:space="preserve">联合体投标的投标人应提供联合体各方资格审查所需的证书、社保等材料及投标人认为需要</w:t>
      </w:r>
      <w:r>
        <w:rPr>
          <w:rFonts w:ascii="宋体" w:hAnsi="宋体"/>
          <w:color w:val="000000"/>
          <w:sz w:val="24"/>
          <w:highlight w:val="none"/>
        </w:rPr>
        <w:t xml:space="preserve">提供的满足评标所需的材料。</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keepLines/>
        <w:keepNext/>
        <w:spacing w:line="460" w:lineRule="exact"/>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二、申请人的资格要求：</w:t>
      </w:r>
      <w:bookmarkEnd w:id="19"/>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20" w:name="_Toc28359081"/>
      <w:r/>
      <w:bookmarkEnd w:id="20"/>
      <w:r/>
      <w:bookmarkStart w:id="21" w:name="_Toc38985265"/>
      <w:r/>
      <w:bookmarkEnd w:id="21"/>
      <w:r/>
      <w:bookmarkStart w:id="22" w:name="_Toc28359004"/>
      <w:r/>
      <w:bookmarkEnd w:id="22"/>
      <w:r/>
      <w:bookmarkStart w:id="23" w:name="_Toc35393623"/>
      <w:r/>
      <w:bookmarkEnd w:id="23"/>
      <w:r>
        <w:rPr>
          <w:rFonts w:hint="eastAsia" w:ascii="宋体" w:hAnsi="宋体" w:cs="宋体"/>
          <w:color w:val="000000"/>
          <w:sz w:val="24"/>
          <w:szCs w:val="24"/>
          <w:highlight w:val="none"/>
        </w:rPr>
        <w:t xml:space="preserve">（一）满足《中华人民共和国政府采购法》第二十二条规定：</w:t>
      </w:r>
      <w:r>
        <w:rPr>
          <w:rFonts w:ascii="宋体" w:hAnsi="宋体" w:cs="宋体"/>
          <w:color w:val="000000"/>
          <w:sz w:val="24"/>
          <w:szCs w:val="24"/>
          <w:highlight w:val="none"/>
        </w:rPr>
      </w:r>
      <w:r/>
    </w:p>
    <w:p>
      <w:pPr>
        <w:pStyle w:val="851"/>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w:t>
      </w:r>
      <w:r>
        <w:rPr>
          <w:rFonts w:ascii="宋体" w:hAnsi="宋体" w:cs="宋体"/>
          <w:color w:val="000000"/>
          <w:sz w:val="24"/>
          <w:szCs w:val="24"/>
          <w:highlight w:val="none"/>
        </w:rPr>
      </w:r>
      <w:r/>
    </w:p>
    <w:p>
      <w:pPr>
        <w:pStyle w:val="851"/>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w:t>
      </w:r>
      <w:r>
        <w:rPr>
          <w:rFonts w:ascii="宋体" w:hAnsi="宋体" w:cs="宋体"/>
          <w:color w:val="000000"/>
          <w:sz w:val="24"/>
          <w:szCs w:val="24"/>
          <w:highlight w:val="none"/>
        </w:rPr>
      </w:r>
      <w:r/>
    </w:p>
    <w:p>
      <w:pPr>
        <w:pStyle w:val="851"/>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3.具有依法缴纳税收和社会保障资金的良好记录； </w:t>
      </w:r>
      <w:r>
        <w:rPr>
          <w:rFonts w:ascii="宋体" w:hAnsi="宋体" w:cs="宋体"/>
          <w:color w:val="000000"/>
          <w:sz w:val="24"/>
          <w:szCs w:val="24"/>
          <w:highlight w:val="none"/>
        </w:rPr>
      </w:r>
      <w:r/>
    </w:p>
    <w:p>
      <w:pPr>
        <w:pStyle w:val="851"/>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w:t>
      </w:r>
      <w:r>
        <w:rPr>
          <w:rFonts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w:t>
      </w:r>
      <w:r>
        <w:rPr>
          <w:rFonts w:hint="eastAsia"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（二）落实政府采购政策需满足的资格要求：</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本项目不专门面向中小微企业，但对符合条件的小型和微型企业、残疾人福利单位、监狱企业给予10%的价格扣除，用扣除后的价格参与评审。</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（三）本项目的特定资格要求：无。</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（四）参加本次采购活动的投标人不得存在下述情形（此项投标文件中无需提供证明材料）：</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1.不同投标人的单位负责人为同一人或者存在直接控股、管理关系的。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2.除单一来源采购项目外，为采购项目提供整体设计、规范编制或者项目管理、监理、检测等服务的。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被“信用中国”网站（www.creditchina.gov.cn）列入失信被执行人、重大税收违法案件当事人名单、政府采购严重违法失信行为记录名单的，及存在其他不符合《中华人民共和国政府采购法》第二十二条规定条件的信用记录的。</w:t>
      </w:r>
      <w:r>
        <w:rPr>
          <w:rFonts w:ascii="宋体" w:hAnsi="宋体" w:cs="宋体"/>
          <w:color w:val="000000"/>
          <w:sz w:val="24"/>
          <w:szCs w:val="24"/>
          <w:highlight w:val="none"/>
        </w:rPr>
      </w:r>
      <w:r/>
    </w:p>
    <w:p>
      <w:pPr>
        <w:pStyle w:val="851"/>
        <w:keepLines/>
        <w:keepNext/>
        <w:spacing w:line="460" w:lineRule="exact"/>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三、获取招标文件 </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24" w:name="_Toc28359005"/>
      <w:r/>
      <w:bookmarkEnd w:id="24"/>
      <w:r/>
      <w:bookmarkStart w:id="25" w:name="_Toc35393624"/>
      <w:r/>
      <w:bookmarkEnd w:id="25"/>
      <w:r/>
      <w:bookmarkStart w:id="26" w:name="_Toc35393793"/>
      <w:r/>
      <w:bookmarkEnd w:id="26"/>
      <w:r/>
      <w:bookmarkStart w:id="27" w:name="_Toc28359082"/>
      <w:r/>
      <w:bookmarkEnd w:id="27"/>
      <w:r/>
      <w:bookmarkStart w:id="28" w:name="_Toc38985266"/>
      <w:r>
        <w:rPr>
          <w:rFonts w:hint="eastAsia" w:ascii="宋体" w:hAnsi="宋体" w:cs="宋体"/>
          <w:color w:val="000000"/>
          <w:sz w:val="24"/>
          <w:szCs w:val="24"/>
          <w:highlight w:val="none"/>
        </w:rPr>
        <w:t xml:space="preserve">1.时间：自招标文件公告发布之日</w:t>
      </w:r>
      <w:r>
        <w:rPr>
          <w:rFonts w:hint="eastAsia" w:ascii="宋体" w:hAnsi="宋体" w:cs="宋体"/>
          <w:color w:val="000000"/>
          <w:sz w:val="24"/>
          <w:szCs w:val="24"/>
          <w:highlight w:val="none"/>
          <w:lang w:val="en-US" w:eastAsia="zh-CN"/>
        </w:rPr>
        <w:t xml:space="preserve">五个工作日</w:t>
      </w:r>
      <w:r>
        <w:rPr>
          <w:rFonts w:hint="eastAsia" w:ascii="宋体" w:hAnsi="宋体" w:cs="宋体"/>
          <w:color w:val="000000"/>
          <w:sz w:val="24"/>
          <w:szCs w:val="24"/>
          <w:highlight w:val="none"/>
        </w:rPr>
        <w:t xml:space="preserve">。</w:t>
      </w:r>
      <w:bookmarkEnd w:id="28"/>
      <w:r>
        <w:rPr>
          <w:rFonts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851"/>
        <w:keepLines/>
        <w:keepNext/>
        <w:spacing w:line="460" w:lineRule="exact"/>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四、提交投标文件截止时间、开标时间和地点</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highlight w:val="none"/>
        </w:rPr>
        <w:t xml:space="preserve"> </w:t>
      </w:r>
      <w:r>
        <w:rPr>
          <w:rFonts w:hint="eastAsia" w:ascii="宋体" w:hAnsi="宋体" w:cs="宋体"/>
          <w:color w:val="000000"/>
          <w:sz w:val="24"/>
          <w:szCs w:val="24"/>
          <w:highlight w:val="none"/>
          <w:u w:val="single"/>
        </w:rPr>
        <w:t xml:space="preserve">2026年8月</w:t>
      </w:r>
      <w:r>
        <w:rPr>
          <w:rFonts w:hint="eastAsia" w:ascii="宋体" w:hAnsi="宋体" w:cs="宋体"/>
          <w:color w:val="000000"/>
          <w:sz w:val="24"/>
          <w:szCs w:val="24"/>
          <w:highlight w:val="none"/>
          <w:u w:val="single"/>
          <w:lang w:val="en-US" w:eastAsia="zh-CN"/>
        </w:rPr>
        <w:t xml:space="preserve">4</w:t>
      </w:r>
      <w:r>
        <w:rPr>
          <w:rFonts w:hint="eastAsia" w:ascii="宋体" w:hAnsi="宋体" w:cs="宋体"/>
          <w:color w:val="000000"/>
          <w:sz w:val="24"/>
          <w:szCs w:val="24"/>
          <w:highlight w:val="none"/>
          <w:u w:val="single"/>
        </w:rPr>
        <w:t xml:space="preserve">日9点00分</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2.地点：“苏采云”政府采购交易系统网上开标大厅。</w:t>
      </w:r>
      <w:r>
        <w:rPr>
          <w:rFonts w:ascii="宋体" w:hAnsi="宋体" w:cs="宋体"/>
          <w:color w:val="000000"/>
          <w:sz w:val="24"/>
          <w:szCs w:val="24"/>
          <w:highlight w:val="none"/>
        </w:rPr>
      </w:r>
      <w:r/>
    </w:p>
    <w:p>
      <w:pPr>
        <w:pStyle w:val="851"/>
        <w:keepLines/>
        <w:keepNext/>
        <w:spacing w:line="460" w:lineRule="exact"/>
        <w:rPr>
          <w:rFonts w:ascii="宋体" w:hAnsi="宋体" w:cs="宋体"/>
          <w:color w:val="000000"/>
          <w:sz w:val="24"/>
          <w:szCs w:val="24"/>
          <w:highlight w:val="none"/>
        </w:rPr>
      </w:pPr>
      <w:r/>
      <w:bookmarkStart w:id="29" w:name="_Toc28359084"/>
      <w:r/>
      <w:bookmarkEnd w:id="29"/>
      <w:r/>
      <w:bookmarkStart w:id="30" w:name="_Toc35393794"/>
      <w:r/>
      <w:bookmarkEnd w:id="30"/>
      <w:r/>
      <w:bookmarkStart w:id="31" w:name="_Toc35393625"/>
      <w:r/>
      <w:bookmarkEnd w:id="31"/>
      <w:r/>
      <w:bookmarkStart w:id="32" w:name="_Toc38985267"/>
      <w:r/>
      <w:bookmarkEnd w:id="32"/>
      <w:r/>
      <w:bookmarkStart w:id="33" w:name="_Toc28359007"/>
      <w:r>
        <w:rPr>
          <w:rFonts w:hint="eastAsia" w:ascii="宋体" w:hAnsi="宋体" w:cs="宋体"/>
          <w:b/>
          <w:bCs/>
          <w:color w:val="000000"/>
          <w:sz w:val="32"/>
          <w:szCs w:val="32"/>
          <w:highlight w:val="none"/>
        </w:rPr>
        <w:t xml:space="preserve">五、公告期限</w:t>
      </w:r>
      <w:bookmarkEnd w:id="33"/>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34" w:name="_Toc35393795"/>
      <w:r/>
      <w:bookmarkEnd w:id="34"/>
      <w:r/>
      <w:bookmarkStart w:id="35" w:name="_Toc35393626"/>
      <w:r/>
      <w:bookmarkEnd w:id="35"/>
      <w:r/>
      <w:bookmarkStart w:id="36" w:name="_Toc38985268"/>
      <w:r>
        <w:rPr>
          <w:rFonts w:hint="eastAsia" w:ascii="宋体" w:hAnsi="宋体" w:cs="宋体"/>
          <w:color w:val="000000"/>
          <w:sz w:val="24"/>
          <w:szCs w:val="24"/>
          <w:highlight w:val="none"/>
        </w:rPr>
        <w:t xml:space="preserve">招标公告及招标文件公告期限为自本公告发布之日起5个工作日。</w:t>
      </w:r>
      <w:bookmarkEnd w:id="36"/>
      <w:r>
        <w:rPr>
          <w:rFonts w:ascii="宋体" w:hAnsi="宋体" w:cs="宋体"/>
          <w:color w:val="000000"/>
          <w:sz w:val="24"/>
          <w:szCs w:val="24"/>
          <w:highlight w:val="none"/>
        </w:rPr>
      </w:r>
      <w:r/>
    </w:p>
    <w:p>
      <w:pPr>
        <w:pStyle w:val="851"/>
        <w:keepLines/>
        <w:keepNext/>
        <w:spacing w:line="460" w:lineRule="exact"/>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六、其他补充事宜</w:t>
      </w:r>
      <w:r>
        <w:rPr>
          <w:rFonts w:ascii="宋体" w:hAnsi="宋体" w:cs="宋体"/>
          <w:color w:val="000000"/>
          <w:sz w:val="24"/>
          <w:szCs w:val="24"/>
          <w:highlight w:val="none"/>
        </w:rPr>
      </w:r>
      <w:r/>
    </w:p>
    <w:p>
      <w:pPr>
        <w:pStyle w:val="851"/>
        <w:ind w:firstLine="482"/>
        <w:jc w:val="left"/>
        <w:spacing w:line="46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根据省财政厅《关</w:t>
      </w:r>
      <w:r>
        <w:rPr>
          <w:rFonts w:hint="eastAsia" w:ascii="宋体" w:hAnsi="宋体" w:cs="宋体"/>
          <w:color w:val="000000"/>
          <w:sz w:val="24"/>
          <w:szCs w:val="24"/>
          <w:highlight w:val="none"/>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000000"/>
          <w:sz w:val="24"/>
          <w:szCs w:val="24"/>
          <w:highlight w:val="none"/>
        </w:rPr>
      </w:r>
      <w:r/>
    </w:p>
    <w:p>
      <w:pPr>
        <w:pStyle w:val="851"/>
        <w:ind w:firstLine="48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投标文件。</w:t>
      </w:r>
      <w:r>
        <w:rPr>
          <w:rFonts w:ascii="宋体" w:hAnsi="宋体" w:cs="宋体"/>
          <w:color w:val="000000"/>
          <w:sz w:val="24"/>
          <w:szCs w:val="24"/>
          <w:highlight w:val="none"/>
        </w:rPr>
      </w:r>
      <w:r/>
    </w:p>
    <w:p>
      <w:pPr>
        <w:pStyle w:val="851"/>
        <w:ind w:firstLine="48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 有关本次招标的事项若存在变动或修改，敬请及时关注招标人在“江苏政府采购网”发布的更正公告。</w:t>
      </w:r>
      <w:r>
        <w:rPr>
          <w:rFonts w:ascii="宋体" w:hAnsi="宋体" w:cs="宋体"/>
          <w:color w:val="000000"/>
          <w:sz w:val="24"/>
          <w:szCs w:val="24"/>
          <w:highlight w:val="none"/>
        </w:rPr>
      </w:r>
      <w:r/>
    </w:p>
    <w:p>
      <w:pPr>
        <w:pStyle w:val="851"/>
        <w:ind w:firstLine="48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 本次招标不收取投标保证金。 </w:t>
      </w:r>
      <w:r>
        <w:rPr>
          <w:rFonts w:ascii="宋体" w:hAnsi="宋体" w:cs="宋体"/>
          <w:color w:val="000000"/>
          <w:sz w:val="24"/>
          <w:szCs w:val="24"/>
          <w:highlight w:val="none"/>
        </w:rPr>
      </w:r>
      <w:r/>
    </w:p>
    <w:p>
      <w:pPr>
        <w:pStyle w:val="851"/>
        <w:keepLines/>
        <w:keepNext/>
        <w:spacing w:line="460" w:lineRule="exact"/>
        <w:rPr>
          <w:rFonts w:ascii="宋体" w:hAnsi="宋体" w:cs="宋体"/>
          <w:color w:val="000000"/>
          <w:sz w:val="24"/>
          <w:szCs w:val="24"/>
          <w:highlight w:val="none"/>
        </w:rPr>
      </w:pPr>
      <w:r/>
      <w:bookmarkStart w:id="37" w:name="_Toc38985269"/>
      <w:r/>
      <w:bookmarkEnd w:id="37"/>
      <w:r/>
      <w:bookmarkStart w:id="38" w:name="_Toc28359008"/>
      <w:r/>
      <w:bookmarkEnd w:id="38"/>
      <w:r/>
      <w:bookmarkStart w:id="39" w:name="_Toc35393796"/>
      <w:r/>
      <w:bookmarkEnd w:id="39"/>
      <w:r/>
      <w:bookmarkStart w:id="40" w:name="_Toc35393627"/>
      <w:r/>
      <w:bookmarkEnd w:id="40"/>
      <w:r/>
      <w:bookmarkStart w:id="41" w:name="_Toc28359085"/>
      <w:r>
        <w:rPr>
          <w:rFonts w:hint="eastAsia" w:ascii="宋体" w:hAnsi="宋体" w:cs="宋体"/>
          <w:b/>
          <w:bCs/>
          <w:color w:val="000000"/>
          <w:sz w:val="32"/>
          <w:szCs w:val="32"/>
          <w:highlight w:val="none"/>
        </w:rPr>
        <w:t xml:space="preserve">七、本次招标联系方式</w:t>
      </w:r>
      <w:bookmarkEnd w:id="41"/>
      <w:r>
        <w:rPr>
          <w:rFonts w:ascii="宋体" w:hAnsi="宋体" w:cs="宋体"/>
          <w:color w:val="000000"/>
          <w:sz w:val="24"/>
          <w:szCs w:val="24"/>
          <w:highlight w:val="none"/>
        </w:rPr>
      </w:r>
      <w:r/>
    </w:p>
    <w:p>
      <w:pPr>
        <w:pStyle w:val="851"/>
        <w:ind w:firstLine="48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称：泰州市海陵区市政园林养护服务中心</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地址：泰州市海陵区迎春西路</w:t>
      </w:r>
      <w:r>
        <w:rPr>
          <w:rFonts w:hint="eastAsia" w:ascii="宋体" w:hAnsi="宋体"/>
          <w:color w:val="000000"/>
          <w:sz w:val="24"/>
          <w:highlight w:val="none"/>
        </w:rPr>
        <w:t xml:space="preserve">656号</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联系人：郑先生  </w:t>
      </w:r>
      <w:r>
        <w:rPr>
          <w:rFonts w:ascii="宋体" w:hAnsi="宋体" w:cs="宋体"/>
          <w:color w:val="000000"/>
          <w:sz w:val="24"/>
          <w:szCs w:val="24"/>
          <w:highlight w:val="none"/>
        </w:rPr>
      </w:r>
      <w:r/>
    </w:p>
    <w:p>
      <w:pPr>
        <w:pStyle w:val="851"/>
        <w:ind w:firstLine="48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bookmarkStart w:id="42" w:name="_Toc28359009"/>
      <w:r/>
      <w:bookmarkEnd w:id="42"/>
      <w:r/>
      <w:bookmarkStart w:id="43" w:name="_Toc28359086"/>
      <w:r/>
      <w:bookmarkEnd w:id="43"/>
      <w:r>
        <w:rPr>
          <w:rFonts w:hint="eastAsia" w:ascii="宋体" w:hAnsi="宋体" w:cs="宋体"/>
          <w:color w:val="000000"/>
          <w:sz w:val="24"/>
          <w:szCs w:val="24"/>
          <w:highlight w:val="none"/>
          <w:lang w:val="en-US" w:eastAsia="zh-CN"/>
        </w:rPr>
        <w:t xml:space="preserve">0523-86226230</w:t>
      </w:r>
      <w:r>
        <w:rPr>
          <w:rFonts w:ascii="宋体" w:hAnsi="宋体" w:eastAsia="宋体" w:cs="宋体"/>
          <w:color w:val="000000"/>
          <w:sz w:val="24"/>
          <w:szCs w:val="24"/>
          <w:highlight w:val="none"/>
          <w:lang w:val="en-US" w:eastAsia="zh-CN"/>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名称：泰州市中诚工程咨询有限公司</w:t>
      </w:r>
      <w:r>
        <w:rPr>
          <w:rFonts w:hint="eastAsia"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地址：泰州市青年南路2号4楼</w:t>
      </w:r>
      <w:r>
        <w:rPr>
          <w:rFonts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联系人：陈梅</w:t>
      </w:r>
      <w:r>
        <w:rPr>
          <w:rFonts w:hint="eastAsia"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联系方式：0523-86889338</w:t>
      </w:r>
      <w:r>
        <w:rPr>
          <w:rFonts w:ascii="宋体" w:hAnsi="宋体" w:cs="宋体"/>
          <w:color w:val="000000"/>
          <w:sz w:val="24"/>
          <w:szCs w:val="24"/>
          <w:highlight w:val="none"/>
        </w:rPr>
      </w:r>
      <w:r/>
    </w:p>
    <w:p>
      <w:pPr>
        <w:pStyle w:val="887"/>
        <w:spacing w:before="220" w:after="210" w:line="240" w:lineRule="auto"/>
        <w:tabs>
          <w:tab w:val="left" w:pos="879"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Start w:id="44" w:name="_Toc120614211"/>
      <w:r/>
      <w:bookmarkStart w:id="45" w:name="_Toc23648"/>
      <w:r>
        <w:rPr>
          <w:rFonts w:hint="eastAsia" w:ascii="黑体" w:hAnsi="黑体" w:cs="黑体"/>
          <w:color w:val="000000"/>
          <w:spacing w:val="0"/>
          <w:sz w:val="44"/>
          <w:highlight w:val="none"/>
        </w:rPr>
        <w:t xml:space="preserve">第二章  </w:t>
      </w:r>
      <w:bookmarkEnd w:id="44"/>
      <w:r/>
      <w:bookmarkStart w:id="46" w:name="_Toc20823274"/>
      <w:r/>
      <w:bookmarkEnd w:id="46"/>
      <w:r/>
      <w:bookmarkStart w:id="47" w:name="_Toc513029202"/>
      <w:r/>
      <w:bookmarkEnd w:id="47"/>
      <w:r/>
      <w:bookmarkStart w:id="48" w:name="_Toc16938518"/>
      <w:r/>
      <w:bookmarkEnd w:id="48"/>
      <w:r/>
      <w:bookmarkStart w:id="49" w:name="_Toc120614213"/>
      <w:r>
        <w:rPr>
          <w:rFonts w:hint="eastAsia" w:ascii="黑体" w:hAnsi="黑体" w:cs="黑体"/>
          <w:color w:val="000000"/>
          <w:spacing w:val="0"/>
          <w:sz w:val="44"/>
          <w:highlight w:val="none"/>
        </w:rPr>
        <w:t xml:space="preserve">投标人须知</w:t>
      </w:r>
      <w:bookmarkEnd w:id="45"/>
      <w:r/>
      <w:bookmarkEnd w:id="49"/>
      <w:r>
        <w:rPr>
          <w:rFonts w:ascii="宋体" w:hAnsi="宋体" w:eastAsia="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bookmarkStart w:id="50" w:name="_Toc513029203"/>
      <w:r/>
      <w:bookmarkEnd w:id="50"/>
      <w:r/>
      <w:bookmarkStart w:id="51" w:name="_Toc20823275"/>
      <w:r/>
      <w:bookmarkEnd w:id="51"/>
      <w:r/>
      <w:bookmarkStart w:id="52" w:name="_Toc16938519"/>
      <w:r/>
      <w:bookmarkEnd w:id="52"/>
      <w:r/>
      <w:bookmarkStart w:id="53" w:name="_Toc120614214"/>
      <w:r>
        <w:rPr>
          <w:rFonts w:hint="eastAsia" w:ascii="宋体" w:hAnsi="宋体" w:cs="宋体"/>
          <w:b/>
          <w:bCs/>
          <w:color w:val="000000"/>
          <w:sz w:val="24"/>
          <w:szCs w:val="24"/>
          <w:highlight w:val="none"/>
        </w:rPr>
        <w:t xml:space="preserve">一、总则</w:t>
      </w:r>
      <w:bookmarkEnd w:id="53"/>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54" w:name="_Toc458694821"/>
      <w:r/>
      <w:bookmarkEnd w:id="54"/>
      <w:r/>
      <w:bookmarkStart w:id="55" w:name="_Hlt16619475"/>
      <w:r/>
      <w:bookmarkEnd w:id="55"/>
      <w:r/>
      <w:bookmarkStart w:id="56" w:name="_Toc20823276"/>
      <w:r/>
      <w:bookmarkEnd w:id="56"/>
      <w:r/>
      <w:bookmarkStart w:id="57" w:name="_Toc513029204"/>
      <w:r/>
      <w:bookmarkEnd w:id="57"/>
      <w:r/>
      <w:bookmarkStart w:id="58" w:name="_Toc16938520"/>
      <w:r>
        <w:rPr>
          <w:rFonts w:hint="eastAsia" w:ascii="宋体" w:hAnsi="宋体" w:cs="宋体"/>
          <w:color w:val="000000"/>
          <w:sz w:val="24"/>
          <w:szCs w:val="24"/>
          <w:highlight w:val="none"/>
        </w:rPr>
        <w:t xml:space="preserve">1</w:t>
      </w:r>
      <w:bookmarkEnd w:id="58"/>
      <w:r>
        <w:rPr>
          <w:rFonts w:hint="eastAsia" w:ascii="宋体" w:hAnsi="宋体" w:cs="宋体"/>
          <w:color w:val="000000"/>
          <w:sz w:val="24"/>
          <w:szCs w:val="24"/>
          <w:highlight w:val="none"/>
        </w:rPr>
        <w:t xml:space="preserve">、招标方式</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 本次招标采取公开招标方式，本招标文件仅适用于招标公告中所述项目。</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59" w:name="_Toc20823277"/>
      <w:r/>
      <w:bookmarkEnd w:id="59"/>
      <w:r/>
      <w:bookmarkStart w:id="60" w:name="_Toc513029205"/>
      <w:r/>
      <w:bookmarkEnd w:id="60"/>
      <w:r/>
      <w:bookmarkStart w:id="61" w:name="_Toc16938521"/>
      <w:r>
        <w:rPr>
          <w:rFonts w:hint="eastAsia" w:ascii="宋体" w:hAnsi="宋体" w:cs="宋体"/>
          <w:color w:val="000000"/>
          <w:sz w:val="24"/>
          <w:szCs w:val="24"/>
          <w:highlight w:val="none"/>
        </w:rPr>
        <w:t xml:space="preserve">2、合格的投标人</w:t>
      </w:r>
      <w:bookmarkEnd w:id="61"/>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2.1满足招标公告中供应商的资格要求的规定。</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满足本文件实质性要求和条件的规定。</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62" w:name="_Toc20823278"/>
      <w:r/>
      <w:bookmarkEnd w:id="62"/>
      <w:r/>
      <w:bookmarkStart w:id="63" w:name="_Toc513029206"/>
      <w:r/>
      <w:bookmarkEnd w:id="63"/>
      <w:r/>
      <w:bookmarkStart w:id="64" w:name="_Toc16938522"/>
      <w:r>
        <w:rPr>
          <w:rFonts w:hint="eastAsia" w:ascii="宋体" w:hAnsi="宋体" w:cs="宋体"/>
          <w:color w:val="000000"/>
          <w:sz w:val="24"/>
          <w:szCs w:val="24"/>
          <w:highlight w:val="none"/>
        </w:rPr>
        <w:t xml:space="preserve">3、适用法律</w:t>
      </w:r>
      <w:bookmarkEnd w:id="64"/>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 本次招标及由此产生的合同受中华人民共和国有关的法律法规制约和保护。</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65" w:name="_Toc462564067"/>
      <w:r/>
      <w:bookmarkEnd w:id="65"/>
      <w:r/>
      <w:bookmarkStart w:id="66" w:name="_Toc513029207"/>
      <w:r/>
      <w:bookmarkEnd w:id="66"/>
      <w:r/>
      <w:bookmarkStart w:id="67" w:name="_Toc20823279"/>
      <w:r/>
      <w:bookmarkEnd w:id="67"/>
      <w:r/>
      <w:bookmarkStart w:id="68" w:name="_Toc16938523"/>
      <w:r>
        <w:rPr>
          <w:rFonts w:hint="eastAsia" w:ascii="宋体" w:hAnsi="宋体" w:cs="宋体"/>
          <w:color w:val="000000"/>
          <w:sz w:val="24"/>
          <w:szCs w:val="24"/>
          <w:highlight w:val="none"/>
        </w:rPr>
        <w:t xml:space="preserve">4、投标费用</w:t>
      </w:r>
      <w:bookmarkEnd w:id="68"/>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4.1 投标人应自行承担所有与参加投标有关的费用，无论投标过程中的做法和结果如何，招标人和采购代理机构在任何情况下均无义务和责任承担这些费用。</w:t>
      </w:r>
      <w:r>
        <w:rPr>
          <w:rFonts w:ascii="宋体" w:hAnsi="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5、</w:t>
      </w:r>
      <w:r>
        <w:rPr>
          <w:rFonts w:hint="eastAsia" w:ascii="宋体" w:hAnsi="宋体" w:cs="宋体"/>
          <w:color w:val="000000"/>
          <w:sz w:val="24"/>
          <w:szCs w:val="24"/>
          <w:highlight w:val="none"/>
        </w:rPr>
        <w:t xml:space="preserve">招标文件的约束力</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 投标人一旦参加本项目采购活动，即被认为接受了本招标文件的规定和约束。</w:t>
      </w:r>
      <w:r>
        <w:rPr>
          <w:rFonts w:ascii="宋体" w:hAnsi="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bookmarkStart w:id="69" w:name="_Toc120614215"/>
      <w:r/>
      <w:bookmarkEnd w:id="69"/>
      <w:r/>
      <w:bookmarkStart w:id="70" w:name="_Toc16938525"/>
      <w:r/>
      <w:bookmarkEnd w:id="70"/>
      <w:r/>
      <w:bookmarkStart w:id="71" w:name="_Toc513029209"/>
      <w:r/>
      <w:bookmarkEnd w:id="71"/>
      <w:r/>
      <w:bookmarkStart w:id="72" w:name="_Toc20823281"/>
      <w:r>
        <w:rPr>
          <w:rFonts w:hint="eastAsia" w:ascii="宋体" w:hAnsi="宋体" w:cs="宋体"/>
          <w:b/>
          <w:bCs/>
          <w:color w:val="000000"/>
          <w:sz w:val="24"/>
          <w:szCs w:val="24"/>
          <w:highlight w:val="none"/>
        </w:rPr>
        <w:t xml:space="preserve">二、招标文件</w:t>
      </w:r>
      <w:bookmarkEnd w:id="72"/>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73" w:name="_Toc513029210"/>
      <w:r/>
      <w:bookmarkEnd w:id="73"/>
      <w:r/>
      <w:bookmarkStart w:id="74" w:name="_Toc16938526"/>
      <w:r/>
      <w:bookmarkEnd w:id="74"/>
      <w:r/>
      <w:bookmarkStart w:id="75" w:name="_Toc20823282"/>
      <w:r>
        <w:rPr>
          <w:rFonts w:hint="eastAsia" w:ascii="宋体" w:hAnsi="宋体" w:cs="宋体"/>
          <w:color w:val="000000"/>
          <w:sz w:val="24"/>
          <w:szCs w:val="24"/>
          <w:highlight w:val="none"/>
        </w:rPr>
        <w:t xml:space="preserve">6、招标文件构成</w:t>
      </w:r>
      <w:bookmarkEnd w:id="75"/>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 招标文件由以下部分组成：</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（1）投标邀请</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（2）投标人须知</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（3）合同文本</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（5）评标方法与评标标准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（6）投标文件格式</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请仔细检查招标文件是否齐全，如有缺漏请立即与采购代理机构联系解决。</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76" w:name="_Toc513029211"/>
      <w:r/>
      <w:bookmarkEnd w:id="76"/>
      <w:r/>
      <w:bookmarkStart w:id="77" w:name="_Toc16938527"/>
      <w:r/>
      <w:bookmarkEnd w:id="77"/>
      <w:r/>
      <w:bookmarkStart w:id="78" w:name="_Toc462564070"/>
      <w:r/>
      <w:bookmarkEnd w:id="78"/>
      <w:r/>
      <w:bookmarkStart w:id="79" w:name="_Toc20823283"/>
      <w:r>
        <w:rPr>
          <w:rFonts w:hint="eastAsia" w:ascii="宋体" w:hAnsi="宋体" w:cs="宋体"/>
          <w:color w:val="000000"/>
          <w:sz w:val="24"/>
          <w:szCs w:val="24"/>
          <w:highlight w:val="none"/>
        </w:rPr>
        <w:t xml:space="preserve">7、招标文件的澄清</w:t>
      </w:r>
      <w:bookmarkEnd w:id="79"/>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7.1 任何要求对招标文件进行澄清的投标人，应在投标截止期</w:t>
      </w:r>
      <w:r>
        <w:rPr>
          <w:rFonts w:hint="eastAsia" w:ascii="宋体" w:hAnsi="宋体" w:cs="宋体"/>
          <w:b/>
          <w:bCs/>
          <w:color w:val="000000"/>
          <w:sz w:val="24"/>
          <w:szCs w:val="24"/>
          <w:highlight w:val="none"/>
        </w:rPr>
        <w:t xml:space="preserve">十日</w:t>
      </w:r>
      <w:r>
        <w:rPr>
          <w:rFonts w:hint="eastAsia" w:ascii="宋体" w:hAnsi="宋体" w:cs="宋体"/>
          <w:color w:val="000000"/>
          <w:sz w:val="24"/>
          <w:szCs w:val="24"/>
          <w:highlight w:val="none"/>
        </w:rPr>
        <w:t xml:space="preserve">前按招标公告中的通讯地址，以书面形式通知招标人。</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80" w:name="_Toc513029212"/>
      <w:r/>
      <w:bookmarkEnd w:id="80"/>
      <w:r/>
      <w:bookmarkStart w:id="81" w:name="_Toc16938528"/>
      <w:r/>
      <w:bookmarkEnd w:id="81"/>
      <w:r/>
      <w:bookmarkStart w:id="82" w:name="_Toc20823284"/>
      <w:r/>
      <w:bookmarkEnd w:id="82"/>
      <w:r/>
      <w:bookmarkStart w:id="83" w:name="_Toc462564071"/>
      <w:r>
        <w:rPr>
          <w:rFonts w:hint="eastAsia" w:ascii="宋体" w:hAnsi="宋体" w:cs="宋体"/>
          <w:color w:val="000000"/>
          <w:sz w:val="24"/>
          <w:szCs w:val="24"/>
          <w:highlight w:val="none"/>
        </w:rPr>
        <w:t xml:space="preserve">8、招标文件的修改</w:t>
      </w:r>
      <w:bookmarkEnd w:id="83"/>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8.1 在投标截止时间前，招标人可以对招标文件进行修改。</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8.2 招标人有权按照法定的要求推迟投标截止日期和开标日期。</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8.3 招标文件的修改将在江苏政府采购网公布，补充文件将作为招标文件的组成部分，并对投标人具有约束力。</w:t>
      </w:r>
      <w:r>
        <w:rPr>
          <w:rFonts w:ascii="宋体" w:hAnsi="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bookmarkStart w:id="84" w:name="_Toc513029213"/>
      <w:r/>
      <w:bookmarkEnd w:id="84"/>
      <w:r/>
      <w:bookmarkStart w:id="85" w:name="_Toc16938529"/>
      <w:r/>
      <w:bookmarkEnd w:id="85"/>
      <w:r/>
      <w:bookmarkStart w:id="86" w:name="_Toc20823285"/>
      <w:r/>
      <w:bookmarkEnd w:id="86"/>
      <w:r/>
      <w:bookmarkStart w:id="87" w:name="_Toc120614216"/>
      <w:r/>
      <w:bookmarkEnd w:id="87"/>
      <w:r/>
      <w:bookmarkStart w:id="88" w:name="_Toc462564072"/>
      <w:r>
        <w:rPr>
          <w:rFonts w:hint="eastAsia" w:ascii="宋体" w:hAnsi="宋体" w:cs="宋体"/>
          <w:b/>
          <w:bCs/>
          <w:color w:val="000000"/>
          <w:sz w:val="24"/>
          <w:szCs w:val="24"/>
          <w:highlight w:val="none"/>
        </w:rPr>
        <w:t xml:space="preserve">三、投标文件的编制</w:t>
      </w:r>
      <w:bookmarkEnd w:id="88"/>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89" w:name="_Toc16938530"/>
      <w:r/>
      <w:bookmarkEnd w:id="89"/>
      <w:r/>
      <w:bookmarkStart w:id="90" w:name="_Toc513029214"/>
      <w:r/>
      <w:bookmarkEnd w:id="90"/>
      <w:r/>
      <w:bookmarkStart w:id="91" w:name="_Toc462564073"/>
      <w:r/>
      <w:bookmarkEnd w:id="91"/>
      <w:r/>
      <w:bookmarkStart w:id="92" w:name="_Toc20823286"/>
      <w:r>
        <w:rPr>
          <w:rFonts w:hint="eastAsia" w:ascii="宋体" w:hAnsi="宋体" w:cs="宋体"/>
          <w:color w:val="000000"/>
          <w:sz w:val="24"/>
          <w:szCs w:val="24"/>
          <w:highlight w:val="none"/>
        </w:rPr>
        <w:t xml:space="preserve">9、投标文件的语言及度量衡单位</w:t>
      </w:r>
      <w:bookmarkEnd w:id="92"/>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9.1 投标人提交的投标文件以及投标人与招标人就有关投标的所有来往通知、函件和文件均应使用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9.2 除技术性能另有规定外，投标文件所使用的度量衡单位，均须采用国家法定计量单位。</w:t>
      </w:r>
      <w:r>
        <w:rPr>
          <w:rFonts w:ascii="宋体" w:hAnsi="宋体" w:cs="宋体"/>
          <w:color w:val="000000"/>
          <w:sz w:val="24"/>
          <w:szCs w:val="24"/>
          <w:highlight w:val="none"/>
        </w:rPr>
      </w:r>
      <w:r/>
    </w:p>
    <w:p>
      <w:pPr>
        <w:pStyle w:val="851"/>
        <w:ind w:firstLine="480"/>
        <w:keepLines/>
        <w:keepNext/>
        <w:spacing w:line="460" w:lineRule="exact"/>
        <w:rPr>
          <w:rFonts w:hint="eastAsia" w:ascii="宋体" w:hAnsi="宋体" w:cs="宋体"/>
          <w:color w:val="000000"/>
          <w:sz w:val="24"/>
          <w:szCs w:val="24"/>
          <w:highlight w:val="none"/>
        </w:rPr>
      </w:pPr>
      <w:r/>
      <w:bookmarkStart w:id="93" w:name="_Toc513029215"/>
      <w:r/>
      <w:bookmarkEnd w:id="93"/>
      <w:r/>
      <w:bookmarkStart w:id="94" w:name="_Toc16938531"/>
      <w:r/>
      <w:bookmarkEnd w:id="94"/>
      <w:r/>
      <w:bookmarkStart w:id="95" w:name="_Toc462564074"/>
      <w:r/>
      <w:bookmarkEnd w:id="95"/>
      <w:r/>
      <w:bookmarkStart w:id="96" w:name="_Toc20823287"/>
      <w:r>
        <w:rPr>
          <w:rFonts w:hint="eastAsia" w:ascii="宋体" w:hAnsi="宋体" w:cs="宋体"/>
          <w:color w:val="000000"/>
          <w:sz w:val="24"/>
          <w:szCs w:val="24"/>
          <w:highlight w:val="none"/>
        </w:rPr>
        <w:t xml:space="preserve">10、投标文件构成</w:t>
      </w:r>
      <w:bookmarkEnd w:id="96"/>
      <w:r>
        <w:rPr>
          <w:rFonts w:hint="eastAsia" w:ascii="宋体" w:hAnsi="宋体" w:cs="宋体"/>
          <w:color w:val="000000"/>
          <w:sz w:val="24"/>
          <w:szCs w:val="24"/>
          <w:highlight w:val="none"/>
        </w:rPr>
      </w:r>
      <w:r/>
    </w:p>
    <w:p>
      <w:pPr>
        <w:pStyle w:val="851"/>
        <w:contextualSpacing/>
        <w:ind w:firstLine="480"/>
        <w:spacing w:line="480" w:lineRule="exact"/>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1投标函（格式见附件）</w:t>
      </w:r>
      <w:r>
        <w:rPr>
          <w:color w:val="000000"/>
          <w:highlight w:val="none"/>
        </w:rPr>
      </w:r>
      <w:r/>
    </w:p>
    <w:p>
      <w:pPr>
        <w:pStyle w:val="851"/>
        <w:contextualSpacing/>
        <w:ind w:firstLine="480"/>
        <w:spacing w:line="480" w:lineRule="exact"/>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2.资格、资信等证明文件：</w:t>
      </w:r>
      <w:r>
        <w:rPr>
          <w:color w:val="000000"/>
          <w:highlight w:val="none"/>
        </w:rPr>
      </w:r>
      <w:r/>
    </w:p>
    <w:p>
      <w:pPr>
        <w:pStyle w:val="851"/>
        <w:contextualSpacing/>
        <w:ind w:firstLine="480"/>
        <w:spacing w:before="240" w:after="240" w:line="480" w:lineRule="exact"/>
        <w:tabs>
          <w:tab w:val="left" w:pos="1276"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（1）关于资格的声明函（格式见附件</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rPr>
        <w:t xml:space="preserve">联合体各方均须提供</w:t>
      </w:r>
      <w:r>
        <w:rPr>
          <w:rFonts w:ascii="宋体" w:hAnsi="宋体" w:cs="宋体"/>
          <w:color w:val="000000"/>
          <w:sz w:val="24"/>
          <w:highlight w:val="none"/>
        </w:rPr>
        <w:t xml:space="preserve">）</w:t>
      </w:r>
      <w:r>
        <w:rPr>
          <w:color w:val="000000"/>
          <w:highlight w:val="none"/>
        </w:rPr>
      </w:r>
      <w:r/>
    </w:p>
    <w:p>
      <w:pPr>
        <w:pStyle w:val="851"/>
        <w:contextualSpacing/>
        <w:ind w:firstLine="480"/>
        <w:spacing w:before="240" w:after="240" w:line="480" w:lineRule="exact"/>
        <w:tabs>
          <w:tab w:val="left" w:pos="1276"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（2）具有独立承担民事责任的能力：法人或其他组织的营业执照或相关部门的登记证明文件扫描件；</w:t>
      </w:r>
      <w:r>
        <w:rPr>
          <w:rFonts w:hint="eastAsia" w:ascii="宋体" w:hAnsi="宋体" w:cs="宋体"/>
          <w:color w:val="000000"/>
          <w:sz w:val="24"/>
          <w:szCs w:val="24"/>
          <w:highlight w:val="none"/>
        </w:rPr>
        <w:t xml:space="preserve">（联合体各方均须提供）</w:t>
      </w:r>
      <w:r>
        <w:rPr>
          <w:rFonts w:ascii="宋体" w:hAnsi="宋体" w:cs="宋体"/>
          <w:color w:val="000000"/>
          <w:sz w:val="24"/>
          <w:highlight w:val="none"/>
        </w:rPr>
        <w:t xml:space="preserve"> </w:t>
      </w:r>
      <w:r>
        <w:rPr>
          <w:color w:val="000000"/>
          <w:highlight w:val="none"/>
        </w:rPr>
      </w:r>
      <w:r/>
    </w:p>
    <w:p>
      <w:pPr>
        <w:pStyle w:val="851"/>
        <w:contextualSpacing/>
        <w:ind w:firstLine="480"/>
        <w:spacing w:before="240" w:after="240" w:line="480" w:lineRule="exact"/>
        <w:tabs>
          <w:tab w:val="left" w:pos="1276"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（3）法人授权书（格式见附件，投标人授权代表身份证扫描件</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联合体各方均须提供）</w:t>
      </w:r>
      <w:r>
        <w:rPr>
          <w:color w:val="000000"/>
          <w:highlight w:val="none"/>
        </w:rPr>
      </w:r>
      <w:r/>
    </w:p>
    <w:p>
      <w:pPr>
        <w:pStyle w:val="851"/>
        <w:contextualSpacing/>
        <w:ind w:firstLine="480"/>
        <w:spacing w:before="240" w:after="240" w:line="480" w:lineRule="exact"/>
        <w:tabs>
          <w:tab w:val="left" w:pos="1276"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（4）具有良好的商业信誉和健全的财务会计制度：提供投标人近六个月中任意一个月份（不含投标文件递交当月）的财务状况报告（资产负债表和利润表）或由会计师事务所出具的近两年中任意一个年度</w:t>
      </w:r>
      <w:r>
        <w:rPr>
          <w:rFonts w:hint="eastAsia" w:ascii="宋体" w:hAnsi="宋体" w:cs="宋体"/>
          <w:color w:val="000000"/>
          <w:sz w:val="24"/>
          <w:highlight w:val="none"/>
        </w:rPr>
        <w:t xml:space="preserve">（2024年或2025年）</w:t>
      </w:r>
      <w:r>
        <w:rPr>
          <w:rFonts w:ascii="宋体" w:hAnsi="宋体" w:cs="宋体"/>
          <w:color w:val="000000"/>
          <w:sz w:val="24"/>
          <w:highlight w:val="none"/>
        </w:rPr>
        <w:t xml:space="preserve">的审计报告扫描件；其他组织、自然人及成立未满一年的法人应提供银行出具的资信证明扫描件；</w:t>
      </w:r>
      <w:r>
        <w:rPr>
          <w:rFonts w:hint="eastAsia" w:ascii="宋体" w:hAnsi="宋体" w:cs="宋体"/>
          <w:color w:val="000000"/>
          <w:sz w:val="24"/>
          <w:szCs w:val="24"/>
          <w:highlight w:val="none"/>
        </w:rPr>
        <w:t xml:space="preserve">（联合体各方均须提供）</w:t>
      </w:r>
      <w:r>
        <w:rPr>
          <w:color w:val="000000"/>
          <w:highlight w:val="none"/>
        </w:rPr>
      </w:r>
      <w:r/>
    </w:p>
    <w:p>
      <w:pPr>
        <w:pStyle w:val="851"/>
        <w:contextualSpacing/>
        <w:ind w:firstLine="480"/>
        <w:spacing w:before="240" w:after="240" w:line="480" w:lineRule="exact"/>
        <w:tabs>
          <w:tab w:val="left" w:pos="1276"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有依法缴纳税收和社会保障资金的良好记录：提供投标人近六个月中任意一个月份（不含投标文件递交当月）依法缴纳税收及缴纳社会保障资金的证明材料扫描件。投标人依法享受缓缴、免缴税收、社会保障资金的提供证明材料扫描件；</w:t>
      </w:r>
      <w:r>
        <w:rPr>
          <w:rFonts w:hint="eastAsia" w:ascii="宋体" w:hAnsi="宋体" w:cs="宋体"/>
          <w:color w:val="000000"/>
          <w:sz w:val="24"/>
          <w:szCs w:val="24"/>
          <w:highlight w:val="none"/>
        </w:rPr>
        <w:t xml:space="preserve">（联合体各方均须提供）</w:t>
      </w:r>
      <w:r>
        <w:rPr>
          <w:rFonts w:hint="eastAsia" w:ascii="宋体" w:hAnsi="宋体" w:cs="宋体"/>
          <w:color w:val="000000"/>
          <w:sz w:val="24"/>
          <w:szCs w:val="24"/>
          <w:highlight w:val="none"/>
        </w:rPr>
      </w:r>
      <w:r/>
    </w:p>
    <w:p>
      <w:pPr>
        <w:pStyle w:val="851"/>
        <w:contextualSpacing/>
        <w:ind w:firstLine="480"/>
        <w:spacing w:before="240" w:after="240" w:line="480" w:lineRule="exact"/>
        <w:tabs>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具备履行合同所必需的设备和专业技术能力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具备履行合同所必需的设备和专业技术能力的书面声明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联合体各方均须提供）</w:t>
      </w:r>
      <w:r>
        <w:rPr>
          <w:rFonts w:ascii="宋体" w:hAnsi="宋体" w:eastAsia="宋体" w:cs="宋体"/>
          <w:color w:val="000000"/>
          <w:sz w:val="24"/>
          <w:highlight w:val="none"/>
        </w:rPr>
      </w:r>
      <w:r/>
    </w:p>
    <w:p>
      <w:pPr>
        <w:pStyle w:val="851"/>
        <w:contextualSpacing/>
        <w:ind w:firstLine="480"/>
        <w:spacing w:before="240" w:after="240" w:line="480" w:lineRule="exact"/>
        <w:tabs>
          <w:tab w:val="left" w:pos="1276" w:leader="none"/>
        </w:tabs>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参加政府采购活动前三年内，在经营活动中没有重大违法记录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参加政府采购活动前 3 年内在经营活动中没有重大违法记录的书面声明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联合体各方均须提供）</w:t>
      </w:r>
      <w:r>
        <w:rPr>
          <w:rFonts w:ascii="宋体" w:hAnsi="宋体" w:eastAsia="宋体" w:cs="宋体"/>
          <w:color w:val="000000"/>
          <w:sz w:val="24"/>
          <w:highlight w:val="none"/>
          <w:lang w:val="en-US" w:eastAsia="zh-CN"/>
        </w:rPr>
      </w:r>
      <w:r/>
    </w:p>
    <w:p>
      <w:pPr>
        <w:pStyle w:val="851"/>
        <w:contextualSpacing/>
        <w:ind w:firstLine="480"/>
        <w:spacing w:before="240" w:after="240" w:line="360" w:lineRule="auto"/>
        <w:tabs>
          <w:tab w:val="left" w:pos="1276"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）本项目的特定资格要求（详见招标公告，提供证明材料扫描件）。</w:t>
      </w:r>
      <w:r>
        <w:rPr>
          <w:color w:val="000000"/>
          <w:highlight w:val="none"/>
        </w:rPr>
      </w:r>
      <w:r/>
    </w:p>
    <w:p>
      <w:pPr>
        <w:pStyle w:val="851"/>
        <w:contextualSpacing/>
        <w:ind w:firstLine="480"/>
        <w:spacing w:before="240" w:after="240" w:line="360" w:lineRule="auto"/>
        <w:tabs>
          <w:tab w:val="left" w:pos="1276"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3</w:t>
      </w:r>
      <w:r>
        <w:rPr>
          <w:rFonts w:hint="eastAsia" w:ascii="宋体" w:hAnsi="宋体" w:cs="宋体"/>
          <w:color w:val="000000"/>
          <w:sz w:val="24"/>
          <w:highlight w:val="none"/>
        </w:rPr>
        <w:t xml:space="preserve"> </w:t>
      </w:r>
      <w:r>
        <w:rPr>
          <w:rFonts w:ascii="宋体" w:hAnsi="宋体" w:cs="宋体"/>
          <w:color w:val="000000"/>
          <w:sz w:val="24"/>
          <w:highlight w:val="none"/>
        </w:rPr>
        <w:t xml:space="preserve">开标一览表</w:t>
      </w:r>
      <w:r>
        <w:rPr>
          <w:color w:val="000000"/>
          <w:highlight w:val="none"/>
        </w:rPr>
      </w:r>
      <w:r/>
    </w:p>
    <w:p>
      <w:pPr>
        <w:pStyle w:val="851"/>
        <w:contextualSpacing/>
        <w:ind w:firstLine="48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4</w:t>
      </w:r>
      <w:r>
        <w:rPr>
          <w:rFonts w:hint="eastAsia" w:ascii="宋体" w:hAnsi="宋体" w:cs="宋体"/>
          <w:color w:val="000000"/>
          <w:sz w:val="24"/>
          <w:highlight w:val="none"/>
        </w:rPr>
        <w:t xml:space="preserve"> </w:t>
      </w:r>
      <w:r>
        <w:rPr>
          <w:rFonts w:ascii="宋体" w:hAnsi="宋体" w:cs="宋体"/>
          <w:color w:val="000000"/>
          <w:sz w:val="24"/>
          <w:highlight w:val="none"/>
        </w:rPr>
        <w:t xml:space="preserve">投标</w:t>
      </w:r>
      <w:r>
        <w:rPr>
          <w:rFonts w:hint="eastAsia" w:ascii="宋体" w:hAnsi="宋体" w:cs="宋体"/>
          <w:color w:val="000000"/>
          <w:sz w:val="24"/>
          <w:highlight w:val="none"/>
        </w:rPr>
        <w:t xml:space="preserve">分项报价表</w:t>
      </w:r>
      <w:r>
        <w:rPr>
          <w:rFonts w:ascii="宋体" w:hAnsi="宋体" w:cs="宋体"/>
          <w:color w:val="000000"/>
          <w:sz w:val="24"/>
          <w:highlight w:val="none"/>
        </w:rPr>
        <w:t xml:space="preserve">（格式见附件）</w:t>
      </w:r>
      <w:r>
        <w:rPr>
          <w:color w:val="000000"/>
          <w:highlight w:val="none"/>
        </w:rPr>
      </w:r>
      <w:r/>
    </w:p>
    <w:p>
      <w:pPr>
        <w:pStyle w:val="851"/>
        <w:contextualSpacing/>
        <w:ind w:firstLine="48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5 </w:t>
      </w:r>
      <w:r>
        <w:rPr>
          <w:rFonts w:hint="eastAsia" w:ascii="宋体" w:hAnsi="宋体" w:cs="宋体"/>
          <w:color w:val="000000"/>
          <w:sz w:val="24"/>
          <w:highlight w:val="none"/>
        </w:rPr>
        <w:t xml:space="preserve">人员配备表</w:t>
      </w:r>
      <w:r>
        <w:rPr>
          <w:rFonts w:ascii="宋体" w:hAnsi="宋体" w:cs="宋体"/>
          <w:color w:val="000000"/>
          <w:sz w:val="24"/>
          <w:highlight w:val="none"/>
        </w:rPr>
        <w:t xml:space="preserve">（格式见附件）</w:t>
      </w:r>
      <w:r>
        <w:rPr>
          <w:color w:val="000000"/>
          <w:highlight w:val="none"/>
        </w:rPr>
      </w:r>
      <w:r/>
    </w:p>
    <w:p>
      <w:pPr>
        <w:pStyle w:val="851"/>
        <w:contextualSpacing/>
        <w:ind w:firstLine="48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10.6 </w:t>
      </w:r>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rPr>
        <w:t xml:space="preserve">要求响应及偏离表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技术要求响应及偏离表（格</w:t>
      </w:r>
      <w:r>
        <w:rPr>
          <w:rFonts w:ascii="宋体" w:hAnsi="宋体" w:cs="宋体"/>
          <w:color w:val="000000"/>
          <w:sz w:val="24"/>
          <w:highlight w:val="none"/>
        </w:rPr>
        <w:t xml:space="preserve">式见附件）</w:t>
      </w:r>
      <w:r>
        <w:rPr>
          <w:color w:val="000000"/>
          <w:highlight w:val="none"/>
        </w:rPr>
      </w:r>
      <w:r/>
    </w:p>
    <w:p>
      <w:pPr>
        <w:pStyle w:val="851"/>
        <w:contextualSpacing/>
        <w:ind w:firstLine="48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7</w:t>
      </w:r>
      <w:r>
        <w:rPr>
          <w:rFonts w:hint="eastAsia" w:ascii="宋体" w:hAnsi="宋体" w:cs="宋体"/>
          <w:color w:val="000000"/>
          <w:sz w:val="24"/>
          <w:highlight w:val="none"/>
        </w:rPr>
        <w:t xml:space="preserve"> </w:t>
      </w:r>
      <w:r>
        <w:rPr>
          <w:rFonts w:ascii="宋体" w:hAnsi="宋体" w:cs="宋体"/>
          <w:color w:val="000000"/>
          <w:sz w:val="24"/>
          <w:highlight w:val="none"/>
        </w:rPr>
        <w:t xml:space="preserve">评分标准中对应的其他所需证明材料（如有自行添加）</w:t>
      </w:r>
      <w:r>
        <w:rPr>
          <w:color w:val="000000"/>
          <w:highlight w:val="none"/>
        </w:rPr>
      </w:r>
      <w:r/>
    </w:p>
    <w:p>
      <w:pPr>
        <w:pStyle w:val="851"/>
        <w:contextualSpacing/>
        <w:ind w:firstLine="48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8</w:t>
      </w:r>
      <w:r>
        <w:rPr>
          <w:rFonts w:hint="eastAsia" w:ascii="宋体" w:hAnsi="宋体" w:cs="宋体"/>
          <w:color w:val="000000"/>
          <w:sz w:val="24"/>
          <w:highlight w:val="none"/>
        </w:rPr>
        <w:t xml:space="preserve"> </w:t>
      </w:r>
      <w:r>
        <w:rPr>
          <w:rFonts w:ascii="宋体" w:hAnsi="宋体" w:cs="宋体"/>
          <w:color w:val="000000"/>
          <w:sz w:val="24"/>
          <w:highlight w:val="none"/>
        </w:rPr>
        <w:t xml:space="preserve">其他（投标人认为有必要提供的声明和文件，如有自拟并自行添加</w:t>
      </w:r>
      <w:r>
        <w:rPr>
          <w:rFonts w:hint="eastAsia" w:ascii="宋体" w:hAnsi="宋体" w:cs="宋体"/>
          <w:color w:val="000000"/>
          <w:sz w:val="24"/>
          <w:highlight w:val="none"/>
        </w:rPr>
        <w:t xml:space="preserve">,</w:t>
      </w:r>
      <w:r>
        <w:rPr>
          <w:rFonts w:ascii="宋体" w:hAnsi="宋体"/>
          <w:color w:val="000000"/>
          <w:sz w:val="24"/>
          <w:szCs w:val="24"/>
          <w:highlight w:val="none"/>
        </w:rPr>
        <w:t xml:space="preserve">例如投标(响应)报价低于采购项目最高限价 </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5%的，即投标(响应)报价&lt;采购项目最高限价× </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提交相关书面说明及必要的证明材料，上传此处即可</w:t>
      </w:r>
      <w:r>
        <w:rPr>
          <w:rFonts w:hint="eastAsia" w:ascii="宋体" w:hAnsi="宋体"/>
          <w:color w:val="000000"/>
          <w:sz w:val="24"/>
          <w:szCs w:val="24"/>
          <w:highlight w:val="none"/>
        </w:rPr>
        <w:t xml:space="preserve">）。</w:t>
      </w:r>
      <w:r>
        <w:rPr>
          <w:color w:val="000000"/>
          <w:highlight w:val="none"/>
        </w:rPr>
      </w:r>
      <w:r/>
    </w:p>
    <w:p>
      <w:pPr>
        <w:pStyle w:val="851"/>
        <w:ind w:firstLine="645"/>
        <w:spacing w:line="360" w:lineRule="auto"/>
        <w:rPr>
          <w:color w:val="000000"/>
          <w:highlight w:val="none"/>
        </w:rPr>
      </w:pPr>
      <w:r>
        <w:rPr>
          <w:rFonts w:ascii="宋体" w:hAnsi="宋体" w:cs="宋体"/>
          <w:b/>
          <w:bCs/>
          <w:color w:val="000000"/>
          <w:sz w:val="24"/>
          <w:highlight w:val="none"/>
        </w:rPr>
        <w:t xml:space="preserve">上述</w:t>
      </w:r>
      <w:r>
        <w:rPr>
          <w:rFonts w:hint="eastAsia" w:ascii="宋体" w:hAnsi="宋体" w:cs="宋体"/>
          <w:b/>
          <w:bCs/>
          <w:color w:val="000000"/>
          <w:sz w:val="24"/>
          <w:highlight w:val="none"/>
        </w:rPr>
        <w:t xml:space="preserve">10.</w:t>
      </w:r>
      <w:r>
        <w:rPr>
          <w:rFonts w:ascii="宋体" w:hAnsi="宋体" w:cs="宋体"/>
          <w:b/>
          <w:bCs/>
          <w:color w:val="000000"/>
          <w:sz w:val="24"/>
          <w:highlight w:val="none"/>
        </w:rPr>
        <w:t xml:space="preserve">1-</w:t>
      </w:r>
      <w:r>
        <w:rPr>
          <w:rFonts w:hint="eastAsia" w:ascii="宋体" w:hAnsi="宋体" w:cs="宋体"/>
          <w:b/>
          <w:bCs/>
          <w:color w:val="000000"/>
          <w:sz w:val="24"/>
          <w:highlight w:val="none"/>
        </w:rPr>
        <w:t xml:space="preserve">10.</w:t>
      </w:r>
      <w:r>
        <w:rPr>
          <w:rFonts w:hint="eastAsia" w:ascii="宋体" w:hAnsi="宋体" w:cs="宋体"/>
          <w:b/>
          <w:bCs/>
          <w:color w:val="000000"/>
          <w:sz w:val="24"/>
          <w:highlight w:val="none"/>
          <w:lang w:val="en-US" w:eastAsia="zh-CN"/>
        </w:rPr>
        <w:t xml:space="preserve">7</w:t>
      </w:r>
      <w:r>
        <w:rPr>
          <w:rFonts w:ascii="宋体" w:hAnsi="宋体" w:cs="宋体"/>
          <w:b/>
          <w:bCs/>
          <w:color w:val="000000"/>
          <w:sz w:val="24"/>
          <w:highlight w:val="none"/>
        </w:rPr>
        <w:t xml:space="preserve">项投标人必须按要求全部提供并</w:t>
      </w:r>
      <w:r>
        <w:rPr>
          <w:rFonts w:hint="eastAsia" w:ascii="宋体" w:hAnsi="宋体" w:cs="宋体"/>
          <w:b/>
          <w:bCs/>
          <w:color w:val="000000"/>
          <w:sz w:val="24"/>
          <w:highlight w:val="none"/>
          <w:lang w:val="en-US" w:eastAsia="zh-CN"/>
        </w:rPr>
        <w:t xml:space="preserve">按要求盖</w:t>
      </w:r>
      <w:r>
        <w:rPr>
          <w:rFonts w:ascii="宋体" w:hAnsi="宋体" w:cs="宋体"/>
          <w:b/>
          <w:bCs/>
          <w:color w:val="000000"/>
          <w:sz w:val="24"/>
          <w:highlight w:val="none"/>
        </w:rPr>
        <w:t xml:space="preserve">章，否则投标文件无效</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szCs w:val="24"/>
          <w:highlight w:val="none"/>
        </w:rPr>
        <w:t xml:space="preserve">本招标文件中要求加盖CA电子签章的地方，</w:t>
      </w:r>
      <w:r>
        <w:rPr>
          <w:rFonts w:hint="eastAsia" w:ascii="宋体" w:hAnsi="宋体" w:cs="宋体"/>
          <w:b/>
          <w:bCs/>
          <w:color w:val="000000"/>
          <w:sz w:val="24"/>
          <w:szCs w:val="24"/>
          <w:highlight w:val="none"/>
          <w:lang w:val="en-US" w:eastAsia="zh-CN"/>
        </w:rPr>
        <w:t xml:space="preserve">如投标人采用联合体投标，</w:t>
      </w:r>
      <w:r>
        <w:rPr>
          <w:rFonts w:hint="eastAsia" w:ascii="宋体" w:hAnsi="宋体" w:cs="宋体"/>
          <w:b/>
          <w:bCs/>
          <w:color w:val="000000"/>
          <w:sz w:val="24"/>
          <w:szCs w:val="24"/>
          <w:highlight w:val="none"/>
        </w:rPr>
        <w:t xml:space="preserve">仅需加盖牵头单位的CA电子签章。</w:t>
      </w:r>
      <w:r>
        <w:rPr>
          <w:rFonts w:hint="eastAsia" w:ascii="宋体" w:hAnsi="宋体" w:cs="宋体"/>
          <w:b/>
          <w:bCs/>
          <w:color w:val="000000"/>
          <w:sz w:val="24"/>
          <w:szCs w:val="24"/>
          <w:highlight w:val="none"/>
          <w:lang w:val="en-US" w:eastAsia="zh-CN"/>
        </w:rPr>
        <w:t xml:space="preserve">要求盖单位公章的地方，要求联合体各单位均须盖章。如投标人不采用联合体投标，要求盖单位公章的地方仅需盖CA电子签章。</w:t>
      </w:r>
      <w:r>
        <w:rPr>
          <w:rFonts w:hint="eastAsia" w:ascii="宋体" w:hAnsi="宋体" w:cs="宋体"/>
          <w:b/>
          <w:bCs/>
          <w:color w:val="000000"/>
          <w:sz w:val="24"/>
          <w:highlight w:val="none"/>
        </w:rPr>
        <w:t xml:space="preserve">如采用联合体方式投标，标注联合体各方均须提供的材料联合体各方均须提供，未标注联合体各方均须提供的，由联合体牵头单位提供。</w:t>
      </w:r>
      <w:r>
        <w:rPr>
          <w:rFonts w:ascii="宋体" w:hAnsi="宋体" w:cs="宋体"/>
          <w:color w:val="000000"/>
          <w:sz w:val="24"/>
          <w:highlight w:val="none"/>
        </w:rPr>
        <w:t xml:space="preserve">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rPr>
          <w:color w:val="000000"/>
          <w:highlight w:val="none"/>
        </w:rPr>
      </w:r>
      <w:r/>
    </w:p>
    <w:p>
      <w:pPr>
        <w:pStyle w:val="851"/>
        <w:ind w:firstLine="480"/>
        <w:keepLines/>
        <w:keepNext/>
        <w:spacing w:line="460" w:lineRule="exact"/>
        <w:rPr>
          <w:rFonts w:ascii="宋体" w:hAnsi="宋体" w:cs="宋体"/>
          <w:color w:val="000000"/>
          <w:sz w:val="24"/>
          <w:szCs w:val="24"/>
          <w:highlight w:val="none"/>
        </w:rPr>
      </w:pPr>
      <w:r/>
      <w:bookmarkStart w:id="97" w:name="_Hlt26954838"/>
      <w:r/>
      <w:bookmarkEnd w:id="97"/>
      <w:r/>
      <w:bookmarkStart w:id="98" w:name="_Toc14577357"/>
      <w:r/>
      <w:bookmarkEnd w:id="98"/>
      <w:r/>
      <w:bookmarkStart w:id="99" w:name="_Hlt26668975"/>
      <w:r/>
      <w:bookmarkEnd w:id="99"/>
      <w:r/>
      <w:bookmarkStart w:id="100" w:name="_Hlt26670360"/>
      <w:r/>
      <w:bookmarkEnd w:id="100"/>
      <w:r/>
      <w:bookmarkStart w:id="101" w:name="_Toc513029216"/>
      <w:r/>
      <w:bookmarkEnd w:id="101"/>
      <w:r/>
      <w:bookmarkStart w:id="102" w:name="_Toc513029219"/>
      <w:r/>
      <w:bookmarkEnd w:id="102"/>
      <w:r/>
      <w:bookmarkStart w:id="103" w:name="_Toc14577354"/>
      <w:r/>
      <w:bookmarkEnd w:id="103"/>
      <w:r/>
      <w:bookmarkStart w:id="104" w:name="_Toc49090509"/>
      <w:r/>
      <w:bookmarkEnd w:id="104"/>
      <w:r/>
      <w:bookmarkStart w:id="105" w:name="_Toc49090507"/>
      <w:r>
        <w:rPr>
          <w:rFonts w:hint="eastAsia" w:ascii="宋体" w:hAnsi="宋体" w:cs="宋体"/>
          <w:color w:val="000000"/>
          <w:sz w:val="24"/>
          <w:szCs w:val="24"/>
          <w:highlight w:val="none"/>
        </w:rPr>
        <w:t xml:space="preserve">11、证明投标人及投标标的符合招标文件规定的文件</w:t>
      </w:r>
      <w:bookmarkEnd w:id="105"/>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106" w:name="_Toc14577355"/>
      <w:r/>
      <w:bookmarkEnd w:id="106"/>
      <w:r/>
      <w:bookmarkStart w:id="107" w:name="_Toc49090508"/>
      <w:r>
        <w:rPr>
          <w:rFonts w:hint="eastAsia" w:ascii="宋体" w:hAnsi="宋体" w:cs="宋体"/>
          <w:color w:val="000000"/>
          <w:sz w:val="24"/>
          <w:szCs w:val="24"/>
          <w:highlight w:val="none"/>
        </w:rPr>
        <w:t xml:space="preserve">11.1 投标人应按照法律、法规、规章和规范性文件以及招标文件要求提交证明文件，证明其及投标标的符合招标文件规定。</w:t>
      </w:r>
      <w:bookmarkEnd w:id="107"/>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11.2招标文件对证明文件无明确形式要求的，证明文件可以以文字资料、图纸和数据等形式提交。</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12、投标分项报价</w:t>
      </w:r>
      <w:bookmarkStart w:id="108" w:name="_Hlt26670373"/>
      <w:r>
        <w:rPr>
          <w:rFonts w:hint="eastAsia" w:ascii="宋体" w:hAnsi="宋体" w:cs="宋体"/>
          <w:color w:val="000000"/>
          <w:sz w:val="24"/>
          <w:szCs w:val="24"/>
          <w:highlight w:val="none"/>
        </w:rPr>
        <w:t xml:space="preserve">表</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12.1 投</w:t>
      </w:r>
      <w:bookmarkEnd w:id="108"/>
      <w:r/>
      <w:bookmarkStart w:id="109" w:name="_Hlt26954840"/>
      <w:r>
        <w:rPr>
          <w:rFonts w:hint="eastAsia" w:ascii="宋体" w:hAnsi="宋体" w:cs="宋体"/>
          <w:color w:val="000000"/>
          <w:sz w:val="24"/>
          <w:szCs w:val="24"/>
          <w:highlight w:val="none"/>
        </w:rPr>
        <w:t xml:space="preserve">标人应按照招标文件规定格式填报投标分项报价表</w:t>
      </w:r>
      <w:bookmarkEnd w:id="109"/>
      <w:r/>
      <w:bookmarkStart w:id="110" w:name="_Hlt26670399"/>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12.2投标货币。投标文件中的单价和总价无特殊规定的采用人民币报价，以元为单位标注。招标文件中另有规定的按规定执行。</w:t>
      </w:r>
      <w:bookmarkEnd w:id="110"/>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11" w:name="_Hlt26670425"/>
      <w:r/>
      <w:bookmarkEnd w:id="111"/>
      <w:r/>
      <w:bookmarkStart w:id="112" w:name="_Hlt26670482"/>
      <w:r/>
      <w:bookmarkEnd w:id="112"/>
      <w:r/>
      <w:bookmarkStart w:id="113" w:name="_Hlt26954848"/>
      <w:r/>
      <w:bookmarkEnd w:id="113"/>
      <w:r/>
      <w:bookmarkStart w:id="114" w:name="_Hlt26954842"/>
      <w:r/>
      <w:bookmarkEnd w:id="114"/>
      <w:r/>
      <w:bookmarkStart w:id="115" w:name="_Hlt26954731"/>
      <w:r/>
      <w:bookmarkEnd w:id="115"/>
      <w:r/>
      <w:bookmarkStart w:id="116" w:name="_Hlt26668983"/>
      <w:r/>
      <w:bookmarkEnd w:id="116"/>
      <w:r/>
      <w:bookmarkStart w:id="117" w:name="_Hlt26670486"/>
      <w:r/>
      <w:bookmarkEnd w:id="117"/>
      <w:r/>
      <w:bookmarkStart w:id="118" w:name="_Hlt26670403"/>
      <w:r/>
      <w:bookmarkEnd w:id="118"/>
      <w:r/>
      <w:bookmarkStart w:id="119" w:name="_Hlt26954846"/>
      <w:r/>
      <w:bookmarkEnd w:id="119"/>
      <w:r/>
      <w:bookmarkStart w:id="120" w:name="_Hlt26954844"/>
      <w:r>
        <w:rPr>
          <w:rFonts w:hint="eastAsia" w:ascii="宋体" w:hAnsi="宋体" w:cs="宋体"/>
          <w:color w:val="000000"/>
          <w:sz w:val="24"/>
          <w:szCs w:val="24"/>
          <w:highlight w:val="none"/>
        </w:rPr>
        <w:t xml:space="preserve">13、技术要求响应及偏离表、商务要求响应及偏离表</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13.1 投标人需对招标文件中的技术要求与商务要求逐项作出响应或偏离，并说明原因。</w:t>
      </w:r>
      <w:r>
        <w:rPr>
          <w:rFonts w:ascii="宋体" w:hAnsi="宋体" w:cs="宋体"/>
          <w:color w:val="000000"/>
          <w:sz w:val="24"/>
          <w:szCs w:val="24"/>
          <w:highlight w:val="none"/>
        </w:rPr>
      </w:r>
      <w:r/>
    </w:p>
    <w:p>
      <w:pPr>
        <w:pStyle w:val="851"/>
        <w:ind w:firstLine="480"/>
        <w:spacing w:line="460" w:lineRule="exact"/>
        <w:tabs>
          <w:tab w:val="left" w:pos="103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13.2 投标人可在投标文件中提供认为需要的其他技术文件或说明。</w:t>
      </w:r>
      <w:bookmarkEnd w:id="120"/>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21" w:name="_Toc14577359"/>
      <w:r/>
      <w:bookmarkEnd w:id="121"/>
      <w:r/>
      <w:bookmarkStart w:id="122" w:name="_Toc49090510"/>
      <w:r>
        <w:rPr>
          <w:rFonts w:hint="eastAsia" w:ascii="宋体" w:hAnsi="宋体" w:cs="宋体"/>
          <w:color w:val="000000"/>
          <w:sz w:val="24"/>
          <w:szCs w:val="24"/>
          <w:highlight w:val="none"/>
        </w:rPr>
        <w:t xml:space="preserve">14、投标函和开标一览表</w:t>
      </w:r>
      <w:bookmarkEnd w:id="122"/>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14.1 投标人应按照招标文件中提供的格式完整、正确填写投标函、开标一览表。</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color w:val="000000"/>
          <w:sz w:val="24"/>
          <w:szCs w:val="24"/>
          <w:highlight w:val="none"/>
        </w:rPr>
        <w:t xml:space="preserve">。</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23" w:name="_Toc49090511"/>
      <w:r/>
      <w:bookmarkEnd w:id="123"/>
      <w:r/>
      <w:bookmarkStart w:id="124" w:name="_Hlt26954850"/>
      <w:r/>
      <w:bookmarkEnd w:id="124"/>
      <w:r/>
      <w:bookmarkStart w:id="125" w:name="_Hlt26670489"/>
      <w:r/>
      <w:bookmarkEnd w:id="125"/>
      <w:r/>
      <w:bookmarkStart w:id="126" w:name="_Hlt26954734"/>
      <w:r/>
      <w:bookmarkEnd w:id="126"/>
      <w:r/>
      <w:bookmarkStart w:id="127" w:name="_Toc14577360"/>
      <w:r>
        <w:rPr>
          <w:rFonts w:hint="eastAsia" w:ascii="宋体" w:hAnsi="宋体" w:cs="宋体"/>
          <w:color w:val="000000"/>
          <w:sz w:val="24"/>
          <w:szCs w:val="24"/>
          <w:highlight w:val="none"/>
        </w:rPr>
        <w:t xml:space="preserve">15、投标有效期</w:t>
      </w:r>
      <w:bookmarkEnd w:id="127"/>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15.1 投标有效期为招标人规定的开标之日后</w:t>
      </w:r>
      <w:r>
        <w:rPr>
          <w:rFonts w:hint="eastAsia" w:ascii="宋体" w:hAnsi="宋体" w:cs="宋体"/>
          <w:b/>
          <w:bCs/>
          <w:color w:val="000000"/>
          <w:sz w:val="24"/>
          <w:szCs w:val="24"/>
          <w:highlight w:val="none"/>
          <w:u w:val="single"/>
        </w:rPr>
        <w:t xml:space="preserve">六十（60）天</w:t>
      </w:r>
      <w:r>
        <w:rPr>
          <w:rFonts w:hint="eastAsia" w:ascii="宋体" w:hAnsi="宋体" w:cs="宋体"/>
          <w:color w:val="000000"/>
          <w:sz w:val="24"/>
          <w:szCs w:val="24"/>
          <w:highlight w:val="none"/>
        </w:rPr>
        <w:t xml:space="preserve">。投标有效期比规定短的将被视为未实质性响应招标文件而予以拒绝。</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16、投标有效期的延长</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 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同时受投标有效期约束的所有权利与义务均延长至新的有效期。</w:t>
      </w:r>
      <w:r>
        <w:rPr>
          <w:rFonts w:ascii="宋体" w:hAnsi="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bookmarkStart w:id="128" w:name="_Toc20823296"/>
      <w:r/>
      <w:bookmarkEnd w:id="128"/>
      <w:r/>
      <w:bookmarkStart w:id="129" w:name="_Hlt26954852"/>
      <w:r/>
      <w:bookmarkEnd w:id="129"/>
      <w:r/>
      <w:bookmarkStart w:id="130" w:name="_Hlt26954739"/>
      <w:r/>
      <w:bookmarkEnd w:id="130"/>
      <w:r/>
      <w:bookmarkStart w:id="131" w:name="_Toc120614217"/>
      <w:r/>
      <w:bookmarkEnd w:id="131"/>
      <w:r/>
      <w:bookmarkStart w:id="132" w:name="_Toc513029224"/>
      <w:r/>
      <w:bookmarkEnd w:id="132"/>
      <w:r/>
      <w:bookmarkStart w:id="133" w:name="_Toc16938540"/>
      <w:r>
        <w:rPr>
          <w:rFonts w:hint="eastAsia" w:ascii="宋体" w:hAnsi="宋体" w:cs="宋体"/>
          <w:b/>
          <w:bCs/>
          <w:color w:val="000000"/>
          <w:sz w:val="24"/>
          <w:szCs w:val="24"/>
          <w:highlight w:val="none"/>
        </w:rPr>
        <w:t xml:space="preserve">四、投标文件的递交</w:t>
      </w:r>
      <w:bookmarkEnd w:id="133"/>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34" w:name="_Toc20823297"/>
      <w:r/>
      <w:bookmarkEnd w:id="134"/>
      <w:r/>
      <w:bookmarkStart w:id="135" w:name="_Toc16938541"/>
      <w:r/>
      <w:bookmarkEnd w:id="135"/>
      <w:r/>
      <w:bookmarkStart w:id="136" w:name="_Toc462564084"/>
      <w:r/>
      <w:bookmarkEnd w:id="136"/>
      <w:r/>
      <w:bookmarkStart w:id="137" w:name="_Toc513029225"/>
      <w:r>
        <w:rPr>
          <w:rFonts w:hint="eastAsia" w:ascii="宋体" w:hAnsi="宋体" w:cs="宋体"/>
          <w:color w:val="000000"/>
          <w:sz w:val="24"/>
          <w:szCs w:val="24"/>
          <w:highlight w:val="none"/>
        </w:rPr>
        <w:t xml:space="preserve">17、投标文件</w:t>
      </w:r>
      <w:bookmarkEnd w:id="137"/>
      <w:r>
        <w:rPr>
          <w:rFonts w:hint="eastAsia" w:ascii="宋体" w:hAnsi="宋体" w:cs="宋体"/>
          <w:color w:val="000000"/>
          <w:sz w:val="24"/>
          <w:szCs w:val="24"/>
          <w:highlight w:val="none"/>
        </w:rPr>
        <w:t xml:space="preserve">的递交</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17.1 电子投标文件的递交</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投标人应当按照《操作手册》规定，在投标截止时间前制作并上传电子投标文件。</w:t>
      </w:r>
      <w:bookmarkStart w:id="138" w:name="_Toc20823298"/>
      <w:r/>
      <w:bookmarkEnd w:id="138"/>
      <w:r/>
      <w:bookmarkStart w:id="139" w:name="_Toc513029226"/>
      <w:r/>
      <w:bookmarkEnd w:id="139"/>
      <w:r/>
      <w:bookmarkStart w:id="140" w:name="_Toc16938542"/>
      <w:r/>
      <w:bookmarkEnd w:id="140"/>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18、投标截止时间</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18.1 投标人上传电子投标文件的时间不得迟于招标公告中规定的投标截止时间。</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18.2招标人可以按照规定，通过修改招标文件酌情延长投标截止时间，在此情况下，投标人的所有权利和义务以及投标人受制的截止时间均应以延长后新的截止时间为准。</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41" w:name="_Toc20823299"/>
      <w:r/>
      <w:bookmarkEnd w:id="141"/>
      <w:r/>
      <w:bookmarkStart w:id="142" w:name="_Toc513029227"/>
      <w:r/>
      <w:bookmarkEnd w:id="142"/>
      <w:r/>
      <w:bookmarkStart w:id="143" w:name="_Toc16938543"/>
      <w:r>
        <w:rPr>
          <w:rFonts w:hint="eastAsia" w:ascii="宋体" w:hAnsi="宋体" w:cs="宋体"/>
          <w:color w:val="000000"/>
          <w:sz w:val="24"/>
          <w:szCs w:val="24"/>
          <w:highlight w:val="none"/>
        </w:rPr>
        <w:t xml:space="preserve">19、投标文件</w:t>
      </w:r>
      <w:bookmarkEnd w:id="143"/>
      <w:r>
        <w:rPr>
          <w:rFonts w:hint="eastAsia" w:ascii="宋体" w:hAnsi="宋体" w:cs="宋体"/>
          <w:color w:val="000000"/>
          <w:sz w:val="24"/>
          <w:szCs w:val="24"/>
          <w:highlight w:val="none"/>
        </w:rPr>
        <w:t xml:space="preserve">的拒收</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19.1招标人拒绝接收在其规定的投标截止时间后上传的任何投标文件。</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44" w:name="_Toc20823300"/>
      <w:r/>
      <w:bookmarkEnd w:id="144"/>
      <w:r/>
      <w:bookmarkStart w:id="145" w:name="_Toc16938544"/>
      <w:r/>
      <w:bookmarkEnd w:id="145"/>
      <w:r/>
      <w:bookmarkStart w:id="146" w:name="_Toc513029228"/>
      <w:r>
        <w:rPr>
          <w:rFonts w:hint="eastAsia" w:ascii="宋体" w:hAnsi="宋体" w:cs="宋体"/>
          <w:color w:val="000000"/>
          <w:sz w:val="24"/>
          <w:szCs w:val="24"/>
          <w:highlight w:val="none"/>
        </w:rPr>
        <w:t xml:space="preserve">20、投标文件的撤回和修改</w:t>
      </w:r>
      <w:bookmarkEnd w:id="146"/>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20.1 投标文件的撤回</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20.1.1 电子投标文件的撤回</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投标人可在投标截止时间前，撤回其电子投标文件，具体操作方法见《操作手册》。</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20.1.2 投标人撤回电子投标文件，则认为其不再参与本项目投标活动。</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20.2 投标文件的修改</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20.2.1投标人可在投标截止时间前，对其电子投标文件进行修改，具体操作方法见《操作手册》。</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20.2.2 在投标截止时间之后，投标人不得对其电子投标文件作任何修改。</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20.3 在投标截止时间至招标文件中规定的投标有效期满之间的这段时间内，投标人不得撤回其投标。</w:t>
      </w:r>
      <w:r>
        <w:rPr>
          <w:rFonts w:ascii="宋体" w:hAnsi="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bookmarkStart w:id="147" w:name="_Toc120614218"/>
      <w:r/>
      <w:bookmarkEnd w:id="147"/>
      <w:r/>
      <w:bookmarkStart w:id="148" w:name="_Toc16938545"/>
      <w:r/>
      <w:bookmarkEnd w:id="148"/>
      <w:r/>
      <w:bookmarkStart w:id="149" w:name="_Toc513029229"/>
      <w:r/>
      <w:bookmarkEnd w:id="149"/>
      <w:r/>
      <w:bookmarkStart w:id="150" w:name="_Toc20823301"/>
      <w:r>
        <w:rPr>
          <w:rFonts w:hint="eastAsia" w:ascii="宋体" w:hAnsi="宋体" w:cs="宋体"/>
          <w:b/>
          <w:bCs/>
          <w:color w:val="000000"/>
          <w:sz w:val="24"/>
          <w:szCs w:val="24"/>
          <w:highlight w:val="none"/>
        </w:rPr>
        <w:t xml:space="preserve">五、开标与评标</w:t>
      </w:r>
      <w:bookmarkEnd w:id="150"/>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51" w:name="_Toc16938546"/>
      <w:r/>
      <w:bookmarkEnd w:id="151"/>
      <w:r/>
      <w:bookmarkStart w:id="152" w:name="_Toc20823302"/>
      <w:r/>
      <w:bookmarkEnd w:id="152"/>
      <w:r/>
      <w:bookmarkStart w:id="153" w:name="_Toc513029230"/>
      <w:r>
        <w:rPr>
          <w:rFonts w:hint="eastAsia" w:ascii="宋体" w:hAnsi="宋体" w:cs="宋体"/>
          <w:color w:val="000000"/>
          <w:sz w:val="24"/>
          <w:szCs w:val="24"/>
          <w:highlight w:val="none"/>
        </w:rPr>
        <w:t xml:space="preserve">21、开标</w:t>
      </w:r>
      <w:bookmarkEnd w:id="153"/>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21.1招标人将在招标公告中规定的时间和地点组织公开开标。投标人应当按照《操作手册》规定，参加开标活动和在苏采云系统规定的时间内对投标文件进行解密。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21.2开标仪式由招标人组织。苏采云系统将自动对项目进行开标，并宣布各投标人名称和投标价格。</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21.3投标人在开标过程中涉及到的投标文件解密、开标结果确认等工作，应按照《操作手册》规定执行。</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54" w:name="_Toc16938547"/>
      <w:r/>
      <w:bookmarkEnd w:id="154"/>
      <w:r/>
      <w:bookmarkStart w:id="155" w:name="_Toc513029231"/>
      <w:r/>
      <w:bookmarkEnd w:id="155"/>
      <w:r/>
      <w:bookmarkStart w:id="156" w:name="_Toc20823303"/>
      <w:r>
        <w:rPr>
          <w:rFonts w:hint="eastAsia" w:ascii="宋体" w:hAnsi="宋体" w:cs="宋体"/>
          <w:color w:val="000000"/>
          <w:sz w:val="24"/>
          <w:szCs w:val="24"/>
          <w:highlight w:val="none"/>
        </w:rPr>
        <w:t xml:space="preserve">22、评标委员会</w:t>
      </w:r>
      <w:bookmarkEnd w:id="156"/>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22.1开标后，招标人将立即组织评标委员会（以下简称评委会）进行评标。</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22.2 评委会由招标人代表和有关技术、经济等方面的专家组成，且人员构成符合政府采购有关规定。</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22.3评委会独立工作，负责评审所有投标文件并确定中标候选人。</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23、评标过程的保密与公正</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23.1凡是与审查、澄清、评价和比较投标的有关资料以及授标建议等，招标人、评委、采购代理机构均不得向投标人或与评标无关的其他人员透露。</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23.2在评标过程中，投标人不得以任何行为影响评标过程，否则其投标文件将被作为无效投标文件。</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23.3招标人和评标委员会不向未中标的投标人解释未中标原因，也不公布评标过程中的相关细节。</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57" w:name="_Toc513029232"/>
      <w:r/>
      <w:bookmarkEnd w:id="157"/>
      <w:r/>
      <w:bookmarkStart w:id="158" w:name="_Toc16938548"/>
      <w:r/>
      <w:bookmarkEnd w:id="158"/>
      <w:r/>
      <w:bookmarkStart w:id="159" w:name="_Toc20823304"/>
      <w:r>
        <w:rPr>
          <w:rFonts w:hint="eastAsia" w:ascii="宋体" w:hAnsi="宋体" w:cs="宋体"/>
          <w:color w:val="000000"/>
          <w:sz w:val="24"/>
          <w:szCs w:val="24"/>
          <w:highlight w:val="none"/>
        </w:rPr>
        <w:t xml:space="preserve">24、投标文件的澄清</w:t>
      </w:r>
      <w:bookmarkEnd w:id="159"/>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投标人的澄清、说明或者补正不得超出投标文件的范围或者改变投标文件的实质性内容。</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评标委员会并非对每个投标人都做澄清要求。</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24.3 接到评委会澄清、说明和补正要求的投标人如未按规定做出澄清、说明和补正，其风险由投标人自行承担。</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60" w:name="_Toc16938549"/>
      <w:r/>
      <w:bookmarkEnd w:id="160"/>
      <w:r/>
      <w:bookmarkStart w:id="161" w:name="_Toc20823305"/>
      <w:r/>
      <w:bookmarkEnd w:id="161"/>
      <w:r/>
      <w:bookmarkStart w:id="162" w:name="_Toc513029233"/>
      <w:r>
        <w:rPr>
          <w:rFonts w:hint="eastAsia" w:ascii="宋体" w:hAnsi="宋体" w:cs="宋体"/>
          <w:color w:val="000000"/>
          <w:sz w:val="24"/>
          <w:szCs w:val="24"/>
          <w:highlight w:val="none"/>
        </w:rPr>
        <w:t xml:space="preserve">25、对投标文件的初审</w:t>
      </w:r>
      <w:bookmarkEnd w:id="162"/>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25.1投标文件初审分为资格审查和符合性审查。</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25.1.1 资格审查：依据法律法规和招标文件的规定，由招标人对投标文件中的资格证明文件进行审查。资格审查的结论，招标人以书面形式向评委会进行反馈。</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25.1.3 未通过资格审查或符合性审查的投标人，招标人将在苏采云系统中告知未通过资格审查或符合性审查的原因，评标结束后，招标人将不再告知未通过资格审查和符合性审查的原因。</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25.4评委会将对确定为实质性响应的投标进行进一步审核，确定其是否有计算上或累加上的算术错误，修正错误的原则如下：</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（1）投标文件中开标一览表内容与投标文件中相应内容不一致的，以开标一览表为准。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（2）大写金额和小写金额不一致的，以大写金额为准。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（3）单价金额小数点或者百分比有明显错位的，以开标一览表的总价为准，并修改单价。</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（4）总价金额与按单价汇总金额不一致的，以单价金额计算结果为准。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同时出现两种以上错误的，按照前款规定的顺序修正。</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163" w:name="_Toc513029234"/>
      <w:r/>
      <w:bookmarkEnd w:id="163"/>
      <w:r/>
      <w:bookmarkStart w:id="164" w:name="_Toc16938550"/>
      <w:r/>
      <w:bookmarkEnd w:id="164"/>
      <w:r/>
      <w:bookmarkStart w:id="165" w:name="_Toc20823306"/>
      <w:r>
        <w:rPr>
          <w:rFonts w:hint="eastAsia" w:ascii="宋体" w:hAnsi="宋体" w:cs="宋体"/>
          <w:color w:val="000000"/>
          <w:sz w:val="24"/>
          <w:szCs w:val="24"/>
          <w:highlight w:val="none"/>
        </w:rPr>
        <w:t xml:space="preserve">25.6投标人在开、评标全过程中应保持通讯畅通，及时登录苏采云系统查阅、答复相关信息，并安排专人与招标人及评标委员会联系。</w:t>
      </w:r>
      <w:bookmarkEnd w:id="165"/>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26、无效投标条款和废标条款</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166" w:name="_Toc20823307"/>
      <w:r/>
      <w:bookmarkEnd w:id="166"/>
      <w:r/>
      <w:bookmarkStart w:id="167" w:name="_Toc16938551"/>
      <w:r/>
      <w:bookmarkEnd w:id="167"/>
      <w:r/>
      <w:bookmarkStart w:id="168" w:name="_Toc513029235"/>
      <w:r>
        <w:rPr>
          <w:rFonts w:hint="eastAsia" w:ascii="宋体" w:hAnsi="宋体" w:cs="宋体"/>
          <w:color w:val="000000"/>
          <w:sz w:val="24"/>
          <w:szCs w:val="24"/>
          <w:highlight w:val="none"/>
        </w:rPr>
        <w:t xml:space="preserve">26.1无效投标条款</w:t>
      </w:r>
      <w:bookmarkEnd w:id="168"/>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26.1.1投标人在苏采云系统规定的时间内未成功解密电子投标文件的。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26.1.2投标人未按照招标文件要求上传电子投标文件的。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26.1.3同一投标人提交两个（含两个）以上不同的投标报价的。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26.1.4投标人不具备招标文件中规定资格要求的。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26.1.5投标人的报价超过了采购预算或最高限价的。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26.1.6未通过符合性审查的。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26.1.7不符合招标文件中规定的实质性要求和条件的（</w:t>
      </w:r>
      <w:r>
        <w:rPr>
          <w:rFonts w:hint="eastAsia" w:ascii="宋体" w:hAnsi="宋体" w:cs="宋体"/>
          <w:i/>
          <w:iCs/>
          <w:color w:val="000000"/>
          <w:sz w:val="24"/>
          <w:szCs w:val="24"/>
          <w:highlight w:val="none"/>
          <w:u w:val="single"/>
        </w:rPr>
        <w:t xml:space="preserve">本招标文件中斜体且有下划线部分为实质性要求和条件）。</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26.1.9 投标文件含有招标人不能接受的附加条件的。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26.1.11 投标文件未按照招标文件要求加盖CA电子公章的。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26.1.12其他法律、法规及本招标文件规定的属无效投标的情形。</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26.2废标条款</w:t>
      </w:r>
      <w:r>
        <w:rPr>
          <w:rFonts w:ascii="宋体" w:hAnsi="宋体" w:cs="宋体"/>
          <w:color w:val="000000"/>
          <w:sz w:val="24"/>
          <w:szCs w:val="24"/>
          <w:highlight w:val="none"/>
        </w:rPr>
      </w:r>
      <w:r/>
    </w:p>
    <w:p>
      <w:pPr>
        <w:pStyle w:val="851"/>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26.2.1符合专业条件的供应商或者对招标文件作实质响应的供应商不足三家的。</w:t>
      </w:r>
      <w:r>
        <w:rPr>
          <w:rFonts w:ascii="宋体" w:hAnsi="宋体" w:cs="宋体"/>
          <w:color w:val="000000"/>
          <w:sz w:val="24"/>
          <w:szCs w:val="24"/>
          <w:highlight w:val="none"/>
        </w:rPr>
      </w:r>
      <w:r/>
    </w:p>
    <w:p>
      <w:pPr>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26.2.2出现影响采购公正的违法、违规行为的。</w:t>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26.2.3因重大变故，采购任务取消的。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26.2.4评标委员会认定招标文件存在歧义、重大缺陷导致评审工作无法进行。</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26.2.5 因苏采云系统系统故障原因造成开标不成功的。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 投标截止时间结束后参加投标的供应商不足三家的处理：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bookmarkStart w:id="169" w:name="_Toc120614219"/>
      <w:r>
        <w:rPr>
          <w:rFonts w:hint="eastAsia" w:ascii="宋体" w:hAnsi="宋体" w:cs="宋体"/>
          <w:b/>
          <w:bCs/>
          <w:color w:val="000000"/>
          <w:sz w:val="24"/>
          <w:szCs w:val="24"/>
          <w:highlight w:val="none"/>
        </w:rPr>
        <w:t xml:space="preserve">六、定标</w:t>
      </w:r>
      <w:bookmarkEnd w:id="169"/>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70" w:name="_Toc16938554"/>
      <w:r/>
      <w:bookmarkEnd w:id="170"/>
      <w:r/>
      <w:bookmarkStart w:id="171" w:name="_Toc513029238"/>
      <w:r/>
      <w:bookmarkEnd w:id="171"/>
      <w:r/>
      <w:bookmarkStart w:id="172" w:name="_Toc20823310"/>
      <w:r>
        <w:rPr>
          <w:rFonts w:hint="eastAsia" w:ascii="宋体" w:hAnsi="宋体" w:cs="宋体"/>
          <w:color w:val="000000"/>
          <w:sz w:val="24"/>
          <w:szCs w:val="24"/>
          <w:highlight w:val="none"/>
        </w:rPr>
        <w:t xml:space="preserve">27、</w:t>
      </w:r>
      <w:bookmarkEnd w:id="172"/>
      <w:r>
        <w:rPr>
          <w:rFonts w:hint="eastAsia" w:ascii="宋体" w:hAnsi="宋体" w:cs="宋体"/>
          <w:color w:val="000000"/>
          <w:sz w:val="24"/>
          <w:szCs w:val="24"/>
          <w:highlight w:val="none"/>
        </w:rPr>
        <w:t xml:space="preserve">确定中标单位</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27.1中标候选人的选取原则和数量见招标文件第五章规定。 </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27.2 招标人应根据评委会推荐的中标候选人确定中标人。</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27.3 招标人将在“江苏政府采购网”发布中标公告，公告期限为1个工作日。</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27.4 若有充分证据证明，中标人出现下列情况之一的，一经查实，将被取消中标资格：</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27.4.1提供虚假材料谋取中标的。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27.4.2向招标人、采购代理机构行贿或者提供其他不正当利益的。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27.4.3属于本文件规定的无效条件，但在评标过程中又未被评委会发现的。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27.4.4与招标人或者其他供应商恶意串通的。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27.4.5采取不正当手段诋毁、排挤其他供应商的。</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bookmarkStart w:id="173" w:name="_Toc200451960"/>
      <w:r>
        <w:rPr>
          <w:rFonts w:hint="eastAsia" w:ascii="宋体" w:hAnsi="宋体" w:cs="宋体"/>
          <w:color w:val="000000"/>
          <w:sz w:val="24"/>
          <w:szCs w:val="24"/>
          <w:highlight w:val="none"/>
        </w:rPr>
        <w:t xml:space="preserve">27.5 有下列情形之一的，视为投标人串通投标，投标无效：</w:t>
      </w:r>
      <w:bookmarkEnd w:id="173"/>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27.5.1不同投标人的投标文件由同一单位或者个人编制。</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27.5.2不同投标人委托同一单位或者个人办理投标事宜。</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27.5.3 不同投标人的投标文件载明的项目管理成员或者联系人员为同一人。</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27.5.4不同投标人的投标文件异常一致或者投标报价呈规律性差异。</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28、质疑处理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招标人或采购代理机构提出质疑。上述应知其权益受到损害之日，是指：</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28.2.1对可以质疑的采购文件提出质疑的，为收到采购文件之日或者采购文件公告期限届满之日；</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28.2.2对采购过程提出质疑的，为各采购程序环节结束之日；</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28.2.3对中标或者成交结果提出质疑的，为中标或者成交结果公告期限届满之日。</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供应商应当在法定质疑期内一次性提出针对同一采购程序环节的质疑。供应商如在法定期限内对同一采购程序环节提出多次质疑的，招标人将只对供应商第一次质疑作出答复。</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28.4招标人只接收以纸质原件形式送达的质疑，建议供应商尽量通过邮寄方式提交质疑（招标人和采购代理机构不接受未填写快递运单的快件）。</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招标人质疑接收人及联系方式见招标文件第一章。</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28.5 以下情形的质疑不予受理</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28.5.1内容不符合《政府采购质疑和投诉办法》第十二条规定的质疑。</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28.5.2超出政府采购法定期限的质疑。</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28.5.3以传真、电子邮件等方式递交的非原件形式的质疑。</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28.5.4未参加投标活动的供应商或在投标活动中自身权益未受到损害的供应商所提出的质疑。</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28.5.5供应商组成联合体参加投标，联合体中任何一方或多方未按要求签字、盖章、加盖公章的质疑。</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28.6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29、中标通知书</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l中标结果确定后，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29.2中标通知书将是合同的一个组成部分。对招标人和中标人均具有法律效力。中标通知书发出后，招标人改变中标结果的，或者中标人放弃中标项目的，应当依法承担法律责任。</w:t>
      </w:r>
      <w:r>
        <w:rPr>
          <w:rFonts w:ascii="宋体" w:hAnsi="宋体" w:cs="宋体"/>
          <w:color w:val="000000"/>
          <w:sz w:val="24"/>
          <w:szCs w:val="24"/>
          <w:highlight w:val="none"/>
        </w:rPr>
      </w:r>
      <w:r/>
    </w:p>
    <w:p>
      <w:pPr>
        <w:pStyle w:val="851"/>
        <w:ind w:firstLine="482"/>
        <w:keepLines/>
        <w:keepNext/>
        <w:spacing w:line="460" w:lineRule="exact"/>
        <w:rPr>
          <w:rFonts w:ascii="宋体" w:hAnsi="宋体" w:cs="宋体"/>
          <w:color w:val="000000"/>
          <w:sz w:val="24"/>
          <w:szCs w:val="24"/>
          <w:highlight w:val="none"/>
        </w:rPr>
      </w:pPr>
      <w:r/>
      <w:bookmarkStart w:id="174" w:name="_Toc120614220"/>
      <w:r/>
      <w:bookmarkEnd w:id="174"/>
      <w:r/>
      <w:bookmarkStart w:id="175" w:name="_Toc513029236"/>
      <w:r/>
      <w:bookmarkEnd w:id="175"/>
      <w:r/>
      <w:bookmarkStart w:id="176" w:name="_Toc20823308"/>
      <w:r/>
      <w:bookmarkEnd w:id="176"/>
      <w:r/>
      <w:bookmarkStart w:id="177" w:name="_Toc16938552"/>
      <w:r>
        <w:rPr>
          <w:rFonts w:hint="eastAsia" w:ascii="宋体" w:hAnsi="宋体" w:cs="宋体"/>
          <w:b/>
          <w:bCs/>
          <w:color w:val="000000"/>
          <w:sz w:val="24"/>
          <w:szCs w:val="24"/>
          <w:highlight w:val="none"/>
        </w:rPr>
        <w:t xml:space="preserve">七、授予合同</w:t>
      </w:r>
      <w:bookmarkEnd w:id="177"/>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bookmarkStart w:id="178" w:name="_Toc20823309"/>
      <w:r/>
      <w:bookmarkEnd w:id="178"/>
      <w:r/>
      <w:bookmarkStart w:id="179" w:name="_Toc513029237"/>
      <w:r/>
      <w:bookmarkEnd w:id="179"/>
      <w:r/>
      <w:bookmarkStart w:id="180" w:name="_Toc16938553"/>
      <w:r>
        <w:rPr>
          <w:rFonts w:hint="eastAsia" w:ascii="宋体" w:hAnsi="宋体" w:cs="宋体"/>
          <w:color w:val="000000"/>
          <w:sz w:val="24"/>
          <w:szCs w:val="24"/>
          <w:highlight w:val="none"/>
        </w:rPr>
        <w:t xml:space="preserve">30.签订合同</w:t>
      </w:r>
      <w:bookmarkEnd w:id="180"/>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30.l中标人应当在中标通知书发出之日起三十日内，按照招标文件确定的事项与招标人签订政府采购合同。</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30.2招标文件、中标人的投标文件及招标过程中有关澄清、承诺文件均应作为合同附件。</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30.3 合同签订前，中标人应当按照</w:t>
      </w:r>
      <w:r>
        <w:rPr>
          <w:rFonts w:hint="eastAsia" w:ascii="宋体" w:hAnsi="宋体" w:cs="宋体"/>
          <w:color w:val="000000"/>
          <w:sz w:val="24"/>
          <w:szCs w:val="24"/>
          <w:highlight w:val="none"/>
          <w:u w:val="single"/>
        </w:rPr>
        <w:t xml:space="preserve">中标价的10%</w:t>
      </w:r>
      <w:r>
        <w:rPr>
          <w:rFonts w:hint="eastAsia" w:ascii="宋体" w:hAnsi="宋体" w:cs="宋体"/>
          <w:color w:val="000000"/>
          <w:sz w:val="24"/>
          <w:szCs w:val="24"/>
          <w:highlight w:val="none"/>
        </w:rPr>
        <w:t xml:space="preserve">向招标人缴纳履约保证金，履约保证金以</w:t>
      </w:r>
      <w:r>
        <w:rPr>
          <w:rFonts w:hint="eastAsia" w:ascii="宋体" w:hAnsi="宋体" w:cs="宋体"/>
          <w:color w:val="000000"/>
          <w:sz w:val="24"/>
          <w:szCs w:val="24"/>
          <w:highlight w:val="none"/>
          <w:u w:val="single"/>
        </w:rPr>
        <w:t xml:space="preserve">银行转账、支票、汇票、本票或者、电子履约保函(保险)、金融机构、担保机构出具的保函</w:t>
      </w:r>
      <w:r>
        <w:rPr>
          <w:rFonts w:hint="eastAsia" w:ascii="宋体" w:hAnsi="宋体" w:cs="宋体"/>
          <w:color w:val="000000"/>
          <w:sz w:val="24"/>
          <w:szCs w:val="24"/>
          <w:highlight w:val="none"/>
        </w:rPr>
        <w:t xml:space="preserve">等非现金方式递交；履约保证金在服务期满后扣除成交供应商违约金罚金等费用后，无息返还给乙方剩余的保证金。</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30.4签订合同后，中标人不得将合同标的进行转包。未经招标人同意，中标人也不得采用分包的形式履行合同，否则招标人有权终止合同。转包或分包造成招标人损失的，中标人应承担相应赔偿责任。</w:t>
      </w:r>
      <w:r>
        <w:rPr>
          <w:rFonts w:ascii="宋体" w:hAnsi="宋体" w:cs="宋体"/>
          <w:color w:val="000000"/>
          <w:sz w:val="24"/>
          <w:szCs w:val="24"/>
          <w:highlight w:val="none"/>
        </w:rPr>
      </w:r>
      <w:r/>
    </w:p>
    <w:p>
      <w:pPr>
        <w:pStyle w:val="851"/>
        <w:ind w:firstLine="482"/>
        <w:spacing w:line="440" w:lineRule="exact"/>
        <w:rPr>
          <w:rFonts w:ascii="宋体" w:hAnsi="宋体" w:cs="宋体"/>
          <w:color w:val="000000"/>
          <w:sz w:val="24"/>
          <w:szCs w:val="24"/>
          <w:highlight w:val="none"/>
        </w:rPr>
      </w:pPr>
      <w:r/>
      <w:bookmarkStart w:id="181" w:name="_Toc20823314"/>
      <w:r>
        <w:rPr>
          <w:rFonts w:hint="eastAsia" w:ascii="宋体" w:hAnsi="宋体" w:cs="宋体"/>
          <w:color w:val="000000"/>
          <w:sz w:val="24"/>
          <w:szCs w:val="24"/>
          <w:highlight w:val="none"/>
        </w:rPr>
        <w:t xml:space="preserve">八、</w:t>
      </w:r>
      <w:r>
        <w:rPr>
          <w:rFonts w:hint="eastAsia" w:ascii="宋体" w:hAnsi="宋体" w:cs="宋体"/>
          <w:b/>
          <w:bCs/>
          <w:color w:val="000000"/>
          <w:sz w:val="24"/>
          <w:szCs w:val="24"/>
          <w:highlight w:val="none"/>
        </w:rPr>
        <w:t xml:space="preserve">政府采购政策功能落实</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31.1.小微型企业价格扣除</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（1）本项目对小型和微型企业给予10%的扣除价格，用扣除后的价格参与评审。</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（2）供应商需按照采购文件的要求提供相应的《小微企业声明函》。</w:t>
      </w:r>
      <w:r>
        <w:rPr>
          <w:rFonts w:ascii="宋体" w:hAnsi="宋体" w:cs="宋体"/>
          <w:color w:val="000000"/>
          <w:sz w:val="24"/>
          <w:szCs w:val="24"/>
          <w:highlight w:val="none"/>
        </w:rPr>
      </w:r>
      <w:r/>
    </w:p>
    <w:p>
      <w:pPr>
        <w:pStyle w:val="851"/>
        <w:ind w:firstLine="480"/>
        <w:spacing w:line="440" w:lineRule="exact"/>
        <w:rPr>
          <w:rFonts w:ascii="宋体" w:hAnsi="宋体" w:cs="宋体"/>
          <w:b/>
          <w:bCs/>
          <w:color w:val="000000"/>
          <w:sz w:val="24"/>
          <w:szCs w:val="24"/>
          <w:highlight w:val="none"/>
          <w:u w:val="single"/>
        </w:rPr>
      </w:pPr>
      <w:r>
        <w:rPr>
          <w:rFonts w:hint="eastAsia" w:ascii="宋体" w:hAnsi="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s="宋体"/>
          <w:b/>
          <w:bCs/>
          <w:color w:val="000000"/>
          <w:sz w:val="24"/>
          <w:szCs w:val="24"/>
          <w:highlight w:val="none"/>
        </w:rPr>
        <w:t xml:space="preserve">本项目所属行业为：</w:t>
      </w:r>
      <w:r>
        <w:rPr>
          <w:rFonts w:hint="eastAsia" w:ascii="宋体" w:hAnsi="宋体" w:cs="宋体"/>
          <w:b/>
          <w:bCs/>
          <w:color w:val="000000"/>
          <w:sz w:val="24"/>
          <w:szCs w:val="24"/>
          <w:highlight w:val="none"/>
          <w:u w:val="single"/>
        </w:rPr>
        <w:t xml:space="preserve">其他未列明行业。</w:t>
      </w:r>
      <w:r>
        <w:rPr>
          <w:rFonts w:ascii="宋体" w:hAnsi="宋体" w:cs="宋体"/>
          <w:b/>
          <w:bCs/>
          <w:color w:val="000000"/>
          <w:sz w:val="24"/>
          <w:szCs w:val="24"/>
          <w:highlight w:val="none"/>
          <w:u w:val="singl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31.2.疾人福利单位价格扣除</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（1）本项目对残疾人福利性单位视同小型、微型企业，给予</w:t>
      </w:r>
      <w:r>
        <w:rPr>
          <w:rFonts w:hint="eastAsia" w:ascii="宋体" w:hAnsi="宋体" w:cs="宋体"/>
          <w:color w:val="000000"/>
          <w:sz w:val="24"/>
          <w:szCs w:val="24"/>
          <w:highlight w:val="none"/>
          <w:u w:val="single"/>
        </w:rPr>
        <w:t xml:space="preserve">10%</w:t>
      </w:r>
      <w:r>
        <w:rPr>
          <w:rFonts w:hint="eastAsia" w:ascii="宋体" w:hAnsi="宋体" w:cs="宋体"/>
          <w:color w:val="000000"/>
          <w:sz w:val="24"/>
          <w:szCs w:val="24"/>
          <w:highlight w:val="none"/>
        </w:rPr>
        <w:t xml:space="preserve">的价格扣除，用扣除后的价格参与评审。</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（2）残疾人福利单位需按照采购文件的要求提供《残疾人福利性单位声明函》。</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（3）残疾人福利单位标准请参照《关于促进残疾人就业政府采购政策的通知》（财库〔2017〕141号）。</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31.3.监狱和戒毒企业价格扣除</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（1）本项目对监狱和戒毒企业（简称监狱企业）视同小型、微型企业，给予</w:t>
      </w:r>
      <w:r>
        <w:rPr>
          <w:rFonts w:hint="eastAsia" w:ascii="宋体" w:hAnsi="宋体" w:cs="宋体"/>
          <w:color w:val="000000"/>
          <w:sz w:val="24"/>
          <w:szCs w:val="24"/>
          <w:highlight w:val="none"/>
          <w:u w:val="single"/>
        </w:rPr>
        <w:t xml:space="preserve">10%</w:t>
      </w:r>
      <w:r>
        <w:rPr>
          <w:rFonts w:hint="eastAsia" w:ascii="宋体" w:hAnsi="宋体" w:cs="宋体"/>
          <w:color w:val="000000"/>
          <w:sz w:val="24"/>
          <w:szCs w:val="24"/>
          <w:highlight w:val="none"/>
        </w:rPr>
        <w:t xml:space="preserve">的价格扣除，用扣除后的价格参与评审。</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（3）监狱企业标准请参照《关于政府采购支持监狱企业发展有关问题的通知》（财库[2014]68号）。</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31.4.残疾人福利单位、监狱企业属于小型、微型企业的，不重复享受政策。</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szCs w:val="24"/>
          <w:highlight w:val="none"/>
          <w:u w:val="single"/>
        </w:rPr>
        <w:t xml:space="preserve">4%</w:t>
      </w:r>
      <w:r>
        <w:rPr>
          <w:rFonts w:hint="eastAsia" w:ascii="宋体" w:hAnsi="宋体" w:cs="宋体"/>
          <w:color w:val="000000"/>
          <w:sz w:val="24"/>
          <w:szCs w:val="24"/>
          <w:highlight w:val="none"/>
        </w:rPr>
        <w:t xml:space="preserve">的价格扣除，用扣除后的价格参与评审。</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31.6.联合体各方均为小型、微型企业（残疾人福利单位、监狱企业）的，联合体享受</w:t>
      </w:r>
      <w:r>
        <w:rPr>
          <w:rFonts w:hint="eastAsia" w:ascii="宋体" w:hAnsi="宋体" w:cs="宋体"/>
          <w:color w:val="000000"/>
          <w:sz w:val="24"/>
          <w:szCs w:val="24"/>
          <w:highlight w:val="none"/>
          <w:u w:val="single"/>
        </w:rPr>
        <w:t xml:space="preserve">10%</w:t>
      </w:r>
      <w:r>
        <w:rPr>
          <w:rFonts w:hint="eastAsia" w:ascii="宋体" w:hAnsi="宋体" w:cs="宋体"/>
          <w:color w:val="000000"/>
          <w:sz w:val="24"/>
          <w:szCs w:val="24"/>
          <w:highlight w:val="none"/>
        </w:rPr>
        <w:t xml:space="preserve">价格扣除，用扣除后的价格参与评审。</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32.政府采购履约资金扶持政策</w:t>
      </w:r>
      <w:bookmarkEnd w:id="181"/>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32.1成交供应商可凭政府采购合同办理融资贷款，详情请见江苏政府采购网“政采贷”专栏。</w:t>
      </w:r>
      <w:r>
        <w:rPr>
          <w:rFonts w:ascii="宋体" w:hAnsi="宋体" w:cs="宋体"/>
          <w:color w:val="000000"/>
          <w:sz w:val="24"/>
          <w:szCs w:val="24"/>
          <w:highlight w:val="none"/>
        </w:rPr>
      </w:r>
      <w:r/>
    </w:p>
    <w:p>
      <w:pPr>
        <w:pStyle w:val="851"/>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招标人及采购代理机构不得差别对待使用电子保函（保险）参与投标的供应商，不得以指定、授意、暗示等方式，干预供应商自主选择开具电子保函的金融机构。 </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33.落实《商品包装政府采购需求标准（试行）》、《快递包装政府采购需求标准（试行）》的相关政策，商品包装和快递包装应符合文件要求。</w:t>
      </w:r>
      <w:r>
        <w:rPr>
          <w:rFonts w:ascii="宋体" w:hAnsi="宋体" w:cs="宋体"/>
          <w:color w:val="000000"/>
          <w:sz w:val="24"/>
          <w:szCs w:val="24"/>
          <w:highlight w:val="none"/>
        </w:rPr>
      </w:r>
      <w:r/>
    </w:p>
    <w:p>
      <w:pPr>
        <w:pStyle w:val="851"/>
        <w:ind w:firstLine="480"/>
        <w:keepLines/>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34.按照《绿色数据中心政府采购需求标准(试行)》（财库[2023]7号）文件要求执行。</w:t>
      </w:r>
      <w:r>
        <w:rPr>
          <w:rFonts w:ascii="宋体" w:hAnsi="宋体" w:cs="宋体"/>
          <w:color w:val="000000"/>
          <w:sz w:val="24"/>
          <w:szCs w:val="24"/>
          <w:highlight w:val="none"/>
        </w:rPr>
      </w:r>
      <w:r/>
    </w:p>
    <w:p>
      <w:pPr>
        <w:pStyle w:val="851"/>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35.落实《财政部农业部国家乡村振兴局关于运用政府采购政策支持乡村产业振兴的通知》（财库</w:t>
      </w:r>
      <w:r>
        <w:rPr>
          <w:rFonts w:ascii="宋体" w:hAnsi="宋体" w:cs="宋体"/>
          <w:color w:val="000000"/>
          <w:sz w:val="24"/>
          <w:szCs w:val="24"/>
          <w:highlight w:val="none"/>
        </w:rPr>
        <w:t xml:space="preserve">[2021]19号）、《江苏省财政厅 江苏省乡村振兴局 江苏省代销合作总社关于做好运用政府采购政策支持消费帮促行动的通知》（苏财购[2021]77号）的相关政策。</w:t>
      </w:r>
      <w:r>
        <w:rPr>
          <w:rFonts w:ascii="宋体" w:hAnsi="宋体" w:cs="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36.</w:t>
      </w:r>
      <w:r>
        <w:rPr>
          <w:rFonts w:hint="eastAsia" w:ascii="宋体" w:hAnsi="宋体"/>
          <w:color w:val="000000"/>
          <w:sz w:val="24"/>
          <w:szCs w:val="24"/>
          <w:highlight w:val="none"/>
        </w:rPr>
        <w:t xml:space="preserve">落实《国务院办公厅关于在政府采购中实施本国产品标准及相关政策的通知》(国办发〔2025〕34号)和《关于贯彻落实〈国务院办公厅关于在政府采购中实施本国产品标准及相关政策的通知〉的意见》(财库〔2025〕30号)，依据中华人民共和国政府采购法第十条规定，本项目仅采购本国服务。</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37.政府采购异常低价审查</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（一）评审过程中出现下列情形之一的，评审委员会应当启动异常低价投标（响应）审查程序：</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（1）投标（响应）报价低于全部通过符合性审查供应商投标（响应）报价平均值50％的，即投标（响应）报价＜全部通过符合性审查供应商投标（响应）报价平均值×50％；　</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（2）投标（响应）报价低于通过符合性审查的次低报价供应商投标（响应）报价50％的，即投标（响应）报价＜通过符合性审查的次低报价供应商投标（响应）报价×50％；　</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（3）投标（响应）报价低于采购项目最高限价65％的，即投标（响应）报价＜采购项目最高限价×65％；　</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（4）评审委员会基于专业判断，认为供应商报价过低，有可能影响产品质量或者不能诚信履约的其他情形。　</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启动异常低价投标（响应）审查后，属于前述第（1）项至第（4）项情形的，评审委员会应当要求相关供应商在评审现场合理的时间内对投标（响应）价格作出解释，提供项目具体成本测算等与报价合理性相关的书面说明及相关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olor w:val="000000"/>
          <w:sz w:val="24"/>
          <w:szCs w:val="24"/>
          <w:highlight w:val="none"/>
        </w:rPr>
      </w:r>
      <w:r/>
    </w:p>
    <w:p>
      <w:pPr>
        <w:pStyle w:val="85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sz w:val="24"/>
          <w:szCs w:val="24"/>
          <w:highlight w:val="none"/>
        </w:rPr>
      </w:r>
      <w:r/>
    </w:p>
    <w:p>
      <w:pPr>
        <w:pStyle w:val="851"/>
        <w:spacing w:line="4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51"/>
        <w:spacing w:line="4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87"/>
        <w:spacing w:line="240" w:lineRule="auto"/>
        <w:tabs>
          <w:tab w:val="left" w:pos="879" w:leader="none"/>
        </w:tabs>
        <w:rPr>
          <w:rFonts w:ascii="宋体" w:hAnsi="宋体" w:eastAsia="宋体" w:cs="宋体"/>
          <w:color w:val="000000"/>
          <w:sz w:val="24"/>
          <w:szCs w:val="24"/>
          <w:highlight w:val="none"/>
        </w:rPr>
      </w:pPr>
      <w:r/>
      <w:bookmarkStart w:id="182" w:name="_Toc20823346"/>
      <w:r/>
      <w:bookmarkEnd w:id="182"/>
      <w:r/>
      <w:bookmarkStart w:id="183" w:name="_Toc462564139"/>
      <w:r/>
      <w:bookmarkEnd w:id="183"/>
      <w:r/>
      <w:bookmarkStart w:id="184" w:name="_Hlt16619350"/>
      <w:r/>
      <w:bookmarkEnd w:id="184"/>
      <w:r/>
      <w:bookmarkStart w:id="185" w:name="_Toc16938590"/>
      <w:r/>
      <w:bookmarkEnd w:id="185"/>
      <w:r/>
      <w:bookmarkStart w:id="186" w:name="_Toc120614244"/>
      <w:r/>
      <w:bookmarkEnd w:id="186"/>
      <w:r/>
      <w:bookmarkStart w:id="187" w:name="_Hlt16619369"/>
      <w:r/>
      <w:bookmarkEnd w:id="187"/>
      <w:r/>
      <w:bookmarkStart w:id="188" w:name="_Toc479757211"/>
      <w:r>
        <w:rPr>
          <w:rFonts w:hint="eastAsia" w:ascii="宋体" w:hAnsi="宋体" w:eastAsia="宋体" w:cs="宋体"/>
          <w:color w:val="000000"/>
          <w:sz w:val="44"/>
          <w:highlight w:val="none"/>
        </w:rPr>
        <w:br w:type="page" w:clear="all"/>
      </w:r>
      <w:bookmarkStart w:id="189" w:name="_Toc21336"/>
      <w:r>
        <w:rPr>
          <w:rFonts w:hint="eastAsia" w:ascii="黑体" w:hAnsi="黑体" w:cs="黑体"/>
          <w:color w:val="000000"/>
          <w:spacing w:val="0"/>
          <w:sz w:val="44"/>
          <w:highlight w:val="none"/>
        </w:rPr>
        <w:t xml:space="preserve">第</w:t>
      </w:r>
      <w:bookmarkEnd w:id="188"/>
      <w:r>
        <w:rPr>
          <w:rFonts w:hint="eastAsia" w:ascii="黑体" w:hAnsi="黑体" w:cs="黑体"/>
          <w:color w:val="000000"/>
          <w:spacing w:val="0"/>
          <w:sz w:val="44"/>
          <w:highlight w:val="none"/>
        </w:rPr>
        <w:t xml:space="preserve">三章  合同文本</w:t>
      </w:r>
      <w:bookmarkEnd w:id="189"/>
      <w:r>
        <w:rPr>
          <w:rFonts w:ascii="宋体" w:hAnsi="宋体" w:eastAsia="宋体" w:cs="宋体"/>
          <w:color w:val="000000"/>
          <w:sz w:val="24"/>
          <w:szCs w:val="24"/>
          <w:highlight w:val="none"/>
        </w:rPr>
      </w:r>
      <w:r/>
    </w:p>
    <w:p>
      <w:pPr>
        <w:pStyle w:val="851"/>
        <w:ind w:firstLine="480"/>
        <w:rPr>
          <w:rFonts w:ascii="宋体" w:hAnsi="宋体" w:cs="宋体"/>
          <w:color w:val="000000"/>
          <w:sz w:val="24"/>
          <w:szCs w:val="24"/>
          <w:highlight w:val="none"/>
        </w:rPr>
      </w:pPr>
      <w:r/>
      <w:bookmarkStart w:id="190" w:name="_Toc20823315"/>
      <w:r/>
      <w:bookmarkEnd w:id="190"/>
      <w:r/>
      <w:bookmarkStart w:id="191" w:name="_Toc16938559"/>
      <w:r/>
      <w:bookmarkEnd w:id="191"/>
      <w:r>
        <w:rPr>
          <w:rFonts w:hint="eastAsia" w:ascii="宋体" w:hAnsi="宋体" w:cs="宋体"/>
          <w:color w:val="000000"/>
          <w:sz w:val="24"/>
          <w:szCs w:val="24"/>
          <w:highlight w:val="none"/>
        </w:rPr>
        <w:t xml:space="preserve">以下为中标后签订本项目合同的通用条款，中标人不得提出实质性的修改。</w:t>
      </w:r>
      <w:r>
        <w:rPr>
          <w:rFonts w:ascii="宋体" w:hAnsi="宋体" w:cs="宋体"/>
          <w:color w:val="000000"/>
          <w:sz w:val="24"/>
          <w:szCs w:val="24"/>
          <w:highlight w:val="none"/>
        </w:rPr>
      </w:r>
      <w:r/>
    </w:p>
    <w:p>
      <w:pPr>
        <w:pStyle w:val="851"/>
        <w:jc w:val="center"/>
        <w:spacing w:before="100" w:beforeAutospacing="1" w:after="100" w:afterAutospacing="1" w:line="520" w:lineRule="exact"/>
        <w:rPr>
          <w:b/>
          <w:color w:val="000000"/>
          <w:sz w:val="32"/>
          <w:szCs w:val="28"/>
          <w:highlight w:val="none"/>
          <w:shd w:val="clear" w:color="auto" w:fill="ffffff"/>
        </w:rPr>
      </w:pPr>
      <w:r>
        <w:rPr>
          <w:rFonts w:hint="eastAsia"/>
          <w:b/>
          <w:color w:val="000000"/>
          <w:sz w:val="32"/>
          <w:szCs w:val="28"/>
          <w:highlight w:val="none"/>
          <w:shd w:val="clear" w:color="auto" w:fill="ffffff"/>
        </w:rPr>
        <w:t xml:space="preserve">政府采购合同</w:t>
      </w:r>
      <w:r>
        <w:rPr>
          <w:b/>
          <w:color w:val="000000"/>
          <w:sz w:val="32"/>
          <w:szCs w:val="28"/>
          <w:highlight w:val="none"/>
          <w:shd w:val="clear" w:color="auto" w:fill="ffffff"/>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甲方（招标人）：</w:t>
      </w:r>
      <w:r>
        <w:rPr>
          <w:rFonts w:ascii="宋体" w:hAnsi="宋体" w:cs="仿宋_GB2312"/>
          <w:color w:val="000000"/>
          <w:sz w:val="24"/>
          <w:szCs w:val="24"/>
          <w:highlight w:val="none"/>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单位地址：</w:t>
      </w:r>
      <w:r>
        <w:rPr>
          <w:rFonts w:ascii="宋体" w:hAnsi="宋体" w:cs="仿宋_GB2312"/>
          <w:color w:val="000000"/>
          <w:sz w:val="24"/>
          <w:szCs w:val="24"/>
          <w:highlight w:val="none"/>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乙方（供应商）：</w:t>
      </w:r>
      <w:r>
        <w:rPr>
          <w:rFonts w:ascii="宋体" w:hAnsi="宋体" w:cs="仿宋_GB2312"/>
          <w:color w:val="000000"/>
          <w:sz w:val="24"/>
          <w:szCs w:val="24"/>
          <w:highlight w:val="none"/>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单位地址：</w:t>
      </w:r>
      <w:r>
        <w:rPr>
          <w:rFonts w:ascii="宋体" w:hAnsi="宋体" w:cs="仿宋_GB2312"/>
          <w:color w:val="000000"/>
          <w:sz w:val="24"/>
          <w:szCs w:val="24"/>
          <w:highlight w:val="none"/>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签订日期：</w:t>
      </w:r>
      <w:r>
        <w:rPr>
          <w:rFonts w:ascii="宋体" w:hAnsi="宋体" w:cs="仿宋_GB2312"/>
          <w:color w:val="000000"/>
          <w:sz w:val="24"/>
          <w:szCs w:val="24"/>
          <w:highlight w:val="none"/>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签订地点：</w:t>
      </w:r>
      <w:r>
        <w:rPr>
          <w:rFonts w:ascii="宋体" w:hAnsi="宋体" w:cs="仿宋_GB2312"/>
          <w:color w:val="000000"/>
          <w:sz w:val="24"/>
          <w:szCs w:val="24"/>
          <w:highlight w:val="none"/>
        </w:rPr>
      </w:r>
      <w:r/>
    </w:p>
    <w:p>
      <w:pPr>
        <w:pStyle w:val="851"/>
        <w:ind w:firstLine="480"/>
        <w:jc w:val="left"/>
        <w:spacing w:line="480" w:lineRule="exact"/>
        <w:rPr>
          <w:rFonts w:ascii="宋体" w:hAnsi="宋体" w:cs="仿宋_GB2312"/>
          <w:color w:val="000000"/>
          <w:sz w:val="24"/>
          <w:szCs w:val="24"/>
          <w:highlight w:val="none"/>
          <w:u w:val="single"/>
          <w:lang w:val="zh-CN"/>
        </w:rPr>
      </w:pPr>
      <w:r>
        <w:rPr>
          <w:rFonts w:hint="eastAsia" w:ascii="宋体" w:hAnsi="宋体" w:cs="仿宋_GB2312"/>
          <w:color w:val="000000"/>
          <w:sz w:val="24"/>
          <w:szCs w:val="24"/>
          <w:highlight w:val="none"/>
        </w:rPr>
        <w:t xml:space="preserve">根据甲方申请并经</w:t>
      </w:r>
      <w:r>
        <w:rPr>
          <w:rFonts w:ascii="宋体" w:hAnsi="宋体" w:cs="仿宋_GB2312"/>
          <w:color w:val="000000"/>
          <w:sz w:val="24"/>
          <w:szCs w:val="24"/>
          <w:highlight w:val="none"/>
          <w:u w:val="single"/>
        </w:rPr>
        <w:t xml:space="preserve">泰州</w:t>
      </w:r>
      <w:r>
        <w:rPr>
          <w:rFonts w:hint="eastAsia" w:ascii="宋体" w:hAnsi="宋体" w:cs="仿宋_GB2312"/>
          <w:color w:val="000000"/>
          <w:sz w:val="24"/>
          <w:szCs w:val="24"/>
          <w:highlight w:val="none"/>
          <w:u w:val="single"/>
        </w:rPr>
        <w:t xml:space="preserve">市</w:t>
      </w:r>
      <w:r>
        <w:rPr>
          <w:rFonts w:ascii="宋体" w:hAnsi="宋体" w:cs="仿宋_GB2312"/>
          <w:color w:val="000000"/>
          <w:sz w:val="24"/>
          <w:szCs w:val="24"/>
          <w:highlight w:val="none"/>
          <w:u w:val="single"/>
        </w:rPr>
        <w:t xml:space="preserve">海陵区</w:t>
      </w:r>
      <w:r>
        <w:rPr>
          <w:rFonts w:hint="eastAsia" w:ascii="宋体" w:hAnsi="宋体" w:cs="仿宋_GB2312"/>
          <w:color w:val="000000"/>
          <w:sz w:val="24"/>
          <w:szCs w:val="24"/>
          <w:highlight w:val="none"/>
          <w:u w:val="single"/>
        </w:rPr>
        <w:t xml:space="preserve">财政局</w:t>
      </w:r>
      <w:r>
        <w:rPr>
          <w:rFonts w:hint="eastAsia" w:ascii="宋体" w:hAnsi="宋体" w:cs="仿宋_GB2312"/>
          <w:color w:val="000000"/>
          <w:sz w:val="24"/>
          <w:szCs w:val="24"/>
          <w:highlight w:val="none"/>
        </w:rPr>
        <w:t xml:space="preserve">核准</w:t>
      </w:r>
      <w:r>
        <w:rPr>
          <w:rFonts w:hint="eastAsia" w:ascii="宋体" w:hAnsi="宋体" w:cs="仿宋_GB2312"/>
          <w:color w:val="000000"/>
          <w:sz w:val="24"/>
          <w:szCs w:val="24"/>
          <w:highlight w:val="none"/>
          <w:u w:val="single"/>
        </w:rPr>
        <w:t xml:space="preserve">泰州市海陵区华港镇及红旗街道村庄生活污水处理运维服务项目</w:t>
      </w:r>
      <w:r>
        <w:rPr>
          <w:rFonts w:hint="eastAsia" w:ascii="宋体" w:hAnsi="宋体" w:cs="仿宋_GB2312"/>
          <w:color w:val="000000"/>
          <w:sz w:val="24"/>
          <w:szCs w:val="24"/>
          <w:highlight w:val="none"/>
        </w:rPr>
        <w:t xml:space="preserve">政府采购计划，依据甲方委托</w:t>
      </w:r>
      <w:r>
        <w:rPr>
          <w:rFonts w:hint="eastAsia" w:ascii="宋体" w:hAnsi="宋体" w:cs="仿宋_GB2312"/>
          <w:color w:val="000000"/>
          <w:sz w:val="24"/>
          <w:szCs w:val="24"/>
          <w:highlight w:val="none"/>
          <w:u w:val="single"/>
          <w:lang w:val="zh-CN"/>
        </w:rPr>
        <w:t xml:space="preserve">泰州市中诚工程咨询有限公司</w:t>
      </w:r>
      <w:r>
        <w:rPr>
          <w:rFonts w:hint="eastAsia" w:ascii="宋体" w:hAnsi="宋体" w:cs="仿宋_GB2312"/>
          <w:color w:val="000000"/>
          <w:sz w:val="24"/>
          <w:szCs w:val="24"/>
          <w:highlight w:val="none"/>
        </w:rPr>
        <w:t xml:space="preserve">进行本项目政府采购</w:t>
      </w:r>
      <w:r>
        <w:rPr>
          <w:rFonts w:hint="eastAsia" w:ascii="宋体" w:hAnsi="宋体" w:cs="仿宋_GB2312"/>
          <w:color w:val="000000"/>
          <w:sz w:val="24"/>
          <w:szCs w:val="24"/>
          <w:highlight w:val="none"/>
          <w:u w:val="single"/>
        </w:rPr>
        <w:t xml:space="preserve">        </w:t>
      </w:r>
      <w:r>
        <w:rPr>
          <w:rFonts w:ascii="宋体" w:hAnsi="宋体" w:cs="仿宋_GB2312"/>
          <w:color w:val="000000"/>
          <w:sz w:val="24"/>
          <w:szCs w:val="24"/>
          <w:highlight w:val="none"/>
          <w:u w:val="single"/>
        </w:rPr>
        <w:t xml:space="preserve">（编号）</w:t>
      </w:r>
      <w:r>
        <w:rPr>
          <w:rFonts w:hint="eastAsia" w:ascii="宋体" w:hAnsi="宋体" w:cs="仿宋_GB2312"/>
          <w:color w:val="000000"/>
          <w:sz w:val="24"/>
          <w:szCs w:val="24"/>
          <w:highlight w:val="none"/>
        </w:rPr>
        <w:t xml:space="preserve">的中标结果，确定乙方为本次中标供应商，现依照采购文件、乙方的响应文件及相关文件的内容，签订本合同书。</w:t>
      </w:r>
      <w:r>
        <w:rPr>
          <w:rFonts w:ascii="宋体" w:hAnsi="宋体" w:cs="仿宋_GB2312"/>
          <w:color w:val="000000"/>
          <w:sz w:val="24"/>
          <w:szCs w:val="24"/>
          <w:highlight w:val="none"/>
          <w:u w:val="single"/>
          <w:lang w:val="zh-CN"/>
        </w:rPr>
      </w:r>
      <w:r/>
    </w:p>
    <w:p>
      <w:pPr>
        <w:pStyle w:val="851"/>
        <w:jc w:val="left"/>
        <w:spacing w:line="480" w:lineRule="exact"/>
        <w:tabs>
          <w:tab w:val="left" w:pos="567" w:leader="none"/>
        </w:tabs>
        <w:rPr>
          <w:rFonts w:ascii="宋体" w:hAnsi="宋体" w:cs="仿宋_GB2312"/>
          <w:bCs/>
          <w:color w:val="000000"/>
          <w:sz w:val="24"/>
          <w:szCs w:val="24"/>
          <w:highlight w:val="none"/>
        </w:rPr>
      </w:pPr>
      <w:r>
        <w:rPr>
          <w:rFonts w:hint="eastAsia" w:ascii="宋体" w:hAnsi="宋体" w:cs="仿宋_GB2312"/>
          <w:b/>
          <w:color w:val="000000"/>
          <w:sz w:val="24"/>
          <w:szCs w:val="24"/>
          <w:highlight w:val="none"/>
        </w:rPr>
        <w:t xml:space="preserve">一、合同价格</w:t>
      </w:r>
      <w:r>
        <w:rPr>
          <w:rFonts w:ascii="宋体" w:hAnsi="宋体" w:cs="仿宋_GB2312"/>
          <w:bCs/>
          <w:color w:val="000000"/>
          <w:sz w:val="24"/>
          <w:szCs w:val="24"/>
          <w:highlight w:val="none"/>
        </w:rPr>
      </w:r>
      <w:r/>
    </w:p>
    <w:p>
      <w:pPr>
        <w:pStyle w:val="869"/>
        <w:ind w:firstLine="480"/>
        <w:spacing w:after="0" w:line="480" w:lineRule="exact"/>
        <w:rPr>
          <w:color w:val="000000"/>
          <w:sz w:val="24"/>
          <w:szCs w:val="24"/>
          <w:highlight w:val="none"/>
        </w:rPr>
      </w:pPr>
      <w:r/>
      <w:bookmarkStart w:id="192" w:name="_Toc15259"/>
      <w:r>
        <w:rPr>
          <w:rFonts w:hint="eastAsia"/>
          <w:color w:val="000000"/>
          <w:sz w:val="24"/>
          <w:szCs w:val="24"/>
          <w:highlight w:val="none"/>
        </w:rPr>
        <w:t xml:space="preserve">1.</w:t>
      </w:r>
      <w:r>
        <w:rPr>
          <w:color w:val="000000"/>
          <w:sz w:val="24"/>
          <w:szCs w:val="24"/>
          <w:highlight w:val="none"/>
        </w:rPr>
        <w:t xml:space="preserve">本项目合同价为：</w:t>
      </w:r>
      <w:bookmarkEnd w:id="192"/>
      <w:r>
        <w:rPr>
          <w:color w:val="000000"/>
          <w:sz w:val="24"/>
          <w:szCs w:val="24"/>
          <w:highlight w:val="none"/>
        </w:rPr>
      </w:r>
      <w:r/>
    </w:p>
    <w:p>
      <w:pPr>
        <w:pStyle w:val="869"/>
        <w:ind w:firstLine="480"/>
        <w:spacing w:after="0" w:line="480" w:lineRule="exact"/>
        <w:rPr>
          <w:color w:val="000000"/>
          <w:sz w:val="24"/>
          <w:szCs w:val="24"/>
          <w:highlight w:val="none"/>
        </w:rPr>
      </w:pPr>
      <w:r>
        <w:rPr>
          <w:color w:val="000000"/>
          <w:sz w:val="24"/>
          <w:szCs w:val="24"/>
          <w:highlight w:val="none"/>
        </w:rPr>
        <w:t xml:space="preserve">运维服务费总额人民币（大写）（</w:t>
      </w:r>
      <w:r>
        <w:rPr>
          <w:rFonts w:hint="eastAsia" w:ascii="宋体" w:hAnsi="宋体" w:cs="宋体"/>
          <w:color w:val="000000"/>
          <w:sz w:val="24"/>
          <w:szCs w:val="24"/>
          <w:highlight w:val="none"/>
        </w:rPr>
        <w:t xml:space="preserve">¥</w:t>
      </w:r>
      <w:r>
        <w:rPr>
          <w:color w:val="000000"/>
          <w:sz w:val="24"/>
          <w:szCs w:val="24"/>
          <w:highlight w:val="none"/>
        </w:rPr>
        <w:t xml:space="preserve">：</w:t>
      </w:r>
      <w:r>
        <w:rPr>
          <w:rFonts w:hint="eastAsia"/>
          <w:color w:val="000000"/>
          <w:sz w:val="24"/>
          <w:szCs w:val="24"/>
          <w:highlight w:val="none"/>
          <w:u w:val="single"/>
        </w:rPr>
        <w:t xml:space="preserve">      </w:t>
      </w:r>
      <w:r>
        <w:rPr>
          <w:color w:val="000000"/>
          <w:sz w:val="24"/>
          <w:szCs w:val="24"/>
          <w:highlight w:val="none"/>
        </w:rPr>
        <w:t xml:space="preserve">元</w:t>
      </w:r>
      <w:r>
        <w:rPr>
          <w:rFonts w:hint="eastAsia"/>
          <w:color w:val="000000"/>
          <w:sz w:val="24"/>
          <w:szCs w:val="24"/>
          <w:highlight w:val="none"/>
        </w:rPr>
        <w:t xml:space="preserve">，其中暂列金</w:t>
      </w:r>
      <w:r>
        <w:rPr>
          <w:rFonts w:hint="eastAsia"/>
          <w:color w:val="000000"/>
          <w:sz w:val="24"/>
          <w:szCs w:val="24"/>
          <w:highlight w:val="none"/>
          <w:u w:val="single"/>
        </w:rPr>
        <w:t xml:space="preserve">        </w:t>
      </w:r>
      <w:r>
        <w:rPr>
          <w:rFonts w:hint="eastAsia"/>
          <w:color w:val="000000"/>
          <w:sz w:val="24"/>
          <w:szCs w:val="24"/>
          <w:highlight w:val="none"/>
        </w:rPr>
        <w:t xml:space="preserve">元</w:t>
      </w:r>
      <w:r>
        <w:rPr>
          <w:color w:val="000000"/>
          <w:sz w:val="24"/>
          <w:szCs w:val="24"/>
          <w:highlight w:val="none"/>
        </w:rPr>
        <w:t xml:space="preserve">），不含税金额</w:t>
      </w:r>
      <w:r>
        <w:rPr>
          <w:rFonts w:hint="eastAsia"/>
          <w:color w:val="000000"/>
          <w:sz w:val="24"/>
          <w:szCs w:val="24"/>
          <w:highlight w:val="none"/>
        </w:rPr>
        <w:t xml:space="preserve">为</w:t>
      </w:r>
      <w:r>
        <w:rPr>
          <w:rFonts w:hint="eastAsia"/>
          <w:color w:val="000000"/>
          <w:sz w:val="24"/>
          <w:szCs w:val="24"/>
          <w:highlight w:val="none"/>
          <w:u w:val="single"/>
        </w:rPr>
        <w:t xml:space="preserve">      </w:t>
      </w:r>
      <w:r>
        <w:rPr>
          <w:color w:val="000000"/>
          <w:sz w:val="24"/>
          <w:szCs w:val="24"/>
          <w:highlight w:val="none"/>
        </w:rPr>
        <w:t xml:space="preserve">元，税金</w:t>
      </w:r>
      <w:r>
        <w:rPr>
          <w:rFonts w:hint="eastAsia"/>
          <w:color w:val="000000"/>
          <w:sz w:val="24"/>
          <w:szCs w:val="24"/>
          <w:highlight w:val="none"/>
        </w:rPr>
        <w:t xml:space="preserve">为</w:t>
      </w:r>
      <w:r>
        <w:rPr>
          <w:rFonts w:hint="eastAsia"/>
          <w:color w:val="000000"/>
          <w:sz w:val="24"/>
          <w:szCs w:val="24"/>
          <w:highlight w:val="none"/>
          <w:u w:val="single"/>
        </w:rPr>
        <w:t xml:space="preserve">      </w:t>
      </w:r>
      <w:r>
        <w:rPr>
          <w:color w:val="000000"/>
          <w:sz w:val="24"/>
          <w:szCs w:val="24"/>
          <w:highlight w:val="none"/>
        </w:rPr>
        <w:t xml:space="preserve">元</w:t>
      </w:r>
      <w:r>
        <w:rPr>
          <w:rFonts w:hint="eastAsia"/>
          <w:color w:val="000000"/>
          <w:sz w:val="24"/>
          <w:szCs w:val="24"/>
          <w:highlight w:val="none"/>
        </w:rPr>
        <w:t xml:space="preserve">，增值税率为</w:t>
      </w:r>
      <w:r>
        <w:rPr>
          <w:rFonts w:hint="eastAsia"/>
          <w:color w:val="000000"/>
          <w:sz w:val="24"/>
          <w:szCs w:val="24"/>
          <w:highlight w:val="none"/>
          <w:u w:val="single"/>
        </w:rPr>
        <w:t xml:space="preserve">      </w:t>
      </w:r>
      <w:r>
        <w:rPr>
          <w:color w:val="000000"/>
          <w:sz w:val="24"/>
          <w:szCs w:val="24"/>
          <w:highlight w:val="none"/>
        </w:rPr>
        <w:t xml:space="preserve">%</w:t>
      </w:r>
      <w:r>
        <w:rPr>
          <w:rFonts w:hint="eastAsia"/>
          <w:color w:val="000000"/>
          <w:sz w:val="24"/>
          <w:szCs w:val="24"/>
          <w:highlight w:val="none"/>
        </w:rPr>
        <w:t xml:space="preserve">）</w:t>
      </w:r>
      <w:r>
        <w:rPr>
          <w:color w:val="000000"/>
          <w:sz w:val="24"/>
          <w:szCs w:val="24"/>
          <w:highlight w:val="none"/>
        </w:rPr>
        <w:t xml:space="preserve">。</w:t>
      </w:r>
      <w:r>
        <w:rPr>
          <w:color w:val="000000"/>
          <w:sz w:val="24"/>
          <w:szCs w:val="24"/>
          <w:highlight w:val="none"/>
        </w:rPr>
      </w:r>
      <w:r/>
    </w:p>
    <w:p>
      <w:pPr>
        <w:pStyle w:val="869"/>
        <w:ind w:left="480"/>
        <w:spacing w:after="0"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2.本合同为：</w:t>
      </w:r>
      <w:r>
        <w:rPr>
          <w:rFonts w:hint="eastAsia" w:ascii="宋体" w:hAnsi="宋体" w:cs="宋体"/>
          <w:color w:val="000000"/>
          <w:sz w:val="24"/>
          <w:szCs w:val="24"/>
          <w:highlight w:val="none"/>
          <w:u w:val="single"/>
        </w:rPr>
        <w:t xml:space="preserve">固定单价合同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（1）管道QV检测单价为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元/米；</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（2）污水管网及配套设施运维费单价为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元/公里/年；</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（3）一体化污水处理设施运维费单价为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元/吨；</w:t>
      </w:r>
      <w:r>
        <w:rPr>
          <w:rFonts w:hint="eastAsia" w:ascii="宋体" w:hAnsi="宋体" w:cs="宋体"/>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3.本合同运维服务工作量暂定为：</w:t>
      </w:r>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（1）华港镇及红旗街道村庄：</w:t>
      </w:r>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管网运维长度：</w:t>
      </w:r>
      <w:r>
        <w:rPr>
          <w:rFonts w:hint="eastAsia"/>
          <w:color w:val="000000"/>
          <w:sz w:val="24"/>
          <w:szCs w:val="24"/>
          <w:highlight w:val="none"/>
          <w:u w:val="single"/>
        </w:rPr>
        <w:t xml:space="preserve">     </w:t>
      </w:r>
      <w:r>
        <w:rPr>
          <w:rFonts w:hint="eastAsia"/>
          <w:color w:val="000000"/>
          <w:sz w:val="24"/>
          <w:szCs w:val="24"/>
          <w:highlight w:val="none"/>
        </w:rPr>
        <w:t xml:space="preserve">公里/年。</w:t>
      </w:r>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污水处理量：</w:t>
      </w:r>
      <w:r>
        <w:rPr>
          <w:rFonts w:hint="eastAsia"/>
          <w:color w:val="000000"/>
          <w:sz w:val="24"/>
          <w:szCs w:val="24"/>
          <w:highlight w:val="none"/>
          <w:u w:val="single"/>
        </w:rPr>
        <w:t xml:space="preserve">      </w:t>
      </w:r>
      <w:r>
        <w:rPr>
          <w:rFonts w:hint="eastAsia"/>
          <w:color w:val="000000"/>
          <w:sz w:val="24"/>
          <w:szCs w:val="24"/>
          <w:highlight w:val="none"/>
        </w:rPr>
        <w:t xml:space="preserve">吨/年。</w:t>
      </w:r>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（2）李家庄村、港口村等12个存量设施及配套管网</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管网运维长度：</w:t>
      </w:r>
      <w:r>
        <w:rPr>
          <w:rFonts w:hint="eastAsia"/>
          <w:color w:val="000000"/>
          <w:sz w:val="24"/>
          <w:szCs w:val="24"/>
          <w:highlight w:val="none"/>
          <w:u w:val="single"/>
        </w:rPr>
        <w:t xml:space="preserve">   </w:t>
      </w:r>
      <w:r>
        <w:rPr>
          <w:rFonts w:hint="eastAsia"/>
          <w:color w:val="000000"/>
          <w:sz w:val="24"/>
          <w:szCs w:val="24"/>
          <w:highlight w:val="none"/>
        </w:rPr>
        <w:t xml:space="preserve">公里/年。</w:t>
      </w:r>
      <w:r>
        <w:rPr>
          <w:color w:val="000000"/>
          <w:sz w:val="24"/>
          <w:szCs w:val="24"/>
          <w:highlight w:val="none"/>
        </w:rPr>
      </w:r>
      <w:r/>
    </w:p>
    <w:p>
      <w:pPr>
        <w:pStyle w:val="851"/>
        <w:ind w:firstLine="480"/>
        <w:spacing w:line="480" w:lineRule="exact"/>
        <w:rPr>
          <w:rFonts w:hint="eastAsia"/>
          <w:color w:val="000000"/>
          <w:sz w:val="24"/>
          <w:szCs w:val="24"/>
          <w:highlight w:val="none"/>
        </w:rPr>
      </w:pPr>
      <w:r>
        <w:rPr>
          <w:rFonts w:hint="eastAsia"/>
          <w:color w:val="000000"/>
          <w:sz w:val="24"/>
          <w:szCs w:val="24"/>
          <w:highlight w:val="none"/>
        </w:rPr>
        <w:t xml:space="preserve">污水处理量：</w:t>
      </w:r>
      <w:r>
        <w:rPr>
          <w:rFonts w:hint="eastAsia"/>
          <w:color w:val="000000"/>
          <w:sz w:val="24"/>
          <w:szCs w:val="24"/>
          <w:highlight w:val="none"/>
          <w:u w:val="single"/>
        </w:rPr>
        <w:t xml:space="preserve">    </w:t>
      </w:r>
      <w:r>
        <w:rPr>
          <w:rFonts w:hint="eastAsia"/>
          <w:color w:val="000000"/>
          <w:sz w:val="24"/>
          <w:szCs w:val="24"/>
          <w:highlight w:val="none"/>
        </w:rPr>
        <w:t xml:space="preserve">吨/年。</w:t>
      </w:r>
      <w:r>
        <w:rPr>
          <w:rFonts w:hint="eastAsia"/>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4.上述工作量为暂定数额，污水处理量结算时集中处理设施水量按实结算，分散处理设施水量按照设计水量的30%结算。管网长度实际工作量以最终审计确认为准。</w:t>
      </w:r>
      <w:r>
        <w:rPr>
          <w:rFonts w:hint="eastAsia" w:ascii="宋体" w:hAnsi="宋体" w:cs="宋体"/>
          <w:color w:val="000000"/>
          <w:sz w:val="24"/>
          <w:szCs w:val="24"/>
          <w:highlight w:val="none"/>
        </w:rPr>
        <w:t xml:space="preserve">最终结算价不得超过本项目合同价。</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5.按照合同约定的起算时间服务区域内后新增的集中处理设施、分散处理设施、一体化提升泵站、污水管网、化粪池隔油池等设施及甲方出具书面文件要求增加的其他内容，上述内容所增加的管网运维长度和污水处理量所涉运维费用按实计算，结算单价按中标单价，实际工作量以最终审计确认为准</w:t>
      </w:r>
      <w:r>
        <w:rPr>
          <w:color w:val="000000"/>
          <w:sz w:val="24"/>
          <w:szCs w:val="24"/>
          <w:highlight w:val="none"/>
        </w:rPr>
        <w:t xml:space="preserve">。</w:t>
      </w:r>
      <w:r>
        <w:rPr>
          <w:rFonts w:hint="eastAsia" w:ascii="宋体" w:hAnsi="宋体" w:cs="宋体"/>
          <w:color w:val="000000"/>
          <w:sz w:val="24"/>
          <w:szCs w:val="24"/>
          <w:highlight w:val="none"/>
        </w:rPr>
        <w:t xml:space="preserve">最终结算价不得超过本项目合同价。</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6.运维服务费是合同期内乙方承担的各项目运维成本及合理利润，运维成本包括但不限于保险费、人工费、材料费、设备费、检测费、日常维护维修费、网络流量费、验收、人员培训、利润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工具器械费、电费、</w:t>
      </w:r>
      <w:r>
        <w:rPr>
          <w:rFonts w:hint="eastAsia" w:ascii="宋体" w:hAnsi="宋体" w:eastAsia="宋体" w:cs="宋体"/>
          <w:color w:val="000000"/>
          <w:sz w:val="24"/>
          <w:szCs w:val="24"/>
          <w:highlight w:val="none"/>
        </w:rPr>
        <w:t xml:space="preserve">员工工资及福利费、修理费</w:t>
      </w:r>
      <w:r>
        <w:rPr>
          <w:rFonts w:hint="eastAsia" w:ascii="宋体" w:hAnsi="宋体" w:eastAsia="宋体" w:cs="宋体"/>
          <w:b w:val="0"/>
          <w:bCs w:val="0"/>
          <w:color w:val="000000"/>
          <w:sz w:val="24"/>
          <w:szCs w:val="24"/>
          <w:highlight w:val="none"/>
        </w:rPr>
        <w:t xml:space="preserve">（不包含大修和</w:t>
      </w:r>
      <w:r>
        <w:rPr>
          <w:rFonts w:hint="eastAsia" w:ascii="宋体" w:hAnsi="宋体" w:cs="宋体"/>
          <w:color w:val="000000"/>
          <w:sz w:val="24"/>
          <w:szCs w:val="24"/>
          <w:highlight w:val="none"/>
        </w:rPr>
        <w:t xml:space="preserve">缺陷</w:t>
      </w:r>
      <w:r>
        <w:rPr>
          <w:rFonts w:hint="eastAsia" w:ascii="宋体" w:hAnsi="宋体" w:eastAsia="宋体" w:cs="宋体"/>
          <w:b w:val="0"/>
          <w:bCs w:val="0"/>
          <w:color w:val="000000"/>
          <w:sz w:val="24"/>
          <w:szCs w:val="24"/>
          <w:highlight w:val="none"/>
        </w:rPr>
        <w:t xml:space="preserve">责任期</w:t>
      </w:r>
      <w:r>
        <w:rPr>
          <w:rFonts w:hint="eastAsia" w:ascii="宋体" w:hAnsi="宋体" w:eastAsia="宋体" w:cs="宋体"/>
          <w:b w:val="0"/>
          <w:bCs w:val="0"/>
          <w:color w:val="000000"/>
          <w:sz w:val="24"/>
          <w:szCs w:val="24"/>
          <w:highlight w:val="none"/>
        </w:rPr>
        <w:t xml:space="preserve">内的工程质量问题维修）</w:t>
      </w:r>
      <w:r>
        <w:rPr>
          <w:rFonts w:hint="eastAsia" w:ascii="宋体" w:hAnsi="宋体" w:eastAsia="宋体" w:cs="宋体"/>
          <w:color w:val="000000"/>
          <w:sz w:val="24"/>
          <w:szCs w:val="24"/>
          <w:highlight w:val="none"/>
        </w:rPr>
        <w:t xml:space="preserve">、税费、管理费用及其他运维费用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招标人不再支付其它任何费用。</w:t>
      </w:r>
      <w:r>
        <w:rPr>
          <w:color w:val="000000"/>
          <w:sz w:val="24"/>
          <w:szCs w:val="24"/>
          <w:highlight w:val="none"/>
        </w:rPr>
      </w:r>
      <w:r/>
    </w:p>
    <w:p>
      <w:pPr>
        <w:pStyle w:val="851"/>
        <w:ind w:firstLine="560"/>
        <w:spacing w:line="480" w:lineRule="exact"/>
        <w:rPr>
          <w:rFonts w:ascii="宋体" w:hAnsi="宋体" w:cs="仿宋_GB2312"/>
          <w:color w:val="000000"/>
          <w:sz w:val="24"/>
          <w:szCs w:val="24"/>
          <w:highlight w:val="none"/>
        </w:rPr>
      </w:pPr>
      <w:r>
        <w:rPr>
          <w:rFonts w:hint="eastAsia"/>
          <w:color w:val="000000"/>
          <w:sz w:val="24"/>
          <w:szCs w:val="24"/>
          <w:highlight w:val="none"/>
        </w:rPr>
        <w:t xml:space="preserve">7.合同期内约定频次的水质检测费由乙方自行承担。</w:t>
      </w:r>
      <w:r>
        <w:rPr>
          <w:rFonts w:ascii="宋体" w:hAnsi="宋体" w:cs="仿宋_GB2312"/>
          <w:color w:val="000000"/>
          <w:sz w:val="24"/>
          <w:szCs w:val="24"/>
          <w:highlight w:val="none"/>
        </w:rPr>
      </w:r>
      <w:r/>
    </w:p>
    <w:p>
      <w:pPr>
        <w:pStyle w:val="851"/>
        <w:jc w:val="left"/>
        <w:spacing w:line="480" w:lineRule="exact"/>
        <w:tabs>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二、服务范围</w:t>
      </w:r>
      <w:r>
        <w:rPr>
          <w:rFonts w:ascii="宋体" w:hAnsi="宋体" w:cs="仿宋_GB2312"/>
          <w:b/>
          <w:color w:val="000000"/>
          <w:sz w:val="24"/>
          <w:szCs w:val="24"/>
          <w:highlight w:val="none"/>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（一）甲方聘请乙方提供以下服务：</w:t>
      </w:r>
      <w:r>
        <w:rPr>
          <w:rFonts w:ascii="宋体" w:hAnsi="宋体" w:cs="仿宋_GB2312"/>
          <w:color w:val="000000"/>
          <w:sz w:val="24"/>
          <w:szCs w:val="24"/>
          <w:highlight w:val="none"/>
        </w:rPr>
      </w:r>
      <w:r/>
    </w:p>
    <w:p>
      <w:pPr>
        <w:pStyle w:val="851"/>
        <w:ind w:firstLine="480"/>
        <w:jc w:val="left"/>
        <w:spacing w:line="480" w:lineRule="exact"/>
        <w:tabs>
          <w:tab w:val="left" w:pos="993"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1.本合同项下的服务指：</w:t>
      </w:r>
      <w:r>
        <w:rPr>
          <w:rFonts w:hint="eastAsia" w:ascii="宋体" w:hAnsi="宋体" w:cs="仿宋_GB2312"/>
          <w:color w:val="000000"/>
          <w:sz w:val="24"/>
          <w:szCs w:val="24"/>
          <w:highlight w:val="none"/>
          <w:u w:val="single"/>
        </w:rPr>
        <w:t xml:space="preserve">泰州市海陵区华港镇及红旗街道村庄生活污水处理运维服务项目</w:t>
      </w:r>
      <w:r>
        <w:rPr>
          <w:rFonts w:hint="eastAsia" w:ascii="宋体" w:hAnsi="宋体" w:cs="仿宋_GB2312"/>
          <w:color w:val="000000"/>
          <w:sz w:val="24"/>
          <w:szCs w:val="24"/>
          <w:highlight w:val="none"/>
        </w:rPr>
        <w:t xml:space="preserve">。</w:t>
      </w:r>
      <w:r>
        <w:rPr>
          <w:rFonts w:ascii="宋体" w:hAnsi="宋体" w:cs="仿宋_GB2312"/>
          <w:color w:val="000000"/>
          <w:sz w:val="24"/>
          <w:szCs w:val="24"/>
          <w:highlight w:val="none"/>
        </w:rPr>
      </w:r>
      <w:r/>
    </w:p>
    <w:p>
      <w:pPr>
        <w:pStyle w:val="851"/>
        <w:ind w:firstLine="480"/>
        <w:jc w:val="left"/>
        <w:spacing w:line="480" w:lineRule="exact"/>
        <w:tabs>
          <w:tab w:val="left" w:pos="993" w:leader="none"/>
        </w:tabs>
        <w:rPr>
          <w:rFonts w:hint="eastAsia"/>
          <w:b/>
          <w:color w:val="000000"/>
          <w:sz w:val="24"/>
          <w:szCs w:val="24"/>
          <w:highlight w:val="none"/>
          <w:u w:val="single"/>
        </w:rPr>
      </w:pPr>
      <w:r>
        <w:rPr>
          <w:rFonts w:hint="eastAsia" w:ascii="宋体" w:hAnsi="宋体" w:cs="仿宋_GB2312"/>
          <w:color w:val="000000"/>
          <w:sz w:val="24"/>
          <w:szCs w:val="24"/>
          <w:highlight w:val="none"/>
        </w:rPr>
        <w:t xml:space="preserve">2.服务内容：</w:t>
      </w:r>
      <w:r>
        <w:rPr>
          <w:rFonts w:hint="eastAsia" w:ascii="宋体" w:hAnsi="宋体" w:cs="仿宋_GB2312"/>
          <w:color w:val="000000"/>
          <w:sz w:val="24"/>
          <w:szCs w:val="24"/>
          <w:highlight w:val="none"/>
          <w:u w:val="single"/>
        </w:rPr>
        <w:t xml:space="preserve">对泰州市海陵区华港镇及红旗街道15个行政村提供生活污水处理运维服务。</w:t>
      </w:r>
      <w:r>
        <w:rPr>
          <w:rFonts w:hint="eastAsia"/>
          <w:b/>
          <w:color w:val="000000"/>
          <w:sz w:val="24"/>
          <w:szCs w:val="24"/>
          <w:highlight w:val="none"/>
          <w:u w:val="single"/>
        </w:rPr>
        <w:t xml:space="preserve">运维对象包含：</w:t>
      </w:r>
      <w:r>
        <w:rPr>
          <w:rFonts w:hint="eastAsia"/>
          <w:b/>
          <w:color w:val="000000"/>
          <w:sz w:val="24"/>
          <w:szCs w:val="24"/>
          <w:highlight w:val="none"/>
          <w:u w:val="single"/>
        </w:rPr>
      </w:r>
      <w:r/>
    </w:p>
    <w:p>
      <w:pPr>
        <w:pStyle w:val="851"/>
        <w:ind w:firstLine="560"/>
        <w:jc w:val="left"/>
        <w:spacing w:line="480" w:lineRule="exact"/>
        <w:tabs>
          <w:tab w:val="left" w:pos="993" w:leader="none"/>
        </w:tabs>
        <w:rPr>
          <w:rFonts w:hint="eastAsia"/>
          <w:color w:val="000000"/>
          <w:sz w:val="24"/>
          <w:szCs w:val="24"/>
          <w:highlight w:val="none"/>
        </w:rPr>
      </w:pPr>
      <w:r>
        <w:rPr>
          <w:rFonts w:hint="eastAsia"/>
          <w:color w:val="000000"/>
          <w:sz w:val="24"/>
          <w:szCs w:val="24"/>
          <w:highlight w:val="none"/>
        </w:rPr>
        <w:t xml:space="preserve">（1）管道QV检测，约67575m。</w:t>
      </w:r>
      <w:r>
        <w:rPr>
          <w:rFonts w:hint="eastAsia"/>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（2）华港镇及红旗街道村庄生活污水处理工程建设的一体化处理设施数量</w:t>
      </w:r>
      <w:r>
        <w:rPr>
          <w:rFonts w:hint="eastAsia" w:ascii="宋体" w:hAnsi="宋体" w:eastAsia="宋体" w:cs="宋体"/>
          <w:color w:val="000000"/>
          <w:sz w:val="24"/>
          <w:szCs w:val="24"/>
          <w:highlight w:val="none"/>
        </w:rPr>
        <w:t xml:space="preserve">约161座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rPr>
        <w:t xml:space="preserve">集中设施62座（</w:t>
      </w:r>
      <w:r>
        <w:rPr>
          <w:rFonts w:hint="eastAsia" w:ascii="宋体" w:hAnsi="宋体" w:eastAsia="宋体" w:cs="宋体"/>
          <w:color w:val="000000"/>
          <w:sz w:val="24"/>
          <w:szCs w:val="24"/>
          <w:highlight w:val="none"/>
          <w:lang w:val="en-US" w:eastAsia="zh-CN"/>
        </w:rPr>
        <w:t xml:space="preserve">5吨及以上</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，分散设施99座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5吨以下</w:t>
      </w:r>
      <w:r>
        <w:rPr>
          <w:rFonts w:hint="eastAsia" w:ascii="宋体" w:hAnsi="宋体" w:cs="宋体"/>
          <w:color w:val="000000"/>
          <w:sz w:val="24"/>
          <w:szCs w:val="24"/>
          <w:highlight w:val="none"/>
        </w:rPr>
        <w:t xml:space="preserve">）；一体化处理设施设计日处理总能力约1681m³/d。一体化泵站数量约</w:t>
      </w:r>
      <w:r>
        <w:rPr>
          <w:rFonts w:hint="eastAsia"/>
          <w:bCs/>
          <w:color w:val="000000"/>
          <w:sz w:val="24"/>
          <w:highlight w:val="none"/>
        </w:rPr>
        <w:t xml:space="preserve">263</w:t>
      </w:r>
      <w:r>
        <w:rPr>
          <w:rFonts w:hint="eastAsia" w:ascii="宋体" w:hAnsi="宋体" w:cs="宋体"/>
          <w:color w:val="000000"/>
          <w:sz w:val="24"/>
          <w:szCs w:val="24"/>
          <w:highlight w:val="none"/>
        </w:rPr>
        <w:t xml:space="preserve">座；污水管网总长约437.5km。（注：运维费最终按实结算）</w:t>
      </w:r>
      <w:r>
        <w:rPr>
          <w:rFonts w:ascii="宋体" w:hAnsi="宋体" w:cs="宋体"/>
          <w:color w:val="000000"/>
          <w:sz w:val="24"/>
          <w:szCs w:val="24"/>
          <w:highlight w:val="none"/>
        </w:rPr>
      </w:r>
      <w:r/>
    </w:p>
    <w:p>
      <w:pPr>
        <w:pStyle w:val="851"/>
        <w:ind w:firstLine="560"/>
        <w:spacing w:line="480" w:lineRule="exact"/>
        <w:rPr>
          <w:color w:val="000000"/>
          <w:sz w:val="24"/>
          <w:szCs w:val="24"/>
          <w:highlight w:val="none"/>
        </w:rPr>
      </w:pPr>
      <w:r>
        <w:rPr>
          <w:rFonts w:hint="eastAsia" w:ascii="宋体" w:hAnsi="宋体" w:cs="宋体"/>
          <w:color w:val="000000"/>
          <w:sz w:val="24"/>
          <w:szCs w:val="24"/>
          <w:highlight w:val="none"/>
        </w:rPr>
        <w:t xml:space="preserve">（3）李家庄村、港口村等12个存量设施及配套管网，根据现场维</w:t>
      </w:r>
      <w:r>
        <w:rPr>
          <w:rFonts w:hint="eastAsia"/>
          <w:color w:val="000000"/>
          <w:sz w:val="24"/>
          <w:szCs w:val="24"/>
          <w:highlight w:val="none"/>
        </w:rPr>
        <w:t xml:space="preserve">修进度，在完成维修具备运维条件后，纳入本次运维范围，各设施基本情况如下，配套管网预估12.5km。（注：部分设施及配套管网需待维修后开始运行，管网量低于12.5km，运维费最终按实结算，若高于12.5km则按12.5km结算。）</w:t>
      </w:r>
      <w:r>
        <w:rPr>
          <w:color w:val="000000"/>
          <w:sz w:val="24"/>
          <w:szCs w:val="24"/>
          <w:highlight w:val="none"/>
        </w:rPr>
      </w:r>
      <w:r/>
    </w:p>
    <w:tbl>
      <w:tblPr>
        <w:tblW w:w="242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1618"/>
        <w:gridCol w:w="1689"/>
      </w:tblGrid>
      <w:tr>
        <w:trPr>
          <w:trHeight w:val="640"/>
        </w:trPr>
        <w:tc>
          <w:tcPr>
            <w:tcW w:w="1108" w:type="dxa"/>
            <w:vAlign w:val="center"/>
            <w:textDirection w:val="lrTb"/>
            <w:noWrap w:val="false"/>
          </w:tcPr>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序号</w:t>
            </w:r>
            <w:r>
              <w:rPr>
                <w:rFonts w:ascii="方正黑体_GBK" w:hAnsi="方正黑体_GBK" w:eastAsia="方正黑体_GBK" w:cs="方正黑体_GBK"/>
                <w:color w:val="000000"/>
                <w:szCs w:val="21"/>
                <w:highlight w:val="none"/>
              </w:rPr>
            </w:r>
            <w:r/>
          </w:p>
        </w:tc>
        <w:tc>
          <w:tcPr>
            <w:tcW w:w="1903" w:type="dxa"/>
            <w:vAlign w:val="center"/>
            <w:textDirection w:val="lrTb"/>
            <w:noWrap w:val="false"/>
          </w:tcPr>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建设位置（村）</w:t>
            </w:r>
            <w:r>
              <w:rPr>
                <w:rFonts w:ascii="方正黑体_GBK" w:hAnsi="方正黑体_GBK" w:eastAsia="方正黑体_GBK" w:cs="方正黑体_GBK"/>
                <w:color w:val="000000"/>
                <w:szCs w:val="21"/>
                <w:highlight w:val="none"/>
              </w:rPr>
            </w:r>
            <w:r/>
          </w:p>
        </w:tc>
        <w:tc>
          <w:tcPr>
            <w:tcW w:w="1987" w:type="dxa"/>
            <w:vAlign w:val="center"/>
            <w:textDirection w:val="lrTb"/>
            <w:noWrap w:val="false"/>
          </w:tcPr>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规模</w:t>
            </w:r>
            <w:r>
              <w:rPr>
                <w:rFonts w:ascii="方正黑体_GBK" w:hAnsi="方正黑体_GBK" w:eastAsia="方正黑体_GBK" w:cs="方正黑体_GBK"/>
                <w:color w:val="000000"/>
                <w:szCs w:val="21"/>
                <w:highlight w:val="none"/>
              </w:rPr>
            </w:r>
            <w:r/>
          </w:p>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（吨/天）</w:t>
            </w:r>
            <w:r>
              <w:rPr>
                <w:rFonts w:ascii="方正黑体_GBK" w:hAnsi="方正黑体_GBK" w:eastAsia="方正黑体_GBK" w:cs="方正黑体_GBK"/>
                <w:color w:val="000000"/>
                <w:szCs w:val="21"/>
                <w:highlight w:val="none"/>
              </w:rPr>
            </w:r>
            <w:r/>
          </w:p>
        </w:tc>
      </w:tr>
      <w:tr>
        <w:trPr>
          <w:trHeight w:val="448"/>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李家庄1#</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60</w:t>
            </w:r>
            <w:r>
              <w:rPr>
                <w:rFonts w:hint="eastAsia" w:ascii="宋体" w:hAnsi="宋体" w:cs="宋体"/>
                <w:color w:val="000000"/>
                <w:szCs w:val="21"/>
                <w:highlight w:val="none"/>
              </w:rPr>
            </w:r>
            <w:r/>
          </w:p>
        </w:tc>
      </w:tr>
      <w:tr>
        <w:trPr>
          <w:trHeight w:val="427"/>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李家庄2#</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60</w:t>
            </w:r>
            <w:r>
              <w:rPr>
                <w:rFonts w:hint="eastAsia" w:ascii="宋体" w:hAnsi="宋体" w:cs="宋体"/>
                <w:color w:val="000000"/>
                <w:szCs w:val="21"/>
                <w:highlight w:val="none"/>
              </w:rPr>
            </w:r>
            <w:r/>
          </w:p>
        </w:tc>
      </w:tr>
      <w:tr>
        <w:trPr>
          <w:trHeight w:val="395"/>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许家庄村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5</w:t>
            </w:r>
            <w:r>
              <w:rPr>
                <w:rFonts w:hint="eastAsia" w:ascii="宋体" w:hAnsi="宋体" w:cs="宋体"/>
                <w:color w:val="000000"/>
                <w:szCs w:val="21"/>
                <w:highlight w:val="none"/>
              </w:rPr>
            </w:r>
            <w:r/>
          </w:p>
        </w:tc>
      </w:tr>
      <w:tr>
        <w:trPr>
          <w:trHeight w:val="417"/>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里华村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15</w:t>
            </w:r>
            <w:r>
              <w:rPr>
                <w:rFonts w:hint="eastAsia" w:ascii="宋体" w:hAnsi="宋体" w:cs="宋体"/>
                <w:color w:val="000000"/>
                <w:szCs w:val="21"/>
                <w:highlight w:val="none"/>
              </w:rPr>
            </w:r>
            <w:r/>
          </w:p>
        </w:tc>
      </w:tr>
      <w:tr>
        <w:trPr>
          <w:trHeight w:val="454"/>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野马村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10</w:t>
            </w:r>
            <w:r>
              <w:rPr>
                <w:rFonts w:hint="eastAsia" w:ascii="宋体" w:hAnsi="宋体" w:cs="宋体"/>
                <w:color w:val="000000"/>
                <w:szCs w:val="21"/>
                <w:highlight w:val="none"/>
              </w:rPr>
            </w:r>
            <w:r/>
          </w:p>
        </w:tc>
      </w:tr>
      <w:tr>
        <w:trPr>
          <w:trHeight w:val="454"/>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野营村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10</w:t>
            </w:r>
            <w:r>
              <w:rPr>
                <w:rFonts w:hint="eastAsia" w:ascii="宋体" w:hAnsi="宋体" w:cs="宋体"/>
                <w:color w:val="000000"/>
                <w:szCs w:val="21"/>
                <w:highlight w:val="none"/>
              </w:rPr>
            </w:r>
            <w:r/>
          </w:p>
        </w:tc>
      </w:tr>
      <w:tr>
        <w:trPr>
          <w:trHeight w:val="454"/>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刘庄村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10</w:t>
            </w:r>
            <w:r>
              <w:rPr>
                <w:rFonts w:hint="eastAsia" w:ascii="宋体" w:hAnsi="宋体" w:cs="宋体"/>
                <w:color w:val="000000"/>
                <w:szCs w:val="21"/>
                <w:highlight w:val="none"/>
              </w:rPr>
            </w:r>
            <w:r/>
          </w:p>
        </w:tc>
      </w:tr>
      <w:tr>
        <w:trPr>
          <w:trHeight w:val="454"/>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桑湾村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60</w:t>
            </w:r>
            <w:r>
              <w:rPr>
                <w:rFonts w:hint="eastAsia" w:ascii="宋体" w:hAnsi="宋体" w:cs="宋体"/>
                <w:color w:val="000000"/>
                <w:szCs w:val="21"/>
                <w:highlight w:val="none"/>
              </w:rPr>
            </w:r>
            <w:r/>
          </w:p>
        </w:tc>
      </w:tr>
      <w:tr>
        <w:trPr>
          <w:trHeight w:val="405"/>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港口村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60</w:t>
            </w:r>
            <w:r>
              <w:rPr>
                <w:rFonts w:hint="eastAsia" w:ascii="宋体" w:hAnsi="宋体" w:cs="宋体"/>
                <w:color w:val="000000"/>
                <w:szCs w:val="21"/>
                <w:highlight w:val="none"/>
              </w:rPr>
            </w:r>
            <w:r/>
          </w:p>
        </w:tc>
      </w:tr>
      <w:tr>
        <w:trPr>
          <w:trHeight w:val="469"/>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溪东村</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40</w:t>
            </w:r>
            <w:r>
              <w:rPr>
                <w:rFonts w:hint="eastAsia" w:ascii="宋体" w:hAnsi="宋体" w:cs="宋体"/>
                <w:color w:val="000000"/>
                <w:szCs w:val="21"/>
                <w:highlight w:val="none"/>
              </w:rPr>
            </w:r>
            <w:r/>
          </w:p>
        </w:tc>
      </w:tr>
      <w:tr>
        <w:trPr>
          <w:trHeight w:val="469"/>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下</w:t>
            </w:r>
            <w:r>
              <w:rPr>
                <w:rFonts w:hint="eastAsia" w:ascii="宋体" w:hAnsi="宋体" w:cs="宋体"/>
                <w:color w:val="000000"/>
                <w:sz w:val="20"/>
                <w:szCs w:val="20"/>
                <w:highlight w:val="none"/>
                <w:lang w:bidi="ar"/>
              </w:rPr>
              <w:t xml:space="preserve">溪</w:t>
            </w:r>
            <w:r>
              <w:rPr>
                <w:rFonts w:hint="eastAsia" w:ascii="宋体" w:hAnsi="宋体" w:cs="宋体"/>
                <w:color w:val="000000"/>
                <w:sz w:val="20"/>
                <w:szCs w:val="20"/>
                <w:highlight w:val="none"/>
                <w:lang w:bidi="ar"/>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80</w:t>
            </w:r>
            <w:r>
              <w:rPr>
                <w:rFonts w:hint="eastAsia" w:ascii="宋体" w:hAnsi="宋体" w:cs="宋体"/>
                <w:color w:val="000000"/>
                <w:szCs w:val="21"/>
                <w:highlight w:val="none"/>
              </w:rPr>
            </w:r>
            <w:r/>
          </w:p>
        </w:tc>
      </w:tr>
      <w:tr>
        <w:trPr>
          <w:trHeight w:val="478"/>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903"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董谭2#集中</w:t>
            </w:r>
            <w:r>
              <w:rPr>
                <w:rFonts w:hint="eastAsia" w:ascii="宋体" w:hAnsi="宋体" w:cs="宋体"/>
                <w:color w:val="000000"/>
                <w:szCs w:val="21"/>
                <w:highlight w:val="none"/>
              </w:rPr>
            </w:r>
            <w:r/>
          </w:p>
        </w:tc>
        <w:tc>
          <w:tcPr>
            <w:tcW w:w="1987"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80</w:t>
            </w:r>
            <w:r>
              <w:rPr>
                <w:rFonts w:hint="eastAsia" w:ascii="宋体" w:hAnsi="宋体" w:cs="宋体"/>
                <w:color w:val="000000"/>
                <w:szCs w:val="21"/>
                <w:highlight w:val="none"/>
              </w:rPr>
            </w:r>
            <w:r/>
          </w:p>
        </w:tc>
      </w:tr>
    </w:tbl>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ind w:firstLine="560"/>
        <w:spacing w:line="480" w:lineRule="exact"/>
        <w:rPr>
          <w:strike/>
          <w:color w:val="000000"/>
          <w:sz w:val="24"/>
          <w:szCs w:val="24"/>
          <w:highlight w:val="none"/>
        </w:rPr>
      </w:pPr>
      <w:r>
        <w:rPr>
          <w:rFonts w:hint="eastAsia" w:ascii="宋体" w:hAnsi="宋体" w:cs="宋体"/>
          <w:color w:val="000000"/>
          <w:sz w:val="24"/>
          <w:szCs w:val="24"/>
          <w:highlight w:val="none"/>
        </w:rPr>
        <w:t xml:space="preserve">（3）对运维范围内的所有工程及设备设施进行全面复核、检查及验收交接，双方及时办理相关确认手续。</w:t>
      </w:r>
      <w:r>
        <w:rPr>
          <w:strike/>
          <w:color w:val="000000"/>
          <w:sz w:val="24"/>
          <w:szCs w:val="24"/>
          <w:highlight w:val="none"/>
        </w:rPr>
      </w:r>
      <w:r/>
    </w:p>
    <w:p>
      <w:pPr>
        <w:pStyle w:val="851"/>
        <w:ind w:firstLine="480"/>
        <w:jc w:val="left"/>
        <w:spacing w:line="480" w:lineRule="exact"/>
        <w:tabs>
          <w:tab w:val="left" w:pos="993" w:leader="none"/>
        </w:tabs>
        <w:rPr>
          <w:rFonts w:hint="eastAsia"/>
          <w:color w:val="000000"/>
          <w:sz w:val="24"/>
          <w:szCs w:val="24"/>
          <w:highlight w:val="none"/>
        </w:rPr>
      </w:pPr>
      <w:r>
        <w:rPr>
          <w:rFonts w:hint="eastAsia" w:ascii="宋体" w:hAnsi="宋体" w:cs="宋体"/>
          <w:color w:val="000000"/>
          <w:sz w:val="24"/>
          <w:szCs w:val="24"/>
          <w:highlight w:val="none"/>
        </w:rPr>
        <w:t xml:space="preserve">3.合同履行期限：两年。</w:t>
      </w:r>
      <w:r>
        <w:rPr>
          <w:rFonts w:hint="eastAsia"/>
          <w:color w:val="000000"/>
          <w:sz w:val="24"/>
          <w:szCs w:val="24"/>
          <w:highlight w:val="none"/>
        </w:rPr>
      </w:r>
      <w:r/>
    </w:p>
    <w:p>
      <w:pPr>
        <w:pStyle w:val="851"/>
        <w:jc w:val="left"/>
        <w:spacing w:line="480" w:lineRule="exact"/>
        <w:rPr>
          <w:color w:val="000000"/>
          <w:sz w:val="24"/>
          <w:szCs w:val="24"/>
          <w:highlight w:val="none"/>
        </w:rPr>
      </w:pPr>
      <w:r>
        <w:rPr>
          <w:rFonts w:hint="eastAsia" w:ascii="宋体" w:hAnsi="宋体" w:cs="仿宋_GB2312"/>
          <w:b/>
          <w:color w:val="000000"/>
          <w:sz w:val="24"/>
          <w:szCs w:val="24"/>
          <w:highlight w:val="none"/>
        </w:rPr>
        <w:t xml:space="preserve">三、合同价格支付</w:t>
      </w:r>
      <w:r>
        <w:rPr>
          <w:color w:val="000000"/>
          <w:sz w:val="24"/>
          <w:szCs w:val="24"/>
          <w:highlight w:val="none"/>
        </w:rPr>
      </w:r>
      <w:r/>
    </w:p>
    <w:p>
      <w:pPr>
        <w:pStyle w:val="851"/>
        <w:ind w:firstLine="480"/>
        <w:spacing w:line="480" w:lineRule="exact"/>
        <w:rPr>
          <w:rFonts w:ascii="宋体" w:hAnsi="宋体"/>
          <w:color w:val="000000"/>
          <w:sz w:val="24"/>
          <w:szCs w:val="24"/>
          <w:highlight w:val="none"/>
          <w:u w:val="single"/>
        </w:rPr>
      </w:pPr>
      <w:r>
        <w:rPr>
          <w:rFonts w:hint="eastAsia"/>
          <w:color w:val="000000"/>
          <w:sz w:val="24"/>
          <w:szCs w:val="24"/>
          <w:highlight w:val="none"/>
        </w:rPr>
        <w:t xml:space="preserve">1.付款方式：</w:t>
      </w:r>
      <w:r>
        <w:rPr>
          <w:rFonts w:hint="eastAsia" w:ascii="宋体" w:hAnsi="宋体"/>
          <w:color w:val="000000"/>
          <w:sz w:val="24"/>
          <w:szCs w:val="24"/>
          <w:highlight w:val="none"/>
          <w:u w:val="single"/>
        </w:rPr>
        <w:t xml:space="preserve">合同签订后付签约合同价（扣除暂列金）的 10%作为预付款，每年春节前依据当年度绩效考核结果支付当年运维费的90%（维修部分从接入运维起算，运维费为一体化污水处理设施与污水管网及配套设施运维费），管道QV检测费支付时间为检测合格，提供检测报告当年春节前支付。所有款项均不计息。</w:t>
      </w:r>
      <w:r>
        <w:rPr>
          <w:rFonts w:ascii="宋体" w:hAnsi="宋体"/>
          <w:color w:val="000000"/>
          <w:sz w:val="24"/>
          <w:szCs w:val="24"/>
          <w:highlight w:val="none"/>
          <w:u w:val="single"/>
        </w:rPr>
      </w:r>
      <w:r/>
    </w:p>
    <w:p>
      <w:pPr>
        <w:pStyle w:val="851"/>
        <w:ind w:firstLine="480"/>
        <w:jc w:val="left"/>
        <w:spacing w:line="4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2.乙方要求付款应提供以下资料：</w:t>
      </w:r>
      <w:r>
        <w:rPr>
          <w:rFonts w:ascii="宋体" w:hAnsi="宋体" w:cs="仿宋_GB2312"/>
          <w:color w:val="000000"/>
          <w:sz w:val="24"/>
          <w:szCs w:val="24"/>
          <w:highlight w:val="none"/>
        </w:rPr>
      </w:r>
      <w:r/>
    </w:p>
    <w:p>
      <w:pPr>
        <w:pStyle w:val="851"/>
        <w:ind w:firstLine="480"/>
        <w:jc w:val="left"/>
        <w:spacing w:line="480" w:lineRule="exact"/>
        <w:tabs>
          <w:tab w:val="left" w:pos="980" w:leader="none"/>
        </w:tabs>
        <w:rPr>
          <w:rFonts w:ascii="宋体" w:hAnsi="宋体"/>
          <w:color w:val="000000"/>
          <w:sz w:val="24"/>
          <w:szCs w:val="24"/>
          <w:highlight w:val="none"/>
        </w:rPr>
      </w:pPr>
      <w:r>
        <w:rPr>
          <w:rFonts w:hint="eastAsia" w:ascii="宋体" w:hAnsi="宋体" w:cs="仿宋_GB2312"/>
          <w:color w:val="000000"/>
          <w:sz w:val="24"/>
          <w:szCs w:val="24"/>
          <w:highlight w:val="none"/>
        </w:rPr>
        <w:t xml:space="preserve">（1）合格</w:t>
      </w:r>
      <w:r>
        <w:rPr>
          <w:rFonts w:hint="eastAsia" w:ascii="宋体" w:hAnsi="宋体"/>
          <w:color w:val="000000"/>
          <w:sz w:val="24"/>
          <w:szCs w:val="24"/>
          <w:highlight w:val="none"/>
        </w:rPr>
        <w:t xml:space="preserve">的发票。</w:t>
      </w:r>
      <w:r>
        <w:rPr>
          <w:rFonts w:ascii="宋体" w:hAnsi="宋体"/>
          <w:color w:val="000000"/>
          <w:sz w:val="24"/>
          <w:szCs w:val="24"/>
          <w:highlight w:val="none"/>
        </w:rPr>
      </w:r>
      <w:r/>
    </w:p>
    <w:p>
      <w:pPr>
        <w:pStyle w:val="851"/>
        <w:ind w:firstLine="480"/>
        <w:jc w:val="left"/>
        <w:spacing w:line="480" w:lineRule="exact"/>
        <w:tabs>
          <w:tab w:val="left" w:pos="980" w:leader="none"/>
        </w:tabs>
        <w:rPr>
          <w:rFonts w:ascii="宋体" w:hAnsi="宋体"/>
          <w:color w:val="000000"/>
          <w:sz w:val="24"/>
          <w:szCs w:val="24"/>
          <w:highlight w:val="none"/>
        </w:rPr>
      </w:pPr>
      <w:r>
        <w:rPr>
          <w:rFonts w:hint="eastAsia" w:ascii="宋体" w:hAnsi="宋体" w:cs="仿宋_GB2312"/>
          <w:color w:val="000000"/>
          <w:sz w:val="24"/>
          <w:szCs w:val="24"/>
          <w:highlight w:val="none"/>
        </w:rPr>
        <w:t xml:space="preserve">（2）</w:t>
      </w:r>
      <w:r>
        <w:rPr>
          <w:rFonts w:hint="eastAsia" w:ascii="宋体" w:hAnsi="宋体"/>
          <w:color w:val="000000"/>
          <w:sz w:val="24"/>
          <w:szCs w:val="24"/>
          <w:highlight w:val="none"/>
        </w:rPr>
        <w:t xml:space="preserve">由甲乙双方签章的《采购合同</w:t>
      </w:r>
      <w:r>
        <w:rPr>
          <w:rFonts w:hint="eastAsia"/>
          <w:color w:val="000000"/>
          <w:sz w:val="24"/>
          <w:szCs w:val="24"/>
          <w:highlight w:val="none"/>
        </w:rPr>
        <w:t xml:space="preserve">履</w:t>
      </w:r>
      <w:r>
        <w:rPr>
          <w:rFonts w:hint="eastAsia" w:ascii="宋体" w:hAnsi="宋体"/>
          <w:color w:val="000000"/>
          <w:sz w:val="24"/>
          <w:szCs w:val="24"/>
          <w:highlight w:val="none"/>
        </w:rPr>
        <w:t xml:space="preserve">行验收报告》。</w:t>
      </w:r>
      <w:r>
        <w:rPr>
          <w:rFonts w:ascii="宋体" w:hAnsi="宋体"/>
          <w:color w:val="000000"/>
          <w:sz w:val="24"/>
          <w:szCs w:val="24"/>
          <w:highlight w:val="none"/>
        </w:rPr>
      </w:r>
      <w:r/>
    </w:p>
    <w:p>
      <w:pPr>
        <w:pStyle w:val="851"/>
        <w:ind w:firstLine="480"/>
        <w:jc w:val="left"/>
        <w:spacing w:line="480" w:lineRule="exact"/>
        <w:tabs>
          <w:tab w:val="left" w:pos="980"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（3）</w:t>
      </w:r>
      <w:r>
        <w:rPr>
          <w:rFonts w:hint="eastAsia" w:ascii="宋体" w:hAnsi="宋体"/>
          <w:color w:val="000000"/>
          <w:sz w:val="24"/>
          <w:szCs w:val="24"/>
          <w:highlight w:val="none"/>
        </w:rPr>
        <w:t xml:space="preserve">其他</w:t>
      </w:r>
      <w:r>
        <w:rPr>
          <w:rFonts w:hint="eastAsia" w:ascii="宋体" w:hAnsi="宋体" w:cs="仿宋_GB2312"/>
          <w:color w:val="000000"/>
          <w:sz w:val="24"/>
          <w:szCs w:val="24"/>
          <w:highlight w:val="none"/>
        </w:rPr>
        <w:t xml:space="preserve">（如有）。</w:t>
      </w:r>
      <w:r>
        <w:rPr>
          <w:rFonts w:ascii="宋体" w:hAnsi="宋体" w:cs="仿宋_GB2312"/>
          <w:color w:val="000000"/>
          <w:sz w:val="24"/>
          <w:szCs w:val="24"/>
          <w:highlight w:val="none"/>
        </w:rPr>
      </w:r>
      <w:r/>
    </w:p>
    <w:p>
      <w:pPr>
        <w:pStyle w:val="851"/>
        <w:ind w:firstLine="480"/>
        <w:jc w:val="left"/>
        <w:spacing w:line="480" w:lineRule="exact"/>
        <w:tabs>
          <w:tab w:val="left" w:pos="980" w:leader="none"/>
        </w:tabs>
        <w:rPr>
          <w:rFonts w:ascii="宋体" w:hAnsi="宋体"/>
          <w:color w:val="000000"/>
          <w:sz w:val="24"/>
          <w:szCs w:val="24"/>
          <w:highlight w:val="none"/>
        </w:rPr>
      </w:pPr>
      <w:r>
        <w:rPr>
          <w:rFonts w:hint="eastAsia" w:ascii="宋体" w:hAnsi="宋体" w:cs="仿宋_GB2312"/>
          <w:color w:val="000000"/>
          <w:sz w:val="24"/>
          <w:szCs w:val="24"/>
          <w:highlight w:val="none"/>
        </w:rPr>
        <w:t xml:space="preserve">3.支付</w:t>
      </w:r>
      <w:r>
        <w:rPr>
          <w:rFonts w:hint="eastAsia" w:ascii="宋体" w:hAnsi="宋体"/>
          <w:color w:val="000000"/>
          <w:sz w:val="24"/>
          <w:szCs w:val="24"/>
          <w:highlight w:val="none"/>
        </w:rPr>
        <w:t xml:space="preserve">方式：转账。</w:t>
      </w:r>
      <w:r>
        <w:rPr>
          <w:rFonts w:ascii="宋体" w:hAnsi="宋体"/>
          <w:color w:val="000000"/>
          <w:sz w:val="24"/>
          <w:szCs w:val="24"/>
          <w:highlight w:val="none"/>
        </w:rPr>
      </w:r>
      <w:r/>
    </w:p>
    <w:p>
      <w:pPr>
        <w:pStyle w:val="851"/>
        <w:ind w:firstLine="480"/>
        <w:jc w:val="left"/>
        <w:spacing w:line="480" w:lineRule="exact"/>
        <w:tabs>
          <w:tab w:val="left" w:pos="980" w:leader="none"/>
        </w:tabs>
        <w:rPr>
          <w:rFonts w:ascii="宋体" w:hAnsi="宋体"/>
          <w:color w:val="000000"/>
          <w:sz w:val="24"/>
          <w:szCs w:val="24"/>
          <w:highlight w:val="none"/>
        </w:rPr>
      </w:pPr>
      <w:r>
        <w:rPr>
          <w:rFonts w:hint="eastAsia" w:ascii="宋体" w:hAnsi="宋体"/>
          <w:color w:val="000000"/>
          <w:sz w:val="24"/>
          <w:szCs w:val="24"/>
          <w:highlight w:val="none"/>
        </w:rPr>
        <w:t xml:space="preserve">4.费用结算原则</w:t>
      </w:r>
      <w:r>
        <w:rPr>
          <w:rFonts w:ascii="宋体" w:hAnsi="宋体"/>
          <w:color w:val="000000"/>
          <w:sz w:val="24"/>
          <w:szCs w:val="24"/>
          <w:highlight w:val="none"/>
        </w:rPr>
      </w:r>
      <w:r/>
    </w:p>
    <w:p>
      <w:pPr>
        <w:pStyle w:val="851"/>
        <w:ind w:firstLine="480"/>
        <w:jc w:val="left"/>
        <w:spacing w:line="480" w:lineRule="exact"/>
        <w:tabs>
          <w:tab w:val="left" w:pos="980" w:leader="none"/>
        </w:tabs>
        <w:rPr>
          <w:rFonts w:ascii="宋体" w:hAnsi="宋体"/>
          <w:color w:val="000000"/>
          <w:sz w:val="24"/>
          <w:szCs w:val="24"/>
          <w:highlight w:val="none"/>
        </w:rPr>
      </w:pPr>
      <w:r>
        <w:rPr>
          <w:rFonts w:hint="eastAsia" w:ascii="宋体" w:hAnsi="宋体"/>
          <w:color w:val="000000"/>
          <w:sz w:val="24"/>
          <w:szCs w:val="24"/>
          <w:highlight w:val="none"/>
        </w:rPr>
        <w:t xml:space="preserve">运维服务费按照合同约定的合同价格、结算周期、考核结果等进行。</w:t>
      </w:r>
      <w:r>
        <w:rPr>
          <w:rFonts w:ascii="宋体" w:hAnsi="宋体"/>
          <w:color w:val="000000"/>
          <w:sz w:val="24"/>
          <w:szCs w:val="24"/>
          <w:highlight w:val="none"/>
        </w:rPr>
      </w:r>
      <w:r/>
    </w:p>
    <w:p>
      <w:pPr>
        <w:pStyle w:val="851"/>
        <w:jc w:val="left"/>
        <w:spacing w:line="480" w:lineRule="exact"/>
        <w:tabs>
          <w:tab w:val="left" w:pos="993" w:leader="none"/>
        </w:tabs>
        <w:rPr>
          <w:rFonts w:ascii="Times New Roman" w:hAnsi="Times New Roman" w:cs="Times New Roman"/>
          <w:b/>
          <w:bCs/>
          <w:color w:val="000000"/>
          <w:sz w:val="24"/>
          <w:szCs w:val="24"/>
          <w:highlight w:val="none"/>
        </w:rPr>
      </w:pPr>
      <w:r>
        <w:rPr>
          <w:rFonts w:hint="eastAsia" w:ascii="宋体" w:hAnsi="宋体" w:cs="仿宋_GB2312"/>
          <w:b/>
          <w:color w:val="000000"/>
          <w:sz w:val="24"/>
          <w:szCs w:val="24"/>
          <w:highlight w:val="none"/>
        </w:rPr>
        <w:t xml:space="preserve">四、</w:t>
      </w:r>
      <w:r>
        <w:rPr>
          <w:rFonts w:hint="eastAsia" w:ascii="Times New Roman" w:hAnsi="Times New Roman" w:cs="Times New Roman"/>
          <w:b/>
          <w:bCs/>
          <w:color w:val="000000"/>
          <w:sz w:val="24"/>
          <w:szCs w:val="24"/>
          <w:highlight w:val="none"/>
        </w:rPr>
        <w:t xml:space="preserve">运维要求：</w:t>
      </w:r>
      <w:r>
        <w:rPr>
          <w:rFonts w:ascii="Times New Roman" w:hAnsi="Times New Roman" w:cs="Times New Roman"/>
          <w:b/>
          <w:bCs/>
          <w:color w:val="000000"/>
          <w:sz w:val="24"/>
          <w:szCs w:val="24"/>
          <w:highlight w:val="none"/>
        </w:rPr>
      </w:r>
      <w:r/>
    </w:p>
    <w:p>
      <w:pPr>
        <w:pStyle w:val="958"/>
        <w:ind w:firstLine="560"/>
        <w:spacing w:before="0" w:after="0" w:line="440" w:lineRule="exact"/>
        <w:rPr>
          <w:color w:val="000000"/>
          <w:sz w:val="24"/>
          <w:szCs w:val="24"/>
          <w:highlight w:val="none"/>
        </w:rPr>
      </w:pPr>
      <w:r/>
      <w:bookmarkStart w:id="193" w:name="_Toc17056"/>
      <w:r/>
      <w:bookmarkStart w:id="194" w:name="_Toc26931"/>
      <w:r>
        <w:rPr>
          <w:rFonts w:hint="eastAsia"/>
          <w:color w:val="000000"/>
          <w:sz w:val="24"/>
          <w:szCs w:val="24"/>
          <w:highlight w:val="none"/>
        </w:rPr>
        <w:t xml:space="preserve">（一）运维维护的基本要求</w:t>
      </w:r>
      <w:bookmarkEnd w:id="193"/>
      <w:r/>
      <w:bookmarkEnd w:id="194"/>
      <w:r>
        <w:rPr>
          <w:color w:val="000000"/>
          <w:sz w:val="24"/>
          <w:szCs w:val="24"/>
          <w:highlight w:val="none"/>
        </w:rPr>
      </w:r>
      <w:r/>
    </w:p>
    <w:p>
      <w:pPr>
        <w:pStyle w:val="851"/>
        <w:ind w:firstLine="480"/>
        <w:spacing w:line="440" w:lineRule="exact"/>
        <w:rPr>
          <w:color w:val="000000"/>
          <w:sz w:val="24"/>
          <w:szCs w:val="24"/>
          <w:highlight w:val="none"/>
        </w:rPr>
      </w:pPr>
      <w:r>
        <w:rPr>
          <w:rFonts w:hint="eastAsia"/>
          <w:color w:val="000000"/>
          <w:sz w:val="24"/>
          <w:szCs w:val="24"/>
          <w:highlight w:val="none"/>
        </w:rPr>
        <w:t xml:space="preserve">1.合同期内，乙方按照国家有关技术规范、行业标准的规定，运维一体化污水处理设施、污水收集管网及配套设施的维护管养，检测水质，确保设施的正常运行、出水水质达标排放。</w:t>
      </w:r>
      <w:r>
        <w:rPr>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2.合同期内，乙方应建立健全过程管理制度体系，从管理制度体系上保障运维维护质量。</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3.如因乙方运维管理工作不到位引发安全事故和环保责任的，由乙方承担全部责任。</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应在合同期内保证项目运维质量，在合同期内项目出现的运维质量问题由乙方负责，并对造成的甲方损失承担赔偿责任。在运维范围内的质量问题（工程施工质量问题除外）出现五（5）日内或甲、乙双方视情况另行约定的日期内未修复的，甲方可另行委托第三方修复，修复费用由乙方承担，在甲方支付服务费时扣减。</w:t>
      </w:r>
      <w:r>
        <w:rPr>
          <w:rFonts w:ascii="宋体" w:hAnsi="宋体" w:cs="宋体"/>
          <w:color w:val="000000"/>
          <w:sz w:val="24"/>
          <w:szCs w:val="24"/>
          <w:highlight w:val="none"/>
        </w:rPr>
      </w:r>
      <w:r/>
    </w:p>
    <w:p>
      <w:pPr>
        <w:pStyle w:val="851"/>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5.对于任何紧急情况，如有必要，由乙方负责协调相应部门、经理、技术专家及工程师，无论何时何地，根据需要召开紧急会议，重点处理紧急问题，以保证重大故障得到及时解决。</w:t>
      </w:r>
      <w:r>
        <w:rPr>
          <w:rFonts w:ascii="宋体" w:hAnsi="宋体" w:cs="宋体"/>
          <w:color w:val="000000"/>
          <w:sz w:val="24"/>
          <w:szCs w:val="24"/>
          <w:highlight w:val="none"/>
        </w:rPr>
      </w:r>
      <w:r/>
    </w:p>
    <w:p>
      <w:pPr>
        <w:pStyle w:val="85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6.甲方有权指定任何代表在任何时候进入运维养护范围，检查项目设施的养护管理情况。甲方指定的代表有权检查乙方的运维维护记录和项目设施检测记录。乙方应对甲方指定的代表提出的问题作出合理解答。</w:t>
      </w:r>
      <w:r>
        <w:rPr>
          <w:rFonts w:ascii="宋体" w:hAnsi="宋体" w:cs="宋体"/>
          <w:color w:val="000000"/>
          <w:sz w:val="24"/>
          <w:szCs w:val="24"/>
          <w:highlight w:val="none"/>
        </w:rPr>
      </w:r>
      <w:r/>
    </w:p>
    <w:p>
      <w:pPr>
        <w:pStyle w:val="851"/>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7.甲方有权委托有相应资质的第三方独立机构对项目的出水水质及运维水平进行检测和评估。</w:t>
      </w:r>
      <w:r>
        <w:rPr>
          <w:rFonts w:ascii="宋体" w:hAnsi="宋体" w:cs="宋体"/>
          <w:color w:val="000000"/>
          <w:sz w:val="24"/>
          <w:szCs w:val="24"/>
          <w:highlight w:val="none"/>
        </w:rPr>
      </w:r>
      <w:r/>
    </w:p>
    <w:p>
      <w:pPr>
        <w:pStyle w:val="851"/>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8.甲方委托第三方独立机构进行检测、评估的费用由甲方承担，但核实或检查的结果表明乙方未履行或未恰当履行本合同约定的运维维护义务或者法定义务，则应当由乙方负担该费用。</w:t>
      </w:r>
      <w:r>
        <w:rPr>
          <w:rFonts w:ascii="宋体" w:hAnsi="宋体" w:cs="宋体"/>
          <w:color w:val="000000"/>
          <w:sz w:val="24"/>
          <w:szCs w:val="24"/>
          <w:highlight w:val="none"/>
        </w:rPr>
      </w:r>
      <w:r/>
    </w:p>
    <w:p>
      <w:pPr>
        <w:pStyle w:val="851"/>
        <w:ind w:firstLine="560"/>
        <w:spacing w:line="440" w:lineRule="exact"/>
        <w:rPr>
          <w:color w:val="000000"/>
          <w:sz w:val="24"/>
          <w:szCs w:val="24"/>
          <w:highlight w:val="none"/>
        </w:rPr>
      </w:pPr>
      <w:r>
        <w:rPr>
          <w:rFonts w:hint="eastAsia" w:ascii="宋体" w:hAnsi="宋体" w:cs="宋体"/>
          <w:color w:val="000000"/>
          <w:sz w:val="24"/>
          <w:szCs w:val="24"/>
          <w:highlight w:val="none"/>
        </w:rPr>
        <w:t xml:space="preserve">9.运维维护期，乙方应接受甲方及相关职能部门对运维及其效果的考核，考核结果体现在甲方向乙方支付的服务费中。</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195" w:name="4.3_运行维护服务的内容"/>
      <w:r/>
      <w:bookmarkEnd w:id="195"/>
      <w:r/>
      <w:bookmarkStart w:id="196" w:name="_Toc16035"/>
      <w:r/>
      <w:bookmarkStart w:id="197" w:name="_Toc28500"/>
      <w:r>
        <w:rPr>
          <w:rFonts w:hint="eastAsia"/>
          <w:color w:val="000000"/>
          <w:sz w:val="24"/>
          <w:szCs w:val="24"/>
          <w:highlight w:val="none"/>
        </w:rPr>
        <w:t xml:space="preserve">（二）</w:t>
      </w:r>
      <w:bookmarkEnd w:id="196"/>
      <w:r/>
      <w:bookmarkEnd w:id="197"/>
      <w:r/>
      <w:bookmarkStart w:id="198" w:name="_Toc16546"/>
      <w:r/>
      <w:bookmarkStart w:id="199" w:name="_Toc17981"/>
      <w:r>
        <w:rPr>
          <w:color w:val="000000"/>
          <w:sz w:val="24"/>
          <w:szCs w:val="24"/>
          <w:highlight w:val="none"/>
        </w:rPr>
        <w:t xml:space="preserve">运维相关配置</w:t>
      </w:r>
      <w:r>
        <w:rPr>
          <w:color w:val="000000"/>
          <w:sz w:val="24"/>
          <w:szCs w:val="24"/>
          <w:highlight w:val="none"/>
        </w:rPr>
      </w:r>
      <w:r/>
    </w:p>
    <w:p>
      <w:pPr>
        <w:pStyle w:val="851"/>
        <w:ind w:firstLine="560"/>
        <w:spacing w:line="440" w:lineRule="exact"/>
        <w:rPr>
          <w:color w:val="000000"/>
          <w:sz w:val="24"/>
          <w:szCs w:val="24"/>
          <w:highlight w:val="none"/>
        </w:rPr>
      </w:pPr>
      <w:r>
        <w:rPr>
          <w:rFonts w:hint="eastAsia"/>
          <w:color w:val="000000"/>
          <w:sz w:val="24"/>
          <w:szCs w:val="24"/>
          <w:highlight w:val="none"/>
        </w:rPr>
        <w:t xml:space="preserve">乙方应按照运维企业标准要求</w:t>
      </w:r>
      <w:r>
        <w:rPr>
          <w:color w:val="000000"/>
          <w:sz w:val="24"/>
          <w:szCs w:val="24"/>
          <w:highlight w:val="none"/>
        </w:rPr>
        <w:t xml:space="preserve">，为本运维项目配置包括但不限于办公场所、</w:t>
      </w:r>
      <w:r>
        <w:rPr>
          <w:rFonts w:hint="eastAsia"/>
          <w:color w:val="000000"/>
          <w:sz w:val="24"/>
          <w:szCs w:val="24"/>
          <w:highlight w:val="none"/>
        </w:rPr>
        <w:t xml:space="preserve">水质检测设备</w:t>
      </w:r>
      <w:r>
        <w:rPr>
          <w:color w:val="000000"/>
          <w:sz w:val="24"/>
          <w:szCs w:val="24"/>
          <w:highlight w:val="none"/>
        </w:rPr>
        <w:t xml:space="preserve">、人员配备、运维车辆、运维工器具</w:t>
      </w:r>
      <w:r>
        <w:rPr>
          <w:rFonts w:hint="eastAsia"/>
          <w:color w:val="000000"/>
          <w:sz w:val="24"/>
          <w:szCs w:val="24"/>
          <w:highlight w:val="none"/>
        </w:rPr>
        <w:t xml:space="preserve">等，</w:t>
      </w:r>
      <w:r>
        <w:rPr>
          <w:color w:val="000000"/>
          <w:sz w:val="24"/>
          <w:szCs w:val="24"/>
          <w:highlight w:val="none"/>
        </w:rPr>
        <w:t xml:space="preserve">明确配置的数量、到位时间、相关技术参数规格等要求。</w:t>
      </w:r>
      <w:r>
        <w:rPr>
          <w:color w:val="000000"/>
          <w:sz w:val="24"/>
          <w:szCs w:val="24"/>
          <w:highlight w:val="none"/>
        </w:rPr>
      </w:r>
      <w:r/>
    </w:p>
    <w:p>
      <w:pPr>
        <w:pStyle w:val="958"/>
        <w:ind w:firstLine="560"/>
        <w:spacing w:before="0" w:after="0" w:line="480" w:lineRule="exact"/>
        <w:rPr>
          <w:color w:val="000000"/>
          <w:sz w:val="24"/>
          <w:szCs w:val="24"/>
          <w:highlight w:val="none"/>
        </w:rPr>
      </w:pPr>
      <w:r>
        <w:rPr>
          <w:rFonts w:hint="eastAsia"/>
          <w:color w:val="000000"/>
          <w:sz w:val="24"/>
          <w:szCs w:val="24"/>
          <w:highlight w:val="none"/>
        </w:rPr>
        <w:t xml:space="preserve">（三）</w:t>
      </w:r>
      <w:bookmarkEnd w:id="198"/>
      <w:r/>
      <w:bookmarkEnd w:id="199"/>
      <w:r>
        <w:rPr>
          <w:rFonts w:hint="eastAsia"/>
          <w:color w:val="000000"/>
          <w:sz w:val="24"/>
          <w:szCs w:val="24"/>
          <w:highlight w:val="none"/>
        </w:rPr>
        <w:t xml:space="preserve">运维的其他要求</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1.本次村庄生活污水处理设施出水水质执行标准如下：</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（1）环境特殊敏感区域（清水通道维护区一级保护区内），农村生活污水处理设施设计日处理能力≥50</w:t>
      </w:r>
      <w:r>
        <w:rPr>
          <w:rFonts w:hint="eastAsia" w:ascii="宋体" w:hAnsi="宋体" w:cs="宋体"/>
          <w:color w:val="000000"/>
          <w:sz w:val="24"/>
          <w:szCs w:val="24"/>
          <w:highlight w:val="none"/>
        </w:rPr>
        <w:t xml:space="preserve">m³</w:t>
      </w:r>
      <w:r>
        <w:rPr>
          <w:rFonts w:hint="eastAsia"/>
          <w:color w:val="000000"/>
          <w:sz w:val="24"/>
          <w:szCs w:val="24"/>
          <w:highlight w:val="none"/>
        </w:rPr>
        <w:t xml:space="preserve">，应执行一级标准 A 标准；设计日处理能力＜50m3，应执行一级标准 B 标准。并重点考核 CODcr、NH3-N、TP 等指标。</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（2）环境一般敏感区域（清水通道维护区一级保护区外）：</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1）出水排入 GB3838 地表水 IV、V 类功能水域或 GB3097 海水三、四类功能水域，应执行二级标准。</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2）出水排入其他水环境功能未明确水域，当处理设施设计日处理能力≥50m3，应执行二级标准；当处理设施设计日处理能力＜50m3，应执行三级标准。</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（3）如（1）与（2）环境敏感区域有所重合，按高标准执行。</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（4）有新地方排放标准出台的，执行最新标准要求。</w:t>
      </w:r>
      <w:r>
        <w:rPr>
          <w:color w:val="000000"/>
          <w:sz w:val="24"/>
          <w:szCs w:val="24"/>
          <w:highlight w:val="none"/>
        </w:rPr>
      </w:r>
      <w:r/>
    </w:p>
    <w:p>
      <w:pPr>
        <w:pStyle w:val="851"/>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4408665" cy="36158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408665" cy="3615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1pt;height:284.7pt;mso-wrap-distance-left:0.0pt;mso-wrap-distance-top:0.0pt;mso-wrap-distance-right:0.0pt;mso-wrap-distance-bottom:0.0pt;" stroked="f">
                <v:path textboxrect="0,0,0,0"/>
                <v:imagedata r:id="rId14" o:title=""/>
              </v:shape>
            </w:pict>
          </mc:Fallback>
        </mc:AlternateContent>
      </w:r>
      <w:r>
        <w:rPr>
          <w:color w:val="000000"/>
          <w:highlight w:val="none"/>
        </w:rPr>
      </w:r>
      <w:r/>
    </w:p>
    <w:tbl>
      <w:tblPr>
        <w:tblW w:w="810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1"/>
        <w:gridCol w:w="1912"/>
        <w:gridCol w:w="763"/>
        <w:gridCol w:w="1360"/>
        <w:gridCol w:w="3444"/>
      </w:tblGrid>
      <w:tr>
        <w:trPr>
          <w:trHeight w:val="662"/>
        </w:trPr>
        <w:tc>
          <w:tcPr>
            <w:gridSpan w:val="5"/>
            <w:tcW w:w="8100"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一体化污水处理设施汇总表</w:t>
            </w:r>
            <w:r>
              <w:rPr>
                <w:rFonts w:hint="eastAsia" w:ascii="宋体" w:hAnsi="宋体" w:eastAsia="宋体" w:cs="宋体"/>
                <w:b/>
                <w:bCs/>
                <w:i w:val="0"/>
                <w:iCs w:val="0"/>
                <w:color w:val="000000"/>
                <w:sz w:val="18"/>
                <w:szCs w:val="18"/>
                <w:highlight w:val="none"/>
                <w:u w:val="none"/>
              </w:rPr>
            </w:r>
            <w:r/>
          </w:p>
        </w:tc>
      </w:tr>
      <w:tr>
        <w:trPr>
          <w:trHeight w:val="673"/>
        </w:trPr>
        <w:tc>
          <w:tcPr>
            <w:tcW w:w="621"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           号</w:t>
            </w:r>
            <w:r>
              <w:rPr>
                <w:rFonts w:hint="eastAsia" w:ascii="宋体" w:hAnsi="宋体" w:eastAsia="宋体" w:cs="宋体"/>
                <w:b/>
                <w:bCs/>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rFonts w:hint="eastAsia" w:ascii="宋体" w:hAnsi="宋体" w:eastAsia="宋体" w:cs="宋体"/>
                <w:b/>
                <w:bCs/>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规模      t/d</w:t>
            </w:r>
            <w:r>
              <w:rPr>
                <w:rFonts w:hint="eastAsia" w:ascii="宋体" w:hAnsi="宋体" w:eastAsia="宋体" w:cs="宋体"/>
                <w:b/>
                <w:bCs/>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3444"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设计出水标准</w:t>
            </w:r>
            <w:r>
              <w:rPr>
                <w:rFonts w:hint="eastAsia" w:ascii="宋体" w:hAnsi="宋体" w:eastAsia="宋体" w:cs="宋体"/>
                <w:b/>
                <w:bCs/>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分散处理设施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二级标准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分散处理设施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二级标准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一级A标准</w:t>
            </w:r>
            <w:r>
              <w:rPr>
                <w:rFonts w:hint="eastAsia" w:ascii="宋体" w:hAnsi="宋体" w:eastAsia="宋体" w:cs="宋体"/>
                <w:i w:val="0"/>
                <w:iCs w:val="0"/>
                <w:color w:val="000000"/>
                <w:sz w:val="18"/>
                <w:szCs w:val="18"/>
                <w:highlight w:val="none"/>
                <w:u w:val="none"/>
              </w:rPr>
            </w:r>
            <w:r/>
          </w:p>
        </w:tc>
      </w:tr>
      <w:tr>
        <w:trPr>
          <w:trHeight w:val="463"/>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一级A标准</w:t>
            </w:r>
            <w:r>
              <w:rPr>
                <w:rFonts w:hint="eastAsia" w:ascii="宋体" w:hAnsi="宋体" w:eastAsia="宋体" w:cs="宋体"/>
                <w:i w:val="0"/>
                <w:iCs w:val="0"/>
                <w:color w:val="000000"/>
                <w:sz w:val="18"/>
                <w:szCs w:val="18"/>
                <w:highlight w:val="none"/>
                <w:u w:val="none"/>
              </w:rPr>
            </w:r>
            <w:r/>
          </w:p>
        </w:tc>
      </w:tr>
    </w:tbl>
    <w:p>
      <w:pPr>
        <w:pStyle w:val="851"/>
        <w:ind w:firstLine="560"/>
        <w:spacing w:line="48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rPr>
        <w:t xml:space="preserve">李家庄村、港口村等12个存量设施</w:t>
      </w:r>
      <w:r>
        <w:rPr>
          <w:rFonts w:hint="eastAsia" w:ascii="宋体" w:hAnsi="宋体" w:cs="宋体"/>
          <w:color w:val="000000"/>
          <w:sz w:val="24"/>
          <w:szCs w:val="24"/>
          <w:highlight w:val="none"/>
          <w:lang w:val="en-US" w:eastAsia="zh-CN"/>
        </w:rPr>
        <w:t xml:space="preserve">出水标准按上述同规模</w:t>
      </w:r>
      <w:r>
        <w:rPr>
          <w:rFonts w:hint="eastAsia" w:ascii="宋体" w:hAnsi="宋体" w:cs="宋体"/>
          <w:color w:val="000000"/>
          <w:sz w:val="24"/>
          <w:szCs w:val="24"/>
          <w:highlight w:val="none"/>
          <w:lang w:val="en-US" w:eastAsia="zh-CN"/>
        </w:rPr>
        <w:t xml:space="preserve">设施</w:t>
      </w:r>
      <w:r>
        <w:rPr>
          <w:rFonts w:hint="eastAsia" w:ascii="宋体" w:hAnsi="宋体" w:cs="宋体"/>
          <w:color w:val="000000"/>
          <w:sz w:val="24"/>
          <w:szCs w:val="24"/>
          <w:highlight w:val="none"/>
          <w:lang w:val="en-US" w:eastAsia="zh-CN"/>
        </w:rPr>
        <w:t xml:space="preserve">出水标准执行。</w:t>
      </w:r>
      <w:r>
        <w:rPr>
          <w:rFonts w:ascii="宋体" w:hAnsi="宋体" w:eastAsia="宋体" w:cs="宋体"/>
          <w:color w:val="000000"/>
          <w:sz w:val="24"/>
          <w:szCs w:val="24"/>
          <w:highlight w:val="none"/>
          <w:lang w:val="en-US" w:eastAsia="zh-CN"/>
        </w:rPr>
      </w:r>
      <w:r/>
    </w:p>
    <w:p>
      <w:pPr>
        <w:pStyle w:val="851"/>
        <w:ind w:firstLine="560"/>
        <w:spacing w:line="480" w:lineRule="exact"/>
        <w:rPr>
          <w:color w:val="000000"/>
          <w:sz w:val="24"/>
          <w:szCs w:val="24"/>
          <w:highlight w:val="none"/>
        </w:rPr>
      </w:pPr>
      <w:r>
        <w:rPr>
          <w:rFonts w:hint="eastAsia" w:ascii="宋体" w:hAnsi="宋体" w:cs="宋体"/>
          <w:color w:val="000000"/>
          <w:sz w:val="24"/>
          <w:szCs w:val="24"/>
          <w:highlight w:val="none"/>
        </w:rPr>
        <w:t xml:space="preserve">2.对一体化污水处理设施的运维维护内容包括但不限于：污水处理构筑物、污水处理设备、监控</w:t>
      </w:r>
      <w:r>
        <w:rPr>
          <w:rFonts w:hint="eastAsia"/>
          <w:color w:val="000000"/>
          <w:sz w:val="24"/>
          <w:szCs w:val="24"/>
          <w:highlight w:val="none"/>
        </w:rPr>
        <w:t xml:space="preserve">设备、仪器仪表、管道及管线、污泥处置等。</w:t>
      </w:r>
      <w:r>
        <w:rPr>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3.对污水管网及配套设施的维护管养内容包括但不限于：管网、检查井、化粪池、隔油池、提升泵站等设施的日常疏通、清掏、巡查、普查等。</w:t>
      </w:r>
      <w:r>
        <w:rPr>
          <w:rFonts w:ascii="宋体" w:hAnsi="宋体" w:cs="宋体"/>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4.投标人需要投入专业的运维技术人员，满足项目正常运维的需要。</w:t>
      </w:r>
      <w:r>
        <w:rPr>
          <w:rFonts w:ascii="宋体" w:hAnsi="宋体" w:cs="宋体"/>
          <w:color w:val="000000"/>
          <w:sz w:val="24"/>
          <w:szCs w:val="24"/>
          <w:highlight w:val="none"/>
        </w:rPr>
      </w:r>
      <w:r/>
    </w:p>
    <w:p>
      <w:pPr>
        <w:pStyle w:val="851"/>
        <w:ind w:firstLine="560"/>
        <w:spacing w:line="480" w:lineRule="exact"/>
        <w:rPr>
          <w:color w:val="000000"/>
          <w:sz w:val="24"/>
          <w:szCs w:val="24"/>
          <w:highlight w:val="none"/>
        </w:rPr>
      </w:pPr>
      <w:r>
        <w:rPr>
          <w:rFonts w:hint="eastAsia" w:ascii="宋体" w:hAnsi="宋体" w:cs="宋体"/>
          <w:color w:val="000000"/>
          <w:sz w:val="24"/>
          <w:szCs w:val="24"/>
          <w:highlight w:val="none"/>
        </w:rPr>
        <w:t xml:space="preserve">5.运维单位需负责污水处理设施、污水管网的日常维护维修、中小修。本项目</w:t>
      </w:r>
      <w:r>
        <w:rPr>
          <w:rFonts w:hint="eastAsia" w:ascii="宋体" w:hAnsi="宋体" w:cs="宋体"/>
          <w:color w:val="000000"/>
          <w:sz w:val="24"/>
          <w:szCs w:val="24"/>
          <w:highlight w:val="none"/>
        </w:rPr>
        <w:t xml:space="preserve">缺陷责任期</w:t>
      </w:r>
      <w:r>
        <w:rPr>
          <w:rFonts w:hint="eastAsia" w:ascii="宋体" w:hAnsi="宋体" w:cs="宋体"/>
          <w:color w:val="000000"/>
          <w:sz w:val="24"/>
          <w:szCs w:val="24"/>
          <w:highlight w:val="none"/>
        </w:rPr>
        <w:t xml:space="preserve">至2027年1月，</w:t>
      </w:r>
      <w:r>
        <w:rPr>
          <w:rFonts w:hint="eastAsia" w:ascii="宋体" w:hAnsi="宋体" w:cs="宋体"/>
          <w:color w:val="000000"/>
          <w:sz w:val="24"/>
          <w:szCs w:val="24"/>
          <w:highlight w:val="none"/>
        </w:rPr>
        <w:t xml:space="preserve">缺陷责任期</w:t>
      </w:r>
      <w:r>
        <w:rPr>
          <w:rFonts w:hint="eastAsia" w:ascii="宋体" w:hAnsi="宋体" w:cs="宋体"/>
          <w:color w:val="000000"/>
          <w:sz w:val="24"/>
          <w:szCs w:val="24"/>
          <w:highlight w:val="none"/>
        </w:rPr>
        <w:t xml:space="preserve">内因质量问题导致的维修由原施工单位负责，其他原因导致的维修由运维单位负责。</w:t>
      </w:r>
      <w:r>
        <w:rPr>
          <w:rFonts w:hint="eastAsia" w:ascii="宋体" w:hAnsi="宋体" w:cs="宋体"/>
          <w:color w:val="000000"/>
          <w:sz w:val="24"/>
          <w:szCs w:val="24"/>
          <w:highlight w:val="none"/>
        </w:rPr>
        <w:t xml:space="preserve">缺陷责任期</w:t>
      </w:r>
      <w:r>
        <w:rPr>
          <w:rFonts w:hint="eastAsia" w:ascii="宋体" w:hAnsi="宋体" w:cs="宋体"/>
          <w:color w:val="000000"/>
          <w:sz w:val="24"/>
          <w:szCs w:val="24"/>
          <w:highlight w:val="none"/>
        </w:rPr>
        <w:t xml:space="preserve">后均由运维单位负责。本项目</w:t>
      </w:r>
      <w:r>
        <w:rPr>
          <w:rFonts w:hint="eastAsia"/>
          <w:color w:val="000000"/>
          <w:sz w:val="24"/>
          <w:szCs w:val="24"/>
          <w:highlight w:val="none"/>
        </w:rPr>
        <w:t xml:space="preserve">运维</w:t>
      </w:r>
      <w:r>
        <w:rPr>
          <w:rFonts w:hint="eastAsia"/>
          <w:b/>
          <w:bCs/>
          <w:color w:val="000000"/>
          <w:sz w:val="24"/>
          <w:szCs w:val="24"/>
          <w:highlight w:val="none"/>
          <w:u w:val="single"/>
        </w:rPr>
        <w:t xml:space="preserve">不包含以下大修范围</w:t>
      </w:r>
      <w:r>
        <w:rPr>
          <w:rFonts w:hint="eastAsia"/>
          <w:color w:val="000000"/>
          <w:sz w:val="24"/>
          <w:szCs w:val="24"/>
          <w:highlight w:val="none"/>
        </w:rPr>
        <w:t xml:space="preserve">：</w:t>
      </w:r>
      <w:r>
        <w:rPr>
          <w:color w:val="000000"/>
          <w:sz w:val="24"/>
          <w:szCs w:val="24"/>
          <w:highlight w:val="none"/>
        </w:rPr>
      </w:r>
      <w:r/>
    </w:p>
    <w:tbl>
      <w:tblPr>
        <w:tblW w:w="8527"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1073"/>
        <w:gridCol w:w="1896"/>
        <w:gridCol w:w="5558"/>
      </w:tblGrid>
      <w:tr>
        <w:trPr>
          <w:trHeight w:val="1696"/>
        </w:trPr>
        <w:tc>
          <w:tcPr>
            <w:tcBorders>
              <w:top w:val="single" w:color="000000" w:sz="4" w:space="0"/>
              <w:left w:val="single" w:color="000000" w:sz="4" w:space="0"/>
              <w:bottom w:val="none" w:color="000000" w:sz="0" w:space="0"/>
              <w:right w:val="single" w:color="000000" w:sz="6" w:space="0"/>
            </w:tcBorders>
            <w:tcW w:w="1073" w:type="dxa"/>
            <w:vAlign w:val="center"/>
            <w:vMerge w:val="restart"/>
            <w:textDirection w:val="lrTb"/>
            <w:noWrap w:val="false"/>
          </w:tcPr>
          <w:p>
            <w:pPr>
              <w:pStyle w:val="851"/>
              <w:spacing w:line="440" w:lineRule="exact"/>
              <w:rPr>
                <w:rFonts w:ascii="宋体" w:hAnsi="宋体"/>
                <w:color w:val="000000"/>
                <w:sz w:val="24"/>
                <w:szCs w:val="24"/>
                <w:highlight w:val="none"/>
              </w:rPr>
            </w:pPr>
            <w:r>
              <w:rPr>
                <w:rFonts w:ascii="宋体" w:hAnsi="宋体"/>
                <w:color w:val="000000"/>
                <w:sz w:val="24"/>
                <w:szCs w:val="24"/>
                <w:highlight w:val="none"/>
              </w:rPr>
              <w:t xml:space="preserve">农村生活污水处理设施大修</w:t>
            </w:r>
            <w:r>
              <w:rPr>
                <w:rFonts w:hint="eastAsia" w:ascii="宋体" w:hAnsi="宋体"/>
                <w:color w:val="000000"/>
                <w:sz w:val="24"/>
                <w:szCs w:val="24"/>
                <w:highlight w:val="none"/>
              </w:rPr>
              <w:t xml:space="preserve">参考范围</w:t>
            </w:r>
            <w:r>
              <w:rPr>
                <w:rFonts w:ascii="宋体" w:hAnsi="宋体"/>
                <w:color w:val="000000"/>
                <w:sz w:val="24"/>
                <w:szCs w:val="24"/>
                <w:highlight w:val="none"/>
              </w:rPr>
            </w:r>
            <w:r/>
          </w:p>
        </w:tc>
        <w:tc>
          <w:tcPr>
            <w:tcBorders>
              <w:top w:val="single" w:color="000000" w:sz="4" w:space="0"/>
              <w:left w:val="single" w:color="000000" w:sz="6" w:space="0"/>
              <w:bottom w:val="single" w:color="000000" w:sz="6" w:space="0"/>
              <w:right w:val="single" w:color="000000" w:sz="4" w:space="0"/>
            </w:tcBorders>
            <w:tcW w:w="1896" w:type="dxa"/>
            <w:vAlign w:val="center"/>
            <w:textDirection w:val="lrTb"/>
            <w:noWrap w:val="false"/>
          </w:tcPr>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1.意外损毁修复</w:t>
            </w:r>
            <w:r>
              <w:rPr>
                <w:rFonts w:ascii="宋体" w:hAnsi="宋体"/>
                <w:color w:val="000000"/>
                <w:sz w:val="24"/>
                <w:szCs w:val="24"/>
                <w:highlight w:val="none"/>
              </w:rPr>
            </w:r>
            <w:r/>
          </w:p>
        </w:tc>
        <w:tc>
          <w:tcPr>
            <w:tcBorders>
              <w:top w:val="single" w:color="000000" w:sz="6" w:space="0"/>
              <w:left w:val="single" w:color="000000" w:sz="4" w:space="0"/>
              <w:bottom w:val="single" w:color="000000" w:sz="6" w:space="0"/>
              <w:right w:val="single" w:color="000000" w:sz="6" w:space="0"/>
            </w:tcBorders>
            <w:tcW w:w="5558" w:type="dxa"/>
            <w:vAlign w:val="top"/>
            <w:textDirection w:val="lrTb"/>
            <w:noWrap w:val="false"/>
          </w:tcPr>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1、洪水、海啸、地震、雷电、火灾等不可预见原因造成的处理设施损坏的修复；</w:t>
            </w:r>
            <w:r>
              <w:rPr>
                <w:rFonts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2、沉降引起处理设施损坏的修复；</w:t>
            </w:r>
            <w:r>
              <w:rPr>
                <w:rFonts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3、违法排污造成的处理设施损毁的修复；</w:t>
            </w:r>
            <w:r>
              <w:rPr>
                <w:rFonts w:ascii="宋体" w:hAnsi="宋体"/>
                <w:color w:val="000000"/>
                <w:sz w:val="24"/>
                <w:szCs w:val="24"/>
                <w:highlight w:val="none"/>
              </w:rPr>
            </w:r>
            <w:r/>
          </w:p>
        </w:tc>
      </w:tr>
      <w:tr>
        <w:trPr>
          <w:trHeight w:val="1290"/>
        </w:trPr>
        <w:tc>
          <w:tcPr>
            <w:tcBorders>
              <w:top w:val="none" w:color="000000" w:sz="0" w:space="0"/>
              <w:left w:val="single" w:color="000000" w:sz="4" w:space="0"/>
              <w:bottom w:val="none" w:color="000000" w:sz="0" w:space="0"/>
              <w:right w:val="single" w:color="000000" w:sz="6" w:space="0"/>
            </w:tcBorders>
            <w:tcW w:w="1073" w:type="dxa"/>
            <w:vAlign w:val="center"/>
            <w:vMerge w:val="continue"/>
            <w:textDirection w:val="lrTb"/>
            <w:noWrap w:val="false"/>
          </w:tcPr>
          <w:p>
            <w:pPr>
              <w:pStyle w:val="851"/>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1896" w:type="dxa"/>
            <w:vAlign w:val="center"/>
            <w:textDirection w:val="lrTb"/>
            <w:noWrap w:val="false"/>
          </w:tcPr>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2.维修费超</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58" w:type="dxa"/>
            <w:vAlign w:val="top"/>
            <w:textDirection w:val="lrTb"/>
            <w:noWrap w:val="false"/>
          </w:tcPr>
          <w:p>
            <w:pPr>
              <w:pStyle w:val="85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1、指单个设备、设施维修费超</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万元（由甲方委托的造价咨询单位进行评估）；</w:t>
            </w:r>
            <w:r>
              <w:rPr>
                <w:rFonts w:hint="eastAsia"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2、单处管网开裂、脱节或变形等开挖维修费超</w:t>
            </w:r>
            <w:r>
              <w:rPr>
                <w:rFonts w:hint="eastAsia" w:ascii="宋体" w:hAnsi="宋体"/>
                <w:color w:val="000000"/>
                <w:sz w:val="24"/>
                <w:szCs w:val="24"/>
                <w:highlight w:val="none"/>
                <w:lang w:eastAsia="zh-CN"/>
              </w:rPr>
              <w:t xml:space="preserve">8万元</w:t>
            </w:r>
            <w:r>
              <w:rPr>
                <w:rFonts w:hint="eastAsia" w:ascii="宋体" w:hAnsi="宋体"/>
                <w:color w:val="000000"/>
                <w:sz w:val="24"/>
                <w:szCs w:val="24"/>
                <w:highlight w:val="none"/>
              </w:rPr>
              <w:t xml:space="preserve">（由甲方委托的造价咨询单位进行评估）；</w:t>
            </w:r>
            <w:r>
              <w:rPr>
                <w:rFonts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3、运维期内同一设备、设施大修不超过1次，超过1次后期维修费由运维单位承担；</w:t>
            </w:r>
            <w:r>
              <w:rPr>
                <w:rFonts w:ascii="宋体" w:hAnsi="宋体"/>
                <w:color w:val="000000"/>
                <w:sz w:val="24"/>
                <w:szCs w:val="24"/>
                <w:highlight w:val="none"/>
              </w:rPr>
            </w:r>
            <w:r/>
          </w:p>
        </w:tc>
      </w:tr>
    </w:tbl>
    <w:p>
      <w:pPr>
        <w:pStyle w:val="851"/>
        <w:numPr>
          <w:ilvl w:val="0"/>
          <w:numId w:val="13"/>
        </w:numPr>
        <w:ind w:firstLine="482"/>
        <w:jc w:val="left"/>
        <w:spacing w:line="480" w:lineRule="exact"/>
        <w:tabs>
          <w:tab w:val="left" w:pos="540" w:leader="none"/>
          <w:tab w:val="left" w:pos="567" w:leader="none"/>
        </w:tabs>
        <w:rPr>
          <w:rFonts w:hint="eastAsia"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运维人员及履约要求</w:t>
      </w:r>
      <w:r>
        <w:rPr>
          <w:rFonts w:hint="eastAsia" w:ascii="宋体" w:hAnsi="宋体" w:cs="仿宋_GB2312"/>
          <w:b/>
          <w:color w:val="000000"/>
          <w:sz w:val="24"/>
          <w:szCs w:val="24"/>
          <w:highlight w:val="none"/>
        </w:rPr>
      </w:r>
      <w:r/>
    </w:p>
    <w:p>
      <w:pPr>
        <w:pStyle w:val="851"/>
        <w:ind w:firstLine="420"/>
        <w:jc w:val="left"/>
        <w:spacing w:line="360" w:lineRule="auto"/>
        <w:tabs>
          <w:tab w:val="left" w:pos="540" w:leader="none"/>
          <w:tab w:val="left" w:pos="56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1.人员配备</w:t>
      </w:r>
      <w:r>
        <w:rPr>
          <w:rFonts w:hint="eastAsia" w:ascii="宋体" w:hAnsi="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3045"/>
        <w:gridCol w:w="2332"/>
        <w:gridCol w:w="2327"/>
      </w:tblGrid>
      <w:tr>
        <w:trPr/>
        <w:tc>
          <w:tcPr>
            <w:tcW w:w="1040" w:type="dxa"/>
            <w:vAlign w:val="top"/>
            <w:textDirection w:val="lrTb"/>
            <w:noWrap w:val="false"/>
          </w:tcPr>
          <w:p>
            <w:pPr>
              <w:pStyle w:val="851"/>
              <w:jc w:val="center"/>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序号</w:t>
            </w:r>
            <w:r>
              <w:rPr>
                <w:rFonts w:ascii="宋体" w:hAnsi="宋体" w:cs="仿宋_GB2312"/>
                <w:b/>
                <w:color w:val="000000"/>
                <w:sz w:val="24"/>
                <w:szCs w:val="24"/>
                <w:highlight w:val="none"/>
              </w:rPr>
            </w:r>
            <w:r/>
          </w:p>
        </w:tc>
        <w:tc>
          <w:tcPr>
            <w:tcW w:w="3045" w:type="dxa"/>
            <w:vAlign w:val="top"/>
            <w:textDirection w:val="lrTb"/>
            <w:noWrap w:val="false"/>
          </w:tcPr>
          <w:p>
            <w:pPr>
              <w:pStyle w:val="851"/>
              <w:jc w:val="center"/>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人员配置</w:t>
            </w:r>
            <w:r>
              <w:rPr>
                <w:rFonts w:ascii="宋体" w:hAnsi="宋体" w:cs="仿宋_GB2312"/>
                <w:b/>
                <w:color w:val="000000"/>
                <w:sz w:val="24"/>
                <w:szCs w:val="24"/>
                <w:highlight w:val="none"/>
              </w:rPr>
            </w:r>
            <w:r/>
          </w:p>
        </w:tc>
        <w:tc>
          <w:tcPr>
            <w:tcW w:w="2332" w:type="dxa"/>
            <w:vAlign w:val="top"/>
            <w:textDirection w:val="lrTb"/>
            <w:noWrap w:val="false"/>
          </w:tcPr>
          <w:p>
            <w:pPr>
              <w:pStyle w:val="851"/>
              <w:jc w:val="center"/>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姓名</w:t>
            </w:r>
            <w:r>
              <w:rPr>
                <w:rFonts w:ascii="宋体" w:hAnsi="宋体" w:cs="仿宋_GB2312"/>
                <w:b/>
                <w:color w:val="000000"/>
                <w:sz w:val="24"/>
                <w:szCs w:val="24"/>
                <w:highlight w:val="none"/>
              </w:rPr>
            </w:r>
            <w:r/>
          </w:p>
        </w:tc>
        <w:tc>
          <w:tcPr>
            <w:tcW w:w="2327" w:type="dxa"/>
            <w:vAlign w:val="top"/>
            <w:textDirection w:val="lrTb"/>
            <w:noWrap w:val="false"/>
          </w:tcPr>
          <w:p>
            <w:pPr>
              <w:pStyle w:val="851"/>
              <w:jc w:val="center"/>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联系电话</w:t>
            </w:r>
            <w:r>
              <w:rPr>
                <w:rFonts w:ascii="宋体" w:hAnsi="宋体" w:cs="仿宋_GB2312"/>
                <w:b/>
                <w:color w:val="000000"/>
                <w:sz w:val="24"/>
                <w:szCs w:val="24"/>
                <w:highlight w:val="none"/>
              </w:rPr>
            </w:r>
            <w:r/>
          </w:p>
        </w:tc>
      </w:tr>
      <w:tr>
        <w:trPr/>
        <w:tc>
          <w:tcPr>
            <w:tcW w:w="1040" w:type="dxa"/>
            <w:vAlign w:val="top"/>
            <w:textDirection w:val="lrTb"/>
            <w:noWrap w:val="false"/>
          </w:tcPr>
          <w:p>
            <w:pPr>
              <w:pStyle w:val="851"/>
              <w:jc w:val="center"/>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1</w:t>
            </w:r>
            <w:r>
              <w:rPr>
                <w:rFonts w:ascii="宋体" w:hAnsi="宋体" w:cs="仿宋_GB2312"/>
                <w:b/>
                <w:color w:val="000000"/>
                <w:sz w:val="24"/>
                <w:szCs w:val="24"/>
                <w:highlight w:val="none"/>
              </w:rPr>
            </w:r>
            <w:r/>
          </w:p>
        </w:tc>
        <w:tc>
          <w:tcPr>
            <w:tcW w:w="3045"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项目负责人</w:t>
            </w:r>
            <w:r>
              <w:rPr>
                <w:rFonts w:ascii="宋体" w:hAnsi="宋体" w:cs="仿宋_GB2312"/>
                <w:b/>
                <w:color w:val="000000"/>
                <w:sz w:val="24"/>
                <w:szCs w:val="24"/>
                <w:highlight w:val="none"/>
              </w:rPr>
            </w:r>
            <w:r/>
          </w:p>
        </w:tc>
        <w:tc>
          <w:tcPr>
            <w:tcW w:w="2332"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c>
          <w:tcPr>
            <w:tcW w:w="2327"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r>
      <w:tr>
        <w:trPr/>
        <w:tc>
          <w:tcPr>
            <w:tcW w:w="1040" w:type="dxa"/>
            <w:vAlign w:val="top"/>
            <w:textDirection w:val="lrTb"/>
            <w:noWrap w:val="false"/>
          </w:tcPr>
          <w:p>
            <w:pPr>
              <w:pStyle w:val="851"/>
              <w:jc w:val="center"/>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2</w:t>
            </w:r>
            <w:r>
              <w:rPr>
                <w:rFonts w:ascii="宋体" w:hAnsi="宋体" w:cs="仿宋_GB2312"/>
                <w:b/>
                <w:color w:val="000000"/>
                <w:sz w:val="24"/>
                <w:szCs w:val="24"/>
                <w:highlight w:val="none"/>
              </w:rPr>
            </w:r>
            <w:r/>
          </w:p>
        </w:tc>
        <w:tc>
          <w:tcPr>
            <w:tcW w:w="3045"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技术负责人</w:t>
            </w:r>
            <w:r>
              <w:rPr>
                <w:rFonts w:ascii="宋体" w:hAnsi="宋体" w:cs="仿宋_GB2312"/>
                <w:b/>
                <w:color w:val="000000"/>
                <w:sz w:val="24"/>
                <w:szCs w:val="24"/>
                <w:highlight w:val="none"/>
              </w:rPr>
            </w:r>
            <w:r/>
          </w:p>
        </w:tc>
        <w:tc>
          <w:tcPr>
            <w:tcW w:w="2332"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c>
          <w:tcPr>
            <w:tcW w:w="2327"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r>
      <w:tr>
        <w:trPr/>
        <w:tc>
          <w:tcPr>
            <w:tcW w:w="1040" w:type="dxa"/>
            <w:vAlign w:val="top"/>
            <w:textDirection w:val="lrTb"/>
            <w:noWrap w:val="false"/>
          </w:tcPr>
          <w:p>
            <w:pPr>
              <w:pStyle w:val="851"/>
              <w:jc w:val="center"/>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3</w:t>
            </w:r>
            <w:r>
              <w:rPr>
                <w:rFonts w:ascii="宋体" w:hAnsi="宋体" w:cs="仿宋_GB2312"/>
                <w:b/>
                <w:color w:val="000000"/>
                <w:sz w:val="24"/>
                <w:szCs w:val="24"/>
                <w:highlight w:val="none"/>
              </w:rPr>
            </w:r>
            <w:r/>
          </w:p>
        </w:tc>
        <w:tc>
          <w:tcPr>
            <w:tcW w:w="3045"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w:t>
            </w:r>
            <w:r>
              <w:rPr>
                <w:rFonts w:ascii="宋体" w:hAnsi="宋体" w:cs="仿宋_GB2312"/>
                <w:b/>
                <w:color w:val="000000"/>
                <w:sz w:val="24"/>
                <w:szCs w:val="24"/>
                <w:highlight w:val="none"/>
              </w:rPr>
            </w:r>
            <w:r/>
          </w:p>
        </w:tc>
        <w:tc>
          <w:tcPr>
            <w:tcW w:w="2332"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c>
          <w:tcPr>
            <w:tcW w:w="2327"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r>
      <w:tr>
        <w:trPr/>
        <w:tc>
          <w:tcPr>
            <w:tcW w:w="1040" w:type="dxa"/>
            <w:vAlign w:val="top"/>
            <w:textDirection w:val="lrTb"/>
            <w:noWrap w:val="false"/>
          </w:tcPr>
          <w:p>
            <w:pPr>
              <w:pStyle w:val="851"/>
              <w:jc w:val="left"/>
              <w:spacing w:line="480" w:lineRule="exact"/>
              <w:tabs>
                <w:tab w:val="left" w:pos="540" w:leader="none"/>
                <w:tab w:val="left" w:pos="567" w:leader="none"/>
              </w:tabs>
              <w:rPr>
                <w:rFonts w:hint="eastAsia" w:ascii="宋体" w:hAnsi="宋体" w:cs="仿宋_GB2312"/>
                <w:b/>
                <w:color w:val="000000"/>
                <w:sz w:val="24"/>
                <w:szCs w:val="24"/>
                <w:highlight w:val="none"/>
              </w:rPr>
            </w:pPr>
            <w:r>
              <w:rPr>
                <w:rFonts w:hint="eastAsia" w:ascii="宋体" w:hAnsi="宋体" w:cs="仿宋_GB2312"/>
                <w:b/>
                <w:color w:val="000000"/>
                <w:sz w:val="24"/>
                <w:szCs w:val="24"/>
                <w:highlight w:val="none"/>
              </w:rPr>
            </w:r>
            <w:r/>
          </w:p>
        </w:tc>
        <w:tc>
          <w:tcPr>
            <w:tcW w:w="3045"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w:t>
            </w:r>
            <w:r>
              <w:rPr>
                <w:rFonts w:ascii="宋体" w:hAnsi="宋体" w:cs="仿宋_GB2312"/>
                <w:b/>
                <w:color w:val="000000"/>
                <w:sz w:val="24"/>
                <w:szCs w:val="24"/>
                <w:highlight w:val="none"/>
              </w:rPr>
            </w:r>
            <w:r/>
          </w:p>
        </w:tc>
        <w:tc>
          <w:tcPr>
            <w:tcW w:w="2332"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c>
          <w:tcPr>
            <w:tcW w:w="2327"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r>
      <w:tr>
        <w:trPr/>
        <w:tc>
          <w:tcPr>
            <w:tcW w:w="1040" w:type="dxa"/>
            <w:vAlign w:val="top"/>
            <w:textDirection w:val="lrTb"/>
            <w:noWrap w:val="false"/>
          </w:tcPr>
          <w:p>
            <w:pPr>
              <w:pStyle w:val="851"/>
              <w:jc w:val="left"/>
              <w:spacing w:line="480" w:lineRule="exact"/>
              <w:tabs>
                <w:tab w:val="left" w:pos="540" w:leader="none"/>
                <w:tab w:val="left" w:pos="567" w:leader="none"/>
              </w:tabs>
              <w:rPr>
                <w:rFonts w:hint="eastAsia" w:ascii="宋体" w:hAnsi="宋体" w:cs="仿宋_GB2312"/>
                <w:b/>
                <w:color w:val="000000"/>
                <w:sz w:val="24"/>
                <w:szCs w:val="24"/>
                <w:highlight w:val="none"/>
              </w:rPr>
            </w:pPr>
            <w:r>
              <w:rPr>
                <w:rFonts w:hint="eastAsia" w:ascii="宋体" w:hAnsi="宋体" w:cs="仿宋_GB2312"/>
                <w:b/>
                <w:color w:val="000000"/>
                <w:sz w:val="24"/>
                <w:szCs w:val="24"/>
                <w:highlight w:val="none"/>
              </w:rPr>
            </w:r>
            <w:r/>
          </w:p>
        </w:tc>
        <w:tc>
          <w:tcPr>
            <w:tcW w:w="3045"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c>
          <w:tcPr>
            <w:tcW w:w="2332"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c>
          <w:tcPr>
            <w:tcW w:w="2327" w:type="dxa"/>
            <w:vAlign w:val="top"/>
            <w:textDirection w:val="lrTb"/>
            <w:noWrap w:val="false"/>
          </w:tcPr>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ascii="宋体" w:hAnsi="宋体" w:cs="仿宋_GB2312"/>
                <w:b/>
                <w:color w:val="000000"/>
                <w:sz w:val="24"/>
                <w:szCs w:val="24"/>
                <w:highlight w:val="none"/>
              </w:rPr>
            </w:r>
            <w:r/>
          </w:p>
        </w:tc>
      </w:tr>
    </w:tbl>
    <w:p>
      <w:pPr>
        <w:pStyle w:val="851"/>
        <w:ind w:firstLine="420"/>
        <w:spacing w:line="360" w:lineRule="auto"/>
        <w:rPr>
          <w:rFonts w:hint="eastAsia" w:ascii="宋体" w:hAnsi="宋体" w:cs="宋体"/>
          <w:color w:val="000000"/>
          <w:sz w:val="24"/>
          <w:szCs w:val="24"/>
          <w:highlight w:val="none"/>
        </w:rPr>
      </w:pPr>
      <w:r>
        <w:rPr>
          <w:rFonts w:hint="eastAsia" w:ascii="宋体" w:hAnsi="宋体" w:cs="仿宋_GB2312"/>
          <w:b/>
          <w:color w:val="000000"/>
          <w:sz w:val="24"/>
          <w:szCs w:val="24"/>
          <w:highlight w:val="none"/>
        </w:rPr>
        <w:t xml:space="preserve">注：1.</w:t>
      </w:r>
      <w:r>
        <w:rPr>
          <w:rFonts w:hint="eastAsia" w:ascii="宋体" w:hAnsi="宋体" w:cs="宋体"/>
          <w:color w:val="000000"/>
          <w:sz w:val="24"/>
          <w:szCs w:val="24"/>
          <w:highlight w:val="none"/>
        </w:rPr>
        <w:t xml:space="preserve">以上派驻现场人员需与投标时人员一致，不得擅自变更。如特殊情况需进行变更，须向采购人提出书面申请，变更后人员资历要求不得低于投标时人员资历要求，且须经采购人同意后方可变更人员。如未经采购人允许擅自变更项目负责人或技术负责人，罚款5万元，擅自变更其他人员罚款2万元。</w:t>
      </w:r>
      <w:r>
        <w:rPr>
          <w:rFonts w:hint="eastAsia" w:ascii="宋体" w:hAnsi="宋体" w:cs="宋体"/>
          <w:color w:val="000000"/>
          <w:sz w:val="24"/>
          <w:szCs w:val="24"/>
          <w:highlight w:val="none"/>
        </w:rPr>
      </w:r>
      <w:r/>
    </w:p>
    <w:p>
      <w:pPr>
        <w:pStyle w:val="851"/>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2.履约要求</w:t>
      </w:r>
      <w:r>
        <w:rPr>
          <w:rFonts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（1）乙方必须安排项目</w:t>
      </w:r>
      <w:r>
        <w:rPr>
          <w:rFonts w:hint="eastAsia" w:ascii="宋体" w:hAnsi="宋体" w:cs="宋体"/>
          <w:color w:val="000000"/>
          <w:sz w:val="24"/>
          <w:szCs w:val="24"/>
          <w:highlight w:val="none"/>
          <w:lang w:val="en-US" w:eastAsia="zh-CN"/>
        </w:rPr>
        <w:t xml:space="preserve">负责人、项目技术负责人及项目组</w:t>
      </w:r>
      <w:r>
        <w:rPr>
          <w:rFonts w:hint="eastAsia" w:ascii="宋体" w:hAnsi="宋体" w:cs="宋体"/>
          <w:color w:val="000000"/>
          <w:sz w:val="24"/>
          <w:szCs w:val="24"/>
          <w:highlight w:val="none"/>
        </w:rPr>
        <w:t xml:space="preserve">成员到岗履职，服务期内，项目组</w:t>
      </w:r>
      <w:r>
        <w:rPr>
          <w:rFonts w:hint="eastAsia" w:ascii="宋体" w:hAnsi="宋体" w:cs="宋体"/>
          <w:color w:val="000000"/>
          <w:sz w:val="24"/>
          <w:szCs w:val="24"/>
          <w:highlight w:val="none"/>
          <w:lang w:val="en-US" w:eastAsia="zh-CN"/>
        </w:rPr>
        <w:t xml:space="preserve">全体</w:t>
      </w:r>
      <w:r>
        <w:rPr>
          <w:rFonts w:hint="eastAsia" w:ascii="宋体" w:hAnsi="宋体" w:cs="宋体"/>
          <w:color w:val="000000"/>
          <w:sz w:val="24"/>
          <w:szCs w:val="24"/>
          <w:highlight w:val="none"/>
        </w:rPr>
        <w:t xml:space="preserve">人员每周不少于5天，每天不少于8小时。</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（2）服务期内，考核机构、区市政园林中心对项目人员进行不定期抽查，每缺勤 1 天，扣 3000 元/人；每天在岗时间少于 8 小时的，按上述标准减半扣取。</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（3）服务期内，项目组人员离开现场应事先通知考核机构，并取得书面同意后方可外出，书面请假手续同时报甲方备案，如有违反，每次支付违约金 3000元/人。</w:t>
      </w:r>
      <w:r>
        <w:rPr>
          <w:rFonts w:hint="eastAsia" w:ascii="宋体" w:hAnsi="宋体" w:cs="宋体"/>
          <w:color w:val="000000"/>
          <w:sz w:val="24"/>
          <w:szCs w:val="24"/>
          <w:highlight w:val="none"/>
        </w:rPr>
      </w:r>
      <w:r/>
    </w:p>
    <w:p>
      <w:pPr>
        <w:pStyle w:val="851"/>
        <w:ind w:firstLine="482"/>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（五）绩效考核与付费</w:t>
      </w:r>
      <w:r>
        <w:rPr>
          <w:rFonts w:ascii="宋体" w:hAnsi="宋体" w:cs="仿宋_GB2312"/>
          <w:b/>
          <w:color w:val="000000"/>
          <w:sz w:val="24"/>
          <w:szCs w:val="24"/>
          <w:highlight w:val="none"/>
        </w:rPr>
      </w:r>
      <w:r/>
    </w:p>
    <w:p>
      <w:pPr>
        <w:pStyle w:val="851"/>
        <w:ind w:firstLine="560"/>
        <w:spacing w:line="440" w:lineRule="exact"/>
        <w:rPr>
          <w:color w:val="000000"/>
          <w:sz w:val="24"/>
          <w:szCs w:val="24"/>
          <w:highlight w:val="none"/>
        </w:rPr>
      </w:pPr>
      <w:r>
        <w:rPr>
          <w:rFonts w:hint="eastAsia"/>
          <w:color w:val="000000"/>
          <w:sz w:val="24"/>
          <w:szCs w:val="24"/>
          <w:highlight w:val="none"/>
        </w:rPr>
        <w:t xml:space="preserve">1.绩效考核成果应用</w:t>
      </w:r>
      <w:r>
        <w:rPr>
          <w:color w:val="000000"/>
          <w:sz w:val="24"/>
          <w:szCs w:val="24"/>
          <w:highlight w:val="none"/>
        </w:rPr>
      </w:r>
      <w:r/>
    </w:p>
    <w:p>
      <w:pPr>
        <w:pStyle w:val="851"/>
        <w:ind w:firstLine="560"/>
        <w:spacing w:line="440" w:lineRule="exact"/>
        <w:rPr>
          <w:color w:val="000000"/>
          <w:sz w:val="24"/>
          <w:szCs w:val="24"/>
          <w:highlight w:val="none"/>
        </w:rPr>
      </w:pPr>
      <w:r>
        <w:rPr>
          <w:rFonts w:hint="eastAsia"/>
          <w:color w:val="000000"/>
          <w:sz w:val="24"/>
          <w:szCs w:val="24"/>
          <w:highlight w:val="none"/>
        </w:rPr>
        <w:t xml:space="preserve">运维绩效考核的结果与运维绩效服务费的支付挂钩。考核得分与运维服务费扣款的的关系为：</w:t>
      </w:r>
      <w:r>
        <w:rPr>
          <w:color w:val="000000"/>
          <w:sz w:val="24"/>
          <w:szCs w:val="24"/>
          <w:highlight w:val="none"/>
        </w:rPr>
      </w:r>
      <w:r/>
    </w:p>
    <w:p>
      <w:pPr>
        <w:pStyle w:val="869"/>
        <w:jc w:val="center"/>
        <w:spacing w:after="0" w:line="5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考核得分与运维服务费支付比例的关系</w:t>
      </w:r>
      <w:r>
        <w:rPr>
          <w:rFonts w:ascii="宋体" w:hAnsi="宋体" w:cs="宋体"/>
          <w:b/>
          <w:bCs/>
          <w:color w:val="000000"/>
          <w:sz w:val="24"/>
          <w:szCs w:val="24"/>
          <w:highlight w:val="none"/>
        </w:rPr>
      </w:r>
      <w:r/>
    </w:p>
    <w:tbl>
      <w:tblPr>
        <w:tblW w:w="84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7"/>
        <w:gridCol w:w="3195"/>
        <w:gridCol w:w="4036"/>
      </w:tblGrid>
      <w:tr>
        <w:trPr>
          <w:trHeight w:val="435"/>
        </w:trPr>
        <w:tc>
          <w:tcPr>
            <w:tcW w:w="1187" w:type="dxa"/>
            <w:vAlign w:val="top"/>
            <w:textDirection w:val="lrTb"/>
            <w:noWrap w:val="false"/>
          </w:tcPr>
          <w:p>
            <w:pPr>
              <w:pStyle w:val="1502"/>
              <w:jc w:val="center"/>
              <w:spacing w:line="3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w:t>
            </w:r>
            <w:r>
              <w:rPr>
                <w:rFonts w:hint="eastAsia" w:ascii="宋体" w:hAnsi="宋体" w:eastAsia="宋体" w:cs="宋体"/>
                <w:color w:val="000000"/>
                <w:sz w:val="24"/>
                <w:szCs w:val="24"/>
                <w:highlight w:val="none"/>
                <w:lang w:eastAsia="zh-CN"/>
              </w:rPr>
              <w:t xml:space="preserve">号</w:t>
            </w:r>
            <w:r>
              <w:rPr>
                <w:rFonts w:ascii="宋体" w:hAnsi="宋体" w:eastAsia="宋体" w:cs="宋体"/>
                <w:color w:val="000000"/>
                <w:sz w:val="24"/>
                <w:szCs w:val="24"/>
                <w:highlight w:val="none"/>
                <w:lang w:eastAsia="zh-CN"/>
              </w:rPr>
            </w:r>
            <w:r/>
          </w:p>
        </w:tc>
        <w:tc>
          <w:tcPr>
            <w:tcW w:w="3195" w:type="dxa"/>
            <w:vAlign w:val="top"/>
            <w:textDirection w:val="lrTb"/>
            <w:noWrap w:val="false"/>
          </w:tcPr>
          <w:p>
            <w:pPr>
              <w:pStyle w:val="1502"/>
              <w:ind w:right="31"/>
              <w:jc w:val="center"/>
              <w:spacing w:line="3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分数段</w:t>
            </w:r>
            <w:r>
              <w:rPr>
                <w:rFonts w:ascii="宋体" w:hAnsi="宋体" w:eastAsia="宋体" w:cs="宋体"/>
                <w:color w:val="000000"/>
                <w:sz w:val="24"/>
                <w:szCs w:val="24"/>
                <w:highlight w:val="none"/>
              </w:rPr>
            </w:r>
            <w:r/>
          </w:p>
        </w:tc>
        <w:tc>
          <w:tcPr>
            <w:tcW w:w="4036" w:type="dxa"/>
            <w:vAlign w:val="top"/>
            <w:textDirection w:val="lrTb"/>
            <w:noWrap w:val="false"/>
          </w:tcPr>
          <w:p>
            <w:pPr>
              <w:pStyle w:val="1502"/>
              <w:jc w:val="center"/>
              <w:spacing w:line="3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考核季运维绩效服务费扣除比例</w:t>
            </w:r>
            <w:r>
              <w:rPr>
                <w:rFonts w:ascii="宋体" w:hAnsi="宋体" w:eastAsia="宋体" w:cs="宋体"/>
                <w:color w:val="000000"/>
                <w:sz w:val="24"/>
                <w:szCs w:val="24"/>
                <w:highlight w:val="none"/>
                <w:lang w:eastAsia="zh-CN"/>
              </w:rPr>
            </w:r>
            <w:r/>
          </w:p>
        </w:tc>
      </w:tr>
      <w:tr>
        <w:trPr>
          <w:trHeight w:val="362"/>
        </w:trPr>
        <w:tc>
          <w:tcPr>
            <w:tcW w:w="1187" w:type="dxa"/>
            <w:vAlign w:val="center"/>
            <w:textDirection w:val="lrTb"/>
            <w:noWrap w:val="false"/>
          </w:tcPr>
          <w:p>
            <w:pPr>
              <w:pStyle w:val="1502"/>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3195"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rPr>
              <w:t xml:space="preserve">得分</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5</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不扣除</w:t>
            </w:r>
            <w:r>
              <w:rPr>
                <w:rFonts w:hint="eastAsia"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94（含）-95（不含）</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93（含）-94（不含）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92（含）-93（不含）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91（含）-92（不含）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90（含）-91（不含）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80（含）-90（不含）</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70（含）-80（不含）</w:t>
            </w:r>
            <w:r>
              <w:rPr>
                <w:rFonts w:ascii="宋体" w:hAnsi="宋体" w:eastAsia="宋体" w:cs="宋体"/>
                <w:color w:val="000000"/>
                <w:sz w:val="24"/>
                <w:szCs w:val="24"/>
                <w:highlight w:val="none"/>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30%</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60（含）-70（不含）</w:t>
            </w:r>
            <w:r>
              <w:rPr>
                <w:rFonts w:ascii="宋体" w:hAnsi="宋体" w:eastAsia="宋体" w:cs="宋体"/>
                <w:color w:val="000000"/>
                <w:sz w:val="24"/>
                <w:szCs w:val="24"/>
                <w:highlight w:val="none"/>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50%</w:t>
            </w:r>
            <w:r>
              <w:rPr>
                <w:rFonts w:ascii="宋体" w:hAnsi="宋体" w:eastAsia="宋体" w:cs="宋体"/>
                <w:color w:val="000000"/>
                <w:sz w:val="24"/>
                <w:szCs w:val="24"/>
                <w:highlight w:val="none"/>
                <w:lang w:eastAsia="zh-CN"/>
              </w:rPr>
            </w:r>
            <w:r/>
          </w:p>
        </w:tc>
      </w:tr>
      <w:tr>
        <w:trPr>
          <w:trHeight w:val="443"/>
        </w:trPr>
        <w:tc>
          <w:tcPr>
            <w:tcW w:w="1187" w:type="dxa"/>
            <w:vAlign w:val="center"/>
            <w:textDirection w:val="lrTb"/>
            <w:noWrap w:val="false"/>
          </w:tcPr>
          <w:p>
            <w:pPr>
              <w:pStyle w:val="1502"/>
              <w:ind w:firstLine="48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3195"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得分＜60</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40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100%</w:t>
            </w:r>
            <w:r>
              <w:rPr>
                <w:rFonts w:ascii="宋体" w:hAnsi="宋体" w:eastAsia="宋体" w:cs="宋体"/>
                <w:color w:val="000000"/>
                <w:sz w:val="24"/>
                <w:szCs w:val="24"/>
                <w:highlight w:val="none"/>
                <w:lang w:eastAsia="zh-CN"/>
              </w:rPr>
            </w:r>
            <w:r/>
          </w:p>
        </w:tc>
      </w:tr>
    </w:tbl>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注：每3个月</w:t>
      </w:r>
      <w:r>
        <w:rPr>
          <w:rFonts w:hint="eastAsia" w:ascii="宋体" w:hAnsi="宋体" w:cs="仿宋_GB2312"/>
          <w:color w:val="000000"/>
          <w:sz w:val="24"/>
          <w:szCs w:val="24"/>
          <w:highlight w:val="none"/>
          <w:lang w:val="en-US" w:eastAsia="zh-CN"/>
        </w:rPr>
        <w:t xml:space="preserve">为一个考核周期</w:t>
      </w:r>
      <w:r>
        <w:rPr>
          <w:rFonts w:hint="eastAsia" w:ascii="宋体" w:hAnsi="宋体" w:cs="仿宋_GB2312"/>
          <w:color w:val="000000"/>
          <w:sz w:val="24"/>
          <w:szCs w:val="24"/>
          <w:highlight w:val="none"/>
        </w:rPr>
        <w:t xml:space="preserve">（招标人每个月会进行不定期督查，督查结果计入考核），按合同金额（扣除暂列金</w:t>
      </w:r>
      <w:r>
        <w:rPr>
          <w:rFonts w:hint="eastAsia" w:ascii="宋体" w:hAnsi="宋体" w:cs="宋体"/>
          <w:color w:val="000000"/>
          <w:sz w:val="24"/>
          <w:szCs w:val="24"/>
          <w:highlight w:val="none"/>
        </w:rPr>
        <w:t xml:space="preserve">及QV检测费</w:t>
      </w:r>
      <w:r>
        <w:rPr>
          <w:rFonts w:hint="eastAsia" w:ascii="宋体" w:hAnsi="宋体" w:cs="仿宋_GB2312"/>
          <w:color w:val="000000"/>
          <w:sz w:val="24"/>
          <w:szCs w:val="24"/>
          <w:highlight w:val="none"/>
        </w:rPr>
        <w:t xml:space="preserve">）计算出每个考核季度服务费，依照考核结果付款。</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2.绩效考核办法和绩效考核细则见附件。</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3.考核周期（频率）：每3个月</w:t>
      </w:r>
      <w:r>
        <w:rPr>
          <w:rFonts w:hint="eastAsia" w:ascii="宋体" w:hAnsi="宋体"/>
          <w:color w:val="000000"/>
          <w:sz w:val="24"/>
          <w:szCs w:val="24"/>
          <w:highlight w:val="none"/>
        </w:rPr>
        <w:t xml:space="preserve">。</w:t>
      </w:r>
      <w:r>
        <w:rPr>
          <w:rFonts w:hint="eastAsia" w:ascii="宋体" w:hAnsi="宋体" w:cs="仿宋_GB2312"/>
          <w:color w:val="000000"/>
          <w:sz w:val="24"/>
          <w:szCs w:val="24"/>
          <w:highlight w:val="none"/>
        </w:rPr>
      </w:r>
      <w:r/>
    </w:p>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五、一般权利与义务</w:t>
      </w:r>
      <w:r>
        <w:rPr>
          <w:rFonts w:ascii="宋体" w:hAnsi="宋体" w:cs="仿宋_GB2312"/>
          <w:b/>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（一）甲方的一般权利与义务</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1.甲方的一般权利</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1.1在遵守、符合适用法律要求的前提下，甲方有权对乙方履行本合同项下的义务进行监督和检查，但甲方并不因其开展有关监督、检查工作而承担任何责任，且并不解除或减轻乙方应承担的任何义务或责任。</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1.2甲方有权对本项目运维维护的全过程进行抽查、检查、了解、监督。</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1.3在合同期内，甲方有权增加或减少本合同项下的污水处理设施或污水收集管网的数量或规模，</w:t>
      </w:r>
      <w:r>
        <w:rPr>
          <w:rFonts w:hint="eastAsia" w:ascii="宋体" w:hAnsi="宋体" w:cs="仿宋_GB2312"/>
          <w:color w:val="000000"/>
          <w:sz w:val="24"/>
          <w:szCs w:val="24"/>
          <w:highlight w:val="none"/>
          <w:lang w:val="en-US" w:eastAsia="zh-CN"/>
        </w:rPr>
        <w:t xml:space="preserve">不超过原采购合同金额的百分之十，</w:t>
      </w:r>
      <w:r>
        <w:rPr>
          <w:rFonts w:hint="eastAsia" w:ascii="宋体" w:hAnsi="宋体" w:cs="仿宋_GB2312"/>
          <w:color w:val="000000"/>
          <w:sz w:val="24"/>
          <w:szCs w:val="24"/>
          <w:highlight w:val="none"/>
        </w:rPr>
        <w:t xml:space="preserve">相关费用按实调整。</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1.4甲方有权按照本合同约定对乙方进行运维绩效考核。</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1.5甲方有权在合同期要求乙方提交关于项目运维的相关文件及数据。</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1.6甲方有权委托第三方检测机构对出水水质进行检测，若抽检不合格，进行复检，复检不合格对乙方作出每处扣除当季运维费5%的处罚，每季度超过5处水质检测不合格，扣除当季运维费。</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1.7如果乙方发生违约时，甲方有权要求乙方纠正违约行为、收取违约金、提前终止或采取其他措施。</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1.8甲方有权按本合同约定扣除运维绩效服务费款项。</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2.甲方的一般义务</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2.1甲方应始终遵守所有的适用法律和本合同的规定。</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2.2甲方应按照本合同约定及时、足额向乙方支付服务费。</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2.3除合同另有约定外，甲方应当在移交处理设施前保证运维范围内所有设施符合设计图纸要求并正常运行，无损坏，同时向乙方提供合同范围内处理设施及处理设施运维所必需的有关基础资料，并对所提供资料的真实性、准确性和完整性负责，包括：</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（1）提供本合同范围内涉及的所有行政村、自然村和运维项目服务对象情况，以及农户受益情况的详细资料（详细资料包含：各村的接户图，接户清单</w:t>
      </w:r>
      <w:r>
        <w:rPr>
          <w:rFonts w:hint="eastAsia" w:ascii="宋体" w:hAnsi="宋体" w:cs="仿宋_GB2312"/>
          <w:strike/>
          <w:color w:val="000000"/>
          <w:sz w:val="24"/>
          <w:szCs w:val="24"/>
          <w:highlight w:val="none"/>
        </w:rPr>
        <w:t xml:space="preserve">，</w:t>
      </w:r>
      <w:r>
        <w:rPr>
          <w:rFonts w:hint="eastAsia" w:ascii="宋体" w:hAnsi="宋体" w:cs="仿宋_GB2312"/>
          <w:color w:val="000000"/>
          <w:sz w:val="24"/>
          <w:szCs w:val="24"/>
          <w:highlight w:val="none"/>
        </w:rPr>
        <w:t xml:space="preserve">清单包含户号，户主姓名，接户情况； </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strike/>
          <w:color w:val="000000"/>
          <w:sz w:val="24"/>
          <w:szCs w:val="24"/>
          <w:highlight w:val="none"/>
        </w:rPr>
      </w:pPr>
      <w:r>
        <w:rPr>
          <w:rFonts w:hint="eastAsia" w:ascii="宋体" w:hAnsi="宋体" w:cs="仿宋_GB2312"/>
          <w:color w:val="000000"/>
          <w:sz w:val="24"/>
          <w:szCs w:val="24"/>
          <w:highlight w:val="none"/>
        </w:rPr>
        <w:t xml:space="preserve">（2）提供农村生活污水处理设施相关资料；</w:t>
      </w:r>
      <w:r>
        <w:rPr>
          <w:rFonts w:ascii="宋体" w:hAnsi="宋体" w:cs="仿宋_GB2312"/>
          <w:strike/>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（3）按照合同约定应提供的其他基础资料。</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2.5在本合同约定的提前终止条件成立后，甲方或其指定机构应按本合同的约定向乙方支付提前终止补偿金并接收项目设施及相关资料。</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（二）乙方的一般权利与义务</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1.乙方的一般权利</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1.1乙方在合同期内享有对项目进行运维和维护的权利。</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1.2乙方有权利依照本合同的约定在运维期内取得服务费。</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1.3在甲方违反本合同规定的情况下，乙方有权根据本合同约定获得赔偿。</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1.4乙方有权申请和享受适用法律规定的可适用于乙方的各项减、免税和优惠政策，</w:t>
      </w:r>
      <w:r>
        <w:rPr>
          <w:rFonts w:hint="eastAsia"/>
          <w:color w:val="000000"/>
          <w:sz w:val="24"/>
          <w:szCs w:val="28"/>
          <w:highlight w:val="none"/>
        </w:rPr>
        <w:t xml:space="preserve">包含但不限于：（1）电费优惠（商业用电转为农业用电）；（2）企业税收减免政策</w:t>
      </w:r>
      <w:r>
        <w:rPr>
          <w:rFonts w:hint="eastAsia" w:ascii="宋体" w:hAnsi="宋体" w:cs="仿宋_GB2312"/>
          <w:color w:val="000000"/>
          <w:sz w:val="24"/>
          <w:szCs w:val="24"/>
          <w:highlight w:val="none"/>
        </w:rPr>
        <w:t xml:space="preserve">。</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2.乙方的一般义务</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2.1乙方在整个合同期内，运维维护污水收集管网及污水处理设施，保持管网通畅，按规定的出水水质要求不间断地提供污水处理服务，并确保项目出水水质、污水处理设备运行质量及污水管网设施的运维维护达到本合同约定的标准。</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2.2乙方负责对污水处理设施、污水收集系统及管网产生的污泥进行收集、清理，由乙方进行合法合规运输、处置。若因乙方管理、运维、运输或处置不当，造成安全事故、环保责任以及给甲方造成损失的，乙方应承担全部责任。</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2.3乙方应按适用法律和本合同约定进行项目设施运维维护，持续、安全、稳定地提供服务，定期向甲方提交运维报表，并接受甲方</w:t>
      </w:r>
      <w:r>
        <w:rPr>
          <w:rFonts w:hint="eastAsia" w:ascii="宋体" w:hAnsi="宋体" w:cs="宋体"/>
          <w:color w:val="000000"/>
          <w:sz w:val="24"/>
          <w:szCs w:val="24"/>
          <w:highlight w:val="none"/>
        </w:rPr>
        <w:t xml:space="preserve">及相关职能部门</w:t>
      </w:r>
      <w:r>
        <w:rPr>
          <w:rFonts w:hint="eastAsia" w:ascii="宋体" w:hAnsi="宋体" w:cs="仿宋_GB2312"/>
          <w:color w:val="000000"/>
          <w:sz w:val="24"/>
          <w:szCs w:val="24"/>
          <w:highlight w:val="none"/>
        </w:rPr>
        <w:t xml:space="preserve">的绩效考核。</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2.4乙方应接受甲方、行政职能部门、社会公众根据适用法律和本合同的规定对乙方运维服务的监督管理，并提供相应的工作条件。</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2.5在发生紧急情况时，为政府统一调度、临时接管或征用项目设施提供协助。</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2.6乙方应在合同签订前，向甲方提交乙方运维管理人员安排的报告，以及各工种专业操作员的安排情况。</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2.7乙方派遣到运维现场的运维项目负责人应相对稳定，运维过程中如有变动，乙方应提前7天向甲方提交人员变动情况的书面报告，并征得甲方书面同意。通知中应当载明继任人员的基本资料，特殊工种专业操作人员应持有相应的资格证明。</w:t>
      </w:r>
      <w:r>
        <w:rPr>
          <w:rFonts w:hint="eastAsia"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2.8甲方要求撤换不能按照合同约定履行职责及义务的主要运维管理人员的，乙方应当撤换。</w:t>
      </w:r>
      <w:r>
        <w:rPr>
          <w:rFonts w:hint="eastAsia"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2.9除合同另有约定外，乙方的运维项目负责人离开运维项目所在地单次离开时间超过3天的，应通知甲方，并征得甲方同意。运维项目负责人离开前应指定一名有经验的人员临时代行其职责。</w:t>
      </w:r>
      <w:r>
        <w:rPr>
          <w:rFonts w:hint="eastAsia"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2.10乙方现场踏勘</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乙方应对基于甲方提交的资料所做出的解释和推断负责。 </w:t>
      </w:r>
      <w:r>
        <w:rPr>
          <w:rFonts w:ascii="宋体" w:hAnsi="宋体" w:cs="仿宋_GB2312"/>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乙方应对处理设施和运维条件进行踏勘，并充分了解运维项目所在地的气象条件、交通条件、风俗习惯以及其他与完成合同工作有关的其他资料。因乙方未能充分踏勘、了解前述情况或未能充分估计前述情况所可能产生后果的，乙方承担由此产生的费用和（或）相关责任。</w:t>
      </w:r>
      <w:r>
        <w:rPr>
          <w:rFonts w:ascii="宋体" w:hAnsi="宋体" w:cs="仿宋_GB2312"/>
          <w:color w:val="000000"/>
          <w:sz w:val="24"/>
          <w:szCs w:val="24"/>
          <w:highlight w:val="none"/>
        </w:rPr>
      </w:r>
      <w:r/>
    </w:p>
    <w:p>
      <w:pPr>
        <w:pStyle w:val="1319"/>
        <w:numPr>
          <w:ilvl w:val="0"/>
          <w:numId w:val="0"/>
        </w:numPr>
        <w:ind w:firstLine="420"/>
        <w:keepLines w:val="0"/>
        <w:keepNext w:val="0"/>
        <w:pageBreakBefore w:val="0"/>
        <w:spacing w:after="181" w:line="440" w:lineRule="exact"/>
        <w:widowControl w:val="off"/>
        <w:rPr>
          <w:rFonts w:hint="eastAsia" w:cs="宋体"/>
          <w:color w:val="000000"/>
          <w:sz w:val="24"/>
          <w:szCs w:val="24"/>
          <w:highlight w:val="none"/>
          <w:lang w:val="en-US" w:eastAsia="zh-CN"/>
        </w:rPr>
      </w:pPr>
      <w:r>
        <w:rPr>
          <w:rFonts w:hint="eastAsia" w:ascii="宋体" w:hAnsi="宋体" w:cs="仿宋_GB2312"/>
          <w:color w:val="000000"/>
          <w:sz w:val="24"/>
          <w:szCs w:val="24"/>
          <w:highlight w:val="none"/>
        </w:rPr>
        <w:t xml:space="preserve">2.11乙方</w:t>
      </w:r>
      <w:r>
        <w:rPr>
          <w:rFonts w:hint="eastAsia" w:cs="宋体"/>
          <w:color w:val="000000"/>
          <w:sz w:val="24"/>
          <w:szCs w:val="24"/>
          <w:highlight w:val="none"/>
          <w:lang w:eastAsia="zh-CN"/>
        </w:rPr>
        <w:t xml:space="preserve">应当为本项目购买相关保险，</w:t>
      </w:r>
      <w:r>
        <w:rPr>
          <w:rFonts w:hint="eastAsia" w:cs="宋体"/>
          <w:color w:val="000000"/>
          <w:sz w:val="24"/>
          <w:szCs w:val="24"/>
          <w:highlight w:val="none"/>
          <w:lang w:val="en-US" w:eastAsia="zh-CN"/>
        </w:rPr>
        <w:t xml:space="preserve">包括但不限于公众责任险、工程一切险、</w:t>
      </w:r>
      <w:r>
        <w:rPr>
          <w:rFonts w:hint="eastAsia" w:cs="宋体"/>
          <w:color w:val="000000"/>
          <w:sz w:val="24"/>
          <w:szCs w:val="24"/>
          <w:highlight w:val="none"/>
          <w:lang w:eastAsia="zh-CN"/>
        </w:rPr>
        <w:t xml:space="preserve">保险范围应当包含但不限于：因不可抗力造成的人员伤害、财产损失等。</w:t>
      </w:r>
      <w:r>
        <w:rPr>
          <w:rFonts w:hint="eastAsia" w:cs="宋体"/>
          <w:color w:val="000000"/>
          <w:sz w:val="24"/>
          <w:szCs w:val="24"/>
          <w:highlight w:val="none"/>
          <w:lang w:val="en-US" w:eastAsia="zh-CN"/>
        </w:rPr>
        <w:t xml:space="preserve">运维期间发生的一切安全责任事故均由运维单位负责并赔偿相关损失。</w:t>
      </w:r>
      <w:r>
        <w:rPr>
          <w:rFonts w:hint="eastAsia" w:cs="宋体"/>
          <w:color w:val="000000"/>
          <w:sz w:val="24"/>
          <w:szCs w:val="24"/>
          <w:highlight w:val="none"/>
          <w:lang w:val="en-US" w:eastAsia="zh-CN"/>
        </w:rPr>
      </w:r>
      <w:r/>
    </w:p>
    <w:p>
      <w:pPr>
        <w:pStyle w:val="114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 </w:t>
      </w:r>
      <w:r>
        <w:rPr>
          <w:rFonts w:hint="eastAsia" w:ascii="宋体" w:hAnsi="宋体" w:eastAsia="宋体" w:cs="宋体"/>
          <w:color w:val="000000"/>
          <w:sz w:val="24"/>
          <w:szCs w:val="24"/>
          <w:highlight w:val="none"/>
          <w:lang w:val="en-US" w:eastAsia="zh-CN" w:bidi="ar-SA"/>
        </w:rPr>
        <w:t xml:space="preserve">乙方应做好人员安全管理工作，因乙方运维过程中导致的财产损失和人身损害由乙方自行承担全部责任，因此造成甲方损失的，甲方有权向乙方主张因此产生的全部损失。</w:t>
      </w:r>
      <w:r>
        <w:rPr>
          <w:rFonts w:hint="eastAsia" w:ascii="宋体" w:hAnsi="宋体" w:eastAsia="宋体" w:cs="宋体"/>
          <w:color w:val="000000"/>
          <w:sz w:val="24"/>
          <w:szCs w:val="24"/>
          <w:highlight w:val="none"/>
          <w:lang w:val="en-US" w:eastAsia="zh-CN"/>
        </w:rPr>
      </w:r>
      <w:r/>
    </w:p>
    <w:p>
      <w:pPr>
        <w:pStyle w:val="851"/>
        <w:ind w:right="-153" w:firstLine="480"/>
        <w:jc w:val="left"/>
        <w:spacing w:line="480" w:lineRule="exact"/>
        <w:tabs>
          <w:tab w:val="left" w:pos="1080" w:leader="none"/>
          <w:tab w:val="left" w:pos="2579"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乙方应当及时向甲方报送的运维维护/养护管理、检修、技术改造、事故抢修等方案。</w:t>
      </w:r>
      <w:r>
        <w:rPr>
          <w:rFonts w:hint="eastAsia" w:ascii="宋体" w:hAnsi="宋体" w:cs="宋体"/>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在本合同约定的提前终止条件成立后，乙方应按本合同的约定向甲方支付提前终止补偿金并移交项目设施及相关资料。</w:t>
      </w:r>
      <w:r>
        <w:rPr>
          <w:rFonts w:hint="eastAsia" w:ascii="宋体" w:hAnsi="宋体" w:cs="宋体"/>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乙方应依据法律法规、标准规范和合同约定，制定运维手册、安全操作规程、突发环境事件应急预案和人员培训制度等，落实运维管理队伍，并对其进行必要的培训，要求运维人员严格执行相关安全操作规程。</w:t>
      </w:r>
      <w:r>
        <w:rPr>
          <w:rFonts w:hint="eastAsia" w:ascii="宋体" w:hAnsi="宋体" w:cs="宋体"/>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乙方应建立运维管理台账制度，管理台账应包括巡查、设备检修及养护、运行故障及处理结果、进出水水量及水质监测、物资使用及污泥处理、运输、处置等。</w:t>
      </w:r>
      <w:r>
        <w:rPr>
          <w:rFonts w:hint="eastAsia" w:ascii="宋体" w:hAnsi="宋体" w:cs="宋体"/>
          <w:color w:val="000000"/>
          <w:sz w:val="24"/>
          <w:szCs w:val="24"/>
          <w:highlight w:val="none"/>
        </w:rPr>
      </w:r>
      <w:r/>
    </w:p>
    <w:p>
      <w:pPr>
        <w:pStyle w:val="851"/>
        <w:ind w:right="-153" w:firstLine="480"/>
        <w:jc w:val="left"/>
        <w:spacing w:line="480" w:lineRule="exact"/>
        <w:tabs>
          <w:tab w:val="left" w:pos="1080" w:leader="none"/>
          <w:tab w:val="left" w:pos="2579"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乙方不得擅自停运生活污水处理设施，因检修等原因确需停运的，应提前十五日向甲方和生态环境部门书面报告停运原因、停运时间、应急措施等。</w:t>
      </w:r>
      <w:r>
        <w:rPr>
          <w:rFonts w:hint="eastAsia" w:ascii="宋体" w:hAnsi="宋体" w:cs="宋体"/>
          <w:color w:val="000000"/>
          <w:sz w:val="24"/>
          <w:szCs w:val="24"/>
          <w:highlight w:val="none"/>
        </w:rPr>
      </w:r>
      <w:r/>
    </w:p>
    <w:p>
      <w:pPr>
        <w:pStyle w:val="851"/>
        <w:ind w:right="-153" w:firstLine="480"/>
        <w:jc w:val="left"/>
        <w:spacing w:line="480" w:lineRule="exact"/>
        <w:tabs>
          <w:tab w:val="left" w:pos="1080" w:leader="none"/>
          <w:tab w:val="left" w:pos="2579"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乙方应依照《江苏省农村生活污水处理设施运行维护管理办法》相关要求执行。</w:t>
      </w:r>
      <w:r>
        <w:rPr>
          <w:rFonts w:ascii="宋体" w:hAnsi="宋体" w:cs="宋体"/>
          <w:color w:val="000000"/>
          <w:sz w:val="24"/>
          <w:szCs w:val="24"/>
          <w:highlight w:val="none"/>
        </w:rPr>
      </w:r>
      <w:r/>
    </w:p>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六、违约</w:t>
      </w:r>
      <w:r>
        <w:rPr>
          <w:rFonts w:ascii="宋体" w:hAnsi="宋体" w:cs="仿宋_GB2312"/>
          <w:b/>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（一）甲方违约</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甲方违约的情形</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在合同履行过程中发生的下列情形，属于甲方违约：</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（1）因甲方原因未按合同约定办理移交手续</w:t>
      </w:r>
      <w:r>
        <w:rPr>
          <w:rFonts w:hint="eastAsia" w:ascii="宋体" w:hAnsi="宋体"/>
          <w:color w:val="000000"/>
          <w:sz w:val="24"/>
          <w:szCs w:val="24"/>
          <w:highlight w:val="none"/>
        </w:rPr>
        <w:t xml:space="preserve">（如竣工证明资料、竣工图、已开户电表户号清单、设备调试运行报告等等。以及对现场工程实体进行核查。）</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（2）因甲方原因未能按合同约定支付运维服务费的；</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（3）因甲方违反合同约定造成乙方不能继续运维的；</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（4）甲方明确表示或者以其行为表明不履行合同主要义务的</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甲方违约的责任</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甲方因违约给乙方造成损失</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经甲方核定损失后，由甲方承担赔偿责任，并应向乙方支付损失部分30%的违约金</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因甲方违约解除合同</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甲方出现</w:t>
      </w:r>
      <w:r>
        <w:rPr>
          <w:rFonts w:hint="eastAsia" w:ascii="宋体" w:hAnsi="宋体"/>
          <w:color w:val="000000"/>
          <w:sz w:val="24"/>
          <w:szCs w:val="24"/>
          <w:highlight w:val="none"/>
        </w:rPr>
        <w:t xml:space="preserve">第1条</w:t>
      </w:r>
      <w:r>
        <w:rPr>
          <w:rFonts w:ascii="宋体" w:hAnsi="宋体"/>
          <w:color w:val="000000"/>
          <w:sz w:val="24"/>
          <w:szCs w:val="24"/>
          <w:highlight w:val="none"/>
        </w:rPr>
        <w:t xml:space="preserve">〔甲方违约的情形〕约定的违约情形满28天后，甲方仍不纠正其违约行为，乙方有权解除合同，甲方应承担由此增加的费用，并支付乙方增加</w:t>
      </w:r>
      <w:r>
        <w:rPr>
          <w:rFonts w:hint="eastAsia" w:ascii="宋体" w:hAnsi="宋体"/>
          <w:color w:val="000000"/>
          <w:sz w:val="24"/>
          <w:szCs w:val="24"/>
          <w:highlight w:val="none"/>
        </w:rPr>
        <w:t xml:space="preserve">部分</w:t>
      </w:r>
      <w:r>
        <w:rPr>
          <w:rFonts w:ascii="宋体" w:hAnsi="宋体"/>
          <w:color w:val="000000"/>
          <w:sz w:val="24"/>
          <w:szCs w:val="24"/>
          <w:highlight w:val="none"/>
        </w:rPr>
        <w:t xml:space="preserve">费用</w:t>
      </w:r>
      <w:r>
        <w:rPr>
          <w:rFonts w:hint="eastAsia" w:ascii="宋体" w:hAnsi="宋体"/>
          <w:color w:val="000000"/>
          <w:sz w:val="24"/>
          <w:szCs w:val="24"/>
          <w:highlight w:val="none"/>
        </w:rPr>
        <w:t xml:space="preserve">的30%违约金</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因甲方违约解除合同后的付款</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乙方按照本款约定解除合同的，双方当事人应在解除合同后</w:t>
      </w:r>
      <w:r>
        <w:rPr>
          <w:rFonts w:hint="eastAsia" w:ascii="宋体" w:hAnsi="宋体"/>
          <w:color w:val="000000"/>
          <w:sz w:val="24"/>
          <w:szCs w:val="24"/>
          <w:highlight w:val="none"/>
        </w:rPr>
        <w:t xml:space="preserve">及时</w:t>
      </w:r>
      <w:r>
        <w:rPr>
          <w:rFonts w:ascii="宋体" w:hAnsi="宋体"/>
          <w:color w:val="000000"/>
          <w:sz w:val="24"/>
          <w:szCs w:val="24"/>
          <w:highlight w:val="none"/>
        </w:rPr>
        <w:t xml:space="preserve">完成下列款项的结算和支付：</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（1）合同解除前所完成运维服务的费用；</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（2）按照合同约定在合同解除前应支付的违约金；</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（3）按照合同约定应当支付给乙方的其他款项；</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（4）按照合同约定应退还的履约担保；</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（5）因解除合同给乙方造成的损失。</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合同当事人未能就解除合同后的项目结算和（或）款项支付达成一致的，按〔争议解决〕及合同的约定处理。</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乙方应妥善做好处理设施的保护和移交工作，并将相关运维设备和运维人员撤出，甲方应为乙方撤出提供必要条件。</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t xml:space="preserve">乙方违约</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乙方违约的情形</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在合同履行过程中发生的下列情形，属于乙方违约：</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（1）乙方违反合同约定进行转包或违法分包的；</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（2）因乙方原因导致处理设施功能性损坏或丧失的且未修复的；</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（3）乙方明确表示或者以其行为表明不履行合同义务的；</w:t>
      </w:r>
      <w:r>
        <w:rPr>
          <w:rFonts w:ascii="宋体" w:hAnsi="宋体"/>
          <w:color w:val="000000"/>
          <w:sz w:val="24"/>
          <w:szCs w:val="24"/>
          <w:highlight w:val="none"/>
        </w:rPr>
      </w:r>
      <w:r/>
    </w:p>
    <w:p>
      <w:pPr>
        <w:pStyle w:val="851"/>
        <w:ind w:firstLine="480"/>
        <w:jc w:val="left"/>
        <w:spacing w:line="480" w:lineRule="exact"/>
        <w:tabs>
          <w:tab w:val="left" w:pos="567" w:leader="none"/>
        </w:tabs>
        <w:rPr>
          <w:rFonts w:hint="eastAsia" w:ascii="宋体" w:hAnsi="宋体"/>
          <w:color w:val="000000"/>
          <w:sz w:val="24"/>
          <w:szCs w:val="24"/>
          <w:highlight w:val="none"/>
        </w:rPr>
      </w:pPr>
      <w:r>
        <w:rPr>
          <w:rFonts w:ascii="宋体" w:hAnsi="宋体"/>
          <w:color w:val="000000"/>
          <w:sz w:val="24"/>
          <w:szCs w:val="24"/>
          <w:highlight w:val="none"/>
        </w:rPr>
        <w:t xml:space="preserve">（4）乙方未能按照</w:t>
      </w:r>
      <w:r>
        <w:rPr>
          <w:rFonts w:hint="eastAsia" w:ascii="宋体" w:hAnsi="宋体"/>
          <w:color w:val="000000"/>
          <w:sz w:val="24"/>
          <w:szCs w:val="24"/>
          <w:highlight w:val="none"/>
        </w:rPr>
        <w:t xml:space="preserve">本</w:t>
      </w:r>
      <w:r>
        <w:rPr>
          <w:rFonts w:ascii="宋体" w:hAnsi="宋体"/>
          <w:color w:val="000000"/>
          <w:sz w:val="24"/>
          <w:szCs w:val="24"/>
          <w:highlight w:val="none"/>
        </w:rPr>
        <w:t xml:space="preserve">合同约定履行义务的</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（5）乙方在合同期限内，违反国家法律法规及相关规范要求的</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乙方违约的责任</w:t>
      </w:r>
      <w:r>
        <w:rPr>
          <w:rFonts w:ascii="宋体" w:hAnsi="宋体"/>
          <w:color w:val="000000"/>
          <w:sz w:val="24"/>
          <w:szCs w:val="24"/>
          <w:highlight w:val="none"/>
        </w:rPr>
      </w:r>
      <w:r/>
    </w:p>
    <w:p>
      <w:pPr>
        <w:pStyle w:val="851"/>
        <w:ind w:firstLine="480"/>
        <w:jc w:val="left"/>
        <w:spacing w:line="480" w:lineRule="exact"/>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乙方应承担因其违约行为而产生的全部法律责任，并赔偿由此给甲方造成的损失，同时应向甲方支付损失部分30%的违约金，并且乙方每次违约，应向甲方支付10000元/次的违约金。</w:t>
      </w:r>
      <w:r>
        <w:rPr>
          <w:rFonts w:hint="eastAsia"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因乙方违约解除合同</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除合同另有约定外，出现</w:t>
      </w:r>
      <w:r>
        <w:rPr>
          <w:rFonts w:hint="eastAsia" w:ascii="宋体" w:hAnsi="宋体"/>
          <w:color w:val="000000"/>
          <w:sz w:val="24"/>
          <w:szCs w:val="24"/>
          <w:highlight w:val="none"/>
        </w:rPr>
        <w:t xml:space="preserve">第1条</w:t>
      </w:r>
      <w:r>
        <w:rPr>
          <w:rFonts w:ascii="宋体" w:hAnsi="宋体"/>
          <w:color w:val="000000"/>
          <w:sz w:val="24"/>
          <w:szCs w:val="24"/>
          <w:highlight w:val="none"/>
        </w:rPr>
        <w:t xml:space="preserve">〔乙方违约的情形〕约定的违约情况时，或甲方发出整改通知后，乙方在指定的合理期限内仍不纠正违约行为，甲方有权解除合同。</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因乙方违约解除合同后的处理</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因乙方原因导致合同解除的，则合同当事人应在合同解除后</w:t>
      </w:r>
      <w:r>
        <w:rPr>
          <w:rFonts w:hint="eastAsia" w:ascii="宋体" w:hAnsi="宋体"/>
          <w:color w:val="000000"/>
          <w:sz w:val="24"/>
          <w:szCs w:val="24"/>
          <w:highlight w:val="none"/>
        </w:rPr>
        <w:t xml:space="preserve">及时</w:t>
      </w:r>
      <w:r>
        <w:rPr>
          <w:rFonts w:ascii="宋体" w:hAnsi="宋体"/>
          <w:color w:val="000000"/>
          <w:sz w:val="24"/>
          <w:szCs w:val="24"/>
          <w:highlight w:val="none"/>
        </w:rPr>
        <w:t xml:space="preserve">完成结算和支付，并按以下约定执行：</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（1）合同解除后，由合同当事人商定或确定乙方实际完成运维工作对应的运维服务费用，以及乙方已提供的其他服务的价值；</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（2）合同解除后，乙方应支付</w:t>
      </w:r>
      <w:r>
        <w:rPr>
          <w:rFonts w:hint="eastAsia" w:ascii="宋体" w:hAnsi="宋体"/>
          <w:color w:val="000000"/>
          <w:sz w:val="24"/>
          <w:szCs w:val="24"/>
          <w:highlight w:val="none"/>
        </w:rPr>
        <w:t xml:space="preserve">300000元的</w:t>
      </w:r>
      <w:r>
        <w:rPr>
          <w:rFonts w:ascii="宋体" w:hAnsi="宋体"/>
          <w:color w:val="000000"/>
          <w:sz w:val="24"/>
          <w:szCs w:val="24"/>
          <w:highlight w:val="none"/>
        </w:rPr>
        <w:t xml:space="preserve">违约金；</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（3）合同解除后，乙方应赔偿因解除合同给甲方造成的损失</w:t>
      </w:r>
      <w:r>
        <w:rPr>
          <w:rFonts w:hint="eastAsia" w:ascii="宋体" w:hAnsi="宋体"/>
          <w:color w:val="000000"/>
          <w:sz w:val="24"/>
          <w:szCs w:val="24"/>
          <w:highlight w:val="none"/>
        </w:rPr>
        <w:t xml:space="preserve">，并应向甲方支付损失部分30%的违约金</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（4）合同解除后，乙方应按照甲方要求指示完成运维现场的清理和撤离</w:t>
      </w:r>
      <w:r>
        <w:rPr>
          <w:rFonts w:hint="eastAsia" w:ascii="宋体" w:hAnsi="宋体"/>
          <w:color w:val="000000"/>
          <w:sz w:val="24"/>
          <w:szCs w:val="24"/>
          <w:highlight w:val="none"/>
        </w:rPr>
        <w:t xml:space="preserve">，且</w:t>
      </w:r>
      <w:r>
        <w:rPr>
          <w:rFonts w:ascii="宋体" w:hAnsi="宋体"/>
          <w:color w:val="000000"/>
          <w:sz w:val="24"/>
          <w:szCs w:val="24"/>
          <w:highlight w:val="none"/>
        </w:rPr>
        <w:t xml:space="preserve">乙方应妥善做好处理设施的保护和移交工作；</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（5）甲方和乙方应在合同解除后进行项目结算，结清全部款项，并出具最终结清付款凭证。</w:t>
      </w:r>
      <w:r>
        <w:rPr>
          <w:rFonts w:ascii="宋体" w:hAnsi="宋体"/>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ascii="宋体" w:hAnsi="宋体"/>
          <w:color w:val="000000"/>
          <w:sz w:val="24"/>
          <w:szCs w:val="24"/>
          <w:highlight w:val="none"/>
        </w:rPr>
        <w:t xml:space="preserve">因乙方违约解除合同的，甲方有权暂停对乙方的付款，</w:t>
      </w:r>
      <w:r>
        <w:rPr>
          <w:rFonts w:hint="eastAsia" w:ascii="宋体" w:hAnsi="宋体"/>
          <w:color w:val="000000"/>
          <w:sz w:val="24"/>
          <w:szCs w:val="24"/>
          <w:highlight w:val="none"/>
        </w:rPr>
        <w:t xml:space="preserve">优先</w:t>
      </w:r>
      <w:r>
        <w:rPr>
          <w:rFonts w:ascii="宋体" w:hAnsi="宋体"/>
          <w:color w:val="000000"/>
          <w:sz w:val="24"/>
          <w:szCs w:val="24"/>
          <w:highlight w:val="none"/>
        </w:rPr>
        <w:t xml:space="preserve">查清各项付款和已扣款项。甲方和乙方未能就合同解除后的项目结算和（或）款项支付达成一致的，按争议解决〕及合同条款的约定处理。</w:t>
      </w:r>
      <w:r>
        <w:rPr>
          <w:rFonts w:ascii="宋体" w:hAnsi="宋体"/>
          <w:color w:val="000000"/>
          <w:sz w:val="24"/>
          <w:szCs w:val="24"/>
          <w:highlight w:val="none"/>
        </w:rPr>
      </w:r>
      <w:r/>
    </w:p>
    <w:p>
      <w:pPr>
        <w:pStyle w:val="851"/>
        <w:jc w:val="left"/>
        <w:spacing w:line="480" w:lineRule="exact"/>
        <w:tabs>
          <w:tab w:val="left" w:pos="540" w:leader="none"/>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七、不可抗力</w:t>
      </w:r>
      <w:r>
        <w:rPr>
          <w:rFonts w:ascii="宋体" w:hAnsi="宋体" w:cs="仿宋_GB2312"/>
          <w:b/>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bookmarkStart w:id="200" w:name="_Ref277159734"/>
      <w:r/>
      <w:bookmarkStart w:id="201" w:name="_Toc2182"/>
      <w:r/>
      <w:bookmarkStart w:id="202" w:name="_Toc30695"/>
      <w:r/>
      <w:bookmarkStart w:id="203" w:name="_Toc12057664"/>
      <w:r>
        <w:rPr>
          <w:rFonts w:hint="eastAsia" w:ascii="宋体" w:hAnsi="宋体"/>
          <w:color w:val="000000"/>
          <w:sz w:val="24"/>
          <w:szCs w:val="24"/>
          <w:highlight w:val="none"/>
        </w:rPr>
        <w:t xml:space="preserve">7.1不可抗力事件</w:t>
      </w:r>
      <w:bookmarkEnd w:id="200"/>
      <w:r/>
      <w:bookmarkEnd w:id="201"/>
      <w:r/>
      <w:bookmarkEnd w:id="202"/>
      <w:r/>
      <w:bookmarkEnd w:id="203"/>
      <w:r/>
      <w:bookmarkStart w:id="204" w:name="_Ref145314928"/>
      <w:r>
        <w:rPr>
          <w:rFonts w:ascii="宋体" w:hAnsi="宋体"/>
          <w:color w:val="000000"/>
          <w:sz w:val="24"/>
          <w:szCs w:val="24"/>
          <w:highlight w:val="none"/>
        </w:rPr>
      </w:r>
      <w:r/>
    </w:p>
    <w:p>
      <w:pPr>
        <w:pStyle w:val="851"/>
        <w:ind w:firstLine="480"/>
        <w:jc w:val="left"/>
        <w:spacing w:line="480" w:lineRule="exact"/>
        <w:tabs>
          <w:tab w:val="left" w:pos="567" w:leader="none"/>
        </w:tabs>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.1.1</w:t>
      </w:r>
      <w:r>
        <w:rPr>
          <w:rFonts w:hint="eastAsia"/>
          <w:color w:val="000000"/>
          <w:sz w:val="24"/>
          <w:szCs w:val="24"/>
          <w:highlight w:val="none"/>
        </w:rPr>
        <w:t xml:space="preserve">不可抗力是指发生：</w:t>
      </w:r>
      <w:bookmarkEnd w:id="204"/>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在生效日时不能合理预见的；</w:t>
      </w:r>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声称遭受不可抗力影响的一方对该事件及其后果不能克服和不能避免。</w:t>
      </w:r>
      <w:bookmarkStart w:id="205" w:name="_Ref531708564"/>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.1.2</w:t>
      </w:r>
      <w:r>
        <w:rPr>
          <w:rFonts w:hint="eastAsia"/>
          <w:color w:val="000000"/>
          <w:sz w:val="24"/>
          <w:szCs w:val="24"/>
          <w:highlight w:val="none"/>
        </w:rPr>
        <w:t xml:space="preserve">如果每一事件符合第</w:t>
      </w:r>
      <w:r>
        <w:rPr>
          <w:color w:val="000000"/>
          <w:sz w:val="24"/>
          <w:szCs w:val="24"/>
          <w:highlight w:val="none"/>
        </w:rPr>
        <w:fldChar w:fldCharType="begin"/>
      </w:r>
      <w:r>
        <w:rPr>
          <w:color w:val="000000"/>
          <w:sz w:val="24"/>
          <w:szCs w:val="24"/>
          <w:highlight w:val="none"/>
        </w:rPr>
        <w:instrText xml:space="preserve"> REF _Ref145314928 \r \h  \* MERGEFORMAT </w:instrText>
      </w:r>
      <w:r>
        <w:rPr>
          <w:color w:val="000000"/>
          <w:sz w:val="24"/>
          <w:szCs w:val="24"/>
          <w:highlight w:val="none"/>
        </w:rPr>
        <w:fldChar w:fldCharType="separate"/>
      </w:r>
      <w:r>
        <w:rPr>
          <w:color w:val="000000"/>
          <w:sz w:val="24"/>
          <w:szCs w:val="24"/>
          <w:highlight w:val="none"/>
        </w:rPr>
        <w:t xml:space="preserve">7.1.1</w:t>
      </w:r>
      <w:r>
        <w:rPr>
          <w:color w:val="000000"/>
          <w:sz w:val="24"/>
          <w:szCs w:val="24"/>
          <w:highlight w:val="none"/>
        </w:rPr>
        <w:fldChar w:fldCharType="end"/>
      </w:r>
      <w:r>
        <w:rPr>
          <w:rFonts w:hint="eastAsia"/>
          <w:color w:val="000000"/>
          <w:sz w:val="24"/>
          <w:szCs w:val="24"/>
          <w:highlight w:val="none"/>
        </w:rPr>
        <w:t xml:space="preserve">条所规定的条件，则视为不可抗力事件。不可抗力事件应包括下列事件：</w:t>
      </w:r>
      <w:bookmarkEnd w:id="205"/>
      <w:r>
        <w:rPr>
          <w:color w:val="000000"/>
          <w:sz w:val="24"/>
          <w:szCs w:val="24"/>
          <w:highlight w:val="none"/>
        </w:rPr>
      </w:r>
      <w:r/>
    </w:p>
    <w:p>
      <w:pPr>
        <w:pStyle w:val="851"/>
        <w:ind w:firstLine="560"/>
        <w:spacing w:line="480" w:lineRule="exact"/>
        <w:rPr>
          <w:color w:val="000000"/>
          <w:sz w:val="24"/>
          <w:szCs w:val="24"/>
          <w:highlight w:val="none"/>
        </w:rPr>
      </w:pPr>
      <w:r/>
      <w:bookmarkStart w:id="206" w:name="_Ref145929445"/>
      <w:r>
        <w:rPr>
          <w:rFonts w:hint="eastAsia"/>
          <w:color w:val="000000"/>
          <w:sz w:val="24"/>
          <w:szCs w:val="24"/>
          <w:highlight w:val="none"/>
        </w:rPr>
        <w:t xml:space="preserve">(a)</w:t>
      </w:r>
      <w:r>
        <w:rPr>
          <w:color w:val="000000"/>
          <w:sz w:val="24"/>
          <w:szCs w:val="24"/>
          <w:highlight w:val="none"/>
        </w:rPr>
        <w:t xml:space="preserve">雷电、干旱、地震、火山爆发、滑坡、水灾、暴风雨、海啸、洪水、台风、龙卷风或任何其它天灾；</w:t>
      </w:r>
      <w:bookmarkEnd w:id="206"/>
      <w:r>
        <w:rPr>
          <w:color w:val="000000"/>
          <w:sz w:val="24"/>
          <w:szCs w:val="24"/>
          <w:highlight w:val="none"/>
        </w:rPr>
      </w:r>
      <w:r/>
    </w:p>
    <w:p>
      <w:pPr>
        <w:pStyle w:val="851"/>
        <w:ind w:firstLine="560"/>
        <w:spacing w:line="480" w:lineRule="exact"/>
        <w:rPr>
          <w:color w:val="000000"/>
          <w:sz w:val="24"/>
          <w:szCs w:val="24"/>
          <w:highlight w:val="none"/>
        </w:rPr>
      </w:pPr>
      <w:r/>
      <w:bookmarkStart w:id="207" w:name="_Ref145929456"/>
      <w:r>
        <w:rPr>
          <w:rFonts w:hint="eastAsia"/>
          <w:color w:val="000000"/>
          <w:sz w:val="24"/>
          <w:szCs w:val="24"/>
          <w:highlight w:val="none"/>
        </w:rPr>
        <w:t xml:space="preserve">(b)</w:t>
      </w:r>
      <w:r>
        <w:rPr>
          <w:color w:val="000000"/>
          <w:sz w:val="24"/>
          <w:szCs w:val="24"/>
          <w:highlight w:val="none"/>
        </w:rPr>
        <w:t xml:space="preserve">大规模流行病、饥荒或瘟疫；</w:t>
      </w:r>
      <w:bookmarkEnd w:id="207"/>
      <w:r>
        <w:rPr>
          <w:color w:val="000000"/>
          <w:sz w:val="24"/>
          <w:szCs w:val="24"/>
          <w:highlight w:val="none"/>
        </w:rPr>
      </w:r>
      <w:r/>
    </w:p>
    <w:p>
      <w:pPr>
        <w:pStyle w:val="851"/>
        <w:ind w:firstLine="560"/>
        <w:spacing w:line="480" w:lineRule="exact"/>
        <w:rPr>
          <w:color w:val="000000"/>
          <w:sz w:val="24"/>
          <w:szCs w:val="24"/>
          <w:highlight w:val="none"/>
        </w:rPr>
      </w:pPr>
      <w:r/>
      <w:bookmarkStart w:id="208" w:name="_Ref145929465"/>
      <w:r>
        <w:rPr>
          <w:rFonts w:hint="eastAsia"/>
          <w:color w:val="000000"/>
          <w:sz w:val="24"/>
          <w:szCs w:val="24"/>
          <w:highlight w:val="none"/>
        </w:rPr>
        <w:t xml:space="preserve">(c)</w:t>
      </w:r>
      <w:r>
        <w:rPr>
          <w:color w:val="000000"/>
          <w:sz w:val="24"/>
          <w:szCs w:val="24"/>
          <w:highlight w:val="none"/>
        </w:rPr>
        <w:t xml:space="preserve">战争行为（无论是宣战的或未宣战的）、入侵、武装冲突或敌对行为、封锁、暴乱、恐怖行为或军事力量的使用；</w:t>
      </w:r>
      <w:bookmarkEnd w:id="208"/>
      <w:r>
        <w:rPr>
          <w:color w:val="000000"/>
          <w:sz w:val="24"/>
          <w:szCs w:val="24"/>
          <w:highlight w:val="none"/>
        </w:rPr>
      </w:r>
      <w:r/>
    </w:p>
    <w:p>
      <w:pPr>
        <w:pStyle w:val="851"/>
        <w:ind w:firstLine="560"/>
        <w:spacing w:line="480" w:lineRule="exact"/>
        <w:rPr>
          <w:color w:val="000000"/>
          <w:sz w:val="24"/>
          <w:szCs w:val="24"/>
          <w:highlight w:val="none"/>
        </w:rPr>
      </w:pPr>
      <w:r/>
      <w:bookmarkStart w:id="209" w:name="_Ref145929471"/>
      <w:r>
        <w:rPr>
          <w:rFonts w:hint="eastAsia"/>
          <w:color w:val="000000"/>
          <w:sz w:val="24"/>
          <w:szCs w:val="24"/>
          <w:highlight w:val="none"/>
        </w:rPr>
        <w:t xml:space="preserve">(d)(</w:t>
      </w:r>
      <w:r>
        <w:rPr>
          <w:color w:val="000000"/>
          <w:sz w:val="24"/>
          <w:szCs w:val="24"/>
          <w:highlight w:val="none"/>
        </w:rPr>
        <w:t xml:space="preserve">全国性、地区性或行业性罢工；</w:t>
      </w:r>
      <w:bookmarkEnd w:id="209"/>
      <w:r>
        <w:rPr>
          <w:color w:val="000000"/>
          <w:sz w:val="24"/>
          <w:szCs w:val="24"/>
          <w:highlight w:val="none"/>
        </w:rPr>
      </w:r>
      <w:r/>
    </w:p>
    <w:p>
      <w:pPr>
        <w:pStyle w:val="851"/>
        <w:ind w:firstLine="560"/>
        <w:spacing w:line="480" w:lineRule="exact"/>
        <w:rPr>
          <w:color w:val="000000"/>
          <w:sz w:val="24"/>
          <w:szCs w:val="24"/>
          <w:highlight w:val="none"/>
        </w:rPr>
      </w:pPr>
      <w:r/>
      <w:bookmarkStart w:id="210" w:name="_Ref145929487"/>
      <w:r/>
      <w:bookmarkStart w:id="211" w:name="_Ref481503833"/>
      <w:r>
        <w:rPr>
          <w:rFonts w:hint="eastAsia"/>
          <w:color w:val="000000"/>
          <w:sz w:val="24"/>
          <w:szCs w:val="24"/>
          <w:highlight w:val="none"/>
        </w:rPr>
        <w:t xml:space="preserve">(e)</w:t>
      </w:r>
      <w:bookmarkEnd w:id="210"/>
      <w:r/>
      <w:bookmarkEnd w:id="211"/>
      <w:r/>
      <w:bookmarkStart w:id="212" w:name="_Ref145929490"/>
      <w:r>
        <w:rPr>
          <w:color w:val="000000"/>
          <w:sz w:val="24"/>
          <w:szCs w:val="24"/>
          <w:highlight w:val="none"/>
        </w:rPr>
        <w:t xml:space="preserve">重大法律变更。</w:t>
      </w:r>
      <w:bookmarkEnd w:id="212"/>
      <w:r>
        <w:rPr>
          <w:color w:val="000000"/>
          <w:sz w:val="24"/>
          <w:szCs w:val="24"/>
          <w:highlight w:val="none"/>
        </w:rPr>
      </w:r>
      <w:r/>
    </w:p>
    <w:p>
      <w:pPr>
        <w:pStyle w:val="958"/>
        <w:ind w:firstLine="482"/>
        <w:spacing w:before="0" w:after="0" w:line="480" w:lineRule="exact"/>
        <w:rPr>
          <w:color w:val="000000"/>
          <w:sz w:val="24"/>
          <w:szCs w:val="24"/>
          <w:highlight w:val="none"/>
        </w:rPr>
      </w:pPr>
      <w:r/>
      <w:bookmarkStart w:id="213" w:name="_Toc1855"/>
      <w:r/>
      <w:bookmarkStart w:id="214" w:name="_Toc12057665"/>
      <w:r/>
      <w:bookmarkStart w:id="215" w:name="_Toc1726"/>
      <w:r>
        <w:rPr>
          <w:rFonts w:hint="eastAsia"/>
          <w:color w:val="000000"/>
          <w:sz w:val="24"/>
          <w:szCs w:val="24"/>
          <w:highlight w:val="none"/>
        </w:rPr>
        <w:t xml:space="preserve">7</w:t>
      </w:r>
      <w:r>
        <w:rPr>
          <w:color w:val="000000"/>
          <w:sz w:val="24"/>
          <w:szCs w:val="24"/>
          <w:highlight w:val="none"/>
        </w:rPr>
        <w:t xml:space="preserve">.2</w:t>
      </w:r>
      <w:bookmarkEnd w:id="213"/>
      <w:r/>
      <w:bookmarkEnd w:id="214"/>
      <w:r/>
      <w:bookmarkEnd w:id="215"/>
      <w:r>
        <w:rPr>
          <w:rFonts w:hint="eastAsia"/>
          <w:color w:val="000000"/>
          <w:sz w:val="24"/>
          <w:szCs w:val="24"/>
          <w:highlight w:val="none"/>
        </w:rPr>
        <w:t xml:space="preserve">因不可抗力不能履行合同</w:t>
      </w:r>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当生效日起发生的不可抗力情况全部或部分阻碍一方履行其在本合同</w:t>
      </w:r>
      <w:r>
        <w:rPr>
          <w:rFonts w:hint="eastAsia"/>
          <w:color w:val="000000"/>
          <w:sz w:val="24"/>
          <w:szCs w:val="24"/>
          <w:highlight w:val="none"/>
        </w:rPr>
        <w:t xml:space="preserve">项下的</w:t>
      </w:r>
      <w:r>
        <w:rPr>
          <w:color w:val="000000"/>
          <w:sz w:val="24"/>
          <w:szCs w:val="24"/>
          <w:highlight w:val="none"/>
        </w:rPr>
        <w:t xml:space="preserve">义务时，</w:t>
      </w:r>
      <w:r>
        <w:rPr>
          <w:rFonts w:hint="eastAsia"/>
          <w:color w:val="000000"/>
          <w:sz w:val="24"/>
          <w:szCs w:val="24"/>
          <w:highlight w:val="none"/>
        </w:rPr>
        <w:t xml:space="preserve">根据不可抗力的影响，部分或者全部免除该方责任，但法律另有规定的除外</w:t>
      </w:r>
      <w:r>
        <w:rPr>
          <w:color w:val="000000"/>
          <w:sz w:val="24"/>
          <w:szCs w:val="24"/>
          <w:highlight w:val="none"/>
        </w:rPr>
        <w:t xml:space="preserve">。</w:t>
      </w:r>
      <w:r>
        <w:rPr>
          <w:color w:val="000000"/>
          <w:sz w:val="24"/>
          <w:szCs w:val="24"/>
          <w:highlight w:val="none"/>
        </w:rPr>
      </w:r>
      <w:r/>
    </w:p>
    <w:p>
      <w:pPr>
        <w:pStyle w:val="958"/>
        <w:ind w:firstLine="482"/>
        <w:spacing w:before="0" w:after="0" w:line="480" w:lineRule="exact"/>
        <w:rPr>
          <w:color w:val="000000"/>
          <w:sz w:val="24"/>
          <w:szCs w:val="24"/>
          <w:highlight w:val="none"/>
        </w:rPr>
      </w:pPr>
      <w:r/>
      <w:bookmarkStart w:id="216" w:name="_Toc12057666"/>
      <w:r/>
      <w:bookmarkStart w:id="217" w:name="_Toc20961"/>
      <w:r/>
      <w:bookmarkStart w:id="218" w:name="_Toc1098"/>
      <w:r>
        <w:rPr>
          <w:rFonts w:hint="eastAsia"/>
          <w:color w:val="000000"/>
          <w:sz w:val="24"/>
          <w:szCs w:val="24"/>
          <w:highlight w:val="none"/>
        </w:rPr>
        <w:t xml:space="preserve">7</w:t>
      </w:r>
      <w:r>
        <w:rPr>
          <w:color w:val="000000"/>
          <w:sz w:val="24"/>
          <w:szCs w:val="24"/>
          <w:highlight w:val="none"/>
        </w:rPr>
        <w:t xml:space="preserve">.3适用于乙方的例外情况</w:t>
      </w:r>
      <w:bookmarkEnd w:id="216"/>
      <w:r/>
      <w:bookmarkEnd w:id="217"/>
      <w:r/>
      <w:bookmarkEnd w:id="218"/>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在下述情况下，乙方不得声称遭受不可抗力影响而中止履行本合同</w:t>
      </w:r>
      <w:r>
        <w:rPr>
          <w:rFonts w:hint="eastAsia"/>
          <w:color w:val="000000"/>
          <w:sz w:val="24"/>
          <w:szCs w:val="24"/>
          <w:highlight w:val="none"/>
        </w:rPr>
        <w:t xml:space="preserve">，</w:t>
      </w:r>
      <w:r>
        <w:rPr>
          <w:color w:val="000000"/>
          <w:sz w:val="24"/>
          <w:szCs w:val="24"/>
          <w:highlight w:val="none"/>
        </w:rPr>
        <w:t xml:space="preserve">或作为其不履行本</w:t>
      </w:r>
      <w:r>
        <w:rPr>
          <w:rFonts w:hint="eastAsia"/>
          <w:color w:val="000000"/>
          <w:sz w:val="24"/>
          <w:szCs w:val="24"/>
          <w:highlight w:val="none"/>
        </w:rPr>
        <w:t xml:space="preserve">合同项下</w:t>
      </w:r>
      <w:r>
        <w:rPr>
          <w:color w:val="000000"/>
          <w:sz w:val="24"/>
          <w:szCs w:val="24"/>
          <w:highlight w:val="none"/>
        </w:rPr>
        <w:t xml:space="preserve">义务的理由：</w:t>
      </w:r>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.3.1项目设施的设备和机器的交付发生延误，除非并限于该延误是由于符合第</w:t>
      </w:r>
      <w:r>
        <w:rPr>
          <w:color w:val="000000"/>
          <w:sz w:val="24"/>
          <w:szCs w:val="24"/>
          <w:highlight w:val="none"/>
        </w:rPr>
        <w:fldChar w:fldCharType="begin"/>
      </w:r>
      <w:r>
        <w:rPr>
          <w:color w:val="000000"/>
          <w:sz w:val="24"/>
          <w:szCs w:val="24"/>
          <w:highlight w:val="none"/>
        </w:rPr>
        <w:instrText xml:space="preserve"> REF _Ref277159734 \r \h  \* MERGEFORMAT </w:instrText>
      </w:r>
      <w:r>
        <w:rPr>
          <w:color w:val="000000"/>
          <w:sz w:val="24"/>
          <w:szCs w:val="24"/>
          <w:highlight w:val="none"/>
        </w:rPr>
        <w:fldChar w:fldCharType="separate"/>
      </w:r>
      <w:r>
        <w:rPr>
          <w:color w:val="000000"/>
          <w:sz w:val="24"/>
          <w:szCs w:val="24"/>
          <w:highlight w:val="none"/>
        </w:rPr>
        <w:t xml:space="preserve">7.1</w:t>
      </w:r>
      <w:r>
        <w:rPr>
          <w:color w:val="000000"/>
          <w:sz w:val="24"/>
          <w:szCs w:val="24"/>
          <w:highlight w:val="none"/>
        </w:rPr>
        <w:fldChar w:fldCharType="end"/>
      </w:r>
      <w:r>
        <w:rPr>
          <w:color w:val="000000"/>
          <w:sz w:val="24"/>
          <w:szCs w:val="24"/>
          <w:highlight w:val="none"/>
        </w:rPr>
        <w:t xml:space="preserve">条款规定的某一事件导致；</w:t>
      </w:r>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7.3.2项目设施的材料、设备、机器或零配件存在任何明显或潜在的缺陷或存在故障或正常磨损；</w:t>
      </w:r>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7.3.3乙方的工人或雇员或其承包商的工人或雇员的劳工骚乱、劳资纠纷或其它劳资行为。</w:t>
      </w:r>
      <w:r>
        <w:rPr>
          <w:color w:val="000000"/>
          <w:sz w:val="24"/>
          <w:szCs w:val="24"/>
          <w:highlight w:val="none"/>
        </w:rPr>
      </w:r>
      <w:r/>
    </w:p>
    <w:p>
      <w:pPr>
        <w:pStyle w:val="958"/>
        <w:ind w:firstLine="482"/>
        <w:spacing w:before="0" w:after="0" w:line="480" w:lineRule="exact"/>
        <w:rPr>
          <w:color w:val="000000"/>
          <w:sz w:val="24"/>
          <w:szCs w:val="24"/>
          <w:highlight w:val="none"/>
        </w:rPr>
      </w:pPr>
      <w:r/>
      <w:bookmarkStart w:id="219" w:name="_Toc12057667"/>
      <w:r/>
      <w:bookmarkStart w:id="220" w:name="_Toc26946"/>
      <w:r/>
      <w:bookmarkStart w:id="221" w:name="_Toc22176"/>
      <w:r/>
      <w:bookmarkStart w:id="222" w:name="_Ref277075444"/>
      <w:r>
        <w:rPr>
          <w:rFonts w:hint="eastAsia"/>
          <w:color w:val="000000"/>
          <w:sz w:val="24"/>
          <w:szCs w:val="24"/>
          <w:highlight w:val="none"/>
        </w:rPr>
        <w:t xml:space="preserve">7</w:t>
      </w:r>
      <w:r>
        <w:rPr>
          <w:color w:val="000000"/>
          <w:sz w:val="24"/>
          <w:szCs w:val="24"/>
          <w:highlight w:val="none"/>
        </w:rPr>
        <w:t xml:space="preserve">.4不可抗力发生后的处理程序</w:t>
      </w:r>
      <w:bookmarkEnd w:id="219"/>
      <w:r/>
      <w:bookmarkEnd w:id="220"/>
      <w:r/>
      <w:bookmarkEnd w:id="221"/>
      <w:r/>
      <w:bookmarkEnd w:id="222"/>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4.1声称受到不可抗力影响的一方应在发生不可抗力或知道发生不可抗力之后及时书面通知另一方并详细描述不可抗力的发生情况和可能导致的后果，包括该不可抗力发生的时间和预计停止的时间，以及对该方履行在本合同项下义务的影响，并在另一方合理要求时提供证明。</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.4.2发生不可抗力事件后，</w:t>
      </w:r>
      <w:r>
        <w:rPr>
          <w:rFonts w:hint="eastAsia"/>
          <w:color w:val="000000"/>
          <w:sz w:val="24"/>
          <w:szCs w:val="24"/>
          <w:highlight w:val="none"/>
        </w:rPr>
        <w:t xml:space="preserve">各方</w:t>
      </w:r>
      <w:r>
        <w:rPr>
          <w:color w:val="000000"/>
          <w:sz w:val="24"/>
          <w:szCs w:val="24"/>
          <w:highlight w:val="none"/>
        </w:rPr>
        <w:t xml:space="preserve">应本着诚信平等的原则，立即就此等不可抗力事件进行协商。</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23" w:name="_Toc25385"/>
      <w:r/>
      <w:bookmarkStart w:id="224" w:name="_Toc6707"/>
      <w:r/>
      <w:bookmarkStart w:id="225" w:name="_Toc12057668"/>
      <w:r>
        <w:rPr>
          <w:rFonts w:hint="eastAsia"/>
          <w:color w:val="000000"/>
          <w:sz w:val="24"/>
          <w:szCs w:val="24"/>
          <w:highlight w:val="none"/>
        </w:rPr>
        <w:t xml:space="preserve">7</w:t>
      </w:r>
      <w:r>
        <w:rPr>
          <w:color w:val="000000"/>
          <w:sz w:val="24"/>
          <w:szCs w:val="24"/>
          <w:highlight w:val="none"/>
        </w:rPr>
        <w:t xml:space="preserve">.5费用及时间表的修改</w:t>
      </w:r>
      <w:bookmarkEnd w:id="223"/>
      <w:r/>
      <w:bookmarkEnd w:id="224"/>
      <w:r/>
      <w:bookmarkEnd w:id="225"/>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.1除本合同或</w:t>
      </w:r>
      <w:r>
        <w:rPr>
          <w:rFonts w:hint="eastAsia"/>
          <w:color w:val="000000"/>
          <w:sz w:val="24"/>
          <w:szCs w:val="24"/>
          <w:highlight w:val="none"/>
        </w:rPr>
        <w:t xml:space="preserve">各</w:t>
      </w:r>
      <w:r>
        <w:rPr>
          <w:color w:val="000000"/>
          <w:sz w:val="24"/>
          <w:szCs w:val="24"/>
          <w:highlight w:val="none"/>
        </w:rPr>
        <w:t xml:space="preserve">方另有约定外，发生不可抗力时，</w:t>
      </w:r>
      <w:r>
        <w:rPr>
          <w:rFonts w:hint="eastAsia"/>
          <w:color w:val="000000"/>
          <w:sz w:val="24"/>
          <w:szCs w:val="24"/>
          <w:highlight w:val="none"/>
        </w:rPr>
        <w:t xml:space="preserve">各</w:t>
      </w:r>
      <w:r>
        <w:rPr>
          <w:color w:val="000000"/>
          <w:sz w:val="24"/>
          <w:szCs w:val="24"/>
          <w:highlight w:val="none"/>
        </w:rPr>
        <w:t xml:space="preserve">方应各自承担由于不可抗力对其造成的损失。</w:t>
      </w:r>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7.5.2如果声称遭受不可抗力影响的一方已履行了通知程序，并且在不可抗力事件影响项目进展的情况下，已履行了请求延长进度日期的程序，则本合同中规定的履行某项义务的任何期限，经受到影响的一方请求，应根据不可抗力对履行该项义务产生影响的相同时间相应顺延。</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26" w:name="_Toc15828"/>
      <w:r/>
      <w:bookmarkStart w:id="227" w:name="_Toc21280"/>
      <w:r/>
      <w:bookmarkStart w:id="228" w:name="_Toc12057669"/>
      <w:r>
        <w:rPr>
          <w:rFonts w:hint="eastAsia"/>
          <w:color w:val="000000"/>
          <w:sz w:val="24"/>
          <w:szCs w:val="24"/>
          <w:highlight w:val="none"/>
        </w:rPr>
        <w:t xml:space="preserve">7</w:t>
      </w:r>
      <w:r>
        <w:rPr>
          <w:color w:val="000000"/>
          <w:sz w:val="24"/>
          <w:szCs w:val="24"/>
          <w:highlight w:val="none"/>
        </w:rPr>
        <w:t xml:space="preserve">.6减少损失的责任和协商</w:t>
      </w:r>
      <w:bookmarkEnd w:id="226"/>
      <w:r/>
      <w:bookmarkEnd w:id="227"/>
      <w:r/>
      <w:bookmarkEnd w:id="228"/>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.6.1受到不可抗力影响的一方应尽合理的努力减少不可抗力对其造成的影响，包括根据该等措施为可能产生的结果支付合理的金额。</w:t>
      </w:r>
      <w:r>
        <w:rPr>
          <w:rFonts w:hint="eastAsia"/>
          <w:color w:val="000000"/>
          <w:sz w:val="24"/>
          <w:szCs w:val="24"/>
          <w:highlight w:val="none"/>
        </w:rPr>
        <w:t xml:space="preserve">各</w:t>
      </w:r>
      <w:r>
        <w:rPr>
          <w:color w:val="000000"/>
          <w:sz w:val="24"/>
          <w:szCs w:val="24"/>
          <w:highlight w:val="none"/>
        </w:rPr>
        <w:t xml:space="preserve">方应协商制定并实施补救计划及合理的替代措施以消除不可抗力的影响，并决定为尽量减少不可抗力给每一方带来的损失应采取的合理的手段。</w:t>
      </w:r>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.6.2声称受到不可抗力影响的一方在不可抗力的影响消除之后应尽快恢复履行本合同</w:t>
      </w:r>
      <w:r>
        <w:rPr>
          <w:rFonts w:hint="eastAsia"/>
          <w:color w:val="000000"/>
          <w:sz w:val="24"/>
          <w:szCs w:val="24"/>
          <w:highlight w:val="none"/>
        </w:rPr>
        <w:t xml:space="preserve">项</w:t>
      </w:r>
      <w:r>
        <w:rPr>
          <w:color w:val="000000"/>
          <w:sz w:val="24"/>
          <w:szCs w:val="24"/>
          <w:highlight w:val="none"/>
        </w:rPr>
        <w:t xml:space="preserve">下的义务。</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29" w:name="_Toc7294"/>
      <w:r/>
      <w:bookmarkStart w:id="230" w:name="_Ref286233995"/>
      <w:r/>
      <w:bookmarkStart w:id="231" w:name="_Ref286233858"/>
      <w:r/>
      <w:bookmarkStart w:id="232" w:name="_Toc12057670"/>
      <w:r/>
      <w:bookmarkStart w:id="233" w:name="_Toc8695"/>
      <w:r>
        <w:rPr>
          <w:rFonts w:hint="eastAsia"/>
          <w:color w:val="000000"/>
          <w:sz w:val="24"/>
          <w:szCs w:val="24"/>
          <w:highlight w:val="none"/>
        </w:rPr>
        <w:t xml:space="preserve">7</w:t>
      </w:r>
      <w:r>
        <w:rPr>
          <w:color w:val="000000"/>
          <w:sz w:val="24"/>
          <w:szCs w:val="24"/>
          <w:highlight w:val="none"/>
        </w:rPr>
        <w:t xml:space="preserve">.7不可抗力造成的终止</w:t>
      </w:r>
      <w:bookmarkEnd w:id="229"/>
      <w:r/>
      <w:bookmarkEnd w:id="230"/>
      <w:r/>
      <w:bookmarkEnd w:id="231"/>
      <w:r/>
      <w:bookmarkEnd w:id="232"/>
      <w:r/>
      <w:bookmarkEnd w:id="233"/>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.7.1如果任何不可抗力事件阻止一方履行其义务且经过努力仍不可克服，自该不可抗力发生或知道发生之日起连续超过九十（90）日，</w:t>
      </w:r>
      <w:r>
        <w:rPr>
          <w:rFonts w:hint="eastAsia"/>
          <w:color w:val="000000"/>
          <w:sz w:val="24"/>
          <w:szCs w:val="24"/>
          <w:highlight w:val="none"/>
        </w:rPr>
        <w:t xml:space="preserve">各</w:t>
      </w:r>
      <w:r>
        <w:rPr>
          <w:color w:val="000000"/>
          <w:sz w:val="24"/>
          <w:szCs w:val="24"/>
          <w:highlight w:val="none"/>
        </w:rPr>
        <w:t xml:space="preserve">方应协商决定继续履行本合同的条件或者同意按照第</w:t>
      </w:r>
      <w:r>
        <w:rPr>
          <w:color w:val="000000"/>
          <w:sz w:val="24"/>
          <w:szCs w:val="24"/>
          <w:highlight w:val="none"/>
        </w:rPr>
        <w:fldChar w:fldCharType="begin"/>
      </w:r>
      <w:r>
        <w:rPr>
          <w:color w:val="000000"/>
          <w:sz w:val="24"/>
          <w:szCs w:val="24"/>
          <w:highlight w:val="none"/>
        </w:rPr>
        <w:instrText xml:space="preserve"> REF _Ref277076114 \r \h  \* MERGEFORMAT </w:instrText>
      </w:r>
      <w:r>
        <w:rPr>
          <w:color w:val="000000"/>
          <w:sz w:val="24"/>
          <w:szCs w:val="24"/>
          <w:highlight w:val="none"/>
        </w:rPr>
        <w:fldChar w:fldCharType="separate"/>
      </w:r>
      <w:r>
        <w:rPr>
          <w:color w:val="000000"/>
          <w:sz w:val="24"/>
          <w:szCs w:val="24"/>
          <w:highlight w:val="none"/>
        </w:rPr>
        <w:t xml:space="preserve">8.3</w:t>
      </w:r>
      <w:r>
        <w:rPr>
          <w:color w:val="000000"/>
          <w:sz w:val="24"/>
          <w:szCs w:val="24"/>
          <w:highlight w:val="none"/>
        </w:rPr>
        <w:fldChar w:fldCharType="end"/>
      </w:r>
      <w:r>
        <w:rPr>
          <w:color w:val="000000"/>
          <w:sz w:val="24"/>
          <w:szCs w:val="24"/>
          <w:highlight w:val="none"/>
        </w:rPr>
        <w:t xml:space="preserve">条款的规定终止本合同。</w:t>
      </w:r>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7.7.2如果自该不可抗力发生或知道发生之日起一百八十（180）日之内</w:t>
      </w:r>
      <w:r>
        <w:rPr>
          <w:rFonts w:hint="eastAsia"/>
          <w:color w:val="000000"/>
          <w:sz w:val="24"/>
          <w:szCs w:val="24"/>
          <w:highlight w:val="none"/>
        </w:rPr>
        <w:t xml:space="preserve">各</w:t>
      </w:r>
      <w:r>
        <w:rPr>
          <w:color w:val="000000"/>
          <w:sz w:val="24"/>
          <w:szCs w:val="24"/>
          <w:highlight w:val="none"/>
        </w:rPr>
        <w:t xml:space="preserve">方不能就继续履行的条件或终止本合同达成一致意见，则任何一方有权根据本合同第8条的规定向另一方发出终止意向通知。</w:t>
      </w:r>
      <w:r>
        <w:rPr>
          <w:color w:val="000000"/>
          <w:sz w:val="24"/>
          <w:szCs w:val="24"/>
          <w:highlight w:val="none"/>
        </w:rPr>
      </w:r>
      <w:r/>
    </w:p>
    <w:p>
      <w:pPr>
        <w:pStyle w:val="851"/>
        <w:ind w:firstLine="560"/>
        <w:spacing w:line="480" w:lineRule="exact"/>
        <w:rPr>
          <w:color w:val="000000"/>
          <w:highlight w:val="none"/>
        </w:rPr>
      </w:pPr>
      <w:r>
        <w:rPr>
          <w:color w:val="000000"/>
          <w:sz w:val="24"/>
          <w:szCs w:val="24"/>
          <w:highlight w:val="none"/>
        </w:rPr>
        <w:t xml:space="preserve">7.7.3</w:t>
      </w:r>
      <w:r>
        <w:rPr>
          <w:rFonts w:hint="eastAsia"/>
          <w:color w:val="000000"/>
          <w:sz w:val="24"/>
          <w:szCs w:val="24"/>
          <w:highlight w:val="none"/>
        </w:rPr>
        <w:t xml:space="preserve">若因不可抗力事件仅造成乙方某一</w:t>
      </w:r>
      <w:r>
        <w:rPr>
          <w:color w:val="000000"/>
          <w:sz w:val="24"/>
          <w:szCs w:val="24"/>
          <w:highlight w:val="none"/>
        </w:rPr>
        <w:t xml:space="preserve">或某几个</w:t>
      </w:r>
      <w:r>
        <w:rPr>
          <w:rFonts w:hint="eastAsia"/>
          <w:color w:val="000000"/>
          <w:sz w:val="24"/>
          <w:szCs w:val="24"/>
          <w:highlight w:val="none"/>
        </w:rPr>
        <w:t xml:space="preserve">污水处理设施终止</w:t>
      </w:r>
      <w:r>
        <w:rPr>
          <w:color w:val="000000"/>
          <w:sz w:val="24"/>
          <w:szCs w:val="24"/>
          <w:highlight w:val="none"/>
        </w:rPr>
        <w:t xml:space="preserve">履行本合同</w:t>
      </w:r>
      <w:r>
        <w:rPr>
          <w:rFonts w:hint="eastAsia"/>
          <w:color w:val="000000"/>
          <w:sz w:val="24"/>
          <w:szCs w:val="24"/>
          <w:highlight w:val="none"/>
        </w:rPr>
        <w:t xml:space="preserve">项下的义务，并不影响本合同中其他污水处理设施继续</w:t>
      </w:r>
      <w:r>
        <w:rPr>
          <w:color w:val="000000"/>
          <w:sz w:val="24"/>
          <w:szCs w:val="24"/>
          <w:highlight w:val="none"/>
        </w:rPr>
        <w:t xml:space="preserve">履行本合同</w:t>
      </w:r>
      <w:r>
        <w:rPr>
          <w:rFonts w:hint="eastAsia"/>
          <w:color w:val="000000"/>
          <w:sz w:val="24"/>
          <w:szCs w:val="24"/>
          <w:highlight w:val="none"/>
        </w:rPr>
        <w:t xml:space="preserve">项下的义务</w:t>
      </w:r>
      <w:r>
        <w:rPr>
          <w:color w:val="000000"/>
          <w:sz w:val="24"/>
          <w:szCs w:val="24"/>
          <w:highlight w:val="none"/>
        </w:rPr>
        <w:t xml:space="preserve">。</w:t>
      </w:r>
      <w:r>
        <w:rPr>
          <w:color w:val="000000"/>
          <w:highlight w:val="none"/>
        </w:rPr>
      </w:r>
      <w:r/>
    </w:p>
    <w:p>
      <w:pPr>
        <w:pStyle w:val="956"/>
        <w:ind w:firstLine="241"/>
        <w:spacing w:before="0" w:after="0" w:line="480" w:lineRule="exact"/>
        <w:rPr>
          <w:color w:val="000000"/>
          <w:sz w:val="24"/>
          <w:szCs w:val="24"/>
          <w:highlight w:val="none"/>
        </w:rPr>
      </w:pPr>
      <w:r/>
      <w:bookmarkStart w:id="234" w:name="8.索赔"/>
      <w:r/>
      <w:bookmarkEnd w:id="234"/>
      <w:r/>
      <w:bookmarkStart w:id="235" w:name="_Toc14592"/>
      <w:r/>
      <w:bookmarkStart w:id="236" w:name="_Toc5329"/>
      <w:r>
        <w:rPr>
          <w:rFonts w:hint="eastAsia"/>
          <w:color w:val="000000"/>
          <w:sz w:val="24"/>
          <w:szCs w:val="24"/>
          <w:highlight w:val="none"/>
        </w:rPr>
        <w:t xml:space="preserve">八、提前终止</w:t>
      </w:r>
      <w:r>
        <w:rPr>
          <w:color w:val="000000"/>
          <w:sz w:val="24"/>
          <w:szCs w:val="24"/>
          <w:highlight w:val="none"/>
        </w:rPr>
      </w:r>
      <w:r/>
    </w:p>
    <w:p>
      <w:pPr>
        <w:pStyle w:val="958"/>
        <w:ind w:firstLine="482"/>
        <w:spacing w:before="0" w:after="0" w:line="480" w:lineRule="exact"/>
        <w:rPr>
          <w:color w:val="000000"/>
          <w:sz w:val="24"/>
          <w:szCs w:val="24"/>
          <w:highlight w:val="none"/>
        </w:rPr>
      </w:pPr>
      <w:r/>
      <w:bookmarkStart w:id="237" w:name="_Ref479519680"/>
      <w:r/>
      <w:bookmarkStart w:id="238" w:name="_Toc31373"/>
      <w:r/>
      <w:bookmarkStart w:id="239" w:name="_Ref482693766"/>
      <w:r/>
      <w:bookmarkStart w:id="240" w:name="_Toc12057672"/>
      <w:r/>
      <w:bookmarkStart w:id="241" w:name="_Toc26874"/>
      <w:r>
        <w:rPr>
          <w:rFonts w:hint="eastAsia"/>
          <w:color w:val="000000"/>
          <w:sz w:val="24"/>
          <w:szCs w:val="24"/>
          <w:highlight w:val="none"/>
        </w:rPr>
        <w:t xml:space="preserve">8</w:t>
      </w:r>
      <w:r>
        <w:rPr>
          <w:color w:val="000000"/>
          <w:sz w:val="24"/>
          <w:szCs w:val="24"/>
          <w:highlight w:val="none"/>
        </w:rPr>
        <w:t xml:space="preserve">.1由甲方提出的提前终止</w:t>
      </w:r>
      <w:bookmarkEnd w:id="237"/>
      <w:r/>
      <w:bookmarkEnd w:id="238"/>
      <w:r/>
      <w:bookmarkEnd w:id="239"/>
      <w:r/>
      <w:bookmarkEnd w:id="240"/>
      <w:r/>
      <w:bookmarkEnd w:id="241"/>
      <w:r>
        <w:rPr>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对于任一污水处理设施或污水收集管网发生下述每一条款所述事件，如果不是由于不可抗力或甲方违约所致，如果有允许的纠正期限而在该期限内未能纠正，即构成乙方严重违约事件，甲方有权立即发出提前终止本合同的意向通知：</w:t>
      </w:r>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8.1.1乙方根据中国法律进行清算或不能清偿到期债务；</w:t>
      </w:r>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8.1.2乙方被吊销企业法人营业执照；</w:t>
      </w:r>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8.1.3</w:t>
      </w:r>
      <w:r>
        <w:rPr>
          <w:rFonts w:hint="eastAsia"/>
          <w:color w:val="000000"/>
          <w:sz w:val="24"/>
          <w:szCs w:val="24"/>
          <w:highlight w:val="none"/>
        </w:rPr>
        <w:t xml:space="preserve">乙方擅自转让本合同；</w:t>
      </w:r>
      <w:r>
        <w:rPr>
          <w:color w:val="000000"/>
          <w:sz w:val="24"/>
          <w:szCs w:val="24"/>
          <w:highlight w:val="none"/>
        </w:rPr>
      </w:r>
      <w:r/>
    </w:p>
    <w:p>
      <w:pPr>
        <w:pStyle w:val="851"/>
        <w:ind w:firstLine="560"/>
        <w:spacing w:line="480" w:lineRule="exact"/>
        <w:rPr>
          <w:rFonts w:hint="eastAsia"/>
          <w:color w:val="000000"/>
          <w:sz w:val="24"/>
          <w:szCs w:val="24"/>
          <w:highlight w:val="none"/>
        </w:rPr>
      </w:pPr>
      <w:r>
        <w:rPr>
          <w:color w:val="000000"/>
          <w:sz w:val="24"/>
          <w:szCs w:val="24"/>
          <w:highlight w:val="none"/>
        </w:rPr>
        <w:t xml:space="preserve">8.1.</w:t>
      </w:r>
      <w:r>
        <w:rPr>
          <w:rFonts w:hint="eastAsia"/>
          <w:color w:val="000000"/>
          <w:sz w:val="24"/>
          <w:szCs w:val="24"/>
          <w:highlight w:val="none"/>
        </w:rPr>
        <w:t xml:space="preserve">4</w:t>
      </w:r>
      <w:bookmarkStart w:id="242" w:name="_Ref468451071"/>
      <w:r>
        <w:rPr>
          <w:color w:val="000000"/>
          <w:sz w:val="24"/>
          <w:szCs w:val="24"/>
          <w:highlight w:val="none"/>
        </w:rPr>
        <w:t xml:space="preserve">乙方未履行本合同</w:t>
      </w:r>
      <w:r>
        <w:rPr>
          <w:rFonts w:hint="eastAsia"/>
          <w:color w:val="000000"/>
          <w:sz w:val="24"/>
          <w:szCs w:val="24"/>
          <w:highlight w:val="none"/>
        </w:rPr>
        <w:t xml:space="preserve">项</w:t>
      </w:r>
      <w:r>
        <w:rPr>
          <w:color w:val="000000"/>
          <w:sz w:val="24"/>
          <w:szCs w:val="24"/>
          <w:highlight w:val="none"/>
        </w:rPr>
        <w:t xml:space="preserve">下的义务构成对本合同的实质性违约</w:t>
      </w:r>
      <w:r>
        <w:rPr>
          <w:rFonts w:hint="eastAsia"/>
          <w:color w:val="000000"/>
          <w:sz w:val="24"/>
          <w:szCs w:val="24"/>
          <w:highlight w:val="none"/>
        </w:rPr>
        <w:t xml:space="preserve">或者乙方在收到甲方说明其违约情形并要求乙方采取</w:t>
      </w:r>
      <w:r>
        <w:rPr>
          <w:color w:val="000000"/>
          <w:sz w:val="24"/>
          <w:szCs w:val="24"/>
          <w:highlight w:val="none"/>
        </w:rPr>
        <w:t xml:space="preserve">补救的书面通知</w:t>
      </w:r>
      <w:r>
        <w:rPr>
          <w:rFonts w:hint="eastAsia"/>
          <w:color w:val="000000"/>
          <w:sz w:val="24"/>
          <w:szCs w:val="24"/>
          <w:highlight w:val="none"/>
        </w:rPr>
        <w:t xml:space="preserve">的期限</w:t>
      </w:r>
      <w:r>
        <w:rPr>
          <w:color w:val="000000"/>
          <w:sz w:val="24"/>
          <w:szCs w:val="24"/>
          <w:highlight w:val="none"/>
        </w:rPr>
        <w:t xml:space="preserve">内仍未能补救该违约</w:t>
      </w:r>
      <w:r>
        <w:rPr>
          <w:rFonts w:hint="eastAsia"/>
          <w:color w:val="000000"/>
          <w:sz w:val="24"/>
          <w:szCs w:val="24"/>
          <w:highlight w:val="none"/>
        </w:rPr>
        <w:t xml:space="preserve">情形；</w:t>
      </w:r>
      <w:r>
        <w:rPr>
          <w:rFonts w:hint="eastAsia"/>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8.1.</w:t>
      </w:r>
      <w:r>
        <w:rPr>
          <w:rFonts w:hint="eastAsia"/>
          <w:color w:val="000000"/>
          <w:sz w:val="24"/>
          <w:szCs w:val="24"/>
          <w:highlight w:val="none"/>
        </w:rPr>
        <w:t xml:space="preserve">5</w:t>
      </w:r>
      <w:r>
        <w:rPr>
          <w:color w:val="000000"/>
          <w:sz w:val="24"/>
          <w:szCs w:val="24"/>
          <w:highlight w:val="none"/>
        </w:rPr>
        <w:t xml:space="preserve">未经甲方事先书面同意，乙方</w:t>
      </w:r>
      <w:r>
        <w:rPr>
          <w:rFonts w:hint="eastAsia"/>
          <w:color w:val="000000"/>
          <w:sz w:val="24"/>
          <w:szCs w:val="24"/>
          <w:highlight w:val="none"/>
        </w:rPr>
        <w:t xml:space="preserve">单方</w:t>
      </w:r>
      <w:r>
        <w:rPr>
          <w:color w:val="000000"/>
          <w:sz w:val="24"/>
          <w:szCs w:val="24"/>
          <w:highlight w:val="none"/>
        </w:rPr>
        <w:t xml:space="preserve">中止对</w:t>
      </w:r>
      <w:r>
        <w:rPr>
          <w:rFonts w:hint="eastAsia"/>
          <w:color w:val="000000"/>
          <w:sz w:val="24"/>
          <w:szCs w:val="24"/>
          <w:highlight w:val="none"/>
        </w:rPr>
        <w:t xml:space="preserve">任一污水处理设施</w:t>
      </w:r>
      <w:r>
        <w:rPr>
          <w:color w:val="000000"/>
          <w:sz w:val="24"/>
          <w:szCs w:val="24"/>
          <w:highlight w:val="none"/>
        </w:rPr>
        <w:t xml:space="preserve">的</w:t>
      </w:r>
      <w:r>
        <w:rPr>
          <w:rFonts w:hint="eastAsia"/>
          <w:color w:val="000000"/>
          <w:sz w:val="24"/>
          <w:szCs w:val="24"/>
          <w:highlight w:val="none"/>
        </w:rPr>
        <w:t xml:space="preserve">运维。如果</w:t>
      </w:r>
      <w:r>
        <w:rPr>
          <w:color w:val="000000"/>
          <w:sz w:val="24"/>
          <w:szCs w:val="24"/>
          <w:highlight w:val="none"/>
        </w:rPr>
        <w:t xml:space="preserve">发生进水中含有对生物处理有破坏作用的有毒物质并将对生物处理系统产生明显不利影响的</w:t>
      </w:r>
      <w:r>
        <w:rPr>
          <w:rFonts w:hint="eastAsia"/>
          <w:color w:val="000000"/>
          <w:sz w:val="24"/>
          <w:szCs w:val="24"/>
          <w:highlight w:val="none"/>
        </w:rPr>
        <w:t xml:space="preserve">、乙方出于为维护设施正常运转目的、乙方进行水质或设备调试中必要工序的等有利于设施运行的</w:t>
      </w:r>
      <w:r>
        <w:rPr>
          <w:color w:val="000000"/>
          <w:sz w:val="24"/>
          <w:szCs w:val="24"/>
          <w:highlight w:val="none"/>
        </w:rPr>
        <w:t xml:space="preserve">情况</w:t>
      </w:r>
      <w:r>
        <w:rPr>
          <w:rFonts w:hint="eastAsia"/>
          <w:color w:val="000000"/>
          <w:sz w:val="24"/>
          <w:szCs w:val="24"/>
          <w:highlight w:val="none"/>
        </w:rPr>
        <w:t xml:space="preserve">，需经甲方事先书面同意；</w:t>
      </w:r>
      <w:bookmarkEnd w:id="242"/>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8.1.</w:t>
      </w:r>
      <w:r>
        <w:rPr>
          <w:rFonts w:hint="eastAsia"/>
          <w:color w:val="000000"/>
          <w:sz w:val="24"/>
          <w:szCs w:val="24"/>
          <w:highlight w:val="none"/>
        </w:rPr>
        <w:t xml:space="preserve">6除报经甲方同意的计划内维修外，未经甲方事先书面同意，乙方擅自停止对污水收集管网全部或部分设施的养护管理（如属紧急情况的除外，但应在发生的同时口头告知甲方，并应在发生后3天内书面报告甲方）；</w:t>
      </w:r>
      <w:r>
        <w:rPr>
          <w:color w:val="000000"/>
          <w:sz w:val="24"/>
          <w:szCs w:val="24"/>
          <w:highlight w:val="none"/>
        </w:rPr>
      </w:r>
      <w:r/>
    </w:p>
    <w:p>
      <w:pPr>
        <w:pStyle w:val="851"/>
        <w:ind w:firstLine="560"/>
        <w:spacing w:line="480" w:lineRule="exact"/>
        <w:rPr>
          <w:rFonts w:hint="eastAsia"/>
          <w:color w:val="000000"/>
          <w:sz w:val="24"/>
          <w:szCs w:val="24"/>
          <w:highlight w:val="none"/>
        </w:rPr>
      </w:pPr>
      <w:r>
        <w:rPr>
          <w:rFonts w:hint="eastAsia"/>
          <w:color w:val="000000"/>
          <w:sz w:val="24"/>
          <w:szCs w:val="24"/>
          <w:highlight w:val="none"/>
        </w:rPr>
        <w:t xml:space="preserve">8</w:t>
      </w:r>
      <w:r>
        <w:rPr>
          <w:color w:val="000000"/>
          <w:sz w:val="24"/>
          <w:szCs w:val="24"/>
          <w:highlight w:val="none"/>
        </w:rPr>
        <w:t xml:space="preserve">.1.</w:t>
      </w:r>
      <w:r>
        <w:rPr>
          <w:rFonts w:hint="eastAsia"/>
          <w:color w:val="000000"/>
          <w:sz w:val="24"/>
          <w:szCs w:val="24"/>
          <w:highlight w:val="none"/>
        </w:rPr>
        <w:t xml:space="preserve">7乙方因违反国家法律法规规范的规定，运维不善，发生重大质量、生产安全事故、环保责任的；</w:t>
      </w:r>
      <w:r>
        <w:rPr>
          <w:rFonts w:hint="eastAsia"/>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8.1.8若发生区级及以上任何政府部门对项目设施或其任何部分实行的征收、征用、国有化或污水处理设施和污水收集管网所在村镇整体搬迁的情形，依照法律规定双方可进行协商处理，甲方亦可提前终止本合同。但未经甲方同意，乙方不得单方停止运维。</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43" w:name="_Toc469053943"/>
      <w:r/>
      <w:bookmarkEnd w:id="243"/>
      <w:r/>
      <w:bookmarkStart w:id="244" w:name="_Toc469045850"/>
      <w:r/>
      <w:bookmarkEnd w:id="244"/>
      <w:r/>
      <w:bookmarkStart w:id="245" w:name="_Toc469054027"/>
      <w:r/>
      <w:bookmarkEnd w:id="245"/>
      <w:r/>
      <w:bookmarkStart w:id="246" w:name="_Toc8671"/>
      <w:r/>
      <w:bookmarkStart w:id="247" w:name="_Ref277075754"/>
      <w:r/>
      <w:bookmarkStart w:id="248" w:name="_Toc2901"/>
      <w:r/>
      <w:bookmarkStart w:id="249" w:name="_Toc12057673"/>
      <w:r>
        <w:rPr>
          <w:rFonts w:hint="eastAsia"/>
          <w:color w:val="000000"/>
          <w:sz w:val="24"/>
          <w:szCs w:val="24"/>
          <w:highlight w:val="none"/>
        </w:rPr>
        <w:t xml:space="preserve">8</w:t>
      </w:r>
      <w:r>
        <w:rPr>
          <w:color w:val="000000"/>
          <w:sz w:val="24"/>
          <w:szCs w:val="24"/>
          <w:highlight w:val="none"/>
        </w:rPr>
        <w:t xml:space="preserve">.2由乙方提出的提前终止</w:t>
      </w:r>
      <w:bookmarkEnd w:id="246"/>
      <w:r/>
      <w:bookmarkEnd w:id="247"/>
      <w:r/>
      <w:bookmarkEnd w:id="248"/>
      <w:r/>
      <w:bookmarkEnd w:id="249"/>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下述每一条款所述事件，如果不是由于不可抗力或乙方的违约所致，如果有允许的纠正期限而在该期限内未能纠正，</w:t>
      </w:r>
      <w:r>
        <w:rPr>
          <w:rFonts w:hint="eastAsia"/>
          <w:color w:val="000000"/>
          <w:sz w:val="24"/>
          <w:szCs w:val="24"/>
          <w:highlight w:val="none"/>
        </w:rPr>
        <w:t xml:space="preserve">即构成甲方严重违约事件，</w:t>
      </w:r>
      <w:r>
        <w:rPr>
          <w:color w:val="000000"/>
          <w:sz w:val="24"/>
          <w:szCs w:val="24"/>
          <w:highlight w:val="none"/>
        </w:rPr>
        <w:t xml:space="preserve">乙方有权立即发出</w:t>
      </w:r>
      <w:r>
        <w:rPr>
          <w:rFonts w:hint="eastAsia"/>
          <w:color w:val="000000"/>
          <w:sz w:val="24"/>
          <w:szCs w:val="24"/>
          <w:highlight w:val="none"/>
        </w:rPr>
        <w:t xml:space="preserve">本合同</w:t>
      </w:r>
      <w:r>
        <w:rPr>
          <w:color w:val="000000"/>
          <w:sz w:val="24"/>
          <w:szCs w:val="24"/>
          <w:highlight w:val="none"/>
        </w:rPr>
        <w:t xml:space="preserve">的提前终止意向通知：</w:t>
      </w:r>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8.2.</w:t>
      </w:r>
      <w:r>
        <w:rPr>
          <w:rFonts w:hint="eastAsia"/>
          <w:color w:val="000000"/>
          <w:sz w:val="24"/>
          <w:szCs w:val="24"/>
          <w:highlight w:val="none"/>
        </w:rPr>
        <w:t xml:space="preserve">1</w:t>
      </w:r>
      <w:r>
        <w:rPr>
          <w:color w:val="000000"/>
          <w:sz w:val="24"/>
          <w:szCs w:val="24"/>
          <w:highlight w:val="none"/>
        </w:rPr>
        <w:t xml:space="preserve">甲方未履行本合同</w:t>
      </w:r>
      <w:r>
        <w:rPr>
          <w:rFonts w:hint="eastAsia"/>
          <w:color w:val="000000"/>
          <w:sz w:val="24"/>
          <w:szCs w:val="24"/>
          <w:highlight w:val="none"/>
        </w:rPr>
        <w:t xml:space="preserve">项</w:t>
      </w:r>
      <w:r>
        <w:rPr>
          <w:color w:val="000000"/>
          <w:sz w:val="24"/>
          <w:szCs w:val="24"/>
          <w:highlight w:val="none"/>
        </w:rPr>
        <w:t xml:space="preserve">下的义务构成对本合同的实质性违约，并且在收到乙方说明其违约并要求补救的书面通知后六十（60）日内仍未能补救该实质性违约。</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50" w:name="_Toc24503"/>
      <w:r/>
      <w:bookmarkStart w:id="251" w:name="_Ref277076114"/>
      <w:r/>
      <w:bookmarkStart w:id="252" w:name="_Toc12057674"/>
      <w:r/>
      <w:bookmarkStart w:id="253" w:name="_Toc23665"/>
      <w:r>
        <w:rPr>
          <w:rFonts w:hint="eastAsia"/>
          <w:color w:val="000000"/>
          <w:sz w:val="24"/>
          <w:szCs w:val="24"/>
          <w:highlight w:val="none"/>
        </w:rPr>
        <w:t xml:space="preserve">8</w:t>
      </w:r>
      <w:r>
        <w:rPr>
          <w:color w:val="000000"/>
          <w:sz w:val="24"/>
          <w:szCs w:val="24"/>
          <w:highlight w:val="none"/>
        </w:rPr>
        <w:t xml:space="preserve">.3不可抗力导致的提前终止</w:t>
      </w:r>
      <w:bookmarkEnd w:id="250"/>
      <w:r/>
      <w:bookmarkEnd w:id="251"/>
      <w:r/>
      <w:bookmarkEnd w:id="252"/>
      <w:r/>
      <w:bookmarkEnd w:id="253"/>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任何一方有权根据本合同第</w:t>
      </w:r>
      <w:r>
        <w:rPr>
          <w:color w:val="000000"/>
          <w:sz w:val="24"/>
          <w:szCs w:val="24"/>
          <w:highlight w:val="none"/>
        </w:rPr>
        <w:fldChar w:fldCharType="begin"/>
      </w:r>
      <w:r>
        <w:rPr>
          <w:color w:val="000000"/>
          <w:sz w:val="24"/>
          <w:szCs w:val="24"/>
          <w:highlight w:val="none"/>
        </w:rPr>
        <w:instrText xml:space="preserve"> REF _Ref277075444 \r \h  \* MERGEFORMAT </w:instrText>
      </w:r>
      <w:r>
        <w:rPr>
          <w:color w:val="000000"/>
          <w:sz w:val="24"/>
          <w:szCs w:val="24"/>
          <w:highlight w:val="none"/>
        </w:rPr>
        <w:fldChar w:fldCharType="separate"/>
      </w:r>
      <w:r>
        <w:rPr>
          <w:color w:val="000000"/>
          <w:sz w:val="24"/>
          <w:szCs w:val="24"/>
          <w:highlight w:val="none"/>
        </w:rPr>
        <w:t xml:space="preserve">7.4</w:t>
      </w:r>
      <w:r>
        <w:rPr>
          <w:color w:val="000000"/>
          <w:sz w:val="24"/>
          <w:szCs w:val="24"/>
          <w:highlight w:val="none"/>
        </w:rPr>
        <w:fldChar w:fldCharType="end"/>
      </w:r>
      <w:r>
        <w:rPr>
          <w:color w:val="000000"/>
          <w:sz w:val="24"/>
          <w:szCs w:val="24"/>
          <w:highlight w:val="none"/>
        </w:rPr>
        <w:t xml:space="preserve">和第</w:t>
      </w:r>
      <w:r>
        <w:rPr>
          <w:color w:val="000000"/>
          <w:sz w:val="24"/>
          <w:szCs w:val="24"/>
          <w:highlight w:val="none"/>
        </w:rPr>
        <w:fldChar w:fldCharType="begin"/>
      </w:r>
      <w:r>
        <w:rPr>
          <w:color w:val="000000"/>
          <w:sz w:val="24"/>
          <w:szCs w:val="24"/>
          <w:highlight w:val="none"/>
        </w:rPr>
        <w:instrText xml:space="preserve"> REF _Ref286233858 \r \h  \* MERGEFORMAT </w:instrText>
      </w:r>
      <w:r>
        <w:rPr>
          <w:color w:val="000000"/>
          <w:sz w:val="24"/>
          <w:szCs w:val="24"/>
          <w:highlight w:val="none"/>
        </w:rPr>
        <w:fldChar w:fldCharType="separate"/>
      </w:r>
      <w:r>
        <w:rPr>
          <w:color w:val="000000"/>
          <w:sz w:val="24"/>
          <w:szCs w:val="24"/>
          <w:highlight w:val="none"/>
        </w:rPr>
        <w:t xml:space="preserve">7.7</w:t>
      </w:r>
      <w:r>
        <w:rPr>
          <w:color w:val="000000"/>
          <w:sz w:val="24"/>
          <w:szCs w:val="24"/>
          <w:highlight w:val="none"/>
        </w:rPr>
        <w:fldChar w:fldCharType="end"/>
      </w:r>
      <w:r>
        <w:rPr>
          <w:color w:val="000000"/>
          <w:sz w:val="24"/>
          <w:szCs w:val="24"/>
          <w:highlight w:val="none"/>
        </w:rPr>
        <w:t xml:space="preserve">条款有关不可抗力的规定向另一方发出本合同的提前终止通知。</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54" w:name="_Toc9224"/>
      <w:r/>
      <w:bookmarkStart w:id="255" w:name="_Toc236018890"/>
      <w:r/>
      <w:bookmarkStart w:id="256" w:name="_Toc179826132"/>
      <w:r/>
      <w:bookmarkStart w:id="257" w:name="_Toc12057675"/>
      <w:r/>
      <w:bookmarkStart w:id="258" w:name="_Ref176840981"/>
      <w:r/>
      <w:bookmarkStart w:id="259" w:name="_Ref531707962"/>
      <w:r/>
      <w:bookmarkStart w:id="260" w:name="_Toc178678775"/>
      <w:r/>
      <w:bookmarkStart w:id="261" w:name="_Toc1910"/>
      <w:r>
        <w:rPr>
          <w:rFonts w:hint="eastAsia"/>
          <w:color w:val="000000"/>
          <w:sz w:val="24"/>
          <w:szCs w:val="24"/>
          <w:highlight w:val="none"/>
        </w:rPr>
        <w:t xml:space="preserve">8</w:t>
      </w:r>
      <w:r>
        <w:rPr>
          <w:color w:val="000000"/>
          <w:sz w:val="24"/>
          <w:szCs w:val="24"/>
          <w:highlight w:val="none"/>
        </w:rPr>
        <w:t xml:space="preserve">.4提前终止意向通知和提前终止通知</w:t>
      </w:r>
      <w:bookmarkEnd w:id="254"/>
      <w:r/>
      <w:bookmarkEnd w:id="255"/>
      <w:r/>
      <w:bookmarkEnd w:id="256"/>
      <w:r/>
      <w:bookmarkEnd w:id="257"/>
      <w:r/>
      <w:bookmarkEnd w:id="258"/>
      <w:r/>
      <w:bookmarkEnd w:id="259"/>
      <w:r/>
      <w:bookmarkEnd w:id="260"/>
      <w:r/>
      <w:bookmarkEnd w:id="261"/>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提前终止通知到达另一方之日起合同终止</w:t>
      </w:r>
      <w:r>
        <w:rPr>
          <w:color w:val="000000"/>
          <w:sz w:val="24"/>
          <w:szCs w:val="24"/>
          <w:highlight w:val="none"/>
        </w:rPr>
        <w:t xml:space="preserve">，另一方收到提前终止通知后的次日即为提前移交日（下称“提前移交日”）。</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62" w:name="_Toc178678776"/>
      <w:r/>
      <w:bookmarkStart w:id="263" w:name="_Toc29005"/>
      <w:r/>
      <w:bookmarkStart w:id="264" w:name="_Toc30517"/>
      <w:r/>
      <w:bookmarkStart w:id="265" w:name="_Toc236018891"/>
      <w:r/>
      <w:bookmarkStart w:id="266" w:name="_Toc12057676"/>
      <w:r/>
      <w:bookmarkStart w:id="267" w:name="_Toc179826133"/>
      <w:r>
        <w:rPr>
          <w:rFonts w:hint="eastAsia"/>
          <w:color w:val="000000"/>
          <w:sz w:val="24"/>
          <w:szCs w:val="24"/>
          <w:highlight w:val="none"/>
        </w:rPr>
        <w:t xml:space="preserve">8</w:t>
      </w:r>
      <w:r>
        <w:rPr>
          <w:color w:val="000000"/>
          <w:sz w:val="24"/>
          <w:szCs w:val="24"/>
          <w:highlight w:val="none"/>
        </w:rPr>
        <w:t xml:space="preserve">.5提前终止的一般后果</w:t>
      </w:r>
      <w:bookmarkEnd w:id="262"/>
      <w:r/>
      <w:bookmarkEnd w:id="263"/>
      <w:r/>
      <w:bookmarkEnd w:id="264"/>
      <w:r/>
      <w:bookmarkEnd w:id="265"/>
      <w:r/>
      <w:bookmarkEnd w:id="266"/>
      <w:r/>
      <w:bookmarkEnd w:id="267"/>
      <w:r>
        <w:rPr>
          <w:color w:val="000000"/>
          <w:sz w:val="24"/>
          <w:szCs w:val="24"/>
          <w:highlight w:val="none"/>
        </w:rPr>
      </w:r>
      <w:r/>
    </w:p>
    <w:p>
      <w:pPr>
        <w:pStyle w:val="851"/>
        <w:ind w:firstLine="560"/>
        <w:spacing w:line="480" w:lineRule="exact"/>
        <w:rPr>
          <w:color w:val="000000"/>
          <w:sz w:val="24"/>
          <w:szCs w:val="24"/>
          <w:highlight w:val="none"/>
        </w:rPr>
      </w:pPr>
      <w:r>
        <w:rPr>
          <w:rFonts w:hint="eastAsia"/>
          <w:color w:val="000000"/>
          <w:sz w:val="24"/>
          <w:szCs w:val="24"/>
          <w:highlight w:val="none"/>
        </w:rPr>
        <w:t xml:space="preserve">8</w:t>
      </w:r>
      <w:r>
        <w:rPr>
          <w:color w:val="000000"/>
          <w:sz w:val="24"/>
          <w:szCs w:val="24"/>
          <w:highlight w:val="none"/>
        </w:rPr>
        <w:t xml:space="preserve">.5.1自任何一方发出提前终止意向通知起，至提前移交日前一日，双方应继续履行本合同下的权利和义务。</w:t>
      </w:r>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8.5.2自提前移交日起，甲方应立即自行承担费用负责提前终止的</w:t>
      </w:r>
      <w:r>
        <w:rPr>
          <w:rFonts w:hint="eastAsia"/>
          <w:color w:val="000000"/>
          <w:sz w:val="24"/>
          <w:szCs w:val="24"/>
          <w:highlight w:val="none"/>
        </w:rPr>
        <w:t xml:space="preserve">项目设施</w:t>
      </w:r>
      <w:r>
        <w:rPr>
          <w:color w:val="000000"/>
          <w:sz w:val="24"/>
          <w:szCs w:val="24"/>
          <w:highlight w:val="none"/>
        </w:rPr>
        <w:t xml:space="preserve">的</w:t>
      </w:r>
      <w:r>
        <w:rPr>
          <w:rFonts w:hint="eastAsia"/>
          <w:color w:val="000000"/>
          <w:sz w:val="24"/>
          <w:szCs w:val="24"/>
          <w:highlight w:val="none"/>
        </w:rPr>
        <w:t xml:space="preserve">运维</w:t>
      </w:r>
      <w:r>
        <w:rPr>
          <w:color w:val="000000"/>
          <w:sz w:val="24"/>
          <w:szCs w:val="24"/>
          <w:highlight w:val="none"/>
        </w:rPr>
        <w:t xml:space="preserve">、维护</w:t>
      </w:r>
      <w:r>
        <w:rPr>
          <w:rFonts w:hint="eastAsia"/>
          <w:color w:val="000000"/>
          <w:sz w:val="24"/>
          <w:szCs w:val="24"/>
          <w:highlight w:val="none"/>
        </w:rPr>
        <w:t xml:space="preserve">和</w:t>
      </w:r>
      <w:r>
        <w:rPr>
          <w:color w:val="000000"/>
          <w:sz w:val="24"/>
          <w:szCs w:val="24"/>
          <w:highlight w:val="none"/>
        </w:rPr>
        <w:t xml:space="preserve">管理，</w:t>
      </w:r>
      <w:r>
        <w:rPr>
          <w:rFonts w:hint="eastAsia"/>
          <w:color w:val="000000"/>
          <w:sz w:val="24"/>
          <w:szCs w:val="24"/>
          <w:highlight w:val="none"/>
        </w:rPr>
        <w:t xml:space="preserve">乙方</w:t>
      </w:r>
      <w:r>
        <w:rPr>
          <w:color w:val="000000"/>
          <w:sz w:val="24"/>
          <w:szCs w:val="24"/>
          <w:highlight w:val="none"/>
        </w:rPr>
        <w:t xml:space="preserve">有义务配合交接工作，并按照第</w:t>
      </w:r>
      <w:r>
        <w:rPr>
          <w:color w:val="000000"/>
          <w:sz w:val="24"/>
          <w:szCs w:val="24"/>
          <w:highlight w:val="none"/>
        </w:rPr>
        <w:fldChar w:fldCharType="begin"/>
      </w:r>
      <w:r>
        <w:rPr>
          <w:color w:val="000000"/>
          <w:sz w:val="24"/>
          <w:szCs w:val="24"/>
          <w:highlight w:val="none"/>
        </w:rPr>
        <w:instrText xml:space="preserve"> REF _Ref176840579 \r \h  \* MERGEFORMAT </w:instrText>
      </w:r>
      <w:r>
        <w:rPr>
          <w:color w:val="000000"/>
          <w:sz w:val="24"/>
          <w:szCs w:val="24"/>
          <w:highlight w:val="none"/>
        </w:rPr>
        <w:fldChar w:fldCharType="separate"/>
      </w:r>
      <w:r>
        <w:rPr>
          <w:color w:val="000000"/>
          <w:sz w:val="24"/>
          <w:szCs w:val="24"/>
          <w:highlight w:val="none"/>
        </w:rPr>
        <w:t xml:space="preserve">8.6</w:t>
      </w:r>
      <w:r>
        <w:rPr>
          <w:color w:val="000000"/>
          <w:sz w:val="24"/>
          <w:szCs w:val="24"/>
          <w:highlight w:val="none"/>
        </w:rPr>
        <w:fldChar w:fldCharType="end"/>
      </w:r>
      <w:r>
        <w:rPr>
          <w:color w:val="000000"/>
          <w:sz w:val="24"/>
          <w:szCs w:val="24"/>
          <w:highlight w:val="none"/>
        </w:rPr>
        <w:t xml:space="preserve">条款与乙方进行提前移交</w:t>
      </w:r>
      <w:r>
        <w:rPr>
          <w:rFonts w:hint="eastAsia"/>
          <w:color w:val="000000"/>
          <w:sz w:val="24"/>
          <w:szCs w:val="24"/>
          <w:highlight w:val="none"/>
        </w:rPr>
        <w:t xml:space="preserve">，移交</w:t>
      </w:r>
      <w:r>
        <w:rPr>
          <w:color w:val="000000"/>
          <w:sz w:val="24"/>
          <w:szCs w:val="24"/>
          <w:highlight w:val="none"/>
        </w:rPr>
        <w:t xml:space="preserve">后</w:t>
      </w:r>
      <w:r>
        <w:rPr>
          <w:rFonts w:hint="eastAsia"/>
          <w:color w:val="000000"/>
          <w:sz w:val="24"/>
          <w:szCs w:val="24"/>
          <w:highlight w:val="none"/>
        </w:rPr>
        <w:t xml:space="preserve">乙方</w:t>
      </w:r>
      <w:r>
        <w:rPr>
          <w:color w:val="000000"/>
          <w:sz w:val="24"/>
          <w:szCs w:val="24"/>
          <w:highlight w:val="none"/>
        </w:rPr>
        <w:t xml:space="preserve">无</w:t>
      </w:r>
      <w:r>
        <w:rPr>
          <w:rFonts w:hint="eastAsia"/>
          <w:color w:val="000000"/>
          <w:sz w:val="24"/>
          <w:szCs w:val="24"/>
          <w:highlight w:val="none"/>
        </w:rPr>
        <w:t xml:space="preserve">权</w:t>
      </w:r>
      <w:r>
        <w:rPr>
          <w:color w:val="000000"/>
          <w:sz w:val="24"/>
          <w:szCs w:val="24"/>
          <w:highlight w:val="none"/>
        </w:rPr>
        <w:t xml:space="preserve">取得后续</w:t>
      </w:r>
      <w:r>
        <w:rPr>
          <w:rFonts w:hint="eastAsia"/>
          <w:color w:val="000000"/>
          <w:sz w:val="24"/>
          <w:szCs w:val="24"/>
          <w:highlight w:val="none"/>
        </w:rPr>
        <w:t xml:space="preserve">的服务费</w:t>
      </w:r>
      <w:r>
        <w:rPr>
          <w:color w:val="000000"/>
          <w:sz w:val="24"/>
          <w:szCs w:val="24"/>
          <w:highlight w:val="none"/>
        </w:rPr>
        <w:t xml:space="preserve">。</w:t>
      </w:r>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8.5.3自提前移交日起，双方在本合同</w:t>
      </w:r>
      <w:r>
        <w:rPr>
          <w:rFonts w:hint="eastAsia"/>
          <w:color w:val="000000"/>
          <w:sz w:val="24"/>
          <w:szCs w:val="24"/>
          <w:highlight w:val="none"/>
        </w:rPr>
        <w:t xml:space="preserve">项</w:t>
      </w:r>
      <w:r>
        <w:rPr>
          <w:color w:val="000000"/>
          <w:sz w:val="24"/>
          <w:szCs w:val="24"/>
          <w:highlight w:val="none"/>
        </w:rPr>
        <w:t xml:space="preserve">下未履行完毕的其他权利和义务应当继续履行，包括根据</w:t>
      </w:r>
      <w:r>
        <w:rPr>
          <w:color w:val="000000"/>
          <w:highlight w:val="none"/>
        </w:rPr>
        <w:fldChar w:fldCharType="begin"/>
      </w:r>
      <w:r>
        <w:rPr>
          <w:color w:val="000000"/>
          <w:highlight w:val="none"/>
        </w:rPr>
        <w:instrText xml:space="preserve"> HYPERLINK \l "_提前终止后的补偿" </w:instrText>
      </w:r>
      <w:r>
        <w:rPr>
          <w:color w:val="000000"/>
          <w:highlight w:val="none"/>
        </w:rPr>
        <w:fldChar w:fldCharType="separate"/>
      </w:r>
      <w:r>
        <w:rPr>
          <w:color w:val="000000"/>
          <w:sz w:val="24"/>
          <w:szCs w:val="24"/>
          <w:highlight w:val="none"/>
        </w:rPr>
        <w:t xml:space="preserve">第</w:t>
      </w:r>
      <w:r>
        <w:rPr>
          <w:color w:val="000000"/>
          <w:sz w:val="24"/>
          <w:szCs w:val="24"/>
          <w:highlight w:val="none"/>
        </w:rPr>
        <w:fldChar w:fldCharType="begin"/>
      </w:r>
      <w:r>
        <w:rPr>
          <w:color w:val="000000"/>
          <w:sz w:val="24"/>
          <w:szCs w:val="24"/>
          <w:highlight w:val="none"/>
        </w:rPr>
        <w:instrText xml:space="preserve"> REF _Ref277075977 \r \h  \* MERGEFORMAT </w:instrText>
      </w:r>
      <w:r>
        <w:rPr>
          <w:color w:val="000000"/>
          <w:sz w:val="24"/>
          <w:szCs w:val="24"/>
          <w:highlight w:val="none"/>
        </w:rPr>
        <w:fldChar w:fldCharType="separate"/>
      </w:r>
      <w:r>
        <w:rPr>
          <w:color w:val="000000"/>
          <w:sz w:val="24"/>
          <w:szCs w:val="24"/>
          <w:highlight w:val="none"/>
        </w:rPr>
        <w:t xml:space="preserve">8.7</w:t>
      </w:r>
      <w:r>
        <w:rPr>
          <w:color w:val="000000"/>
          <w:sz w:val="24"/>
          <w:szCs w:val="24"/>
          <w:highlight w:val="none"/>
        </w:rPr>
        <w:fldChar w:fldCharType="end"/>
      </w:r>
      <w:r>
        <w:rPr>
          <w:color w:val="000000"/>
          <w:sz w:val="24"/>
          <w:szCs w:val="24"/>
          <w:highlight w:val="none"/>
        </w:rPr>
        <w:t xml:space="preserve">条</w:t>
      </w:r>
      <w:r>
        <w:rPr>
          <w:color w:val="000000"/>
          <w:sz w:val="24"/>
          <w:szCs w:val="24"/>
          <w:highlight w:val="none"/>
        </w:rPr>
        <w:fldChar w:fldCharType="end"/>
      </w:r>
      <w:r>
        <w:rPr>
          <w:color w:val="000000"/>
          <w:sz w:val="24"/>
          <w:szCs w:val="24"/>
          <w:highlight w:val="none"/>
        </w:rPr>
        <w:t xml:space="preserve">款可能到期应付的任何款项；本合同的提前终止不影响本合同中争议解决条款和任何在本合同终止后仍然有效的其他条款的效力。</w:t>
      </w:r>
      <w:r>
        <w:rPr>
          <w:color w:val="000000"/>
          <w:sz w:val="24"/>
          <w:szCs w:val="24"/>
          <w:highlight w:val="none"/>
        </w:rPr>
      </w:r>
      <w:r/>
    </w:p>
    <w:p>
      <w:pPr>
        <w:pStyle w:val="958"/>
        <w:ind w:firstLine="482"/>
        <w:spacing w:before="0" w:after="0" w:line="480" w:lineRule="exact"/>
        <w:rPr>
          <w:color w:val="000000"/>
          <w:sz w:val="24"/>
          <w:szCs w:val="24"/>
          <w:highlight w:val="none"/>
        </w:rPr>
      </w:pPr>
      <w:r/>
      <w:bookmarkStart w:id="268" w:name="_Toc24903"/>
      <w:r/>
      <w:bookmarkStart w:id="269" w:name="_Toc236018892"/>
      <w:r/>
      <w:bookmarkStart w:id="270" w:name="_Toc178678777"/>
      <w:r/>
      <w:bookmarkStart w:id="271" w:name="_Toc12057677"/>
      <w:r/>
      <w:bookmarkStart w:id="272" w:name="_Toc4160"/>
      <w:r/>
      <w:bookmarkStart w:id="273" w:name="_Toc179826134"/>
      <w:r/>
      <w:bookmarkStart w:id="274" w:name="_Ref176840579"/>
      <w:r>
        <w:rPr>
          <w:rFonts w:hint="eastAsia"/>
          <w:color w:val="000000"/>
          <w:sz w:val="24"/>
          <w:szCs w:val="24"/>
          <w:highlight w:val="none"/>
        </w:rPr>
        <w:t xml:space="preserve">8</w:t>
      </w:r>
      <w:r>
        <w:rPr>
          <w:color w:val="000000"/>
          <w:sz w:val="24"/>
          <w:szCs w:val="24"/>
          <w:highlight w:val="none"/>
        </w:rPr>
        <w:t xml:space="preserve">.6提前终止后的提前移交</w:t>
      </w:r>
      <w:bookmarkEnd w:id="268"/>
      <w:r/>
      <w:bookmarkEnd w:id="269"/>
      <w:r/>
      <w:bookmarkEnd w:id="270"/>
      <w:r/>
      <w:bookmarkEnd w:id="271"/>
      <w:r/>
      <w:bookmarkEnd w:id="272"/>
      <w:r/>
      <w:bookmarkEnd w:id="273"/>
      <w:r/>
      <w:bookmarkEnd w:id="274"/>
      <w:r>
        <w:rPr>
          <w:color w:val="000000"/>
          <w:sz w:val="24"/>
          <w:szCs w:val="24"/>
          <w:highlight w:val="none"/>
        </w:rPr>
      </w:r>
      <w:r/>
    </w:p>
    <w:p>
      <w:pPr>
        <w:pStyle w:val="851"/>
        <w:ind w:firstLine="480"/>
        <w:spacing w:line="480" w:lineRule="exact"/>
        <w:rPr>
          <w:color w:val="000000"/>
          <w:sz w:val="24"/>
          <w:szCs w:val="24"/>
          <w:highlight w:val="none"/>
        </w:rPr>
      </w:pPr>
      <w:r/>
      <w:bookmarkStart w:id="275" w:name="_Ref109126981"/>
      <w:r>
        <w:rPr>
          <w:rFonts w:hint="eastAsia"/>
          <w:color w:val="000000"/>
          <w:sz w:val="24"/>
          <w:szCs w:val="24"/>
          <w:highlight w:val="none"/>
        </w:rPr>
        <w:t xml:space="preserve">8</w:t>
      </w:r>
      <w:r>
        <w:rPr>
          <w:color w:val="000000"/>
          <w:sz w:val="24"/>
          <w:szCs w:val="24"/>
          <w:highlight w:val="none"/>
        </w:rPr>
        <w:t xml:space="preserve">.6.1移交范围</w:t>
      </w:r>
      <w:bookmarkEnd w:id="275"/>
      <w:r>
        <w:rPr>
          <w:color w:val="000000"/>
          <w:sz w:val="24"/>
          <w:szCs w:val="24"/>
          <w:highlight w:val="none"/>
        </w:rPr>
      </w:r>
      <w:r/>
    </w:p>
    <w:p>
      <w:pPr>
        <w:pStyle w:val="851"/>
        <w:ind w:firstLine="480"/>
        <w:spacing w:line="480" w:lineRule="exact"/>
        <w:rPr>
          <w:color w:val="000000"/>
          <w:sz w:val="24"/>
          <w:szCs w:val="24"/>
          <w:highlight w:val="none"/>
        </w:rPr>
      </w:pPr>
      <w:r>
        <w:rPr>
          <w:color w:val="000000"/>
          <w:sz w:val="24"/>
          <w:szCs w:val="24"/>
          <w:highlight w:val="none"/>
        </w:rPr>
        <w:t xml:space="preserve">本合同任何一方根据第</w:t>
      </w:r>
      <w:r>
        <w:rPr>
          <w:color w:val="000000"/>
          <w:sz w:val="24"/>
          <w:szCs w:val="24"/>
          <w:highlight w:val="none"/>
        </w:rPr>
        <w:fldChar w:fldCharType="begin"/>
      </w:r>
      <w:r>
        <w:rPr>
          <w:color w:val="000000"/>
          <w:sz w:val="24"/>
          <w:szCs w:val="24"/>
          <w:highlight w:val="none"/>
        </w:rPr>
        <w:instrText xml:space="preserve"> REF _Ref531707962 \r \h  \* MERGEFORMAT </w:instrText>
      </w:r>
      <w:r>
        <w:rPr>
          <w:color w:val="000000"/>
          <w:sz w:val="24"/>
          <w:szCs w:val="24"/>
          <w:highlight w:val="none"/>
        </w:rPr>
        <w:fldChar w:fldCharType="separate"/>
      </w:r>
      <w:r>
        <w:rPr>
          <w:color w:val="000000"/>
          <w:sz w:val="24"/>
          <w:szCs w:val="24"/>
          <w:highlight w:val="none"/>
        </w:rPr>
        <w:t xml:space="preserve">8.4</w:t>
      </w:r>
      <w:r>
        <w:rPr>
          <w:color w:val="000000"/>
          <w:sz w:val="24"/>
          <w:szCs w:val="24"/>
          <w:highlight w:val="none"/>
        </w:rPr>
        <w:fldChar w:fldCharType="end"/>
      </w:r>
      <w:r>
        <w:rPr>
          <w:color w:val="000000"/>
          <w:sz w:val="24"/>
          <w:szCs w:val="24"/>
          <w:highlight w:val="none"/>
        </w:rPr>
        <w:t xml:space="preserve">条款的规定发出提前终止通知后，乙方应根据第</w:t>
      </w:r>
      <w:r>
        <w:rPr>
          <w:color w:val="000000"/>
          <w:sz w:val="24"/>
          <w:szCs w:val="24"/>
          <w:highlight w:val="none"/>
        </w:rPr>
        <w:fldChar w:fldCharType="begin"/>
      </w:r>
      <w:r>
        <w:rPr>
          <w:color w:val="000000"/>
          <w:sz w:val="24"/>
          <w:szCs w:val="24"/>
          <w:highlight w:val="none"/>
        </w:rPr>
        <w:instrText xml:space="preserve"> REF _Ref109126656 \r \h  \* MERGEFORMAT </w:instrText>
      </w:r>
      <w:r>
        <w:rPr>
          <w:color w:val="000000"/>
          <w:sz w:val="24"/>
          <w:szCs w:val="24"/>
          <w:highlight w:val="none"/>
        </w:rPr>
        <w:fldChar w:fldCharType="separate"/>
      </w:r>
      <w:r>
        <w:rPr>
          <w:color w:val="000000"/>
          <w:sz w:val="24"/>
          <w:szCs w:val="24"/>
          <w:highlight w:val="none"/>
        </w:rPr>
        <w:t xml:space="preserve">8.6.2</w:t>
      </w:r>
      <w:r>
        <w:rPr>
          <w:color w:val="000000"/>
          <w:sz w:val="24"/>
          <w:szCs w:val="24"/>
          <w:highlight w:val="none"/>
        </w:rPr>
        <w:fldChar w:fldCharType="end"/>
      </w:r>
      <w:r>
        <w:rPr>
          <w:color w:val="000000"/>
          <w:sz w:val="24"/>
          <w:szCs w:val="24"/>
          <w:highlight w:val="none"/>
        </w:rPr>
        <w:t xml:space="preserve">条款规定的程序向甲方提前移交提前终止的项目设施、相关文件资料和与项目设施相关的所有权利和权益。</w:t>
      </w:r>
      <w:r>
        <w:rPr>
          <w:color w:val="000000"/>
          <w:sz w:val="24"/>
          <w:szCs w:val="24"/>
          <w:highlight w:val="none"/>
        </w:rPr>
      </w:r>
      <w:r/>
    </w:p>
    <w:p>
      <w:pPr>
        <w:pStyle w:val="851"/>
        <w:ind w:firstLine="480"/>
        <w:spacing w:line="480" w:lineRule="exact"/>
        <w:rPr>
          <w:color w:val="000000"/>
          <w:sz w:val="24"/>
          <w:szCs w:val="24"/>
          <w:highlight w:val="none"/>
        </w:rPr>
      </w:pPr>
      <w:r/>
      <w:bookmarkStart w:id="276" w:name="_Ref109126656"/>
      <w:r>
        <w:rPr>
          <w:rFonts w:hint="eastAsia"/>
          <w:color w:val="000000"/>
          <w:sz w:val="24"/>
          <w:szCs w:val="24"/>
          <w:highlight w:val="none"/>
        </w:rPr>
        <w:t xml:space="preserve">8</w:t>
      </w:r>
      <w:r>
        <w:rPr>
          <w:color w:val="000000"/>
          <w:sz w:val="24"/>
          <w:szCs w:val="24"/>
          <w:highlight w:val="none"/>
        </w:rPr>
        <w:t xml:space="preserve">.6.2移交程序</w:t>
      </w:r>
      <w:bookmarkEnd w:id="276"/>
      <w:r>
        <w:rPr>
          <w:color w:val="000000"/>
          <w:sz w:val="24"/>
          <w:szCs w:val="24"/>
          <w:highlight w:val="none"/>
        </w:rPr>
      </w:r>
      <w:r/>
    </w:p>
    <w:p>
      <w:pPr>
        <w:pStyle w:val="851"/>
        <w:ind w:firstLine="480"/>
        <w:spacing w:line="480" w:lineRule="exact"/>
        <w:rPr>
          <w:color w:val="000000"/>
          <w:sz w:val="24"/>
          <w:szCs w:val="24"/>
          <w:highlight w:val="none"/>
        </w:rPr>
      </w:pPr>
      <w:r/>
      <w:bookmarkStart w:id="277" w:name="_Toc186528711"/>
      <w:r/>
      <w:bookmarkStart w:id="278" w:name="_Toc12057678"/>
      <w:r/>
      <w:bookmarkStart w:id="279" w:name="_Ref277076336"/>
      <w:r/>
      <w:bookmarkStart w:id="280" w:name="_Ref176840744"/>
      <w:r/>
      <w:bookmarkStart w:id="281" w:name="_Ref277082776"/>
      <w:r/>
      <w:bookmarkStart w:id="282" w:name="_Toc178678778"/>
      <w:r/>
      <w:bookmarkStart w:id="283" w:name="_Ref468461842"/>
      <w:r/>
      <w:bookmarkStart w:id="284" w:name="_Toc32332"/>
      <w:r/>
      <w:bookmarkStart w:id="285" w:name="_Ref482723476"/>
      <w:r/>
      <w:bookmarkStart w:id="286" w:name="_Toc29855"/>
      <w:r/>
      <w:bookmarkStart w:id="287" w:name="_Ref277075977"/>
      <w:r/>
      <w:bookmarkStart w:id="288" w:name="_Toc179826135"/>
      <w:r/>
      <w:bookmarkStart w:id="289" w:name="_Ref482723755"/>
      <w:r>
        <w:rPr>
          <w:color w:val="000000"/>
          <w:sz w:val="24"/>
          <w:szCs w:val="24"/>
          <w:highlight w:val="none"/>
        </w:rPr>
        <w:t xml:space="preserve">自提前移交日，乙方对提前终止的项目设施</w:t>
      </w:r>
      <w:r>
        <w:rPr>
          <w:rFonts w:hint="eastAsia"/>
          <w:color w:val="000000"/>
          <w:sz w:val="24"/>
          <w:szCs w:val="24"/>
          <w:highlight w:val="none"/>
        </w:rPr>
        <w:t xml:space="preserve">，</w:t>
      </w:r>
      <w:r>
        <w:rPr>
          <w:color w:val="000000"/>
          <w:sz w:val="24"/>
          <w:szCs w:val="24"/>
          <w:highlight w:val="none"/>
        </w:rPr>
        <w:t xml:space="preserve">全部转移给甲方</w:t>
      </w:r>
      <w:r>
        <w:rPr>
          <w:rFonts w:hint="eastAsia"/>
          <w:color w:val="000000"/>
          <w:sz w:val="24"/>
          <w:szCs w:val="24"/>
          <w:highlight w:val="none"/>
        </w:rPr>
        <w:t xml:space="preserve">或其</w:t>
      </w:r>
      <w:r>
        <w:rPr>
          <w:color w:val="000000"/>
          <w:sz w:val="24"/>
          <w:szCs w:val="24"/>
          <w:highlight w:val="none"/>
        </w:rPr>
        <w:t xml:space="preserve">指定机构。</w:t>
      </w:r>
      <w:r>
        <w:rPr>
          <w:color w:val="000000"/>
          <w:sz w:val="24"/>
          <w:szCs w:val="24"/>
          <w:highlight w:val="none"/>
        </w:rPr>
      </w:r>
      <w:r/>
    </w:p>
    <w:p>
      <w:pPr>
        <w:pStyle w:val="851"/>
        <w:ind w:firstLine="480"/>
        <w:spacing w:line="480" w:lineRule="exact"/>
        <w:rPr>
          <w:rFonts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rPr>
        <w:t xml:space="preserve">若属甲方违约提前终止本合同的，双方可于提前移交日后三十（30）日内按</w:t>
      </w:r>
      <w:r>
        <w:rPr>
          <w:color w:val="000000"/>
          <w:highlight w:val="none"/>
        </w:rPr>
        <w:fldChar w:fldCharType="begin"/>
      </w:r>
      <w:r>
        <w:rPr>
          <w:color w:val="000000"/>
          <w:highlight w:val="none"/>
        </w:rPr>
        <w:instrText xml:space="preserve"> HYPERLINK \l "_提前终止后的补偿" </w:instrText>
      </w:r>
      <w:r>
        <w:rPr>
          <w:color w:val="000000"/>
          <w:highlight w:val="none"/>
        </w:rPr>
        <w:fldChar w:fldCharType="separate"/>
      </w:r>
      <w:r>
        <w:rPr>
          <w:rFonts w:hint="eastAsia" w:ascii="Times New Roman" w:hAnsi="Times New Roman" w:cs="Times New Roman"/>
          <w:color w:val="000000"/>
          <w:sz w:val="24"/>
          <w:szCs w:val="24"/>
          <w:highlight w:val="none"/>
        </w:rPr>
        <w:t xml:space="preserve">第8.7条</w:t>
      </w:r>
      <w:r>
        <w:rPr>
          <w:rFonts w:hint="eastAsia" w:ascii="Times New Roman" w:hAnsi="Times New Roman" w:cs="Times New Roman"/>
          <w:color w:val="000000"/>
          <w:sz w:val="24"/>
          <w:szCs w:val="24"/>
          <w:highlight w:val="none"/>
        </w:rPr>
        <w:fldChar w:fldCharType="end"/>
      </w:r>
      <w:r>
        <w:rPr>
          <w:rFonts w:hint="eastAsia" w:ascii="Times New Roman" w:hAnsi="Times New Roman" w:cs="Times New Roman"/>
          <w:color w:val="000000"/>
          <w:sz w:val="24"/>
          <w:szCs w:val="24"/>
          <w:highlight w:val="none"/>
        </w:rPr>
        <w:t xml:space="preserve">确定终止补偿金额。若属乙方违约事件导致甲方提出终止情形的，则甲方</w:t>
      </w:r>
      <w:r>
        <w:rPr>
          <w:rFonts w:hint="eastAsia" w:cs="Times New Roman"/>
          <w:color w:val="000000"/>
          <w:sz w:val="24"/>
          <w:szCs w:val="24"/>
          <w:highlight w:val="none"/>
        </w:rPr>
        <w:t xml:space="preserve">无需支付任何补偿费用。</w:t>
      </w:r>
      <w:r>
        <w:rPr>
          <w:rFonts w:ascii="Times New Roman" w:hAnsi="Times New Roman" w:cs="Times New Roman"/>
          <w:color w:val="000000"/>
          <w:sz w:val="24"/>
          <w:szCs w:val="24"/>
          <w:highlight w:val="none"/>
        </w:rPr>
      </w:r>
      <w:r/>
    </w:p>
    <w:p>
      <w:pPr>
        <w:pStyle w:val="851"/>
        <w:jc w:val="left"/>
        <w:spacing w:line="480" w:lineRule="exact"/>
        <w:tabs>
          <w:tab w:val="left" w:pos="567" w:leader="none"/>
        </w:tabs>
        <w:rPr>
          <w:rFonts w:ascii="宋体" w:hAnsi="宋体" w:cs="仿宋_GB2312"/>
          <w:b/>
          <w:color w:val="000000"/>
          <w:sz w:val="24"/>
          <w:szCs w:val="24"/>
          <w:highlight w:val="none"/>
        </w:rPr>
      </w:pPr>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仿宋_GB2312"/>
          <w:b/>
          <w:color w:val="000000"/>
          <w:sz w:val="24"/>
          <w:szCs w:val="24"/>
          <w:highlight w:val="none"/>
        </w:rPr>
        <w:t xml:space="preserve">九、</w:t>
      </w:r>
      <w:bookmarkEnd w:id="235"/>
      <w:r/>
      <w:bookmarkEnd w:id="236"/>
      <w:r>
        <w:rPr>
          <w:rFonts w:hint="eastAsia" w:ascii="宋体" w:hAnsi="宋体" w:cs="仿宋_GB2312"/>
          <w:b/>
          <w:color w:val="000000"/>
          <w:sz w:val="24"/>
          <w:szCs w:val="24"/>
          <w:highlight w:val="none"/>
        </w:rPr>
        <w:t xml:space="preserve">争议解决办法</w:t>
      </w:r>
      <w:r>
        <w:rPr>
          <w:rFonts w:ascii="宋体" w:hAnsi="宋体" w:cs="仿宋_GB2312"/>
          <w:b/>
          <w:color w:val="000000"/>
          <w:sz w:val="24"/>
          <w:szCs w:val="24"/>
          <w:highlight w:val="none"/>
        </w:rPr>
      </w:r>
      <w:r/>
    </w:p>
    <w:p>
      <w:pPr>
        <w:pStyle w:val="958"/>
        <w:ind w:firstLine="482"/>
        <w:spacing w:before="0" w:after="0" w:line="480" w:lineRule="exact"/>
        <w:rPr>
          <w:color w:val="000000"/>
          <w:sz w:val="24"/>
          <w:szCs w:val="24"/>
          <w:highlight w:val="none"/>
        </w:rPr>
      </w:pPr>
      <w:r/>
      <w:bookmarkStart w:id="290" w:name="_Toc5452"/>
      <w:r/>
      <w:bookmarkStart w:id="291" w:name="_Toc23844"/>
      <w:r>
        <w:rPr>
          <w:rFonts w:hint="eastAsia"/>
          <w:color w:val="000000"/>
          <w:sz w:val="24"/>
          <w:szCs w:val="24"/>
          <w:highlight w:val="none"/>
        </w:rPr>
        <w:t xml:space="preserve">（一）</w:t>
      </w:r>
      <w:r>
        <w:rPr>
          <w:color w:val="000000"/>
          <w:sz w:val="24"/>
          <w:szCs w:val="24"/>
          <w:highlight w:val="none"/>
        </w:rPr>
        <w:t xml:space="preserve">和解</w:t>
      </w:r>
      <w:bookmarkEnd w:id="290"/>
      <w:r/>
      <w:bookmarkEnd w:id="291"/>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合同当事人可以就争议自行和解，自行和解达成协议的经双方签字并盖章后作为合同补充文件，双方均应遵照执行。</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92" w:name="9.2调解"/>
      <w:r/>
      <w:bookmarkEnd w:id="292"/>
      <w:r/>
      <w:bookmarkStart w:id="293" w:name="_Toc26423"/>
      <w:r/>
      <w:bookmarkStart w:id="294" w:name="_Toc32465"/>
      <w:r>
        <w:rPr>
          <w:rFonts w:hint="eastAsia"/>
          <w:color w:val="000000"/>
          <w:sz w:val="24"/>
          <w:szCs w:val="24"/>
          <w:highlight w:val="none"/>
        </w:rPr>
        <w:t xml:space="preserve">（二）</w:t>
      </w:r>
      <w:r>
        <w:rPr>
          <w:color w:val="000000"/>
          <w:sz w:val="24"/>
          <w:szCs w:val="24"/>
          <w:highlight w:val="none"/>
        </w:rPr>
        <w:t xml:space="preserve">调解</w:t>
      </w:r>
      <w:bookmarkEnd w:id="293"/>
      <w:r/>
      <w:bookmarkEnd w:id="294"/>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合同当事人可以就争议请求上级运维主管部门或其他第三方进行调解，调解达成协议的，经双方签字并盖章后作为合同补充文件，双方均应遵照执行。</w:t>
      </w:r>
      <w:r>
        <w:rPr>
          <w:color w:val="000000"/>
          <w:sz w:val="24"/>
          <w:szCs w:val="24"/>
          <w:highlight w:val="none"/>
        </w:rPr>
      </w:r>
      <w:r/>
    </w:p>
    <w:p>
      <w:pPr>
        <w:pStyle w:val="958"/>
        <w:ind w:firstLine="560"/>
        <w:spacing w:before="0" w:after="0" w:line="480" w:lineRule="exact"/>
        <w:rPr>
          <w:color w:val="000000"/>
          <w:sz w:val="24"/>
          <w:szCs w:val="24"/>
          <w:highlight w:val="none"/>
        </w:rPr>
      </w:pPr>
      <w:r/>
      <w:bookmarkStart w:id="295" w:name="_Toc19961"/>
      <w:r/>
      <w:bookmarkStart w:id="296" w:name="_Toc22551"/>
      <w:r>
        <w:rPr>
          <w:rFonts w:hint="eastAsia"/>
          <w:color w:val="000000"/>
          <w:sz w:val="24"/>
          <w:szCs w:val="24"/>
          <w:highlight w:val="none"/>
        </w:rPr>
        <w:t xml:space="preserve">（三）</w:t>
      </w:r>
      <w:r>
        <w:rPr>
          <w:color w:val="000000"/>
          <w:sz w:val="24"/>
          <w:szCs w:val="24"/>
          <w:highlight w:val="none"/>
        </w:rPr>
        <w:t xml:space="preserve">仲裁或诉讼</w:t>
      </w:r>
      <w:bookmarkEnd w:id="295"/>
      <w:r/>
      <w:bookmarkEnd w:id="296"/>
      <w:r>
        <w:rPr>
          <w:color w:val="000000"/>
          <w:sz w:val="24"/>
          <w:szCs w:val="24"/>
          <w:highlight w:val="none"/>
        </w:rPr>
      </w:r>
      <w:r/>
    </w:p>
    <w:p>
      <w:pPr>
        <w:pStyle w:val="851"/>
        <w:ind w:firstLine="560"/>
        <w:spacing w:line="480" w:lineRule="exact"/>
        <w:rPr>
          <w:color w:val="000000"/>
          <w:sz w:val="24"/>
          <w:szCs w:val="24"/>
          <w:highlight w:val="none"/>
        </w:rPr>
      </w:pPr>
      <w:r>
        <w:rPr>
          <w:color w:val="000000"/>
          <w:sz w:val="24"/>
          <w:szCs w:val="24"/>
          <w:highlight w:val="none"/>
        </w:rPr>
        <w:t xml:space="preserve">因合同及合同有关事项产生的争议，合同当事人可以</w:t>
      </w:r>
      <w:r>
        <w:rPr>
          <w:rFonts w:hint="eastAsia"/>
          <w:color w:val="000000"/>
          <w:sz w:val="24"/>
          <w:szCs w:val="24"/>
          <w:highlight w:val="none"/>
        </w:rPr>
        <w:t xml:space="preserve">按第</w:t>
      </w:r>
      <w:r>
        <w:rPr>
          <w:rFonts w:hint="eastAsia"/>
          <w:color w:val="000000"/>
          <w:sz w:val="24"/>
          <w:szCs w:val="24"/>
          <w:highlight w:val="none"/>
          <w:u w:val="single"/>
        </w:rPr>
        <w:t xml:space="preserve">2</w:t>
      </w:r>
      <w:r>
        <w:rPr>
          <w:color w:val="000000"/>
          <w:sz w:val="24"/>
          <w:szCs w:val="24"/>
          <w:highlight w:val="none"/>
        </w:rPr>
        <w:t xml:space="preserve">种方式解决争议：</w:t>
      </w:r>
      <w:r>
        <w:rPr>
          <w:color w:val="000000"/>
          <w:sz w:val="24"/>
          <w:szCs w:val="24"/>
          <w:highlight w:val="none"/>
        </w:rPr>
      </w:r>
      <w:r/>
    </w:p>
    <w:p>
      <w:pPr>
        <w:pStyle w:val="851"/>
        <w:numPr>
          <w:ilvl w:val="0"/>
          <w:numId w:val="14"/>
        </w:numPr>
        <w:ind w:firstLine="560"/>
        <w:spacing w:line="480" w:lineRule="exact"/>
        <w:tabs>
          <w:tab w:val="left" w:pos="312" w:leader="none"/>
        </w:tabs>
        <w:rPr>
          <w:color w:val="000000"/>
          <w:sz w:val="24"/>
          <w:szCs w:val="24"/>
          <w:highlight w:val="none"/>
        </w:rPr>
      </w:pPr>
      <w:r>
        <w:rPr>
          <w:color w:val="000000"/>
          <w:sz w:val="24"/>
          <w:szCs w:val="24"/>
          <w:highlight w:val="none"/>
        </w:rPr>
        <w:t xml:space="preserve">向约定的仲裁委员会申请仲裁；</w:t>
      </w:r>
      <w:r>
        <w:rPr>
          <w:color w:val="000000"/>
          <w:sz w:val="24"/>
          <w:szCs w:val="24"/>
          <w:highlight w:val="none"/>
        </w:rPr>
      </w:r>
      <w:r/>
    </w:p>
    <w:p>
      <w:pPr>
        <w:pStyle w:val="851"/>
        <w:numPr>
          <w:ilvl w:val="0"/>
          <w:numId w:val="14"/>
        </w:numPr>
        <w:ind w:firstLine="560"/>
        <w:spacing w:line="480" w:lineRule="exact"/>
        <w:tabs>
          <w:tab w:val="left" w:pos="312" w:leader="none"/>
        </w:tabs>
        <w:rPr>
          <w:rFonts w:ascii="宋体" w:hAnsi="宋体" w:cs="仿宋_GB2312"/>
          <w:b/>
          <w:color w:val="000000"/>
          <w:sz w:val="24"/>
          <w:szCs w:val="24"/>
          <w:highlight w:val="none"/>
        </w:rPr>
      </w:pPr>
      <w:r>
        <w:rPr>
          <w:color w:val="000000"/>
          <w:sz w:val="24"/>
          <w:szCs w:val="24"/>
          <w:highlight w:val="none"/>
        </w:rPr>
        <w:t xml:space="preserve">向</w:t>
      </w:r>
      <w:r>
        <w:rPr>
          <w:rFonts w:hint="eastAsia"/>
          <w:color w:val="000000"/>
          <w:sz w:val="24"/>
          <w:szCs w:val="24"/>
          <w:highlight w:val="none"/>
        </w:rPr>
        <w:t xml:space="preserve">甲方所在地</w:t>
      </w:r>
      <w:r>
        <w:rPr>
          <w:color w:val="000000"/>
          <w:sz w:val="24"/>
          <w:szCs w:val="24"/>
          <w:highlight w:val="none"/>
        </w:rPr>
        <w:t xml:space="preserve">人民法院起诉。</w:t>
      </w:r>
      <w:r>
        <w:rPr>
          <w:rFonts w:ascii="宋体" w:hAnsi="宋体" w:cs="仿宋_GB2312"/>
          <w:b/>
          <w:color w:val="000000"/>
          <w:sz w:val="24"/>
          <w:szCs w:val="24"/>
          <w:highlight w:val="none"/>
        </w:rPr>
      </w:r>
      <w:r/>
    </w:p>
    <w:p>
      <w:pPr>
        <w:pStyle w:val="958"/>
        <w:ind w:firstLine="560"/>
        <w:spacing w:before="0" w:after="0" w:line="480" w:lineRule="exact"/>
        <w:rPr>
          <w:color w:val="000000"/>
          <w:sz w:val="24"/>
          <w:szCs w:val="24"/>
          <w:highlight w:val="none"/>
        </w:rPr>
      </w:pPr>
      <w:r>
        <w:rPr>
          <w:rFonts w:hint="eastAsia" w:ascii="Times New Roman" w:hAnsi="Times New Roman" w:cs="Times New Roman"/>
          <w:color w:val="000000"/>
          <w:sz w:val="24"/>
          <w:szCs w:val="24"/>
          <w:highlight w:val="none"/>
        </w:rPr>
        <w:t xml:space="preserve">（四）</w:t>
      </w:r>
      <w:r>
        <w:rPr>
          <w:color w:val="000000"/>
          <w:sz w:val="24"/>
          <w:szCs w:val="24"/>
          <w:highlight w:val="none"/>
        </w:rPr>
        <w:t xml:space="preserve">争议解决条款的效力</w:t>
      </w:r>
      <w:r>
        <w:rPr>
          <w:color w:val="000000"/>
          <w:sz w:val="24"/>
          <w:szCs w:val="24"/>
          <w:highlight w:val="none"/>
        </w:rPr>
      </w:r>
      <w:r/>
    </w:p>
    <w:p>
      <w:pPr>
        <w:pStyle w:val="851"/>
        <w:ind w:firstLine="480"/>
        <w:spacing w:line="480" w:lineRule="exact"/>
        <w:rPr>
          <w:rFonts w:ascii="宋体" w:hAnsi="宋体" w:cs="仿宋_GB2312"/>
          <w:b/>
          <w:color w:val="000000"/>
          <w:sz w:val="24"/>
          <w:szCs w:val="24"/>
          <w:highlight w:val="none"/>
        </w:rPr>
      </w:pPr>
      <w:r>
        <w:rPr>
          <w:color w:val="000000"/>
          <w:sz w:val="24"/>
          <w:szCs w:val="24"/>
          <w:highlight w:val="none"/>
        </w:rPr>
        <w:t xml:space="preserve">合同有关争议解决的条款独立存在，合同的变更、解除、终止、无效或者被撤销均不影响其效力。</w:t>
      </w:r>
      <w:r>
        <w:rPr>
          <w:rFonts w:ascii="宋体" w:hAnsi="宋体" w:cs="仿宋_GB2312"/>
          <w:b/>
          <w:color w:val="000000"/>
          <w:sz w:val="24"/>
          <w:szCs w:val="24"/>
          <w:highlight w:val="none"/>
        </w:rPr>
      </w:r>
      <w:r/>
    </w:p>
    <w:p>
      <w:pPr>
        <w:pStyle w:val="851"/>
        <w:jc w:val="left"/>
        <w:spacing w:line="480" w:lineRule="exact"/>
        <w:tabs>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十、合同生效及其他</w:t>
      </w:r>
      <w:r>
        <w:rPr>
          <w:rFonts w:ascii="宋体" w:hAnsi="宋体" w:cs="仿宋_GB2312"/>
          <w:b/>
          <w:color w:val="000000"/>
          <w:sz w:val="24"/>
          <w:szCs w:val="24"/>
          <w:highlight w:val="none"/>
        </w:rPr>
      </w:r>
      <w:r/>
    </w:p>
    <w:p>
      <w:pPr>
        <w:pStyle w:val="851"/>
        <w:ind w:firstLine="480"/>
        <w:jc w:val="left"/>
        <w:spacing w:line="480" w:lineRule="exact"/>
        <w:tabs>
          <w:tab w:val="left" w:pos="567" w:leader="none"/>
        </w:tabs>
        <w:rPr>
          <w:rFonts w:ascii="宋体" w:hAnsi="宋体"/>
          <w:color w:val="000000"/>
          <w:sz w:val="24"/>
          <w:szCs w:val="24"/>
          <w:highlight w:val="none"/>
        </w:rPr>
      </w:pPr>
      <w:r>
        <w:rPr>
          <w:rFonts w:hint="eastAsia" w:ascii="宋体" w:hAnsi="宋体" w:cs="仿宋_GB2312"/>
          <w:color w:val="000000"/>
          <w:sz w:val="24"/>
          <w:szCs w:val="24"/>
          <w:highlight w:val="none"/>
        </w:rPr>
        <w:t xml:space="preserve">本合同经双方签字并盖公章后生效。</w:t>
      </w:r>
      <w:r>
        <w:rPr>
          <w:rFonts w:hint="eastAsia" w:ascii="宋体" w:hAnsi="宋体"/>
          <w:color w:val="000000"/>
          <w:sz w:val="24"/>
          <w:szCs w:val="24"/>
          <w:highlight w:val="none"/>
        </w:rPr>
        <w:t xml:space="preserve">下列</w:t>
      </w:r>
      <w:r>
        <w:rPr>
          <w:rFonts w:hint="eastAsia" w:ascii="宋体" w:hAnsi="宋体" w:cs="仿宋_GB2312"/>
          <w:color w:val="000000"/>
          <w:sz w:val="24"/>
          <w:szCs w:val="24"/>
          <w:highlight w:val="none"/>
        </w:rPr>
        <w:t xml:space="preserve">文件为本合同不可分割部分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numPr>
          <w:ilvl w:val="0"/>
          <w:numId w:val="15"/>
        </w:numPr>
        <w:ind w:left="993" w:right="-153" w:hanging="426"/>
        <w:jc w:val="left"/>
        <w:spacing w:line="480" w:lineRule="exact"/>
        <w:tabs>
          <w:tab w:val="left" w:pos="993"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中标通知书；</w:t>
      </w:r>
      <w:r>
        <w:rPr>
          <w:rFonts w:ascii="宋体" w:hAnsi="宋体" w:cs="仿宋_GB2312"/>
          <w:color w:val="000000"/>
          <w:sz w:val="24"/>
          <w:szCs w:val="24"/>
          <w:highlight w:val="none"/>
        </w:rPr>
      </w:r>
      <w:r/>
    </w:p>
    <w:p>
      <w:pPr>
        <w:pStyle w:val="851"/>
        <w:numPr>
          <w:ilvl w:val="0"/>
          <w:numId w:val="15"/>
        </w:numPr>
        <w:ind w:left="993" w:right="-153" w:hanging="426"/>
        <w:jc w:val="left"/>
        <w:spacing w:line="480" w:lineRule="exact"/>
        <w:tabs>
          <w:tab w:val="left" w:pos="993"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乙方响应文件；</w:t>
      </w:r>
      <w:r>
        <w:rPr>
          <w:rFonts w:ascii="宋体" w:hAnsi="宋体" w:cs="仿宋_GB2312"/>
          <w:color w:val="000000"/>
          <w:sz w:val="24"/>
          <w:szCs w:val="24"/>
          <w:highlight w:val="none"/>
        </w:rPr>
      </w:r>
      <w:r/>
    </w:p>
    <w:p>
      <w:pPr>
        <w:pStyle w:val="851"/>
        <w:numPr>
          <w:ilvl w:val="0"/>
          <w:numId w:val="15"/>
        </w:numPr>
        <w:ind w:left="993" w:right="-153" w:hanging="426"/>
        <w:jc w:val="left"/>
        <w:spacing w:line="480" w:lineRule="exact"/>
        <w:tabs>
          <w:tab w:val="left" w:pos="993"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采购文件；</w:t>
      </w:r>
      <w:r>
        <w:rPr>
          <w:rFonts w:ascii="宋体" w:hAnsi="宋体" w:cs="仿宋_GB2312"/>
          <w:color w:val="000000"/>
          <w:sz w:val="24"/>
          <w:szCs w:val="24"/>
          <w:highlight w:val="none"/>
        </w:rPr>
      </w:r>
      <w:r/>
    </w:p>
    <w:p>
      <w:pPr>
        <w:pStyle w:val="851"/>
        <w:ind w:firstLine="480"/>
        <w:spacing w:line="480" w:lineRule="exact"/>
        <w:rPr>
          <w:rFonts w:hint="eastAsia" w:ascii="宋体" w:hAnsi="宋体"/>
          <w:color w:val="000000"/>
          <w:sz w:val="24"/>
          <w:szCs w:val="24"/>
          <w:highlight w:val="none"/>
        </w:rPr>
      </w:pPr>
      <w:r>
        <w:rPr>
          <w:rFonts w:hint="eastAsia" w:ascii="宋体" w:hAnsi="宋体" w:cs="仿宋_GB2312"/>
          <w:color w:val="000000"/>
          <w:sz w:val="24"/>
          <w:szCs w:val="24"/>
          <w:highlight w:val="none"/>
        </w:rPr>
        <w:t xml:space="preserve">乙方在投标过程</w:t>
      </w:r>
      <w:r>
        <w:rPr>
          <w:rFonts w:hint="eastAsia" w:ascii="宋体" w:hAnsi="宋体"/>
          <w:color w:val="000000"/>
          <w:sz w:val="24"/>
          <w:szCs w:val="24"/>
          <w:highlight w:val="none"/>
        </w:rPr>
        <w:t xml:space="preserve">中所作的其他承诺、声明、书面澄清等。</w:t>
      </w:r>
      <w:r>
        <w:rPr>
          <w:rFonts w:hint="eastAsia" w:ascii="宋体" w:hAnsi="宋体"/>
          <w:color w:val="000000"/>
          <w:sz w:val="24"/>
          <w:szCs w:val="24"/>
          <w:highlight w:val="none"/>
        </w:rPr>
      </w:r>
      <w:r/>
    </w:p>
    <w:p>
      <w:pPr>
        <w:pStyle w:val="851"/>
        <w:ind w:firstLine="480"/>
        <w:spacing w:line="480" w:lineRule="exact"/>
        <w:rPr>
          <w:rFonts w:ascii="宋体" w:hAnsi="宋体" w:cs="仿宋_GB2312"/>
          <w:color w:val="000000"/>
          <w:sz w:val="24"/>
          <w:szCs w:val="24"/>
          <w:highlight w:val="none"/>
        </w:rPr>
      </w:pPr>
      <w:r>
        <w:rPr>
          <w:rFonts w:hint="eastAsia"/>
          <w:color w:val="000000"/>
          <w:sz w:val="24"/>
          <w:szCs w:val="24"/>
          <w:highlight w:val="none"/>
        </w:rPr>
        <w:t xml:space="preserve">招标文件与投标文件均是本合同组成部分，本合同未尽事宜，按招投标文件执行。招标文件与投标文件不一致的，以招标文件为准。</w:t>
      </w:r>
      <w:r>
        <w:rPr>
          <w:rFonts w:ascii="宋体" w:hAnsi="宋体" w:cs="仿宋_GB2312"/>
          <w:color w:val="000000"/>
          <w:sz w:val="24"/>
          <w:szCs w:val="24"/>
          <w:highlight w:val="none"/>
        </w:rPr>
      </w:r>
      <w:r/>
    </w:p>
    <w:p>
      <w:pPr>
        <w:pStyle w:val="851"/>
        <w:jc w:val="left"/>
        <w:spacing w:line="480" w:lineRule="exact"/>
        <w:tabs>
          <w:tab w:val="left" w:pos="567" w:leader="none"/>
        </w:tabs>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十一、未尽事宜</w:t>
      </w:r>
      <w:r>
        <w:rPr>
          <w:rFonts w:ascii="宋体" w:hAnsi="宋体" w:cs="仿宋_GB2312"/>
          <w:b/>
          <w:color w:val="000000"/>
          <w:sz w:val="24"/>
          <w:szCs w:val="24"/>
          <w:highlight w:val="none"/>
        </w:rPr>
      </w:r>
      <w:r/>
    </w:p>
    <w:p>
      <w:pPr>
        <w:pStyle w:val="851"/>
        <w:ind w:firstLine="480"/>
        <w:jc w:val="left"/>
        <w:spacing w:line="480" w:lineRule="exact"/>
        <w:tabs>
          <w:tab w:val="left" w:pos="567" w:leader="none"/>
        </w:tabs>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应按照《中华人民共和国民法典》《中华人民共和国政府采购法》等相关法律法规之规定解释。</w:t>
      </w:r>
      <w:r>
        <w:rPr>
          <w:rFonts w:ascii="宋体" w:hAnsi="宋体" w:cs="仿宋_GB2312"/>
          <w:color w:val="000000"/>
          <w:sz w:val="24"/>
          <w:szCs w:val="24"/>
          <w:highlight w:val="none"/>
        </w:rPr>
      </w:r>
      <w:r/>
    </w:p>
    <w:p>
      <w:pPr>
        <w:pStyle w:val="851"/>
        <w:jc w:val="left"/>
        <w:spacing w:line="480" w:lineRule="exact"/>
        <w:tabs>
          <w:tab w:val="left" w:pos="567" w:leader="none"/>
        </w:tabs>
        <w:rPr>
          <w:b/>
          <w:color w:val="000000"/>
          <w:sz w:val="24"/>
          <w:szCs w:val="24"/>
          <w:highlight w:val="none"/>
        </w:rPr>
      </w:pPr>
      <w:r>
        <w:rPr>
          <w:rFonts w:hint="eastAsia" w:ascii="宋体" w:hAnsi="宋体" w:cs="仿宋_GB2312"/>
          <w:b/>
          <w:color w:val="000000"/>
          <w:sz w:val="24"/>
          <w:szCs w:val="24"/>
          <w:highlight w:val="none"/>
        </w:rPr>
        <w:t xml:space="preserve">十二、</w:t>
      </w:r>
      <w:r>
        <w:rPr>
          <w:b/>
          <w:color w:val="000000"/>
          <w:sz w:val="24"/>
          <w:szCs w:val="24"/>
          <w:highlight w:val="none"/>
        </w:rPr>
        <w:t xml:space="preserve">联络</w:t>
      </w:r>
      <w:r>
        <w:rPr>
          <w:b/>
          <w:color w:val="000000"/>
          <w:sz w:val="24"/>
          <w:szCs w:val="24"/>
          <w:highlight w:val="none"/>
        </w:rPr>
      </w:r>
      <w:r/>
    </w:p>
    <w:p>
      <w:pPr>
        <w:pStyle w:val="851"/>
        <w:ind w:firstLine="480"/>
        <w:spacing w:line="480" w:lineRule="exact"/>
        <w:rPr>
          <w:color w:val="000000"/>
          <w:sz w:val="24"/>
          <w:szCs w:val="24"/>
          <w:highlight w:val="none"/>
        </w:rPr>
      </w:pPr>
      <w:r>
        <w:rPr>
          <w:rFonts w:hint="eastAsia"/>
          <w:color w:val="000000"/>
          <w:sz w:val="24"/>
          <w:szCs w:val="24"/>
          <w:highlight w:val="none"/>
        </w:rPr>
        <w:t xml:space="preserve">1.甲方和乙方应当在</w:t>
      </w:r>
      <w:r>
        <w:rPr>
          <w:rFonts w:hint="eastAsia"/>
          <w:color w:val="000000"/>
          <w:sz w:val="24"/>
          <w:szCs w:val="24"/>
          <w:highlight w:val="none"/>
          <w:u w:val="single"/>
        </w:rPr>
        <w:t xml:space="preserve">15</w:t>
      </w:r>
      <w:r>
        <w:rPr>
          <w:rFonts w:hint="eastAsia"/>
          <w:color w:val="000000"/>
          <w:sz w:val="24"/>
          <w:szCs w:val="24"/>
          <w:highlight w:val="none"/>
        </w:rPr>
        <w:t xml:space="preserve">天内将与合同有关的通知、批准、证明、证书、指示、指令、要求、请求、同意、意见、确定和决定等书面函件或电子文件送达对方当事人。</w:t>
      </w:r>
      <w:r>
        <w:rPr>
          <w:color w:val="000000"/>
          <w:sz w:val="24"/>
          <w:szCs w:val="24"/>
          <w:highlight w:val="none"/>
        </w:rPr>
      </w:r>
      <w:r/>
    </w:p>
    <w:p>
      <w:pPr>
        <w:pStyle w:val="851"/>
        <w:ind w:firstLine="480"/>
        <w:jc w:val="left"/>
        <w:spacing w:line="480" w:lineRule="exact"/>
        <w:tabs>
          <w:tab w:val="left" w:pos="567" w:leader="none"/>
        </w:tabs>
        <w:rPr>
          <w:color w:val="000000"/>
          <w:sz w:val="24"/>
          <w:szCs w:val="24"/>
          <w:highlight w:val="none"/>
        </w:rPr>
      </w:pPr>
      <w:r>
        <w:rPr>
          <w:rFonts w:hint="eastAsia"/>
          <w:color w:val="000000"/>
          <w:sz w:val="24"/>
          <w:szCs w:val="24"/>
          <w:highlight w:val="none"/>
        </w:rPr>
        <w:t xml:space="preserve">2.甲方指定的书面文件或电子文件接收人、接收方式、接收地址及联络方式为：</w:t>
      </w:r>
      <w:r>
        <w:rPr>
          <w:rFonts w:hint="eastAsia"/>
          <w:color w:val="000000"/>
          <w:sz w:val="24"/>
          <w:szCs w:val="24"/>
          <w:highlight w:val="none"/>
          <w:u w:val="single"/>
        </w:rPr>
        <w:t xml:space="preserve">                    </w:t>
      </w:r>
      <w:r>
        <w:rPr>
          <w:rFonts w:hint="eastAsia"/>
          <w:color w:val="000000"/>
          <w:sz w:val="24"/>
          <w:szCs w:val="24"/>
          <w:highlight w:val="none"/>
        </w:rPr>
        <w:t xml:space="preserve">。乙方指定的书面文件或电子文件接收人、接收方式、接收地址及联络方式为：</w:t>
      </w:r>
      <w:r>
        <w:rPr>
          <w:rFonts w:hint="eastAsia"/>
          <w:color w:val="000000"/>
          <w:sz w:val="24"/>
          <w:szCs w:val="24"/>
          <w:highlight w:val="none"/>
          <w:u w:val="single"/>
        </w:rPr>
        <w:t xml:space="preserve">                   </w:t>
      </w:r>
      <w:r>
        <w:rPr>
          <w:rFonts w:hint="eastAsia"/>
          <w:color w:val="000000"/>
          <w:sz w:val="24"/>
          <w:szCs w:val="24"/>
          <w:highlight w:val="none"/>
        </w:rPr>
        <w:t xml:space="preserve">。</w:t>
      </w:r>
      <w:bookmarkStart w:id="297" w:name="1.9_知识产权"/>
      <w:r/>
      <w:bookmarkEnd w:id="297"/>
      <w:r>
        <w:rPr>
          <w:color w:val="000000"/>
          <w:sz w:val="24"/>
          <w:szCs w:val="24"/>
          <w:highlight w:val="none"/>
        </w:rPr>
      </w:r>
      <w:r/>
    </w:p>
    <w:p>
      <w:pPr>
        <w:pStyle w:val="851"/>
        <w:jc w:val="left"/>
        <w:spacing w:line="480" w:lineRule="exact"/>
        <w:tabs>
          <w:tab w:val="left" w:pos="567" w:leader="none"/>
        </w:tabs>
        <w:rPr>
          <w:rFonts w:ascii="宋体" w:hAnsi="宋体" w:cs="仿宋_GB2312"/>
          <w:b/>
          <w:color w:val="000000"/>
          <w:sz w:val="24"/>
          <w:szCs w:val="24"/>
          <w:highlight w:val="none"/>
        </w:rPr>
      </w:pPr>
      <w:r>
        <w:rPr>
          <w:rFonts w:hint="eastAsia"/>
          <w:b/>
          <w:bCs/>
          <w:color w:val="000000"/>
          <w:sz w:val="24"/>
          <w:szCs w:val="24"/>
          <w:highlight w:val="none"/>
        </w:rPr>
        <w:t xml:space="preserve">十三、</w:t>
      </w:r>
      <w:r>
        <w:rPr>
          <w:rFonts w:hint="eastAsia" w:ascii="宋体" w:hAnsi="宋体" w:cs="仿宋_GB2312"/>
          <w:b/>
          <w:color w:val="000000"/>
          <w:sz w:val="24"/>
          <w:szCs w:val="24"/>
          <w:highlight w:val="none"/>
        </w:rPr>
        <w:t xml:space="preserve">附则</w:t>
      </w:r>
      <w:r>
        <w:rPr>
          <w:rFonts w:ascii="宋体" w:hAnsi="宋体" w:cs="仿宋_GB2312"/>
          <w:b/>
          <w:color w:val="000000"/>
          <w:sz w:val="24"/>
          <w:szCs w:val="24"/>
          <w:highlight w:val="none"/>
        </w:rPr>
      </w:r>
      <w:r/>
    </w:p>
    <w:p>
      <w:pPr>
        <w:pStyle w:val="851"/>
        <w:ind w:firstLine="480"/>
        <w:jc w:val="left"/>
        <w:spacing w:line="480" w:lineRule="exact"/>
        <w:tabs>
          <w:tab w:val="left" w:pos="567" w:leader="none"/>
        </w:tabs>
        <w:rPr>
          <w:rFonts w:hint="eastAsia" w:ascii="宋体" w:hAnsi="宋体"/>
          <w:color w:val="000000"/>
          <w:sz w:val="24"/>
          <w:szCs w:val="24"/>
          <w:highlight w:val="none"/>
        </w:rPr>
      </w:pPr>
      <w:r>
        <w:rPr>
          <w:rFonts w:hint="eastAsia" w:ascii="宋体" w:hAnsi="宋体" w:cs="仿宋_GB2312"/>
          <w:color w:val="000000"/>
          <w:sz w:val="24"/>
          <w:szCs w:val="24"/>
          <w:highlight w:val="none"/>
        </w:rPr>
        <w:t xml:space="preserve">本合同一式</w:t>
      </w:r>
      <w:r>
        <w:rPr>
          <w:rFonts w:hint="eastAsia" w:ascii="宋体" w:hAnsi="宋体" w:cs="仿宋_GB2312"/>
          <w:color w:val="000000"/>
          <w:sz w:val="24"/>
          <w:szCs w:val="24"/>
          <w:highlight w:val="none"/>
          <w:u w:val="single"/>
        </w:rPr>
        <w:t xml:space="preserve">六</w:t>
      </w:r>
      <w:r>
        <w:rPr>
          <w:rFonts w:hint="eastAsia" w:ascii="宋体" w:hAnsi="宋体" w:cs="仿宋_GB2312"/>
          <w:color w:val="000000"/>
          <w:sz w:val="24"/>
          <w:szCs w:val="24"/>
          <w:highlight w:val="none"/>
        </w:rPr>
        <w:t xml:space="preserve">份，甲、乙方各执</w:t>
      </w:r>
      <w:r>
        <w:rPr>
          <w:rFonts w:hint="eastAsia" w:ascii="宋体" w:hAnsi="宋体" w:cs="仿宋_GB2312"/>
          <w:color w:val="000000"/>
          <w:sz w:val="24"/>
          <w:szCs w:val="24"/>
          <w:highlight w:val="none"/>
          <w:u w:val="single"/>
        </w:rPr>
        <w:t xml:space="preserve">二</w:t>
      </w:r>
      <w:r>
        <w:rPr>
          <w:rFonts w:hint="eastAsia" w:ascii="宋体" w:hAnsi="宋体" w:cs="仿宋_GB2312"/>
          <w:color w:val="000000"/>
          <w:sz w:val="24"/>
          <w:szCs w:val="24"/>
          <w:highlight w:val="none"/>
        </w:rPr>
        <w:t xml:space="preserve">份，政府采购监督管理部门备案一份，采购代理机构一份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51"/>
        <w:ind w:firstLine="480"/>
        <w:jc w:val="left"/>
        <w:spacing w:line="480" w:lineRule="exact"/>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1"/>
        <w:ind w:firstLine="480"/>
        <w:jc w:val="left"/>
        <w:spacing w:line="480" w:lineRule="exact"/>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372"/>
        <w:gridCol w:w="4372"/>
      </w:tblGrid>
      <w:tr>
        <w:trPr>
          <w:trHeight w:val="465"/>
        </w:trPr>
        <w:tc>
          <w:tcPr>
            <w:tcBorders>
              <w:top w:val="none" w:color="000000" w:sz="0" w:space="0"/>
              <w:left w:val="none" w:color="000000" w:sz="0" w:space="0"/>
              <w:bottom w:val="none" w:color="000000" w:sz="0" w:space="0"/>
              <w:right w:val="none" w:color="000000" w:sz="0" w:space="0"/>
            </w:tcBorders>
            <w:tcW w:w="4383" w:type="dxa"/>
            <w:vAlign w:val="top"/>
            <w:textDirection w:val="lrTb"/>
            <w:noWrap w:val="false"/>
          </w:tcPr>
          <w:p>
            <w:pPr>
              <w:pStyle w:val="851"/>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甲方：</w:t>
            </w:r>
            <w:r>
              <w:rPr>
                <w:rFonts w:ascii="Times New Roman" w:hAnsi="Times New Roman" w:cs="Times New Roman"/>
                <w:color w:val="000000"/>
                <w:sz w:val="24"/>
                <w:szCs w:val="24"/>
                <w:highlight w:val="none"/>
              </w:rPr>
            </w:r>
            <w:r/>
          </w:p>
          <w:p>
            <w:pPr>
              <w:pStyle w:val="851"/>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（公章）</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top"/>
            <w:textDirection w:val="lrTb"/>
            <w:noWrap w:val="false"/>
          </w:tcPr>
          <w:p>
            <w:pPr>
              <w:pStyle w:val="851"/>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乙方：</w:t>
            </w:r>
            <w:r>
              <w:rPr>
                <w:rFonts w:ascii="Times New Roman" w:hAnsi="Times New Roman" w:cs="Times New Roman"/>
                <w:color w:val="000000"/>
                <w:sz w:val="24"/>
                <w:szCs w:val="24"/>
                <w:highlight w:val="none"/>
              </w:rPr>
            </w:r>
            <w:r/>
          </w:p>
          <w:p>
            <w:pPr>
              <w:pStyle w:val="851"/>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（公章）</w:t>
            </w: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69"/>
              <w:spacing w:after="0"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法定代表人或其委托代理人：（签</w:t>
            </w:r>
            <w:r>
              <w:rPr>
                <w:rFonts w:hint="eastAsia" w:ascii="Times New Roman" w:hAnsi="Times New Roman" w:cs="Times New Roman"/>
                <w:color w:val="000000"/>
                <w:sz w:val="24"/>
                <w:szCs w:val="24"/>
                <w:highlight w:val="none"/>
              </w:rPr>
              <w:t xml:space="preserve">章</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69"/>
              <w:spacing w:after="0"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69"/>
              <w:spacing w:after="0"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法定代表人或其委托代理人：（签</w:t>
            </w:r>
            <w:r>
              <w:rPr>
                <w:rFonts w:hint="eastAsia" w:ascii="Times New Roman" w:hAnsi="Times New Roman" w:cs="Times New Roman"/>
                <w:color w:val="000000"/>
                <w:sz w:val="24"/>
                <w:szCs w:val="24"/>
                <w:highlight w:val="none"/>
              </w:rPr>
              <w:t xml:space="preserve">章</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统一社会信用代码：</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统一社会信用代码：</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邮政编码：</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邮政编码：</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委托代理人：</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委托代理人：</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电话：</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电话：</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40"/>
        </w:trPr>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开户银行：</w:t>
            </w:r>
            <w:r>
              <w:rPr>
                <w:rFonts w:ascii="Times New Roman" w:hAnsi="Times New Roman" w:cs="Times New Roman"/>
                <w:color w:val="000000"/>
                <w:sz w:val="24"/>
                <w:szCs w:val="24"/>
                <w:highlight w:val="none"/>
              </w:rPr>
            </w:r>
            <w:r/>
          </w:p>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center"/>
            <w:textDirection w:val="lrTb"/>
            <w:noWrap w:val="false"/>
          </w:tcPr>
          <w:p>
            <w:pPr>
              <w:pStyle w:val="851"/>
              <w:spacing w:line="2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开户银行：</w:t>
            </w:r>
            <w:r>
              <w:rPr>
                <w:rFonts w:ascii="Times New Roman" w:hAnsi="Times New Roman" w:cs="Times New Roman"/>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383" w:type="dxa"/>
            <w:vAlign w:val="top"/>
            <w:textDirection w:val="lrTb"/>
            <w:noWrap w:val="false"/>
          </w:tcPr>
          <w:p>
            <w:pPr>
              <w:pStyle w:val="851"/>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账号：</w:t>
            </w:r>
            <w:r>
              <w:rPr>
                <w:rFonts w:ascii="Times New Roman" w:hAnsi="Times New Roman"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3" w:type="dxa"/>
            <w:vAlign w:val="top"/>
            <w:textDirection w:val="lrTb"/>
            <w:noWrap w:val="false"/>
          </w:tcPr>
          <w:p>
            <w:pPr>
              <w:pStyle w:val="851"/>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账号：</w:t>
            </w:r>
            <w:r>
              <w:rPr>
                <w:rFonts w:ascii="Times New Roman" w:hAnsi="Times New Roman" w:cs="Times New Roman"/>
                <w:color w:val="000000"/>
                <w:sz w:val="24"/>
                <w:szCs w:val="24"/>
                <w:highlight w:val="none"/>
              </w:rPr>
            </w:r>
            <w:r/>
          </w:p>
          <w:p>
            <w:pPr>
              <w:pStyle w:val="851"/>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851"/>
        <w:spacing w:line="560" w:lineRule="exact"/>
        <w:rPr>
          <w:rFonts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color w:val="000000"/>
          <w:sz w:val="24"/>
          <w:szCs w:val="24"/>
          <w:highlight w:val="none"/>
        </w:rPr>
        <w:t xml:space="preserve">附件一：</w:t>
      </w:r>
      <w:r>
        <w:rPr>
          <w:rFonts w:ascii="宋体" w:hAnsi="宋体"/>
          <w:color w:val="000000"/>
          <w:sz w:val="24"/>
          <w:szCs w:val="24"/>
          <w:highlight w:val="none"/>
        </w:rPr>
      </w:r>
      <w:r/>
    </w:p>
    <w:p>
      <w:pPr>
        <w:pStyle w:val="851"/>
        <w:jc w:val="center"/>
        <w:spacing w:line="560" w:lineRule="exact"/>
        <w:rPr>
          <w:rFonts w:hint="eastAsia" w:ascii="宋体" w:hAnsi="宋体" w:eastAsia="方正小标宋_GBK" w:cs="宋体"/>
          <w:color w:val="000000"/>
          <w:sz w:val="36"/>
          <w:szCs w:val="36"/>
          <w:highlight w:val="none"/>
        </w:rPr>
      </w:pPr>
      <w:r>
        <w:rPr>
          <w:rFonts w:hint="eastAsia" w:ascii="方正小标宋_GBK" w:hAnsi="方正小标宋_GBK" w:eastAsia="方正小标宋_GBK" w:cs="方正小标宋_GBK"/>
          <w:color w:val="000000"/>
          <w:sz w:val="44"/>
          <w:szCs w:val="44"/>
          <w:highlight w:val="none"/>
        </w:rPr>
        <w:t xml:space="preserve">村庄生活污水处理设施运维考核管理办法（试行）</w:t>
      </w:r>
      <w:r>
        <w:rPr>
          <w:rFonts w:hint="eastAsia" w:ascii="宋体" w:hAnsi="宋体" w:eastAsia="方正小标宋_GBK" w:cs="宋体"/>
          <w:color w:val="000000"/>
          <w:sz w:val="36"/>
          <w:szCs w:val="36"/>
          <w:highlight w:val="none"/>
        </w:rPr>
      </w:r>
      <w:r/>
    </w:p>
    <w:p>
      <w:pPr>
        <w:pStyle w:val="851"/>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第一条 制定目的</w:t>
      </w:r>
      <w:r>
        <w:rPr>
          <w:rFonts w:hint="eastAsia" w:ascii="宋体" w:hAnsi="宋体" w:cs="宋体"/>
          <w:b/>
          <w:bCs/>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规范华港镇、红旗街道辖区村庄生活污水处理设施常态化运行维护管理，压实各方管护责任，保障设施稳定运行、出水达标，结合本地区实际及配套绩效考核细则，特制定本办法。本办法作为辖区村庄生活污水处理运维工作监管、考核、奖惩、费用拨付的主要依据。</w:t>
      </w: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第二条 适用范围</w:t>
      </w:r>
      <w:r>
        <w:rPr>
          <w:rFonts w:hint="eastAsia" w:ascii="宋体" w:hAnsi="宋体" w:cs="宋体"/>
          <w:b/>
          <w:bCs/>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本办法适用于华港镇、红旗街道全域已投运的村庄生活污水处理设施，包含一体化污水处理设施、提升泵站、隔油池、化粪池、接户井、检查井、污水管网、在线监测设备及附属设施。</w:t>
      </w: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第三条 考核原则</w:t>
      </w:r>
      <w:r>
        <w:rPr>
          <w:rFonts w:hint="eastAsia" w:ascii="宋体" w:hAnsi="宋体" w:cs="宋体"/>
          <w:b/>
          <w:bCs/>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客观公正、量化考评：以现场核查、台账资料、检测报告、督查记录等为依据，逐项量化打分，全程留痕。</w:t>
      </w:r>
      <w:r>
        <w:rPr>
          <w:rFonts w:hint="eastAsia" w:ascii="宋体" w:hAnsi="宋体" w:cs="宋体"/>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限时处置、闭环管理：严格执行隐患上报、故障维修、问题整改时限要求，做到发现、上报、处置、复查全闭环。</w:t>
      </w:r>
      <w:r>
        <w:rPr>
          <w:rFonts w:hint="eastAsia" w:ascii="宋体" w:hAnsi="宋体" w:cs="宋体"/>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奖优罚劣、结果挂钩：考核结果与运维服务费支付、合同履约、违约追责直接关联。</w:t>
      </w:r>
      <w:r>
        <w:rPr>
          <w:rFonts w:hint="eastAsia" w:ascii="宋体" w:hAnsi="宋体" w:cs="宋体"/>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安全优先、长效运维：坚守安全生产底线，督促运维服务单位落实标准化作业，保障设施长期正常运转。</w:t>
      </w: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第四条 考核对象</w:t>
      </w:r>
      <w:r>
        <w:rPr>
          <w:rFonts w:hint="eastAsia" w:ascii="宋体" w:hAnsi="宋体" w:cs="宋体"/>
          <w:b/>
          <w:bCs/>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运维服务单位。</w:t>
      </w: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第五条 考核方式及评分标准</w:t>
      </w:r>
      <w:r>
        <w:rPr>
          <w:rFonts w:hint="eastAsia" w:ascii="宋体" w:hAnsi="宋体" w:cs="宋体"/>
          <w:b/>
          <w:bCs/>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考核采取不定期考核和季度考核相结合方式。季度考核由泰州市海陵区市政园林养护服务中心组织，每季度考核汇总一次。考核采取百分制，考核结果将作为运维服务费发放的依据。考核共分为工作制度、设施运维、安全管理、工作配合四大板块，严格按照附件绩效考核细则执行打分。</w:t>
      </w:r>
      <w:r>
        <w:rPr>
          <w:rFonts w:hint="eastAsia" w:ascii="宋体" w:hAnsi="宋体" w:cs="宋体"/>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运维期内每季度开展绩效考核。每季度考核工作按照中心审定的运维工作计划安排分解到每个月实施，每月考核评分范围为上月运维内容。第三方机构在区市政园林养护服务中心组织下按考核方案协助开展考核工作。区市政园林养护服务中心可组织不定期考核，不定期考核发现的问题计入季度考核统一考评。</w:t>
      </w:r>
      <w:r>
        <w:rPr>
          <w:rFonts w:hint="eastAsia" w:ascii="宋体" w:hAnsi="宋体" w:cs="宋体"/>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（一）不定期考核。对照考核办法及相关标准、规定，组织抽查、检查，发现的问题纳入季度考核内容予以扣分。</w:t>
      </w:r>
      <w:r>
        <w:rPr>
          <w:rFonts w:hint="eastAsia" w:ascii="宋体" w:hAnsi="宋体" w:cs="宋体"/>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季度考核。季度考核分解至每月实施，由第三方考核机构对上月运维工作进行全覆盖检查。每三个月汇总由市政园林中心根据考核评分细则、招投标文件、合同、相关运维要求等，进行评定打分并出具考核结果。</w:t>
      </w: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第六条 考核结果应用</w:t>
      </w:r>
      <w:r>
        <w:rPr>
          <w:rFonts w:hint="eastAsia" w:ascii="宋体" w:hAnsi="宋体" w:cs="宋体"/>
          <w:b/>
          <w:bCs/>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运维期绩效考核的结果与运维绩效服务费的支付挂钩。考核得分与运维服务费扣款的的关系为：</w:t>
      </w:r>
      <w:r>
        <w:rPr>
          <w:rFonts w:hint="eastAsia" w:ascii="宋体" w:hAnsi="宋体" w:cs="宋体"/>
          <w:color w:val="000000"/>
          <w:sz w:val="24"/>
          <w:szCs w:val="24"/>
          <w:highlight w:val="none"/>
        </w:rPr>
      </w:r>
      <w:r/>
    </w:p>
    <w:p>
      <w:pPr>
        <w:pStyle w:val="869"/>
        <w:jc w:val="center"/>
        <w:spacing w:after="0" w:line="5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考核得分与运维服务费支付比例的关系</w:t>
      </w:r>
      <w:r>
        <w:rPr>
          <w:rFonts w:ascii="宋体" w:hAnsi="宋体" w:cs="宋体"/>
          <w:b/>
          <w:bCs/>
          <w:color w:val="000000"/>
          <w:sz w:val="24"/>
          <w:szCs w:val="24"/>
          <w:highlight w:val="none"/>
        </w:rPr>
      </w:r>
      <w:r/>
    </w:p>
    <w:tbl>
      <w:tblPr>
        <w:tblW w:w="84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7"/>
        <w:gridCol w:w="3195"/>
        <w:gridCol w:w="4036"/>
      </w:tblGrid>
      <w:tr>
        <w:trPr>
          <w:trHeight w:val="435"/>
        </w:trPr>
        <w:tc>
          <w:tcPr>
            <w:tcW w:w="1187" w:type="dxa"/>
            <w:vAlign w:val="top"/>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w:t>
            </w:r>
            <w:r>
              <w:rPr>
                <w:rFonts w:hint="eastAsia" w:ascii="宋体" w:hAnsi="宋体" w:eastAsia="宋体" w:cs="宋体"/>
                <w:color w:val="000000"/>
                <w:sz w:val="24"/>
                <w:szCs w:val="24"/>
                <w:highlight w:val="none"/>
                <w:lang w:eastAsia="zh-CN"/>
              </w:rPr>
              <w:t xml:space="preserve">号</w:t>
            </w:r>
            <w:r>
              <w:rPr>
                <w:rFonts w:ascii="宋体" w:hAnsi="宋体" w:eastAsia="宋体" w:cs="宋体"/>
                <w:color w:val="000000"/>
                <w:sz w:val="24"/>
                <w:szCs w:val="24"/>
                <w:highlight w:val="none"/>
                <w:lang w:eastAsia="zh-CN"/>
              </w:rPr>
            </w:r>
            <w:r/>
          </w:p>
        </w:tc>
        <w:tc>
          <w:tcPr>
            <w:tcW w:w="3195" w:type="dxa"/>
            <w:vAlign w:val="top"/>
            <w:textDirection w:val="lrTb"/>
            <w:noWrap w:val="false"/>
          </w:tcPr>
          <w:p>
            <w:pPr>
              <w:pStyle w:val="1502"/>
              <w:ind w:right="31"/>
              <w:jc w:val="center"/>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分数段</w:t>
            </w:r>
            <w:r>
              <w:rPr>
                <w:rFonts w:ascii="宋体" w:hAnsi="宋体" w:eastAsia="宋体" w:cs="宋体"/>
                <w:color w:val="000000"/>
                <w:sz w:val="24"/>
                <w:szCs w:val="24"/>
                <w:highlight w:val="none"/>
              </w:rPr>
            </w:r>
            <w:r/>
          </w:p>
        </w:tc>
        <w:tc>
          <w:tcPr>
            <w:tcW w:w="4036" w:type="dxa"/>
            <w:vAlign w:val="top"/>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考核季运维绩效服务费扣除比例</w:t>
            </w:r>
            <w:r>
              <w:rPr>
                <w:rFonts w:ascii="宋体" w:hAnsi="宋体" w:eastAsia="宋体" w:cs="宋体"/>
                <w:color w:val="000000"/>
                <w:sz w:val="24"/>
                <w:szCs w:val="24"/>
                <w:highlight w:val="none"/>
                <w:lang w:eastAsia="zh-CN"/>
              </w:rPr>
            </w:r>
            <w:r/>
          </w:p>
        </w:tc>
      </w:tr>
      <w:tr>
        <w:trPr>
          <w:trHeight w:val="362"/>
        </w:trPr>
        <w:tc>
          <w:tcPr>
            <w:tcW w:w="1187" w:type="dxa"/>
            <w:vAlign w:val="center"/>
            <w:textDirection w:val="lrTb"/>
            <w:noWrap w:val="false"/>
          </w:tcPr>
          <w:p>
            <w:pPr>
              <w:pStyle w:val="1502"/>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3195"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rPr>
              <w:t xml:space="preserve">得分</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5</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不扣除</w:t>
            </w:r>
            <w:r>
              <w:rPr>
                <w:rFonts w:hint="eastAsia"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94（含）-95（不含）</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93（含）-94（不含）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92（含）-93（不含）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91（含）-92（不含）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90（含）-91（不含）</w:t>
            </w:r>
            <w:r>
              <w:rPr>
                <w:rFonts w:hint="eastAsia"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80（含）-90（不含）</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70（含）-80（不含）</w:t>
            </w:r>
            <w:r>
              <w:rPr>
                <w:rFonts w:ascii="宋体" w:hAnsi="宋体" w:eastAsia="宋体" w:cs="宋体"/>
                <w:color w:val="000000"/>
                <w:sz w:val="24"/>
                <w:szCs w:val="24"/>
                <w:highlight w:val="none"/>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30%</w:t>
            </w:r>
            <w:r>
              <w:rPr>
                <w:rFonts w:ascii="宋体" w:hAnsi="宋体" w:eastAsia="宋体" w:cs="宋体"/>
                <w:color w:val="000000"/>
                <w:sz w:val="24"/>
                <w:szCs w:val="24"/>
                <w:highlight w:val="none"/>
                <w:lang w:eastAsia="zh-CN"/>
              </w:rPr>
            </w:r>
            <w:r/>
          </w:p>
        </w:tc>
      </w:tr>
      <w:tr>
        <w:trPr>
          <w:trHeight w:val="425"/>
        </w:trPr>
        <w:tc>
          <w:tcPr>
            <w:tcW w:w="1187" w:type="dxa"/>
            <w:vAlign w:val="center"/>
            <w:textDirection w:val="lrTb"/>
            <w:noWrap w:val="false"/>
          </w:tcPr>
          <w:p>
            <w:pPr>
              <w:pStyle w:val="1502"/>
              <w:ind w:firstLine="480"/>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eastAsia="zh-CN"/>
              </w:rPr>
            </w:r>
            <w:r/>
          </w:p>
        </w:tc>
        <w:tc>
          <w:tcPr>
            <w:tcW w:w="3195" w:type="dxa"/>
            <w:vAlign w:val="center"/>
            <w:textDirection w:val="lrTb"/>
            <w:noWrap w:val="false"/>
          </w:tcPr>
          <w:p>
            <w:pPr>
              <w:pStyle w:val="1502"/>
              <w:jc w:val="center"/>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60（含）-70（不含）</w:t>
            </w:r>
            <w:r>
              <w:rPr>
                <w:rFonts w:ascii="宋体" w:hAnsi="宋体" w:eastAsia="宋体" w:cs="宋体"/>
                <w:color w:val="000000"/>
                <w:sz w:val="24"/>
                <w:szCs w:val="24"/>
                <w:highlight w:val="none"/>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50%</w:t>
            </w:r>
            <w:r>
              <w:rPr>
                <w:rFonts w:ascii="宋体" w:hAnsi="宋体" w:eastAsia="宋体" w:cs="宋体"/>
                <w:color w:val="000000"/>
                <w:sz w:val="24"/>
                <w:szCs w:val="24"/>
                <w:highlight w:val="none"/>
                <w:lang w:eastAsia="zh-CN"/>
              </w:rPr>
            </w:r>
            <w:r/>
          </w:p>
        </w:tc>
      </w:tr>
      <w:tr>
        <w:trPr>
          <w:trHeight w:val="443"/>
        </w:trPr>
        <w:tc>
          <w:tcPr>
            <w:tcW w:w="1187" w:type="dxa"/>
            <w:vAlign w:val="center"/>
            <w:textDirection w:val="lrTb"/>
            <w:noWrap w:val="false"/>
          </w:tcPr>
          <w:p>
            <w:pPr>
              <w:pStyle w:val="1502"/>
              <w:ind w:firstLine="480"/>
              <w:spacing w:line="5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3195"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得分＜60</w:t>
            </w:r>
            <w:r>
              <w:rPr>
                <w:rFonts w:ascii="宋体" w:hAnsi="宋体" w:eastAsia="宋体" w:cs="宋体"/>
                <w:color w:val="000000"/>
                <w:sz w:val="24"/>
                <w:szCs w:val="24"/>
                <w:highlight w:val="none"/>
                <w:lang w:eastAsia="zh-CN"/>
              </w:rPr>
            </w:r>
            <w:r/>
          </w:p>
        </w:tc>
        <w:tc>
          <w:tcPr>
            <w:tcW w:w="4036" w:type="dxa"/>
            <w:vAlign w:val="center"/>
            <w:textDirection w:val="lrTb"/>
            <w:noWrap w:val="false"/>
          </w:tcPr>
          <w:p>
            <w:pPr>
              <w:pStyle w:val="1502"/>
              <w:jc w:val="center"/>
              <w:spacing w:line="560" w:lineRule="exact"/>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100%</w:t>
            </w:r>
            <w:r>
              <w:rPr>
                <w:rFonts w:ascii="宋体" w:hAnsi="宋体" w:eastAsia="宋体" w:cs="宋体"/>
                <w:color w:val="000000"/>
                <w:sz w:val="24"/>
                <w:szCs w:val="24"/>
                <w:highlight w:val="none"/>
                <w:lang w:eastAsia="zh-CN"/>
              </w:rPr>
            </w:r>
            <w:r/>
          </w:p>
        </w:tc>
      </w:tr>
    </w:tbl>
    <w:p>
      <w:pPr>
        <w:pStyle w:val="851"/>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注：扣款基数为签约合同价扣除暂列金及QV检测费。</w:t>
      </w:r>
      <w:r>
        <w:rPr>
          <w:rFonts w:hint="eastAsia" w:ascii="宋体" w:hAnsi="宋体" w:cs="宋体"/>
          <w:color w:val="000000"/>
          <w:sz w:val="24"/>
          <w:szCs w:val="24"/>
          <w:highlight w:val="none"/>
        </w:rPr>
      </w:r>
      <w:r/>
    </w:p>
    <w:p>
      <w:pPr>
        <w:pStyle w:val="851"/>
        <w:ind w:firstLine="482"/>
        <w:spacing w:after="120" w:line="5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第七条 运维人员的履职要求</w:t>
      </w:r>
      <w:r>
        <w:rPr>
          <w:rFonts w:ascii="宋体" w:hAnsi="宋体" w:cs="宋体"/>
          <w:b/>
          <w:bCs/>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（一）运维服务单位必须安排</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负责人、项目技术负责人及项目组</w:t>
      </w:r>
      <w:r>
        <w:rPr>
          <w:rFonts w:hint="eastAsia" w:ascii="宋体" w:hAnsi="宋体" w:cs="宋体"/>
          <w:color w:val="000000"/>
          <w:szCs w:val="21"/>
          <w:highlight w:val="none"/>
        </w:rPr>
        <w:t xml:space="preserve">成员到</w:t>
      </w:r>
      <w:r>
        <w:rPr>
          <w:rFonts w:hint="eastAsia" w:ascii="宋体" w:hAnsi="宋体" w:cs="宋体"/>
          <w:color w:val="000000"/>
          <w:sz w:val="24"/>
          <w:szCs w:val="24"/>
          <w:highlight w:val="none"/>
        </w:rPr>
        <w:t xml:space="preserve">项到岗履职，服务期内，项目组</w:t>
      </w:r>
      <w:r>
        <w:rPr>
          <w:rFonts w:hint="eastAsia" w:ascii="宋体" w:hAnsi="宋体" w:cs="宋体"/>
          <w:color w:val="000000"/>
          <w:sz w:val="24"/>
          <w:szCs w:val="24"/>
          <w:highlight w:val="none"/>
          <w:lang w:val="en-US" w:eastAsia="zh-CN"/>
        </w:rPr>
        <w:t xml:space="preserve">全体</w:t>
      </w:r>
      <w:r>
        <w:rPr>
          <w:rFonts w:hint="eastAsia" w:ascii="宋体" w:hAnsi="宋体" w:cs="宋体"/>
          <w:color w:val="000000"/>
          <w:sz w:val="24"/>
          <w:szCs w:val="24"/>
          <w:highlight w:val="none"/>
        </w:rPr>
        <w:t xml:space="preserve">人员每周不少于5天，每天不少于8小时。</w:t>
      </w:r>
      <w:r>
        <w:rPr>
          <w:rFonts w:hint="eastAsia" w:ascii="宋体" w:hAnsi="宋体" w:cs="宋体"/>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（二）服务期内，运维服务单位自行对人员进行考勤，制定考勤细则，第三方考核机构、区市政园林中心对项目人员进行不定期抽查，每缺勤 1 天，扣 3000 元/人；每天在岗时间少于 8 小时的，按上述标准减半扣取。</w:t>
      </w:r>
      <w:r>
        <w:rPr>
          <w:rFonts w:hint="eastAsia" w:ascii="宋体" w:hAnsi="宋体" w:cs="宋体"/>
          <w:color w:val="000000"/>
          <w:sz w:val="24"/>
          <w:szCs w:val="24"/>
          <w:highlight w:val="none"/>
        </w:rPr>
      </w:r>
      <w:r/>
    </w:p>
    <w:p>
      <w:pPr>
        <w:pStyle w:val="851"/>
        <w:ind w:firstLine="48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（三）服务期内，项目组人员离开现场应事先通知第三方考核机构，并取得书面同意后方可外出，书面请假手续同时报甲方备案，如有违反，每次扣 3000元/人。</w:t>
      </w: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第八条 一票否决情形</w:t>
      </w:r>
      <w:r>
        <w:rPr>
          <w:rFonts w:hint="eastAsia" w:ascii="宋体" w:hAnsi="宋体" w:cs="宋体"/>
          <w:b/>
          <w:bCs/>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出现以下情况之一，当期考核直接判定为不合格，并从严追责：</w:t>
      </w:r>
      <w:r>
        <w:rPr>
          <w:rFonts w:hint="eastAsia" w:ascii="宋体" w:hAnsi="宋体" w:cs="宋体"/>
          <w:color w:val="000000"/>
          <w:sz w:val="24"/>
          <w:szCs w:val="24"/>
          <w:highlight w:val="none"/>
        </w:rPr>
      </w:r>
      <w:r/>
    </w:p>
    <w:p>
      <w:pPr>
        <w:pStyle w:val="851"/>
        <w:numPr>
          <w:ilvl w:val="0"/>
          <w:numId w:val="16"/>
        </w:num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发生</w:t>
      </w:r>
      <w:r>
        <w:rPr>
          <w:rFonts w:hint="eastAsia" w:ascii="宋体" w:hAnsi="宋体" w:cs="宋体"/>
          <w:color w:val="000000"/>
          <w:sz w:val="24"/>
          <w:szCs w:val="24"/>
          <w:highlight w:val="none"/>
          <w:lang w:val="en-US" w:eastAsia="zh-CN"/>
        </w:rPr>
        <w:t xml:space="preserve">一般安全事故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51"/>
        <w:numPr>
          <w:ilvl w:val="0"/>
          <w:numId w:val="16"/>
        </w:num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发生省级及以上级别环境污染负面事件、重大环保处罚；</w:t>
      </w:r>
      <w:r>
        <w:rPr>
          <w:rFonts w:hint="eastAsia" w:ascii="宋体" w:hAnsi="宋体" w:cs="宋体"/>
          <w:color w:val="000000"/>
          <w:sz w:val="24"/>
          <w:szCs w:val="24"/>
          <w:highlight w:val="none"/>
        </w:rPr>
      </w:r>
      <w:r/>
    </w:p>
    <w:p>
      <w:pPr>
        <w:pStyle w:val="851"/>
        <w:numPr>
          <w:ilvl w:val="0"/>
          <w:numId w:val="16"/>
        </w:num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发生重大舆情事件，且经查实运维服务单位负主要责任的；</w:t>
      </w:r>
      <w:r>
        <w:rPr>
          <w:rFonts w:hint="eastAsia" w:ascii="宋体" w:hAnsi="宋体" w:cs="宋体"/>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val="en-US" w:eastAsia="zh-CN"/>
        </w:rPr>
        <w:t xml:space="preserve">运维服务单位</w:t>
      </w:r>
      <w:r>
        <w:rPr>
          <w:rFonts w:hint="eastAsia" w:ascii="宋体" w:hAnsi="宋体" w:cs="宋体"/>
          <w:color w:val="000000"/>
          <w:sz w:val="24"/>
          <w:szCs w:val="24"/>
          <w:highlight w:val="none"/>
        </w:rPr>
        <w:t xml:space="preserve">故意停运设施、恶意偷排污水；</w:t>
      </w:r>
      <w:r>
        <w:rPr>
          <w:rFonts w:hint="eastAsia" w:ascii="宋体" w:hAnsi="宋体" w:cs="宋体"/>
          <w:color w:val="000000"/>
          <w:sz w:val="24"/>
          <w:szCs w:val="24"/>
          <w:highlight w:val="none"/>
        </w:rPr>
      </w:r>
      <w:r/>
    </w:p>
    <w:p>
      <w:pPr>
        <w:pStyle w:val="851"/>
        <w:ind w:firstLine="480"/>
        <w:spacing w:line="5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lang w:val="en-US" w:eastAsia="zh-CN"/>
        </w:rPr>
        <w:t xml:space="preserve">污泥运输未按规范动作执行，出现两次以上；</w:t>
      </w:r>
      <w:r>
        <w:rPr>
          <w:rFonts w:ascii="宋体" w:hAnsi="宋体" w:eastAsia="宋体" w:cs="宋体"/>
          <w:color w:val="000000"/>
          <w:sz w:val="24"/>
          <w:szCs w:val="24"/>
          <w:highlight w:val="none"/>
          <w:lang w:val="en-US" w:eastAsia="zh-CN"/>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三次及以上拒不落实整改要求、消极运维。</w:t>
      </w:r>
      <w:r>
        <w:rPr>
          <w:rFonts w:hint="eastAsia" w:ascii="宋体" w:hAnsi="宋体" w:cs="宋体"/>
          <w:color w:val="000000"/>
          <w:sz w:val="24"/>
          <w:szCs w:val="24"/>
          <w:highlight w:val="none"/>
        </w:rPr>
      </w:r>
      <w:r/>
    </w:p>
    <w:p>
      <w:pPr>
        <w:pStyle w:val="851"/>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发生较大及以上安全事故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扣除年度运维服务费</w:t>
      </w:r>
      <w:r>
        <w:rPr>
          <w:rFonts w:hint="eastAsia" w:ascii="宋体" w:hAnsi="宋体" w:cs="宋体"/>
          <w:color w:val="000000"/>
          <w:sz w:val="24"/>
          <w:szCs w:val="24"/>
          <w:highlight w:val="none"/>
        </w:rPr>
        <w:t xml:space="preserve">，并从严追责</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第九条 问题整改</w:t>
      </w:r>
      <w:r>
        <w:rPr>
          <w:rFonts w:hint="eastAsia" w:ascii="宋体" w:hAnsi="宋体" w:cs="宋体"/>
          <w:b/>
          <w:bCs/>
          <w:color w:val="000000"/>
          <w:sz w:val="24"/>
          <w:szCs w:val="24"/>
          <w:highlight w:val="none"/>
        </w:rPr>
      </w:r>
      <w:r/>
    </w:p>
    <w:p>
      <w:pPr>
        <w:pStyle w:val="851"/>
        <w:ind w:firstLine="240"/>
        <w:spacing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考核发现的问题，运维服务单位须严格按照整改通知书时限完成整改；一般问题 3 日内整改到位，限期处置类隐患严格执行24 小时上报、48 小时处置要求。</w:t>
      </w:r>
      <w:r>
        <w:rPr>
          <w:rFonts w:hint="eastAsia" w:ascii="宋体" w:hAnsi="宋体" w:cs="宋体"/>
          <w:color w:val="000000"/>
          <w:sz w:val="24"/>
          <w:szCs w:val="24"/>
          <w:highlight w:val="none"/>
        </w:rPr>
      </w:r>
      <w:r/>
    </w:p>
    <w:p>
      <w:pPr>
        <w:pStyle w:val="851"/>
        <w:ind w:firstLine="482"/>
        <w:spacing w:after="120" w:line="5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第十条 其它</w:t>
      </w:r>
      <w:r>
        <w:rPr>
          <w:rFonts w:hint="eastAsia" w:ascii="宋体" w:hAnsi="宋体" w:cs="宋体"/>
          <w:b/>
          <w:bCs/>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（一）运维服务单位应当编制详细的工作计划，明确运维服务具体时间报甲方审核。</w:t>
      </w:r>
      <w:r>
        <w:rPr>
          <w:rFonts w:hint="eastAsia" w:ascii="宋体" w:hAnsi="宋体" w:cs="宋体"/>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（二）凡违反规定和管理要求，达不到管理标准的，按《农村生活污水处理设施运维考核管理办法》扣分，直至扣完每项标准分。</w:t>
      </w:r>
      <w:r>
        <w:rPr>
          <w:rFonts w:hint="eastAsia" w:ascii="宋体" w:hAnsi="宋体" w:cs="宋体"/>
          <w:color w:val="000000"/>
          <w:sz w:val="24"/>
          <w:szCs w:val="24"/>
          <w:highlight w:val="none"/>
        </w:rPr>
      </w:r>
      <w:r/>
    </w:p>
    <w:p>
      <w:pPr>
        <w:pStyle w:val="85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（三）该考核办法的最终解释权归泰州市海陵区市政园林养护服务中心所有。</w:t>
      </w:r>
      <w:r>
        <w:rPr>
          <w:rFonts w:hint="eastAsia" w:ascii="宋体" w:hAnsi="宋体" w:cs="宋体"/>
          <w:color w:val="000000"/>
          <w:sz w:val="24"/>
          <w:szCs w:val="24"/>
          <w:highlight w:val="none"/>
        </w:rPr>
      </w:r>
      <w:r/>
    </w:p>
    <w:p>
      <w:pPr>
        <w:pStyle w:val="851"/>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jc w:val="left"/>
        <w:spacing w:line="480" w:lineRule="exact"/>
        <w:tabs>
          <w:tab w:val="left" w:pos="567" w:leader="none"/>
        </w:tabs>
        <w:rPr>
          <w:rFonts w:hint="eastAsia" w:ascii="宋体" w:hAnsi="宋体" w:cs="宋体"/>
          <w:color w:val="000000"/>
          <w:sz w:val="24"/>
          <w:szCs w:val="24"/>
          <w:highlight w:val="none"/>
        </w:rPr>
        <w:sectPr>
          <w:footerReference w:type="default" r:id="rId11"/>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cs="宋体"/>
          <w:color w:val="000000"/>
          <w:sz w:val="24"/>
          <w:szCs w:val="24"/>
          <w:highlight w:val="none"/>
        </w:rPr>
      </w:r>
      <w:r/>
    </w:p>
    <w:p>
      <w:pPr>
        <w:pStyle w:val="851"/>
        <w:rPr>
          <w:b/>
          <w:bCs/>
          <w:color w:val="000000"/>
          <w:sz w:val="24"/>
          <w:szCs w:val="24"/>
          <w:highlight w:val="none"/>
        </w:rPr>
      </w:pPr>
      <w:r>
        <w:rPr>
          <w:rFonts w:hint="eastAsia"/>
          <w:b/>
          <w:bCs/>
          <w:color w:val="000000"/>
          <w:sz w:val="24"/>
          <w:szCs w:val="24"/>
          <w:highlight w:val="none"/>
        </w:rPr>
        <w:t xml:space="preserve">附件2：绩效考核指标体系</w:t>
      </w:r>
      <w:r>
        <w:rPr>
          <w:b/>
          <w:bCs/>
          <w:color w:val="000000"/>
          <w:sz w:val="24"/>
          <w:szCs w:val="24"/>
          <w:highlight w:val="none"/>
        </w:rPr>
      </w:r>
      <w:r/>
    </w:p>
    <w:p>
      <w:pPr>
        <w:pStyle w:val="851"/>
        <w:ind w:firstLine="560"/>
        <w:rPr>
          <w:rFonts w:ascii="宋体" w:hAnsi="宋体"/>
          <w:color w:val="000000"/>
          <w:sz w:val="24"/>
          <w:szCs w:val="28"/>
          <w:highlight w:val="none"/>
        </w:rPr>
      </w:pPr>
      <w:r>
        <w:rPr>
          <w:rFonts w:ascii="宋体" w:hAnsi="宋体"/>
          <w:color w:val="000000"/>
          <w:sz w:val="24"/>
          <w:szCs w:val="28"/>
          <w:highlight w:val="none"/>
        </w:rPr>
      </w:r>
      <w:r/>
    </w:p>
    <w:p>
      <w:pPr>
        <w:pStyle w:val="851"/>
        <w:ind w:firstLine="240"/>
        <w:spacing w:line="52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w:t>
      </w:r>
      <w:r>
        <w:rPr>
          <w:rFonts w:hint="eastAsia" w:ascii="宋体" w:hAnsi="宋体" w:cs="宋体"/>
          <w:bCs/>
          <w:color w:val="000000"/>
          <w:sz w:val="24"/>
          <w:szCs w:val="24"/>
          <w:highlight w:val="none"/>
          <w:lang w:val="en-US" w:eastAsia="zh-CN"/>
        </w:rPr>
        <w:t xml:space="preserve">3个月为一个考核周期</w:t>
      </w:r>
      <w:r>
        <w:rPr>
          <w:rFonts w:hint="eastAsia" w:ascii="宋体" w:hAnsi="宋体" w:eastAsia="宋体" w:cs="宋体"/>
          <w:bCs/>
          <w:color w:val="000000"/>
          <w:sz w:val="24"/>
          <w:szCs w:val="24"/>
          <w:highlight w:val="none"/>
        </w:rPr>
        <w:t xml:space="preserve">，具体考核内容、分值及评分标准如下表：</w:t>
      </w:r>
      <w:r>
        <w:rPr>
          <w:rFonts w:ascii="宋体" w:hAnsi="宋体" w:eastAsia="宋体" w:cs="宋体"/>
          <w:bCs/>
          <w:color w:val="000000"/>
          <w:sz w:val="24"/>
          <w:szCs w:val="24"/>
          <w:highlight w:val="none"/>
        </w:rPr>
      </w:r>
      <w:r/>
    </w:p>
    <w:tbl>
      <w:tblPr>
        <w:tblW w:w="139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921"/>
        <w:gridCol w:w="922"/>
        <w:gridCol w:w="790"/>
        <w:gridCol w:w="3925"/>
        <w:gridCol w:w="3737"/>
        <w:gridCol w:w="1192"/>
        <w:gridCol w:w="1123"/>
        <w:gridCol w:w="772"/>
      </w:tblGrid>
      <w:tr>
        <w:trPr>
          <w:trHeight w:val="312"/>
          <w:tblHeader/>
        </w:trPr>
        <w:tc>
          <w:tcPr>
            <w:shd w:val="clear" w:color="auto" w:fill="d7d7d7"/>
            <w:tcW w:w="562"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序号</w:t>
            </w:r>
            <w:r>
              <w:rPr>
                <w:rFonts w:ascii="宋体" w:hAnsi="宋体" w:eastAsia="宋体" w:cs="Times New Roman"/>
                <w:b/>
                <w:bCs/>
                <w:color w:val="000000"/>
                <w:sz w:val="22"/>
                <w:szCs w:val="22"/>
                <w:highlight w:val="none"/>
                <w:lang w:val="en-US" w:eastAsia="en-US" w:bidi="en-US"/>
              </w:rPr>
            </w:r>
            <w:r/>
          </w:p>
        </w:tc>
        <w:tc>
          <w:tcPr>
            <w:shd w:val="clear" w:color="auto" w:fill="d7d7d7"/>
            <w:tcW w:w="921"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zh-CN" w:bidi="en-US"/>
              </w:rPr>
              <w:t xml:space="preserve">一</w:t>
            </w:r>
            <w:r>
              <w:rPr>
                <w:rFonts w:hint="eastAsia" w:ascii="宋体" w:hAnsi="宋体" w:eastAsia="宋体" w:cs="Times New Roman"/>
                <w:b/>
                <w:bCs/>
                <w:color w:val="000000"/>
                <w:sz w:val="22"/>
                <w:szCs w:val="22"/>
                <w:highlight w:val="none"/>
                <w:lang w:val="en-US" w:eastAsia="en-US" w:bidi="en-US"/>
              </w:rPr>
              <w:t xml:space="preserve">级</w:t>
            </w:r>
            <w:r>
              <w:rPr>
                <w:rFonts w:ascii="宋体" w:hAnsi="宋体" w:eastAsia="宋体" w:cs="Times New Roman"/>
                <w:b/>
                <w:bCs/>
                <w:color w:val="000000"/>
                <w:sz w:val="22"/>
                <w:szCs w:val="22"/>
                <w:highlight w:val="none"/>
                <w:lang w:val="en-US" w:eastAsia="en-US" w:bidi="en-US"/>
              </w:rPr>
            </w:r>
            <w:r/>
          </w:p>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指标</w:t>
            </w:r>
            <w:r>
              <w:rPr>
                <w:rFonts w:ascii="宋体" w:hAnsi="宋体" w:eastAsia="宋体" w:cs="Times New Roman"/>
                <w:b/>
                <w:bCs/>
                <w:color w:val="000000"/>
                <w:sz w:val="22"/>
                <w:szCs w:val="22"/>
                <w:highlight w:val="none"/>
                <w:lang w:val="en-US" w:eastAsia="en-US" w:bidi="en-US"/>
              </w:rPr>
            </w:r>
            <w:r/>
          </w:p>
        </w:tc>
        <w:tc>
          <w:tcPr>
            <w:shd w:val="clear" w:color="auto" w:fill="d7d7d7"/>
            <w:tcW w:w="922"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zh-CN" w:bidi="en-US"/>
              </w:rPr>
              <w:t xml:space="preserve">二</w:t>
            </w:r>
            <w:r>
              <w:rPr>
                <w:rFonts w:hint="eastAsia" w:ascii="宋体" w:hAnsi="宋体" w:eastAsia="宋体" w:cs="Times New Roman"/>
                <w:b/>
                <w:bCs/>
                <w:color w:val="000000"/>
                <w:sz w:val="22"/>
                <w:szCs w:val="22"/>
                <w:highlight w:val="none"/>
                <w:lang w:val="en-US" w:eastAsia="en-US" w:bidi="en-US"/>
              </w:rPr>
              <w:t xml:space="preserve">级</w:t>
            </w:r>
            <w:r>
              <w:rPr>
                <w:rFonts w:ascii="宋体" w:hAnsi="宋体" w:eastAsia="宋体" w:cs="Times New Roman"/>
                <w:b/>
                <w:bCs/>
                <w:color w:val="000000"/>
                <w:sz w:val="22"/>
                <w:szCs w:val="22"/>
                <w:highlight w:val="none"/>
                <w:lang w:val="en-US" w:eastAsia="en-US" w:bidi="en-US"/>
              </w:rPr>
            </w:r>
            <w:r/>
          </w:p>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指标</w:t>
            </w:r>
            <w:r>
              <w:rPr>
                <w:rFonts w:ascii="宋体" w:hAnsi="宋体" w:eastAsia="宋体" w:cs="Times New Roman"/>
                <w:b/>
                <w:bCs/>
                <w:color w:val="000000"/>
                <w:sz w:val="22"/>
                <w:szCs w:val="22"/>
                <w:highlight w:val="none"/>
                <w:lang w:val="en-US" w:eastAsia="en-US" w:bidi="en-US"/>
              </w:rPr>
            </w:r>
            <w:r/>
          </w:p>
        </w:tc>
        <w:tc>
          <w:tcPr>
            <w:shd w:val="clear" w:color="auto" w:fill="d7d7d7"/>
            <w:tcW w:w="790"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满分</w:t>
            </w:r>
            <w:r>
              <w:rPr>
                <w:rFonts w:ascii="宋体" w:hAnsi="宋体" w:eastAsia="宋体" w:cs="Times New Roman"/>
                <w:b/>
                <w:bCs/>
                <w:color w:val="000000"/>
                <w:sz w:val="22"/>
                <w:szCs w:val="22"/>
                <w:highlight w:val="none"/>
                <w:lang w:val="en-US" w:eastAsia="en-US" w:bidi="en-US"/>
              </w:rPr>
            </w:r>
            <w:r/>
          </w:p>
        </w:tc>
        <w:tc>
          <w:tcPr>
            <w:shd w:val="clear" w:color="auto" w:fill="d7d7d7"/>
            <w:tcW w:w="3925"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评分标准</w:t>
            </w:r>
            <w:r>
              <w:rPr>
                <w:rFonts w:ascii="宋体" w:hAnsi="宋体" w:eastAsia="宋体" w:cs="Times New Roman"/>
                <w:b/>
                <w:bCs/>
                <w:color w:val="000000"/>
                <w:sz w:val="22"/>
                <w:szCs w:val="22"/>
                <w:highlight w:val="none"/>
                <w:lang w:val="en-US" w:eastAsia="en-US" w:bidi="en-US"/>
              </w:rPr>
            </w:r>
            <w:r/>
          </w:p>
        </w:tc>
        <w:tc>
          <w:tcPr>
            <w:shd w:val="clear" w:color="auto" w:fill="d7d7d7"/>
            <w:tcW w:w="3737"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评分方法</w:t>
            </w:r>
            <w:r>
              <w:rPr>
                <w:rFonts w:ascii="宋体" w:hAnsi="宋体" w:eastAsia="宋体" w:cs="Times New Roman"/>
                <w:b/>
                <w:bCs/>
                <w:color w:val="000000"/>
                <w:sz w:val="22"/>
                <w:szCs w:val="22"/>
                <w:highlight w:val="none"/>
                <w:lang w:val="en-US" w:eastAsia="en-US" w:bidi="en-US"/>
              </w:rPr>
            </w:r>
            <w:r/>
          </w:p>
        </w:tc>
        <w:tc>
          <w:tcPr>
            <w:shd w:val="clear" w:color="auto" w:fill="d7d7d7"/>
            <w:tcW w:w="1192"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考核方式</w:t>
            </w:r>
            <w:r>
              <w:rPr>
                <w:rFonts w:ascii="宋体" w:hAnsi="宋体" w:eastAsia="宋体" w:cs="Times New Roman"/>
                <w:b/>
                <w:bCs/>
                <w:color w:val="000000"/>
                <w:sz w:val="22"/>
                <w:szCs w:val="22"/>
                <w:highlight w:val="none"/>
                <w:lang w:val="en-US" w:eastAsia="en-US" w:bidi="en-US"/>
              </w:rPr>
            </w:r>
            <w:r/>
          </w:p>
        </w:tc>
        <w:tc>
          <w:tcPr>
            <w:shd w:val="clear" w:color="auto" w:fill="d7d7d7"/>
            <w:tcW w:w="1123" w:type="dxa"/>
            <w:vAlign w:val="center"/>
            <w:textDirection w:val="lrTb"/>
            <w:noWrap w:val="false"/>
          </w:tcPr>
          <w:p>
            <w:pPr>
              <w:pStyle w:val="1478"/>
              <w:jc w:val="center"/>
              <w:rPr>
                <w:rFonts w:ascii="宋体" w:hAnsi="宋体" w:eastAsia="宋体" w:cs="Times New Roman"/>
                <w:b/>
                <w:bCs/>
                <w:color w:val="000000"/>
                <w:sz w:val="22"/>
                <w:szCs w:val="22"/>
                <w:highlight w:val="none"/>
                <w:lang w:val="en-US" w:eastAsia="en-US" w:bidi="en-US"/>
              </w:rPr>
            </w:pPr>
            <w:r>
              <w:rPr>
                <w:rFonts w:hint="eastAsia" w:ascii="宋体" w:hAnsi="宋体" w:eastAsia="宋体" w:cs="Times New Roman"/>
                <w:b/>
                <w:bCs/>
                <w:color w:val="000000"/>
                <w:sz w:val="22"/>
                <w:szCs w:val="22"/>
                <w:highlight w:val="none"/>
                <w:lang w:val="en-US" w:eastAsia="en-US" w:bidi="en-US"/>
              </w:rPr>
              <w:t xml:space="preserve">考核依据</w:t>
            </w:r>
            <w:r>
              <w:rPr>
                <w:rFonts w:ascii="宋体" w:hAnsi="宋体" w:eastAsia="宋体" w:cs="Times New Roman"/>
                <w:b/>
                <w:bCs/>
                <w:color w:val="000000"/>
                <w:sz w:val="22"/>
                <w:szCs w:val="22"/>
                <w:highlight w:val="none"/>
                <w:lang w:val="en-US" w:eastAsia="en-US" w:bidi="en-US"/>
              </w:rPr>
            </w:r>
            <w:r/>
          </w:p>
        </w:tc>
        <w:tc>
          <w:tcPr>
            <w:shd w:val="clear" w:color="auto" w:fill="d7d7d7"/>
            <w:tcW w:w="772" w:type="dxa"/>
            <w:vAlign w:val="center"/>
            <w:textDirection w:val="lrTb"/>
            <w:noWrap w:val="false"/>
          </w:tcPr>
          <w:p>
            <w:pPr>
              <w:pStyle w:val="1478"/>
              <w:jc w:val="center"/>
              <w:rPr>
                <w:rFonts w:ascii="Calibri" w:hAnsi="Calibri" w:eastAsia="宋体" w:cs="Times New Roman"/>
                <w:b/>
                <w:bCs/>
                <w:color w:val="000000"/>
                <w:sz w:val="22"/>
                <w:szCs w:val="22"/>
                <w:highlight w:val="none"/>
                <w:lang w:val="en-US" w:eastAsia="zh-CN" w:bidi="en-US"/>
              </w:rPr>
            </w:pPr>
            <w:r>
              <w:rPr>
                <w:rFonts w:hint="eastAsia" w:eastAsia="宋体" w:cs="Times New Roman"/>
                <w:b/>
                <w:bCs/>
                <w:color w:val="000000"/>
                <w:sz w:val="22"/>
                <w:szCs w:val="22"/>
                <w:highlight w:val="none"/>
                <w:lang w:val="en-US" w:eastAsia="zh-CN" w:bidi="en-US"/>
              </w:rPr>
              <w:t xml:space="preserve">扣分情况</w:t>
            </w:r>
            <w:r>
              <w:rPr>
                <w:rFonts w:ascii="Calibri" w:hAnsi="Calibri" w:eastAsia="宋体" w:cs="Times New Roman"/>
                <w:b/>
                <w:bCs/>
                <w:color w:val="000000"/>
                <w:sz w:val="22"/>
                <w:szCs w:val="22"/>
                <w:highlight w:val="none"/>
                <w:lang w:val="en-US" w:eastAsia="zh-CN" w:bidi="en-US"/>
              </w:rPr>
            </w:r>
            <w:r/>
          </w:p>
        </w:tc>
      </w:tr>
      <w:tr>
        <w:trPr>
          <w:trHeight w:val="3039"/>
        </w:trPr>
        <w:tc>
          <w:tcPr>
            <w:tcW w:w="562" w:type="dxa"/>
            <w:vAlign w:val="center"/>
            <w:vMerge w:val="restart"/>
            <w:textDirection w:val="lrTb"/>
            <w:noWrap w:val="false"/>
          </w:tcPr>
          <w:p>
            <w:pPr>
              <w:pStyle w:val="1478"/>
              <w:jc w:val="center"/>
              <w:rPr>
                <w:rFonts w:ascii="宋体" w:hAnsi="宋体" w:eastAsia="宋体" w:cs="Times New Roman"/>
                <w:b/>
                <w:bCs/>
                <w:color w:val="000000"/>
                <w:sz w:val="22"/>
                <w:szCs w:val="22"/>
                <w:highlight w:val="none"/>
                <w:lang w:val="en-US" w:eastAsia="zh-CN" w:bidi="en-US"/>
              </w:rPr>
            </w:pPr>
            <w:r>
              <w:rPr>
                <w:rFonts w:hint="eastAsia" w:ascii="宋体" w:hAnsi="宋体" w:eastAsia="宋体" w:cs="Times New Roman"/>
                <w:b/>
                <w:bCs/>
                <w:color w:val="000000"/>
                <w:sz w:val="22"/>
                <w:szCs w:val="22"/>
                <w:highlight w:val="none"/>
                <w:lang w:val="en-US" w:eastAsia="zh-CN" w:bidi="en-US"/>
              </w:rPr>
              <w:t xml:space="preserve">一</w:t>
            </w:r>
            <w:r>
              <w:rPr>
                <w:rFonts w:ascii="宋体" w:hAnsi="宋体" w:eastAsia="宋体" w:cs="Times New Roman"/>
                <w:b/>
                <w:bCs/>
                <w:color w:val="000000"/>
                <w:sz w:val="22"/>
                <w:szCs w:val="22"/>
                <w:highlight w:val="none"/>
                <w:lang w:val="en-US" w:eastAsia="zh-CN" w:bidi="en-US"/>
              </w:rPr>
            </w:r>
            <w:r/>
          </w:p>
        </w:tc>
        <w:tc>
          <w:tcPr>
            <w:tcW w:w="921"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工作制度（10分）</w:t>
            </w:r>
            <w:r>
              <w:rPr>
                <w:rFonts w:ascii="宋体" w:hAnsi="宋体" w:eastAsia="宋体" w:cs="Times New Roman"/>
                <w:color w:val="000000"/>
                <w:sz w:val="22"/>
                <w:szCs w:val="22"/>
                <w:highlight w:val="none"/>
                <w:lang w:val="en-US" w:eastAsia="zh-CN" w:bidi="en-US"/>
              </w:rPr>
            </w:r>
            <w:r/>
          </w:p>
        </w:tc>
        <w:tc>
          <w:tcPr>
            <w:tcW w:w="92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en-US" w:bidi="en-US"/>
              </w:rPr>
              <w:t xml:space="preserve">制度管理</w:t>
            </w:r>
            <w:r>
              <w:rPr>
                <w:rFonts w:ascii="宋体" w:hAnsi="宋体" w:eastAsia="宋体" w:cs="Times New Roman"/>
                <w:color w:val="000000"/>
                <w:sz w:val="22"/>
                <w:szCs w:val="22"/>
                <w:highlight w:val="none"/>
                <w:lang w:val="en-US" w:eastAsia="zh-CN"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运维单位有完善的管理制度，主要包括设备管理制度，特种作业管理制度，定期巡检管理制度等</w:t>
            </w:r>
            <w:r>
              <w:rPr>
                <w:rFonts w:hint="eastAsia" w:eastAsia="宋体" w:cs="Times New Roman"/>
                <w:color w:val="000000"/>
                <w:sz w:val="22"/>
                <w:szCs w:val="22"/>
                <w:highlight w:val="none"/>
                <w:lang w:val="en-US" w:eastAsia="zh-CN" w:bidi="en-US"/>
              </w:rPr>
              <w:t xml:space="preserve">（应当制定巡检计划横道图，明确巡检时间，具体到月、日）</w:t>
            </w:r>
            <w:r>
              <w:rPr>
                <w:rFonts w:hint="eastAsia" w:ascii="Calibri" w:hAnsi="Calibri" w:eastAsia="宋体" w:cs="Times New Roman"/>
                <w:color w:val="000000"/>
                <w:sz w:val="22"/>
                <w:szCs w:val="22"/>
                <w:highlight w:val="none"/>
                <w:lang w:val="en-US" w:eastAsia="zh-CN" w:bidi="en-US"/>
              </w:rPr>
              <w:t xml:space="preserve">，</w:t>
            </w:r>
            <w:r>
              <w:rPr>
                <w:rFonts w:hint="eastAsia" w:eastAsia="宋体" w:cs="Times New Roman"/>
                <w:color w:val="000000"/>
                <w:sz w:val="22"/>
                <w:szCs w:val="22"/>
                <w:highlight w:val="none"/>
                <w:lang w:val="en-US" w:eastAsia="zh-CN" w:bidi="en-US"/>
              </w:rPr>
              <w:t xml:space="preserve">运维</w:t>
            </w:r>
            <w:r>
              <w:rPr>
                <w:rFonts w:hint="eastAsia" w:ascii="Calibri" w:hAnsi="Calibri" w:eastAsia="宋体" w:cs="Times New Roman"/>
                <w:color w:val="000000"/>
                <w:sz w:val="22"/>
                <w:szCs w:val="22"/>
                <w:highlight w:val="none"/>
                <w:lang w:val="en-US" w:eastAsia="zh-CN" w:bidi="en-US"/>
              </w:rPr>
              <w:t xml:space="preserve">维护手册、设备制造商提供的说明手册和指导，养护管理手册，人员培训上岗制度、记录和报告制度，设备操作规程等。每缺一项，扣0.5分，扣完为止；制度、规程等内容不完善、错漏的，每发现一起，扣0.2分，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检查运维单位制度与规程；按评分标准打分。</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运维单位报送材料、</w:t>
            </w:r>
            <w:r>
              <w:rPr>
                <w:rFonts w:hint="eastAsia" w:ascii="Calibri" w:hAnsi="Calibri" w:eastAsia="宋体" w:cs="Times New Roman"/>
                <w:color w:val="000000"/>
                <w:sz w:val="22"/>
                <w:szCs w:val="22"/>
                <w:highlight w:val="none"/>
                <w:lang w:val="en-US" w:eastAsia="zh-CN" w:bidi="en-US"/>
              </w:rPr>
              <w:t xml:space="preserve">文件检查</w:t>
            </w:r>
            <w:r>
              <w:rPr>
                <w:rFonts w:hint="eastAsia" w:ascii="宋体" w:hAnsi="宋体" w:eastAsia="宋体" w:cs="Times New Roman"/>
                <w:color w:val="000000"/>
                <w:sz w:val="22"/>
                <w:szCs w:val="22"/>
                <w:highlight w:val="none"/>
                <w:lang w:val="en-US" w:eastAsia="zh-CN" w:bidi="en-US"/>
              </w:rPr>
              <w:t xml:space="preserve">。</w:t>
            </w:r>
            <w:r>
              <w:rPr>
                <w:rFonts w:ascii="宋体" w:hAnsi="宋体"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政策、法规、项目所属行业标准或规范、合同约定等。</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en-US" w:bidi="en-US"/>
              </w:rPr>
              <w:t xml:space="preserve">应急预案</w:t>
            </w:r>
            <w:r>
              <w:rPr>
                <w:rFonts w:ascii="宋体" w:hAnsi="宋体" w:eastAsia="宋体" w:cs="Times New Roman"/>
                <w:color w:val="000000"/>
                <w:sz w:val="22"/>
                <w:szCs w:val="22"/>
                <w:highlight w:val="none"/>
                <w:lang w:val="en-US" w:eastAsia="zh-CN"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运维单位应建立完整应急预案，配备相关的应急设备，出现安全故障应及时处理修复。每发现一处不规范的，扣0.5分，扣完为止。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检查运维单位应急预案按评分标准打分。</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en-US" w:bidi="en-US"/>
              </w:rPr>
              <w:t xml:space="preserve">运维单位报送材料。</w:t>
            </w:r>
            <w:r>
              <w:rPr>
                <w:rFonts w:ascii="宋体" w:hAnsi="宋体"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restart"/>
            <w:textDirection w:val="lrTb"/>
            <w:noWrap w:val="false"/>
          </w:tcPr>
          <w:p>
            <w:pPr>
              <w:pStyle w:val="1478"/>
              <w:jc w:val="center"/>
              <w:rPr>
                <w:rFonts w:ascii="宋体" w:hAnsi="宋体" w:eastAsia="宋体" w:cs="Times New Roman"/>
                <w:b/>
                <w:bCs/>
                <w:color w:val="000000"/>
                <w:sz w:val="22"/>
                <w:szCs w:val="22"/>
                <w:highlight w:val="none"/>
                <w:lang w:val="en-US" w:eastAsia="zh-CN" w:bidi="en-US"/>
              </w:rPr>
            </w:pPr>
            <w:r>
              <w:rPr>
                <w:rFonts w:hint="eastAsia" w:ascii="宋体" w:hAnsi="宋体" w:eastAsia="宋体" w:cs="Times New Roman"/>
                <w:b/>
                <w:bCs/>
                <w:color w:val="000000"/>
                <w:sz w:val="22"/>
                <w:szCs w:val="22"/>
                <w:highlight w:val="none"/>
                <w:lang w:val="en-US" w:eastAsia="zh-CN" w:bidi="en-US"/>
              </w:rPr>
              <w:t xml:space="preserve">二</w:t>
            </w:r>
            <w:r>
              <w:rPr>
                <w:rFonts w:ascii="宋体" w:hAnsi="宋体" w:eastAsia="宋体" w:cs="Times New Roman"/>
                <w:b/>
                <w:bCs/>
                <w:color w:val="000000"/>
                <w:sz w:val="22"/>
                <w:szCs w:val="22"/>
                <w:highlight w:val="none"/>
                <w:lang w:val="en-US" w:eastAsia="zh-CN" w:bidi="en-US"/>
              </w:rPr>
            </w:r>
            <w:r/>
          </w:p>
        </w:tc>
        <w:tc>
          <w:tcPr>
            <w:tcW w:w="921"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en-US" w:bidi="en-US"/>
              </w:rPr>
              <w:t xml:space="preserve">设施运维（5</w:t>
            </w:r>
            <w:r>
              <w:rPr>
                <w:rFonts w:hint="eastAsia" w:ascii="宋体" w:hAnsi="宋体" w:eastAsia="宋体" w:cs="Times New Roman"/>
                <w:color w:val="000000"/>
                <w:sz w:val="22"/>
                <w:szCs w:val="22"/>
                <w:highlight w:val="none"/>
                <w:lang w:val="en-US" w:eastAsia="zh-CN" w:bidi="en-US"/>
              </w:rPr>
              <w:t xml:space="preserve">0</w:t>
            </w:r>
            <w:r>
              <w:rPr>
                <w:rFonts w:hint="eastAsia" w:ascii="宋体" w:hAnsi="宋体" w:eastAsia="宋体" w:cs="Times New Roman"/>
                <w:color w:val="000000"/>
                <w:sz w:val="22"/>
                <w:szCs w:val="22"/>
                <w:highlight w:val="none"/>
                <w:lang w:val="en-US" w:eastAsia="en-US" w:bidi="en-US"/>
              </w:rPr>
              <w:t xml:space="preserve">分）</w:t>
            </w:r>
            <w:r>
              <w:rPr>
                <w:rFonts w:ascii="宋体" w:hAnsi="宋体" w:eastAsia="宋体" w:cs="Times New Roman"/>
                <w:color w:val="000000"/>
                <w:sz w:val="22"/>
                <w:szCs w:val="22"/>
                <w:highlight w:val="none"/>
                <w:lang w:val="en-US" w:eastAsia="zh-CN" w:bidi="en-US"/>
              </w:rPr>
            </w:r>
            <w:r/>
          </w:p>
        </w:tc>
        <w:tc>
          <w:tcPr>
            <w:tcW w:w="92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隔油池、化粪池和接户井</w:t>
            </w:r>
            <w:r>
              <w:rPr>
                <w:rFonts w:ascii="宋体" w:hAnsi="宋体" w:eastAsia="宋体" w:cs="Times New Roman"/>
                <w:color w:val="000000"/>
                <w:sz w:val="22"/>
                <w:szCs w:val="22"/>
                <w:highlight w:val="none"/>
                <w:lang w:val="en-US" w:eastAsia="zh-CN" w:bidi="en-US"/>
              </w:rPr>
            </w:r>
            <w:r/>
          </w:p>
        </w:tc>
        <w:tc>
          <w:tcPr>
            <w:tcW w:w="790"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10</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未定期检查运行状况、</w:t>
            </w:r>
            <w:r>
              <w:rPr>
                <w:rFonts w:hint="eastAsia" w:ascii="宋体" w:hAnsi="宋体" w:eastAsia="宋体" w:cs="Times New Roman"/>
                <w:color w:val="000000"/>
                <w:sz w:val="22"/>
                <w:szCs w:val="22"/>
                <w:highlight w:val="none"/>
                <w:lang w:val="en-US" w:eastAsia="zh-CN" w:bidi="en-US"/>
              </w:rPr>
              <w:t xml:space="preserve">堆积杂物未及时清理的</w:t>
            </w:r>
            <w:r>
              <w:rPr>
                <w:rFonts w:ascii="宋体" w:hAnsi="宋体" w:eastAsia="宋体" w:cs="Times New Roman"/>
                <w:color w:val="000000"/>
                <w:sz w:val="22"/>
                <w:szCs w:val="22"/>
                <w:highlight w:val="none"/>
                <w:lang w:val="en-US" w:eastAsia="zh-CN" w:bidi="en-US"/>
              </w:rPr>
              <w:t xml:space="preserve">，每发现一处扣1分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numPr>
                <w:ilvl w:val="0"/>
                <w:numId w:val="17"/>
              </w:numP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检查运维单位</w:t>
            </w:r>
            <w:r>
              <w:rPr>
                <w:rFonts w:hint="eastAsia" w:ascii="宋体" w:hAnsi="宋体" w:eastAsia="宋体" w:cs="Times New Roman"/>
                <w:color w:val="000000"/>
                <w:sz w:val="22"/>
                <w:szCs w:val="22"/>
                <w:highlight w:val="none"/>
                <w:lang w:val="en-US" w:eastAsia="zh-CN" w:bidi="en-US"/>
              </w:rPr>
              <w:t xml:space="preserve">每月</w:t>
            </w:r>
            <w:r>
              <w:rPr>
                <w:rFonts w:ascii="宋体" w:hAnsi="宋体" w:eastAsia="宋体" w:cs="Times New Roman"/>
                <w:color w:val="000000"/>
                <w:sz w:val="22"/>
                <w:szCs w:val="22"/>
                <w:highlight w:val="none"/>
                <w:lang w:val="en-US" w:eastAsia="zh-CN" w:bidi="en-US"/>
              </w:rPr>
              <w:t xml:space="preserve">巡检记录</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（2）依据现场情况，</w:t>
            </w:r>
            <w:r>
              <w:rPr>
                <w:rFonts w:ascii="宋体" w:hAnsi="宋体" w:eastAsia="宋体" w:cs="Times New Roman"/>
                <w:color w:val="000000"/>
                <w:sz w:val="22"/>
                <w:szCs w:val="22"/>
                <w:highlight w:val="none"/>
                <w:lang w:val="en-US" w:eastAsia="zh-CN"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运维单位报送材料；</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现场调查。</w:t>
            </w:r>
            <w:r>
              <w:rPr>
                <w:rFonts w:ascii="宋体" w:hAnsi="宋体" w:eastAsia="宋体" w:cs="Times New Roman"/>
                <w:color w:val="000000"/>
                <w:sz w:val="22"/>
                <w:szCs w:val="22"/>
                <w:highlight w:val="none"/>
                <w:lang w:val="en-US" w:eastAsia="zh-CN" w:bidi="en-US"/>
              </w:rPr>
            </w:r>
            <w:r/>
          </w:p>
        </w:tc>
        <w:tc>
          <w:tcPr>
            <w:tcW w:w="1123"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进水管</w:t>
            </w:r>
            <w:r>
              <w:rPr>
                <w:rFonts w:hint="eastAsia" w:ascii="宋体" w:hAnsi="宋体" w:cs="Times New Roman"/>
                <w:color w:val="000000"/>
                <w:sz w:val="22"/>
                <w:szCs w:val="22"/>
                <w:highlight w:val="none"/>
                <w:lang w:val="en-US" w:eastAsia="zh-CN" w:bidi="en-US"/>
              </w:rPr>
              <w:t xml:space="preserve">、出水管</w:t>
            </w:r>
            <w:r>
              <w:rPr>
                <w:rFonts w:ascii="宋体" w:hAnsi="宋体" w:eastAsia="宋体" w:cs="Times New Roman"/>
                <w:color w:val="000000"/>
                <w:sz w:val="22"/>
                <w:szCs w:val="22"/>
                <w:highlight w:val="none"/>
                <w:lang w:val="en-US" w:eastAsia="zh-CN" w:bidi="en-US"/>
              </w:rPr>
              <w:t xml:space="preserve">、过粪管堵塞，每发现一处扣1分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依据现场情况，</w:t>
            </w:r>
            <w:r>
              <w:rPr>
                <w:rFonts w:ascii="宋体" w:hAnsi="宋体" w:eastAsia="宋体" w:cs="Times New Roman"/>
                <w:color w:val="000000"/>
                <w:sz w:val="22"/>
                <w:szCs w:val="22"/>
                <w:highlight w:val="none"/>
                <w:lang w:val="en-US" w:eastAsia="zh-CN"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化粪池</w:t>
            </w:r>
            <w:r>
              <w:rPr>
                <w:rFonts w:hint="eastAsia" w:ascii="宋体" w:hAnsi="宋体" w:cs="Times New Roman"/>
                <w:color w:val="000000"/>
                <w:sz w:val="22"/>
                <w:szCs w:val="22"/>
                <w:highlight w:val="none"/>
                <w:lang w:val="en-US" w:eastAsia="zh-CN" w:bidi="en-US"/>
              </w:rPr>
              <w:t xml:space="preserve">、隔油池</w:t>
            </w:r>
            <w:r>
              <w:rPr>
                <w:rFonts w:hint="eastAsia" w:ascii="宋体" w:hAnsi="宋体" w:eastAsia="宋体" w:cs="Times New Roman"/>
                <w:color w:val="000000"/>
                <w:sz w:val="22"/>
                <w:szCs w:val="22"/>
                <w:highlight w:val="none"/>
                <w:lang w:val="en-US" w:eastAsia="zh-CN" w:bidi="en-US"/>
              </w:rPr>
              <w:t xml:space="preserve">未及时清掏</w:t>
            </w:r>
            <w:r>
              <w:rPr>
                <w:rFonts w:ascii="宋体" w:hAnsi="宋体" w:eastAsia="宋体" w:cs="Times New Roman"/>
                <w:color w:val="000000"/>
                <w:sz w:val="22"/>
                <w:szCs w:val="22"/>
                <w:highlight w:val="none"/>
                <w:lang w:val="en-US" w:eastAsia="zh-CN" w:bidi="en-US"/>
              </w:rPr>
              <w:t xml:space="preserve">，每发现一处扣1分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依据现场情况，</w:t>
            </w:r>
            <w:r>
              <w:rPr>
                <w:rFonts w:ascii="宋体" w:hAnsi="宋体" w:eastAsia="宋体" w:cs="Times New Roman"/>
                <w:color w:val="000000"/>
                <w:sz w:val="22"/>
                <w:szCs w:val="22"/>
                <w:highlight w:val="none"/>
                <w:lang w:val="en-US" w:eastAsia="zh-CN"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发现塌陷、渗漏、破损的接户井或化粪池、隔油池，发现一次扣1分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依据现场情况，</w:t>
            </w:r>
            <w:r>
              <w:rPr>
                <w:rFonts w:ascii="宋体" w:hAnsi="宋体" w:eastAsia="宋体" w:cs="Times New Roman"/>
                <w:color w:val="000000"/>
                <w:sz w:val="22"/>
                <w:szCs w:val="22"/>
                <w:highlight w:val="none"/>
                <w:lang w:val="en-US" w:eastAsia="zh-CN"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未规范处置化粪池、隔油池残渣，随意倾倒，每发现一次扣1分。</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numPr>
                <w:ilvl w:val="0"/>
                <w:numId w:val="18"/>
              </w:numP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检查运维单位</w:t>
            </w:r>
            <w:r>
              <w:rPr>
                <w:rFonts w:hint="eastAsia" w:ascii="宋体" w:hAnsi="宋体" w:eastAsia="宋体" w:cs="Times New Roman"/>
                <w:color w:val="000000"/>
                <w:sz w:val="22"/>
                <w:szCs w:val="22"/>
                <w:highlight w:val="none"/>
                <w:lang w:val="en-US" w:eastAsia="zh-CN" w:bidi="en-US"/>
              </w:rPr>
              <w:t xml:space="preserve">每月</w:t>
            </w:r>
            <w:r>
              <w:rPr>
                <w:rFonts w:ascii="宋体" w:hAnsi="宋体" w:eastAsia="宋体" w:cs="Times New Roman"/>
                <w:color w:val="000000"/>
                <w:sz w:val="22"/>
                <w:szCs w:val="22"/>
                <w:highlight w:val="none"/>
                <w:lang w:val="en-US" w:eastAsia="zh-CN" w:bidi="en-US"/>
              </w:rPr>
              <w:t xml:space="preserve">巡检记录</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（2）依据现场情况，</w:t>
            </w:r>
            <w:r>
              <w:rPr>
                <w:rFonts w:ascii="宋体" w:hAnsi="宋体" w:eastAsia="宋体" w:cs="Times New Roman"/>
                <w:color w:val="000000"/>
                <w:sz w:val="22"/>
                <w:szCs w:val="22"/>
                <w:highlight w:val="none"/>
                <w:lang w:val="en-US" w:eastAsia="zh-CN"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1440"/>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检查井维护养护</w:t>
            </w:r>
            <w:r>
              <w:rPr>
                <w:rFonts w:ascii="宋体" w:hAnsi="宋体" w:eastAsia="宋体" w:cs="Times New Roman"/>
                <w:color w:val="000000"/>
                <w:sz w:val="22"/>
                <w:szCs w:val="22"/>
                <w:highlight w:val="none"/>
                <w:lang w:val="en-US" w:eastAsia="en-US" w:bidi="en-US"/>
              </w:rPr>
            </w:r>
            <w:r/>
          </w:p>
        </w:tc>
        <w:tc>
          <w:tcPr>
            <w:tcW w:w="790"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hint="eastAsia"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未定期检查运行状况，每发现一</w:t>
            </w:r>
            <w:r>
              <w:rPr>
                <w:rFonts w:hint="eastAsia" w:ascii="宋体" w:hAnsi="宋体" w:eastAsia="宋体" w:cs="Times New Roman"/>
                <w:color w:val="000000"/>
                <w:sz w:val="22"/>
                <w:szCs w:val="22"/>
                <w:highlight w:val="none"/>
                <w:lang w:val="en-US" w:eastAsia="zh-CN" w:bidi="en-US"/>
              </w:rPr>
              <w:t xml:space="preserve">次</w:t>
            </w:r>
            <w:r>
              <w:rPr>
                <w:rFonts w:ascii="宋体" w:hAnsi="宋体" w:eastAsia="宋体" w:cs="Times New Roman"/>
                <w:color w:val="000000"/>
                <w:sz w:val="22"/>
                <w:szCs w:val="22"/>
                <w:highlight w:val="none"/>
                <w:lang w:val="en-US" w:eastAsia="zh-CN" w:bidi="en-US"/>
              </w:rPr>
              <w:t xml:space="preserve">扣1分</w:t>
            </w:r>
            <w:r>
              <w:rPr>
                <w:rFonts w:hint="eastAsia" w:ascii="宋体" w:hAnsi="宋体" w:eastAsia="宋体" w:cs="Times New Roman"/>
                <w:color w:val="000000"/>
                <w:sz w:val="22"/>
                <w:szCs w:val="22"/>
                <w:highlight w:val="none"/>
                <w:lang w:val="en-US" w:eastAsia="zh-CN" w:bidi="en-US"/>
              </w:rPr>
              <w:t xml:space="preserve">，扣完为止。</w:t>
            </w:r>
            <w:r>
              <w:rPr>
                <w:rFonts w:hint="eastAsia"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numPr>
                <w:ilvl w:val="0"/>
                <w:numId w:val="0"/>
              </w:numP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检查运维单位</w:t>
            </w:r>
            <w:r>
              <w:rPr>
                <w:rFonts w:hint="eastAsia" w:ascii="宋体" w:hAnsi="宋体" w:eastAsia="宋体" w:cs="Times New Roman"/>
                <w:color w:val="000000"/>
                <w:sz w:val="22"/>
                <w:szCs w:val="22"/>
                <w:highlight w:val="none"/>
                <w:lang w:val="en-US" w:eastAsia="zh-CN" w:bidi="en-US"/>
              </w:rPr>
              <w:t xml:space="preserve">每月</w:t>
            </w:r>
            <w:r>
              <w:rPr>
                <w:rFonts w:ascii="宋体" w:hAnsi="宋体" w:eastAsia="宋体" w:cs="Times New Roman"/>
                <w:color w:val="000000"/>
                <w:sz w:val="22"/>
                <w:szCs w:val="22"/>
                <w:highlight w:val="none"/>
                <w:lang w:val="en-US" w:eastAsia="zh-CN" w:bidi="en-US"/>
              </w:rPr>
              <w:t xml:space="preserve">巡检记录</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hint="eastAsia"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运维单位报送材料；</w:t>
            </w:r>
            <w:r>
              <w:rPr>
                <w:rFonts w:hint="eastAsia" w:ascii="Calibri" w:hAnsi="Calibri"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hint="eastAsia" w:ascii="Calibri" w:hAnsi="Calibri"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hint="eastAsia" w:ascii="Calibri" w:hAnsi="Calibri"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1440"/>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井盖、井框丢失；井盖、井框及周边路面出现贯穿性破损、丧失使用功能或有安全隐患的，发</w:t>
            </w:r>
            <w:r>
              <w:rPr>
                <w:rFonts w:ascii="宋体" w:hAnsi="宋体" w:eastAsia="宋体" w:cs="Times New Roman"/>
                <w:color w:val="000000"/>
                <w:sz w:val="22"/>
                <w:szCs w:val="22"/>
                <w:highlight w:val="none"/>
                <w:lang w:val="en-US" w:eastAsia="zh-CN" w:bidi="en-US"/>
              </w:rPr>
              <w:t xml:space="preserve">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851"/>
              <w:jc w:val="left"/>
              <w:keepLines w:val="0"/>
              <w:keepNext w:val="0"/>
              <w:widowControl/>
              <w:rPr>
                <w:rFonts w:hint="eastAsia" w:ascii="宋体" w:hAnsi="宋体" w:eastAsia="宋体" w:cs="Times New Roman"/>
                <w:color w:val="000000"/>
                <w:sz w:val="22"/>
                <w:szCs w:val="22"/>
                <w:highlight w:val="none"/>
                <w:lang w:val="en-US" w:eastAsia="zh-CN" w:bidi="en-US"/>
              </w:rPr>
              <w:suppressLineNumbers w:val="0"/>
            </w:pPr>
            <w:r>
              <w:rPr>
                <w:rFonts w:ascii="宋体" w:hAnsi="宋体" w:eastAsia="宋体" w:cs="Times New Roman"/>
                <w:color w:val="000000"/>
                <w:sz w:val="22"/>
                <w:szCs w:val="22"/>
                <w:highlight w:val="none"/>
                <w:lang w:val="en-US" w:eastAsia="zh-CN" w:bidi="en-US"/>
              </w:rPr>
              <w:t xml:space="preserve">依据现场实际情况，按照评分标准打分。</w:t>
            </w:r>
            <w:r>
              <w:rPr>
                <w:rFonts w:hint="eastAsia"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9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1、运维单位报送材料；</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2、现场调查。</w:t>
            </w:r>
            <w:r>
              <w:rPr>
                <w:rFonts w:ascii="宋体" w:hAnsi="宋体" w:eastAsia="宋体" w:cs="Times New Roman"/>
                <w:color w:val="000000"/>
                <w:sz w:val="22"/>
                <w:szCs w:val="22"/>
                <w:highlight w:val="none"/>
                <w:lang w:val="en-US" w:eastAsia="zh-CN" w:bidi="en-US"/>
              </w:rPr>
            </w:r>
            <w:r/>
          </w:p>
        </w:tc>
        <w:tc>
          <w:tcPr>
            <w:tcW w:w="1123"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检查井</w:t>
            </w:r>
            <w:r>
              <w:rPr>
                <w:rFonts w:hint="eastAsia" w:ascii="宋体" w:hAnsi="宋体" w:cs="Times New Roman"/>
                <w:color w:val="000000"/>
                <w:sz w:val="22"/>
                <w:szCs w:val="22"/>
                <w:highlight w:val="none"/>
                <w:lang w:val="en-US" w:eastAsia="zh-CN" w:bidi="en-US"/>
              </w:rPr>
              <w:t xml:space="preserve">内存在杂物未</w:t>
            </w:r>
            <w:r>
              <w:rPr>
                <w:rFonts w:ascii="宋体" w:hAnsi="宋体" w:eastAsia="宋体" w:cs="Times New Roman"/>
                <w:color w:val="000000"/>
                <w:sz w:val="22"/>
                <w:szCs w:val="22"/>
                <w:highlight w:val="none"/>
                <w:lang w:val="en-US" w:eastAsia="zh-CN" w:bidi="en-US"/>
              </w:rPr>
              <w:t xml:space="preserve">及时清理的，每发现一处扣1分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851"/>
              <w:jc w:val="left"/>
              <w:keepLines w:val="0"/>
              <w:keepNext w:val="0"/>
              <w:widowControl/>
              <w:rPr>
                <w:rFonts w:ascii="宋体" w:hAnsi="宋体" w:eastAsia="宋体" w:cs="Times New Roman"/>
                <w:color w:val="000000"/>
                <w:sz w:val="22"/>
                <w:szCs w:val="22"/>
                <w:highlight w:val="none"/>
                <w:lang w:val="en-US" w:eastAsia="zh-CN" w:bidi="en-US"/>
              </w:rPr>
              <w:suppressLineNumbers w:val="0"/>
            </w:pPr>
            <w:r>
              <w:rPr>
                <w:rFonts w:ascii="宋体" w:hAnsi="宋体" w:eastAsia="宋体" w:cs="Times New Roman"/>
                <w:color w:val="000000"/>
                <w:sz w:val="22"/>
                <w:szCs w:val="22"/>
                <w:highlight w:val="none"/>
                <w:lang w:val="en-US" w:eastAsia="zh-CN" w:bidi="en-US"/>
              </w:rPr>
              <w:t xml:space="preserve">依据现场实际情况，按照评分标准打分。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90"/>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en-US" w:bidi="en-US"/>
              </w:rPr>
            </w:pPr>
            <w:r>
              <w:rPr>
                <w:rFonts w:ascii="宋体" w:hAnsi="宋体" w:eastAsia="宋体" w:cs="Times New Roman"/>
                <w:b/>
                <w:bCs/>
                <w:color w:val="000000"/>
                <w:sz w:val="22"/>
                <w:szCs w:val="22"/>
                <w:highlight w:val="none"/>
                <w:lang w:val="en-US" w:eastAsia="en-US"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922"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污水</w:t>
            </w:r>
            <w:r>
              <w:rPr>
                <w:rFonts w:ascii="宋体" w:hAnsi="宋体" w:eastAsia="宋体" w:cs="Times New Roman"/>
                <w:color w:val="000000"/>
                <w:sz w:val="22"/>
                <w:szCs w:val="22"/>
                <w:highlight w:val="none"/>
                <w:lang w:val="en-US" w:eastAsia="en-US" w:bidi="en-US"/>
              </w:rPr>
            </w:r>
            <w:r/>
          </w:p>
          <w:p>
            <w:pPr>
              <w:pStyle w:val="1478"/>
              <w:jc w:val="center"/>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管道</w:t>
            </w:r>
            <w:r>
              <w:rPr>
                <w:rFonts w:ascii="宋体" w:hAnsi="宋体" w:eastAsia="宋体" w:cs="Times New Roman"/>
                <w:color w:val="000000"/>
                <w:sz w:val="22"/>
                <w:szCs w:val="22"/>
                <w:highlight w:val="none"/>
                <w:lang w:val="en-US" w:eastAsia="en-US" w:bidi="en-US"/>
              </w:rPr>
            </w:r>
            <w:r/>
          </w:p>
        </w:tc>
        <w:tc>
          <w:tcPr>
            <w:tcW w:w="790"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10</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未定期巡查污水管道，发现淤积、堵塞的，每发现一处扣1分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numPr>
                <w:ilvl w:val="0"/>
                <w:numId w:val="19"/>
              </w:numP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检查运维单位</w:t>
            </w:r>
            <w:r>
              <w:rPr>
                <w:rFonts w:hint="eastAsia" w:ascii="宋体" w:hAnsi="宋体" w:eastAsia="宋体" w:cs="Times New Roman"/>
                <w:color w:val="000000"/>
                <w:sz w:val="22"/>
                <w:szCs w:val="22"/>
                <w:highlight w:val="none"/>
                <w:lang w:val="en-US" w:eastAsia="zh-CN" w:bidi="en-US"/>
              </w:rPr>
              <w:t xml:space="preserve">每月</w:t>
            </w:r>
            <w:r>
              <w:rPr>
                <w:rFonts w:ascii="宋体" w:hAnsi="宋体" w:eastAsia="宋体" w:cs="Times New Roman"/>
                <w:color w:val="000000"/>
                <w:sz w:val="22"/>
                <w:szCs w:val="22"/>
                <w:highlight w:val="none"/>
                <w:lang w:val="en-US" w:eastAsia="zh-CN" w:bidi="en-US"/>
              </w:rPr>
              <w:t xml:space="preserve">巡检记录</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（2）</w:t>
            </w:r>
            <w:r>
              <w:rPr>
                <w:rFonts w:ascii="宋体" w:hAnsi="宋体" w:eastAsia="宋体" w:cs="Times New Roman"/>
                <w:color w:val="000000"/>
                <w:sz w:val="22"/>
                <w:szCs w:val="22"/>
                <w:highlight w:val="none"/>
                <w:lang w:val="en-US" w:eastAsia="zh-CN" w:bidi="en-US"/>
              </w:rPr>
              <w:t xml:space="preserve">依据现场实际情况，按照评分标准打分。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1、运维单位报送材料；</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2、现场调查。</w:t>
            </w:r>
            <w:r>
              <w:rPr>
                <w:rFonts w:ascii="宋体" w:hAnsi="宋体" w:eastAsia="宋体" w:cs="Times New Roman"/>
                <w:color w:val="000000"/>
                <w:sz w:val="22"/>
                <w:szCs w:val="22"/>
                <w:highlight w:val="none"/>
                <w:lang w:val="en-US" w:eastAsia="zh-CN" w:bidi="en-US"/>
              </w:rPr>
            </w:r>
            <w:r/>
          </w:p>
        </w:tc>
        <w:tc>
          <w:tcPr>
            <w:tcW w:w="1123"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747"/>
        </w:trPr>
        <w:tc>
          <w:tcPr>
            <w:tcW w:w="562" w:type="dxa"/>
            <w:vAlign w:val="center"/>
            <w:vMerge w:val="continue"/>
            <w:textDirection w:val="lrTb"/>
            <w:noWrap w:val="false"/>
          </w:tcPr>
          <w:p>
            <w:pPr>
              <w:pStyle w:val="1478"/>
              <w:rPr>
                <w:rFonts w:ascii="Calibri" w:hAnsi="Calibri" w:eastAsia="宋体" w:cs="Times New Roman"/>
                <w:b/>
                <w:bCs/>
                <w:color w:val="000000"/>
                <w:sz w:val="22"/>
                <w:szCs w:val="22"/>
                <w:highlight w:val="none"/>
                <w:lang w:val="en-US" w:eastAsia="en-US" w:bidi="en-US"/>
              </w:rPr>
            </w:pPr>
            <w:r>
              <w:rPr>
                <w:rFonts w:ascii="Calibri" w:hAnsi="Calibri" w:eastAsia="宋体" w:cs="Times New Roman"/>
                <w:b/>
                <w:bCs/>
                <w:color w:val="000000"/>
                <w:sz w:val="22"/>
                <w:szCs w:val="22"/>
                <w:highlight w:val="none"/>
                <w:lang w:val="en-US" w:eastAsia="en-US" w:bidi="en-US"/>
              </w:rPr>
            </w:r>
            <w:r/>
          </w:p>
        </w:tc>
        <w:tc>
          <w:tcPr>
            <w:tcW w:w="921" w:type="dxa"/>
            <w:vAlign w:val="center"/>
            <w:vMerge w:val="continue"/>
            <w:textDirection w:val="lrTb"/>
            <w:noWrap w:val="false"/>
          </w:tcPr>
          <w:p>
            <w:pPr>
              <w:pStyle w:val="1478"/>
              <w:rPr>
                <w:rFonts w:ascii="Calibri" w:hAnsi="Calibri" w:eastAsia="宋体" w:cs="Times New Roman"/>
                <w:color w:val="000000"/>
                <w:sz w:val="22"/>
                <w:szCs w:val="22"/>
                <w:highlight w:val="none"/>
                <w:lang w:val="en-US" w:eastAsia="en-US" w:bidi="en-US"/>
              </w:rPr>
            </w:pPr>
            <w:r>
              <w:rPr>
                <w:rFonts w:ascii="Calibri" w:hAnsi="Calibri" w:eastAsia="宋体" w:cs="Times New Roman"/>
                <w:color w:val="000000"/>
                <w:sz w:val="22"/>
                <w:szCs w:val="22"/>
                <w:highlight w:val="none"/>
                <w:lang w:val="en-US" w:eastAsia="en-US" w:bidi="en-US"/>
              </w:rPr>
            </w:r>
            <w:r/>
          </w:p>
        </w:tc>
        <w:tc>
          <w:tcPr>
            <w:tcW w:w="922" w:type="dxa"/>
            <w:vAlign w:val="center"/>
            <w:vMerge w:val="continue"/>
            <w:textDirection w:val="lrTb"/>
            <w:noWrap w:val="false"/>
          </w:tcPr>
          <w:p>
            <w:pPr>
              <w:pStyle w:val="1478"/>
              <w:rPr>
                <w:rFonts w:ascii="Calibri" w:hAnsi="Calibri" w:eastAsia="宋体" w:cs="Times New Roman"/>
                <w:color w:val="000000"/>
                <w:sz w:val="22"/>
                <w:szCs w:val="22"/>
                <w:highlight w:val="none"/>
                <w:lang w:val="en-US" w:eastAsia="en-US" w:bidi="en-US"/>
              </w:rPr>
            </w:pPr>
            <w:r>
              <w:rPr>
                <w:rFonts w:ascii="Calibri" w:hAnsi="Calibri" w:eastAsia="宋体" w:cs="Times New Roman"/>
                <w:color w:val="000000"/>
                <w:sz w:val="22"/>
                <w:szCs w:val="22"/>
                <w:highlight w:val="none"/>
                <w:lang w:val="en-US" w:eastAsia="en-US" w:bidi="en-US"/>
              </w:rPr>
            </w:r>
            <w:r/>
          </w:p>
        </w:tc>
        <w:tc>
          <w:tcPr>
            <w:tcW w:w="790" w:type="dxa"/>
            <w:vAlign w:val="center"/>
            <w:vMerge w:val="continue"/>
            <w:textDirection w:val="lrTb"/>
            <w:noWrap w:val="false"/>
          </w:tcPr>
          <w:p>
            <w:pPr>
              <w:pStyle w:val="1478"/>
              <w:rPr>
                <w:rFonts w:ascii="Calibri" w:hAnsi="Calibri" w:eastAsia="宋体" w:cs="Times New Roman"/>
                <w:color w:val="000000"/>
                <w:sz w:val="22"/>
                <w:szCs w:val="22"/>
                <w:highlight w:val="none"/>
                <w:lang w:val="en-US" w:eastAsia="en-US" w:bidi="en-US"/>
              </w:rPr>
            </w:pPr>
            <w:r>
              <w:rPr>
                <w:rFonts w:ascii="Calibri" w:hAnsi="Calibri" w:eastAsia="宋体" w:cs="Times New Roman"/>
                <w:color w:val="000000"/>
                <w:sz w:val="22"/>
                <w:szCs w:val="22"/>
                <w:highlight w:val="none"/>
                <w:lang w:val="en-US" w:eastAsia="en-US"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管道</w:t>
            </w:r>
            <w:r>
              <w:rPr>
                <w:rFonts w:ascii="宋体" w:hAnsi="宋体" w:eastAsia="宋体" w:cs="Times New Roman"/>
                <w:color w:val="000000"/>
                <w:sz w:val="22"/>
                <w:szCs w:val="22"/>
                <w:highlight w:val="none"/>
                <w:lang w:val="en-US" w:eastAsia="zh-CN" w:bidi="en-US"/>
              </w:rPr>
              <w:t xml:space="preserve">破漏、变形，每发现一处扣1分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依据现场实际情况，按照评分标准打分。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r>
      <w:tr>
        <w:trPr>
          <w:trHeight w:val="966"/>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管道</w:t>
            </w:r>
            <w:r>
              <w:rPr>
                <w:rFonts w:ascii="宋体" w:hAnsi="宋体" w:eastAsia="宋体" w:cs="Times New Roman"/>
                <w:color w:val="000000"/>
                <w:sz w:val="22"/>
                <w:szCs w:val="22"/>
                <w:highlight w:val="none"/>
                <w:lang w:val="en-US" w:eastAsia="zh-CN" w:bidi="en-US"/>
              </w:rPr>
              <w:t xml:space="preserve">回填面路面下陷、开裂等问题</w:t>
            </w:r>
            <w:r>
              <w:rPr>
                <w:rFonts w:hint="eastAsia" w:ascii="宋体" w:hAnsi="宋体" w:cs="Times New Roman"/>
                <w:color w:val="000000"/>
                <w:sz w:val="22"/>
                <w:szCs w:val="22"/>
                <w:highlight w:val="none"/>
                <w:lang w:val="en-US" w:eastAsia="zh-CN" w:bidi="en-US"/>
              </w:rPr>
              <w:t xml:space="preserve">，</w:t>
            </w:r>
            <w:r>
              <w:rPr>
                <w:rFonts w:hint="eastAsia" w:ascii="宋体" w:hAnsi="宋体" w:eastAsia="宋体" w:cs="Times New Roman"/>
                <w:color w:val="000000"/>
                <w:sz w:val="22"/>
                <w:szCs w:val="22"/>
                <w:highlight w:val="none"/>
                <w:lang w:val="en-US" w:eastAsia="zh-CN" w:bidi="en-US"/>
              </w:rPr>
              <w:t xml:space="preserve">发现</w:t>
            </w:r>
            <w:r>
              <w:rPr>
                <w:rFonts w:ascii="宋体" w:hAnsi="宋体" w:eastAsia="宋体" w:cs="Times New Roman"/>
                <w:color w:val="000000"/>
                <w:sz w:val="22"/>
                <w:szCs w:val="22"/>
                <w:highlight w:val="none"/>
                <w:lang w:val="en-US" w:eastAsia="zh-CN" w:bidi="en-US"/>
              </w:rPr>
              <w:t xml:space="preserve">一</w:t>
            </w:r>
            <w:r>
              <w:rPr>
                <w:rFonts w:hint="eastAsia" w:ascii="宋体" w:hAnsi="宋体" w:cs="Times New Roman"/>
                <w:color w:val="000000"/>
                <w:sz w:val="22"/>
                <w:szCs w:val="22"/>
                <w:highlight w:val="none"/>
                <w:lang w:val="en-US" w:eastAsia="zh-CN" w:bidi="en-US"/>
              </w:rPr>
              <w:t xml:space="preserve">处</w:t>
            </w:r>
            <w:r>
              <w:rPr>
                <w:rFonts w:ascii="宋体" w:hAnsi="宋体" w:eastAsia="宋体" w:cs="Times New Roman"/>
                <w:color w:val="000000"/>
                <w:sz w:val="22"/>
                <w:szCs w:val="22"/>
                <w:highlight w:val="none"/>
                <w:lang w:val="en-US" w:eastAsia="zh-CN" w:bidi="en-US"/>
              </w:rPr>
              <w:t xml:space="preserve">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依据现场实际情况，按照评分标准打分。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提升</w:t>
            </w:r>
            <w:r>
              <w:rPr>
                <w:rFonts w:ascii="宋体" w:hAnsi="宋体" w:eastAsia="宋体" w:cs="Times New Roman"/>
                <w:color w:val="000000"/>
                <w:sz w:val="22"/>
                <w:szCs w:val="22"/>
                <w:highlight w:val="none"/>
                <w:lang w:val="en-US" w:eastAsia="en-US" w:bidi="en-US"/>
              </w:rPr>
            </w:r>
            <w:r/>
          </w:p>
          <w:p>
            <w:pPr>
              <w:pStyle w:val="1478"/>
              <w:jc w:val="center"/>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泵站</w:t>
            </w:r>
            <w:r>
              <w:rPr>
                <w:rFonts w:ascii="宋体" w:hAnsi="宋体" w:eastAsia="宋体" w:cs="Times New Roman"/>
                <w:color w:val="000000"/>
                <w:sz w:val="22"/>
                <w:szCs w:val="22"/>
                <w:highlight w:val="none"/>
                <w:lang w:val="en-US" w:eastAsia="en-US" w:bidi="en-US"/>
              </w:rPr>
            </w:r>
            <w:r/>
          </w:p>
        </w:tc>
        <w:tc>
          <w:tcPr>
            <w:tcW w:w="790"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hint="eastAsia"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未定期检查运行状况，每发现一</w:t>
            </w:r>
            <w:r>
              <w:rPr>
                <w:rFonts w:hint="eastAsia" w:ascii="宋体" w:hAnsi="宋体" w:eastAsia="宋体" w:cs="Times New Roman"/>
                <w:color w:val="000000"/>
                <w:sz w:val="22"/>
                <w:szCs w:val="22"/>
                <w:highlight w:val="none"/>
                <w:lang w:val="en-US" w:eastAsia="zh-CN" w:bidi="en-US"/>
              </w:rPr>
              <w:t xml:space="preserve">次</w:t>
            </w:r>
            <w:r>
              <w:rPr>
                <w:rFonts w:ascii="宋体" w:hAnsi="宋体" w:eastAsia="宋体" w:cs="Times New Roman"/>
                <w:color w:val="000000"/>
                <w:sz w:val="22"/>
                <w:szCs w:val="22"/>
                <w:highlight w:val="none"/>
                <w:lang w:val="en-US" w:eastAsia="zh-CN" w:bidi="en-US"/>
              </w:rPr>
              <w:t xml:space="preserve">扣1分</w:t>
            </w:r>
            <w:r>
              <w:rPr>
                <w:rFonts w:hint="eastAsia" w:ascii="宋体" w:hAnsi="宋体" w:eastAsia="宋体" w:cs="Times New Roman"/>
                <w:color w:val="000000"/>
                <w:sz w:val="22"/>
                <w:szCs w:val="22"/>
                <w:highlight w:val="none"/>
                <w:lang w:val="en-US" w:eastAsia="zh-CN" w:bidi="en-US"/>
              </w:rPr>
              <w:t xml:space="preserve">，扣完为止。</w:t>
            </w:r>
            <w:r>
              <w:rPr>
                <w:rFonts w:hint="eastAsia"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检查运维单位</w:t>
            </w:r>
            <w:r>
              <w:rPr>
                <w:rFonts w:hint="eastAsia" w:ascii="宋体" w:hAnsi="宋体" w:eastAsia="宋体" w:cs="Times New Roman"/>
                <w:color w:val="000000"/>
                <w:sz w:val="22"/>
                <w:szCs w:val="22"/>
                <w:highlight w:val="none"/>
                <w:lang w:val="en-US" w:eastAsia="zh-CN" w:bidi="en-US"/>
              </w:rPr>
              <w:t xml:space="preserve">每月</w:t>
            </w:r>
            <w:r>
              <w:rPr>
                <w:rFonts w:ascii="宋体" w:hAnsi="宋体" w:eastAsia="宋体" w:cs="Times New Roman"/>
                <w:color w:val="000000"/>
                <w:sz w:val="22"/>
                <w:szCs w:val="22"/>
                <w:highlight w:val="none"/>
                <w:lang w:val="en-US" w:eastAsia="zh-CN" w:bidi="en-US"/>
              </w:rPr>
              <w:t xml:space="preserve">巡检记录</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hint="eastAsia"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运维单位报送材料；</w:t>
            </w:r>
            <w:r>
              <w:rPr>
                <w:rFonts w:hint="eastAsia" w:ascii="Calibri" w:hAnsi="Calibri"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hint="eastAsia" w:ascii="Calibri" w:hAnsi="Calibri"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hint="eastAsia" w:ascii="Calibri" w:hAnsi="Calibri"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提升泵集水池水位溢出井口、提升泵站停止运行的，每发现一处扣1分，扣完为止。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依据现场实际情况，按照评分标准打分。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1、运维单位报送材料；</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2、现场调查。</w:t>
            </w:r>
            <w:r>
              <w:rPr>
                <w:rFonts w:ascii="宋体" w:hAnsi="宋体" w:eastAsia="宋体" w:cs="Times New Roman"/>
                <w:color w:val="000000"/>
                <w:sz w:val="22"/>
                <w:szCs w:val="22"/>
                <w:highlight w:val="none"/>
                <w:lang w:val="en-US" w:eastAsia="zh-CN" w:bidi="en-US"/>
              </w:rPr>
            </w:r>
            <w:r/>
          </w:p>
        </w:tc>
        <w:tc>
          <w:tcPr>
            <w:tcW w:w="1123"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隔栅未及时清理出现堵塞的，每发现一处扣1分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依据现场实际情况，按照评分标准打分。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泵站备品备件材料检查出现缺失、损坏、过期的，每发现一件扣1分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检查泵站备品备件材料台账及现场备品备件材料，检查出现缺失、损坏、过期的按照评分标准打分。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提升泵站范围内环境</w:t>
            </w:r>
            <w:r>
              <w:rPr>
                <w:rFonts w:hint="eastAsia" w:ascii="宋体" w:hAnsi="宋体" w:eastAsia="宋体" w:cs="Times New Roman"/>
                <w:color w:val="000000"/>
                <w:sz w:val="22"/>
                <w:szCs w:val="22"/>
                <w:highlight w:val="none"/>
                <w:lang w:val="en-US" w:eastAsia="zh-CN" w:bidi="en-US"/>
              </w:rPr>
              <w:t xml:space="preserve">脏、乱、差</w:t>
            </w:r>
            <w:r>
              <w:rPr>
                <w:rFonts w:ascii="宋体" w:hAnsi="宋体" w:eastAsia="宋体" w:cs="Times New Roman"/>
                <w:color w:val="000000"/>
                <w:sz w:val="22"/>
                <w:szCs w:val="22"/>
                <w:highlight w:val="none"/>
                <w:lang w:val="en-US" w:eastAsia="zh-CN" w:bidi="en-US"/>
              </w:rPr>
              <w:t xml:space="preserve">，</w:t>
            </w:r>
            <w:r>
              <w:rPr>
                <w:rFonts w:hint="eastAsia" w:ascii="宋体" w:hAnsi="宋体" w:eastAsia="宋体" w:cs="Times New Roman"/>
                <w:color w:val="000000"/>
                <w:sz w:val="22"/>
                <w:szCs w:val="22"/>
                <w:highlight w:val="none"/>
                <w:lang w:val="en-US" w:eastAsia="zh-CN" w:bidi="en-US"/>
              </w:rPr>
              <w:t xml:space="preserve">每发现</w:t>
            </w:r>
            <w:r>
              <w:rPr>
                <w:rFonts w:ascii="宋体" w:hAnsi="宋体" w:eastAsia="宋体" w:cs="Times New Roman"/>
                <w:color w:val="000000"/>
                <w:sz w:val="22"/>
                <w:szCs w:val="22"/>
                <w:highlight w:val="none"/>
                <w:lang w:val="en-US" w:eastAsia="zh-CN" w:bidi="en-US"/>
              </w:rPr>
              <w:t xml:space="preserve">1次扣1分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结合</w:t>
            </w:r>
            <w:r>
              <w:rPr>
                <w:rFonts w:ascii="宋体" w:hAnsi="宋体" w:eastAsia="宋体" w:cs="Times New Roman"/>
                <w:color w:val="000000"/>
                <w:sz w:val="22"/>
                <w:szCs w:val="22"/>
                <w:highlight w:val="none"/>
                <w:lang w:val="en-US" w:eastAsia="zh-CN" w:bidi="en-US"/>
              </w:rPr>
              <w:t xml:space="preserve">提升泵站范围内环境保洁</w:t>
            </w:r>
            <w:r>
              <w:rPr>
                <w:rFonts w:hint="eastAsia" w:ascii="宋体" w:hAnsi="宋体" w:eastAsia="宋体" w:cs="Times New Roman"/>
                <w:color w:val="000000"/>
                <w:sz w:val="22"/>
                <w:szCs w:val="22"/>
                <w:highlight w:val="none"/>
                <w:lang w:val="en-US" w:eastAsia="zh-CN" w:bidi="en-US"/>
              </w:rPr>
              <w:t xml:space="preserve">，</w:t>
            </w:r>
            <w:r>
              <w:rPr>
                <w:rFonts w:ascii="宋体" w:hAnsi="宋体" w:eastAsia="宋体" w:cs="Times New Roman"/>
                <w:color w:val="000000"/>
                <w:sz w:val="22"/>
                <w:szCs w:val="22"/>
                <w:highlight w:val="none"/>
                <w:lang w:val="en-US" w:eastAsia="zh-CN"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污水处理</w:t>
            </w:r>
            <w:r>
              <w:rPr>
                <w:rFonts w:ascii="Calibri" w:hAnsi="Calibri" w:eastAsia="宋体" w:cs="Times New Roman"/>
                <w:color w:val="000000"/>
                <w:sz w:val="22"/>
                <w:szCs w:val="22"/>
                <w:highlight w:val="none"/>
                <w:lang w:val="en-US" w:eastAsia="en-US" w:bidi="en-US"/>
              </w:rPr>
              <w:t xml:space="preserve">设施运行</w:t>
            </w:r>
            <w:r>
              <w:rPr>
                <w:rFonts w:ascii="宋体" w:hAnsi="宋体" w:eastAsia="宋体" w:cs="Times New Roman"/>
                <w:color w:val="000000"/>
                <w:sz w:val="22"/>
                <w:szCs w:val="22"/>
                <w:highlight w:val="none"/>
                <w:lang w:val="en-US" w:eastAsia="zh-CN" w:bidi="en-US"/>
              </w:rPr>
            </w:r>
            <w:r/>
          </w:p>
        </w:tc>
        <w:tc>
          <w:tcPr>
            <w:tcW w:w="790"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10</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hint="eastAsia"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未定期检查运行状况，每发现一</w:t>
            </w:r>
            <w:r>
              <w:rPr>
                <w:rFonts w:hint="eastAsia" w:ascii="宋体" w:hAnsi="宋体" w:eastAsia="宋体" w:cs="Times New Roman"/>
                <w:color w:val="000000"/>
                <w:sz w:val="22"/>
                <w:szCs w:val="22"/>
                <w:highlight w:val="none"/>
                <w:lang w:val="en-US" w:eastAsia="zh-CN" w:bidi="en-US"/>
              </w:rPr>
              <w:t xml:space="preserve">次</w:t>
            </w:r>
            <w:r>
              <w:rPr>
                <w:rFonts w:ascii="宋体" w:hAnsi="宋体" w:eastAsia="宋体" w:cs="Times New Roman"/>
                <w:color w:val="000000"/>
                <w:sz w:val="22"/>
                <w:szCs w:val="22"/>
                <w:highlight w:val="none"/>
                <w:lang w:val="en-US" w:eastAsia="zh-CN" w:bidi="en-US"/>
              </w:rPr>
              <w:t xml:space="preserve">扣1分</w:t>
            </w:r>
            <w:r>
              <w:rPr>
                <w:rFonts w:hint="eastAsia" w:ascii="宋体" w:hAnsi="宋体" w:eastAsia="宋体" w:cs="Times New Roman"/>
                <w:color w:val="000000"/>
                <w:sz w:val="22"/>
                <w:szCs w:val="22"/>
                <w:highlight w:val="none"/>
                <w:lang w:val="en-US" w:eastAsia="zh-CN" w:bidi="en-US"/>
              </w:rPr>
              <w:t xml:space="preserve">，扣完为止。</w:t>
            </w:r>
            <w:r>
              <w:rPr>
                <w:rFonts w:hint="eastAsia"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检查运维单位</w:t>
            </w:r>
            <w:r>
              <w:rPr>
                <w:rFonts w:hint="eastAsia" w:ascii="宋体" w:hAnsi="宋体" w:eastAsia="宋体" w:cs="Times New Roman"/>
                <w:color w:val="000000"/>
                <w:sz w:val="22"/>
                <w:szCs w:val="22"/>
                <w:highlight w:val="none"/>
                <w:lang w:val="en-US" w:eastAsia="zh-CN" w:bidi="en-US"/>
              </w:rPr>
              <w:t xml:space="preserve">每月</w:t>
            </w:r>
            <w:r>
              <w:rPr>
                <w:rFonts w:ascii="宋体" w:hAnsi="宋体" w:eastAsia="宋体" w:cs="Times New Roman"/>
                <w:color w:val="000000"/>
                <w:sz w:val="22"/>
                <w:szCs w:val="22"/>
                <w:highlight w:val="none"/>
                <w:lang w:val="en-US" w:eastAsia="zh-CN" w:bidi="en-US"/>
              </w:rPr>
              <w:t xml:space="preserve">巡检记录</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hint="eastAsia"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运维单位报送材料；</w:t>
            </w:r>
            <w:r>
              <w:rPr>
                <w:rFonts w:hint="eastAsia" w:ascii="Calibri" w:hAnsi="Calibri"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Calibri" w:hAnsi="Calibri"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ascii="Calibri" w:hAnsi="Calibri"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Calibri" w:hAnsi="Calibri" w:eastAsia="宋体" w:cs="Times New Roman"/>
                <w:color w:val="000000"/>
                <w:sz w:val="22"/>
                <w:szCs w:val="22"/>
                <w:highlight w:val="none"/>
                <w:lang w:val="en-US" w:eastAsia="zh-CN" w:bidi="en-US"/>
              </w:rPr>
            </w:pPr>
            <w:r>
              <w:rPr>
                <w:rFonts w:ascii="Calibri" w:hAnsi="Calibri" w:eastAsia="宋体" w:cs="Times New Roman"/>
                <w:color w:val="000000"/>
                <w:sz w:val="22"/>
                <w:szCs w:val="22"/>
                <w:highlight w:val="none"/>
                <w:lang w:val="en-US" w:eastAsia="zh-CN" w:bidi="en-US"/>
              </w:rPr>
              <w:t xml:space="preserve">因</w:t>
            </w:r>
            <w:r>
              <w:rPr>
                <w:rFonts w:hint="eastAsia" w:ascii="Calibri" w:hAnsi="Calibri" w:eastAsia="宋体" w:cs="Times New Roman"/>
                <w:color w:val="000000"/>
                <w:sz w:val="22"/>
                <w:szCs w:val="22"/>
                <w:highlight w:val="none"/>
                <w:lang w:val="en-US" w:eastAsia="zh-CN" w:bidi="en-US"/>
              </w:rPr>
              <w:t xml:space="preserve">运维单位</w:t>
            </w:r>
            <w:r>
              <w:rPr>
                <w:rFonts w:ascii="Calibri" w:hAnsi="Calibri" w:eastAsia="宋体" w:cs="Times New Roman"/>
                <w:color w:val="000000"/>
                <w:sz w:val="22"/>
                <w:szCs w:val="22"/>
                <w:highlight w:val="none"/>
                <w:lang w:val="en-US" w:eastAsia="zh-CN" w:bidi="en-US"/>
              </w:rPr>
              <w:t xml:space="preserve">原因导致项目设施出现计划外暂停服务，每出现一次扣1分</w:t>
            </w:r>
            <w:r>
              <w:rPr>
                <w:rFonts w:hint="eastAsia" w:ascii="宋体" w:hAnsi="宋体" w:eastAsia="宋体" w:cs="Times New Roman"/>
                <w:color w:val="000000"/>
                <w:sz w:val="22"/>
                <w:szCs w:val="22"/>
                <w:highlight w:val="none"/>
                <w:lang w:val="en-US" w:eastAsia="zh-CN" w:bidi="en-US"/>
              </w:rPr>
              <w:t xml:space="preserve">，扣完为止。</w:t>
            </w:r>
            <w:r>
              <w:rPr>
                <w:rFonts w:ascii="Calibri" w:hAnsi="Calibri" w:eastAsia="宋体" w:cs="Times New Roman"/>
                <w:color w:val="000000"/>
                <w:sz w:val="22"/>
                <w:szCs w:val="22"/>
                <w:highlight w:val="none"/>
                <w:lang w:val="en-US" w:eastAsia="zh-CN" w:bidi="en-US"/>
              </w:rPr>
            </w:r>
            <w:r/>
          </w:p>
          <w:p>
            <w:pPr>
              <w:pStyle w:val="1478"/>
              <w:rPr>
                <w:rFonts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“计划内”情况包含：站点年度定期检修、大修、达到寿命周期的设备更新更换；季节性工艺调试、设施工艺升级、技术改造施工等。</w:t>
            </w:r>
            <w:r>
              <w:rPr>
                <w:rFonts w:ascii="Calibri" w:hAnsi="Calibri" w:eastAsia="宋体" w:cs="Times New Roman"/>
                <w:color w:val="000000"/>
                <w:sz w:val="22"/>
                <w:szCs w:val="22"/>
                <w:highlight w:val="none"/>
                <w:lang w:val="en-US" w:eastAsia="zh-CN" w:bidi="en-US"/>
              </w:rPr>
            </w:r>
            <w:r/>
          </w:p>
          <w:p>
            <w:pPr>
              <w:pStyle w:val="1478"/>
              <w:rPr>
                <w:rFonts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“计划外”情况包含：风机、水泵、气泵等设备故障未及时维修；流量计、控制柜等仪器仪表损坏未及时维修；进出水管道堵塞未及时疏通等导致不能运行引起暂停服务等。</w:t>
            </w:r>
            <w:r>
              <w:rPr>
                <w:rFonts w:ascii="Calibri" w:hAnsi="Calibri"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依据现场实际情况</w:t>
            </w:r>
            <w:r>
              <w:rPr>
                <w:rFonts w:hint="eastAsia" w:ascii="宋体" w:hAnsi="宋体" w:eastAsia="宋体" w:cs="Times New Roman"/>
                <w:color w:val="000000"/>
                <w:sz w:val="22"/>
                <w:szCs w:val="22"/>
                <w:highlight w:val="none"/>
                <w:lang w:val="en-US" w:eastAsia="zh-CN" w:bidi="en-US"/>
              </w:rPr>
              <w:t xml:space="preserve">，</w:t>
            </w:r>
            <w:r>
              <w:rPr>
                <w:rFonts w:ascii="宋体" w:hAnsi="宋体" w:eastAsia="宋体" w:cs="Times New Roman"/>
                <w:color w:val="000000"/>
                <w:sz w:val="22"/>
                <w:szCs w:val="22"/>
                <w:highlight w:val="none"/>
                <w:lang w:val="en-US" w:eastAsia="zh-CN"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1、运维单位报送材料；2、现场调查。</w:t>
            </w:r>
            <w:r>
              <w:rPr>
                <w:rFonts w:ascii="宋体" w:hAnsi="宋体" w:eastAsia="宋体" w:cs="Times New Roman"/>
                <w:color w:val="000000"/>
                <w:sz w:val="22"/>
                <w:szCs w:val="22"/>
                <w:highlight w:val="none"/>
                <w:lang w:val="en-US" w:eastAsia="zh-CN" w:bidi="en-US"/>
              </w:rPr>
            </w:r>
            <w:r/>
          </w:p>
        </w:tc>
        <w:tc>
          <w:tcPr>
            <w:tcW w:w="1123" w:type="dxa"/>
            <w:vAlign w:val="center"/>
            <w:vMerge w:val="restart"/>
            <w:textDirection w:val="lrTb"/>
            <w:noWrap w:val="false"/>
          </w:tcPr>
          <w:p>
            <w:pPr>
              <w:pStyle w:val="1478"/>
              <w:ind w:firstLine="491"/>
              <w:rPr>
                <w:rFonts w:ascii="宋体" w:hAnsi="宋体" w:eastAsia="宋体" w:cs="Times New Roman"/>
                <w:color w:val="000000"/>
                <w:sz w:val="22"/>
                <w:szCs w:val="22"/>
                <w:highlight w:val="none"/>
                <w:lang w:val="en-US" w:eastAsia="zh-CN" w:bidi="en-US"/>
              </w:rPr>
            </w:pPr>
            <w:r>
              <w:rPr>
                <w:rFonts w:ascii="Calibri" w:hAnsi="Calibri" w:eastAsia="宋体" w:cs="Times New Roman"/>
                <w:color w:val="000000"/>
                <w:sz w:val="22"/>
                <w:szCs w:val="22"/>
                <w:highlight w:val="none"/>
                <w:lang w:val="en-US" w:eastAsia="zh-CN" w:bidi="en-US"/>
              </w:rPr>
              <w:t xml:space="preserve">政策、法规、项目所属行业标准或规范、合同约定等</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处理设施出现故障</w:t>
            </w:r>
            <w:r>
              <w:rPr>
                <w:rFonts w:ascii="Calibri" w:hAnsi="Calibri" w:eastAsia="宋体" w:cs="Times New Roman"/>
                <w:color w:val="000000"/>
                <w:sz w:val="22"/>
                <w:szCs w:val="22"/>
                <w:highlight w:val="none"/>
                <w:lang w:val="en-US" w:eastAsia="zh-CN" w:bidi="en-US"/>
              </w:rPr>
              <w:t xml:space="preserve">，发现一处扣2分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依据现场实际情况</w:t>
            </w:r>
            <w:r>
              <w:rPr>
                <w:rFonts w:ascii="Calibri" w:hAnsi="Calibri" w:eastAsia="宋体" w:cs="Times New Roman"/>
                <w:color w:val="000000"/>
                <w:sz w:val="22"/>
                <w:szCs w:val="22"/>
                <w:highlight w:val="none"/>
                <w:lang w:val="en-US" w:eastAsia="zh-CN" w:bidi="en-US"/>
              </w:rPr>
              <w:t xml:space="preserve">，按照评分标准打分</w:t>
            </w:r>
            <w:r>
              <w:rPr>
                <w:rFonts w:hint="eastAsia" w:ascii="Calibri" w:hAnsi="Calibri" w:eastAsia="宋体" w:cs="Times New Roman"/>
                <w:color w:val="000000"/>
                <w:sz w:val="22"/>
                <w:szCs w:val="22"/>
                <w:highlight w:val="none"/>
                <w:lang w:val="en-US" w:eastAsia="zh-CN" w:bidi="en-US"/>
              </w:rPr>
              <w:t xml:space="preserve">。</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1、运维单位报送材料；2、现场调查。</w:t>
            </w: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Calibri" w:hAnsi="Calibri" w:eastAsia="宋体" w:cs="Times New Roman"/>
                <w:color w:val="000000"/>
                <w:sz w:val="22"/>
                <w:szCs w:val="22"/>
                <w:highlight w:val="none"/>
                <w:lang w:val="en-US" w:eastAsia="zh-CN" w:bidi="en-US"/>
              </w:rPr>
              <w:t xml:space="preserve">处理设施范围内环境</w:t>
            </w:r>
            <w:r>
              <w:rPr>
                <w:rFonts w:hint="eastAsia" w:ascii="宋体" w:hAnsi="宋体" w:eastAsia="宋体" w:cs="Times New Roman"/>
                <w:color w:val="000000"/>
                <w:sz w:val="22"/>
                <w:szCs w:val="22"/>
                <w:highlight w:val="none"/>
                <w:lang w:val="en-US" w:eastAsia="zh-CN" w:bidi="en-US"/>
              </w:rPr>
              <w:t xml:space="preserve">脏、乱、差</w:t>
            </w:r>
            <w:r>
              <w:rPr>
                <w:rFonts w:ascii="Calibri" w:hAnsi="Calibri" w:eastAsia="宋体" w:cs="Times New Roman"/>
                <w:color w:val="000000"/>
                <w:sz w:val="22"/>
                <w:szCs w:val="22"/>
                <w:highlight w:val="none"/>
                <w:lang w:val="en-US" w:eastAsia="zh-CN" w:bidi="en-US"/>
              </w:rPr>
              <w:t xml:space="preserve">，发现一处扣</w:t>
            </w:r>
            <w:r>
              <w:rPr>
                <w:rFonts w:hint="eastAsia" w:ascii="Calibri" w:hAnsi="Calibri" w:eastAsia="宋体" w:cs="Times New Roman"/>
                <w:color w:val="000000"/>
                <w:sz w:val="22"/>
                <w:szCs w:val="22"/>
                <w:highlight w:val="none"/>
                <w:lang w:val="en-US" w:eastAsia="zh-CN" w:bidi="en-US"/>
              </w:rPr>
              <w:t xml:space="preserve">1</w:t>
            </w:r>
            <w:r>
              <w:rPr>
                <w:rFonts w:ascii="Calibri" w:hAnsi="Calibri" w:eastAsia="宋体" w:cs="Times New Roman"/>
                <w:color w:val="000000"/>
                <w:sz w:val="22"/>
                <w:szCs w:val="22"/>
                <w:highlight w:val="none"/>
                <w:lang w:val="en-US" w:eastAsia="zh-CN" w:bidi="en-US"/>
              </w:rPr>
              <w:t xml:space="preserve">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Calibri" w:hAnsi="Calibri" w:eastAsia="宋体" w:cs="Times New Roman"/>
                <w:color w:val="000000"/>
                <w:sz w:val="22"/>
                <w:szCs w:val="22"/>
                <w:highlight w:val="none"/>
                <w:lang w:val="en-US" w:eastAsia="zh-CN" w:bidi="en-US"/>
              </w:rPr>
              <w:t xml:space="preserve">查看处理设施范围内环境保洁、绿化管护情况，</w:t>
            </w:r>
            <w:r>
              <w:rPr>
                <w:rFonts w:hint="eastAsia" w:ascii="Calibri" w:hAnsi="Calibri" w:eastAsia="宋体" w:cs="Times New Roman"/>
                <w:color w:val="000000"/>
                <w:sz w:val="22"/>
                <w:szCs w:val="22"/>
                <w:highlight w:val="none"/>
                <w:lang w:val="en-US" w:eastAsia="zh-CN" w:bidi="en-US"/>
              </w:rPr>
              <w:t xml:space="preserve">按</w:t>
            </w:r>
            <w:r>
              <w:rPr>
                <w:rFonts w:ascii="Calibri" w:hAnsi="Calibri" w:eastAsia="宋体" w:cs="Times New Roman"/>
                <w:color w:val="000000"/>
                <w:sz w:val="22"/>
                <w:szCs w:val="22"/>
                <w:highlight w:val="none"/>
                <w:lang w:val="en-US" w:eastAsia="zh-CN" w:bidi="en-US"/>
              </w:rPr>
              <w:t xml:space="preserve">评分标准进</w:t>
            </w:r>
            <w:r>
              <w:rPr>
                <w:rFonts w:hint="eastAsia" w:ascii="Calibri" w:hAnsi="Calibri" w:eastAsia="宋体" w:cs="Times New Roman"/>
                <w:color w:val="000000"/>
                <w:sz w:val="22"/>
                <w:szCs w:val="22"/>
                <w:highlight w:val="none"/>
                <w:lang w:val="en-US" w:eastAsia="zh-CN" w:bidi="en-US"/>
              </w:rPr>
              <w:t xml:space="preserve">打</w:t>
            </w:r>
            <w:r>
              <w:rPr>
                <w:rFonts w:ascii="Calibri" w:hAnsi="Calibri" w:eastAsia="宋体" w:cs="Times New Roman"/>
                <w:color w:val="000000"/>
                <w:sz w:val="22"/>
                <w:szCs w:val="22"/>
                <w:highlight w:val="none"/>
                <w:lang w:val="en-US" w:eastAsia="zh-CN" w:bidi="en-US"/>
              </w:rPr>
              <w:t xml:space="preserve">分</w:t>
            </w:r>
            <w:r>
              <w:rPr>
                <w:rFonts w:hint="eastAsia" w:ascii="Calibri" w:hAnsi="Calibri" w:eastAsia="宋体" w:cs="Times New Roman"/>
                <w:color w:val="000000"/>
                <w:sz w:val="22"/>
                <w:szCs w:val="22"/>
                <w:highlight w:val="none"/>
                <w:lang w:val="en-US" w:eastAsia="zh-CN" w:bidi="en-US"/>
              </w:rPr>
              <w:t xml:space="preserve">。</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1、运维单位报送材料；2、现场调查。</w:t>
            </w: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textDirection w:val="lrTb"/>
            <w:noWrap w:val="false"/>
          </w:tcPr>
          <w:p>
            <w:pPr>
              <w:pStyle w:val="1478"/>
              <w:jc w:val="center"/>
              <w:rPr>
                <w:rFonts w:hint="eastAsia"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出水</w:t>
            </w:r>
            <w:r>
              <w:rPr>
                <w:rFonts w:hint="eastAsia" w:ascii="Calibri" w:hAnsi="Calibri" w:eastAsia="宋体" w:cs="Times New Roman"/>
                <w:color w:val="000000"/>
                <w:sz w:val="22"/>
                <w:szCs w:val="22"/>
                <w:highlight w:val="none"/>
                <w:lang w:val="en-US" w:eastAsia="zh-CN" w:bidi="en-US"/>
              </w:rPr>
            </w:r>
            <w:r/>
          </w:p>
          <w:p>
            <w:pPr>
              <w:pStyle w:val="1478"/>
              <w:jc w:val="center"/>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en-US" w:bidi="en-US"/>
              </w:rPr>
              <w:t xml:space="preserve">水质</w:t>
            </w:r>
            <w:r>
              <w:rPr>
                <w:rFonts w:ascii="宋体" w:hAnsi="宋体" w:eastAsia="宋体" w:cs="Times New Roman"/>
                <w:color w:val="000000"/>
                <w:sz w:val="22"/>
                <w:szCs w:val="22"/>
                <w:highlight w:val="none"/>
                <w:lang w:val="en-US" w:eastAsia="zh-CN"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定期对污水处理设施出水水质进行检测，</w:t>
            </w:r>
            <w:r>
              <w:rPr>
                <w:rFonts w:hint="eastAsia" w:cs="Times New Roman"/>
                <w:color w:val="000000"/>
                <w:sz w:val="22"/>
                <w:szCs w:val="22"/>
                <w:highlight w:val="none"/>
                <w:lang w:val="en-US" w:eastAsia="zh-CN" w:bidi="en-US"/>
              </w:rPr>
              <w:t xml:space="preserve">检</w:t>
            </w:r>
            <w:r>
              <w:rPr>
                <w:rFonts w:hint="eastAsia" w:eastAsia="宋体" w:cs="Times New Roman"/>
                <w:color w:val="000000"/>
                <w:sz w:val="22"/>
                <w:szCs w:val="22"/>
                <w:highlight w:val="none"/>
                <w:lang w:val="en-US" w:eastAsia="zh-CN" w:bidi="en-US"/>
              </w:rPr>
              <w:t xml:space="preserve">测频次未达合同要求</w:t>
            </w:r>
            <w:r>
              <w:rPr>
                <w:rFonts w:hint="eastAsia" w:ascii="Calibri" w:hAnsi="Calibri" w:eastAsia="宋体" w:cs="Times New Roman"/>
                <w:color w:val="000000"/>
                <w:sz w:val="22"/>
                <w:szCs w:val="22"/>
                <w:highlight w:val="none"/>
                <w:lang w:val="en-US" w:eastAsia="zh-CN" w:bidi="en-US"/>
              </w:rPr>
              <w:t xml:space="preserve">，</w:t>
            </w:r>
            <w:r>
              <w:rPr>
                <w:rFonts w:hint="eastAsia" w:cs="Times New Roman"/>
                <w:color w:val="000000"/>
                <w:sz w:val="22"/>
                <w:szCs w:val="22"/>
                <w:highlight w:val="none"/>
                <w:lang w:val="en-US" w:eastAsia="zh-CN" w:bidi="en-US"/>
              </w:rPr>
              <w:t xml:space="preserve">每</w:t>
            </w:r>
            <w:r>
              <w:rPr>
                <w:rFonts w:hint="eastAsia" w:eastAsia="宋体" w:cs="Times New Roman"/>
                <w:color w:val="000000"/>
                <w:sz w:val="22"/>
                <w:szCs w:val="22"/>
                <w:highlight w:val="none"/>
                <w:lang w:val="en-US" w:eastAsia="zh-CN" w:bidi="en-US"/>
              </w:rPr>
              <w:t xml:space="preserve">发现一次</w:t>
            </w:r>
            <w:r>
              <w:rPr>
                <w:rFonts w:hint="eastAsia" w:ascii="Calibri" w:hAnsi="Calibri" w:eastAsia="宋体" w:cs="Times New Roman"/>
                <w:color w:val="000000"/>
                <w:sz w:val="22"/>
                <w:szCs w:val="22"/>
                <w:highlight w:val="none"/>
                <w:lang w:val="en-US" w:eastAsia="zh-CN" w:bidi="en-US"/>
              </w:rPr>
              <w:t xml:space="preserve">扣1分</w:t>
            </w:r>
            <w:r>
              <w:rPr>
                <w:rFonts w:hint="eastAsia" w:ascii="宋体" w:hAnsi="宋体" w:eastAsia="宋体" w:cs="Times New Roman"/>
                <w:color w:val="000000"/>
                <w:sz w:val="22"/>
                <w:szCs w:val="22"/>
                <w:highlight w:val="none"/>
                <w:lang w:val="en-US" w:eastAsia="zh-CN" w:bidi="en-US"/>
              </w:rPr>
              <w:t xml:space="preserve">，扣完为止</w:t>
            </w:r>
            <w:r>
              <w:rPr>
                <w:rFonts w:hint="eastAsia" w:ascii="Calibri" w:hAnsi="Calibri" w:eastAsia="宋体" w:cs="Times New Roman"/>
                <w:color w:val="000000"/>
                <w:sz w:val="22"/>
                <w:szCs w:val="22"/>
                <w:highlight w:val="none"/>
                <w:lang w:val="en-US" w:eastAsia="zh-CN" w:bidi="en-US"/>
              </w:rPr>
              <w:t xml:space="preserve">：</w:t>
            </w:r>
            <w:r>
              <w:rPr>
                <w:rFonts w:ascii="Calibri" w:hAnsi="Calibri" w:eastAsia="宋体" w:cs="Times New Roman"/>
                <w:color w:val="000000"/>
                <w:sz w:val="22"/>
                <w:szCs w:val="22"/>
                <w:highlight w:val="none"/>
                <w:lang w:val="en-US" w:eastAsia="zh-CN" w:bidi="en-US"/>
              </w:rPr>
            </w:r>
            <w:r/>
          </w:p>
          <w:p>
            <w:pPr>
              <w:pStyle w:val="1478"/>
              <w:rPr>
                <w:rFonts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1.日处理能力不足二十吨的集中处理设施，出水水质的检测频次每半年不少于一次；</w:t>
            </w:r>
            <w:r>
              <w:rPr>
                <w:rFonts w:ascii="Calibri" w:hAnsi="Calibri"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2.日处理能力二十吨（含）以上的集中处理设施，出水水质的检测频次每季度全检；</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运维单位提供的水质检测报告；</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en-US" w:bidi="en-US"/>
              </w:rPr>
              <w:t xml:space="preserve">文件检查。</w:t>
            </w:r>
            <w:r>
              <w:rPr>
                <w:rFonts w:ascii="宋体" w:hAnsi="宋体"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项目合同约定、第三方出具的水质检测报告。</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textDirection w:val="lrTb"/>
            <w:noWrap w:val="false"/>
          </w:tcPr>
          <w:p>
            <w:pPr>
              <w:pStyle w:val="1478"/>
              <w:jc w:val="center"/>
              <w:rPr>
                <w:rFonts w:hint="eastAsia" w:ascii="Calibri" w:hAnsi="Calibri" w:eastAsia="宋体" w:cs="Times New Roman"/>
                <w:color w:val="000000"/>
                <w:sz w:val="22"/>
                <w:szCs w:val="22"/>
                <w:highlight w:val="none"/>
                <w:lang w:val="en-US" w:eastAsia="en-US" w:bidi="en-US"/>
              </w:rPr>
            </w:pPr>
            <w:r>
              <w:rPr>
                <w:rFonts w:hint="eastAsia" w:ascii="Calibri" w:hAnsi="Calibri" w:eastAsia="宋体" w:cs="Times New Roman"/>
                <w:color w:val="000000"/>
                <w:sz w:val="22"/>
                <w:szCs w:val="22"/>
                <w:highlight w:val="none"/>
                <w:lang w:val="en-US" w:eastAsia="en-US" w:bidi="en-US"/>
              </w:rPr>
              <w:t xml:space="preserve">污泥处置</w:t>
            </w:r>
            <w:r>
              <w:rPr>
                <w:rFonts w:hint="eastAsia" w:ascii="Calibri" w:hAnsi="Calibri" w:eastAsia="宋体" w:cs="Times New Roman"/>
                <w:color w:val="000000"/>
                <w:sz w:val="22"/>
                <w:szCs w:val="22"/>
                <w:highlight w:val="none"/>
                <w:lang w:val="en-US" w:eastAsia="en-US" w:bidi="en-US"/>
              </w:rPr>
            </w:r>
            <w:r/>
          </w:p>
        </w:tc>
        <w:tc>
          <w:tcPr>
            <w:tcW w:w="790" w:type="dxa"/>
            <w:vAlign w:val="center"/>
            <w:textDirection w:val="lrTb"/>
            <w:noWrap w:val="false"/>
          </w:tcPr>
          <w:p>
            <w:pPr>
              <w:pStyle w:val="1478"/>
              <w:jc w:val="center"/>
              <w:rPr>
                <w:rFonts w:hint="eastAsia"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6</w:t>
            </w:r>
            <w:r>
              <w:rPr>
                <w:rFonts w:hint="eastAsia"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项目设施产生的污泥未进行合法合规收集、运输和处理，每发现一次扣</w:t>
            </w:r>
            <w:r>
              <w:rPr>
                <w:rFonts w:hint="eastAsia" w:cs="Times New Roman"/>
                <w:color w:val="000000"/>
                <w:sz w:val="22"/>
                <w:szCs w:val="22"/>
                <w:highlight w:val="none"/>
                <w:lang w:val="en-US" w:eastAsia="zh-CN" w:bidi="en-US"/>
              </w:rPr>
              <w:t xml:space="preserve">3</w:t>
            </w:r>
            <w:r>
              <w:rPr>
                <w:rFonts w:hint="eastAsia" w:ascii="Calibri" w:hAnsi="Calibri" w:eastAsia="宋体" w:cs="Times New Roman"/>
                <w:color w:val="000000"/>
                <w:sz w:val="22"/>
                <w:szCs w:val="22"/>
                <w:highlight w:val="none"/>
                <w:lang w:val="en-US" w:eastAsia="zh-CN" w:bidi="en-US"/>
              </w:rPr>
              <w:t xml:space="preserve">分</w:t>
            </w:r>
            <w:r>
              <w:rPr>
                <w:rFonts w:hint="eastAsia" w:ascii="宋体" w:hAnsi="宋体" w:eastAsia="宋体" w:cs="Times New Roman"/>
                <w:color w:val="000000"/>
                <w:sz w:val="22"/>
                <w:szCs w:val="22"/>
                <w:highlight w:val="none"/>
                <w:lang w:val="en-US" w:eastAsia="zh-CN" w:bidi="en-US"/>
              </w:rPr>
              <w:t xml:space="preserve">，扣完为止。</w:t>
            </w:r>
            <w:r>
              <w:rPr>
                <w:rFonts w:hint="eastAsia" w:ascii="宋体" w:hAnsi="宋体" w:eastAsia="宋体" w:cs="Times New Roman"/>
                <w:color w:val="000000"/>
                <w:sz w:val="22"/>
                <w:szCs w:val="22"/>
                <w:highlight w:val="none"/>
                <w:lang w:val="en-US" w:eastAsia="zh-CN" w:bidi="en-US"/>
              </w:rPr>
              <w:br w:type="textWrapping" w:clear="all"/>
            </w:r>
            <w:r>
              <w:rPr>
                <w:rFonts w:hint="eastAsia" w:ascii="宋体" w:hAnsi="宋体" w:cs="Times New Roman"/>
                <w:color w:val="000000"/>
                <w:sz w:val="22"/>
                <w:szCs w:val="22"/>
                <w:highlight w:val="none"/>
                <w:lang w:val="en-US" w:eastAsia="zh-CN" w:bidi="en-US"/>
              </w:rPr>
              <w:t xml:space="preserve">注：出现两次以上按考核办法第八条执行。</w:t>
            </w:r>
            <w:r>
              <w:rPr>
                <w:rFonts w:ascii="Calibri" w:hAnsi="Calibri"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hint="eastAsia"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检查运维单位与第三方污泥运输、处置单位签定的合同，实时监测污泥运输线路，核实项目污泥处理流程实操过程中的合法合规性。</w:t>
            </w:r>
            <w:r>
              <w:rPr>
                <w:rFonts w:hint="eastAsia" w:ascii="Calibri" w:hAnsi="Calibri"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hint="eastAsia" w:ascii="Calibri" w:hAnsi="Calibri" w:eastAsia="宋体" w:cs="Times New Roman"/>
                <w:color w:val="000000"/>
                <w:sz w:val="22"/>
                <w:szCs w:val="22"/>
                <w:highlight w:val="none"/>
                <w:lang w:val="en-US" w:eastAsia="en-US" w:bidi="en-US"/>
              </w:rPr>
            </w:pPr>
            <w:r>
              <w:rPr>
                <w:rFonts w:hint="eastAsia" w:ascii="Calibri" w:hAnsi="Calibri" w:eastAsia="宋体" w:cs="Times New Roman"/>
                <w:color w:val="000000"/>
                <w:sz w:val="22"/>
                <w:szCs w:val="22"/>
                <w:highlight w:val="none"/>
                <w:lang w:val="en-US" w:eastAsia="zh-CN" w:bidi="en-US"/>
              </w:rPr>
              <w:t xml:space="preserve">1、运维单位报送材料；2、现场调查。</w:t>
            </w:r>
            <w:r>
              <w:rPr>
                <w:rFonts w:hint="eastAsia" w:ascii="Calibri" w:hAnsi="Calibri" w:eastAsia="宋体" w:cs="Times New Roman"/>
                <w:color w:val="000000"/>
                <w:sz w:val="22"/>
                <w:szCs w:val="22"/>
                <w:highlight w:val="none"/>
                <w:lang w:val="en-US" w:eastAsia="en-US" w:bidi="en-US"/>
              </w:rPr>
            </w:r>
            <w:r/>
          </w:p>
        </w:tc>
        <w:tc>
          <w:tcPr>
            <w:tcW w:w="1123" w:type="dxa"/>
            <w:vAlign w:val="center"/>
            <w:textDirection w:val="lrTb"/>
            <w:noWrap w:val="false"/>
          </w:tcPr>
          <w:p>
            <w:pPr>
              <w:pStyle w:val="1478"/>
              <w:rPr>
                <w:rFonts w:hint="eastAsia"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项目合同、第三方污泥运输、处置单位签定的合同。</w:t>
            </w:r>
            <w:r>
              <w:rPr>
                <w:rFonts w:hint="eastAsia" w:ascii="Calibri" w:hAnsi="Calibri"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restart"/>
            <w:textDirection w:val="lrTb"/>
            <w:noWrap w:val="false"/>
          </w:tcPr>
          <w:p>
            <w:pPr>
              <w:pStyle w:val="1478"/>
              <w:jc w:val="center"/>
              <w:rPr>
                <w:rFonts w:ascii="宋体" w:hAnsi="宋体" w:eastAsia="宋体" w:cs="Times New Roman"/>
                <w:b/>
                <w:bCs/>
                <w:color w:val="000000"/>
                <w:sz w:val="22"/>
                <w:szCs w:val="22"/>
                <w:highlight w:val="none"/>
                <w:lang w:val="en-US" w:eastAsia="zh-CN" w:bidi="en-US"/>
              </w:rPr>
            </w:pPr>
            <w:r>
              <w:rPr>
                <w:rFonts w:hint="eastAsia" w:ascii="宋体" w:hAnsi="宋体" w:eastAsia="宋体" w:cs="Times New Roman"/>
                <w:b/>
                <w:bCs/>
                <w:color w:val="000000"/>
                <w:sz w:val="22"/>
                <w:szCs w:val="22"/>
                <w:highlight w:val="none"/>
                <w:lang w:val="en-US" w:eastAsia="zh-CN" w:bidi="en-US"/>
              </w:rPr>
              <w:t xml:space="preserve">三</w:t>
            </w:r>
            <w:r>
              <w:rPr>
                <w:rFonts w:ascii="宋体" w:hAnsi="宋体" w:eastAsia="宋体" w:cs="Times New Roman"/>
                <w:b/>
                <w:bCs/>
                <w:color w:val="000000"/>
                <w:sz w:val="22"/>
                <w:szCs w:val="22"/>
                <w:highlight w:val="none"/>
                <w:lang w:val="en-US" w:eastAsia="zh-CN" w:bidi="en-US"/>
              </w:rPr>
            </w:r>
            <w:r/>
          </w:p>
        </w:tc>
        <w:tc>
          <w:tcPr>
            <w:tcW w:w="921"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安全管理（20分）</w:t>
            </w:r>
            <w:r>
              <w:rPr>
                <w:rFonts w:ascii="宋体" w:hAnsi="宋体" w:eastAsia="宋体" w:cs="Times New Roman"/>
                <w:color w:val="000000"/>
                <w:sz w:val="22"/>
                <w:szCs w:val="22"/>
                <w:highlight w:val="none"/>
                <w:lang w:val="en-US" w:eastAsia="zh-CN" w:bidi="en-US"/>
              </w:rPr>
            </w:r>
            <w:r/>
          </w:p>
        </w:tc>
        <w:tc>
          <w:tcPr>
            <w:tcW w:w="92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巡查管理</w:t>
            </w:r>
            <w:r>
              <w:rPr>
                <w:rFonts w:ascii="宋体" w:hAnsi="宋体" w:eastAsia="宋体" w:cs="Times New Roman"/>
                <w:color w:val="000000"/>
                <w:sz w:val="22"/>
                <w:szCs w:val="22"/>
                <w:highlight w:val="none"/>
                <w:lang w:val="en-US" w:eastAsia="en-US" w:bidi="en-US"/>
              </w:rPr>
            </w:r>
            <w:r/>
          </w:p>
        </w:tc>
        <w:tc>
          <w:tcPr>
            <w:tcW w:w="790"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管网运维记录完整，包括例行巡视记录、管网维护记录、隔油池化粪池检查修理记录等。记录不完整或明显不切实际的，发现一次扣0.5分，扣完为止。</w:t>
            </w:r>
            <w:r>
              <w:rPr>
                <w:rFonts w:ascii="宋体" w:hAnsi="宋体" w:eastAsia="宋体" w:cs="Times New Roman"/>
                <w:color w:val="000000"/>
                <w:sz w:val="22"/>
                <w:szCs w:val="22"/>
                <w:highlight w:val="none"/>
                <w:lang w:val="en-US" w:eastAsia="zh-CN" w:bidi="en-US"/>
              </w:rPr>
            </w:r>
            <w:r/>
          </w:p>
        </w:tc>
        <w:tc>
          <w:tcPr>
            <w:tcW w:w="3737"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检</w:t>
            </w:r>
            <w:r>
              <w:rPr>
                <w:rFonts w:ascii="宋体" w:hAnsi="宋体" w:eastAsia="宋体" w:cs="Times New Roman"/>
                <w:color w:val="000000"/>
                <w:sz w:val="22"/>
                <w:szCs w:val="22"/>
                <w:highlight w:val="none"/>
                <w:lang w:val="en-US" w:eastAsia="zh-CN" w:bidi="en-US"/>
              </w:rPr>
              <w:t xml:space="preserve">查运维单位</w:t>
            </w:r>
            <w:r>
              <w:rPr>
                <w:rFonts w:hint="eastAsia" w:ascii="宋体" w:hAnsi="宋体" w:eastAsia="宋体" w:cs="Times New Roman"/>
                <w:color w:val="000000"/>
                <w:sz w:val="22"/>
                <w:szCs w:val="22"/>
                <w:highlight w:val="none"/>
                <w:lang w:val="en-US" w:eastAsia="zh-CN" w:bidi="en-US"/>
              </w:rPr>
              <w:t xml:space="preserve">运维</w:t>
            </w:r>
            <w:r>
              <w:rPr>
                <w:rFonts w:ascii="宋体" w:hAnsi="宋体" w:eastAsia="宋体" w:cs="Times New Roman"/>
                <w:color w:val="000000"/>
                <w:sz w:val="22"/>
                <w:szCs w:val="22"/>
                <w:highlight w:val="none"/>
                <w:lang w:val="en-US" w:eastAsia="zh-CN" w:bidi="en-US"/>
              </w:rPr>
              <w:t xml:space="preserve">人员配备及相关管网每</w:t>
            </w:r>
            <w:r>
              <w:rPr>
                <w:rFonts w:hint="eastAsia" w:ascii="宋体" w:hAnsi="宋体" w:eastAsia="宋体" w:cs="Times New Roman"/>
                <w:color w:val="000000"/>
                <w:sz w:val="22"/>
                <w:szCs w:val="22"/>
                <w:highlight w:val="none"/>
                <w:lang w:val="en-US" w:eastAsia="zh-CN" w:bidi="en-US"/>
              </w:rPr>
              <w:t xml:space="preserve">月运维</w:t>
            </w:r>
            <w:r>
              <w:rPr>
                <w:rFonts w:ascii="宋体" w:hAnsi="宋体" w:eastAsia="宋体" w:cs="Times New Roman"/>
                <w:color w:val="000000"/>
                <w:sz w:val="22"/>
                <w:szCs w:val="22"/>
                <w:highlight w:val="none"/>
                <w:lang w:val="en-US" w:eastAsia="zh-CN" w:bidi="en-US"/>
              </w:rPr>
              <w:t xml:space="preserve">记录，例行巡视记录、管网维护记录、隔油池化粪池检查修理记录等</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t xml:space="preserve">，</w:t>
            </w:r>
            <w:r>
              <w:rPr>
                <w:rFonts w:hint="eastAsia" w:ascii="宋体" w:hAnsi="宋体" w:eastAsia="宋体" w:cs="Times New Roman"/>
                <w:color w:val="000000"/>
                <w:sz w:val="22"/>
                <w:szCs w:val="22"/>
                <w:highlight w:val="none"/>
                <w:lang w:val="en-US" w:eastAsia="zh-CN" w:bidi="en-US"/>
              </w:rPr>
              <w:t xml:space="preserve">按</w:t>
            </w:r>
            <w:r>
              <w:rPr>
                <w:rFonts w:ascii="宋体" w:hAnsi="宋体" w:eastAsia="宋体" w:cs="Times New Roman"/>
                <w:color w:val="000000"/>
                <w:sz w:val="22"/>
                <w:szCs w:val="22"/>
                <w:highlight w:val="none"/>
                <w:lang w:val="en-US" w:eastAsia="zh-CN" w:bidi="en-US"/>
              </w:rPr>
              <w:t xml:space="preserve">评分标准进行评分。</w:t>
            </w:r>
            <w:r>
              <w:rPr>
                <w:rFonts w:ascii="宋体" w:hAnsi="宋体" w:eastAsia="宋体" w:cs="Times New Roman"/>
                <w:color w:val="000000"/>
                <w:sz w:val="22"/>
                <w:szCs w:val="22"/>
                <w:highlight w:val="none"/>
                <w:lang w:val="en-US" w:eastAsia="zh-CN" w:bidi="en-US"/>
              </w:rPr>
            </w:r>
            <w:r/>
          </w:p>
        </w:tc>
        <w:tc>
          <w:tcPr>
            <w:tcW w:w="119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1、运维单位报送材料；</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2、现场调查。</w:t>
            </w:r>
            <w:r>
              <w:rPr>
                <w:rFonts w:ascii="宋体" w:hAnsi="宋体" w:eastAsia="宋体" w:cs="Times New Roman"/>
                <w:color w:val="000000"/>
                <w:sz w:val="22"/>
                <w:szCs w:val="22"/>
                <w:highlight w:val="none"/>
                <w:lang w:val="en-US" w:eastAsia="zh-CN" w:bidi="en-US"/>
              </w:rPr>
            </w:r>
            <w:r/>
          </w:p>
        </w:tc>
        <w:tc>
          <w:tcPr>
            <w:tcW w:w="1123"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政策、法规、行业标准或规范、运维合同、全年运维计划等。</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93"/>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737"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93"/>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Calibri" w:hAnsi="Calibri" w:eastAsia="宋体" w:cs="Times New Roman"/>
                <w:color w:val="000000"/>
                <w:sz w:val="22"/>
                <w:szCs w:val="22"/>
                <w:highlight w:val="none"/>
                <w:lang w:val="en-US" w:eastAsia="zh-CN" w:bidi="en-US"/>
              </w:rPr>
            </w:pPr>
            <w:r>
              <w:rPr>
                <w:rFonts w:ascii="Calibri" w:hAnsi="Calibri"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rPr>
                <w:rFonts w:ascii="Calibri" w:hAnsi="Calibri" w:eastAsia="宋体" w:cs="Times New Roman"/>
                <w:color w:val="000000"/>
                <w:sz w:val="22"/>
                <w:szCs w:val="22"/>
                <w:highlight w:val="none"/>
                <w:lang w:val="en-US" w:eastAsia="zh-CN" w:bidi="en-US"/>
              </w:rPr>
            </w:pPr>
            <w:r>
              <w:rPr>
                <w:rFonts w:ascii="Calibri" w:hAnsi="Calibri"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cs="Times New Roman"/>
                <w:color w:val="000000"/>
                <w:sz w:val="22"/>
                <w:szCs w:val="22"/>
                <w:highlight w:val="none"/>
                <w:lang w:val="en-US" w:eastAsia="zh-CN" w:bidi="en-US"/>
              </w:rPr>
              <w:t xml:space="preserve">设施</w:t>
            </w:r>
            <w:r>
              <w:rPr>
                <w:rFonts w:hint="eastAsia" w:eastAsia="宋体" w:cs="Times New Roman"/>
                <w:color w:val="000000"/>
                <w:sz w:val="22"/>
                <w:szCs w:val="22"/>
                <w:highlight w:val="none"/>
                <w:lang w:val="en-US" w:eastAsia="zh-CN" w:bidi="en-US"/>
              </w:rPr>
              <w:t xml:space="preserve">运维</w:t>
            </w:r>
            <w:r>
              <w:rPr>
                <w:rFonts w:hint="eastAsia" w:ascii="Calibri" w:hAnsi="Calibri" w:eastAsia="宋体" w:cs="Times New Roman"/>
                <w:color w:val="000000"/>
                <w:sz w:val="22"/>
                <w:szCs w:val="22"/>
                <w:highlight w:val="none"/>
                <w:lang w:val="en-US" w:eastAsia="zh-CN" w:bidi="en-US"/>
              </w:rPr>
              <w:t xml:space="preserve">记录完整，包括例行巡视记录、设施维护维修记录、出水水质记录等。记录不完整或明显不切实际的，发现一次扣0.5分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核实提供的</w:t>
            </w:r>
            <w:r>
              <w:rPr>
                <w:rFonts w:ascii="宋体" w:hAnsi="宋体" w:eastAsia="宋体" w:cs="Times New Roman"/>
                <w:color w:val="000000"/>
                <w:sz w:val="22"/>
                <w:szCs w:val="22"/>
                <w:highlight w:val="none"/>
                <w:lang w:val="en-US" w:eastAsia="zh-CN" w:bidi="en-US"/>
              </w:rPr>
              <w:t xml:space="preserve">每</w:t>
            </w:r>
            <w:r>
              <w:rPr>
                <w:rFonts w:hint="eastAsia" w:ascii="宋体" w:hAnsi="宋体" w:eastAsia="宋体" w:cs="Times New Roman"/>
                <w:color w:val="000000"/>
                <w:sz w:val="22"/>
                <w:szCs w:val="22"/>
                <w:highlight w:val="none"/>
                <w:lang w:val="en-US" w:eastAsia="zh-CN" w:bidi="en-US"/>
              </w:rPr>
              <w:t xml:space="preserve">月</w:t>
            </w:r>
            <w:r>
              <w:rPr>
                <w:rFonts w:hint="eastAsia" w:ascii="Calibri" w:hAnsi="Calibri" w:eastAsia="宋体" w:cs="Times New Roman"/>
                <w:color w:val="000000"/>
                <w:sz w:val="22"/>
                <w:szCs w:val="22"/>
                <w:highlight w:val="none"/>
                <w:lang w:val="en-US" w:eastAsia="zh-CN" w:bidi="en-US"/>
              </w:rPr>
              <w:t xml:space="preserve">例行巡视记录、设施维护维修记录、进出水水质记录等</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hint="eastAsia" w:ascii="Calibri" w:hAnsi="Calibri" w:eastAsia="宋体" w:cs="Times New Roman"/>
                <w:color w:val="000000"/>
                <w:sz w:val="22"/>
                <w:szCs w:val="22"/>
                <w:highlight w:val="none"/>
                <w:lang w:val="en-US" w:eastAsia="zh-CN" w:bidi="en-US"/>
              </w:rPr>
              <w:t xml:space="preserve">。</w:t>
            </w:r>
            <w:r>
              <w:rPr>
                <w:rFonts w:hint="eastAsia" w:ascii="Calibri" w:hAnsi="Calibri" w:eastAsia="宋体" w:cs="Times New Roman"/>
                <w:color w:val="000000"/>
                <w:sz w:val="22"/>
                <w:szCs w:val="22"/>
                <w:highlight w:val="none"/>
                <w:lang w:val="en-US" w:eastAsia="en-US" w:bidi="en-US"/>
              </w:rPr>
              <w:t xml:space="preserve">按照评分标准打分。</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Calibri" w:hAnsi="Calibri" w:eastAsia="宋体" w:cs="Times New Roman"/>
                <w:color w:val="000000"/>
                <w:sz w:val="22"/>
                <w:szCs w:val="22"/>
                <w:highlight w:val="none"/>
                <w:lang w:val="en-US" w:eastAsia="en-US" w:bidi="en-US"/>
              </w:rPr>
            </w:pPr>
            <w:r>
              <w:rPr>
                <w:rFonts w:hint="eastAsia" w:ascii="Calibri" w:hAnsi="Calibri" w:eastAsia="宋体" w:cs="Times New Roman"/>
                <w:color w:val="000000"/>
                <w:sz w:val="22"/>
                <w:szCs w:val="22"/>
                <w:highlight w:val="none"/>
                <w:lang w:val="en-US" w:eastAsia="en-US" w:bidi="en-US"/>
              </w:rPr>
              <w:t xml:space="preserve">文件检查。</w:t>
            </w:r>
            <w:r>
              <w:rPr>
                <w:rFonts w:ascii="Calibri" w:hAnsi="Calibri" w:eastAsia="宋体" w:cs="Times New Roman"/>
                <w:color w:val="000000"/>
                <w:sz w:val="22"/>
                <w:szCs w:val="22"/>
                <w:highlight w:val="none"/>
                <w:lang w:val="en-US" w:eastAsia="en-US" w:bidi="en-US"/>
              </w:rPr>
            </w:r>
            <w:r/>
          </w:p>
        </w:tc>
        <w:tc>
          <w:tcPr>
            <w:tcW w:w="1123" w:type="dxa"/>
            <w:vAlign w:val="center"/>
            <w:textDirection w:val="lrTb"/>
            <w:noWrap w:val="false"/>
          </w:tcPr>
          <w:p>
            <w:pPr>
              <w:pStyle w:val="1478"/>
              <w:rPr>
                <w:rFonts w:ascii="Calibri" w:hAnsi="Calibri" w:eastAsia="宋体" w:cs="Times New Roman"/>
                <w:color w:val="000000"/>
                <w:sz w:val="22"/>
                <w:szCs w:val="22"/>
                <w:highlight w:val="none"/>
                <w:lang w:val="en-US" w:eastAsia="zh-CN" w:bidi="en-US"/>
              </w:rPr>
            </w:pPr>
            <w:r>
              <w:rPr>
                <w:rFonts w:hint="eastAsia" w:ascii="Calibri" w:hAnsi="Calibri" w:eastAsia="宋体" w:cs="Times New Roman"/>
                <w:color w:val="000000"/>
                <w:sz w:val="22"/>
                <w:szCs w:val="22"/>
                <w:highlight w:val="none"/>
                <w:lang w:val="en-US" w:eastAsia="zh-CN" w:bidi="en-US"/>
              </w:rPr>
              <w:t xml:space="preserve">政策、法规、项目所属行业标准或规范、合同约定等。</w:t>
            </w:r>
            <w:r>
              <w:rPr>
                <w:rFonts w:ascii="Calibri" w:hAnsi="Calibri"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959"/>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安全及响应时间</w:t>
            </w:r>
            <w:r>
              <w:rPr>
                <w:rFonts w:ascii="宋体" w:hAnsi="宋体" w:eastAsia="宋体" w:cs="Times New Roman"/>
                <w:color w:val="000000"/>
                <w:sz w:val="22"/>
                <w:szCs w:val="22"/>
                <w:highlight w:val="none"/>
                <w:lang w:val="en-US" w:eastAsia="en-US" w:bidi="en-US"/>
              </w:rPr>
            </w:r>
            <w:r/>
          </w:p>
        </w:tc>
        <w:tc>
          <w:tcPr>
            <w:tcW w:w="790" w:type="dxa"/>
            <w:vAlign w:val="center"/>
            <w:vMerge w:val="restart"/>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发现井盖缺失或损坏后，及时安放护栏和警示标志，</w:t>
            </w:r>
            <w:r>
              <w:rPr>
                <w:rFonts w:hint="eastAsia" w:ascii="宋体" w:hAnsi="宋体" w:eastAsia="宋体" w:cs="宋体"/>
                <w:color w:val="000000"/>
                <w:sz w:val="22"/>
                <w:szCs w:val="22"/>
                <w:highlight w:val="none"/>
              </w:rPr>
              <w:t xml:space="preserve">应立即设置警示标志，并在6h内修补恢复</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当相关排水管理单位接报井盖缺失或损坏信息后，必须在2h内安放护栏和警示标志，并应在6h内修补恢复</w:t>
            </w:r>
            <w:r>
              <w:rPr>
                <w:rFonts w:ascii="宋体" w:hAnsi="宋体" w:eastAsia="宋体" w:cs="Times New Roman"/>
                <w:color w:val="000000"/>
                <w:sz w:val="22"/>
                <w:szCs w:val="22"/>
                <w:highlight w:val="none"/>
                <w:lang w:val="en-US" w:eastAsia="zh-CN" w:bidi="en-US"/>
              </w:rPr>
              <w:t xml:space="preserve">并应在8h内</w:t>
            </w:r>
            <w:r>
              <w:rPr>
                <w:rFonts w:hint="eastAsia" w:ascii="宋体" w:hAnsi="宋体" w:eastAsia="宋体" w:cs="Times New Roman"/>
                <w:color w:val="000000"/>
                <w:sz w:val="22"/>
                <w:szCs w:val="22"/>
                <w:highlight w:val="none"/>
                <w:lang w:val="en-US" w:eastAsia="zh-CN" w:bidi="en-US"/>
              </w:rPr>
              <w:t xml:space="preserve">上报</w:t>
            </w:r>
            <w:r>
              <w:rPr>
                <w:rFonts w:ascii="宋体" w:hAnsi="宋体" w:eastAsia="宋体" w:cs="Times New Roman"/>
                <w:color w:val="000000"/>
                <w:sz w:val="22"/>
                <w:szCs w:val="22"/>
                <w:highlight w:val="none"/>
                <w:lang w:val="en-US" w:eastAsia="zh-CN" w:bidi="en-US"/>
              </w:rPr>
              <w:t xml:space="preserve">。每不满足一处/次扣1分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cs="宋体"/>
                <w:color w:val="000000"/>
                <w:sz w:val="22"/>
                <w:szCs w:val="22"/>
                <w:highlight w:val="none"/>
              </w:rPr>
              <w:t xml:space="preserve">严格执行有限空间作业规定，做</w:t>
            </w:r>
            <w:r>
              <w:rPr>
                <w:rFonts w:ascii="Times New Roman" w:hAnsi="Times New Roman"/>
                <w:color w:val="000000"/>
                <w:sz w:val="22"/>
                <w:szCs w:val="22"/>
                <w:highlight w:val="none"/>
              </w:rPr>
              <w:t xml:space="preserve">到</w:t>
            </w:r>
            <w:r>
              <w:rPr>
                <w:rStyle w:val="926"/>
                <w:rFonts w:ascii="Times New Roman" w:hAnsi="Times New Roman"/>
                <w:b w:val="0"/>
                <w:bCs w:val="0"/>
                <w:color w:val="000000"/>
                <w:sz w:val="22"/>
                <w:szCs w:val="22"/>
                <w:highlight w:val="none"/>
              </w:rPr>
              <w:t xml:space="preserve">无证不动工、先通风检测、专人全程监护</w:t>
            </w:r>
            <w:r>
              <w:rPr>
                <w:rFonts w:ascii="Times New Roman" w:hAnsi="Times New Roman"/>
                <w:color w:val="000000"/>
                <w:sz w:val="22"/>
                <w:szCs w:val="22"/>
                <w:highlight w:val="none"/>
              </w:rPr>
              <w:t xml:space="preserve">，规范佩戴防护用品，严控现场风险，确保作业安全。</w:t>
            </w:r>
            <w:r>
              <w:rPr>
                <w:rFonts w:hint="eastAsia" w:ascii="Times New Roman" w:hAnsi="Times New Roman"/>
                <w:color w:val="000000"/>
                <w:sz w:val="22"/>
                <w:szCs w:val="22"/>
                <w:highlight w:val="none"/>
              </w:rPr>
              <w:t xml:space="preserve">所有有限空间作业须上报招标人，经招标人同意后方可实施。</w:t>
            </w:r>
            <w:r>
              <w:rPr>
                <w:rFonts w:ascii="宋体" w:hAnsi="宋体" w:eastAsia="宋体" w:cs="Times New Roman"/>
                <w:color w:val="000000"/>
                <w:sz w:val="22"/>
                <w:szCs w:val="22"/>
                <w:highlight w:val="none"/>
                <w:lang w:val="en-US" w:eastAsia="zh-CN" w:bidi="en-US"/>
              </w:rPr>
              <w:t xml:space="preserve">每不满足一处/次扣1分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检查运维单位</w:t>
            </w:r>
            <w:r>
              <w:rPr>
                <w:rFonts w:ascii="宋体" w:hAnsi="宋体" w:eastAsia="宋体" w:cs="Times New Roman"/>
                <w:color w:val="000000"/>
                <w:sz w:val="22"/>
                <w:szCs w:val="22"/>
                <w:highlight w:val="none"/>
                <w:lang w:val="en-US" w:eastAsia="zh-CN" w:bidi="en-US"/>
              </w:rPr>
              <w:t xml:space="preserve">情况处理记录</w:t>
            </w:r>
            <w:r>
              <w:rPr>
                <w:rFonts w:hint="eastAsia" w:ascii="宋体" w:hAnsi="宋体" w:eastAsia="宋体" w:cs="Times New Roman"/>
                <w:color w:val="000000"/>
                <w:sz w:val="22"/>
                <w:szCs w:val="22"/>
                <w:highlight w:val="none"/>
                <w:lang w:val="en-US" w:eastAsia="zh-CN" w:bidi="en-US"/>
              </w:rPr>
              <w:t xml:space="preserve">（至少包含检查台账、照片及影像资料等）</w:t>
            </w:r>
            <w:r>
              <w:rPr>
                <w:rFonts w:ascii="宋体" w:hAnsi="宋体" w:eastAsia="宋体" w:cs="Times New Roman"/>
                <w:color w:val="000000"/>
                <w:sz w:val="22"/>
                <w:szCs w:val="22"/>
                <w:highlight w:val="none"/>
                <w:lang w:val="en-US" w:eastAsia="zh-CN" w:bidi="en-US"/>
              </w:rPr>
            </w:r>
            <w:r/>
          </w:p>
        </w:tc>
        <w:tc>
          <w:tcPr>
            <w:tcW w:w="1192"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运维单位报送材料；</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现场调查。</w:t>
            </w:r>
            <w:r>
              <w:rPr>
                <w:rFonts w:ascii="宋体" w:hAnsi="宋体" w:eastAsia="宋体" w:cs="Times New Roman"/>
                <w:color w:val="000000"/>
                <w:sz w:val="22"/>
                <w:szCs w:val="22"/>
                <w:highlight w:val="none"/>
                <w:lang w:val="en-US" w:eastAsia="zh-CN" w:bidi="en-US"/>
              </w:rPr>
            </w:r>
            <w:r/>
          </w:p>
        </w:tc>
        <w:tc>
          <w:tcPr>
            <w:tcW w:w="1123"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政策、法规、行业标准或规范、运维合同、全年运维计划等。</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1479"/>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90" w:type="dxa"/>
            <w:vAlign w:val="center"/>
            <w:vMerge w:val="continue"/>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化粪池、隔油池、通电设施设备、管道泵站修理时，修理人员未按照相关安全规范操作的，每发现一次扣1分</w:t>
            </w:r>
            <w:r>
              <w:rPr>
                <w:rFonts w:hint="eastAsia" w:ascii="宋体" w:hAnsi="宋体" w:eastAsia="宋体" w:cs="Times New Roman"/>
                <w:color w:val="000000"/>
                <w:sz w:val="22"/>
                <w:szCs w:val="22"/>
                <w:highlight w:val="none"/>
                <w:lang w:val="en-US" w:eastAsia="zh-CN" w:bidi="en-US"/>
              </w:rPr>
              <w:t xml:space="preserve">，扣完为止。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检查运维单位运维记录对</w:t>
            </w:r>
            <w:r>
              <w:rPr>
                <w:rFonts w:ascii="宋体" w:hAnsi="宋体" w:eastAsia="宋体" w:cs="Times New Roman"/>
                <w:color w:val="000000"/>
                <w:sz w:val="22"/>
                <w:szCs w:val="22"/>
                <w:highlight w:val="none"/>
                <w:lang w:val="en-US" w:eastAsia="zh-CN" w:bidi="en-US"/>
              </w:rPr>
              <w:t xml:space="preserve">化粪池、隔油池、通电设施设备、管道泵站修理的</w:t>
            </w:r>
            <w:r>
              <w:rPr>
                <w:rFonts w:hint="eastAsia" w:ascii="宋体" w:hAnsi="宋体" w:eastAsia="宋体" w:cs="Times New Roman"/>
                <w:color w:val="000000"/>
                <w:sz w:val="22"/>
                <w:szCs w:val="22"/>
                <w:highlight w:val="none"/>
                <w:lang w:val="en-US" w:eastAsia="zh-CN" w:bidi="en-US"/>
              </w:rPr>
              <w:t xml:space="preserve">操作按评分标准打分。</w:t>
            </w:r>
            <w:r>
              <w:rPr>
                <w:rFonts w:ascii="宋体" w:hAnsi="宋体" w:eastAsia="宋体" w:cs="Times New Roman"/>
                <w:color w:val="000000"/>
                <w:sz w:val="22"/>
                <w:szCs w:val="22"/>
                <w:highlight w:val="none"/>
                <w:lang w:val="en-US" w:eastAsia="zh-CN" w:bidi="en-US"/>
              </w:rPr>
            </w:r>
            <w:r/>
          </w:p>
        </w:tc>
        <w:tc>
          <w:tcPr>
            <w:tcW w:w="1192"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1123"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1479"/>
        </w:trPr>
        <w:tc>
          <w:tcPr>
            <w:tcW w:w="562" w:type="dxa"/>
            <w:vAlign w:val="center"/>
            <w:vMerge w:val="continue"/>
            <w:textDirection w:val="lrTb"/>
            <w:noWrap w:val="false"/>
          </w:tcPr>
          <w:p>
            <w:pPr>
              <w:pStyle w:val="1478"/>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922"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安全</w:t>
            </w:r>
            <w:r>
              <w:rPr>
                <w:rFonts w:ascii="宋体" w:hAnsi="宋体" w:eastAsia="宋体" w:cs="Times New Roman"/>
                <w:color w:val="000000"/>
                <w:sz w:val="22"/>
                <w:szCs w:val="22"/>
                <w:highlight w:val="none"/>
                <w:lang w:val="en-US" w:eastAsia="zh-CN" w:bidi="en-US"/>
              </w:rPr>
            </w:r>
            <w:r/>
          </w:p>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事故</w:t>
            </w:r>
            <w:r>
              <w:rPr>
                <w:rFonts w:ascii="宋体" w:hAnsi="宋体" w:eastAsia="宋体" w:cs="Times New Roman"/>
                <w:color w:val="000000"/>
                <w:sz w:val="22"/>
                <w:szCs w:val="22"/>
                <w:highlight w:val="none"/>
                <w:lang w:val="en-US" w:eastAsia="zh-CN"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10</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hint="eastAsia"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发生人员受伤（轻伤），每人每次扣2分；</w:t>
            </w:r>
            <w:r>
              <w:rPr>
                <w:rFonts w:hint="eastAsia"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注：发生一般及以上事故按考核办法第八条执行。</w:t>
            </w:r>
            <w:r>
              <w:rPr>
                <w:rFonts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根据实际情况进行打分。</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现场调查。</w:t>
            </w:r>
            <w:r>
              <w:rPr>
                <w:rFonts w:ascii="宋体" w:hAnsi="宋体"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运维合同</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312"/>
        </w:trPr>
        <w:tc>
          <w:tcPr>
            <w:tcW w:w="562" w:type="dxa"/>
            <w:vAlign w:val="center"/>
            <w:vMerge w:val="restart"/>
            <w:textDirection w:val="lrTb"/>
            <w:noWrap w:val="false"/>
          </w:tcPr>
          <w:p>
            <w:pPr>
              <w:pStyle w:val="1478"/>
              <w:jc w:val="center"/>
              <w:rPr>
                <w:rFonts w:ascii="宋体" w:hAnsi="宋体" w:eastAsia="宋体" w:cs="Times New Roman"/>
                <w:b/>
                <w:bCs/>
                <w:color w:val="000000"/>
                <w:sz w:val="22"/>
                <w:szCs w:val="22"/>
                <w:highlight w:val="none"/>
                <w:lang w:val="en-US" w:eastAsia="zh-CN" w:bidi="en-US"/>
              </w:rPr>
            </w:pPr>
            <w:r>
              <w:rPr>
                <w:rFonts w:hint="eastAsia" w:ascii="宋体" w:hAnsi="宋体" w:eastAsia="宋体" w:cs="Times New Roman"/>
                <w:b/>
                <w:bCs/>
                <w:color w:val="000000"/>
                <w:sz w:val="22"/>
                <w:szCs w:val="22"/>
                <w:highlight w:val="none"/>
                <w:lang w:val="en-US" w:eastAsia="zh-CN" w:bidi="en-US"/>
              </w:rPr>
              <w:t xml:space="preserve">四</w:t>
            </w:r>
            <w:r>
              <w:rPr>
                <w:rFonts w:ascii="宋体" w:hAnsi="宋体" w:eastAsia="宋体" w:cs="Times New Roman"/>
                <w:b/>
                <w:bCs/>
                <w:color w:val="000000"/>
                <w:sz w:val="22"/>
                <w:szCs w:val="22"/>
                <w:highlight w:val="none"/>
                <w:lang w:val="en-US" w:eastAsia="zh-CN" w:bidi="en-US"/>
              </w:rPr>
            </w:r>
            <w:r/>
          </w:p>
        </w:tc>
        <w:tc>
          <w:tcPr>
            <w:tcW w:w="921" w:type="dxa"/>
            <w:vAlign w:val="center"/>
            <w:vMerge w:val="restart"/>
            <w:textDirection w:val="lrTb"/>
            <w:noWrap w:val="false"/>
          </w:tcPr>
          <w:p>
            <w:pPr>
              <w:pStyle w:val="1478"/>
              <w:rPr>
                <w:rFonts w:ascii="宋体" w:hAnsi="宋体" w:eastAsia="宋体" w:cs="Times New Roman"/>
                <w:color w:val="000000"/>
                <w:sz w:val="22"/>
                <w:szCs w:val="22"/>
                <w:highlight w:val="none"/>
                <w:lang w:val="en-US" w:eastAsia="en-US" w:bidi="en-US"/>
              </w:rPr>
            </w:pPr>
            <w:r>
              <w:rPr>
                <w:rFonts w:hint="eastAsia" w:ascii="宋体" w:hAnsi="宋体" w:eastAsia="宋体" w:cs="Times New Roman"/>
                <w:color w:val="000000"/>
                <w:sz w:val="22"/>
                <w:szCs w:val="22"/>
                <w:highlight w:val="none"/>
                <w:lang w:val="en-US" w:eastAsia="en-US" w:bidi="en-US"/>
              </w:rPr>
              <w:t xml:space="preserve">工作配合（20分）</w:t>
            </w:r>
            <w:r>
              <w:rPr>
                <w:rFonts w:ascii="宋体" w:hAnsi="宋体" w:eastAsia="宋体" w:cs="Times New Roman"/>
                <w:color w:val="000000"/>
                <w:sz w:val="22"/>
                <w:szCs w:val="22"/>
                <w:highlight w:val="none"/>
                <w:lang w:val="en-US" w:eastAsia="en-US" w:bidi="en-US"/>
              </w:rPr>
            </w:r>
            <w:r/>
          </w:p>
        </w:tc>
        <w:tc>
          <w:tcPr>
            <w:tcW w:w="922" w:type="dxa"/>
            <w:vAlign w:val="center"/>
            <w:textDirection w:val="lrTb"/>
            <w:noWrap w:val="false"/>
          </w:tcPr>
          <w:p>
            <w:pPr>
              <w:pStyle w:val="1478"/>
              <w:rPr>
                <w:rFonts w:ascii="宋体" w:hAnsi="宋体" w:eastAsia="宋体" w:cs="Times New Roman"/>
                <w:color w:val="000000"/>
                <w:sz w:val="22"/>
                <w:szCs w:val="22"/>
                <w:highlight w:val="none"/>
                <w:lang w:val="en-US" w:eastAsia="en-US" w:bidi="en-US"/>
              </w:rPr>
            </w:pPr>
            <w:r>
              <w:rPr>
                <w:rFonts w:hint="eastAsia" w:ascii="宋体" w:hAnsi="宋体" w:eastAsia="宋体" w:cs="Times New Roman"/>
                <w:color w:val="000000"/>
                <w:sz w:val="22"/>
                <w:szCs w:val="22"/>
                <w:highlight w:val="none"/>
                <w:lang w:val="en-US" w:eastAsia="en-US" w:bidi="en-US"/>
              </w:rPr>
              <w:t xml:space="preserve">满意度</w:t>
            </w:r>
            <w:r>
              <w:rPr>
                <w:rFonts w:ascii="宋体" w:hAnsi="宋体" w:eastAsia="宋体" w:cs="Times New Roman"/>
                <w:color w:val="000000"/>
                <w:sz w:val="22"/>
                <w:szCs w:val="22"/>
                <w:highlight w:val="none"/>
                <w:lang w:val="en-US" w:eastAsia="en-US"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5</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满意度评分根据各相关镇街反馈，各相关镇街反馈由甲方发放满意度问询函，满意度问询函回复中，有一个总体不满意的扣0.5分，有一个总体非常不满意的扣1分，总分值2分，扣完为止。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甲方发放满意度问询函，甲方根据满意度问询函反馈情况填写。</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甲方发放满意度调查表。</w:t>
            </w:r>
            <w:r>
              <w:rPr>
                <w:rFonts w:ascii="宋体" w:hAnsi="宋体"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宋体" w:hAnsi="宋体" w:eastAsia="宋体" w:cs="Times New Roman"/>
                <w:color w:val="000000"/>
                <w:sz w:val="22"/>
                <w:szCs w:val="22"/>
                <w:highlight w:val="none"/>
                <w:lang w:val="en-US" w:eastAsia="en-US" w:bidi="en-US"/>
              </w:rPr>
            </w:pPr>
            <w:r>
              <w:rPr>
                <w:rFonts w:hint="eastAsia" w:ascii="宋体" w:hAnsi="宋体" w:eastAsia="宋体" w:cs="Times New Roman"/>
                <w:color w:val="000000"/>
                <w:sz w:val="22"/>
                <w:szCs w:val="22"/>
                <w:highlight w:val="none"/>
                <w:lang w:val="en-US" w:eastAsia="zh-CN" w:bidi="en-US"/>
              </w:rPr>
              <w:t xml:space="preserve">运维合同</w:t>
            </w:r>
            <w:r>
              <w:rPr>
                <w:rFonts w:ascii="宋体" w:hAnsi="宋体" w:eastAsia="宋体" w:cs="Times New Roman"/>
                <w:color w:val="000000"/>
                <w:sz w:val="22"/>
                <w:szCs w:val="22"/>
                <w:highlight w:val="none"/>
                <w:lang w:val="en-US" w:eastAsia="en-US"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en-US" w:bidi="en-US"/>
              </w:rPr>
            </w:pPr>
            <w:r>
              <w:rPr>
                <w:rFonts w:ascii="仿宋" w:hAnsi="Calibri" w:eastAsia="仿宋" w:cs="Times New Roman"/>
                <w:color w:val="000000"/>
                <w:sz w:val="22"/>
                <w:szCs w:val="22"/>
                <w:highlight w:val="none"/>
                <w:lang w:val="en-US" w:eastAsia="en-US" w:bidi="en-US"/>
              </w:rPr>
            </w:r>
            <w:r/>
          </w:p>
        </w:tc>
      </w:tr>
      <w:tr>
        <w:trPr>
          <w:trHeight w:val="312"/>
        </w:trPr>
        <w:tc>
          <w:tcPr>
            <w:tcW w:w="562" w:type="dxa"/>
            <w:vAlign w:val="center"/>
            <w:vMerge w:val="continue"/>
            <w:textDirection w:val="lrTb"/>
            <w:noWrap w:val="false"/>
          </w:tcPr>
          <w:p>
            <w:pPr>
              <w:pStyle w:val="1478"/>
              <w:jc w:val="center"/>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92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配合度</w:t>
            </w:r>
            <w:r>
              <w:rPr>
                <w:rFonts w:ascii="宋体" w:hAnsi="宋体" w:eastAsia="宋体" w:cs="Times New Roman"/>
                <w:color w:val="000000"/>
                <w:sz w:val="22"/>
                <w:szCs w:val="22"/>
                <w:highlight w:val="none"/>
                <w:lang w:val="en-US" w:eastAsia="zh-CN"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7</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851"/>
              <w:jc w:val="both"/>
              <w:spacing w:before="100" w:beforeAutospacing="1" w:after="100" w:afterAutospacing="1"/>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未按时、按质完成督查回复及甲方布置的工作任务，每出现一次扣1分，扣完为止。</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jc w:val="left"/>
              <w:rPr>
                <w:rFonts w:ascii="宋体" w:hAnsi="宋体" w:eastAsia="宋体" w:cs="Times New Roman"/>
                <w:color w:val="000000"/>
                <w:sz w:val="22"/>
                <w:szCs w:val="22"/>
                <w:highlight w:val="none"/>
                <w:lang w:val="en-US" w:eastAsia="zh-CN" w:bidi="en-US"/>
              </w:rPr>
            </w:pPr>
            <w:r>
              <w:rPr>
                <w:rFonts w:ascii="宋体" w:hAnsi="宋体" w:eastAsia="宋体" w:cs="Times New Roman"/>
                <w:color w:val="000000"/>
                <w:sz w:val="22"/>
                <w:szCs w:val="22"/>
                <w:highlight w:val="none"/>
                <w:lang w:val="en-US" w:eastAsia="zh-CN" w:bidi="en-US"/>
              </w:rPr>
              <w:t xml:space="preserve">根据甲方出具的督查通报进行打分。</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根据督查通报直接扣分</w:t>
            </w:r>
            <w:r>
              <w:rPr>
                <w:rFonts w:ascii="宋体" w:hAnsi="宋体"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宋体" w:hAnsi="宋体" w:eastAsia="宋体" w:cs="仿宋"/>
                <w:color w:val="000000"/>
                <w:sz w:val="22"/>
                <w:szCs w:val="22"/>
                <w:highlight w:val="none"/>
                <w:lang w:val="en-US" w:eastAsia="zh-CN" w:bidi="ar"/>
              </w:rPr>
            </w:pPr>
            <w:r>
              <w:rPr>
                <w:rFonts w:hint="eastAsia" w:ascii="宋体" w:hAnsi="宋体" w:eastAsia="宋体" w:cs="仿宋"/>
                <w:color w:val="000000"/>
                <w:sz w:val="22"/>
                <w:szCs w:val="22"/>
                <w:highlight w:val="none"/>
                <w:lang w:val="en-US" w:eastAsia="zh-CN" w:bidi="ar"/>
              </w:rPr>
              <w:t xml:space="preserve">督查</w:t>
            </w:r>
            <w:r>
              <w:rPr>
                <w:rFonts w:hint="eastAsia" w:ascii="宋体" w:hAnsi="宋体" w:eastAsia="宋体" w:cs="Times New Roman"/>
                <w:color w:val="000000"/>
                <w:sz w:val="22"/>
                <w:szCs w:val="22"/>
                <w:highlight w:val="none"/>
                <w:lang w:val="en-US" w:eastAsia="zh-CN" w:bidi="en-US"/>
              </w:rPr>
              <w:t xml:space="preserve">通报</w:t>
            </w:r>
            <w:r>
              <w:rPr>
                <w:rFonts w:ascii="宋体" w:hAnsi="宋体" w:eastAsia="宋体" w:cs="仿宋"/>
                <w:color w:val="000000"/>
                <w:sz w:val="22"/>
                <w:szCs w:val="22"/>
                <w:highlight w:val="none"/>
                <w:lang w:val="en-US" w:eastAsia="zh-CN" w:bidi="ar"/>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en-US" w:bidi="en-US"/>
              </w:rPr>
            </w:pPr>
            <w:r>
              <w:rPr>
                <w:rFonts w:ascii="仿宋" w:hAnsi="Calibri" w:eastAsia="仿宋" w:cs="Times New Roman"/>
                <w:color w:val="000000"/>
                <w:sz w:val="22"/>
                <w:szCs w:val="22"/>
                <w:highlight w:val="none"/>
                <w:lang w:val="en-US" w:eastAsia="en-US" w:bidi="en-US"/>
              </w:rPr>
            </w:r>
            <w:r/>
          </w:p>
        </w:tc>
      </w:tr>
      <w:tr>
        <w:trPr>
          <w:trHeight w:val="312"/>
        </w:trPr>
        <w:tc>
          <w:tcPr>
            <w:tcW w:w="562" w:type="dxa"/>
            <w:vAlign w:val="center"/>
            <w:vMerge w:val="continue"/>
            <w:textDirection w:val="lrTb"/>
            <w:noWrap w:val="false"/>
          </w:tcPr>
          <w:p>
            <w:pPr>
              <w:pStyle w:val="1478"/>
              <w:jc w:val="center"/>
              <w:rPr>
                <w:rFonts w:ascii="宋体" w:hAnsi="宋体" w:eastAsia="宋体" w:cs="Times New Roman"/>
                <w:b/>
                <w:bCs/>
                <w:color w:val="000000"/>
                <w:sz w:val="22"/>
                <w:szCs w:val="22"/>
                <w:highlight w:val="none"/>
                <w:lang w:val="en-US" w:eastAsia="zh-CN" w:bidi="en-US"/>
              </w:rPr>
            </w:pPr>
            <w:r>
              <w:rPr>
                <w:rFonts w:ascii="宋体" w:hAnsi="宋体" w:eastAsia="宋体" w:cs="Times New Roman"/>
                <w:b/>
                <w:bCs/>
                <w:color w:val="000000"/>
                <w:sz w:val="22"/>
                <w:szCs w:val="22"/>
                <w:highlight w:val="none"/>
                <w:lang w:val="en-US" w:eastAsia="zh-CN" w:bidi="en-US"/>
              </w:rPr>
            </w:r>
            <w:r/>
          </w:p>
        </w:tc>
        <w:tc>
          <w:tcPr>
            <w:tcW w:w="921" w:type="dxa"/>
            <w:vAlign w:val="center"/>
            <w:vMerge w:val="continue"/>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922" w:type="dxa"/>
            <w:vAlign w:val="center"/>
            <w:textDirection w:val="lrTb"/>
            <w:noWrap w:val="false"/>
          </w:tcPr>
          <w:p>
            <w:pPr>
              <w:pStyle w:val="1478"/>
              <w:jc w:val="center"/>
              <w:rPr>
                <w:rFonts w:ascii="宋体" w:hAnsi="宋体" w:eastAsia="宋体" w:cs="Times New Roman"/>
                <w:color w:val="000000"/>
                <w:sz w:val="22"/>
                <w:szCs w:val="22"/>
                <w:highlight w:val="none"/>
                <w:lang w:val="en-US" w:eastAsia="en-US" w:bidi="en-US"/>
              </w:rPr>
            </w:pPr>
            <w:r>
              <w:rPr>
                <w:rFonts w:hint="eastAsia" w:ascii="宋体" w:hAnsi="宋体" w:eastAsia="宋体" w:cs="Times New Roman"/>
                <w:color w:val="000000"/>
                <w:sz w:val="22"/>
                <w:szCs w:val="22"/>
                <w:highlight w:val="none"/>
                <w:lang w:val="en-US" w:eastAsia="en-US" w:bidi="en-US"/>
              </w:rPr>
              <w:t xml:space="preserve">环保</w:t>
            </w:r>
            <w:r>
              <w:rPr>
                <w:rFonts w:ascii="宋体" w:hAnsi="宋体" w:eastAsia="宋体" w:cs="Times New Roman"/>
                <w:color w:val="000000"/>
                <w:sz w:val="22"/>
                <w:szCs w:val="22"/>
                <w:highlight w:val="none"/>
                <w:lang w:val="en-US" w:eastAsia="en-US" w:bidi="en-US"/>
              </w:rPr>
            </w:r>
            <w:r/>
          </w:p>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en-US" w:bidi="en-US"/>
              </w:rPr>
              <w:t xml:space="preserve">事件</w:t>
            </w:r>
            <w:r>
              <w:rPr>
                <w:rFonts w:ascii="宋体" w:hAnsi="宋体" w:eastAsia="宋体" w:cs="Times New Roman"/>
                <w:color w:val="000000"/>
                <w:sz w:val="22"/>
                <w:szCs w:val="22"/>
                <w:highlight w:val="none"/>
                <w:lang w:val="en-US" w:eastAsia="zh-CN"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8</w:t>
            </w:r>
            <w:r>
              <w:rPr>
                <w:rFonts w:ascii="宋体" w:hAnsi="宋体" w:eastAsia="宋体" w:cs="Times New Roman"/>
                <w:color w:val="000000"/>
                <w:sz w:val="22"/>
                <w:szCs w:val="22"/>
                <w:highlight w:val="none"/>
                <w:lang w:val="en-US" w:eastAsia="zh-CN" w:bidi="en-US"/>
              </w:rPr>
            </w:r>
            <w:r/>
          </w:p>
        </w:tc>
        <w:tc>
          <w:tcPr>
            <w:tcW w:w="3925" w:type="dxa"/>
            <w:vAlign w:val="center"/>
            <w:textDirection w:val="lrTb"/>
            <w:noWrap w:val="false"/>
          </w:tcPr>
          <w:p>
            <w:pPr>
              <w:pStyle w:val="1478"/>
              <w:rPr>
                <w:rFonts w:hint="eastAsia"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发生环境污染事件、生态环境部门行政处罚或其他公共事件，造成不良影响的，区级通报每次扣2分，市级通报每次扣4分，扣完为止。</w:t>
            </w:r>
            <w:r>
              <w:rPr>
                <w:rFonts w:hint="eastAsia" w:ascii="宋体" w:hAnsi="宋体" w:eastAsia="宋体" w:cs="Times New Roman"/>
                <w:color w:val="000000"/>
                <w:sz w:val="22"/>
                <w:szCs w:val="22"/>
                <w:highlight w:val="none"/>
                <w:lang w:val="en-US" w:eastAsia="zh-CN" w:bidi="en-US"/>
              </w:rPr>
            </w:r>
            <w:r/>
          </w:p>
          <w:p>
            <w:pPr>
              <w:pStyle w:val="1478"/>
              <w:rPr>
                <w:rFonts w:ascii="宋体" w:hAnsi="宋体" w:eastAsia="宋体" w:cs="Times New Roman"/>
                <w:color w:val="000000"/>
                <w:sz w:val="22"/>
                <w:szCs w:val="22"/>
                <w:highlight w:val="none"/>
                <w:lang w:val="en-US" w:eastAsia="zh-CN" w:bidi="en-US"/>
              </w:rPr>
            </w:pPr>
            <w:r>
              <w:rPr>
                <w:rFonts w:hint="eastAsia" w:ascii="宋体" w:hAnsi="宋体" w:cs="Times New Roman"/>
                <w:color w:val="000000"/>
                <w:sz w:val="22"/>
                <w:szCs w:val="22"/>
                <w:highlight w:val="none"/>
                <w:lang w:val="en-US" w:eastAsia="zh-CN" w:bidi="en-US"/>
              </w:rPr>
              <w:t xml:space="preserve">注：发生省级及以上事件按考核办法第八条执行。</w:t>
            </w:r>
            <w:r>
              <w:rPr>
                <w:rFonts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检查各级通报或处罚等记录，按评分标准打分。</w:t>
            </w:r>
            <w:r>
              <w:rPr>
                <w:rFonts w:ascii="宋体" w:hAnsi="宋体" w:eastAsia="宋体" w:cs="Times New Roman"/>
                <w:color w:val="000000"/>
                <w:sz w:val="22"/>
                <w:szCs w:val="22"/>
                <w:highlight w:val="none"/>
                <w:lang w:val="en-US" w:eastAsia="zh-CN"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各级通报或督查结果反馈等。</w:t>
            </w:r>
            <w:r>
              <w:rPr>
                <w:rFonts w:ascii="宋体" w:hAnsi="宋体" w:eastAsia="宋体" w:cs="Times New Roman"/>
                <w:color w:val="000000"/>
                <w:sz w:val="22"/>
                <w:szCs w:val="22"/>
                <w:highlight w:val="none"/>
                <w:lang w:val="en-US" w:eastAsia="zh-CN" w:bidi="en-US"/>
              </w:rPr>
            </w:r>
            <w:r/>
          </w:p>
        </w:tc>
        <w:tc>
          <w:tcPr>
            <w:tcW w:w="1123" w:type="dxa"/>
            <w:vAlign w:val="center"/>
            <w:textDirection w:val="lrTb"/>
            <w:noWrap w:val="false"/>
          </w:tcPr>
          <w:p>
            <w:pPr>
              <w:pStyle w:val="1478"/>
              <w:rPr>
                <w:rFonts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政策、法规、行业标准或规范、合同等。</w:t>
            </w:r>
            <w:r>
              <w:rPr>
                <w:rFonts w:ascii="宋体" w:hAnsi="宋体" w:eastAsia="宋体" w:cs="Times New Roman"/>
                <w:color w:val="000000"/>
                <w:sz w:val="22"/>
                <w:szCs w:val="22"/>
                <w:highlight w:val="none"/>
                <w:lang w:val="en-US" w:eastAsia="zh-CN"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zh-CN" w:bidi="en-US"/>
              </w:rPr>
            </w:pPr>
            <w:r>
              <w:rPr>
                <w:rFonts w:ascii="仿宋" w:hAnsi="Calibri" w:eastAsia="仿宋" w:cs="Times New Roman"/>
                <w:color w:val="000000"/>
                <w:sz w:val="22"/>
                <w:szCs w:val="22"/>
                <w:highlight w:val="none"/>
                <w:lang w:val="en-US" w:eastAsia="zh-CN" w:bidi="en-US"/>
              </w:rPr>
            </w:r>
            <w:r/>
          </w:p>
        </w:tc>
      </w:tr>
      <w:tr>
        <w:trPr>
          <w:trHeight w:val="525"/>
        </w:trPr>
        <w:tc>
          <w:tcPr>
            <w:gridSpan w:val="3"/>
            <w:tcW w:w="2405" w:type="dxa"/>
            <w:vAlign w:val="center"/>
            <w:textDirection w:val="lrTb"/>
            <w:noWrap w:val="false"/>
          </w:tcPr>
          <w:p>
            <w:pPr>
              <w:pStyle w:val="1478"/>
              <w:jc w:val="center"/>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总分</w:t>
            </w:r>
            <w:r>
              <w:rPr>
                <w:rFonts w:ascii="宋体" w:hAnsi="宋体" w:eastAsia="宋体" w:cs="Times New Roman"/>
                <w:color w:val="000000"/>
                <w:sz w:val="22"/>
                <w:szCs w:val="22"/>
                <w:highlight w:val="none"/>
                <w:lang w:val="en-US" w:eastAsia="en-US" w:bidi="en-US"/>
              </w:rPr>
            </w:r>
            <w:r/>
          </w:p>
        </w:tc>
        <w:tc>
          <w:tcPr>
            <w:tcW w:w="790" w:type="dxa"/>
            <w:vAlign w:val="center"/>
            <w:textDirection w:val="lrTb"/>
            <w:noWrap w:val="false"/>
          </w:tcPr>
          <w:p>
            <w:pPr>
              <w:pStyle w:val="1478"/>
              <w:jc w:val="center"/>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t xml:space="preserve">100</w:t>
            </w:r>
            <w:r>
              <w:rPr>
                <w:rFonts w:ascii="宋体" w:hAnsi="宋体" w:eastAsia="宋体" w:cs="Times New Roman"/>
                <w:color w:val="000000"/>
                <w:sz w:val="22"/>
                <w:szCs w:val="22"/>
                <w:highlight w:val="none"/>
                <w:lang w:val="en-US" w:eastAsia="en-US" w:bidi="en-US"/>
              </w:rPr>
            </w:r>
            <w:r/>
          </w:p>
        </w:tc>
        <w:tc>
          <w:tcPr>
            <w:tcW w:w="3925" w:type="dxa"/>
            <w:vAlign w:val="center"/>
            <w:textDirection w:val="lrTb"/>
            <w:noWrap w:val="false"/>
          </w:tcPr>
          <w:p>
            <w:pPr>
              <w:pStyle w:val="1478"/>
              <w:rPr>
                <w:rFonts w:hint="eastAsia" w:ascii="宋体" w:hAnsi="宋体" w:eastAsia="宋体" w:cs="Times New Roman"/>
                <w:color w:val="000000"/>
                <w:sz w:val="22"/>
                <w:szCs w:val="22"/>
                <w:highlight w:val="none"/>
                <w:lang w:val="en-US" w:eastAsia="zh-CN" w:bidi="en-US"/>
              </w:rPr>
            </w:pPr>
            <w:r>
              <w:rPr>
                <w:rFonts w:hint="eastAsia" w:ascii="宋体" w:hAnsi="宋体" w:eastAsia="宋体" w:cs="Times New Roman"/>
                <w:color w:val="000000"/>
                <w:sz w:val="22"/>
                <w:szCs w:val="22"/>
                <w:highlight w:val="none"/>
                <w:lang w:val="en-US" w:eastAsia="zh-CN" w:bidi="en-US"/>
              </w:rPr>
              <w:t xml:space="preserve"> </w:t>
            </w:r>
            <w:r>
              <w:rPr>
                <w:rFonts w:hint="eastAsia" w:ascii="宋体" w:hAnsi="宋体" w:eastAsia="宋体" w:cs="Times New Roman"/>
                <w:color w:val="000000"/>
                <w:sz w:val="22"/>
                <w:szCs w:val="22"/>
                <w:highlight w:val="none"/>
                <w:lang w:val="en-US" w:eastAsia="zh-CN" w:bidi="en-US"/>
              </w:rPr>
            </w:r>
            <w:r/>
          </w:p>
        </w:tc>
        <w:tc>
          <w:tcPr>
            <w:tcW w:w="3737" w:type="dxa"/>
            <w:vAlign w:val="center"/>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1192" w:type="dxa"/>
            <w:vAlign w:val="center"/>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1123" w:type="dxa"/>
            <w:vAlign w:val="center"/>
            <w:textDirection w:val="lrTb"/>
            <w:noWrap w:val="false"/>
          </w:tcPr>
          <w:p>
            <w:pPr>
              <w:pStyle w:val="1478"/>
              <w:rPr>
                <w:rFonts w:ascii="宋体" w:hAnsi="宋体" w:eastAsia="宋体" w:cs="Times New Roman"/>
                <w:color w:val="000000"/>
                <w:sz w:val="22"/>
                <w:szCs w:val="22"/>
                <w:highlight w:val="none"/>
                <w:lang w:val="en-US" w:eastAsia="en-US" w:bidi="en-US"/>
              </w:rPr>
            </w:pPr>
            <w:r>
              <w:rPr>
                <w:rFonts w:ascii="宋体" w:hAnsi="宋体" w:eastAsia="宋体" w:cs="Times New Roman"/>
                <w:color w:val="000000"/>
                <w:sz w:val="22"/>
                <w:szCs w:val="22"/>
                <w:highlight w:val="none"/>
                <w:lang w:val="en-US" w:eastAsia="en-US" w:bidi="en-US"/>
              </w:rPr>
            </w:r>
            <w:r/>
          </w:p>
        </w:tc>
        <w:tc>
          <w:tcPr>
            <w:tcW w:w="772" w:type="dxa"/>
            <w:vAlign w:val="center"/>
            <w:textDirection w:val="lrTb"/>
            <w:noWrap w:val="false"/>
          </w:tcPr>
          <w:p>
            <w:pPr>
              <w:pStyle w:val="1478"/>
              <w:rPr>
                <w:rFonts w:ascii="仿宋" w:hAnsi="Calibri" w:eastAsia="仿宋" w:cs="Times New Roman"/>
                <w:color w:val="000000"/>
                <w:sz w:val="22"/>
                <w:szCs w:val="22"/>
                <w:highlight w:val="none"/>
                <w:lang w:val="en-US" w:eastAsia="en-US" w:bidi="en-US"/>
              </w:rPr>
            </w:pPr>
            <w:r>
              <w:rPr>
                <w:rFonts w:ascii="仿宋" w:hAnsi="Calibri" w:eastAsia="仿宋" w:cs="Times New Roman"/>
                <w:color w:val="000000"/>
                <w:sz w:val="22"/>
                <w:szCs w:val="22"/>
                <w:highlight w:val="none"/>
                <w:lang w:val="en-US" w:eastAsia="en-US" w:bidi="en-US"/>
              </w:rPr>
            </w:r>
            <w:r/>
          </w:p>
        </w:tc>
      </w:tr>
    </w:tbl>
    <w:p>
      <w:pPr>
        <w:pStyle w:val="851"/>
        <w:ind w:firstLine="560"/>
        <w:rPr>
          <w:rFonts w:ascii="宋体" w:hAnsi="宋体"/>
          <w:color w:val="000000"/>
          <w:sz w:val="24"/>
          <w:szCs w:val="28"/>
          <w:highlight w:val="none"/>
        </w:rPr>
        <w:sectPr>
          <w:headerReference w:type="default" r:id="rId9"/>
          <w:footerReference w:type="default" r:id="rId12"/>
          <w:footnotePr/>
          <w:endnotePr/>
          <w:type w:val="nextPage"/>
          <w:pgSz w:w="16838" w:h="11905" w:orient="landscape"/>
          <w:pgMar w:top="1689" w:right="1440" w:bottom="1689" w:left="1440" w:header="850" w:footer="992" w:gutter="0"/>
          <w:cols w:num="1" w:sep="0" w:space="1701" w:equalWidth="1"/>
          <w:docGrid w:linePitch="360"/>
        </w:sectPr>
      </w:pPr>
      <w:r>
        <w:rPr>
          <w:rFonts w:ascii="宋体" w:hAnsi="宋体"/>
          <w:color w:val="000000"/>
          <w:sz w:val="24"/>
          <w:szCs w:val="28"/>
          <w:highlight w:val="none"/>
        </w:rPr>
      </w:r>
      <w:r/>
    </w:p>
    <w:p>
      <w:pPr>
        <w:pStyle w:val="887"/>
        <w:spacing w:line="240" w:lineRule="auto"/>
        <w:tabs>
          <w:tab w:val="left" w:pos="879" w:leader="none"/>
        </w:tabs>
        <w:rPr>
          <w:color w:val="000000"/>
          <w:sz w:val="44"/>
          <w:szCs w:val="40"/>
          <w:highlight w:val="none"/>
        </w:rPr>
      </w:pPr>
      <w:r/>
      <w:bookmarkStart w:id="298" w:name="_Toc7866"/>
      <w:r>
        <w:rPr>
          <w:rFonts w:hint="eastAsia"/>
          <w:color w:val="000000"/>
          <w:sz w:val="44"/>
          <w:szCs w:val="40"/>
          <w:highlight w:val="none"/>
        </w:rPr>
        <w:t xml:space="preserve">第四章  采购需求</w:t>
      </w:r>
      <w:bookmarkEnd w:id="298"/>
      <w:r>
        <w:rPr>
          <w:color w:val="000000"/>
          <w:sz w:val="44"/>
          <w:szCs w:val="40"/>
          <w:highlight w:val="none"/>
        </w:rPr>
      </w:r>
      <w:r/>
    </w:p>
    <w:p>
      <w:pPr>
        <w:pStyle w:val="851"/>
        <w:jc w:val="left"/>
        <w:spacing w:line="400" w:lineRule="exact"/>
        <w:rPr>
          <w:rFonts w:ascii="宋体" w:hAnsi="宋体"/>
          <w:b/>
          <w:bCs/>
          <w:i/>
          <w:iCs/>
          <w:color w:val="000000"/>
          <w:sz w:val="22"/>
          <w:szCs w:val="21"/>
          <w:highlight w:val="none"/>
          <w:u w:val="single"/>
        </w:rPr>
      </w:pPr>
      <w:r/>
      <w:bookmarkStart w:id="299" w:name="_Toc26554093"/>
      <w:r/>
      <w:bookmarkEnd w:id="299"/>
      <w:r/>
      <w:bookmarkStart w:id="300" w:name="_Toc26396"/>
      <w:r/>
      <w:bookmarkStart w:id="301" w:name="_Toc14850"/>
      <w:r/>
      <w:bookmarkStart w:id="302" w:name="_Toc2968"/>
      <w:r/>
      <w:bookmarkStart w:id="303" w:name="_Toc29802"/>
      <w:r/>
      <w:bookmarkStart w:id="304" w:name="_Toc120614281"/>
      <w:r>
        <w:rPr>
          <w:rFonts w:hint="eastAsia" w:ascii="宋体" w:hAnsi="宋体"/>
          <w:b/>
          <w:bCs/>
          <w:i/>
          <w:iCs/>
          <w:color w:val="000000"/>
          <w:sz w:val="22"/>
          <w:szCs w:val="21"/>
          <w:highlight w:val="none"/>
          <w:u w:val="single"/>
        </w:rPr>
        <w:t xml:space="preserve">注：本章斜体且有下划线部分为实质性要求和条件，若有缺失或无效或负偏离，将导致该响应文件作无效响应文件评定，且不允许在投标截止时间后补正。</w:t>
      </w:r>
      <w:bookmarkEnd w:id="300"/>
      <w:r/>
      <w:bookmarkEnd w:id="301"/>
      <w:r/>
      <w:bookmarkEnd w:id="302"/>
      <w:r/>
      <w:bookmarkEnd w:id="303"/>
      <w:r>
        <w:rPr>
          <w:rFonts w:ascii="宋体" w:hAnsi="宋体"/>
          <w:b/>
          <w:bCs/>
          <w:i/>
          <w:iCs/>
          <w:color w:val="000000"/>
          <w:sz w:val="22"/>
          <w:szCs w:val="21"/>
          <w:highlight w:val="none"/>
          <w:u w:val="single"/>
        </w:rPr>
      </w:r>
      <w:r/>
    </w:p>
    <w:p>
      <w:pPr>
        <w:pStyle w:val="1319"/>
        <w:spacing w:line="440" w:lineRule="exact"/>
        <w:rPr>
          <w:b/>
          <w:color w:val="000000"/>
          <w:sz w:val="24"/>
          <w:highlight w:val="none"/>
          <w:lang w:eastAsia="zh-CN"/>
        </w:rPr>
      </w:pPr>
      <w:r/>
      <w:bookmarkStart w:id="305" w:name="_Toc177999498"/>
      <w:r/>
      <w:bookmarkStart w:id="306" w:name="_Toc22326"/>
      <w:r/>
      <w:bookmarkStart w:id="307" w:name="_Toc669"/>
      <w:r>
        <w:rPr>
          <w:rFonts w:hint="eastAsia"/>
          <w:b/>
          <w:color w:val="000000"/>
          <w:sz w:val="24"/>
          <w:highlight w:val="none"/>
          <w:lang w:eastAsia="zh-CN"/>
        </w:rPr>
        <w:t xml:space="preserve">一、采购项目的名称</w:t>
      </w:r>
      <w:r>
        <w:rPr>
          <w:b/>
          <w:color w:val="000000"/>
          <w:sz w:val="24"/>
          <w:highlight w:val="none"/>
          <w:lang w:eastAsia="zh-CN"/>
        </w:rPr>
      </w:r>
      <w:r/>
    </w:p>
    <w:p>
      <w:pPr>
        <w:pStyle w:val="1319"/>
        <w:ind w:firstLine="482"/>
        <w:spacing w:line="440" w:lineRule="exact"/>
        <w:rPr>
          <w:rFonts w:hint="eastAsia"/>
          <w:bCs/>
          <w:color w:val="000000"/>
          <w:sz w:val="24"/>
          <w:highlight w:val="none"/>
          <w:lang w:eastAsia="zh-CN"/>
        </w:rPr>
      </w:pPr>
      <w:r>
        <w:rPr>
          <w:rFonts w:hint="eastAsia"/>
          <w:bCs/>
          <w:color w:val="000000"/>
          <w:sz w:val="24"/>
          <w:highlight w:val="none"/>
          <w:lang w:eastAsia="zh-CN"/>
        </w:rPr>
        <w:t xml:space="preserve">泰州市海陵区华港镇及红旗街道村庄生活污水处理运维服务项目</w:t>
      </w:r>
      <w:r>
        <w:rPr>
          <w:rFonts w:hint="eastAsia"/>
          <w:bCs/>
          <w:color w:val="000000"/>
          <w:sz w:val="24"/>
          <w:highlight w:val="none"/>
          <w:lang w:eastAsia="zh-CN"/>
        </w:rPr>
      </w:r>
      <w:r/>
    </w:p>
    <w:p>
      <w:pPr>
        <w:pStyle w:val="958"/>
        <w:keepLines/>
        <w:keepNext/>
        <w:pageBreakBefore w:val="0"/>
        <w:spacing w:before="0" w:after="361" w:line="480" w:lineRule="exact"/>
        <w:widowControl w:val="off"/>
        <w:rPr>
          <w:color w:val="000000"/>
          <w:sz w:val="24"/>
          <w:szCs w:val="24"/>
          <w:highlight w:val="none"/>
        </w:rPr>
      </w:pPr>
      <w:r>
        <w:rPr>
          <w:rFonts w:hint="eastAsia"/>
          <w:color w:val="000000"/>
          <w:sz w:val="24"/>
          <w:highlight w:val="none"/>
        </w:rPr>
        <w:t xml:space="preserve">二、</w:t>
      </w:r>
      <w:r>
        <w:rPr>
          <w:rFonts w:hint="eastAsia"/>
          <w:color w:val="000000"/>
          <w:sz w:val="24"/>
          <w:szCs w:val="24"/>
          <w:highlight w:val="none"/>
        </w:rPr>
        <w:t xml:space="preserve">暂估工作量及最高限价</w:t>
      </w:r>
      <w:r>
        <w:rPr>
          <w:color w:val="000000"/>
          <w:sz w:val="24"/>
          <w:szCs w:val="24"/>
          <w:highlight w:val="none"/>
        </w:rPr>
      </w:r>
      <w:r/>
    </w:p>
    <w:tbl>
      <w:tblPr>
        <w:tblW w:w="8137" w:type="dxa"/>
        <w:tblInd w:w="-15" w:type="dxa"/>
        <w:tblLayout w:type="autofit"/>
        <w:tblCellMar>
          <w:left w:w="108" w:type="dxa"/>
          <w:top w:w="0" w:type="dxa"/>
          <w:right w:w="108" w:type="dxa"/>
          <w:bottom w:w="0" w:type="dxa"/>
        </w:tblCellMar>
        <w:tblLook w:val="04A0" w:firstRow="1" w:lastRow="0" w:firstColumn="1" w:lastColumn="0" w:noHBand="0" w:noVBand="1"/>
      </w:tblPr>
      <w:tblGrid>
        <w:gridCol w:w="997"/>
        <w:gridCol w:w="2202"/>
        <w:gridCol w:w="1204"/>
        <w:gridCol w:w="2032"/>
        <w:gridCol w:w="1702"/>
      </w:tblGrid>
      <w:tr>
        <w:trPr>
          <w:trHeight w:val="507"/>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851"/>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序号</w:t>
            </w: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1"/>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51"/>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单位</w:t>
            </w: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pStyle w:val="851"/>
              <w:jc w:val="center"/>
              <w:widowControl/>
              <w:rPr>
                <w:rFonts w:hint="eastAsia" w:ascii="宋体" w:hAnsi="宋体" w:cs="宋体"/>
                <w:b/>
                <w:bCs/>
                <w:color w:val="000000"/>
                <w:sz w:val="20"/>
                <w:szCs w:val="20"/>
                <w:highlight w:val="none"/>
              </w:rPr>
            </w:pPr>
            <w:r>
              <w:rPr>
                <w:rFonts w:hint="eastAsia"/>
                <w:b/>
                <w:bCs/>
                <w:color w:val="000000"/>
                <w:sz w:val="20"/>
                <w:szCs w:val="20"/>
                <w:highlight w:val="none"/>
              </w:rPr>
              <w:t xml:space="preserve">暂估工作量</w:t>
            </w:r>
            <w:r>
              <w:rPr>
                <w:rFonts w:hint="eastAsia" w:ascii="宋体" w:hAnsi="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51"/>
              <w:jc w:val="center"/>
              <w:widowControl/>
              <w:rPr>
                <w:rFonts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单价最高限价（元）</w:t>
            </w:r>
            <w:r>
              <w:rPr>
                <w:rFonts w:ascii="宋体" w:hAnsi="宋体" w:cs="宋体"/>
                <w:b/>
                <w:bCs/>
                <w:color w:val="000000"/>
                <w:sz w:val="20"/>
                <w:szCs w:val="20"/>
                <w:highlight w:val="none"/>
                <w:lang w:bidi="ar"/>
              </w:rPr>
            </w:r>
            <w:r/>
          </w:p>
        </w:tc>
      </w:tr>
      <w:tr>
        <w:trPr>
          <w:trHeight w:val="735"/>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管道QV检测</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m</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67575 </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11.2</w:t>
            </w:r>
            <w:r>
              <w:rPr>
                <w:rFonts w:ascii="宋体" w:hAnsi="宋体" w:cs="宋体"/>
                <w:color w:val="000000"/>
                <w:sz w:val="20"/>
                <w:szCs w:val="20"/>
                <w:highlight w:val="none"/>
                <w:lang w:bidi="ar"/>
              </w:rPr>
            </w:r>
            <w:r/>
          </w:p>
        </w:tc>
      </w:tr>
      <w:tr>
        <w:trPr>
          <w:trHeight w:val="779"/>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污水管网及配套设施运维</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km</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900 </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5800</w:t>
            </w:r>
            <w:r>
              <w:rPr>
                <w:rFonts w:ascii="宋体" w:hAnsi="宋体" w:cs="宋体"/>
                <w:color w:val="000000"/>
                <w:sz w:val="20"/>
                <w:szCs w:val="20"/>
                <w:highlight w:val="none"/>
                <w:lang w:bidi="ar"/>
              </w:rPr>
            </w:r>
            <w:r/>
          </w:p>
        </w:tc>
      </w:tr>
      <w:tr>
        <w:trPr>
          <w:trHeight w:val="804"/>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一体化污水处理设施运维</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t</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pStyle w:val="851"/>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1177709 </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2.25</w:t>
            </w:r>
            <w:r>
              <w:rPr>
                <w:rFonts w:ascii="宋体" w:hAnsi="宋体" w:cs="宋体"/>
                <w:color w:val="000000"/>
                <w:sz w:val="20"/>
                <w:szCs w:val="20"/>
                <w:highlight w:val="none"/>
                <w:lang w:bidi="ar"/>
              </w:rPr>
            </w:r>
            <w:r/>
          </w:p>
        </w:tc>
      </w:tr>
      <w:tr>
        <w:trPr>
          <w:trHeight w:val="694"/>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暂列金</w:t>
            </w:r>
            <w:r>
              <w:rPr>
                <w:rFonts w:ascii="宋体" w:hAnsi="宋体" w:cs="宋体"/>
                <w:color w:val="000000"/>
                <w:sz w:val="20"/>
                <w:szCs w:val="20"/>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200000</w:t>
            </w:r>
            <w:r>
              <w:rPr>
                <w:rFonts w:ascii="宋体" w:hAnsi="宋体" w:cs="宋体"/>
                <w:color w:val="000000"/>
                <w:sz w:val="20"/>
                <w:szCs w:val="20"/>
                <w:highlight w:val="none"/>
                <w:lang w:bidi="ar"/>
              </w:rPr>
            </w:r>
            <w:r/>
          </w:p>
        </w:tc>
      </w:tr>
      <w:tr>
        <w:trPr>
          <w:trHeight w:val="613"/>
        </w:trPr>
        <w:tc>
          <w:tcPr>
            <w:gridSpan w:val="4"/>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                             总价最高限价</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5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8826685.25</w:t>
            </w:r>
            <w:r>
              <w:rPr>
                <w:rFonts w:ascii="宋体" w:hAnsi="宋体" w:cs="宋体"/>
                <w:color w:val="000000"/>
                <w:sz w:val="20"/>
                <w:szCs w:val="20"/>
                <w:highlight w:val="none"/>
                <w:lang w:bidi="ar"/>
              </w:rPr>
            </w:r>
            <w:r/>
          </w:p>
        </w:tc>
      </w:tr>
    </w:tbl>
    <w:p>
      <w:pPr>
        <w:pStyle w:val="958"/>
        <w:ind w:firstLine="560"/>
        <w:spacing w:before="0" w:after="0" w:line="480" w:lineRule="exact"/>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注：暂列金投标时不允许改变，改变视为无效响应文件。</w:t>
      </w:r>
      <w:r>
        <w:rPr>
          <w:rFonts w:ascii="宋体" w:hAnsi="宋体" w:cs="宋体"/>
          <w:color w:val="000000"/>
          <w:sz w:val="20"/>
          <w:szCs w:val="20"/>
          <w:highlight w:val="none"/>
          <w:lang w:bidi="ar"/>
        </w:rPr>
      </w:r>
      <w:r/>
    </w:p>
    <w:p>
      <w:pPr>
        <w:pStyle w:val="1140"/>
        <w:ind w:firstLine="0"/>
        <w:rPr>
          <w:color w:val="000000"/>
          <w:highlight w:val="none"/>
        </w:rPr>
      </w:pPr>
      <w:r>
        <w:rPr>
          <w:color w:val="000000"/>
          <w:highlight w:val="none"/>
        </w:rPr>
      </w:r>
      <w:r/>
    </w:p>
    <w:p>
      <w:pPr>
        <w:pStyle w:val="1319"/>
        <w:keepLines w:val="0"/>
        <w:keepNext w:val="0"/>
        <w:pageBreakBefore w:val="0"/>
        <w:spacing w:after="361" w:line="440" w:lineRule="exact"/>
        <w:widowControl w:val="off"/>
        <w:rPr>
          <w:b/>
          <w:color w:val="000000"/>
          <w:sz w:val="24"/>
          <w:highlight w:val="none"/>
          <w:lang w:eastAsia="zh-CN"/>
        </w:rPr>
      </w:pPr>
      <w:r>
        <w:rPr>
          <w:rFonts w:hint="eastAsia"/>
          <w:b/>
          <w:color w:val="000000"/>
          <w:sz w:val="24"/>
          <w:highlight w:val="none"/>
          <w:lang w:eastAsia="zh-CN"/>
        </w:rPr>
        <w:t xml:space="preserve">三、采购内容</w:t>
      </w:r>
      <w:r>
        <w:rPr>
          <w:b/>
          <w:color w:val="000000"/>
          <w:sz w:val="24"/>
          <w:highlight w:val="none"/>
          <w:lang w:eastAsia="zh-CN"/>
        </w:rPr>
      </w:r>
      <w:r/>
    </w:p>
    <w:p>
      <w:pPr>
        <w:pStyle w:val="1319"/>
        <w:ind w:firstLine="482"/>
        <w:spacing w:line="360" w:lineRule="auto"/>
        <w:rPr>
          <w:b/>
          <w:color w:val="000000"/>
          <w:sz w:val="24"/>
          <w:highlight w:val="none"/>
          <w:lang w:eastAsia="zh-CN"/>
        </w:rPr>
      </w:pPr>
      <w:r>
        <w:rPr>
          <w:rFonts w:hint="eastAsia"/>
          <w:b/>
          <w:color w:val="000000"/>
          <w:sz w:val="24"/>
          <w:highlight w:val="none"/>
          <w:lang w:eastAsia="zh-CN"/>
        </w:rPr>
        <w:t xml:space="preserve">（一）服务内容</w:t>
      </w:r>
      <w:r>
        <w:rPr>
          <w:b/>
          <w:color w:val="000000"/>
          <w:sz w:val="24"/>
          <w:highlight w:val="none"/>
          <w:lang w:eastAsia="zh-CN"/>
        </w:rPr>
      </w:r>
      <w:r/>
    </w:p>
    <w:p>
      <w:pPr>
        <w:pStyle w:val="1319"/>
        <w:ind w:firstLine="482"/>
        <w:spacing w:line="360" w:lineRule="auto"/>
        <w:rPr>
          <w:rFonts w:hint="eastAsia" w:cs="仿宋_GB2312"/>
          <w:color w:val="000000"/>
          <w:sz w:val="24"/>
          <w:szCs w:val="24"/>
          <w:highlight w:val="none"/>
          <w:lang w:eastAsia="zh-CN"/>
        </w:rPr>
      </w:pPr>
      <w:r>
        <w:rPr>
          <w:rFonts w:hint="eastAsia" w:cs="仿宋_GB2312"/>
          <w:color w:val="000000"/>
          <w:sz w:val="24"/>
          <w:szCs w:val="24"/>
          <w:highlight w:val="none"/>
        </w:rPr>
        <w:t xml:space="preserve">对泰州市海陵区华港镇及红旗街道15个行政村提供生活污水处理运维服务。</w:t>
      </w:r>
      <w:r>
        <w:rPr>
          <w:rFonts w:hint="eastAsia" w:cs="仿宋_GB2312"/>
          <w:color w:val="000000"/>
          <w:sz w:val="24"/>
          <w:szCs w:val="24"/>
          <w:highlight w:val="none"/>
          <w:lang w:eastAsia="zh-CN"/>
        </w:rPr>
        <w:t xml:space="preserve">服务内容包括：</w:t>
      </w:r>
      <w:r>
        <w:rPr>
          <w:rFonts w:hint="eastAsia" w:cs="仿宋_GB2312"/>
          <w:color w:val="000000"/>
          <w:sz w:val="24"/>
          <w:szCs w:val="24"/>
          <w:highlight w:val="none"/>
          <w:lang w:eastAsia="zh-CN"/>
        </w:rPr>
      </w:r>
      <w:r/>
    </w:p>
    <w:p>
      <w:pPr>
        <w:pStyle w:val="1319"/>
        <w:ind w:firstLine="482"/>
        <w:spacing w:line="360" w:lineRule="auto"/>
        <w:rPr>
          <w:rFonts w:hint="eastAsia" w:cs="仿宋_GB2312"/>
          <w:color w:val="000000"/>
          <w:sz w:val="24"/>
          <w:szCs w:val="24"/>
          <w:highlight w:val="none"/>
          <w:lang w:eastAsia="zh-CN"/>
        </w:rPr>
      </w:pPr>
      <w:r>
        <w:rPr>
          <w:rFonts w:hint="eastAsia" w:cs="仿宋_GB2312"/>
          <w:color w:val="000000"/>
          <w:sz w:val="24"/>
          <w:szCs w:val="24"/>
          <w:highlight w:val="none"/>
          <w:lang w:eastAsia="zh-CN"/>
        </w:rPr>
        <w:t xml:space="preserve">1.管道QV检测，并出具报告。</w:t>
      </w:r>
      <w:r>
        <w:rPr>
          <w:rFonts w:hint="eastAsia" w:cs="仿宋_GB2312"/>
          <w:color w:val="000000"/>
          <w:sz w:val="24"/>
          <w:szCs w:val="24"/>
          <w:highlight w:val="none"/>
          <w:lang w:eastAsia="zh-CN"/>
        </w:rPr>
      </w:r>
      <w:r/>
    </w:p>
    <w:p>
      <w:pPr>
        <w:pStyle w:val="851"/>
        <w:ind w:firstLine="480"/>
        <w:spacing w:line="360" w:lineRule="auto"/>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2.污水管网及配套设施运维：（1）管网、检查井、排水口、提升泵站等设施的巡查等；管网、检查井、排水口、提升泵站等整体清掏、疏通、污泥运输、污泥处置等。（2）破损污水管网维修、道路维修、井盖更换等中小型维修。（3）隔油池、化粪池入户清掏，每季度清掏一次，清掏、疏通、污泥运输、污泥处置等。</w:t>
      </w:r>
      <w:r>
        <w:rPr>
          <w:rFonts w:hint="eastAsia" w:ascii="宋体" w:hAnsi="宋体" w:cs="仿宋_GB2312"/>
          <w:color w:val="000000"/>
          <w:sz w:val="24"/>
          <w:szCs w:val="24"/>
          <w:highlight w:val="none"/>
        </w:rPr>
      </w:r>
      <w:r/>
    </w:p>
    <w:p>
      <w:pPr>
        <w:pStyle w:val="851"/>
        <w:ind w:firstLine="480"/>
        <w:spacing w:line="360" w:lineRule="auto"/>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3.一体化污水处理设施运维：（1）污水处理构筑物、污水处理设备、监控设备、仪器仪表、管道及管线、污泥处置等。（2）日常维护维修、中小修等。（3）日处理能力不足二十吨的集中处理设施，出水水质的检测频次每半年不少于一次；日处理能力二十吨（含）以上的集中处理设施，出水水质的检测频次每季度全检；并出具检测报告。（4）每月覆盖巡查一次。</w:t>
      </w:r>
      <w:r>
        <w:rPr>
          <w:rFonts w:hint="eastAsia" w:ascii="宋体" w:hAnsi="宋体" w:cs="仿宋_GB2312"/>
          <w:color w:val="000000"/>
          <w:sz w:val="24"/>
          <w:szCs w:val="24"/>
          <w:highlight w:val="none"/>
        </w:rPr>
      </w:r>
      <w:r/>
    </w:p>
    <w:p>
      <w:pPr>
        <w:pStyle w:val="1319"/>
        <w:ind w:firstLine="482"/>
        <w:spacing w:line="440" w:lineRule="exact"/>
        <w:rPr>
          <w:bCs/>
          <w:color w:val="000000"/>
          <w:sz w:val="24"/>
          <w:highlight w:val="none"/>
          <w:lang w:eastAsia="zh-CN"/>
        </w:rPr>
      </w:pPr>
      <w:r>
        <w:rPr>
          <w:rFonts w:hint="eastAsia"/>
          <w:b/>
          <w:color w:val="000000"/>
          <w:sz w:val="24"/>
          <w:szCs w:val="24"/>
          <w:highlight w:val="none"/>
          <w:lang w:eastAsia="zh-CN"/>
        </w:rPr>
        <w:t xml:space="preserve">运维对象包含：</w:t>
      </w:r>
      <w:r>
        <w:rPr>
          <w:bCs/>
          <w:color w:val="000000"/>
          <w:sz w:val="24"/>
          <w:highlight w:val="none"/>
          <w:lang w:eastAsia="zh-CN"/>
        </w:rPr>
      </w:r>
      <w:r/>
    </w:p>
    <w:p>
      <w:pPr>
        <w:pStyle w:val="851"/>
        <w:ind w:firstLine="560"/>
        <w:spacing w:line="480" w:lineRule="exact"/>
        <w:rPr>
          <w:color w:val="000000"/>
          <w:sz w:val="24"/>
          <w:szCs w:val="24"/>
          <w:highlight w:val="none"/>
        </w:rPr>
      </w:pPr>
      <w:r>
        <w:rPr>
          <w:rFonts w:hint="eastAsia" w:ascii="宋体" w:hAnsi="宋体" w:cs="宋体"/>
          <w:color w:val="000000"/>
          <w:sz w:val="24"/>
          <w:szCs w:val="24"/>
          <w:highlight w:val="none"/>
        </w:rPr>
        <w:t xml:space="preserve">（1）华港镇及红旗街道村庄生活污水处理工程建设的一体化处理设施数量约161座</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rPr>
        <w:t xml:space="preserve">集中设施62座（</w:t>
      </w:r>
      <w:r>
        <w:rPr>
          <w:rFonts w:hint="eastAsia" w:ascii="宋体" w:hAnsi="宋体" w:eastAsia="宋体" w:cs="宋体"/>
          <w:color w:val="000000"/>
          <w:sz w:val="24"/>
          <w:szCs w:val="24"/>
          <w:highlight w:val="none"/>
          <w:lang w:val="en-US" w:eastAsia="zh-CN"/>
        </w:rPr>
        <w:t xml:space="preserve">5吨及以上</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，分散设施99座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5吨以下</w:t>
      </w:r>
      <w:r>
        <w:rPr>
          <w:rFonts w:hint="eastAsia" w:ascii="宋体" w:hAnsi="宋体" w:cs="宋体"/>
          <w:color w:val="000000"/>
          <w:sz w:val="24"/>
          <w:szCs w:val="24"/>
          <w:highlight w:val="none"/>
        </w:rPr>
        <w:t xml:space="preserve">）；一体化处理设施设计日处理总能力约1681m³/d。一体化泵站数量约</w:t>
      </w:r>
      <w:r>
        <w:rPr>
          <w:rFonts w:hint="eastAsia"/>
          <w:bCs/>
          <w:color w:val="000000"/>
          <w:sz w:val="24"/>
          <w:highlight w:val="none"/>
        </w:rPr>
        <w:t xml:space="preserve">263</w:t>
      </w:r>
      <w:r>
        <w:rPr>
          <w:rFonts w:hint="eastAsia" w:ascii="宋体" w:hAnsi="宋体" w:cs="宋体"/>
          <w:color w:val="000000"/>
          <w:sz w:val="24"/>
          <w:szCs w:val="24"/>
          <w:highlight w:val="none"/>
        </w:rPr>
        <w:t xml:space="preserve">座；污水管网总长约437.5km。</w:t>
      </w:r>
      <w:r>
        <w:rPr>
          <w:rFonts w:hint="eastAsia"/>
          <w:color w:val="000000"/>
          <w:sz w:val="24"/>
          <w:szCs w:val="24"/>
          <w:highlight w:val="none"/>
        </w:rPr>
        <w:t xml:space="preserve">（注：报价时按暂估的工作量进行填报，运维费最终按实结算）</w:t>
      </w:r>
      <w:r>
        <w:rPr>
          <w:color w:val="000000"/>
          <w:sz w:val="24"/>
          <w:szCs w:val="24"/>
          <w:highlight w:val="none"/>
        </w:rPr>
      </w:r>
      <w:r/>
    </w:p>
    <w:p>
      <w:pPr>
        <w:pStyle w:val="851"/>
        <w:ind w:firstLine="561"/>
        <w:keepLines w:val="0"/>
        <w:keepNext w:val="0"/>
        <w:pageBreakBefore w:val="0"/>
        <w:spacing w:after="181" w:line="480" w:lineRule="exact"/>
        <w:widowControl w:val="off"/>
        <w:rPr>
          <w:color w:val="000000"/>
          <w:sz w:val="24"/>
          <w:szCs w:val="24"/>
          <w:highlight w:val="none"/>
        </w:rPr>
      </w:pPr>
      <w:r>
        <w:rPr>
          <w:rFonts w:hint="eastAsia" w:ascii="宋体" w:hAnsi="宋体" w:cs="宋体"/>
          <w:color w:val="000000"/>
          <w:sz w:val="24"/>
          <w:szCs w:val="24"/>
          <w:highlight w:val="none"/>
        </w:rPr>
        <w:t xml:space="preserve">（2）李家庄村、港口村等12个存量设施及配套管网，根据现场维</w:t>
      </w:r>
      <w:r>
        <w:rPr>
          <w:rFonts w:hint="eastAsia"/>
          <w:color w:val="000000"/>
          <w:sz w:val="24"/>
          <w:szCs w:val="24"/>
          <w:highlight w:val="none"/>
        </w:rPr>
        <w:t xml:space="preserve">修进度，在完成维修具备运维条件后，纳入本次运维范围，各设施基本情况如下，配套管网预估12.5km。（部分设施及配套管网需待维修后开始运行，报价时按暂估的工作量进行填报，管网量低于12.5km，运维费最终按实结算，若高于12.5km则按12.5km结算。）</w:t>
      </w:r>
      <w:r>
        <w:rPr>
          <w:color w:val="000000"/>
          <w:sz w:val="24"/>
          <w:szCs w:val="24"/>
          <w:highlight w:val="none"/>
        </w:rPr>
      </w:r>
      <w:r/>
    </w:p>
    <w:tbl>
      <w:tblPr>
        <w:tblW w:w="34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2313"/>
        <w:gridCol w:w="2418"/>
      </w:tblGrid>
      <w:tr>
        <w:trPr>
          <w:trHeight w:val="674"/>
        </w:trPr>
        <w:tc>
          <w:tcPr>
            <w:tcW w:w="1108" w:type="dxa"/>
            <w:vAlign w:val="center"/>
            <w:textDirection w:val="lrTb"/>
            <w:noWrap w:val="false"/>
          </w:tcPr>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序号</w:t>
            </w:r>
            <w:r>
              <w:rPr>
                <w:rFonts w:ascii="方正黑体_GBK" w:hAnsi="方正黑体_GBK" w:eastAsia="方正黑体_GBK" w:cs="方正黑体_GBK"/>
                <w:color w:val="000000"/>
                <w:szCs w:val="21"/>
                <w:highlight w:val="none"/>
              </w:rPr>
            </w:r>
            <w:r/>
          </w:p>
        </w:tc>
        <w:tc>
          <w:tcPr>
            <w:tcW w:w="1902" w:type="dxa"/>
            <w:vAlign w:val="center"/>
            <w:textDirection w:val="lrTb"/>
            <w:noWrap w:val="false"/>
          </w:tcPr>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建设位置（村）</w:t>
            </w:r>
            <w:r>
              <w:rPr>
                <w:rFonts w:ascii="方正黑体_GBK" w:hAnsi="方正黑体_GBK" w:eastAsia="方正黑体_GBK" w:cs="方正黑体_GBK"/>
                <w:color w:val="000000"/>
                <w:szCs w:val="21"/>
                <w:highlight w:val="none"/>
              </w:rPr>
            </w:r>
            <w:r/>
          </w:p>
        </w:tc>
        <w:tc>
          <w:tcPr>
            <w:tcW w:w="1988" w:type="dxa"/>
            <w:vAlign w:val="center"/>
            <w:textDirection w:val="lrTb"/>
            <w:noWrap w:val="false"/>
          </w:tcPr>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规模</w:t>
            </w:r>
            <w:r>
              <w:rPr>
                <w:rFonts w:ascii="方正黑体_GBK" w:hAnsi="方正黑体_GBK" w:eastAsia="方正黑体_GBK" w:cs="方正黑体_GBK"/>
                <w:color w:val="000000"/>
                <w:szCs w:val="21"/>
                <w:highlight w:val="none"/>
              </w:rPr>
            </w:r>
            <w:r/>
          </w:p>
          <w:p>
            <w:pPr>
              <w:pStyle w:val="851"/>
              <w:jc w:val="center"/>
              <w:spacing w:line="240" w:lineRule="exact"/>
              <w:rPr>
                <w:rFonts w:ascii="方正黑体_GBK" w:hAnsi="方正黑体_GBK" w:eastAsia="方正黑体_GBK" w:cs="方正黑体_GBK"/>
                <w:color w:val="000000"/>
                <w:szCs w:val="21"/>
                <w:highlight w:val="none"/>
              </w:rPr>
            </w:pPr>
            <w:r>
              <w:rPr>
                <w:rFonts w:hint="eastAsia" w:ascii="方正黑体_GBK" w:hAnsi="方正黑体_GBK" w:eastAsia="方正黑体_GBK" w:cs="方正黑体_GBK"/>
                <w:color w:val="000000"/>
                <w:szCs w:val="21"/>
                <w:highlight w:val="none"/>
              </w:rPr>
              <w:t xml:space="preserve">（吨/天）</w:t>
            </w:r>
            <w:r>
              <w:rPr>
                <w:rFonts w:ascii="方正黑体_GBK" w:hAnsi="方正黑体_GBK" w:eastAsia="方正黑体_GBK" w:cs="方正黑体_GBK"/>
                <w:color w:val="000000"/>
                <w:szCs w:val="21"/>
                <w:highlight w:val="none"/>
              </w:rPr>
            </w:r>
            <w:r/>
          </w:p>
        </w:tc>
      </w:tr>
      <w:tr>
        <w:trPr>
          <w:trHeight w:val="481"/>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李家庄1#</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460"/>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李家庄2#</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428"/>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许家庄村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rPr>
                <w:rFonts w:hint="eastAsia" w:ascii="宋体" w:hAnsi="宋体" w:cs="宋体"/>
                <w:color w:val="000000"/>
                <w:sz w:val="21"/>
                <w:szCs w:val="21"/>
                <w:highlight w:val="none"/>
              </w:rPr>
            </w:r>
            <w:r/>
          </w:p>
        </w:tc>
      </w:tr>
      <w:tr>
        <w:trPr>
          <w:trHeight w:val="449"/>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里华村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487"/>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野马村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487"/>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野营村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487"/>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刘庄村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487"/>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桑湾村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438"/>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港口村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502"/>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溪东村</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502"/>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highlight w:val="none"/>
              </w:rPr>
            </w:pPr>
            <w:r>
              <w:rPr>
                <w:rFonts w:hint="eastAsia" w:ascii="宋体" w:hAnsi="宋体" w:cs="宋体"/>
                <w:color w:val="000000"/>
                <w:sz w:val="20"/>
                <w:szCs w:val="20"/>
                <w:highlight w:val="none"/>
                <w:lang w:bidi="ar"/>
              </w:rPr>
              <w:t xml:space="preserve">下</w:t>
            </w:r>
            <w:r>
              <w:rPr>
                <w:rFonts w:hint="eastAsia" w:ascii="宋体" w:hAnsi="宋体" w:cs="宋体"/>
                <w:color w:val="000000"/>
                <w:sz w:val="20"/>
                <w:szCs w:val="20"/>
                <w:highlight w:val="none"/>
                <w:lang w:bidi="ar"/>
              </w:rPr>
              <w:t xml:space="preserve">溪</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highlight w:val="none"/>
              </w:rPr>
            </w:pPr>
            <w:r>
              <w:rPr>
                <w:rFonts w:hint="eastAsia" w:ascii="宋体" w:hAnsi="宋体" w:cs="宋体"/>
                <w:color w:val="000000"/>
                <w:sz w:val="20"/>
                <w:szCs w:val="20"/>
                <w:highlight w:val="none"/>
                <w:lang w:bidi="ar"/>
              </w:rPr>
              <w:t xml:space="preserve">80</w:t>
            </w:r>
            <w:r>
              <w:rPr>
                <w:rFonts w:hint="eastAsia" w:ascii="宋体" w:hAnsi="宋体" w:cs="宋体"/>
                <w:color w:val="000000"/>
                <w:szCs w:val="21"/>
                <w:highlight w:val="none"/>
              </w:rPr>
            </w:r>
            <w:r/>
          </w:p>
        </w:tc>
      </w:tr>
      <w:tr>
        <w:trPr>
          <w:trHeight w:val="541"/>
        </w:trPr>
        <w:tc>
          <w:tcPr>
            <w:tcW w:w="1108" w:type="dxa"/>
            <w:vAlign w:val="center"/>
            <w:textDirection w:val="lrTb"/>
            <w:noWrap w:val="false"/>
          </w:tcPr>
          <w:p>
            <w:pPr>
              <w:pStyle w:val="851"/>
              <w:jc w:val="center"/>
              <w:spacing w:line="2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902" w:type="dxa"/>
            <w:vAlign w:val="center"/>
            <w:textDirection w:val="lrTb"/>
            <w:noWrap w:val="false"/>
          </w:tcPr>
          <w:p>
            <w:pPr>
              <w:pStyle w:val="851"/>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董谭2#集中</w:t>
            </w:r>
            <w:r>
              <w:rPr>
                <w:rFonts w:hint="eastAsia" w:ascii="宋体" w:hAnsi="宋体" w:cs="宋体"/>
                <w:color w:val="000000"/>
                <w:szCs w:val="21"/>
                <w:highlight w:val="none"/>
              </w:rPr>
            </w:r>
            <w:r/>
          </w:p>
        </w:tc>
        <w:tc>
          <w:tcPr>
            <w:tcW w:w="1988" w:type="dxa"/>
            <w:vAlign w:val="center"/>
            <w:textDirection w:val="lrTb"/>
            <w:noWrap w:val="false"/>
          </w:tcPr>
          <w:p>
            <w:pPr>
              <w:pStyle w:val="851"/>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bl>
    <w:p>
      <w:pPr>
        <w:pStyle w:val="958"/>
        <w:ind w:firstLine="560"/>
        <w:spacing w:before="0" w:after="0" w:line="480" w:lineRule="exact"/>
        <w:rPr>
          <w:color w:val="000000"/>
          <w:sz w:val="24"/>
          <w:szCs w:val="24"/>
          <w:highlight w:val="none"/>
        </w:rPr>
      </w:pPr>
      <w:r>
        <w:rPr>
          <w:rFonts w:hint="eastAsia"/>
          <w:color w:val="000000"/>
          <w:sz w:val="24"/>
          <w:szCs w:val="24"/>
          <w:highlight w:val="none"/>
        </w:rPr>
        <w:t xml:space="preserve">（二）运维要求</w:t>
      </w:r>
      <w:r>
        <w:rPr>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1.本次村庄生活污水处理设施出水水质执行标准如下：</w:t>
      </w:r>
      <w:r>
        <w:rPr>
          <w:rFonts w:ascii="宋体" w:hAnsi="宋体" w:cs="宋体"/>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（1）环境特殊敏感区域（清水通道维护区一级保护区内），农村生活污水处理设施设计日处理能力≥50m³，应执行一级标准 A 标准；设计日处理能力＜50m³，应执行一级标准 B 标准。并重点考核 CODcr、NH3-N、TP 等指标。</w:t>
      </w:r>
      <w:r>
        <w:rPr>
          <w:rFonts w:ascii="宋体" w:hAnsi="宋体" w:cs="宋体"/>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（2）环境一般敏感区域（清水通道维护区一级保护区外）：</w:t>
      </w:r>
      <w:r>
        <w:rPr>
          <w:rFonts w:ascii="宋体" w:hAnsi="宋体" w:cs="宋体"/>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1）出水排入GB3838地表水IV、V类功能水域或 GB3097 海水三、四类功能水域，应执行二级标准。</w:t>
      </w:r>
      <w:r>
        <w:rPr>
          <w:rFonts w:ascii="宋体" w:hAnsi="宋体" w:cs="宋体"/>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2）出水排入其他水环境功能未明确水域，当处理设施设计日处理能力≥50m³，应执行二级标准；当处理设施设计日处理能力＜50m³，应执行三级标准。</w:t>
      </w:r>
      <w:r>
        <w:rPr>
          <w:rFonts w:ascii="宋体" w:hAnsi="宋体" w:cs="宋体"/>
          <w:color w:val="000000"/>
          <w:sz w:val="24"/>
          <w:szCs w:val="24"/>
          <w:highlight w:val="none"/>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（3）如（1）与（2）环境敏感区域有所重合，按高标准执行。</w:t>
      </w:r>
      <w:r>
        <w:rPr>
          <w:rFonts w:ascii="宋体" w:hAnsi="宋体" w:cs="宋体"/>
          <w:color w:val="000000"/>
          <w:sz w:val="24"/>
          <w:szCs w:val="24"/>
          <w:highlight w:val="none"/>
        </w:rPr>
      </w:r>
      <w:r/>
    </w:p>
    <w:p>
      <w:pPr>
        <w:pStyle w:val="851"/>
        <w:ind w:firstLine="560"/>
        <w:spacing w:line="480" w:lineRule="exact"/>
        <w:rPr>
          <w:color w:val="000000"/>
          <w:sz w:val="24"/>
          <w:szCs w:val="24"/>
          <w:highlight w:val="none"/>
        </w:rPr>
      </w:pPr>
      <w:r>
        <w:rPr>
          <w:rFonts w:hint="eastAsia" w:ascii="宋体" w:hAnsi="宋体" w:cs="宋体"/>
          <w:color w:val="000000"/>
          <w:sz w:val="24"/>
          <w:szCs w:val="24"/>
          <w:highlight w:val="none"/>
        </w:rPr>
        <w:t xml:space="preserve">（4）有新地方排放标准出台的，执行最新标准要求。</w:t>
      </w:r>
      <w:r>
        <w:rPr>
          <w:color w:val="000000"/>
          <w:sz w:val="24"/>
          <w:szCs w:val="24"/>
          <w:highlight w:val="none"/>
        </w:rPr>
      </w:r>
      <w:r/>
    </w:p>
    <w:p>
      <w:pPr>
        <w:pStyle w:val="851"/>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5050765" cy="377587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050765" cy="377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7.7pt;height:297.3pt;mso-wrap-distance-left:0.0pt;mso-wrap-distance-top:0.0pt;mso-wrap-distance-right:0.0pt;mso-wrap-distance-bottom:0.0pt;" stroked="f">
                <v:path textboxrect="0,0,0,0"/>
                <v:imagedata r:id="rId15" o:title=""/>
              </v:shape>
            </w:pict>
          </mc:Fallback>
        </mc:AlternateContent>
      </w:r>
      <w:r>
        <w:rPr>
          <w:color w:val="000000"/>
          <w:highlight w:val="none"/>
        </w:rPr>
      </w:r>
      <w:r/>
    </w:p>
    <w:tbl>
      <w:tblPr>
        <w:tblW w:w="810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1"/>
        <w:gridCol w:w="1912"/>
        <w:gridCol w:w="763"/>
        <w:gridCol w:w="1360"/>
        <w:gridCol w:w="3444"/>
      </w:tblGrid>
      <w:tr>
        <w:trPr>
          <w:trHeight w:val="662"/>
        </w:trPr>
        <w:tc>
          <w:tcPr>
            <w:gridSpan w:val="5"/>
            <w:tcW w:w="8100"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一体化污水处理设施汇总表</w:t>
            </w:r>
            <w:r>
              <w:rPr>
                <w:rFonts w:hint="eastAsia" w:ascii="宋体" w:hAnsi="宋体" w:eastAsia="宋体" w:cs="宋体"/>
                <w:b/>
                <w:bCs/>
                <w:i w:val="0"/>
                <w:iCs w:val="0"/>
                <w:color w:val="000000"/>
                <w:sz w:val="18"/>
                <w:szCs w:val="18"/>
                <w:highlight w:val="none"/>
                <w:u w:val="none"/>
              </w:rPr>
            </w:r>
            <w:r/>
          </w:p>
        </w:tc>
      </w:tr>
      <w:tr>
        <w:trPr>
          <w:trHeight w:val="673"/>
        </w:trPr>
        <w:tc>
          <w:tcPr>
            <w:tcW w:w="621"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           号</w:t>
            </w:r>
            <w:r>
              <w:rPr>
                <w:rFonts w:hint="eastAsia" w:ascii="宋体" w:hAnsi="宋体" w:eastAsia="宋体" w:cs="宋体"/>
                <w:b/>
                <w:bCs/>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rPr>
                <w:rFonts w:hint="eastAsia" w:ascii="宋体" w:hAnsi="宋体" w:eastAsia="宋体" w:cs="宋体"/>
                <w:b/>
                <w:bCs/>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规模      t/d</w:t>
            </w:r>
            <w:r>
              <w:rPr>
                <w:rFonts w:hint="eastAsia" w:ascii="宋体" w:hAnsi="宋体" w:eastAsia="宋体" w:cs="宋体"/>
                <w:b/>
                <w:bCs/>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3444" w:type="dxa"/>
            <w:vAlign w:val="center"/>
            <w:textDirection w:val="lrTb"/>
            <w:noWrap w:val="false"/>
          </w:tcPr>
          <w:p>
            <w:pPr>
              <w:pStyle w:val="851"/>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设计出水标准</w:t>
            </w:r>
            <w:r>
              <w:rPr>
                <w:rFonts w:hint="eastAsia" w:ascii="宋体" w:hAnsi="宋体" w:eastAsia="宋体" w:cs="宋体"/>
                <w:b/>
                <w:bCs/>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分散处理设施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二级标准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分散处理设施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二级标准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一级B标准</w:t>
            </w:r>
            <w:r>
              <w:rPr>
                <w:rFonts w:hint="eastAsia" w:ascii="宋体" w:hAnsi="宋体" w:eastAsia="宋体" w:cs="宋体"/>
                <w:i w:val="0"/>
                <w:iCs w:val="0"/>
                <w:color w:val="000000"/>
                <w:sz w:val="18"/>
                <w:szCs w:val="18"/>
                <w:highlight w:val="none"/>
                <w:u w:val="none"/>
              </w:rPr>
            </w:r>
            <w:r/>
          </w:p>
        </w:tc>
      </w:tr>
      <w:tr>
        <w:trPr>
          <w:trHeight w:val="452"/>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一级A标准</w:t>
            </w:r>
            <w:r>
              <w:rPr>
                <w:rFonts w:hint="eastAsia" w:ascii="宋体" w:hAnsi="宋体" w:eastAsia="宋体" w:cs="宋体"/>
                <w:i w:val="0"/>
                <w:iCs w:val="0"/>
                <w:color w:val="000000"/>
                <w:sz w:val="18"/>
                <w:szCs w:val="18"/>
                <w:highlight w:val="none"/>
                <w:u w:val="none"/>
              </w:rPr>
            </w:r>
            <w:r/>
          </w:p>
        </w:tc>
      </w:tr>
      <w:tr>
        <w:trPr>
          <w:trHeight w:val="463"/>
        </w:trPr>
        <w:tc>
          <w:tcPr>
            <w:tcW w:w="621"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912"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集中处理设施</w:t>
            </w:r>
            <w:r>
              <w:rPr>
                <w:rFonts w:hint="eastAsia" w:ascii="宋体" w:hAnsi="宋体" w:eastAsia="宋体" w:cs="宋体"/>
                <w:i w:val="0"/>
                <w:iCs w:val="0"/>
                <w:color w:val="000000"/>
                <w:sz w:val="18"/>
                <w:szCs w:val="18"/>
                <w:highlight w:val="none"/>
                <w:u w:val="none"/>
              </w:rPr>
            </w:r>
            <w:r/>
          </w:p>
        </w:tc>
        <w:tc>
          <w:tcPr>
            <w:tcW w:w="763"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360" w:type="dxa"/>
            <w:vAlign w:val="center"/>
            <w:textDirection w:val="lrTb"/>
            <w:noWrap w:val="false"/>
          </w:tcPr>
          <w:p>
            <w:pPr>
              <w:pStyle w:val="85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3444" w:type="dxa"/>
            <w:vAlign w:val="center"/>
            <w:textDirection w:val="lrTb"/>
            <w:noWrap w:val="false"/>
          </w:tcPr>
          <w:p>
            <w:pPr>
              <w:pStyle w:val="851"/>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DB32/3462-2020  一级A标准</w:t>
            </w:r>
            <w:r>
              <w:rPr>
                <w:rFonts w:hint="eastAsia" w:ascii="宋体" w:hAnsi="宋体" w:eastAsia="宋体" w:cs="宋体"/>
                <w:i w:val="0"/>
                <w:iCs w:val="0"/>
                <w:color w:val="000000"/>
                <w:sz w:val="18"/>
                <w:szCs w:val="18"/>
                <w:highlight w:val="none"/>
                <w:u w:val="none"/>
              </w:rPr>
            </w:r>
            <w:r/>
          </w:p>
        </w:tc>
      </w:tr>
    </w:tbl>
    <w:p>
      <w:pPr>
        <w:pStyle w:val="851"/>
        <w:spacing w:line="48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rPr>
        <w:t xml:space="preserve">李家庄村、港口村等12个存量设施</w:t>
      </w:r>
      <w:r>
        <w:rPr>
          <w:rFonts w:hint="eastAsia" w:ascii="宋体" w:hAnsi="宋体" w:cs="宋体"/>
          <w:color w:val="000000"/>
          <w:sz w:val="24"/>
          <w:szCs w:val="24"/>
          <w:highlight w:val="none"/>
          <w:lang w:val="en-US" w:eastAsia="zh-CN"/>
        </w:rPr>
        <w:t xml:space="preserve">出水标准按上述同规模设施出水标准执行。</w:t>
      </w:r>
      <w:r>
        <w:rPr>
          <w:rFonts w:ascii="宋体" w:hAnsi="宋体" w:eastAsia="宋体" w:cs="宋体"/>
          <w:color w:val="000000"/>
          <w:sz w:val="24"/>
          <w:szCs w:val="24"/>
          <w:highlight w:val="none"/>
          <w:lang w:val="en-US" w:eastAsia="zh-CN"/>
        </w:rPr>
      </w:r>
      <w:r/>
    </w:p>
    <w:p>
      <w:pPr>
        <w:pStyle w:val="851"/>
        <w:jc w:val="both"/>
        <w:rPr>
          <w:color w:val="000000"/>
          <w:highlight w:val="none"/>
        </w:rPr>
      </w:pPr>
      <w:r>
        <w:rPr>
          <w:color w:val="000000"/>
          <w:highlight w:val="none"/>
        </w:rPr>
      </w:r>
      <w:r/>
    </w:p>
    <w:p>
      <w:pPr>
        <w:pStyle w:val="851"/>
        <w:ind w:firstLine="560"/>
        <w:jc w:val="left"/>
        <w:spacing w:line="480" w:lineRule="exact"/>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2.管道QV检测</w:t>
      </w:r>
      <w:r>
        <w:rPr>
          <w:rFonts w:hint="eastAsia" w:ascii="宋体" w:hAnsi="宋体" w:cs="宋体"/>
          <w:color w:val="000000"/>
          <w:sz w:val="24"/>
          <w:szCs w:val="24"/>
          <w:highlight w:val="none"/>
        </w:rPr>
      </w:r>
      <w:r/>
    </w:p>
    <w:p>
      <w:pPr>
        <w:pStyle w:val="851"/>
        <w:ind w:firstLine="560"/>
        <w:jc w:val="left"/>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人随机抽取总管网工程量15%由中标人进行QV检测，并提供报告。如检测出现不合格项，中标人需对管道进行疏通，疏通完成后由招标人随机抽取管网由中标人进行检测，再次检测出现不合格项，扣除合同中的QV检测费，由中标人对所有管网进行全部疏通，招标人重新委托检测机构进行检测，检测费用由中标人支付。</w:t>
      </w:r>
      <w:r>
        <w:rPr>
          <w:rFonts w:hint="eastAsia" w:ascii="宋体" w:hAnsi="宋体" w:cs="宋体"/>
          <w:color w:val="000000"/>
          <w:sz w:val="24"/>
          <w:szCs w:val="24"/>
          <w:highlight w:val="none"/>
        </w:rPr>
      </w:r>
      <w:r/>
    </w:p>
    <w:p>
      <w:pPr>
        <w:pStyle w:val="851"/>
        <w:ind w:firstLine="560"/>
        <w:jc w:val="left"/>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3.污水管网方面</w:t>
      </w:r>
      <w:r>
        <w:rPr>
          <w:rFonts w:hint="eastAsia" w:ascii="宋体" w:hAnsi="宋体" w:cs="宋体"/>
          <w:color w:val="000000"/>
          <w:sz w:val="24"/>
          <w:szCs w:val="24"/>
          <w:highlight w:val="none"/>
        </w:rPr>
      </w:r>
      <w:r/>
    </w:p>
    <w:p>
      <w:pPr>
        <w:pStyle w:val="851"/>
        <w:ind w:firstLine="56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对污水管网及配套设施的维护管养内容包括但不限于：对已建农村污水管道及附属设施（包括主管、支管、隔油池、化粪池、检查井、格栅井、一体化泵站等）的巡查、维护及日常处置工作及破损管网维修，做好相关台账资料；保证污水管道通畅、杜绝污水外溢、检查井无淤积物，各种井盖无缺失、无破损、无轧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为保证污水管网高效运行，运维单位安排的现场</w:t>
      </w:r>
      <w:r>
        <w:rPr>
          <w:rFonts w:hint="eastAsia" w:ascii="宋体" w:hAnsi="宋体" w:cs="宋体"/>
          <w:color w:val="000000"/>
          <w:sz w:val="24"/>
          <w:szCs w:val="24"/>
          <w:highlight w:val="none"/>
        </w:rPr>
        <w:t xml:space="preserve">清掏人员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非运维项目组人员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w:t>
      </w:r>
      <w:r>
        <w:rPr>
          <w:rFonts w:hint="eastAsia" w:ascii="宋体" w:hAnsi="宋体" w:cs="宋体"/>
          <w:color w:val="000000"/>
          <w:sz w:val="24"/>
          <w:szCs w:val="24"/>
          <w:highlight w:val="none"/>
          <w:lang w:val="en-US" w:eastAsia="zh-CN"/>
        </w:rPr>
        <w:t xml:space="preserve">得</w:t>
      </w:r>
      <w:r>
        <w:rPr>
          <w:rFonts w:hint="eastAsia" w:ascii="宋体" w:hAnsi="宋体" w:cs="宋体"/>
          <w:color w:val="000000"/>
          <w:sz w:val="24"/>
          <w:szCs w:val="24"/>
          <w:highlight w:val="none"/>
        </w:rPr>
        <w:t xml:space="preserve">少于10人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51"/>
        <w:ind w:firstLine="56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建立相应的巡检和抢修队伍，所有岗位人员持证上岗，管养维护人员资质应报考核机构登记备案。运维单位应根据服务内容配备必要的专业维护、检测装备。配置运维必须的劳保用品。</w:t>
      </w:r>
      <w:r>
        <w:rPr>
          <w:rFonts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管养单位必须落实维护各个环节，做好管道的维护、保养和运行管理工作，保证各管道性能良好、运行正常、稳定，技术资料、原始记录齐全。具体维护工作要求如下：</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（1）管养单位应对该区域内管线全覆盖巡视，巡视对象应包括管道、检查井、及接户设施。</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管道巡视应包括下列内容：检查内容包括管道是否塌陷；是否存在占压；是否存在违章排放；是否存在私接管道；检查井盖是否缺失。</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检查井外部巡视应包括下列内容：污水是否冒溢；井框盖是否变形、破损或被埋；井盖和井框之间高差和间隙是否超限；井盖和并框之间是否突出、凹陷、跳动或有声响；井盖标识是否错误；井盖周边道路是否有施工。</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检查井内部检查并应包括下列内容:井盖链条和锁具是否缺损；爬梯是否松动、锈蚀或缺损；井壁是否存在泥垢、裂缝、渗漏或抹面脱落等；管口和流槽是否破损；井底是否存在积泥；防坠设施是否缺失、破损，是否存有垃圾、杂物；井内水位和流向是否正常，是否存在违章排放、私自接管等。</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（2）管养单位在日常巡视养护过程中发现的缺陷情况及时上报考核机构、招标人，经同意后实施维修。</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网养护工作以污水收集处理提质增效为目标，实现“管网保畅通，污水不入河，外水不进管”，逐步提升污水收集浓度。通过管网巡检、养护，对管网受损、缺陷、混接及农户接户信息变化等异常情况，应及时发现并汇报。</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管网过水不畅和井室内水位较高等情况，管网养护单位应配合招标人开展管网排查及检测等工作。</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（3）污水管道的巡查要求：管养单位在巡查过程中应及时维修已损坏的管道。</w:t>
      </w:r>
      <w:r>
        <w:rPr>
          <w:rFonts w:hint="eastAsia" w:ascii="宋体" w:hAnsi="宋体" w:cs="宋体"/>
          <w:color w:val="000000"/>
          <w:sz w:val="24"/>
          <w:szCs w:val="24"/>
          <w:highlight w:val="none"/>
        </w:rPr>
      </w:r>
      <w:r/>
    </w:p>
    <w:p>
      <w:pPr>
        <w:pStyle w:val="851"/>
        <w:numPr>
          <w:ilvl w:val="0"/>
          <w:numId w:val="20"/>
        </w:numPr>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污水管道应定期巡视，巡视内容应包括管网、检查井、提升泵站等设施（外部巡视每两周不应少于一次；提升泵站内部巡查每月不应少于一次；检查井内部巡查每年不应少于两次；排水和淤积情况检查每年不应少于一次）。</w:t>
      </w:r>
      <w:r>
        <w:rPr>
          <w:rFonts w:hint="eastAsia" w:ascii="宋体" w:hAnsi="宋体" w:cs="宋体"/>
          <w:color w:val="000000"/>
          <w:sz w:val="24"/>
          <w:szCs w:val="24"/>
          <w:highlight w:val="none"/>
        </w:rPr>
      </w:r>
      <w:r/>
    </w:p>
    <w:p>
      <w:pPr>
        <w:pStyle w:val="851"/>
        <w:numPr>
          <w:ilvl w:val="0"/>
          <w:numId w:val="20"/>
        </w:numPr>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破损污水管网维修、道路维修、井盖更换等中小型维修（当巡视人员在巡视中发现井盖缺失或损坏后，应立即设置警示标志，并在6h内修补恢复;当相关排水管理单位接报井盖缺失或损坏信息后，必须在2h内安放护栏和警示标志，并应在6h内修补恢复）。</w:t>
      </w:r>
      <w:r>
        <w:rPr>
          <w:rFonts w:hint="eastAsia" w:ascii="宋体" w:hAnsi="宋体" w:cs="宋体"/>
          <w:color w:val="000000"/>
          <w:sz w:val="24"/>
          <w:szCs w:val="24"/>
          <w:highlight w:val="none"/>
        </w:rPr>
      </w:r>
      <w:r/>
    </w:p>
    <w:p>
      <w:pPr>
        <w:pStyle w:val="851"/>
        <w:numPr>
          <w:ilvl w:val="0"/>
          <w:numId w:val="20"/>
        </w:numPr>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隔油池、化粪池入户清掏，每季度清掏一次，清掏、疏通、污泥运输、污泥处置等。</w:t>
      </w:r>
      <w:r>
        <w:rPr>
          <w:rFonts w:hint="eastAsia" w:ascii="宋体" w:hAnsi="宋体" w:cs="宋体"/>
          <w:color w:val="000000"/>
          <w:sz w:val="24"/>
          <w:szCs w:val="24"/>
          <w:highlight w:val="none"/>
        </w:rPr>
      </w:r>
      <w:r/>
    </w:p>
    <w:p>
      <w:pPr>
        <w:pStyle w:val="851"/>
        <w:numPr>
          <w:ilvl w:val="0"/>
          <w:numId w:val="20"/>
        </w:numPr>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管网巡查的同时统计接户情况，包括每个自然村的实际户数和已接户数及翻建情况，每月台账中需明确。</w:t>
      </w:r>
      <w:r>
        <w:rPr>
          <w:rFonts w:hint="eastAsia" w:ascii="宋体" w:hAnsi="宋体" w:cs="宋体"/>
          <w:color w:val="000000"/>
          <w:sz w:val="24"/>
          <w:szCs w:val="24"/>
          <w:highlight w:val="none"/>
        </w:rPr>
      </w:r>
      <w:r/>
    </w:p>
    <w:p>
      <w:pPr>
        <w:pStyle w:val="851"/>
        <w:numPr>
          <w:ilvl w:val="0"/>
          <w:numId w:val="20"/>
        </w:numPr>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养单位应加强服务区域范围内管网的巡查，坚持“固定”原则，固定车辆、固定人员（含装备）、固定时间、固定路线，并详细地填写巡检记录单；恶劣天气、特殊情况、重点路段或根据考核机构要求应及时增加巡查频率或旁站，确保管网设施正常运行和安全。</w:t>
      </w:r>
      <w:r>
        <w:rPr>
          <w:rFonts w:hint="eastAsia" w:ascii="宋体" w:hAnsi="宋体" w:cs="宋体"/>
          <w:color w:val="000000"/>
          <w:sz w:val="24"/>
          <w:szCs w:val="24"/>
          <w:highlight w:val="none"/>
        </w:rPr>
      </w:r>
      <w:r/>
    </w:p>
    <w:p>
      <w:pPr>
        <w:pStyle w:val="851"/>
        <w:numPr>
          <w:ilvl w:val="0"/>
          <w:numId w:val="20"/>
        </w:numPr>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检查井日常巡视检查的内容应符合表1的规定。</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表1    检查井巡视检查内容</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4"/>
        <w:gridCol w:w="3271"/>
        <w:gridCol w:w="3763"/>
      </w:tblGrid>
      <w:tr>
        <w:trPr/>
        <w:tc>
          <w:tcPr>
            <w:tcW w:w="1964"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部位</w:t>
            </w: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外部巡视</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内部检查</w:t>
            </w:r>
            <w:r>
              <w:rPr>
                <w:rFonts w:hint="eastAsia" w:ascii="宋体" w:hAnsi="宋体" w:cs="宋体"/>
                <w:color w:val="000000"/>
                <w:szCs w:val="21"/>
                <w:highlight w:val="none"/>
              </w:rPr>
            </w:r>
            <w:r/>
          </w:p>
        </w:tc>
      </w:tr>
      <w:tr>
        <w:trPr>
          <w:cantSplit/>
        </w:trPr>
        <w:tc>
          <w:tcPr>
            <w:tcW w:w="1964" w:type="dxa"/>
            <w:vAlign w:val="center"/>
            <w:vMerge w:val="restart"/>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内容</w:t>
            </w: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井盖埋没</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链条、锁具或防坠网</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井盖丢失</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爬梯松动、锈蚀或缺损</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井盖破损</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井壁泥垢</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井框破损</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井壁裂缝</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盖、框间隙</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井壁渗漏</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盖、框高差</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抹面脱落</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盖框突出或凹陷</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管口孔洞</w:t>
            </w:r>
            <w:r>
              <w:rPr>
                <w:rFonts w:hint="eastAsia" w:ascii="宋体" w:hAnsi="宋体" w:cs="宋体"/>
                <w:color w:val="000000"/>
                <w:szCs w:val="21"/>
                <w:highlight w:val="none"/>
              </w:rPr>
            </w:r>
            <w:r/>
          </w:p>
        </w:tc>
      </w:tr>
      <w:tr>
        <w:trPr>
          <w:cantSplit/>
          <w:trHeight w:val="255"/>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跳动和声响</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流槽破损</w:t>
            </w:r>
            <w:r>
              <w:rPr>
                <w:rFonts w:hint="eastAsia" w:ascii="宋体" w:hAnsi="宋体" w:cs="宋体"/>
                <w:color w:val="000000"/>
                <w:szCs w:val="21"/>
                <w:highlight w:val="none"/>
              </w:rPr>
            </w:r>
            <w:r/>
          </w:p>
        </w:tc>
      </w:tr>
      <w:tr>
        <w:trPr>
          <w:cantSplit/>
          <w:trHeight w:val="315"/>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周边路面破损</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井底积泥</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井盖标识错误</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水流不畅</w:t>
            </w:r>
            <w:r>
              <w:rPr>
                <w:rFonts w:hint="eastAsia" w:ascii="宋体" w:hAnsi="宋体" w:cs="宋体"/>
                <w:color w:val="000000"/>
                <w:szCs w:val="21"/>
                <w:highlight w:val="none"/>
              </w:rPr>
            </w:r>
            <w:r/>
          </w:p>
        </w:tc>
      </w:tr>
      <w:tr>
        <w:trPr>
          <w:cantSplit/>
        </w:trPr>
        <w:tc>
          <w:tcPr>
            <w:tcW w:w="1964" w:type="dxa"/>
            <w:vAlign w:val="center"/>
            <w:vMerge w:val="continue"/>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其它</w:t>
            </w:r>
            <w:r>
              <w:rPr>
                <w:rFonts w:hint="eastAsia" w:ascii="宋体" w:hAnsi="宋体" w:cs="宋体"/>
                <w:color w:val="000000"/>
                <w:szCs w:val="21"/>
                <w:highlight w:val="none"/>
              </w:rPr>
            </w:r>
            <w:r/>
          </w:p>
        </w:tc>
        <w:tc>
          <w:tcPr>
            <w:tcW w:w="376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浮渣</w:t>
            </w:r>
            <w:r>
              <w:rPr>
                <w:rFonts w:hint="eastAsia" w:ascii="宋体" w:hAnsi="宋体" w:cs="宋体"/>
                <w:color w:val="000000"/>
                <w:szCs w:val="21"/>
                <w:highlight w:val="none"/>
              </w:rPr>
            </w:r>
            <w:r/>
          </w:p>
        </w:tc>
      </w:tr>
    </w:tbl>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养护单位在巡检过程中应及时更换已损坏的检查井井盖（钢纤混凝井盖）等设施。</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（4）污水管道内部的维护要求</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（a）管道、检查井内不得留有石块等阻碍污水的杂物。</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（b）管网系统每两年覆盖疏通一次，制定明确的年度计划及月度计划，并严格按照计划开展养护工作（除不可抗力外），留好相关影像资料，工程量由考核机构签字确认并按招标人要求定期递交相关台账资料。</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（c）区域内污水管道的日常检查、疏通以及清淤工作，应确保污水畅通，其允许积泥深度应符合表2的规定。</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表2    管道、检查井的允许积泥深度</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4"/>
        <w:gridCol w:w="2951"/>
        <w:gridCol w:w="3443"/>
      </w:tblGrid>
      <w:tr>
        <w:trPr/>
        <w:tc>
          <w:tcPr>
            <w:gridSpan w:val="2"/>
            <w:tcW w:w="5555" w:type="dxa"/>
            <w:vAlign w:val="top"/>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设施类别</w:t>
            </w:r>
            <w:r>
              <w:rPr>
                <w:rFonts w:hint="eastAsia" w:ascii="宋体" w:hAnsi="宋体" w:cs="宋体"/>
                <w:color w:val="000000"/>
                <w:szCs w:val="21"/>
                <w:highlight w:val="none"/>
              </w:rPr>
            </w:r>
            <w:r/>
          </w:p>
        </w:tc>
        <w:tc>
          <w:tcPr>
            <w:tcW w:w="3443" w:type="dxa"/>
            <w:vAlign w:val="top"/>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允许积泥深度</w:t>
            </w:r>
            <w:r>
              <w:rPr>
                <w:rFonts w:hint="eastAsia" w:ascii="宋体" w:hAnsi="宋体" w:cs="宋体"/>
                <w:color w:val="000000"/>
                <w:szCs w:val="21"/>
                <w:highlight w:val="none"/>
              </w:rPr>
            </w:r>
            <w:r/>
          </w:p>
        </w:tc>
      </w:tr>
      <w:tr>
        <w:trPr/>
        <w:tc>
          <w:tcPr>
            <w:gridSpan w:val="2"/>
            <w:tcW w:w="5555" w:type="dxa"/>
            <w:vAlign w:val="top"/>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管道</w:t>
            </w:r>
            <w:r>
              <w:rPr>
                <w:rFonts w:hint="eastAsia" w:ascii="宋体" w:hAnsi="宋体" w:cs="宋体"/>
                <w:color w:val="000000"/>
                <w:szCs w:val="21"/>
                <w:highlight w:val="none"/>
              </w:rPr>
            </w:r>
            <w:r/>
          </w:p>
        </w:tc>
        <w:tc>
          <w:tcPr>
            <w:tcW w:w="3443" w:type="dxa"/>
            <w:vAlign w:val="top"/>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管径的1/5</w:t>
            </w:r>
            <w:r>
              <w:rPr>
                <w:rFonts w:hint="eastAsia" w:ascii="宋体" w:hAnsi="宋体" w:cs="宋体"/>
                <w:color w:val="000000"/>
                <w:szCs w:val="21"/>
                <w:highlight w:val="none"/>
              </w:rPr>
            </w:r>
            <w:r/>
          </w:p>
        </w:tc>
      </w:tr>
      <w:tr>
        <w:trPr>
          <w:cantSplit/>
        </w:trPr>
        <w:tc>
          <w:tcPr>
            <w:tcW w:w="2604"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检查井</w:t>
            </w:r>
            <w:r>
              <w:rPr>
                <w:rFonts w:hint="eastAsia" w:ascii="宋体" w:hAnsi="宋体" w:cs="宋体"/>
                <w:color w:val="000000"/>
                <w:szCs w:val="21"/>
                <w:highlight w:val="none"/>
              </w:rPr>
            </w:r>
            <w:r/>
          </w:p>
        </w:tc>
        <w:tc>
          <w:tcPr>
            <w:tcW w:w="295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有沉泥槽</w:t>
            </w:r>
            <w:r>
              <w:rPr>
                <w:rFonts w:hint="eastAsia" w:ascii="宋体" w:hAnsi="宋体" w:cs="宋体"/>
                <w:color w:val="000000"/>
                <w:szCs w:val="21"/>
                <w:highlight w:val="none"/>
              </w:rPr>
            </w:r>
            <w:r/>
          </w:p>
        </w:tc>
        <w:tc>
          <w:tcPr>
            <w:tcW w:w="344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管底以下50mm</w:t>
            </w:r>
            <w:r>
              <w:rPr>
                <w:rFonts w:hint="eastAsia" w:ascii="宋体" w:hAnsi="宋体" w:cs="宋体"/>
                <w:color w:val="000000"/>
                <w:szCs w:val="21"/>
                <w:highlight w:val="none"/>
              </w:rPr>
            </w:r>
            <w:r/>
          </w:p>
        </w:tc>
      </w:tr>
      <w:tr>
        <w:trPr>
          <w:cantSplit/>
        </w:trPr>
        <w:tc>
          <w:tcPr>
            <w:tcW w:w="2604"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95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无沉泥槽</w:t>
            </w:r>
            <w:r>
              <w:rPr>
                <w:rFonts w:hint="eastAsia" w:ascii="宋体" w:hAnsi="宋体" w:cs="宋体"/>
                <w:color w:val="000000"/>
                <w:szCs w:val="21"/>
                <w:highlight w:val="none"/>
              </w:rPr>
            </w:r>
            <w:r/>
          </w:p>
        </w:tc>
        <w:tc>
          <w:tcPr>
            <w:tcW w:w="3443"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主管径的1/5</w:t>
            </w:r>
            <w:r>
              <w:rPr>
                <w:rFonts w:hint="eastAsia" w:ascii="宋体" w:hAnsi="宋体" w:cs="宋体"/>
                <w:color w:val="000000"/>
                <w:szCs w:val="21"/>
                <w:highlight w:val="none"/>
              </w:rPr>
            </w:r>
            <w:r/>
          </w:p>
        </w:tc>
      </w:tr>
    </w:tbl>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（d）在车辆经过时，井盖不应出现跳动和声响。井盖与井框间的允许误差应符合表3的规定。</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表3    井盖与井框间的允许误差(mm)</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1636"/>
        <w:gridCol w:w="2782"/>
        <w:gridCol w:w="2944"/>
      </w:tblGrid>
      <w:tr>
        <w:trPr/>
        <w:tc>
          <w:tcPr>
            <w:tcW w:w="1636"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设施种类</w:t>
            </w:r>
            <w:r>
              <w:rPr>
                <w:rFonts w:hint="eastAsia" w:ascii="宋体" w:hAnsi="宋体" w:cs="宋体"/>
                <w:color w:val="000000"/>
                <w:szCs w:val="21"/>
                <w:highlight w:val="none"/>
              </w:rPr>
            </w:r>
            <w:r/>
          </w:p>
        </w:tc>
        <w:tc>
          <w:tcPr>
            <w:tcW w:w="1636"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盖框间隙</w:t>
            </w:r>
            <w:r>
              <w:rPr>
                <w:rFonts w:hint="eastAsia" w:ascii="宋体" w:hAnsi="宋体" w:cs="宋体"/>
                <w:color w:val="000000"/>
                <w:szCs w:val="21"/>
                <w:highlight w:val="none"/>
              </w:rPr>
            </w:r>
            <w:r/>
          </w:p>
        </w:tc>
        <w:tc>
          <w:tcPr>
            <w:tcW w:w="2782"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井盖与井框高差</w:t>
            </w:r>
            <w:r>
              <w:rPr>
                <w:rFonts w:hint="eastAsia" w:ascii="宋体" w:hAnsi="宋体" w:cs="宋体"/>
                <w:color w:val="000000"/>
                <w:szCs w:val="21"/>
                <w:highlight w:val="none"/>
              </w:rPr>
            </w:r>
            <w:r/>
          </w:p>
        </w:tc>
        <w:tc>
          <w:tcPr>
            <w:tcW w:w="2944" w:type="dxa"/>
            <w:vAlign w:val="top"/>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井框与路面高差</w:t>
            </w:r>
            <w:r>
              <w:rPr>
                <w:rFonts w:hint="eastAsia" w:ascii="宋体" w:hAnsi="宋体" w:cs="宋体"/>
                <w:color w:val="000000"/>
                <w:szCs w:val="21"/>
                <w:highlight w:val="none"/>
              </w:rPr>
            </w:r>
            <w:r/>
          </w:p>
        </w:tc>
      </w:tr>
      <w:tr>
        <w:trPr/>
        <w:tc>
          <w:tcPr>
            <w:tcW w:w="1636"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检查井</w:t>
            </w:r>
            <w:r>
              <w:rPr>
                <w:rFonts w:hint="eastAsia" w:ascii="宋体" w:hAnsi="宋体" w:cs="宋体"/>
                <w:color w:val="000000"/>
                <w:szCs w:val="21"/>
                <w:highlight w:val="none"/>
              </w:rPr>
            </w:r>
            <w:r/>
          </w:p>
        </w:tc>
        <w:tc>
          <w:tcPr>
            <w:tcW w:w="1636"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782"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＋5，－10</w:t>
            </w:r>
            <w:r>
              <w:rPr>
                <w:rFonts w:hint="eastAsia" w:ascii="宋体" w:hAnsi="宋体" w:cs="宋体"/>
                <w:color w:val="000000"/>
                <w:szCs w:val="21"/>
                <w:highlight w:val="none"/>
              </w:rPr>
            </w:r>
            <w:r/>
          </w:p>
        </w:tc>
        <w:tc>
          <w:tcPr>
            <w:tcW w:w="2944" w:type="dxa"/>
            <w:vAlign w:val="top"/>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＋15，－15</w:t>
            </w:r>
            <w:r>
              <w:rPr>
                <w:rFonts w:hint="eastAsia" w:ascii="宋体" w:hAnsi="宋体" w:cs="宋体"/>
                <w:color w:val="000000"/>
                <w:szCs w:val="21"/>
                <w:highlight w:val="none"/>
              </w:rPr>
            </w:r>
            <w:r/>
          </w:p>
        </w:tc>
      </w:tr>
    </w:tbl>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（e）当发现井盖缺失或损坏后，必须及时安放护栏和警示标志，并及时予以恢复。</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（f）建立健全日常巡查管理和维护台帐制度，认真做好台帐的整理和归档工作，按时报送相关月报、养护计划、养护台账、巡视台账、维修相关资料、村庄现状评估表、农房翻建管网评估单、安全相关台账等。</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（g）每季度全覆盖清掏隔油池、化粪池，确保不堵塞、不外溢。</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（h）定期清理格栅栅渣，保持提升泵能正常工作。</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（i）对于淤积严重的管网，应根据实际情况，按照甲方及考核机构要求增加清理频次（包括专业潜水员拆封堵头）。</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（5）污水管道维护的配合工作</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（a）区域内日常及应急处置工作。第一时间对派遣事件进行现场勘查并及时上报，同时做好事件的办理工作。</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（b）对存在安全隐患的，第一时间做好安全措施，及时上报考核机构审核后予以修复。</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（6）污水管网维护工作流程</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（a）计划编制</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合同范围内的维护数量和维护要求，乙方需制定年维护计划和月维护计划，在规定时间内上报考核机构审批，核准后方可实施。年维护计划上报时间：根据考核机构要求上报。次月维护计划上报时间：定期每月10日前。</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（b）维护流程</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乙方根据批准的计划进行维护，每月定期上报台账资料，由考核机构及招标人进行核查。</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（c）一般维修流程</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常巡检发现（或接到通知）→10分钟内响应→30分钟内到达现场并将具体情况电话告知考核机构管理人员对现场进行拍照、记录→得到考核机构许可下进行相关作业→考核机构及招标人进行复查及签证确认。（d）管道抢修（事故性、突发性）流程</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常巡检发现（或接到通知）→10分钟内响应→30分钟内到达现场并将具体情况电话告知考核机构管理人员并采取正确应对措施制止或避免事故的扩大→对现场进行拍照、记录→考核机构到达现场或得到许可下进行相关作业→将抢修工程量签证单（并附打印照片）做好→经考核机构及招标人现场进行复查及签证确认。</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（e）管道巡查流程</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日常巡查发现（或接到通知）→井盖缺损缺失应立即通知考核机构，并在缺损部位及时按放护栏和警示标志，6小时内领取材料后进行加盖或更换→做好记录按时上报考核机构。</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（7）泵站运维</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运维单位应依据运维任务和需求，制定管理组织网络和维护计划，并严格落实值班制度、日常巡检、登记统计、安全操作等经常性工作，确保分工明确，责任到人，不留死角。</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每月对提升泵站进行全覆盖巡查。做好提升泵站的维护、疏通、清理、维修等相关工作，并做好相关台账资料，按照要求提交上报。</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运维单位维护开始第一个月内，制作所有提升泵站，标识牌、安全警示牌，确保提升泵站简介、运维单位、联系方式等现场标识内容完整、清晰、美观。</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范围内农村生活污水治理设施配套提升泵站运行率保证100%（特殊情况除外），特殊情况包括①地震、洪水、台风等不可抗力自然灾害；②设施计划性大修、清淤、提标改造，事前报备并落实应急截污措施；③全域停电、外部管网先天缺陷、外来超标污水侵入等非运维可控外部因素；上述情形均需履行报备程序、留存佐证材料，并同步采取污水应急处置措施。</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农村生活污水治理设施配套提升泵站运维及维修，具体内容是确保泵站在维护期内正常运行满足污水处理要求，所需要的设备维修、主材、附材均包含在各泵站的运维费用中。</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污水治理设施配套提升泵站维护、维修工作包括但不限于以下内容：</w:t>
      </w:r>
      <w:r>
        <w:rPr>
          <w:rFonts w:hint="eastAsia" w:ascii="宋体" w:hAnsi="宋体" w:cs="宋体"/>
          <w:color w:val="000000"/>
          <w:sz w:val="24"/>
          <w:szCs w:val="24"/>
          <w:highlight w:val="none"/>
        </w:rPr>
      </w:r>
      <w:r/>
    </w:p>
    <w:p>
      <w:pPr>
        <w:pStyle w:val="132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cs="宋体"/>
          <w:color w:val="000000"/>
          <w:sz w:val="24"/>
          <w:highlight w:val="none"/>
          <w:lang w:eastAsia="zh-CN"/>
        </w:rPr>
        <w:t xml:space="preserve">定期对泵体进行养护，</w:t>
      </w:r>
      <w:r>
        <w:rPr>
          <w:rFonts w:hint="eastAsia" w:ascii="宋体" w:hAnsi="宋体" w:cs="宋体"/>
          <w:color w:val="000000"/>
          <w:sz w:val="24"/>
          <w:highlight w:val="none"/>
        </w:rPr>
        <w:t xml:space="preserve">并及时清理提升泵吸附的杂物，</w:t>
      </w:r>
      <w:r>
        <w:rPr>
          <w:rFonts w:hint="eastAsia" w:ascii="宋体" w:hAnsi="宋体" w:cs="宋体"/>
          <w:color w:val="000000"/>
          <w:sz w:val="24"/>
          <w:highlight w:val="none"/>
          <w:lang w:eastAsia="zh-CN"/>
        </w:rPr>
        <w:t xml:space="preserve">及时</w:t>
      </w:r>
      <w:r>
        <w:rPr>
          <w:rFonts w:hint="eastAsia" w:ascii="宋体" w:hAnsi="宋体" w:cs="宋体"/>
          <w:color w:val="000000"/>
          <w:sz w:val="24"/>
          <w:highlight w:val="none"/>
        </w:rPr>
        <w:t xml:space="preserve">清理泵站</w:t>
      </w:r>
      <w:r>
        <w:rPr>
          <w:rFonts w:hint="eastAsia" w:ascii="宋体" w:hAnsi="宋体" w:cs="宋体"/>
          <w:color w:val="000000"/>
          <w:sz w:val="24"/>
          <w:highlight w:val="none"/>
          <w:lang w:eastAsia="zh-CN"/>
        </w:rPr>
        <w:t xml:space="preserve">污泥（污泥处置提供年度清理计划，每年汛期前必须完成覆盖性清理）</w:t>
      </w:r>
      <w:r>
        <w:rPr>
          <w:rFonts w:hint="eastAsia" w:ascii="宋体" w:hAnsi="宋体" w:cs="宋体"/>
          <w:color w:val="000000"/>
          <w:sz w:val="24"/>
          <w:highlight w:val="none"/>
        </w:rPr>
        <w:t xml:space="preserve">，不得随意处置，并做好相关台账资料</w:t>
      </w:r>
      <w:r>
        <w:rPr>
          <w:rFonts w:hint="eastAsia" w:ascii="宋体" w:hAnsi="宋体" w:cs="宋体"/>
          <w:color w:val="000000"/>
          <w:sz w:val="24"/>
          <w:highlight w:val="none"/>
          <w:lang w:eastAsia="zh-CN"/>
        </w:rPr>
        <w:t xml:space="preserve">，作业时严格落实有限空间作业相关制度，并向考核机构及甲方报备</w:t>
      </w:r>
      <w:r>
        <w:rPr>
          <w:rFonts w:hint="eastAsia" w:ascii="宋体" w:hAnsi="宋体" w:cs="宋体"/>
          <w:color w:val="000000"/>
          <w:sz w:val="24"/>
          <w:highlight w:val="none"/>
        </w:rPr>
        <w:t xml:space="preserve">。污泥</w:t>
      </w:r>
      <w:r>
        <w:rPr>
          <w:rFonts w:hint="eastAsia" w:ascii="宋体" w:hAnsi="宋体" w:cs="宋体"/>
          <w:color w:val="000000"/>
          <w:sz w:val="24"/>
          <w:highlight w:val="none"/>
          <w:lang w:eastAsia="zh-CN"/>
        </w:rPr>
        <w:t xml:space="preserve">处置需供应商与具备处理能力的</w:t>
      </w:r>
      <w:r>
        <w:rPr>
          <w:rFonts w:hint="eastAsia" w:ascii="宋体" w:hAnsi="宋体" w:cs="宋体"/>
          <w:color w:val="000000"/>
          <w:sz w:val="24"/>
          <w:highlight w:val="none"/>
        </w:rPr>
        <w:t xml:space="preserve">污水厂</w:t>
      </w:r>
      <w:r>
        <w:rPr>
          <w:rFonts w:hint="eastAsia" w:ascii="宋体" w:hAnsi="宋体" w:cs="宋体"/>
          <w:color w:val="000000"/>
          <w:sz w:val="24"/>
          <w:highlight w:val="none"/>
          <w:lang w:eastAsia="zh-CN"/>
        </w:rPr>
        <w:t xml:space="preserve">签订合同，并规范运输、</w:t>
      </w:r>
      <w:r>
        <w:rPr>
          <w:rFonts w:hint="eastAsia" w:ascii="宋体" w:hAnsi="宋体" w:cs="宋体"/>
          <w:color w:val="000000"/>
          <w:sz w:val="24"/>
          <w:highlight w:val="none"/>
        </w:rPr>
        <w:t xml:space="preserve">处置，并做好污泥转运相关台账资料。</w:t>
      </w:r>
      <w:r>
        <w:rPr>
          <w:rFonts w:hint="eastAsia" w:ascii="宋体" w:hAnsi="宋体" w:cs="宋体"/>
          <w:color w:val="000000"/>
          <w:sz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②应定期检查提升水池水标尺、浮球或液位计及其转换装置。</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③备用水泵应每月至少进行一次试运转。</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④配合农村污水治理主管部门进行防汛抢险、污水突发情况处置等。</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⑤定期对提升泵站的站容站貌、周边绿化、景观及道路设施、安全警示牌、站点介绍牌等进行维护；</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⑥建立专门安全生产档案管理台账，提升泵站现场安全防护措施到位；确保围栏、盖板、门锁完好；供电箱、控制柜安全可靠。</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⑦定期检查维护提升泵的配套设备，包括格栅（格篮）、导轨、不锈钢链条、电缆线等；如有相关配套设备无法正常运行或损坏的需及时更换或维修；如有需增加的配套设备不另外单独计费。</w:t>
      </w:r>
      <w:r>
        <w:rPr>
          <w:rFonts w:hint="eastAsia" w:ascii="宋体" w:hAnsi="宋体" w:cs="宋体"/>
          <w:color w:val="000000"/>
          <w:sz w:val="24"/>
          <w:szCs w:val="24"/>
          <w:highlight w:val="none"/>
        </w:rPr>
      </w:r>
      <w:r/>
    </w:p>
    <w:p>
      <w:pPr>
        <w:pStyle w:val="85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⑧做好甲方及代管方要求的其它运维相关事宜；</w:t>
      </w:r>
      <w:r>
        <w:rPr>
          <w:rFonts w:hint="eastAsia" w:ascii="宋体" w:hAnsi="宋体" w:cs="宋体"/>
          <w:color w:val="000000"/>
          <w:sz w:val="24"/>
          <w:szCs w:val="24"/>
          <w:highlight w:val="none"/>
        </w:rPr>
      </w:r>
      <w:r/>
    </w:p>
    <w:p>
      <w:pPr>
        <w:pStyle w:val="851"/>
        <w:ind w:left="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4.污水处理设施方面</w:t>
      </w:r>
      <w:r>
        <w:rPr>
          <w:rFonts w:ascii="宋体" w:hAnsi="宋体" w:cs="宋体"/>
          <w:color w:val="000000"/>
          <w:sz w:val="24"/>
          <w:szCs w:val="24"/>
          <w:highlight w:val="none"/>
        </w:rPr>
      </w:r>
      <w:r/>
    </w:p>
    <w:p>
      <w:pPr>
        <w:pStyle w:val="851"/>
        <w:ind w:firstLine="480"/>
        <w:spacing w:line="480" w:lineRule="exact"/>
        <w:tabs>
          <w:tab w:val="left" w:pos="312" w:leader="none"/>
        </w:tabs>
        <w:rPr>
          <w:rFonts w:hint="eastAsia" w:ascii="宋体" w:hAnsi="宋体" w:cs="宋体"/>
          <w:b/>
          <w:bCs/>
          <w:i/>
          <w:iCs/>
          <w:color w:val="000000"/>
          <w:sz w:val="24"/>
          <w:szCs w:val="24"/>
          <w:highlight w:val="none"/>
          <w:u w:val="single"/>
        </w:rPr>
      </w:pPr>
      <w:r>
        <w:rPr>
          <w:rFonts w:hint="eastAsia" w:ascii="宋体" w:hAnsi="宋体" w:cs="宋体"/>
          <w:color w:val="000000"/>
          <w:sz w:val="24"/>
          <w:szCs w:val="24"/>
          <w:highlight w:val="none"/>
        </w:rPr>
        <w:t xml:space="preserve">对一体化污水处理设施的运维维护内容包括但不限于：运维单位应依据运维任务和需求，制定管理组织网络和维护计划，并严格落实24小时值班、日常巡检、登记统计、安全操作和排水监督等经常性工作，确保分工明确，责任到人，不留死角。所有污水治理设施必须每月全覆盖巡检至少两次（间隔一周及以上，每个站点停留时间不低于20分钟）。并记录每次巡检情况（包括记录设施进水水量、用电量、用药量，以及设施设备运转情况等）；</w:t>
      </w:r>
      <w:r>
        <w:rPr>
          <w:rFonts w:hint="eastAsia" w:ascii="宋体" w:hAnsi="宋体" w:cs="宋体"/>
          <w:b/>
          <w:bCs/>
          <w:i/>
          <w:iCs/>
          <w:color w:val="000000"/>
          <w:sz w:val="24"/>
          <w:szCs w:val="24"/>
          <w:highlight w:val="none"/>
          <w:u w:val="single"/>
        </w:rPr>
      </w:r>
      <w:r/>
    </w:p>
    <w:p>
      <w:pPr>
        <w:pStyle w:val="851"/>
        <w:spacing w:line="480" w:lineRule="exact"/>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每月对所运维的污水治理设施出水水质根据合同中检测频次检测（可委托有水质检测资质的单位检测）,目前检测项目：COD、氨氮、总磷、总氮、动植物油（按需检测）、悬浮物（SS）、pH（若国家或地方执行标准改变，设施水质检测项目同步改变），并按要求上报数据；根据情况对人工湿地、人工绿地进行翻整，不得堵、不得超越；定期对人工湿地、站区绿化和草</w:t>
      </w:r>
      <w:r>
        <w:rPr>
          <w:rFonts w:hint="eastAsia" w:ascii="宋体" w:hAnsi="宋体" w:cs="宋体"/>
          <w:color w:val="000000"/>
          <w:sz w:val="24"/>
          <w:szCs w:val="24"/>
          <w:highlight w:val="none"/>
        </w:rPr>
        <w:t xml:space="preserve">坪等植物进行维护及补种，及时清理杂草、青苔、绿萍等；对各污水治理设施污泥及调节池淤泥根据设施实际运行情况按需清理（污泥处置提供年度清理计划，每年汛期前必须完成覆盖性清理），污泥处置需供应商与具备处理能力的污水厂签订合同，并规范运输、处置，并做好污泥转运相关台账资料。每月10日之前向招标人提交上月工作月报，报表应包括设施当月累计处理水量、电量、投药记录、巡视记录、进出水水质及出水合格率、水质调整台账、污泥转运台账、维修台账、设备出入库台账、安全生产台账、工作联系单等生产运行台账（按照考核机构下发的统一模板）。</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运维单位维护开始第一个月内，按照招标人要求更换所有设施标识牌等，确保设施简介、运维单位、联系方式等现场标识内容完整、清晰、美观。</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范围内要求农村生活污水治理设施出水水质达标率100%，设施运行率100%，特殊情况除外，特殊情况包括①地震、洪水、台风等不可抗力自然灾害；②设施计划性大修、清淤、提标改造，事前报备并落实应急截污措施；③全域停电、外部管网先天缺陷、外来超标污水侵入等非运维可控外部因素；上述情形均需履行报备程序、留存佐证材料，并同步采取污水应急处置措施。</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污水治理设施维护、维修工作包括但不限于以下内容：       </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①定期巡查（设备运行情况、污泥浓度符合工艺运行要求和填料上的生物膜、溶解氧、pH等），每月覆盖巡查二次；</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②定期对加药设备进行维护，清理储药桶中的药渣。</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③定期对进出水水质进行检测，一旦发现进水水质出现异常，应及时积极主动查找原因并处理；</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④对污水治理设施设备及</w:t>
      </w:r>
      <w:r>
        <w:rPr>
          <w:rFonts w:ascii="宋体" w:hAnsi="宋体" w:cs="宋体"/>
          <w:color w:val="000000"/>
          <w:sz w:val="24"/>
          <w:szCs w:val="24"/>
          <w:highlight w:val="none"/>
        </w:rPr>
        <w:t xml:space="preserve">定期</w:t>
      </w:r>
      <w:r>
        <w:rPr>
          <w:rFonts w:hint="eastAsia" w:ascii="宋体" w:hAnsi="宋体" w:cs="宋体"/>
          <w:color w:val="000000"/>
          <w:sz w:val="24"/>
          <w:szCs w:val="24"/>
          <w:highlight w:val="none"/>
        </w:rPr>
        <w:t xml:space="preserve">进行保养、润滑等；</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⑤及时维修或更换损坏的污水处理设备等；</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⑥配合招标人对农村排水户进行排查和巡查管理；</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⑦配合招标人进行防汛抢险、污水突发情况处置等；</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⑧及时处理设施构筑物维修事宜，并做好维修相关签证资料；</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⑨每年汛期前完成清理治理设施中产生的污泥、淤泥等，进行无害化处理；</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⑩定期对设施的人工绿地、人工湿地进行修整、收割等；</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⑪定期对设施的站容站貌、周边绿化、景观及道路设施、安全警示牌、站点介绍牌等进行维护；</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⑫膜组件如出现通量异常、污泥留存性差等情况及时清洗或更换膜组件；</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⑬建立专门档案管理和完善维护数据；</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⑭建立专门安全生产档案管理，设施现场安全防护措施到位；</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仿宋_GB2312"/>
          <w:color w:val="000000"/>
          <w:sz w:val="24"/>
          <w:szCs w:val="24"/>
          <w:highlight w:val="none"/>
        </w:rPr>
      </w:pPr>
      <w:r>
        <w:rPr>
          <w:rFonts w:hint="eastAsia" w:ascii="宋体" w:hAnsi="宋体" w:cs="宋体"/>
          <w:color w:val="000000"/>
          <w:sz w:val="24"/>
          <w:szCs w:val="24"/>
          <w:highlight w:val="none"/>
        </w:rPr>
        <w:t xml:space="preserve">⑮出水水质检测并出具报告，</w:t>
      </w:r>
      <w:r>
        <w:rPr>
          <w:rFonts w:hint="eastAsia" w:ascii="宋体" w:hAnsi="宋体" w:cs="仿宋_GB2312"/>
          <w:color w:val="000000"/>
          <w:sz w:val="24"/>
          <w:szCs w:val="24"/>
          <w:highlight w:val="none"/>
        </w:rPr>
        <w:t xml:space="preserve">日处理能力不足二十吨的集中处理设施，出水水质的检测频次每半年不少于一次；日处理能力二十吨（含）以上的集中处理设施，出水水质的检测频次每季度全检；并出具检测报告；</w:t>
      </w:r>
      <w:r>
        <w:rPr>
          <w:rFonts w:hint="eastAsia" w:ascii="宋体" w:hAnsi="宋体" w:cs="仿宋_GB2312"/>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⑯泵站设施、机电设备和管配件等表面应清洁、无锈蚀。气液临界部位应加强检查，并应进行防腐蚀处理，服务期内，每年一次。</w:t>
      </w:r>
      <w:r>
        <w:rPr>
          <w:rFonts w:hint="eastAsia" w:ascii="宋体" w:hAnsi="宋体" w:cs="宋体"/>
          <w:color w:val="000000"/>
          <w:sz w:val="24"/>
          <w:szCs w:val="24"/>
          <w:highlight w:val="none"/>
        </w:rPr>
      </w:r>
      <w:r/>
    </w:p>
    <w:p>
      <w:pPr>
        <w:pStyle w:val="851"/>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⑰做好</w:t>
      </w:r>
      <w:r>
        <w:rPr>
          <w:rFonts w:hint="eastAsia" w:ascii="宋体" w:hAnsi="宋体" w:cs="宋体"/>
          <w:color w:val="000000"/>
          <w:sz w:val="24"/>
          <w:szCs w:val="24"/>
          <w:highlight w:val="none"/>
        </w:rPr>
        <w:t xml:space="preserve">招标人</w:t>
      </w:r>
      <w:r>
        <w:rPr>
          <w:rFonts w:hint="eastAsia" w:ascii="宋体" w:hAnsi="宋体" w:cs="宋体"/>
          <w:color w:val="000000"/>
          <w:sz w:val="24"/>
          <w:szCs w:val="24"/>
          <w:highlight w:val="none"/>
        </w:rPr>
        <w:t xml:space="preserve">要求的其它运维相关事宜。</w:t>
      </w:r>
      <w:r>
        <w:rPr>
          <w:rFonts w:hint="eastAsia" w:ascii="宋体" w:hAnsi="宋体" w:cs="宋体"/>
          <w:color w:val="000000"/>
          <w:sz w:val="24"/>
          <w:szCs w:val="24"/>
          <w:highlight w:val="none"/>
        </w:rPr>
      </w:r>
      <w:r/>
    </w:p>
    <w:p>
      <w:pPr>
        <w:pStyle w:val="851"/>
        <w:ind w:firstLine="560"/>
        <w:spacing w:line="480" w:lineRule="exact"/>
        <w:rPr>
          <w:color w:val="000000"/>
          <w:sz w:val="24"/>
          <w:szCs w:val="24"/>
          <w:highlight w:val="none"/>
        </w:rPr>
      </w:pPr>
      <w:r>
        <w:rPr>
          <w:rFonts w:hint="eastAsia" w:ascii="微软雅黑" w:hAnsi="微软雅黑" w:eastAsia="微软雅黑" w:cs="微软雅黑"/>
          <w:color w:val="000000"/>
          <w:sz w:val="24"/>
          <w:szCs w:val="24"/>
          <w:highlight w:val="none"/>
          <w:shd w:val="clear" w:color="auto" w:fill="ffffff"/>
        </w:rPr>
        <w:t xml:space="preserve">⑱</w:t>
      </w:r>
      <w:r>
        <w:rPr>
          <w:rFonts w:hint="eastAsia" w:ascii="宋体" w:hAnsi="宋体" w:cs="宋体"/>
          <w:color w:val="000000"/>
          <w:sz w:val="24"/>
          <w:szCs w:val="24"/>
          <w:highlight w:val="none"/>
        </w:rPr>
        <w:t xml:space="preserve">运维单位需负责污水处理设施、污水管网的日常维护维修、中小修。本项目</w:t>
      </w:r>
      <w:r>
        <w:rPr>
          <w:rFonts w:hint="eastAsia" w:ascii="宋体" w:hAnsi="宋体" w:cs="宋体"/>
          <w:color w:val="000000"/>
          <w:sz w:val="24"/>
          <w:szCs w:val="24"/>
          <w:highlight w:val="none"/>
          <w:lang w:val="en-US" w:eastAsia="zh-CN"/>
        </w:rPr>
        <w:t xml:space="preserve">缺陷责任期</w:t>
      </w:r>
      <w:r>
        <w:rPr>
          <w:rFonts w:hint="eastAsia" w:ascii="宋体" w:hAnsi="宋体" w:cs="宋体"/>
          <w:color w:val="000000"/>
          <w:sz w:val="24"/>
          <w:szCs w:val="24"/>
          <w:highlight w:val="none"/>
        </w:rPr>
        <w:t xml:space="preserve">至2027年1月，</w:t>
      </w:r>
      <w:r>
        <w:rPr>
          <w:rFonts w:hint="eastAsia" w:ascii="宋体" w:hAnsi="宋体" w:cs="宋体"/>
          <w:color w:val="000000"/>
          <w:sz w:val="24"/>
          <w:szCs w:val="24"/>
          <w:highlight w:val="none"/>
          <w:lang w:val="en-US" w:eastAsia="zh-CN"/>
        </w:rPr>
        <w:t xml:space="preserve">缺陷责任期</w:t>
      </w:r>
      <w:r>
        <w:rPr>
          <w:rFonts w:hint="eastAsia" w:ascii="宋体" w:hAnsi="宋体" w:cs="宋体"/>
          <w:color w:val="000000"/>
          <w:sz w:val="24"/>
          <w:szCs w:val="24"/>
          <w:highlight w:val="none"/>
        </w:rPr>
        <w:t xml:space="preserve">内因质量问题导致的维修由原施工单位负责，其他原因导致的维修由运维单位负责。</w:t>
      </w:r>
      <w:r>
        <w:rPr>
          <w:rFonts w:hint="eastAsia" w:ascii="宋体" w:hAnsi="宋体" w:cs="宋体"/>
          <w:color w:val="000000"/>
          <w:sz w:val="24"/>
          <w:szCs w:val="24"/>
          <w:highlight w:val="none"/>
          <w:lang w:val="en-US" w:eastAsia="zh-CN"/>
        </w:rPr>
        <w:t xml:space="preserve">缺陷责任期</w:t>
      </w:r>
      <w:r>
        <w:rPr>
          <w:rFonts w:hint="eastAsia" w:ascii="宋体" w:hAnsi="宋体" w:cs="宋体"/>
          <w:color w:val="000000"/>
          <w:sz w:val="24"/>
          <w:szCs w:val="24"/>
          <w:highlight w:val="none"/>
        </w:rPr>
        <w:t xml:space="preserve">后均由运维单位负责。本项目</w:t>
      </w:r>
      <w:r>
        <w:rPr>
          <w:rFonts w:hint="eastAsia"/>
          <w:color w:val="000000"/>
          <w:sz w:val="24"/>
          <w:szCs w:val="24"/>
          <w:highlight w:val="none"/>
        </w:rPr>
        <w:t xml:space="preserve">运维</w:t>
      </w:r>
      <w:r>
        <w:rPr>
          <w:rFonts w:hint="eastAsia"/>
          <w:b/>
          <w:bCs/>
          <w:color w:val="000000"/>
          <w:sz w:val="24"/>
          <w:szCs w:val="24"/>
          <w:highlight w:val="none"/>
          <w:u w:val="single"/>
        </w:rPr>
        <w:t xml:space="preserve">不包含以下大修范围</w:t>
      </w:r>
      <w:r>
        <w:rPr>
          <w:rFonts w:hint="eastAsia"/>
          <w:color w:val="000000"/>
          <w:sz w:val="24"/>
          <w:szCs w:val="24"/>
          <w:highlight w:val="none"/>
        </w:rPr>
        <w:t xml:space="preserve">：</w:t>
      </w:r>
      <w:r>
        <w:rPr>
          <w:color w:val="000000"/>
          <w:sz w:val="24"/>
          <w:szCs w:val="24"/>
          <w:highlight w:val="none"/>
        </w:rPr>
      </w:r>
      <w:r/>
    </w:p>
    <w:tbl>
      <w:tblPr>
        <w:tblW w:w="8527"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1073"/>
        <w:gridCol w:w="1896"/>
        <w:gridCol w:w="5558"/>
      </w:tblGrid>
      <w:tr>
        <w:trPr>
          <w:trHeight w:val="1696"/>
        </w:trPr>
        <w:tc>
          <w:tcPr>
            <w:tcBorders>
              <w:top w:val="single" w:color="000000" w:sz="4" w:space="0"/>
              <w:left w:val="single" w:color="000000" w:sz="4" w:space="0"/>
              <w:bottom w:val="none" w:color="000000" w:sz="0" w:space="0"/>
              <w:right w:val="single" w:color="000000" w:sz="6" w:space="0"/>
            </w:tcBorders>
            <w:tcW w:w="1073" w:type="dxa"/>
            <w:vAlign w:val="center"/>
            <w:vMerge w:val="restart"/>
            <w:textDirection w:val="lrTb"/>
            <w:noWrap w:val="false"/>
          </w:tcPr>
          <w:p>
            <w:pPr>
              <w:pStyle w:val="851"/>
              <w:spacing w:line="440" w:lineRule="exact"/>
              <w:rPr>
                <w:rFonts w:ascii="宋体" w:hAnsi="宋体"/>
                <w:color w:val="000000"/>
                <w:sz w:val="24"/>
                <w:szCs w:val="24"/>
                <w:highlight w:val="none"/>
              </w:rPr>
            </w:pPr>
            <w:r>
              <w:rPr>
                <w:rFonts w:ascii="宋体" w:hAnsi="宋体"/>
                <w:color w:val="000000"/>
                <w:sz w:val="24"/>
                <w:szCs w:val="24"/>
                <w:highlight w:val="none"/>
              </w:rPr>
              <w:t xml:space="preserve">农村生活污水处理设施大修</w:t>
            </w:r>
            <w:r>
              <w:rPr>
                <w:rFonts w:hint="eastAsia" w:ascii="宋体" w:hAnsi="宋体"/>
                <w:color w:val="000000"/>
                <w:sz w:val="24"/>
                <w:szCs w:val="24"/>
                <w:highlight w:val="none"/>
              </w:rPr>
              <w:t xml:space="preserve">参考范围</w:t>
            </w:r>
            <w:r>
              <w:rPr>
                <w:rFonts w:ascii="宋体" w:hAnsi="宋体"/>
                <w:color w:val="000000"/>
                <w:sz w:val="24"/>
                <w:szCs w:val="24"/>
                <w:highlight w:val="none"/>
              </w:rPr>
            </w:r>
            <w:r/>
          </w:p>
        </w:tc>
        <w:tc>
          <w:tcPr>
            <w:tcBorders>
              <w:top w:val="single" w:color="000000" w:sz="4" w:space="0"/>
              <w:left w:val="single" w:color="000000" w:sz="6" w:space="0"/>
              <w:bottom w:val="single" w:color="000000" w:sz="6" w:space="0"/>
              <w:right w:val="single" w:color="000000" w:sz="4" w:space="0"/>
            </w:tcBorders>
            <w:tcW w:w="1896" w:type="dxa"/>
            <w:vAlign w:val="center"/>
            <w:textDirection w:val="lrTb"/>
            <w:noWrap w:val="false"/>
          </w:tcPr>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1.意外损毁修复</w:t>
            </w:r>
            <w:r>
              <w:rPr>
                <w:rFonts w:ascii="宋体" w:hAnsi="宋体"/>
                <w:color w:val="000000"/>
                <w:sz w:val="24"/>
                <w:szCs w:val="24"/>
                <w:highlight w:val="none"/>
              </w:rPr>
            </w:r>
            <w:r/>
          </w:p>
        </w:tc>
        <w:tc>
          <w:tcPr>
            <w:tcBorders>
              <w:top w:val="single" w:color="000000" w:sz="6" w:space="0"/>
              <w:left w:val="single" w:color="000000" w:sz="4" w:space="0"/>
              <w:bottom w:val="single" w:color="000000" w:sz="6" w:space="0"/>
              <w:right w:val="single" w:color="000000" w:sz="6" w:space="0"/>
            </w:tcBorders>
            <w:tcW w:w="5558" w:type="dxa"/>
            <w:vAlign w:val="top"/>
            <w:textDirection w:val="lrTb"/>
            <w:noWrap w:val="false"/>
          </w:tcPr>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1、洪水、海啸、地震、雷电、火灾等不可预见原因造成的处理设施损坏的修复；</w:t>
            </w:r>
            <w:r>
              <w:rPr>
                <w:rFonts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2、沉降引起处理设施损坏的修复；</w:t>
            </w:r>
            <w:r>
              <w:rPr>
                <w:rFonts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3、违法排污造成的处理设施损毁的修复；</w:t>
            </w:r>
            <w:r>
              <w:rPr>
                <w:rFonts w:ascii="宋体" w:hAnsi="宋体"/>
                <w:color w:val="000000"/>
                <w:sz w:val="24"/>
                <w:szCs w:val="24"/>
                <w:highlight w:val="none"/>
              </w:rPr>
            </w:r>
            <w:r/>
          </w:p>
        </w:tc>
      </w:tr>
      <w:tr>
        <w:trPr>
          <w:trHeight w:val="1290"/>
        </w:trPr>
        <w:tc>
          <w:tcPr>
            <w:tcBorders>
              <w:top w:val="none" w:color="000000" w:sz="0" w:space="0"/>
              <w:left w:val="single" w:color="000000" w:sz="4" w:space="0"/>
              <w:bottom w:val="none" w:color="000000" w:sz="0" w:space="0"/>
              <w:right w:val="single" w:color="000000" w:sz="6" w:space="0"/>
            </w:tcBorders>
            <w:tcW w:w="1073" w:type="dxa"/>
            <w:vAlign w:val="center"/>
            <w:vMerge w:val="continue"/>
            <w:textDirection w:val="lrTb"/>
            <w:noWrap w:val="false"/>
          </w:tcPr>
          <w:p>
            <w:pPr>
              <w:pStyle w:val="851"/>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1896" w:type="dxa"/>
            <w:vAlign w:val="center"/>
            <w:textDirection w:val="lrTb"/>
            <w:noWrap w:val="false"/>
          </w:tcPr>
          <w:p>
            <w:pPr>
              <w:pStyle w:val="851"/>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2.维修费超</w:t>
            </w:r>
            <w:r>
              <w:rPr>
                <w:rFonts w:hint="eastAsia" w:ascii="宋体" w:hAnsi="宋体"/>
                <w:color w:val="000000"/>
                <w:sz w:val="24"/>
                <w:szCs w:val="24"/>
                <w:highlight w:val="none"/>
                <w:lang w:eastAsia="zh-CN"/>
              </w:rPr>
              <w:t xml:space="preserve">8万元</w:t>
            </w:r>
            <w:r>
              <w:rPr>
                <w:rFonts w:hint="eastAsia" w:ascii="宋体" w:hAnsi="宋体" w:eastAsia="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5558" w:type="dxa"/>
            <w:vAlign w:val="top"/>
            <w:textDirection w:val="lrTb"/>
            <w:noWrap w:val="false"/>
          </w:tcPr>
          <w:p>
            <w:pPr>
              <w:pStyle w:val="85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1、指单个设备、设施维修费超</w:t>
            </w:r>
            <w:r>
              <w:rPr>
                <w:rFonts w:hint="eastAsia" w:ascii="宋体" w:hAnsi="宋体"/>
                <w:color w:val="000000"/>
                <w:sz w:val="24"/>
                <w:szCs w:val="24"/>
                <w:highlight w:val="none"/>
                <w:lang w:eastAsia="zh-CN"/>
              </w:rPr>
              <w:t xml:space="preserve">8万元</w:t>
            </w:r>
            <w:r>
              <w:rPr>
                <w:rFonts w:hint="eastAsia" w:ascii="宋体" w:hAnsi="宋体"/>
                <w:color w:val="000000"/>
                <w:sz w:val="24"/>
                <w:szCs w:val="24"/>
                <w:highlight w:val="none"/>
              </w:rPr>
              <w:t xml:space="preserve">（由甲方委托的造价咨询单位进行评估）；</w:t>
            </w:r>
            <w:r>
              <w:rPr>
                <w:rFonts w:hint="eastAsia"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2、单处管网开裂、脱节或变形等开挖维修费超</w:t>
            </w:r>
            <w:r>
              <w:rPr>
                <w:rFonts w:hint="eastAsia" w:ascii="宋体" w:hAnsi="宋体"/>
                <w:color w:val="000000"/>
                <w:sz w:val="24"/>
                <w:szCs w:val="24"/>
                <w:highlight w:val="none"/>
                <w:lang w:eastAsia="zh-CN"/>
              </w:rPr>
              <w:t xml:space="preserve">8万元</w:t>
            </w:r>
            <w:r>
              <w:rPr>
                <w:rFonts w:hint="eastAsia" w:ascii="宋体" w:hAnsi="宋体"/>
                <w:color w:val="000000"/>
                <w:sz w:val="24"/>
                <w:szCs w:val="24"/>
                <w:highlight w:val="none"/>
              </w:rPr>
              <w:t xml:space="preserve">（由甲方委托的造价咨询单位进行评估）；</w:t>
            </w:r>
            <w:r>
              <w:rPr>
                <w:rFonts w:ascii="宋体" w:hAnsi="宋体"/>
                <w:color w:val="000000"/>
                <w:sz w:val="24"/>
                <w:szCs w:val="24"/>
                <w:highlight w:val="none"/>
              </w:rPr>
            </w:r>
            <w:r/>
          </w:p>
          <w:p>
            <w:pPr>
              <w:pStyle w:val="85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3、运维期内同一设备、设施大修不超过1次，超过1次后期维修费由运维单位承担；</w:t>
            </w:r>
            <w:r>
              <w:rPr>
                <w:rFonts w:ascii="宋体" w:hAnsi="宋体"/>
                <w:color w:val="000000"/>
                <w:sz w:val="24"/>
                <w:szCs w:val="24"/>
                <w:highlight w:val="none"/>
              </w:rPr>
            </w:r>
            <w:r/>
          </w:p>
        </w:tc>
      </w:tr>
    </w:tbl>
    <w:p>
      <w:pPr>
        <w:pStyle w:val="1319"/>
        <w:numPr>
          <w:ilvl w:val="0"/>
          <w:numId w:val="21"/>
        </w:numPr>
        <w:ind w:firstLine="482"/>
        <w:spacing w:line="480" w:lineRule="exact"/>
        <w:rPr>
          <w:rFonts w:hint="eastAsia" w:cs="宋体"/>
          <w:b/>
          <w:bCs/>
          <w:color w:val="000000"/>
          <w:sz w:val="44"/>
          <w:szCs w:val="44"/>
          <w:highlight w:val="none"/>
          <w:lang w:eastAsia="zh-CN"/>
        </w:rPr>
      </w:pPr>
      <w:r>
        <w:rPr>
          <w:rFonts w:hint="eastAsia" w:cs="宋体"/>
          <w:b/>
          <w:bCs/>
          <w:color w:val="000000"/>
          <w:sz w:val="24"/>
          <w:szCs w:val="24"/>
          <w:highlight w:val="none"/>
          <w:lang w:eastAsia="zh-CN"/>
        </w:rPr>
        <w:t xml:space="preserve">人员配备要求（</w:t>
      </w:r>
      <w:r>
        <w:rPr>
          <w:rFonts w:hint="eastAsia" w:cs="宋体"/>
          <w:b/>
          <w:bCs/>
          <w:color w:val="000000"/>
          <w:sz w:val="24"/>
          <w:szCs w:val="24"/>
          <w:highlight w:val="none"/>
          <w:lang w:val="en-US" w:eastAsia="zh-CN"/>
        </w:rPr>
        <w:t xml:space="preserve">不含清掏人员</w:t>
      </w:r>
      <w:r>
        <w:rPr>
          <w:rFonts w:hint="eastAsia" w:cs="宋体"/>
          <w:b/>
          <w:bCs/>
          <w:color w:val="000000"/>
          <w:sz w:val="24"/>
          <w:szCs w:val="24"/>
          <w:highlight w:val="none"/>
          <w:lang w:eastAsia="zh-CN"/>
        </w:rPr>
        <w:t xml:space="preserve">）</w:t>
      </w:r>
      <w:r>
        <w:rPr>
          <w:rFonts w:hint="eastAsia" w:cs="宋体"/>
          <w:b/>
          <w:bCs/>
          <w:color w:val="000000"/>
          <w:sz w:val="44"/>
          <w:szCs w:val="44"/>
          <w:highlight w:val="none"/>
          <w:lang w:eastAsia="zh-CN"/>
        </w:rPr>
      </w:r>
      <w:r/>
    </w:p>
    <w:p>
      <w:pPr>
        <w:pStyle w:val="851"/>
        <w:ind w:firstLine="482"/>
        <w:spacing w:line="480" w:lineRule="exact"/>
        <w:tabs>
          <w:tab w:val="left" w:pos="312" w:leader="none"/>
        </w:tabs>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运维</w:t>
      </w:r>
      <w:r>
        <w:rPr>
          <w:rFonts w:hint="eastAsia" w:ascii="宋体" w:hAnsi="宋体" w:cs="宋体"/>
          <w:b/>
          <w:bCs/>
          <w:i/>
          <w:iCs/>
          <w:color w:val="000000"/>
          <w:sz w:val="24"/>
          <w:szCs w:val="24"/>
          <w:highlight w:val="none"/>
          <w:u w:val="single"/>
          <w:lang w:val="en-US" w:eastAsia="zh-CN"/>
        </w:rPr>
        <w:t xml:space="preserve">项目</w:t>
      </w:r>
      <w:r>
        <w:rPr>
          <w:rFonts w:hint="eastAsia" w:ascii="宋体" w:hAnsi="宋体" w:cs="宋体"/>
          <w:b/>
          <w:bCs/>
          <w:i/>
          <w:iCs/>
          <w:color w:val="000000"/>
          <w:sz w:val="24"/>
          <w:szCs w:val="24"/>
          <w:highlight w:val="none"/>
          <w:u w:val="single"/>
          <w:lang w:val="en-US" w:eastAsia="zh-CN"/>
        </w:rPr>
        <w:t xml:space="preserve">组人</w:t>
      </w:r>
      <w:r>
        <w:rPr>
          <w:rFonts w:hint="eastAsia" w:ascii="宋体" w:hAnsi="宋体" w:cs="宋体"/>
          <w:b/>
          <w:bCs/>
          <w:i/>
          <w:iCs/>
          <w:color w:val="000000"/>
          <w:sz w:val="24"/>
          <w:szCs w:val="24"/>
          <w:highlight w:val="none"/>
          <w:u w:val="single"/>
        </w:rPr>
        <w:t xml:space="preserve">员不低于8人，其中项目负责人1人，技术负责人1人，专职安全员不少于1人。</w:t>
      </w:r>
      <w:r>
        <w:rPr>
          <w:rFonts w:hint="eastAsia" w:ascii="宋体" w:hAnsi="宋体" w:cs="宋体"/>
          <w:b/>
          <w:bCs/>
          <w:i/>
          <w:iCs/>
          <w:color w:val="000000"/>
          <w:sz w:val="24"/>
          <w:szCs w:val="24"/>
          <w:highlight w:val="none"/>
          <w:u w:val="single"/>
        </w:rPr>
      </w:r>
      <w:r/>
    </w:p>
    <w:p>
      <w:pPr>
        <w:pStyle w:val="1140"/>
        <w:ind w:firstLine="0"/>
        <w:rPr>
          <w:color w:val="000000"/>
          <w:highlight w:val="none"/>
        </w:rPr>
      </w:pPr>
      <w:r>
        <w:rPr>
          <w:color w:val="000000"/>
          <w:highlight w:val="none"/>
        </w:rPr>
      </w:r>
      <w:r/>
    </w:p>
    <w:tbl>
      <w:tblPr>
        <w:tblW w:w="89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119"/>
        <w:gridCol w:w="1663"/>
        <w:gridCol w:w="4371"/>
      </w:tblGrid>
      <w:tr>
        <w:trPr>
          <w:trHeight w:val="539"/>
        </w:trPr>
        <w:tc>
          <w:tcPr>
            <w:tcW w:w="845"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119"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人员</w:t>
            </w:r>
            <w:r>
              <w:rPr>
                <w:rFonts w:hint="eastAsia" w:ascii="宋体" w:hAnsi="宋体" w:cs="宋体"/>
                <w:color w:val="000000"/>
                <w:szCs w:val="21"/>
                <w:highlight w:val="none"/>
              </w:rPr>
            </w:r>
            <w:r/>
          </w:p>
        </w:tc>
        <w:tc>
          <w:tcPr>
            <w:tcW w:w="1663" w:type="dxa"/>
            <w:vAlign w:val="center"/>
            <w:textDirection w:val="lrTb"/>
            <w:noWrap w:val="false"/>
          </w:tcPr>
          <w:p>
            <w:pPr>
              <w:pStyle w:val="85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数量要求</w:t>
            </w:r>
            <w:r>
              <w:rPr>
                <w:rFonts w:ascii="宋体" w:hAnsi="宋体" w:cs="宋体"/>
                <w:color w:val="000000"/>
                <w:szCs w:val="21"/>
                <w:highlight w:val="none"/>
              </w:rPr>
            </w:r>
            <w:r/>
          </w:p>
        </w:tc>
        <w:tc>
          <w:tcPr>
            <w:tcW w:w="4371"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要求（需提供证明文件）</w:t>
            </w:r>
            <w:r>
              <w:rPr>
                <w:rFonts w:hint="eastAsia" w:ascii="宋体" w:hAnsi="宋体" w:cs="宋体"/>
                <w:color w:val="000000"/>
                <w:szCs w:val="21"/>
                <w:highlight w:val="none"/>
              </w:rPr>
            </w:r>
            <w:r/>
          </w:p>
        </w:tc>
      </w:tr>
      <w:tr>
        <w:trPr/>
        <w:tc>
          <w:tcPr>
            <w:tcW w:w="845" w:type="dxa"/>
            <w:vAlign w:val="center"/>
            <w:textDirection w:val="lrTb"/>
            <w:noWrap w:val="false"/>
          </w:tcPr>
          <w:p>
            <w:pPr>
              <w:pStyle w:val="851"/>
              <w:jc w:val="cente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rPr>
            </w:r>
            <w:r/>
          </w:p>
        </w:tc>
        <w:tc>
          <w:tcPr>
            <w:tcW w:w="2119" w:type="dxa"/>
            <w:vAlign w:val="center"/>
            <w:textDirection w:val="lrTb"/>
            <w:noWrap w:val="false"/>
          </w:tcPr>
          <w:p>
            <w:pPr>
              <w:pStyle w:val="851"/>
              <w:jc w:val="cente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项目负责人</w:t>
            </w:r>
            <w:r>
              <w:rPr>
                <w:rFonts w:hint="eastAsia" w:ascii="宋体" w:hAnsi="宋体" w:cs="宋体"/>
                <w:i/>
                <w:iCs/>
                <w:color w:val="000000"/>
                <w:szCs w:val="21"/>
                <w:highlight w:val="none"/>
                <w:u w:val="single"/>
              </w:rPr>
            </w:r>
            <w:r/>
          </w:p>
        </w:tc>
        <w:tc>
          <w:tcPr>
            <w:tcW w:w="1663" w:type="dxa"/>
            <w:vAlign w:val="center"/>
            <w:textDirection w:val="lrTb"/>
            <w:noWrap w:val="false"/>
          </w:tcPr>
          <w:p>
            <w:pPr>
              <w:pStyle w:val="851"/>
              <w:jc w:val="cente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1人</w:t>
            </w:r>
            <w:r>
              <w:rPr>
                <w:rFonts w:hint="eastAsia" w:ascii="宋体" w:hAnsi="宋体" w:cs="宋体"/>
                <w:i/>
                <w:iCs/>
                <w:color w:val="000000"/>
                <w:szCs w:val="21"/>
                <w:highlight w:val="none"/>
                <w:u w:val="single"/>
              </w:rPr>
            </w:r>
            <w:r/>
          </w:p>
        </w:tc>
        <w:tc>
          <w:tcPr>
            <w:tcW w:w="4371" w:type="dxa"/>
            <w:vAlign w:val="center"/>
            <w:textDirection w:val="lrTb"/>
            <w:noWrap w:val="false"/>
          </w:tcPr>
          <w:p>
            <w:pPr>
              <w:pStyle w:val="851"/>
              <w:jc w:val="left"/>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有3年以上工程管理或运维管理工作经验，提供工作经验证明，格式自拟，同时提供</w:t>
            </w:r>
            <w:r>
              <w:rPr>
                <w:rFonts w:hint="eastAsia" w:ascii="宋体" w:hAnsi="宋体" w:cs="宋体"/>
                <w:i/>
                <w:iCs/>
                <w:color w:val="000000"/>
                <w:szCs w:val="21"/>
                <w:highlight w:val="none"/>
                <w:lang w:bidi="ar"/>
              </w:rPr>
              <w:t xml:space="preserve">开</w:t>
            </w:r>
            <w:r>
              <w:rPr>
                <w:rFonts w:hint="eastAsia" w:ascii="宋体" w:hAnsi="宋体" w:cs="宋体"/>
                <w:i/>
                <w:iCs/>
                <w:color w:val="000000"/>
                <w:szCs w:val="21"/>
                <w:highlight w:val="none"/>
                <w:u w:val="single"/>
                <w:lang w:bidi="ar"/>
              </w:rPr>
              <w:t xml:space="preserve">标前六个月内任意一个月（不含投标当月）投标人为其缴纳的社保证明</w:t>
            </w:r>
            <w:r>
              <w:rPr>
                <w:rFonts w:ascii="宋体" w:hAnsi="宋体" w:cs="宋体"/>
                <w:i/>
                <w:iCs/>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2</w:t>
            </w:r>
            <w:r>
              <w:rPr>
                <w:rFonts w:hint="eastAsia" w:ascii="宋体" w:hAnsi="宋体" w:cs="宋体"/>
                <w:i/>
                <w:iCs/>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技术负责人</w:t>
            </w:r>
            <w:r>
              <w:rPr>
                <w:rFonts w:ascii="宋体" w:hAnsi="宋体" w:cs="宋体"/>
                <w:i/>
                <w:iCs/>
                <w:color w:val="000000"/>
                <w:szCs w:val="21"/>
                <w:highlight w:val="none"/>
                <w:u w:val="single"/>
              </w:rPr>
            </w:r>
            <w:r/>
          </w:p>
        </w:tc>
        <w:tc>
          <w:tcPr>
            <w:tcW w:w="1663" w:type="dxa"/>
            <w:vAlign w:val="center"/>
            <w:textDirection w:val="lrTb"/>
            <w:noWrap w:val="false"/>
          </w:tcPr>
          <w:p>
            <w:pPr>
              <w:pStyle w:val="851"/>
              <w:jc w:val="center"/>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1人</w:t>
            </w:r>
            <w:r>
              <w:rPr>
                <w:rFonts w:ascii="宋体" w:hAnsi="宋体" w:cs="宋体"/>
                <w:i/>
                <w:iCs/>
                <w:color w:val="000000"/>
                <w:szCs w:val="21"/>
                <w:highlight w:val="none"/>
                <w:u w:val="single"/>
              </w:rPr>
            </w:r>
            <w:r/>
          </w:p>
        </w:tc>
        <w:tc>
          <w:tcPr>
            <w:tcW w:w="4371" w:type="dxa"/>
            <w:vAlign w:val="center"/>
            <w:textDirection w:val="lrTb"/>
            <w:noWrap w:val="false"/>
          </w:tcPr>
          <w:p>
            <w:pPr>
              <w:pStyle w:val="851"/>
              <w:jc w:val="left"/>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有工程管理或运维管理工作经验，提供工作经验证明，格式自拟，同时提供</w:t>
            </w:r>
            <w:r>
              <w:rPr>
                <w:rFonts w:hint="eastAsia" w:ascii="宋体" w:hAnsi="宋体" w:cs="宋体"/>
                <w:i/>
                <w:iCs/>
                <w:color w:val="000000"/>
                <w:szCs w:val="21"/>
                <w:highlight w:val="none"/>
                <w:u w:val="single"/>
                <w:lang w:bidi="ar"/>
              </w:rPr>
              <w:t xml:space="preserve">开标前六个月内任意一个月（不含投标当月）投标人为其缴纳的社保证明</w:t>
            </w:r>
            <w:r>
              <w:rPr>
                <w:rFonts w:ascii="宋体" w:hAnsi="宋体" w:cs="宋体"/>
                <w:i/>
                <w:iCs/>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3</w:t>
            </w:r>
            <w:r>
              <w:rPr>
                <w:rFonts w:hint="eastAsia" w:ascii="宋体" w:hAnsi="宋体" w:cs="宋体"/>
                <w:i/>
                <w:iCs/>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项目组成员</w:t>
            </w:r>
            <w:r>
              <w:rPr>
                <w:rFonts w:ascii="宋体" w:hAnsi="宋体" w:cs="宋体"/>
                <w:i/>
                <w:iCs/>
                <w:color w:val="000000"/>
                <w:szCs w:val="21"/>
                <w:highlight w:val="none"/>
                <w:u w:val="single"/>
              </w:rPr>
            </w:r>
            <w:r/>
          </w:p>
        </w:tc>
        <w:tc>
          <w:tcPr>
            <w:tcW w:w="1663" w:type="dxa"/>
            <w:vAlign w:val="center"/>
            <w:textDirection w:val="lrTb"/>
            <w:noWrap w:val="false"/>
          </w:tcPr>
          <w:p>
            <w:pPr>
              <w:pStyle w:val="851"/>
              <w:jc w:val="center"/>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至少6人</w:t>
            </w:r>
            <w:r>
              <w:rPr>
                <w:rFonts w:ascii="宋体" w:hAnsi="宋体" w:cs="宋体"/>
                <w:i/>
                <w:iCs/>
                <w:color w:val="000000"/>
                <w:szCs w:val="21"/>
                <w:highlight w:val="none"/>
                <w:u w:val="single"/>
              </w:rPr>
            </w:r>
            <w:r/>
          </w:p>
        </w:tc>
        <w:tc>
          <w:tcPr>
            <w:tcW w:w="4371" w:type="dxa"/>
            <w:vAlign w:val="center"/>
            <w:textDirection w:val="lrTb"/>
            <w:noWrap w:val="false"/>
          </w:tcPr>
          <w:p>
            <w:pPr>
              <w:pStyle w:val="851"/>
              <w:jc w:val="left"/>
              <w:spacing w:line="360" w:lineRule="auto"/>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rPr>
              <w:t xml:space="preserve">处理设施维护人员不少于2人，巡检人员不少于2人，专职安全员不少于1人（提供安全员证书），电工不少于1人（提供电工证书）。提供人员名单，同时提供</w:t>
            </w:r>
            <w:r>
              <w:rPr>
                <w:rFonts w:hint="eastAsia" w:ascii="宋体" w:hAnsi="宋体" w:cs="宋体"/>
                <w:i/>
                <w:iCs/>
                <w:color w:val="000000"/>
                <w:szCs w:val="21"/>
                <w:highlight w:val="none"/>
                <w:u w:val="single"/>
                <w:lang w:bidi="ar"/>
              </w:rPr>
              <w:t xml:space="preserve">开标前六个月内任意一个月（不含投标当月）投标人为项目组成员缴纳的社保证明</w:t>
            </w:r>
            <w:r>
              <w:rPr>
                <w:rFonts w:hint="eastAsia" w:ascii="宋体" w:hAnsi="宋体" w:cs="宋体"/>
                <w:i/>
                <w:iCs/>
                <w:color w:val="000000"/>
                <w:szCs w:val="21"/>
                <w:highlight w:val="none"/>
                <w:u w:val="single"/>
                <w:lang w:bidi="ar"/>
              </w:rPr>
            </w:r>
            <w:r/>
          </w:p>
          <w:p>
            <w:pPr>
              <w:pStyle w:val="851"/>
              <w:jc w:val="left"/>
              <w:spacing w:line="360" w:lineRule="auto"/>
              <w:rPr>
                <w:rFonts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注：</w:t>
            </w:r>
            <w:r>
              <w:rPr>
                <w:rFonts w:hint="eastAsia" w:ascii="宋体" w:hAnsi="宋体" w:cs="宋体"/>
                <w:i/>
                <w:iCs/>
                <w:color w:val="000000"/>
                <w:szCs w:val="21"/>
                <w:highlight w:val="none"/>
                <w:u w:val="single"/>
              </w:rPr>
              <w:t xml:space="preserve">安全员证书是指：①由住建部门核发的安全生产考核证C证；②由人社部门和应急管理部门核发的注册安全工程师。电工证书是指：①由住建部门核发的建筑施工特种作业操作资格证（建筑电工）。②由应急管理部门核发的特种作业操作证（电工作业）；</w:t>
            </w:r>
            <w:r>
              <w:rPr>
                <w:rFonts w:ascii="宋体" w:hAnsi="宋体" w:cs="宋体"/>
                <w:i/>
                <w:iCs/>
                <w:color w:val="000000"/>
                <w:szCs w:val="21"/>
                <w:highlight w:val="none"/>
                <w:u w:val="single"/>
                <w:lang w:bidi="ar"/>
              </w:rPr>
            </w:r>
            <w:r/>
          </w:p>
        </w:tc>
      </w:tr>
    </w:tbl>
    <w:p>
      <w:pPr>
        <w:pStyle w:val="1319"/>
        <w:ind w:firstLine="482"/>
        <w:spacing w:line="480" w:lineRule="exact"/>
        <w:rPr>
          <w:rFonts w:hint="eastAsia" w:cs="宋体"/>
          <w:b/>
          <w:bCs/>
          <w:i/>
          <w:iCs/>
          <w:color w:val="000000"/>
          <w:sz w:val="24"/>
          <w:szCs w:val="24"/>
          <w:highlight w:val="none"/>
          <w:u w:val="single"/>
          <w:lang w:eastAsia="zh-CN"/>
        </w:rPr>
      </w:pPr>
      <w:r>
        <w:rPr>
          <w:rFonts w:hint="eastAsia" w:cs="宋体"/>
          <w:b/>
          <w:bCs/>
          <w:i/>
          <w:iCs/>
          <w:color w:val="000000"/>
          <w:sz w:val="24"/>
          <w:szCs w:val="24"/>
          <w:highlight w:val="none"/>
          <w:u w:val="single"/>
          <w:lang w:eastAsia="zh-CN"/>
        </w:rPr>
      </w:r>
      <w:r/>
    </w:p>
    <w:p>
      <w:pPr>
        <w:pStyle w:val="1319"/>
        <w:spacing w:line="440" w:lineRule="exact"/>
        <w:rPr>
          <w:b/>
          <w:color w:val="000000"/>
          <w:sz w:val="24"/>
          <w:highlight w:val="none"/>
          <w:lang w:eastAsia="zh-CN"/>
        </w:rPr>
      </w:pPr>
      <w:r>
        <w:rPr>
          <w:rFonts w:hint="eastAsia"/>
          <w:b/>
          <w:color w:val="000000"/>
          <w:sz w:val="24"/>
          <w:highlight w:val="none"/>
          <w:lang w:eastAsia="zh-CN"/>
        </w:rPr>
        <w:t xml:space="preserve">四、服务期限</w:t>
      </w:r>
      <w:r>
        <w:rPr>
          <w:b/>
          <w:color w:val="000000"/>
          <w:sz w:val="24"/>
          <w:highlight w:val="none"/>
          <w:lang w:eastAsia="zh-CN"/>
        </w:rPr>
      </w:r>
      <w:r/>
    </w:p>
    <w:p>
      <w:pPr>
        <w:pStyle w:val="851"/>
        <w:ind w:firstLine="480"/>
        <w:jc w:val="left"/>
        <w:spacing w:line="480" w:lineRule="exact"/>
        <w:tabs>
          <w:tab w:val="left" w:pos="99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两年。</w:t>
      </w:r>
      <w:bookmarkEnd w:id="305"/>
      <w:r/>
      <w:bookmarkEnd w:id="306"/>
      <w:r/>
      <w:bookmarkEnd w:id="307"/>
      <w:r>
        <w:rPr>
          <w:rFonts w:ascii="宋体" w:hAnsi="宋体" w:cs="宋体"/>
          <w:color w:val="000000"/>
          <w:sz w:val="24"/>
          <w:szCs w:val="24"/>
          <w:highlight w:val="none"/>
        </w:rPr>
      </w:r>
      <w:r/>
    </w:p>
    <w:p>
      <w:pPr>
        <w:pStyle w:val="1319"/>
        <w:numPr>
          <w:ilvl w:val="0"/>
          <w:numId w:val="22"/>
        </w:numPr>
        <w:spacing w:line="440" w:lineRule="exact"/>
        <w:rPr>
          <w:b/>
          <w:color w:val="000000"/>
          <w:sz w:val="24"/>
          <w:highlight w:val="none"/>
          <w:lang w:eastAsia="zh-CN"/>
        </w:rPr>
      </w:pPr>
      <w:r>
        <w:rPr>
          <w:rFonts w:hint="eastAsia"/>
          <w:b/>
          <w:color w:val="000000"/>
          <w:sz w:val="24"/>
          <w:highlight w:val="none"/>
          <w:lang w:eastAsia="zh-CN"/>
        </w:rPr>
        <w:t xml:space="preserve">其他要求</w:t>
      </w:r>
      <w:r>
        <w:rPr>
          <w:b/>
          <w:color w:val="000000"/>
          <w:sz w:val="24"/>
          <w:highlight w:val="none"/>
          <w:lang w:eastAsia="zh-CN"/>
        </w:rPr>
      </w:r>
      <w:r/>
    </w:p>
    <w:p>
      <w:pPr>
        <w:pStyle w:val="1319"/>
        <w:numPr>
          <w:ilvl w:val="0"/>
          <w:numId w:val="0"/>
        </w:numPr>
        <w:ind w:firstLine="482"/>
        <w:keepLines w:val="0"/>
        <w:keepNext w:val="0"/>
        <w:pageBreakBefore w:val="0"/>
        <w:spacing w:after="181" w:line="44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bidi="ar-SA"/>
        </w:rPr>
        <w:t xml:space="preserve">1.</w:t>
      </w:r>
      <w:r>
        <w:rPr>
          <w:rFonts w:hint="eastAsia"/>
          <w:b/>
          <w:color w:val="000000"/>
          <w:sz w:val="24"/>
          <w:highlight w:val="none"/>
          <w:lang w:eastAsia="zh-CN"/>
        </w:rPr>
        <w:t xml:space="preserve">报价要求：</w:t>
      </w:r>
      <w:r>
        <w:rPr>
          <w:rFonts w:ascii="Times New Roman" w:hAnsi="Times New Roman"/>
          <w:color w:val="000000"/>
          <w:sz w:val="24"/>
          <w:szCs w:val="24"/>
          <w:highlight w:val="none"/>
          <w:lang w:eastAsia="zh-CN"/>
        </w:rPr>
        <w:t xml:space="preserve">投标报价是根据</w:t>
      </w:r>
      <w:r>
        <w:rPr>
          <w:rFonts w:hint="eastAsia" w:ascii="Times New Roman" w:hAnsi="Times New Roman"/>
          <w:color w:val="000000"/>
          <w:sz w:val="24"/>
          <w:szCs w:val="24"/>
          <w:highlight w:val="none"/>
          <w:lang w:eastAsia="zh-CN"/>
        </w:rPr>
        <w:t xml:space="preserve">招标</w:t>
      </w:r>
      <w:r>
        <w:rPr>
          <w:rFonts w:ascii="Times New Roman" w:hAnsi="Times New Roman"/>
          <w:color w:val="000000"/>
          <w:sz w:val="24"/>
          <w:szCs w:val="24"/>
          <w:highlight w:val="none"/>
          <w:lang w:eastAsia="zh-CN"/>
        </w:rPr>
        <w:t xml:space="preserve">文件所确定的范围内的完成服务工作内容所需的全部费用。本次投标所报价格应包含</w:t>
      </w:r>
      <w:r>
        <w:rPr>
          <w:rFonts w:hint="eastAsia"/>
          <w:color w:val="000000"/>
          <w:sz w:val="24"/>
          <w:szCs w:val="24"/>
          <w:highlight w:val="none"/>
        </w:rPr>
        <w:t xml:space="preserve">保险费、人工费、材料费、设备费、检测费、日常维护维修费、网络流量费、验收、人</w:t>
      </w:r>
      <w:r>
        <w:rPr>
          <w:rFonts w:ascii="Times New Roman" w:hAnsi="Times New Roman" w:eastAsia="宋体" w:cs="Times New Roman"/>
          <w:color w:val="000000"/>
          <w:sz w:val="24"/>
          <w:szCs w:val="24"/>
          <w:highlight w:val="none"/>
          <w:lang w:eastAsia="zh-CN"/>
        </w:rPr>
        <w:t xml:space="preserve">员培训、利润、</w:t>
      </w:r>
      <w:r>
        <w:rPr>
          <w:rFonts w:ascii="Times New Roman" w:hAnsi="Times New Roman" w:eastAsia="宋体" w:cs="Times New Roman"/>
          <w:color w:val="000000"/>
          <w:sz w:val="24"/>
          <w:szCs w:val="24"/>
          <w:highlight w:val="none"/>
          <w:lang w:val="en-US" w:eastAsia="zh-CN" w:bidi="ar-SA"/>
        </w:rPr>
        <w:t xml:space="preserve">工具器械费、电费、</w:t>
      </w:r>
      <w:r>
        <w:rPr>
          <w:rFonts w:ascii="Times New Roman" w:hAnsi="Times New Roman" w:eastAsia="宋体" w:cs="Times New Roman"/>
          <w:color w:val="000000"/>
          <w:sz w:val="24"/>
          <w:szCs w:val="24"/>
          <w:highlight w:val="none"/>
          <w:lang w:eastAsia="zh-CN"/>
        </w:rPr>
        <w:t xml:space="preserve">员工工资及福利费、修理费</w:t>
      </w:r>
      <w:r>
        <w:rPr>
          <w:rFonts w:ascii="Times New Roman" w:hAnsi="Times New Roman" w:eastAsia="宋体" w:cs="Times New Roman"/>
          <w:b w:val="0"/>
          <w:bCs w:val="0"/>
          <w:color w:val="000000"/>
          <w:sz w:val="24"/>
          <w:szCs w:val="24"/>
          <w:highlight w:val="none"/>
          <w:lang w:eastAsia="zh-CN"/>
        </w:rPr>
        <w:t xml:space="preserve">（不包含大修和</w:t>
      </w:r>
      <w:r>
        <w:rPr>
          <w:rFonts w:hint="eastAsia" w:ascii="宋体" w:hAnsi="宋体" w:cs="宋体"/>
          <w:color w:val="000000"/>
          <w:sz w:val="24"/>
          <w:szCs w:val="24"/>
          <w:highlight w:val="none"/>
        </w:rPr>
        <w:t xml:space="preserve">缺陷责任期</w:t>
      </w:r>
      <w:r>
        <w:rPr>
          <w:rFonts w:ascii="Times New Roman" w:hAnsi="Times New Roman" w:eastAsia="宋体" w:cs="Times New Roman"/>
          <w:b w:val="0"/>
          <w:bCs w:val="0"/>
          <w:color w:val="000000"/>
          <w:sz w:val="24"/>
          <w:szCs w:val="24"/>
          <w:highlight w:val="none"/>
          <w:lang w:eastAsia="zh-CN"/>
        </w:rPr>
        <w:t xml:space="preserve">内的工程质量问题维修）</w:t>
      </w:r>
      <w:r>
        <w:rPr>
          <w:rFonts w:ascii="Times New Roman" w:hAnsi="Times New Roman" w:eastAsia="宋体" w:cs="Times New Roman"/>
          <w:color w:val="000000"/>
          <w:sz w:val="24"/>
          <w:szCs w:val="24"/>
          <w:highlight w:val="none"/>
          <w:lang w:eastAsia="zh-CN"/>
        </w:rPr>
        <w:t xml:space="preserve">、税费、管理费用及其他运维费用，</w:t>
      </w:r>
      <w:r>
        <w:rPr>
          <w:rFonts w:ascii="Times New Roman" w:hAnsi="Times New Roman" w:eastAsia="宋体" w:cs="Times New Roman"/>
          <w:color w:val="000000"/>
          <w:sz w:val="24"/>
          <w:szCs w:val="24"/>
          <w:highlight w:val="none"/>
          <w:lang w:val="en-US" w:eastAsia="zh-CN" w:bidi="ar-SA"/>
        </w:rPr>
        <w:t xml:space="preserve">招标人不再支付其它任何费用。</w:t>
      </w:r>
      <w:r>
        <w:rPr>
          <w:rFonts w:ascii="Times New Roman" w:hAnsi="Times New Roman" w:eastAsia="宋体" w:cs="Times New Roman"/>
          <w:color w:val="000000"/>
          <w:sz w:val="24"/>
          <w:szCs w:val="24"/>
          <w:highlight w:val="none"/>
          <w:lang w:eastAsia="zh-CN"/>
        </w:rPr>
      </w:r>
      <w:r/>
    </w:p>
    <w:p>
      <w:pPr>
        <w:pStyle w:val="1140"/>
        <w:numPr>
          <w:ilvl w:val="0"/>
          <w:numId w:val="0"/>
        </w:numPr>
        <w:ind w:firstLine="420"/>
        <w:spacing w:line="360" w:lineRule="auto"/>
        <w:rPr>
          <w:color w:val="000000"/>
          <w:highlight w:val="none"/>
        </w:rPr>
      </w:pPr>
      <w:r>
        <w:rPr>
          <w:rFonts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严格执</w:t>
      </w:r>
      <w:r>
        <w:rPr>
          <w:rFonts w:ascii="宋体" w:hAnsi="宋体" w:cs="宋体"/>
          <w:color w:val="000000"/>
          <w:sz w:val="24"/>
          <w:szCs w:val="24"/>
          <w:highlight w:val="none"/>
        </w:rPr>
        <w:t xml:space="preserve">行有限空间作业规定，做</w:t>
      </w:r>
      <w:r>
        <w:rPr>
          <w:rFonts w:ascii="Times New Roman" w:hAnsi="Times New Roman"/>
          <w:color w:val="000000"/>
          <w:sz w:val="24"/>
          <w:szCs w:val="24"/>
          <w:highlight w:val="none"/>
        </w:rPr>
        <w:t xml:space="preserve">到</w:t>
      </w:r>
      <w:r>
        <w:rPr>
          <w:rStyle w:val="926"/>
          <w:rFonts w:ascii="Times New Roman" w:hAnsi="Times New Roman"/>
          <w:b w:val="0"/>
          <w:bCs w:val="0"/>
          <w:color w:val="000000"/>
          <w:sz w:val="24"/>
          <w:szCs w:val="24"/>
          <w:highlight w:val="none"/>
        </w:rPr>
        <w:t xml:space="preserve">无证不动工、先通风检测、专人全程监护</w:t>
      </w:r>
      <w:r>
        <w:rPr>
          <w:rFonts w:ascii="Times New Roman" w:hAnsi="Times New Roman"/>
          <w:color w:val="000000"/>
          <w:sz w:val="24"/>
          <w:szCs w:val="24"/>
          <w:highlight w:val="none"/>
        </w:rPr>
        <w:t xml:space="preserve">，规范佩戴防护用品，严控现场风险，确保作业安全。</w:t>
      </w:r>
      <w:r>
        <w:rPr>
          <w:rFonts w:hint="eastAsia" w:ascii="Times New Roman" w:hAnsi="Times New Roman"/>
          <w:color w:val="000000"/>
          <w:sz w:val="24"/>
          <w:szCs w:val="24"/>
          <w:highlight w:val="none"/>
        </w:rPr>
        <w:t xml:space="preserve">所有有限空间作业须上报招标人，经招标人同意后方可实施。</w:t>
      </w:r>
      <w:r>
        <w:rPr>
          <w:color w:val="000000"/>
          <w:highlight w:val="none"/>
        </w:rPr>
      </w:r>
      <w:r/>
    </w:p>
    <w:p>
      <w:pPr>
        <w:pStyle w:val="1140"/>
        <w:numPr>
          <w:ilvl w:val="0"/>
          <w:numId w:val="0"/>
        </w:numPr>
        <w:ind w:firstLine="420"/>
        <w:spacing w:line="360" w:lineRule="auto"/>
        <w:rPr>
          <w:color w:val="000000"/>
          <w:highlight w:val="none"/>
        </w:rPr>
      </w:pPr>
      <w:r>
        <w:rPr>
          <w:rFonts w:hint="eastAsia" w:ascii="宋体" w:hAnsi="宋体" w:eastAsia="宋体" w:cs="宋体"/>
          <w:color w:val="000000"/>
          <w:sz w:val="24"/>
          <w:szCs w:val="24"/>
          <w:highlight w:val="none"/>
          <w:lang w:val="en-US" w:eastAsia="zh-CN" w:bidi="ar-SA"/>
        </w:rPr>
        <w:t xml:space="preserve">3.采购需求中涉及</w:t>
      </w:r>
      <w:r>
        <w:rPr>
          <w:rFonts w:hint="eastAsia" w:cs="宋体"/>
          <w:color w:val="000000"/>
          <w:sz w:val="24"/>
          <w:szCs w:val="24"/>
          <w:highlight w:val="none"/>
        </w:rPr>
        <w:t xml:space="preserve">到“定期”“每季度”“每月”等未明确具体日期的，中标人在进场前应当提交详细的工作计划，明确具体时间报招标人审核，</w:t>
      </w:r>
      <w:r>
        <w:rPr>
          <w:color w:val="000000"/>
          <w:highlight w:val="none"/>
        </w:rPr>
      </w:r>
      <w:r/>
    </w:p>
    <w:p>
      <w:pPr>
        <w:pStyle w:val="851"/>
        <w:jc w:val="center"/>
        <w:rPr>
          <w:rFonts w:ascii="宋体" w:hAnsi="宋体" w:cs="宋体"/>
          <w:color w:val="000000"/>
          <w:sz w:val="24"/>
          <w:szCs w:val="24"/>
          <w:highlight w:val="none"/>
        </w:rPr>
      </w:pPr>
      <w:r/>
      <w:bookmarkStart w:id="308" w:name="_Toc18784"/>
      <w:r>
        <w:rPr>
          <w:rFonts w:hint="eastAsia" w:ascii="黑体" w:hAnsi="黑体" w:cs="黑体"/>
          <w:color w:val="000000"/>
          <w:sz w:val="44"/>
          <w:highlight w:val="none"/>
        </w:rPr>
        <w:br w:type="page" w:clear="all"/>
      </w:r>
      <w:r>
        <w:rPr>
          <w:rFonts w:hint="eastAsia" w:ascii="黑体" w:hAnsi="黑体" w:cs="黑体"/>
          <w:color w:val="000000"/>
          <w:sz w:val="44"/>
          <w:highlight w:val="none"/>
        </w:rPr>
        <w:t xml:space="preserve">第五章   评标方法与评标标准</w:t>
      </w:r>
      <w:bookmarkEnd w:id="308"/>
      <w:r>
        <w:rPr>
          <w:rFonts w:ascii="宋体" w:hAnsi="宋体" w:cs="宋体"/>
          <w:color w:val="000000"/>
          <w:sz w:val="24"/>
          <w:szCs w:val="24"/>
          <w:highlight w:val="none"/>
        </w:rPr>
      </w:r>
      <w:r/>
    </w:p>
    <w:p>
      <w:pPr>
        <w:pStyle w:val="851"/>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采用综合评分法的，评标结果按评审后得分由高到低顺序排列。得分相同的，按投标报价由低到高顺序排列。得分且投标报价相同的，由招标人通过抽签方式确定排序。投标文件满足招标文件全部实质性要求，且按照评审因素的量化指标评审得分最高的投标人为中标候选人。本项目选取1名中标候选人。</w:t>
      </w:r>
      <w:r>
        <w:rPr>
          <w:rFonts w:ascii="宋体" w:hAnsi="宋体" w:cs="宋体"/>
          <w:color w:val="000000"/>
          <w:sz w:val="24"/>
          <w:szCs w:val="24"/>
          <w:highlight w:val="none"/>
        </w:rPr>
      </w:r>
      <w:r/>
    </w:p>
    <w:p>
      <w:pPr>
        <w:pStyle w:val="851"/>
        <w:ind w:firstLine="482"/>
        <w:jc w:val="left"/>
        <w:spacing w:before="120" w:after="120" w:line="0" w:lineRule="atLeas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评标方法与评标标准</w:t>
      </w:r>
      <w:r>
        <w:rPr>
          <w:rFonts w:ascii="宋体" w:hAnsi="宋体" w:cs="宋体"/>
          <w:color w:val="000000"/>
          <w:sz w:val="24"/>
          <w:szCs w:val="24"/>
          <w:highlight w:val="none"/>
        </w:rPr>
      </w:r>
      <w:r/>
    </w:p>
    <w:tbl>
      <w:tblPr>
        <w:tblW w:w="921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63"/>
        <w:gridCol w:w="1312"/>
        <w:gridCol w:w="6535"/>
        <w:gridCol w:w="709"/>
      </w:tblGrid>
      <w:tr>
        <w:trPr>
          <w:trHeight w:val="90"/>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ascii="宋体" w:hAnsi="宋体" w:cs="宋体"/>
                <w:b/>
                <w:color w:val="000000"/>
                <w:sz w:val="24"/>
                <w:szCs w:val="24"/>
                <w:highlight w:val="none"/>
              </w:rPr>
            </w:r>
            <w:r/>
          </w:p>
        </w:tc>
        <w:tc>
          <w:tcPr>
            <w:tcMar>
              <w:left w:w="15" w:type="dxa"/>
              <w:top w:w="15" w:type="dxa"/>
              <w:right w:w="15" w:type="dxa"/>
              <w:bottom w:w="0" w:type="dxa"/>
            </w:tcMar>
            <w:tcW w:w="1312"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评审因素</w:t>
            </w:r>
            <w:r>
              <w:rPr>
                <w:rFonts w:ascii="宋体" w:hAnsi="宋体" w:cs="宋体"/>
                <w:b/>
                <w:color w:val="000000"/>
                <w:sz w:val="24"/>
                <w:szCs w:val="24"/>
                <w:highlight w:val="none"/>
              </w:rPr>
            </w:r>
            <w:r/>
          </w:p>
        </w:tc>
        <w:tc>
          <w:tcPr>
            <w:tcMar>
              <w:left w:w="15" w:type="dxa"/>
              <w:top w:w="15" w:type="dxa"/>
              <w:right w:w="15" w:type="dxa"/>
              <w:bottom w:w="0" w:type="dxa"/>
            </w:tcMar>
            <w:tcW w:w="6535"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评分标准说明</w:t>
            </w:r>
            <w:r>
              <w:rPr>
                <w:rFonts w:ascii="宋体" w:hAnsi="宋体" w:cs="宋体"/>
                <w:b/>
                <w:color w:val="000000"/>
                <w:sz w:val="24"/>
                <w:szCs w:val="24"/>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分值</w:t>
            </w:r>
            <w:r>
              <w:rPr>
                <w:rFonts w:ascii="宋体" w:hAnsi="宋体" w:cs="宋体"/>
                <w:b/>
                <w:color w:val="000000"/>
                <w:sz w:val="24"/>
                <w:szCs w:val="24"/>
                <w:highlight w:val="none"/>
              </w:rPr>
            </w:r>
            <w:r/>
          </w:p>
        </w:tc>
      </w:tr>
      <w:tr>
        <w:trPr>
          <w:trHeight w:val="567"/>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w:t>
            </w:r>
            <w:r>
              <w:rPr>
                <w:rFonts w:ascii="宋体" w:hAnsi="宋体" w:cs="宋体"/>
                <w:b/>
                <w:color w:val="000000"/>
                <w:sz w:val="24"/>
                <w:szCs w:val="24"/>
                <w:highlight w:val="none"/>
              </w:rPr>
            </w:r>
            <w:r/>
          </w:p>
        </w:tc>
        <w:tc>
          <w:tcPr>
            <w:gridSpan w:val="2"/>
            <w:tcMar>
              <w:left w:w="15" w:type="dxa"/>
              <w:top w:w="15" w:type="dxa"/>
              <w:right w:w="15" w:type="dxa"/>
              <w:bottom w:w="0" w:type="dxa"/>
            </w:tcMar>
            <w:tcW w:w="7847"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投标报价部分</w:t>
            </w:r>
            <w:r>
              <w:rPr>
                <w:rFonts w:ascii="宋体" w:hAnsi="宋体" w:cs="宋体"/>
                <w:b/>
                <w:color w:val="000000"/>
                <w:sz w:val="24"/>
                <w:szCs w:val="24"/>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w:t>
            </w:r>
            <w:r>
              <w:rPr>
                <w:rFonts w:ascii="宋体" w:hAnsi="宋体" w:cs="宋体"/>
                <w:b/>
                <w:color w:val="000000"/>
                <w:sz w:val="24"/>
                <w:szCs w:val="24"/>
                <w:highlight w:val="none"/>
              </w:rPr>
            </w:r>
            <w:r/>
          </w:p>
        </w:tc>
      </w:tr>
      <w:tr>
        <w:trPr>
          <w:trHeight w:val="1111"/>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Mar>
              <w:left w:w="15" w:type="dxa"/>
              <w:top w:w="15" w:type="dxa"/>
              <w:right w:w="15" w:type="dxa"/>
              <w:bottom w:w="0" w:type="dxa"/>
            </w:tcMar>
            <w:tcW w:w="1312"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投标报价</w:t>
            </w:r>
            <w:r>
              <w:rPr>
                <w:rFonts w:ascii="宋体" w:hAnsi="宋体" w:cs="宋体"/>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按满足</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文件要求且有效投标价格最低的投标报价作为评审基准价，其价格分为满分；其他</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的价格分按以下公式计算：投标报价得分＝（评审基准价/最终投标报价）×10</w:t>
            </w:r>
            <w:r>
              <w:rPr>
                <w:rFonts w:ascii="宋体" w:hAnsi="宋体" w:cs="宋体"/>
                <w:color w:val="000000"/>
                <w:szCs w:val="21"/>
                <w:highlight w:val="none"/>
              </w:rPr>
              <w:t xml:space="preserve">（分值保留两位小数）。</w:t>
            </w:r>
            <w:r>
              <w:rPr>
                <w:rFonts w:ascii="宋体" w:hAnsi="宋体" w:cs="宋体"/>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567"/>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b/>
                <w:color w:val="000000"/>
                <w:szCs w:val="21"/>
                <w:highlight w:val="none"/>
              </w:rPr>
            </w:pPr>
            <w:r>
              <w:rPr>
                <w:rFonts w:hint="eastAsia" w:ascii="宋体" w:hAnsi="宋体" w:cs="宋体"/>
                <w:b/>
                <w:color w:val="000000"/>
                <w:szCs w:val="21"/>
                <w:highlight w:val="none"/>
              </w:rPr>
              <w:t xml:space="preserve">二</w:t>
            </w:r>
            <w:r>
              <w:rPr>
                <w:rFonts w:ascii="宋体" w:hAnsi="宋体" w:cs="宋体"/>
                <w:b/>
                <w:color w:val="000000"/>
                <w:szCs w:val="21"/>
                <w:highlight w:val="none"/>
              </w:rPr>
            </w:r>
            <w:r/>
          </w:p>
        </w:tc>
        <w:tc>
          <w:tcPr>
            <w:gridSpan w:val="2"/>
            <w:tcMar>
              <w:left w:w="15" w:type="dxa"/>
              <w:top w:w="15" w:type="dxa"/>
              <w:right w:w="15" w:type="dxa"/>
              <w:bottom w:w="0" w:type="dxa"/>
            </w:tcMar>
            <w:tcW w:w="7847" w:type="dxa"/>
            <w:vAlign w:val="center"/>
            <w:textDirection w:val="lrTb"/>
            <w:noWrap w:val="false"/>
          </w:tcPr>
          <w:p>
            <w:pPr>
              <w:pStyle w:val="851"/>
              <w:jc w:val="center"/>
              <w:spacing w:line="320" w:lineRule="exact"/>
              <w:rPr>
                <w:rFonts w:ascii="宋体" w:hAnsi="宋体" w:cs="宋体"/>
                <w:b/>
                <w:color w:val="000000"/>
                <w:szCs w:val="21"/>
                <w:highlight w:val="none"/>
              </w:rPr>
            </w:pPr>
            <w:r>
              <w:rPr>
                <w:rFonts w:hint="eastAsia" w:ascii="宋体" w:hAnsi="宋体" w:cs="宋体"/>
                <w:b/>
                <w:color w:val="000000"/>
                <w:szCs w:val="21"/>
                <w:highlight w:val="none"/>
              </w:rPr>
              <w:t xml:space="preserve">商务部分</w:t>
            </w:r>
            <w:r>
              <w:rPr>
                <w:rFonts w:ascii="宋体" w:hAnsi="宋体" w:cs="宋体"/>
                <w:b/>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38</w:t>
            </w:r>
            <w:r>
              <w:rPr>
                <w:rFonts w:ascii="宋体" w:hAnsi="宋体" w:cs="宋体"/>
                <w:b/>
                <w:color w:val="000000"/>
                <w:sz w:val="24"/>
                <w:szCs w:val="24"/>
                <w:highlight w:val="none"/>
              </w:rPr>
            </w:r>
            <w:r/>
          </w:p>
        </w:tc>
      </w:tr>
      <w:tr>
        <w:trPr>
          <w:trHeight w:val="537"/>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Mar>
              <w:left w:w="15" w:type="dxa"/>
              <w:top w:w="15" w:type="dxa"/>
              <w:right w:w="15" w:type="dxa"/>
              <w:bottom w:w="0" w:type="dxa"/>
            </w:tcMar>
            <w:tcW w:w="1312" w:type="dxa"/>
            <w:vAlign w:val="center"/>
            <w:textDirection w:val="lrTb"/>
            <w:noWrap w:val="false"/>
          </w:tcPr>
          <w:p>
            <w:pPr>
              <w:pStyle w:val="851"/>
              <w:jc w:val="center"/>
              <w:spacing w:line="320" w:lineRule="exact"/>
              <w:rPr>
                <w:rFonts w:ascii="宋体" w:hAnsi="宋体" w:cs="Times New Roman"/>
                <w:color w:val="000000"/>
                <w:szCs w:val="21"/>
                <w:highlight w:val="none"/>
              </w:rPr>
            </w:pPr>
            <w:r>
              <w:rPr>
                <w:rFonts w:ascii="宋体" w:hAnsi="宋体" w:cs="宋体"/>
                <w:bCs/>
                <w:color w:val="000000"/>
                <w:szCs w:val="21"/>
                <w:highlight w:val="none"/>
              </w:rPr>
              <w:t xml:space="preserve">管理体系认证</w:t>
            </w:r>
            <w:r>
              <w:rPr>
                <w:rFonts w:ascii="宋体" w:hAnsi="宋体" w:cs="Times New Roman"/>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spacing w:line="320" w:lineRule="exact"/>
              <w:widowControl/>
              <w:rPr>
                <w:color w:val="000000"/>
                <w:szCs w:val="21"/>
                <w:highlight w:val="none"/>
              </w:rPr>
            </w:pPr>
            <w:r>
              <w:rPr>
                <w:rFonts w:hint="eastAsia" w:ascii="宋体" w:hAnsi="宋体" w:cs="宋体"/>
                <w:color w:val="000000"/>
                <w:szCs w:val="21"/>
                <w:highlight w:val="none"/>
                <w:lang w:bidi="ar"/>
              </w:rPr>
              <w:t xml:space="preserve">投标人具有有效期内的质量管理体系认证证书、环境管理体系认证证书、职业健康安全管理体系认证证书（以上三项体系认证范围必须包含水污染治理或生活污水运行服务相关），每提供其中任意一类证书得 2 分，本项最高得 6 分。</w:t>
            </w:r>
            <w:r>
              <w:rPr>
                <w:color w:val="000000"/>
                <w:szCs w:val="21"/>
                <w:highlight w:val="none"/>
              </w:rPr>
            </w:r>
            <w:r/>
          </w:p>
          <w:p>
            <w:pPr>
              <w:pStyle w:val="851"/>
              <w:spacing w:line="320" w:lineRule="exact"/>
              <w:widowControl/>
              <w:rPr>
                <w:rFonts w:ascii="宋体" w:hAnsi="宋体" w:cs="宋体"/>
                <w:bCs/>
                <w:color w:val="000000"/>
                <w:szCs w:val="21"/>
                <w:highlight w:val="none"/>
              </w:rPr>
            </w:pPr>
            <w:r>
              <w:rPr>
                <w:rFonts w:hint="eastAsia" w:ascii="宋体" w:hAnsi="宋体" w:cs="宋体"/>
                <w:b/>
                <w:bCs/>
                <w:color w:val="000000"/>
                <w:szCs w:val="21"/>
                <w:highlight w:val="none"/>
                <w:lang w:bidi="ar"/>
              </w:rPr>
              <w:t xml:space="preserve">评审依据：</w:t>
            </w:r>
            <w:r>
              <w:rPr>
                <w:b/>
                <w:bCs/>
                <w:color w:val="000000"/>
                <w:spacing w:val="8"/>
                <w:highlight w:val="none"/>
              </w:rPr>
              <w:t xml:space="preserve">提供证书扫描件以及全国</w:t>
            </w:r>
            <w:r>
              <w:rPr>
                <w:b/>
                <w:bCs/>
                <w:color w:val="000000"/>
                <w:spacing w:val="9"/>
                <w:highlight w:val="none"/>
              </w:rPr>
              <w:t xml:space="preserve">认证认可信息公共服务平台查</w:t>
            </w:r>
            <w:r>
              <w:rPr>
                <w:b/>
                <w:bCs/>
                <w:color w:val="000000"/>
                <w:spacing w:val="-2"/>
                <w:highlight w:val="none"/>
              </w:rPr>
              <w:t xml:space="preserve">询截图</w:t>
            </w:r>
            <w:r>
              <w:rPr>
                <w:rFonts w:hint="eastAsia" w:ascii="宋体" w:hAnsi="宋体" w:cs="宋体"/>
                <w:b/>
                <w:bCs/>
                <w:color w:val="000000"/>
                <w:szCs w:val="21"/>
                <w:highlight w:val="none"/>
                <w:lang w:bidi="ar"/>
              </w:rPr>
              <w:t xml:space="preserve">，未提供的不得分</w:t>
            </w:r>
            <w:r>
              <w:rPr>
                <w:rFonts w:hint="eastAsia" w:ascii="宋体" w:hAnsi="宋体" w:cs="宋体"/>
                <w:b/>
                <w:bCs/>
                <w:color w:val="000000"/>
                <w:szCs w:val="21"/>
                <w:highlight w:val="none"/>
                <w:lang w:bidi="ar"/>
              </w:rPr>
              <w:t xml:space="preserve">。</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 w:val="24"/>
                <w:szCs w:val="20"/>
                <w:highlight w:val="none"/>
              </w:rPr>
            </w:pPr>
            <w:r>
              <w:rPr>
                <w:rFonts w:hint="eastAsia" w:ascii="宋体" w:hAnsi="宋体" w:cs="宋体"/>
                <w:color w:val="000000"/>
                <w:sz w:val="22"/>
                <w:highlight w:val="none"/>
              </w:rPr>
              <w:t xml:space="preserve">6</w:t>
            </w:r>
            <w:r>
              <w:rPr>
                <w:rFonts w:ascii="宋体" w:hAnsi="宋体" w:cs="宋体"/>
                <w:color w:val="000000"/>
                <w:sz w:val="24"/>
                <w:szCs w:val="20"/>
                <w:highlight w:val="none"/>
              </w:rPr>
            </w:r>
            <w:r/>
          </w:p>
        </w:tc>
      </w:tr>
      <w:tr>
        <w:trPr>
          <w:trHeight w:val="271"/>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Mar>
              <w:left w:w="15" w:type="dxa"/>
              <w:top w:w="15" w:type="dxa"/>
              <w:right w:w="15" w:type="dxa"/>
              <w:bottom w:w="0" w:type="dxa"/>
            </w:tcMar>
            <w:tcW w:w="1312" w:type="dxa"/>
            <w:vAlign w:val="center"/>
            <w:textDirection w:val="lrTb"/>
            <w:noWrap w:val="false"/>
          </w:tcPr>
          <w:p>
            <w:pPr>
              <w:pStyle w:val="851"/>
              <w:jc w:val="center"/>
              <w:spacing w:line="320" w:lineRule="exact"/>
              <w:rPr>
                <w:rFonts w:ascii="宋体" w:hAnsi="宋体" w:cs="宋体"/>
                <w:bCs/>
                <w:color w:val="000000"/>
                <w:sz w:val="44"/>
                <w:szCs w:val="44"/>
                <w:highlight w:val="none"/>
              </w:rPr>
            </w:pPr>
            <w:r>
              <w:rPr>
                <w:rFonts w:hint="eastAsia" w:ascii="宋体" w:hAnsi="宋体" w:cs="宋体"/>
                <w:bCs/>
                <w:color w:val="000000"/>
                <w:sz w:val="21"/>
                <w:szCs w:val="21"/>
                <w:highlight w:val="none"/>
              </w:rPr>
              <w:t xml:space="preserve">类似业绩</w:t>
            </w:r>
            <w:r>
              <w:rPr>
                <w:rFonts w:ascii="宋体" w:hAnsi="宋体" w:cs="宋体"/>
                <w:bCs/>
                <w:color w:val="000000"/>
                <w:sz w:val="44"/>
                <w:szCs w:val="44"/>
                <w:highlight w:val="none"/>
              </w:rPr>
            </w:r>
            <w:r/>
          </w:p>
        </w:tc>
        <w:tc>
          <w:tcPr>
            <w:tcMar>
              <w:left w:w="15" w:type="dxa"/>
              <w:top w:w="15" w:type="dxa"/>
              <w:right w:w="15" w:type="dxa"/>
              <w:bottom w:w="0" w:type="dxa"/>
            </w:tcMar>
            <w:tcW w:w="6535" w:type="dxa"/>
            <w:vAlign w:val="center"/>
            <w:textDirection w:val="lrTb"/>
            <w:noWrap w:val="false"/>
          </w:tcPr>
          <w:p>
            <w:pPr>
              <w:pStyle w:val="851"/>
              <w:spacing w:line="320" w:lineRule="exact"/>
              <w:rPr>
                <w:color w:val="000000"/>
                <w:szCs w:val="21"/>
                <w:highlight w:val="none"/>
              </w:rPr>
            </w:pPr>
            <w:r>
              <w:rPr>
                <w:rFonts w:hint="eastAsia"/>
                <w:color w:val="000000"/>
                <w:szCs w:val="21"/>
                <w:highlight w:val="none"/>
              </w:rPr>
              <w:t xml:space="preserve">2023年以来（以合同签订时间为准）至今，</w:t>
            </w:r>
            <w:r>
              <w:rPr>
                <w:rFonts w:hint="eastAsia" w:ascii="宋体" w:hAnsi="宋体" w:cs="宋体"/>
                <w:bCs/>
                <w:color w:val="000000"/>
                <w:szCs w:val="21"/>
                <w:highlight w:val="none"/>
              </w:rPr>
              <w:t xml:space="preserve">承接过</w:t>
            </w:r>
            <w:r>
              <w:rPr>
                <w:rFonts w:hint="eastAsia" w:ascii="宋体" w:hAnsi="宋体" w:cs="宋体"/>
                <w:color w:val="000000"/>
                <w:szCs w:val="21"/>
                <w:highlight w:val="none"/>
                <w:lang w:bidi="ar"/>
              </w:rPr>
              <w:t xml:space="preserve">生活污水运维业绩</w:t>
            </w:r>
            <w:r>
              <w:rPr>
                <w:rFonts w:hint="eastAsia" w:ascii="宋体" w:hAnsi="宋体" w:cs="宋体"/>
                <w:bCs/>
                <w:color w:val="000000"/>
                <w:szCs w:val="21"/>
                <w:highlight w:val="none"/>
              </w:rPr>
              <w:t xml:space="preserve">的，每提供一个业绩得3分，最高为9分。</w:t>
            </w:r>
            <w:r>
              <w:rPr>
                <w:color w:val="000000"/>
                <w:szCs w:val="21"/>
                <w:highlight w:val="none"/>
              </w:rPr>
            </w:r>
            <w:r/>
          </w:p>
          <w:p>
            <w:pPr>
              <w:pStyle w:val="956"/>
              <w:spacing w:before="0" w:after="0" w:line="320" w:lineRule="exact"/>
              <w:rPr>
                <w:color w:val="000000"/>
                <w:sz w:val="21"/>
                <w:szCs w:val="21"/>
                <w:highlight w:val="none"/>
              </w:rPr>
            </w:pPr>
            <w:r>
              <w:rPr>
                <w:rFonts w:hint="eastAsia" w:ascii="宋体" w:hAnsi="宋体" w:eastAsia="宋体" w:cs="宋体"/>
                <w:color w:val="000000"/>
                <w:sz w:val="21"/>
                <w:szCs w:val="21"/>
                <w:highlight w:val="none"/>
                <w:lang w:bidi="ar"/>
              </w:rPr>
              <w:t xml:space="preserve">评审依据：提供中标通知书（或成交通知书）扫描件、合同扫描件、任意一次付款发票凭证</w:t>
            </w:r>
            <w:r>
              <w:rPr>
                <w:rFonts w:hint="eastAsia" w:ascii="宋体" w:hAnsi="宋体"/>
                <w:color w:val="000000"/>
                <w:sz w:val="21"/>
                <w:szCs w:val="21"/>
                <w:highlight w:val="none"/>
              </w:rPr>
              <w:t xml:space="preserve">（</w:t>
            </w:r>
            <w:r>
              <w:rPr>
                <w:rFonts w:hint="eastAsia" w:ascii="宋体" w:hAnsi="宋体" w:eastAsia="宋体" w:cs="宋体"/>
                <w:color w:val="000000"/>
                <w:sz w:val="21"/>
                <w:szCs w:val="21"/>
                <w:highlight w:val="none"/>
              </w:rPr>
              <w:t xml:space="preserve">发票存根联或记账联，开票日期为招标公告发布之日前</w:t>
            </w:r>
            <w:r>
              <w:rPr>
                <w:rFonts w:hint="eastAsia" w:ascii="宋体" w:hAnsi="宋体"/>
                <w:color w:val="000000"/>
                <w:sz w:val="21"/>
                <w:szCs w:val="21"/>
                <w:highlight w:val="none"/>
              </w:rPr>
              <w:t xml:space="preserve">）</w:t>
            </w:r>
            <w:r>
              <w:rPr>
                <w:rFonts w:hint="eastAsia" w:ascii="宋体" w:hAnsi="宋体" w:eastAsia="宋体" w:cs="宋体"/>
                <w:color w:val="000000"/>
                <w:sz w:val="21"/>
                <w:szCs w:val="21"/>
                <w:highlight w:val="none"/>
                <w:lang w:bidi="ar"/>
              </w:rPr>
              <w:t xml:space="preserve">。</w:t>
            </w:r>
            <w:r>
              <w:rPr>
                <w:color w:val="000000"/>
                <w:sz w:val="21"/>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 w:val="22"/>
                <w:szCs w:val="18"/>
                <w:highlight w:val="none"/>
              </w:rPr>
            </w:pPr>
            <w:r>
              <w:rPr>
                <w:rFonts w:hint="eastAsia" w:ascii="宋体" w:hAnsi="宋体" w:cs="宋体"/>
                <w:color w:val="000000"/>
                <w:sz w:val="22"/>
                <w:szCs w:val="18"/>
                <w:highlight w:val="none"/>
              </w:rPr>
              <w:t xml:space="preserve">9</w:t>
            </w:r>
            <w:r>
              <w:rPr>
                <w:rFonts w:ascii="宋体" w:hAnsi="宋体" w:cs="宋体"/>
                <w:color w:val="000000"/>
                <w:sz w:val="22"/>
                <w:szCs w:val="18"/>
                <w:highlight w:val="none"/>
              </w:rPr>
            </w:r>
            <w:r/>
          </w:p>
        </w:tc>
      </w:tr>
      <w:tr>
        <w:trPr>
          <w:trHeight w:val="271"/>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Mar>
              <w:left w:w="15" w:type="dxa"/>
              <w:top w:w="15" w:type="dxa"/>
              <w:right w:w="15" w:type="dxa"/>
              <w:bottom w:w="0" w:type="dxa"/>
            </w:tcMar>
            <w:tcW w:w="1312" w:type="dxa"/>
            <w:vAlign w:val="center"/>
            <w:textDirection w:val="lrTb"/>
            <w:noWrap w:val="false"/>
          </w:tcPr>
          <w:p>
            <w:pPr>
              <w:pStyle w:val="851"/>
              <w:jc w:val="center"/>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人员配置</w:t>
            </w:r>
            <w:r>
              <w:rPr>
                <w:rFonts w:ascii="宋体" w:hAnsi="宋体" w:cs="宋体"/>
                <w:bCs/>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spacing w:line="320" w:lineRule="exact"/>
              <w:widowControl/>
              <w:rPr>
                <w:color w:val="000000"/>
                <w:szCs w:val="21"/>
                <w:highlight w:val="none"/>
              </w:rPr>
            </w:pPr>
            <w:r>
              <w:rPr>
                <w:rFonts w:hint="eastAsia" w:ascii="宋体" w:hAnsi="宋体" w:cs="宋体"/>
                <w:b/>
                <w:bCs/>
                <w:color w:val="000000"/>
                <w:szCs w:val="21"/>
                <w:highlight w:val="none"/>
                <w:lang w:bidi="ar"/>
              </w:rPr>
              <w:t xml:space="preserve">1、投标人拟派的项目负责人（5分）：</w:t>
            </w:r>
            <w:r>
              <w:rPr>
                <w:color w:val="000000"/>
                <w:szCs w:val="21"/>
                <w:highlight w:val="none"/>
              </w:rPr>
            </w:r>
            <w:r/>
          </w:p>
          <w:p>
            <w:pPr>
              <w:pStyle w:val="851"/>
              <w:spacing w:line="32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（1）具有环境类相关专业高级及以上职称得 4 分，具有环境类相关专业中级职称得 2 分；</w:t>
            </w:r>
            <w:r>
              <w:rPr>
                <w:rFonts w:hint="eastAsia" w:ascii="宋体" w:hAnsi="宋体" w:cs="宋体"/>
                <w:color w:val="000000"/>
                <w:szCs w:val="21"/>
                <w:highlight w:val="none"/>
                <w:lang w:bidi="ar"/>
              </w:rPr>
            </w:r>
            <w:r/>
          </w:p>
          <w:p>
            <w:pPr>
              <w:pStyle w:val="851"/>
              <w:spacing w:line="320" w:lineRule="exac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（2）以项目负责人身份承担过生活污水运维业绩的得1 分；</w:t>
            </w:r>
            <w:r>
              <w:rPr>
                <w:rFonts w:ascii="宋体" w:hAnsi="宋体" w:cs="宋体"/>
                <w:color w:val="000000"/>
                <w:szCs w:val="21"/>
                <w:highlight w:val="none"/>
                <w:lang w:bidi="ar"/>
              </w:rPr>
            </w:r>
            <w:r/>
          </w:p>
          <w:p>
            <w:pPr>
              <w:pStyle w:val="851"/>
              <w:spacing w:line="320" w:lineRule="exac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评审依据：第（1）项提供相关证书扫描件及开标前六个月内任意一个月（不含投标当月）投标人为其缴纳的社保证明扫描件；第（2）项提供中标通知书（或成交通知书）、合同扫描件以及任意一次付款发票凭证（发票存根联或记账联，开票日期为招标公告发布之日前），如中标通知书（或成交通知书）、合同无法体现项目负责人名字的，不予认可；</w:t>
            </w:r>
            <w:r>
              <w:rPr>
                <w:rFonts w:hint="eastAsia" w:ascii="宋体" w:hAnsi="宋体" w:cs="宋体"/>
                <w:b/>
                <w:bCs/>
                <w:color w:val="000000"/>
                <w:szCs w:val="21"/>
                <w:highlight w:val="none"/>
                <w:lang w:bidi="ar"/>
              </w:rPr>
            </w:r>
            <w:r/>
          </w:p>
          <w:p>
            <w:pPr>
              <w:pStyle w:val="851"/>
              <w:numPr>
                <w:ilvl w:val="0"/>
                <w:numId w:val="23"/>
              </w:numPr>
              <w:spacing w:line="320" w:lineRule="exac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投标人拟派的技术负责人（4分）：</w:t>
            </w:r>
            <w:r>
              <w:rPr>
                <w:rFonts w:hint="eastAsia" w:ascii="宋体" w:hAnsi="宋体" w:cs="宋体"/>
                <w:b/>
                <w:bCs/>
                <w:color w:val="000000"/>
                <w:szCs w:val="21"/>
                <w:highlight w:val="none"/>
                <w:lang w:bidi="ar"/>
              </w:rPr>
            </w:r>
            <w:r/>
          </w:p>
          <w:p>
            <w:pPr>
              <w:pStyle w:val="851"/>
              <w:numPr>
                <w:ilvl w:val="0"/>
                <w:numId w:val="24"/>
              </w:numPr>
              <w:spacing w:line="32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具有环境类相关专业高级及以上职称得 4 分，具有环境类相关专业中级职称得 2 分；</w:t>
            </w:r>
            <w:r>
              <w:rPr>
                <w:rFonts w:hint="eastAsia" w:ascii="宋体" w:hAnsi="宋体" w:cs="宋体"/>
                <w:color w:val="000000"/>
                <w:szCs w:val="21"/>
                <w:highlight w:val="none"/>
                <w:lang w:bidi="ar"/>
              </w:rPr>
            </w:r>
            <w:r/>
          </w:p>
          <w:p>
            <w:pPr>
              <w:pStyle w:val="851"/>
              <w:numPr>
                <w:ilvl w:val="0"/>
                <w:numId w:val="0"/>
              </w:numPr>
              <w:spacing w:line="320" w:lineRule="exact"/>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评审依据：提供相关证书扫描件及开标前六个月内任意一个月（不含投标当月）投标人为其缴纳的社保证明扫描件。</w:t>
            </w:r>
            <w:r>
              <w:rPr>
                <w:rFonts w:ascii="宋体" w:hAnsi="宋体" w:cs="宋体"/>
                <w:b/>
                <w:bCs/>
                <w:color w:val="000000"/>
                <w:szCs w:val="21"/>
                <w:highlight w:val="none"/>
                <w:lang w:bidi="ar"/>
              </w:rPr>
            </w:r>
            <w:r/>
          </w:p>
          <w:p>
            <w:pPr>
              <w:pStyle w:val="851"/>
              <w:spacing w:line="320" w:lineRule="exact"/>
              <w:widowControl/>
              <w:rPr>
                <w:color w:val="000000"/>
                <w:szCs w:val="21"/>
                <w:highlight w:val="none"/>
              </w:rPr>
            </w:pPr>
            <w:r>
              <w:rPr>
                <w:rFonts w:hint="eastAsia" w:ascii="宋体" w:hAnsi="宋体" w:cs="宋体"/>
                <w:b/>
                <w:bCs/>
                <w:color w:val="000000"/>
                <w:szCs w:val="21"/>
                <w:highlight w:val="none"/>
                <w:lang w:bidi="ar"/>
              </w:rPr>
              <w:t xml:space="preserve">3、投标人拟派的项目组成员（4分）：</w:t>
            </w:r>
            <w:r>
              <w:rPr>
                <w:color w:val="000000"/>
                <w:szCs w:val="21"/>
                <w:highlight w:val="none"/>
              </w:rPr>
            </w:r>
            <w:r/>
          </w:p>
          <w:p>
            <w:pPr>
              <w:pStyle w:val="851"/>
              <w:spacing w:line="32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（1）具备</w:t>
            </w:r>
            <w:r>
              <w:rPr>
                <w:rFonts w:hint="eastAsia" w:ascii="宋体" w:hAnsi="宋体" w:cs="宋体"/>
                <w:bCs/>
                <w:color w:val="000000"/>
                <w:szCs w:val="21"/>
                <w:highlight w:val="none"/>
              </w:rPr>
              <w:t xml:space="preserve">污废水处理工证书的，有1人得1分，最高得2分</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51"/>
              <w:spacing w:line="32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（2）具备二级建造师（市政公用工程）及以上的，有1人得1分，最高得2分；</w:t>
            </w:r>
            <w:r>
              <w:rPr>
                <w:rFonts w:hint="eastAsia" w:ascii="宋体" w:hAnsi="宋体" w:cs="宋体"/>
                <w:color w:val="000000"/>
                <w:szCs w:val="21"/>
                <w:highlight w:val="none"/>
                <w:lang w:bidi="ar"/>
              </w:rPr>
            </w:r>
            <w:r/>
          </w:p>
          <w:p>
            <w:pPr>
              <w:pStyle w:val="956"/>
              <w:spacing w:before="0" w:after="0" w:line="320" w:lineRule="exact"/>
              <w:rPr>
                <w:rFonts w:ascii="宋体" w:hAnsi="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评审依据：以上人员同一人仅计分1次，附相关证书扫描件及开标前六个月内任意一个月（不含投标当月）投标人为其缴纳的社保证明扫描件。</w:t>
            </w:r>
            <w:r>
              <w:rPr>
                <w:rFonts w:ascii="宋体" w:hAnsi="宋体" w:cs="宋体"/>
                <w:color w:val="000000"/>
                <w:sz w:val="21"/>
                <w:szCs w:val="21"/>
                <w:highlight w:val="none"/>
                <w:lang w:bidi="ar"/>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 w:val="22"/>
                <w:szCs w:val="18"/>
                <w:highlight w:val="none"/>
              </w:rPr>
            </w:pPr>
            <w:r>
              <w:rPr>
                <w:rFonts w:hint="eastAsia" w:ascii="宋体" w:hAnsi="宋体" w:cs="宋体"/>
                <w:color w:val="000000"/>
                <w:sz w:val="22"/>
                <w:szCs w:val="18"/>
                <w:highlight w:val="none"/>
              </w:rPr>
              <w:t xml:space="preserve">13</w:t>
            </w:r>
            <w:r>
              <w:rPr>
                <w:rFonts w:ascii="宋体" w:hAnsi="宋体" w:cs="宋体"/>
                <w:color w:val="000000"/>
                <w:sz w:val="22"/>
                <w:szCs w:val="18"/>
                <w:highlight w:val="none"/>
              </w:rPr>
            </w:r>
            <w:r/>
          </w:p>
        </w:tc>
      </w:tr>
      <w:tr>
        <w:trPr>
          <w:trHeight w:val="271"/>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Mar>
              <w:left w:w="15" w:type="dxa"/>
              <w:top w:w="15" w:type="dxa"/>
              <w:right w:w="15" w:type="dxa"/>
              <w:bottom w:w="0" w:type="dxa"/>
            </w:tcMar>
            <w:tcW w:w="1312" w:type="dxa"/>
            <w:vAlign w:val="center"/>
            <w:textDirection w:val="lrTb"/>
            <w:noWrap w:val="false"/>
          </w:tcPr>
          <w:p>
            <w:pPr>
              <w:pStyle w:val="851"/>
              <w:jc w:val="center"/>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运维设备配置</w:t>
            </w:r>
            <w:r>
              <w:rPr>
                <w:rFonts w:ascii="宋体" w:hAnsi="宋体" w:cs="宋体"/>
                <w:bCs/>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spacing w:line="320" w:lineRule="exact"/>
              <w:widowControl/>
              <w:rPr>
                <w:color w:val="000000"/>
                <w:szCs w:val="21"/>
                <w:highlight w:val="none"/>
              </w:rPr>
            </w:pPr>
            <w:r>
              <w:rPr>
                <w:rFonts w:hint="eastAsia" w:ascii="宋体" w:hAnsi="宋体" w:cs="宋体"/>
                <w:color w:val="000000"/>
                <w:szCs w:val="21"/>
                <w:highlight w:val="none"/>
                <w:lang w:bidi="ar"/>
              </w:rPr>
              <w:t xml:space="preserve">拟投入本项目运维工作设备配备情况：</w:t>
            </w:r>
            <w:r>
              <w:rPr>
                <w:color w:val="000000"/>
                <w:szCs w:val="21"/>
                <w:highlight w:val="none"/>
              </w:rPr>
            </w:r>
            <w:r/>
          </w:p>
          <w:p>
            <w:pPr>
              <w:pStyle w:val="851"/>
              <w:numPr>
                <w:ilvl w:val="0"/>
                <w:numId w:val="25"/>
              </w:numPr>
              <w:spacing w:line="320" w:lineRule="exac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投标人提供运维巡查车（小型轿车、多用途货车）每配备1辆得2分，最多得4分；吸污车每配备1辆得2分，最多得2分；疏通车每配备1辆得2分，最多得2分。本项最高得8分。</w:t>
            </w:r>
            <w:r>
              <w:rPr>
                <w:rFonts w:ascii="宋体" w:hAnsi="宋体" w:cs="宋体"/>
                <w:color w:val="000000"/>
                <w:szCs w:val="21"/>
                <w:highlight w:val="none"/>
                <w:lang w:bidi="ar"/>
              </w:rPr>
            </w:r>
            <w:r/>
          </w:p>
          <w:p>
            <w:pPr>
              <w:pStyle w:val="851"/>
              <w:spacing w:line="320" w:lineRule="exact"/>
              <w:widowControl/>
              <w:rPr>
                <w:rFonts w:ascii="宋体" w:hAnsi="宋体" w:cs="宋体"/>
                <w:color w:val="000000"/>
                <w:szCs w:val="21"/>
                <w:highlight w:val="none"/>
                <w:lang w:bidi="ar"/>
              </w:rPr>
            </w:pPr>
            <w:r>
              <w:rPr>
                <w:rFonts w:hint="eastAsia" w:ascii="宋体" w:hAnsi="宋体" w:cs="宋体"/>
                <w:b/>
                <w:bCs/>
                <w:color w:val="000000"/>
                <w:szCs w:val="21"/>
                <w:highlight w:val="none"/>
                <w:lang w:bidi="ar"/>
              </w:rPr>
              <w:t xml:space="preserve">评审依据：车辆为投标人所有，提供车辆登记证、行驶证、发票扫描件及车辆照片，未提供或提供不全不得分。租赁车辆的，除提供上述材料外，还需提供租赁合同扫描件</w:t>
            </w:r>
            <w:r>
              <w:rPr>
                <w:rFonts w:hint="eastAsia" w:ascii="宋体" w:hAnsi="宋体" w:cs="宋体"/>
                <w:b/>
                <w:bCs w:val="0"/>
                <w:color w:val="000000"/>
                <w:szCs w:val="21"/>
                <w:highlight w:val="none"/>
              </w:rPr>
              <w:t xml:space="preserve">（租赁合同生效期在</w:t>
            </w:r>
            <w:r>
              <w:rPr>
                <w:rFonts w:hint="eastAsia" w:ascii="宋体" w:hAnsi="宋体"/>
                <w:b/>
                <w:bCs w:val="0"/>
                <w:color w:val="000000"/>
                <w:szCs w:val="21"/>
                <w:highlight w:val="none"/>
              </w:rPr>
              <w:t xml:space="preserve">招标公告发布之日前且租赁期覆盖本项目服务期</w:t>
            </w:r>
            <w:r>
              <w:rPr>
                <w:rFonts w:hint="eastAsia" w:ascii="宋体" w:hAnsi="宋体" w:cs="宋体"/>
                <w:b/>
                <w:bCs w:val="0"/>
                <w:color w:val="000000"/>
                <w:szCs w:val="21"/>
                <w:highlight w:val="none"/>
              </w:rPr>
              <w:t xml:space="preserve">）</w:t>
            </w:r>
            <w:r>
              <w:rPr>
                <w:rFonts w:hint="eastAsia" w:ascii="宋体" w:hAnsi="宋体" w:cs="宋体"/>
                <w:b/>
                <w:bCs/>
                <w:color w:val="000000"/>
                <w:szCs w:val="21"/>
                <w:highlight w:val="none"/>
                <w:lang w:bidi="ar"/>
              </w:rPr>
              <w:t xml:space="preserve">。</w:t>
            </w:r>
            <w:r>
              <w:rPr>
                <w:rFonts w:ascii="宋体" w:hAnsi="宋体" w:cs="宋体"/>
                <w:color w:val="000000"/>
                <w:szCs w:val="21"/>
                <w:highlight w:val="none"/>
                <w:lang w:bidi="ar"/>
              </w:rPr>
            </w:r>
            <w:r/>
          </w:p>
          <w:p>
            <w:pPr>
              <w:pStyle w:val="851"/>
              <w:spacing w:line="320" w:lineRule="exac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2、投标人提供QV管道内窥镜1套得2分；</w:t>
            </w:r>
            <w:r>
              <w:rPr>
                <w:rFonts w:ascii="宋体" w:hAnsi="宋体" w:cs="宋体"/>
                <w:color w:val="000000"/>
                <w:szCs w:val="21"/>
                <w:highlight w:val="none"/>
                <w:lang w:bidi="ar"/>
              </w:rPr>
            </w:r>
            <w:r/>
          </w:p>
          <w:p>
            <w:pPr>
              <w:pStyle w:val="851"/>
              <w:spacing w:line="320" w:lineRule="exact"/>
              <w:widowControl/>
              <w:rPr>
                <w:rFonts w:ascii="宋体" w:hAnsi="宋体" w:cs="宋体"/>
                <w:bCs/>
                <w:color w:val="000000"/>
                <w:szCs w:val="21"/>
                <w:highlight w:val="none"/>
              </w:rPr>
            </w:pPr>
            <w:r>
              <w:rPr>
                <w:rFonts w:hint="eastAsia" w:ascii="宋体" w:hAnsi="宋体" w:cs="宋体"/>
                <w:b/>
                <w:bCs/>
                <w:color w:val="000000"/>
                <w:szCs w:val="21"/>
                <w:highlight w:val="none"/>
                <w:lang w:bidi="ar"/>
              </w:rPr>
              <w:t xml:space="preserve">评审依据：设备提供发票扫描件及实物照片，未提供或提供不全不得分。租赁设备的，除提供上述材料外，还需提供租赁合同扫描件</w:t>
            </w:r>
            <w:r>
              <w:rPr>
                <w:rFonts w:hint="eastAsia" w:ascii="宋体" w:hAnsi="宋体" w:cs="宋体"/>
                <w:b/>
                <w:bCs w:val="0"/>
                <w:color w:val="000000"/>
                <w:szCs w:val="21"/>
                <w:highlight w:val="none"/>
              </w:rPr>
              <w:t xml:space="preserve">（租赁合同生效期在</w:t>
            </w:r>
            <w:r>
              <w:rPr>
                <w:rFonts w:hint="eastAsia" w:ascii="宋体" w:hAnsi="宋体"/>
                <w:b/>
                <w:bCs w:val="0"/>
                <w:color w:val="000000"/>
                <w:szCs w:val="21"/>
                <w:highlight w:val="none"/>
              </w:rPr>
              <w:t xml:space="preserve">招标公告发布之日前且租赁期覆盖本项目服务期</w:t>
            </w:r>
            <w:r>
              <w:rPr>
                <w:rFonts w:hint="eastAsia" w:ascii="宋体" w:hAnsi="宋体" w:cs="宋体"/>
                <w:b/>
                <w:bCs w:val="0"/>
                <w:color w:val="000000"/>
                <w:szCs w:val="21"/>
                <w:highlight w:val="none"/>
              </w:rPr>
              <w:t xml:space="preserve">）</w:t>
            </w:r>
            <w:r>
              <w:rPr>
                <w:rFonts w:hint="eastAsia" w:ascii="宋体" w:hAnsi="宋体" w:cs="宋体"/>
                <w:b/>
                <w:bCs/>
                <w:color w:val="000000"/>
                <w:szCs w:val="21"/>
                <w:highlight w:val="none"/>
                <w:lang w:bidi="ar"/>
              </w:rPr>
              <w:t xml:space="preserve">。</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 w:val="22"/>
                <w:szCs w:val="18"/>
                <w:highlight w:val="none"/>
              </w:rPr>
            </w:pPr>
            <w:r>
              <w:rPr>
                <w:rFonts w:hint="eastAsia" w:ascii="宋体" w:hAnsi="宋体" w:cs="宋体"/>
                <w:color w:val="000000"/>
                <w:sz w:val="22"/>
                <w:szCs w:val="18"/>
                <w:highlight w:val="none"/>
              </w:rPr>
              <w:t xml:space="preserve">10</w:t>
            </w:r>
            <w:r>
              <w:rPr>
                <w:rFonts w:ascii="宋体" w:hAnsi="宋体" w:cs="宋体"/>
                <w:color w:val="000000"/>
                <w:sz w:val="22"/>
                <w:szCs w:val="18"/>
                <w:highlight w:val="none"/>
              </w:rPr>
            </w:r>
            <w:r/>
          </w:p>
        </w:tc>
      </w:tr>
      <w:tr>
        <w:trPr>
          <w:trHeight w:val="567"/>
        </w:trPr>
        <w:tc>
          <w:tcPr>
            <w:tcMar>
              <w:left w:w="15" w:type="dxa"/>
              <w:top w:w="15" w:type="dxa"/>
              <w:right w:w="15" w:type="dxa"/>
              <w:bottom w:w="0" w:type="dxa"/>
            </w:tcMar>
            <w:tcW w:w="663"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三</w:t>
            </w:r>
            <w:r>
              <w:rPr>
                <w:rFonts w:ascii="宋体" w:hAnsi="宋体" w:cs="宋体"/>
                <w:color w:val="000000"/>
                <w:szCs w:val="21"/>
                <w:highlight w:val="none"/>
              </w:rPr>
            </w:r>
            <w:r/>
          </w:p>
        </w:tc>
        <w:tc>
          <w:tcPr>
            <w:gridSpan w:val="2"/>
            <w:tcMar>
              <w:left w:w="15" w:type="dxa"/>
              <w:top w:w="15" w:type="dxa"/>
              <w:right w:w="15" w:type="dxa"/>
              <w:bottom w:w="0" w:type="dxa"/>
            </w:tcMar>
            <w:tcW w:w="7847" w:type="dxa"/>
            <w:vAlign w:val="center"/>
            <w:textDirection w:val="lrTb"/>
            <w:noWrap w:val="false"/>
          </w:tcPr>
          <w:p>
            <w:pPr>
              <w:pStyle w:val="851"/>
              <w:jc w:val="center"/>
              <w:spacing w:line="320" w:lineRule="exact"/>
              <w:widowControl/>
              <w:rPr>
                <w:rFonts w:ascii="宋体" w:hAnsi="宋体" w:cs="Times New Roman"/>
                <w:b/>
                <w:color w:val="000000"/>
                <w:szCs w:val="21"/>
                <w:highlight w:val="none"/>
              </w:rPr>
            </w:pPr>
            <w:r>
              <w:rPr>
                <w:rFonts w:hint="eastAsia" w:ascii="宋体" w:hAnsi="宋体" w:cs="Times New Roman"/>
                <w:b/>
                <w:color w:val="000000"/>
                <w:szCs w:val="21"/>
                <w:highlight w:val="none"/>
              </w:rPr>
              <w:t xml:space="preserve">技术部分</w:t>
            </w:r>
            <w:r>
              <w:rPr>
                <w:rFonts w:ascii="宋体" w:hAnsi="宋体" w:cs="Times New Roman"/>
                <w:b/>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52</w:t>
            </w:r>
            <w:r>
              <w:rPr>
                <w:rFonts w:ascii="宋体" w:hAnsi="宋体" w:cs="宋体"/>
                <w:b/>
                <w:color w:val="000000"/>
                <w:sz w:val="24"/>
                <w:szCs w:val="20"/>
                <w:highlight w:val="none"/>
              </w:rPr>
            </w:r>
            <w:r/>
          </w:p>
        </w:tc>
      </w:tr>
      <w:tr>
        <w:trPr>
          <w:trHeight w:val="145"/>
        </w:trPr>
        <w:tc>
          <w:tcPr>
            <w:tcMar>
              <w:left w:w="15" w:type="dxa"/>
              <w:top w:w="15" w:type="dxa"/>
              <w:right w:w="15" w:type="dxa"/>
              <w:bottom w:w="0" w:type="dxa"/>
            </w:tcMar>
            <w:tcW w:w="663" w:type="dxa"/>
            <w:vAlign w:val="center"/>
            <w:vMerge w:val="restart"/>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restart"/>
            <w:textDirection w:val="lrTb"/>
            <w:noWrap w:val="false"/>
          </w:tcPr>
          <w:p>
            <w:pPr>
              <w:pStyle w:val="851"/>
              <w:jc w:val="center"/>
              <w:spacing w:line="320" w:lineRule="exact"/>
              <w:rPr>
                <w:rFonts w:ascii="宋体" w:hAnsi="宋体" w:cs="宋体"/>
                <w:color w:val="000000"/>
                <w:spacing w:val="-6"/>
                <w:szCs w:val="21"/>
                <w:highlight w:val="none"/>
              </w:rPr>
            </w:pPr>
            <w:r>
              <w:rPr>
                <w:rFonts w:hint="eastAsia" w:ascii="宋体" w:hAnsi="宋体" w:cs="宋体"/>
                <w:b/>
                <w:color w:val="000000"/>
                <w:szCs w:val="21"/>
                <w:highlight w:val="none"/>
              </w:rPr>
              <w:t xml:space="preserve">技术方案（52）</w:t>
            </w:r>
            <w:r>
              <w:rPr>
                <w:rFonts w:ascii="宋体" w:hAnsi="宋体" w:cs="宋体"/>
                <w:color w:val="000000"/>
                <w:spacing w:val="-6"/>
                <w:szCs w:val="21"/>
                <w:highlight w:val="none"/>
              </w:rPr>
            </w:r>
            <w:r/>
          </w:p>
        </w:tc>
        <w:tc>
          <w:tcPr>
            <w:tcMar>
              <w:left w:w="15" w:type="dxa"/>
              <w:top w:w="15" w:type="dxa"/>
              <w:right w:w="15" w:type="dxa"/>
              <w:bottom w:w="0" w:type="dxa"/>
            </w:tcMar>
            <w:tcW w:w="6535" w:type="dxa"/>
            <w:vAlign w:val="top"/>
            <w:textDirection w:val="lrTb"/>
            <w:noWrap w:val="false"/>
          </w:tcPr>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现状及需求分析</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根据</w:t>
            </w:r>
            <w:r>
              <w:rPr>
                <w:rFonts w:hint="eastAsia" w:ascii="宋体" w:hAnsi="宋体" w:cs="宋体"/>
                <w:bCs/>
                <w:color w:val="000000"/>
                <w:szCs w:val="21"/>
                <w:highlight w:val="none"/>
                <w:lang w:val="en-US" w:eastAsia="zh-CN"/>
              </w:rPr>
              <w:t xml:space="preserve">投标人</w:t>
            </w:r>
            <w:r>
              <w:rPr>
                <w:rFonts w:ascii="宋体" w:hAnsi="宋体" w:cs="宋体"/>
                <w:bCs/>
                <w:color w:val="000000"/>
                <w:szCs w:val="21"/>
                <w:highlight w:val="none"/>
              </w:rPr>
              <w:t xml:space="preserve">对</w:t>
            </w:r>
            <w:r>
              <w:rPr>
                <w:rFonts w:hint="eastAsia" w:ascii="宋体" w:hAnsi="宋体" w:cs="宋体"/>
                <w:bCs/>
                <w:color w:val="000000"/>
                <w:szCs w:val="21"/>
                <w:highlight w:val="none"/>
              </w:rPr>
              <w:t xml:space="preserve">项目</w:t>
            </w:r>
            <w:r>
              <w:rPr>
                <w:rFonts w:ascii="宋体" w:hAnsi="宋体" w:cs="宋体"/>
                <w:bCs/>
                <w:color w:val="000000"/>
                <w:szCs w:val="21"/>
                <w:highlight w:val="none"/>
              </w:rPr>
              <w:t xml:space="preserve">现状熟悉情况:</w:t>
            </w:r>
            <w:r>
              <w:rPr>
                <w:rFonts w:ascii="宋体" w:hAnsi="宋体" w:cs="宋体"/>
                <w:bCs/>
                <w:color w:val="000000"/>
                <w:szCs w:val="21"/>
                <w:highlight w:val="none"/>
              </w:rPr>
            </w:r>
            <w:r/>
          </w:p>
          <w:p>
            <w:pPr>
              <w:pStyle w:val="851"/>
              <w:spacing w:line="320" w:lineRule="exact"/>
              <w:rPr>
                <w:rFonts w:hint="eastAsia" w:ascii="宋体" w:hAnsi="宋体" w:eastAsia="宋体" w:cs="宋体"/>
                <w:bCs/>
                <w:color w:val="000000"/>
                <w:szCs w:val="21"/>
                <w:highlight w:val="none"/>
                <w:lang w:eastAsia="zh-CN"/>
              </w:rPr>
            </w:pPr>
            <w:r>
              <w:rPr>
                <w:rFonts w:ascii="宋体" w:hAnsi="宋体" w:cs="宋体"/>
                <w:bCs/>
                <w:color w:val="000000"/>
                <w:szCs w:val="21"/>
                <w:highlight w:val="none"/>
              </w:rPr>
              <w:t xml:space="preserve">需求理解深刻，得</w:t>
            </w:r>
            <w:r>
              <w:rPr>
                <w:rFonts w:hint="eastAsia" w:ascii="宋体" w:hAnsi="宋体" w:cs="宋体"/>
                <w:bCs/>
                <w:color w:val="000000"/>
                <w:szCs w:val="21"/>
                <w:highlight w:val="none"/>
              </w:rPr>
              <w:t xml:space="preserve">7</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需求理解较深刻，得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需求理解</w:t>
            </w:r>
            <w:r>
              <w:rPr>
                <w:rFonts w:hint="eastAsia" w:ascii="宋体" w:hAnsi="宋体" w:cs="宋体"/>
                <w:bCs/>
                <w:color w:val="000000"/>
                <w:szCs w:val="21"/>
                <w:highlight w:val="none"/>
              </w:rPr>
              <w:t xml:space="preserve">一般</w:t>
            </w:r>
            <w:r>
              <w:rPr>
                <w:rFonts w:ascii="宋体" w:hAnsi="宋体" w:cs="宋体"/>
                <w:bCs/>
                <w:color w:val="000000"/>
                <w:szCs w:val="21"/>
                <w:highlight w:val="none"/>
              </w:rPr>
              <w:t xml:space="preserve">，得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未提供或需求理解不深刻，不得分。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7</w:t>
            </w:r>
            <w:r>
              <w:rPr>
                <w:rFonts w:ascii="宋体" w:hAnsi="宋体" w:cs="宋体"/>
                <w:color w:val="000000"/>
                <w:sz w:val="24"/>
                <w:szCs w:val="20"/>
                <w:highlight w:val="none"/>
              </w:rPr>
            </w:r>
            <w:r/>
          </w:p>
        </w:tc>
      </w:tr>
      <w:tr>
        <w:trPr>
          <w:trHeight w:val="145"/>
        </w:trPr>
        <w:tc>
          <w:tcPr>
            <w:tcMar>
              <w:left w:w="15" w:type="dxa"/>
              <w:top w:w="15" w:type="dxa"/>
              <w:right w:w="15" w:type="dxa"/>
              <w:bottom w:w="0" w:type="dxa"/>
            </w:tcMar>
            <w:tcW w:w="663" w:type="dxa"/>
            <w:vAlign w:val="center"/>
            <w:vMerge w:val="continue"/>
            <w:textDirection w:val="lrTb"/>
            <w:noWrap w:val="false"/>
          </w:tcPr>
          <w:p>
            <w:pPr>
              <w:pStyle w:val="851"/>
              <w:jc w:val="center"/>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center"/>
              <w:spacing w:line="320" w:lineRule="exact"/>
              <w:rPr>
                <w:rFonts w:ascii="宋体" w:hAnsi="宋体" w:cs="宋体"/>
                <w:b/>
                <w:color w:val="000000"/>
                <w:szCs w:val="21"/>
                <w:highlight w:val="none"/>
              </w:rPr>
            </w:pPr>
            <w:r>
              <w:rPr>
                <w:rFonts w:ascii="宋体" w:hAnsi="宋体" w:cs="宋体"/>
                <w:b/>
                <w:color w:val="000000"/>
                <w:szCs w:val="21"/>
                <w:highlight w:val="none"/>
              </w:rPr>
            </w:r>
            <w:r/>
          </w:p>
        </w:tc>
        <w:tc>
          <w:tcPr>
            <w:tcMar>
              <w:left w:w="15" w:type="dxa"/>
              <w:top w:w="15" w:type="dxa"/>
              <w:right w:w="15" w:type="dxa"/>
              <w:bottom w:w="0" w:type="dxa"/>
            </w:tcMar>
            <w:tcW w:w="6535" w:type="dxa"/>
            <w:vAlign w:val="top"/>
            <w:textDirection w:val="lrTb"/>
            <w:noWrap w:val="false"/>
          </w:tcPr>
          <w:p>
            <w:pPr>
              <w:pStyle w:val="851"/>
              <w:jc w:val="left"/>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运维接收方案：</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投标人对本项目的复核检查及运维接收工作方案：</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方案全面、完善、合理、可行得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方案较全面、较合理、较可行得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方案基本合理、基本可行得</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未提供或方案不合理、不可行的不得分。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ascii="宋体" w:hAnsi="宋体" w:cs="宋体"/>
                <w:color w:val="000000"/>
                <w:sz w:val="24"/>
                <w:szCs w:val="20"/>
                <w:highlight w:val="none"/>
              </w:rPr>
            </w:r>
            <w:r/>
          </w:p>
        </w:tc>
      </w:tr>
      <w:tr>
        <w:trPr>
          <w:trHeight w:val="145"/>
        </w:trPr>
        <w:tc>
          <w:tcPr>
            <w:tcMar>
              <w:left w:w="15" w:type="dxa"/>
              <w:top w:w="15" w:type="dxa"/>
              <w:right w:w="15" w:type="dxa"/>
              <w:bottom w:w="0" w:type="dxa"/>
            </w:tcMar>
            <w:tcW w:w="663" w:type="dxa"/>
            <w:vAlign w:val="center"/>
            <w:vMerge w:val="continue"/>
            <w:textDirection w:val="lrTb"/>
            <w:noWrap w:val="false"/>
          </w:tcPr>
          <w:p>
            <w:pPr>
              <w:pStyle w:val="851"/>
              <w:jc w:val="left"/>
              <w:spacing w:line="320" w:lineRule="exact"/>
              <w:rPr>
                <w:color w:val="000000"/>
                <w:highlight w:val="none"/>
              </w:rPr>
            </w:pPr>
            <w:r>
              <w:rPr>
                <w:color w:val="000000"/>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left"/>
              <w:spacing w:line="320" w:lineRule="exact"/>
              <w:rPr>
                <w:color w:val="000000"/>
                <w:szCs w:val="21"/>
                <w:highlight w:val="none"/>
              </w:rPr>
            </w:pPr>
            <w:r>
              <w:rPr>
                <w:color w:val="000000"/>
                <w:szCs w:val="21"/>
                <w:highlight w:val="none"/>
              </w:rPr>
            </w:r>
            <w:r/>
          </w:p>
        </w:tc>
        <w:tc>
          <w:tcPr>
            <w:tcMar>
              <w:left w:w="15" w:type="dxa"/>
              <w:top w:w="15" w:type="dxa"/>
              <w:right w:w="15" w:type="dxa"/>
              <w:bottom w:w="0" w:type="dxa"/>
            </w:tcMar>
            <w:tcW w:w="6535" w:type="dxa"/>
            <w:vAlign w:val="top"/>
            <w:textDirection w:val="lrTb"/>
            <w:noWrap w:val="false"/>
          </w:tcPr>
          <w:p>
            <w:pPr>
              <w:pStyle w:val="851"/>
              <w:jc w:val="left"/>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运维实施方案：</w:t>
            </w:r>
            <w:r>
              <w:rPr>
                <w:rFonts w:hint="eastAsia" w:ascii="宋体" w:hAnsi="宋体" w:cs="宋体"/>
                <w:bCs/>
                <w:color w:val="000000"/>
                <w:szCs w:val="21"/>
                <w:highlight w:val="none"/>
              </w:rPr>
            </w:r>
            <w:r/>
          </w:p>
          <w:p>
            <w:pPr>
              <w:pStyle w:val="851"/>
              <w:jc w:val="left"/>
              <w:spacing w:line="320" w:lineRule="exact"/>
              <w:rPr>
                <w:rFonts w:hint="eastAsia"/>
                <w:color w:val="000000"/>
                <w:highlight w:val="none"/>
              </w:rPr>
            </w:pPr>
            <w:r>
              <w:rPr>
                <w:rFonts w:hint="eastAsia" w:ascii="宋体" w:hAnsi="宋体" w:cs="宋体"/>
                <w:bCs/>
                <w:color w:val="000000"/>
                <w:szCs w:val="21"/>
                <w:highlight w:val="none"/>
              </w:rPr>
              <w:t xml:space="preserve">基于项目采购需求和考核办法，实施方案包括项目的整体部署，还应包括</w:t>
            </w:r>
            <w:r>
              <w:rPr>
                <w:rFonts w:hint="eastAsia"/>
                <w:color w:val="000000"/>
                <w:highlight w:val="none"/>
              </w:rPr>
              <w:t xml:space="preserve">接户、管网及附属设施检查、污水处理设施运行状态检查、污水处理设施工艺分析评估和水质快速检测、水质采样、留样和送检。</w:t>
            </w:r>
            <w:r>
              <w:rPr>
                <w:rFonts w:hint="eastAsia"/>
                <w:color w:val="000000"/>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评标小组根据投标人提供的运维实施方案酌情评分:</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方案全面、完善、合理、可行得</w:t>
            </w:r>
            <w:r>
              <w:rPr>
                <w:rFonts w:hint="eastAsia" w:ascii="宋体" w:hAnsi="宋体" w:cs="宋体"/>
                <w:bCs/>
                <w:color w:val="000000"/>
                <w:szCs w:val="21"/>
                <w:highlight w:val="none"/>
              </w:rPr>
              <w:t xml:space="preserve">10</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方案较全面、较合理、较可行得</w:t>
            </w:r>
            <w:r>
              <w:rPr>
                <w:rFonts w:hint="eastAsia" w:ascii="宋体" w:hAnsi="宋体" w:cs="宋体"/>
                <w:bCs/>
                <w:color w:val="000000"/>
                <w:szCs w:val="21"/>
                <w:highlight w:val="none"/>
              </w:rPr>
              <w:t xml:space="preserve">7</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方案基本合理、基本可行得</w:t>
            </w: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hint="eastAsia"/>
                <w:color w:val="000000"/>
                <w:highlight w:val="none"/>
              </w:rPr>
            </w:pPr>
            <w:r>
              <w:rPr>
                <w:rFonts w:ascii="宋体" w:hAnsi="宋体" w:cs="宋体"/>
                <w:bCs/>
                <w:color w:val="000000"/>
                <w:szCs w:val="21"/>
                <w:highlight w:val="none"/>
              </w:rPr>
              <w:t xml:space="preserve">未提供或方案不合理、不可行的不得分。</w:t>
            </w:r>
            <w:r>
              <w:rPr>
                <w:rFonts w:hint="eastAsia"/>
                <w:color w:val="000000"/>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rHeight w:val="1435"/>
        </w:trPr>
        <w:tc>
          <w:tcPr>
            <w:tcMar>
              <w:left w:w="15" w:type="dxa"/>
              <w:top w:w="15" w:type="dxa"/>
              <w:right w:w="15" w:type="dxa"/>
              <w:bottom w:w="0" w:type="dxa"/>
            </w:tcMar>
            <w:tcW w:w="663"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jc w:val="left"/>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人员、设备设施的投入安排：</w:t>
            </w:r>
            <w:r>
              <w:rPr>
                <w:rFonts w:hint="eastAsia"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设施设备包含但不限于水质检测设备、人员配备、运维车辆、运维工器具等：</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方案全面、完善、合理、可行得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方案较全面、较合理、较可行得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方案基本合理、基本可行得</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未提供或方案不合理、不可行的不得分。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1435"/>
        </w:trPr>
        <w:tc>
          <w:tcPr>
            <w:tcMar>
              <w:left w:w="15" w:type="dxa"/>
              <w:top w:w="15" w:type="dxa"/>
              <w:right w:w="15" w:type="dxa"/>
              <w:bottom w:w="0" w:type="dxa"/>
            </w:tcMar>
            <w:tcW w:w="663"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jc w:val="left"/>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运维工作计划：</w:t>
            </w:r>
            <w:r>
              <w:rPr>
                <w:rFonts w:hint="eastAsia" w:ascii="宋体" w:hAnsi="宋体" w:cs="宋体"/>
                <w:bCs/>
                <w:color w:val="000000"/>
                <w:szCs w:val="21"/>
                <w:highlight w:val="none"/>
              </w:rPr>
            </w:r>
            <w:r/>
          </w:p>
          <w:p>
            <w:pPr>
              <w:pStyle w:val="851"/>
              <w:jc w:val="left"/>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基于项目的采购需求及考核办法，编制项目实施工作计划安排，包括但不限于具体人员和车辆安排、巡检计划、污泥年度清理计划、水质的检测计划、管网疏通计划等：</w:t>
            </w:r>
            <w:r>
              <w:rPr>
                <w:rFonts w:hint="eastAsia"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计划</w:t>
            </w:r>
            <w:r>
              <w:rPr>
                <w:rFonts w:ascii="宋体" w:hAnsi="宋体" w:cs="宋体"/>
                <w:bCs/>
                <w:color w:val="000000"/>
                <w:szCs w:val="21"/>
                <w:highlight w:val="none"/>
              </w:rPr>
              <w:t xml:space="preserve">全面、完善、合理、可行得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计划</w:t>
            </w:r>
            <w:r>
              <w:rPr>
                <w:rFonts w:ascii="宋体" w:hAnsi="宋体" w:cs="宋体"/>
                <w:bCs/>
                <w:color w:val="000000"/>
                <w:szCs w:val="21"/>
                <w:highlight w:val="none"/>
              </w:rPr>
              <w:t xml:space="preserve">较全面、较合理、较可行得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计划</w:t>
            </w:r>
            <w:r>
              <w:rPr>
                <w:rFonts w:ascii="宋体" w:hAnsi="宋体" w:cs="宋体"/>
                <w:bCs/>
                <w:color w:val="000000"/>
                <w:szCs w:val="21"/>
                <w:highlight w:val="none"/>
              </w:rPr>
              <w:t xml:space="preserve">基本合理、基本可行得</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未提供或方案不合理、不可行的不得分。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145"/>
        </w:trPr>
        <w:tc>
          <w:tcPr>
            <w:tcMar>
              <w:left w:w="15" w:type="dxa"/>
              <w:top w:w="15" w:type="dxa"/>
              <w:right w:w="15" w:type="dxa"/>
              <w:bottom w:w="0" w:type="dxa"/>
            </w:tcMar>
            <w:tcW w:w="663"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jc w:val="left"/>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技术难点、重点分析：</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对本项目技术难点中污水处理工艺中进水相关指标过低或过高、污水处理设施保证正常运行实施、冬季或雨季</w:t>
            </w:r>
            <w:r>
              <w:rPr>
                <w:rFonts w:hint="eastAsia" w:ascii="宋体" w:hAnsi="宋体" w:cs="宋体"/>
                <w:bCs/>
                <w:color w:val="000000"/>
                <w:szCs w:val="21"/>
                <w:highlight w:val="none"/>
              </w:rPr>
              <w:t xml:space="preserve">运维</w:t>
            </w:r>
            <w:r>
              <w:rPr>
                <w:rFonts w:ascii="宋体" w:hAnsi="宋体" w:cs="宋体"/>
                <w:bCs/>
                <w:color w:val="000000"/>
                <w:szCs w:val="21"/>
                <w:highlight w:val="none"/>
              </w:rPr>
              <w:t xml:space="preserve">难度增加等技术处理措施的科学性、合理性等方面，进行简要阐述：</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分析</w:t>
            </w:r>
            <w:r>
              <w:rPr>
                <w:rFonts w:ascii="宋体" w:hAnsi="宋体" w:cs="宋体"/>
                <w:bCs/>
                <w:color w:val="000000"/>
                <w:szCs w:val="21"/>
                <w:highlight w:val="none"/>
              </w:rPr>
              <w:t xml:space="preserve">全面、完善、合理、可行得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分析</w:t>
            </w:r>
            <w:r>
              <w:rPr>
                <w:rFonts w:ascii="宋体" w:hAnsi="宋体" w:cs="宋体"/>
                <w:bCs/>
                <w:color w:val="000000"/>
                <w:szCs w:val="21"/>
                <w:highlight w:val="none"/>
              </w:rPr>
              <w:t xml:space="preserve">较全面、较合理、较可行得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分析</w:t>
            </w:r>
            <w:r>
              <w:rPr>
                <w:rFonts w:ascii="宋体" w:hAnsi="宋体" w:cs="宋体"/>
                <w:bCs/>
                <w:color w:val="000000"/>
                <w:szCs w:val="21"/>
                <w:highlight w:val="none"/>
              </w:rPr>
              <w:t xml:space="preserve">基本合理、基本可行得</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w:t>
            </w:r>
            <w:r>
              <w:rPr>
                <w:rFonts w:hint="eastAsia" w:ascii="宋体" w:hAnsi="宋体" w:cs="宋体"/>
                <w:bCs/>
                <w:color w:val="000000"/>
                <w:szCs w:val="21"/>
                <w:highlight w:val="none"/>
              </w:rPr>
              <w:t xml:space="preserve">分析</w:t>
            </w:r>
            <w:r>
              <w:rPr>
                <w:rFonts w:ascii="宋体" w:hAnsi="宋体" w:cs="宋体"/>
                <w:bCs/>
                <w:color w:val="000000"/>
                <w:szCs w:val="21"/>
                <w:highlight w:val="none"/>
              </w:rPr>
              <w:t xml:space="preserve">或方案不合理、不可行的不得分。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145"/>
        </w:trPr>
        <w:tc>
          <w:tcPr>
            <w:tcMar>
              <w:left w:w="15" w:type="dxa"/>
              <w:top w:w="15" w:type="dxa"/>
              <w:right w:w="15" w:type="dxa"/>
              <w:bottom w:w="0" w:type="dxa"/>
            </w:tcMar>
            <w:tcW w:w="663"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jc w:val="left"/>
              <w:spacing w:line="320" w:lineRule="exact"/>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运维</w:t>
            </w:r>
            <w:r>
              <w:rPr>
                <w:rFonts w:hint="eastAsia" w:ascii="宋体" w:hAnsi="宋体" w:cs="宋体"/>
                <w:bCs/>
                <w:color w:val="000000"/>
                <w:szCs w:val="21"/>
                <w:highlight w:val="none"/>
              </w:rPr>
              <w:t xml:space="preserve">管理机构、</w:t>
            </w:r>
            <w:r>
              <w:rPr>
                <w:rFonts w:hint="eastAsia" w:ascii="宋体" w:hAnsi="宋体" w:cs="宋体"/>
                <w:bCs/>
                <w:color w:val="000000"/>
                <w:szCs w:val="21"/>
                <w:highlight w:val="none"/>
                <w:lang w:val="en-US" w:eastAsia="zh-CN"/>
              </w:rPr>
              <w:t xml:space="preserve">运维</w:t>
            </w:r>
            <w:r>
              <w:rPr>
                <w:rFonts w:hint="eastAsia" w:ascii="宋体" w:hAnsi="宋体" w:cs="宋体"/>
                <w:bCs/>
                <w:color w:val="000000"/>
                <w:szCs w:val="21"/>
                <w:highlight w:val="none"/>
              </w:rPr>
              <w:t xml:space="preserve">管理制度和操作规程：</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为本项目建立的运</w:t>
            </w:r>
            <w:r>
              <w:rPr>
                <w:rFonts w:hint="eastAsia" w:ascii="宋体" w:hAnsi="宋体" w:cs="宋体"/>
                <w:bCs/>
                <w:color w:val="000000"/>
                <w:szCs w:val="21"/>
                <w:highlight w:val="none"/>
                <w:lang w:val="en-US" w:eastAsia="zh-CN"/>
              </w:rPr>
              <w:t xml:space="preserve">维</w:t>
            </w:r>
            <w:r>
              <w:rPr>
                <w:rFonts w:ascii="宋体" w:hAnsi="宋体" w:cs="宋体"/>
                <w:bCs/>
                <w:color w:val="000000"/>
                <w:szCs w:val="21"/>
                <w:highlight w:val="none"/>
              </w:rPr>
              <w:t xml:space="preserve">管理机构、运</w:t>
            </w:r>
            <w:r>
              <w:rPr>
                <w:rFonts w:hint="eastAsia" w:ascii="宋体" w:hAnsi="宋体" w:cs="宋体"/>
                <w:bCs/>
                <w:color w:val="000000"/>
                <w:szCs w:val="21"/>
                <w:highlight w:val="none"/>
                <w:lang w:val="en-US" w:eastAsia="zh-CN"/>
              </w:rPr>
              <w:t xml:space="preserve">维</w:t>
            </w:r>
            <w:r>
              <w:rPr>
                <w:rFonts w:ascii="宋体" w:hAnsi="宋体" w:cs="宋体"/>
                <w:bCs/>
                <w:color w:val="000000"/>
                <w:szCs w:val="21"/>
                <w:highlight w:val="none"/>
              </w:rPr>
              <w:t xml:space="preserve">管理制度和操作规程的情况:</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方案全面、规范、合理、可行得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方案较全面、较规范、较可行的，得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方案基本规范、基本可行得</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未提供或方案不合理、不可行的不得分。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145"/>
        </w:trPr>
        <w:tc>
          <w:tcPr>
            <w:tcMar>
              <w:left w:w="15" w:type="dxa"/>
              <w:top w:w="15" w:type="dxa"/>
              <w:right w:w="15" w:type="dxa"/>
              <w:bottom w:w="0" w:type="dxa"/>
            </w:tcMar>
            <w:tcW w:w="663"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jc w:val="left"/>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质量保证措施：</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对本项目质量保证措施中承诺的故障响应、修复时限、项目服务站点的力量配备、售后服务承诺、质量等级要求和质检服务情况等方面，进行简要阐述：</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保证措施</w:t>
            </w:r>
            <w:r>
              <w:rPr>
                <w:rFonts w:ascii="宋体" w:hAnsi="宋体" w:cs="宋体"/>
                <w:bCs/>
                <w:color w:val="000000"/>
                <w:szCs w:val="21"/>
                <w:highlight w:val="none"/>
              </w:rPr>
              <w:t xml:space="preserve">全面、规范、合理、可行得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方案较全面、较规范、较可行的，得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方案基本规范、基本可行得</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w:t>
            </w:r>
            <w:r>
              <w:rPr>
                <w:rFonts w:hint="eastAsia" w:ascii="宋体" w:hAnsi="宋体" w:cs="宋体"/>
                <w:bCs/>
                <w:color w:val="000000"/>
                <w:szCs w:val="21"/>
                <w:highlight w:val="none"/>
              </w:rPr>
              <w:t xml:space="preserve">得</w:t>
            </w:r>
            <w:r>
              <w:rPr>
                <w:rFonts w:ascii="宋体" w:hAnsi="宋体" w:cs="宋体"/>
                <w:bCs/>
                <w:color w:val="000000"/>
                <w:szCs w:val="21"/>
                <w:highlight w:val="none"/>
              </w:rPr>
              <w:t xml:space="preserve">或方案不合理、不可行的不得分。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145"/>
        </w:trPr>
        <w:tc>
          <w:tcPr>
            <w:tcMar>
              <w:left w:w="15" w:type="dxa"/>
              <w:top w:w="15" w:type="dxa"/>
              <w:right w:w="15" w:type="dxa"/>
              <w:bottom w:w="0" w:type="dxa"/>
            </w:tcMar>
            <w:tcW w:w="663"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1312" w:type="dxa"/>
            <w:vAlign w:val="center"/>
            <w:vMerge w:val="continue"/>
            <w:textDirection w:val="lrTb"/>
            <w:noWrap w:val="false"/>
          </w:tcPr>
          <w:p>
            <w:pPr>
              <w:pStyle w:val="851"/>
              <w:jc w:val="left"/>
              <w:spacing w:line="320" w:lineRule="exac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bottom w:w="0" w:type="dxa"/>
            </w:tcMar>
            <w:tcW w:w="6535" w:type="dxa"/>
            <w:vAlign w:val="center"/>
            <w:textDirection w:val="lrTb"/>
            <w:noWrap w:val="false"/>
          </w:tcPr>
          <w:p>
            <w:pPr>
              <w:pStyle w:val="851"/>
              <w:jc w:val="left"/>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应急预案：</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对本项目应急预案中突发停水停电应急处理、设备故障应急处理、水质超标应急处理、提升泵站突发停车应急处理、污水处理设施停车应急处理及冬季设施突发情况应急处理、工单处理、环保督察、进水水量超标等处理预案合理性、及时性等方面，进行简要阐述：</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预案</w:t>
            </w:r>
            <w:r>
              <w:rPr>
                <w:rFonts w:ascii="宋体" w:hAnsi="宋体" w:cs="宋体"/>
                <w:bCs/>
                <w:color w:val="000000"/>
                <w:szCs w:val="21"/>
                <w:highlight w:val="none"/>
              </w:rPr>
              <w:t xml:space="preserve">全面、规范、合理、可行得</w:t>
            </w: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预案</w:t>
            </w:r>
            <w:r>
              <w:rPr>
                <w:rFonts w:ascii="宋体" w:hAnsi="宋体" w:cs="宋体"/>
                <w:bCs/>
                <w:color w:val="000000"/>
                <w:szCs w:val="21"/>
                <w:highlight w:val="none"/>
              </w:rPr>
              <w:t xml:space="preserve">较全面、较规范、较可行的，得</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spacing w:line="320" w:lineRule="exact"/>
              <w:rPr>
                <w:rFonts w:ascii="宋体" w:hAnsi="宋体" w:cs="宋体"/>
                <w:bCs/>
                <w:color w:val="000000"/>
                <w:szCs w:val="21"/>
                <w:highlight w:val="none"/>
              </w:rPr>
            </w:pPr>
            <w:r>
              <w:rPr>
                <w:rFonts w:hint="eastAsia" w:ascii="宋体" w:hAnsi="宋体" w:cs="宋体"/>
                <w:bCs/>
                <w:color w:val="000000"/>
                <w:szCs w:val="21"/>
                <w:highlight w:val="none"/>
              </w:rPr>
              <w:t xml:space="preserve">预案</w:t>
            </w:r>
            <w:r>
              <w:rPr>
                <w:rFonts w:ascii="宋体" w:hAnsi="宋体" w:cs="宋体"/>
                <w:bCs/>
                <w:color w:val="000000"/>
                <w:szCs w:val="21"/>
                <w:highlight w:val="none"/>
              </w:rPr>
              <w:t xml:space="preserve">基本规范、基本可行得</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r>
            <w:r/>
          </w:p>
          <w:p>
            <w:pPr>
              <w:pStyle w:val="851"/>
              <w:jc w:val="left"/>
              <w:spacing w:line="320" w:lineRule="exact"/>
              <w:rPr>
                <w:rFonts w:ascii="宋体" w:hAnsi="宋体" w:cs="宋体"/>
                <w:bCs/>
                <w:color w:val="000000"/>
                <w:szCs w:val="21"/>
                <w:highlight w:val="none"/>
              </w:rPr>
            </w:pPr>
            <w:r>
              <w:rPr>
                <w:rFonts w:ascii="宋体" w:hAnsi="宋体" w:cs="宋体"/>
                <w:bCs/>
                <w:color w:val="000000"/>
                <w:szCs w:val="21"/>
                <w:highlight w:val="none"/>
              </w:rPr>
              <w:t xml:space="preserve">未提供或</w:t>
            </w:r>
            <w:r>
              <w:rPr>
                <w:rFonts w:hint="eastAsia" w:ascii="宋体" w:hAnsi="宋体" w:cs="宋体"/>
                <w:bCs/>
                <w:color w:val="000000"/>
                <w:szCs w:val="21"/>
                <w:highlight w:val="none"/>
              </w:rPr>
              <w:t xml:space="preserve">预案</w:t>
            </w:r>
            <w:r>
              <w:rPr>
                <w:rFonts w:ascii="宋体" w:hAnsi="宋体" w:cs="宋体"/>
                <w:bCs/>
                <w:color w:val="000000"/>
                <w:szCs w:val="21"/>
                <w:highlight w:val="none"/>
              </w:rPr>
              <w:t xml:space="preserve">不合理、不可行的不得分。</w:t>
            </w:r>
            <w:r>
              <w:rPr>
                <w:rFonts w:ascii="宋体" w:hAnsi="宋体" w:cs="宋体"/>
                <w:bCs/>
                <w:color w:val="000000"/>
                <w:szCs w:val="21"/>
                <w:highlight w:val="none"/>
              </w:rPr>
            </w:r>
            <w:r/>
          </w:p>
        </w:tc>
        <w:tc>
          <w:tcPr>
            <w:tcMar>
              <w:left w:w="15" w:type="dxa"/>
              <w:top w:w="15" w:type="dxa"/>
              <w:right w:w="15" w:type="dxa"/>
              <w:bottom w:w="0" w:type="dxa"/>
            </w:tcMar>
            <w:tcW w:w="709" w:type="dxa"/>
            <w:vAlign w:val="center"/>
            <w:textDirection w:val="lrTb"/>
            <w:noWrap w:val="false"/>
          </w:tcPr>
          <w:p>
            <w:pPr>
              <w:pStyle w:val="851"/>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bl>
    <w:p>
      <w:pPr>
        <w:pStyle w:val="851"/>
        <w:rPr>
          <w:rFonts w:ascii="宋体" w:hAnsi="宋体" w:cs="宋体"/>
          <w:color w:val="000000"/>
          <w:sz w:val="22"/>
          <w:highlight w:val="none"/>
        </w:rPr>
      </w:pPr>
      <w:r>
        <w:rPr>
          <w:rFonts w:hint="eastAsia" w:ascii="宋体" w:hAnsi="宋体" w:cs="宋体"/>
          <w:b/>
          <w:bCs/>
          <w:color w:val="000000"/>
          <w:sz w:val="22"/>
          <w:highlight w:val="none"/>
        </w:rPr>
        <w:t xml:space="preserve">注：</w:t>
      </w:r>
      <w:r>
        <w:rPr>
          <w:rFonts w:hint="eastAsia" w:ascii="宋体" w:hAnsi="宋体" w:cs="宋体"/>
          <w:color w:val="000000"/>
          <w:sz w:val="22"/>
          <w:highlight w:val="none"/>
        </w:rPr>
        <w:t xml:space="preserve">投标人提供资料必须全部真实，如有伪造，一经查实有造假行为，则需要接受相关监管部门的处罚。</w:t>
      </w:r>
      <w:r>
        <w:rPr>
          <w:rFonts w:ascii="宋体" w:hAnsi="宋体" w:cs="宋体"/>
          <w:color w:val="000000"/>
          <w:sz w:val="22"/>
          <w:highlight w:val="none"/>
        </w:rPr>
      </w:r>
      <w:r/>
    </w:p>
    <w:p>
      <w:pPr>
        <w:pStyle w:val="851"/>
        <w:rPr>
          <w:rFonts w:ascii="宋体" w:hAnsi="宋体" w:cs="宋体"/>
          <w:color w:val="000000"/>
          <w:sz w:val="44"/>
          <w:szCs w:val="44"/>
          <w:highlight w:val="none"/>
        </w:rPr>
      </w:pPr>
      <w:r>
        <w:rPr>
          <w:rFonts w:hint="eastAsia" w:ascii="宋体" w:hAnsi="宋体"/>
          <w:bCs/>
          <w:color w:val="000000"/>
          <w:sz w:val="24"/>
          <w:highlight w:val="none"/>
        </w:rPr>
        <w:t xml:space="preserve"> </w:t>
      </w:r>
      <w:r>
        <w:rPr>
          <w:rFonts w:hint="eastAsia" w:ascii="宋体" w:hAnsi="宋体" w:cs="宋体"/>
          <w:color w:val="000000"/>
          <w:sz w:val="44"/>
          <w:szCs w:val="44"/>
          <w:highlight w:val="none"/>
        </w:rPr>
        <w:br w:type="page" w:clear="all"/>
      </w:r>
      <w:r>
        <w:rPr>
          <w:rFonts w:ascii="宋体" w:hAnsi="宋体" w:cs="宋体"/>
          <w:color w:val="000000"/>
          <w:sz w:val="44"/>
          <w:szCs w:val="44"/>
          <w:highlight w:val="none"/>
        </w:rPr>
      </w:r>
      <w:r/>
    </w:p>
    <w:p>
      <w:pPr>
        <w:pStyle w:val="887"/>
        <w:spacing w:line="240" w:lineRule="auto"/>
        <w:tabs>
          <w:tab w:val="left" w:pos="879" w:leader="none"/>
        </w:tabs>
        <w:rPr>
          <w:color w:val="000000"/>
          <w:sz w:val="44"/>
          <w:szCs w:val="40"/>
          <w:highlight w:val="none"/>
        </w:rPr>
      </w:pPr>
      <w:r>
        <w:rPr>
          <w:color w:val="000000"/>
          <w:sz w:val="44"/>
          <w:szCs w:val="40"/>
          <w:highlight w:val="none"/>
        </w:rPr>
      </w:r>
      <w:r/>
    </w:p>
    <w:p>
      <w:pPr>
        <w:pStyle w:val="887"/>
        <w:spacing w:line="240" w:lineRule="auto"/>
        <w:tabs>
          <w:tab w:val="left" w:pos="879" w:leader="none"/>
        </w:tabs>
        <w:rPr>
          <w:color w:val="000000"/>
          <w:highlight w:val="none"/>
        </w:rPr>
      </w:pPr>
      <w:r/>
      <w:bookmarkStart w:id="309" w:name="_Toc2552"/>
      <w:r>
        <w:rPr>
          <w:rFonts w:hint="eastAsia"/>
          <w:color w:val="000000"/>
          <w:sz w:val="44"/>
          <w:szCs w:val="40"/>
          <w:highlight w:val="none"/>
        </w:rPr>
        <w:t xml:space="preserve">第六章  投标文件格式</w:t>
      </w:r>
      <w:bookmarkEnd w:id="304"/>
      <w:r/>
      <w:bookmarkEnd w:id="309"/>
      <w:r>
        <w:rPr>
          <w:color w:val="000000"/>
          <w:highlight w:val="none"/>
        </w:rPr>
      </w:r>
      <w:r/>
    </w:p>
    <w:p>
      <w:pPr>
        <w:pStyle w:val="851"/>
        <w:jc w:val="center"/>
        <w:rPr>
          <w:rFonts w:ascii="宋体" w:hAnsi="宋体" w:cs="宋体"/>
          <w:b/>
          <w:bCs/>
          <w:color w:val="000000"/>
          <w:sz w:val="72"/>
          <w:szCs w:val="72"/>
          <w:highlight w:val="none"/>
        </w:rPr>
      </w:pPr>
      <w:r/>
      <w:bookmarkStart w:id="310" w:name="_Toc120614282"/>
      <w:r/>
      <w:bookmarkEnd w:id="310"/>
      <w:r/>
      <w:bookmarkStart w:id="311" w:name="_Toc49090576"/>
      <w:r/>
      <w:bookmarkEnd w:id="311"/>
      <w:r/>
      <w:bookmarkStart w:id="312" w:name="_Hlt26955039"/>
      <w:r/>
      <w:bookmarkEnd w:id="312"/>
      <w:r/>
      <w:bookmarkStart w:id="313" w:name="_Hlt26671244"/>
      <w:r/>
      <w:bookmarkEnd w:id="313"/>
      <w:r/>
      <w:bookmarkStart w:id="314" w:name="_Toc26554094"/>
      <w:r/>
      <w:bookmarkEnd w:id="314"/>
      <w:r>
        <w:rPr>
          <w:rFonts w:ascii="宋体" w:hAnsi="宋体" w:cs="宋体"/>
          <w:b/>
          <w:bCs/>
          <w:color w:val="000000"/>
          <w:sz w:val="72"/>
          <w:szCs w:val="72"/>
          <w:highlight w:val="none"/>
        </w:rPr>
      </w:r>
      <w:r/>
    </w:p>
    <w:p>
      <w:pPr>
        <w:pStyle w:val="851"/>
        <w:jc w:val="center"/>
        <w:rPr>
          <w:rFonts w:ascii="宋体" w:hAnsi="宋体" w:cs="宋体"/>
          <w:b/>
          <w:bCs/>
          <w:color w:val="000000"/>
          <w:sz w:val="72"/>
          <w:szCs w:val="72"/>
          <w:highlight w:val="none"/>
        </w:rPr>
      </w:pPr>
      <w:r>
        <w:rPr>
          <w:rFonts w:ascii="宋体" w:hAnsi="宋体" w:cs="宋体"/>
          <w:b/>
          <w:bCs/>
          <w:color w:val="000000"/>
          <w:sz w:val="72"/>
          <w:szCs w:val="72"/>
          <w:highlight w:val="none"/>
        </w:rPr>
      </w:r>
      <w:r/>
    </w:p>
    <w:p>
      <w:pPr>
        <w:pStyle w:val="851"/>
        <w:jc w:val="center"/>
        <w:rPr>
          <w:rFonts w:ascii="宋体" w:hAnsi="宋体" w:cs="宋体"/>
          <w:b/>
          <w:bCs/>
          <w:color w:val="000000"/>
          <w:sz w:val="72"/>
          <w:szCs w:val="72"/>
          <w:highlight w:val="none"/>
        </w:rPr>
      </w:pPr>
      <w:r>
        <w:rPr>
          <w:rFonts w:ascii="宋体" w:hAnsi="宋体" w:cs="宋体"/>
          <w:b/>
          <w:bCs/>
          <w:color w:val="000000"/>
          <w:sz w:val="72"/>
          <w:szCs w:val="72"/>
          <w:highlight w:val="none"/>
        </w:rPr>
      </w:r>
      <w:r/>
    </w:p>
    <w:p>
      <w:pPr>
        <w:pStyle w:val="851"/>
        <w:jc w:val="center"/>
        <w:rPr>
          <w:rFonts w:ascii="宋体" w:hAnsi="宋体" w:cs="宋体"/>
          <w:color w:val="000000"/>
          <w:sz w:val="24"/>
          <w:szCs w:val="24"/>
          <w:highlight w:val="none"/>
        </w:rPr>
      </w:pPr>
      <w:r>
        <w:rPr>
          <w:rFonts w:hint="eastAsia" w:ascii="宋体" w:hAnsi="宋体" w:cs="宋体"/>
          <w:b/>
          <w:bCs/>
          <w:color w:val="000000"/>
          <w:sz w:val="72"/>
          <w:szCs w:val="72"/>
          <w:highlight w:val="none"/>
        </w:rPr>
        <w:t xml:space="preserve">投  标  文  件</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1084"/>
        <w:rPr>
          <w:rFonts w:ascii="宋体" w:hAnsi="宋体" w:cs="宋体"/>
          <w:color w:val="000000"/>
          <w:sz w:val="24"/>
          <w:szCs w:val="24"/>
          <w:highlight w:val="none"/>
        </w:rPr>
      </w:pPr>
      <w:r>
        <w:rPr>
          <w:rFonts w:hint="eastAsia" w:ascii="宋体" w:hAnsi="宋体" w:cs="宋体"/>
          <w:b/>
          <w:bCs/>
          <w:color w:val="000000"/>
          <w:sz w:val="36"/>
          <w:szCs w:val="36"/>
          <w:highlight w:val="none"/>
        </w:rPr>
        <w:t xml:space="preserve">项 目 名 称：</w:t>
      </w:r>
      <w:r>
        <w:rPr>
          <w:rFonts w:hint="eastAsia" w:ascii="宋体" w:hAnsi="宋体" w:cs="宋体"/>
          <w:b/>
          <w:bCs/>
          <w:color w:val="000000"/>
          <w:sz w:val="36"/>
          <w:szCs w:val="36"/>
          <w:highlight w:val="none"/>
          <w:u w:val="single"/>
        </w:rPr>
        <w:t xml:space="preserve">               </w:t>
      </w:r>
      <w:r>
        <w:rPr>
          <w:rFonts w:ascii="宋体" w:hAnsi="宋体" w:cs="宋体"/>
          <w:color w:val="000000"/>
          <w:sz w:val="24"/>
          <w:szCs w:val="24"/>
          <w:highlight w:val="none"/>
        </w:rPr>
      </w:r>
      <w:r/>
    </w:p>
    <w:p>
      <w:pPr>
        <w:pStyle w:val="851"/>
        <w:ind w:firstLine="1084"/>
        <w:rPr>
          <w:rFonts w:ascii="宋体" w:hAnsi="宋体" w:cs="宋体"/>
          <w:color w:val="000000"/>
          <w:sz w:val="24"/>
          <w:szCs w:val="24"/>
          <w:highlight w:val="none"/>
        </w:rPr>
      </w:pPr>
      <w:r>
        <w:rPr>
          <w:rFonts w:hint="eastAsia" w:ascii="宋体" w:hAnsi="宋体" w:cs="宋体"/>
          <w:b/>
          <w:bCs/>
          <w:color w:val="000000"/>
          <w:sz w:val="36"/>
          <w:szCs w:val="36"/>
          <w:highlight w:val="none"/>
        </w:rPr>
        <w:t xml:space="preserve">项 目 编 号：</w:t>
      </w:r>
      <w:r>
        <w:rPr>
          <w:rFonts w:hint="eastAsia" w:ascii="宋体" w:hAnsi="宋体" w:cs="宋体"/>
          <w:b/>
          <w:bCs/>
          <w:color w:val="000000"/>
          <w:sz w:val="36"/>
          <w:szCs w:val="36"/>
          <w:highlight w:val="none"/>
          <w:u w:val="singl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b/>
          <w:bCs/>
          <w:color w:val="000000"/>
          <w:sz w:val="36"/>
          <w:szCs w:val="36"/>
          <w:highlight w:val="none"/>
        </w:rPr>
        <w:t xml:space="preserve">   投标人名称 ：</w:t>
      </w:r>
      <w:r>
        <w:rPr>
          <w:rFonts w:hint="eastAsia" w:ascii="宋体" w:hAnsi="宋体" w:cs="宋体"/>
          <w:b/>
          <w:bCs/>
          <w:color w:val="000000"/>
          <w:sz w:val="36"/>
          <w:szCs w:val="36"/>
          <w:highlight w:val="none"/>
          <w:u w:val="singl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b/>
          <w:bCs/>
          <w:color w:val="000000"/>
          <w:sz w:val="36"/>
          <w:szCs w:val="36"/>
          <w:highlight w:val="none"/>
        </w:rPr>
        <w:t xml:space="preserve">   日   期 ：</w:t>
      </w:r>
      <w:r>
        <w:rPr>
          <w:rFonts w:hint="eastAsia" w:ascii="宋体" w:hAnsi="宋体" w:cs="宋体"/>
          <w:b/>
          <w:bCs/>
          <w:color w:val="000000"/>
          <w:sz w:val="36"/>
          <w:szCs w:val="36"/>
          <w:highlight w:val="none"/>
          <w:u w:val="singl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b/>
          <w:bCs/>
          <w:color w:val="000000"/>
          <w:sz w:val="36"/>
          <w:szCs w:val="36"/>
          <w:highlight w:val="none"/>
          <w:u w:val="single"/>
        </w:rPr>
      </w:pPr>
      <w:r>
        <w:rPr>
          <w:rFonts w:ascii="宋体" w:hAnsi="宋体" w:cs="宋体"/>
          <w:b/>
          <w:bCs/>
          <w:color w:val="000000"/>
          <w:sz w:val="36"/>
          <w:szCs w:val="36"/>
          <w:highlight w:val="none"/>
          <w:u w:val="single"/>
        </w:rPr>
      </w:r>
      <w:r/>
    </w:p>
    <w:p>
      <w:pPr>
        <w:pStyle w:val="851"/>
        <w:jc w:val="center"/>
        <w:rPr>
          <w:rFonts w:ascii="宋体" w:hAnsi="宋体" w:cs="宋体"/>
          <w:b/>
          <w:bCs/>
          <w:color w:val="000000"/>
          <w:sz w:val="36"/>
          <w:szCs w:val="36"/>
          <w:highlight w:val="none"/>
          <w:u w:val="single"/>
        </w:rPr>
      </w:pPr>
      <w:r>
        <w:rPr>
          <w:rFonts w:ascii="宋体" w:hAnsi="宋体" w:cs="宋体"/>
          <w:b/>
          <w:bCs/>
          <w:color w:val="000000"/>
          <w:sz w:val="36"/>
          <w:szCs w:val="36"/>
          <w:highlight w:val="none"/>
          <w:u w:val="single"/>
        </w:rPr>
      </w:r>
      <w:r/>
    </w:p>
    <w:p>
      <w:pPr>
        <w:pStyle w:val="851"/>
        <w:contextualSpacing/>
        <w:jc w:val="center"/>
        <w:spacing w:before="240" w:after="240" w:line="48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br w:type="page" w:clear="all"/>
      </w:r>
      <w:r>
        <w:rPr>
          <w:rFonts w:ascii="宋体" w:hAnsi="宋体" w:cs="宋体"/>
          <w:b/>
          <w:color w:val="000000"/>
          <w:sz w:val="32"/>
          <w:highlight w:val="none"/>
        </w:rPr>
        <w:t xml:space="preserve">开标一览表</w:t>
      </w:r>
      <w:r>
        <w:rPr>
          <w:color w:val="000000"/>
          <w:highlight w:val="none"/>
        </w:rPr>
      </w:r>
      <w:r/>
    </w:p>
    <w:p>
      <w:pPr>
        <w:pStyle w:val="851"/>
        <w:contextualSpacing/>
        <w:ind w:firstLine="540"/>
        <w:spacing w:before="240" w:after="24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项目编号：</w:t>
      </w:r>
      <w:r>
        <w:rPr>
          <w:color w:val="000000"/>
          <w:highlight w:val="none"/>
        </w:rPr>
      </w:r>
      <w:r/>
    </w:p>
    <w:p>
      <w:pPr>
        <w:pStyle w:val="851"/>
        <w:contextualSpacing/>
        <w:ind w:firstLine="540"/>
        <w:spacing w:before="240" w:after="24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货币单位：人民币元</w:t>
      </w:r>
      <w:r>
        <w:rPr>
          <w:color w:val="000000"/>
          <w:highlight w:val="none"/>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62"/>
        <w:gridCol w:w="2447"/>
        <w:gridCol w:w="3648"/>
      </w:tblGrid>
      <w:tr>
        <w:trPr/>
        <w:tc>
          <w:tcPr>
            <w:tcMar>
              <w:left w:w="15" w:type="dxa"/>
              <w:top w:w="15" w:type="dxa"/>
              <w:right w:w="15" w:type="dxa"/>
              <w:bottom w:w="15" w:type="dxa"/>
            </w:tcMar>
            <w:tcW w:w="2567" w:type="dxa"/>
            <w:vAlign w:val="center"/>
            <w:textDirection w:val="lrTb"/>
            <w:noWrap w:val="false"/>
          </w:tcPr>
          <w:p>
            <w:pPr>
              <w:pStyle w:val="851"/>
              <w:contextualSpacing/>
              <w:ind w:firstLine="540"/>
              <w:spacing w:before="200" w:after="20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项目名称</w:t>
            </w:r>
            <w:r>
              <w:rPr>
                <w:color w:val="000000"/>
                <w:highlight w:val="none"/>
              </w:rPr>
            </w:r>
            <w:r/>
          </w:p>
        </w:tc>
        <w:tc>
          <w:tcPr>
            <w:tcMar>
              <w:left w:w="15" w:type="dxa"/>
              <w:top w:w="15" w:type="dxa"/>
              <w:right w:w="15" w:type="dxa"/>
              <w:bottom w:w="15" w:type="dxa"/>
            </w:tcMar>
            <w:tcW w:w="2551" w:type="dxa"/>
            <w:vAlign w:val="center"/>
            <w:textDirection w:val="lrTb"/>
            <w:noWrap w:val="false"/>
          </w:tcPr>
          <w:p>
            <w:pPr>
              <w:pStyle w:val="851"/>
              <w:contextualSpacing/>
              <w:ind w:firstLine="540"/>
              <w:spacing w:before="200" w:after="20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项目内容</w:t>
            </w:r>
            <w:r>
              <w:rPr>
                <w:color w:val="000000"/>
                <w:highlight w:val="none"/>
              </w:rPr>
            </w:r>
            <w:r/>
          </w:p>
        </w:tc>
        <w:tc>
          <w:tcPr>
            <w:tcMar>
              <w:left w:w="15" w:type="dxa"/>
              <w:top w:w="15" w:type="dxa"/>
              <w:right w:w="15" w:type="dxa"/>
              <w:bottom w:w="15" w:type="dxa"/>
            </w:tcMar>
            <w:tcW w:w="3779" w:type="dxa"/>
            <w:vAlign w:val="center"/>
            <w:textDirection w:val="lrTb"/>
            <w:noWrap w:val="false"/>
          </w:tcPr>
          <w:p>
            <w:pPr>
              <w:pStyle w:val="851"/>
              <w:contextualSpacing/>
              <w:ind w:firstLine="540"/>
              <w:spacing w:before="200" w:after="20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 总价（小写）</w:t>
            </w:r>
            <w:r>
              <w:rPr>
                <w:color w:val="000000"/>
                <w:highlight w:val="none"/>
              </w:rPr>
            </w:r>
            <w:r/>
          </w:p>
        </w:tc>
      </w:tr>
      <w:tr>
        <w:trPr>
          <w:trHeight w:val="1091"/>
        </w:trPr>
        <w:tc>
          <w:tcPr>
            <w:tcMar>
              <w:left w:w="15" w:type="dxa"/>
              <w:top w:w="15" w:type="dxa"/>
              <w:right w:w="15" w:type="dxa"/>
              <w:bottom w:w="15" w:type="dxa"/>
            </w:tcMar>
            <w:tcW w:w="2567" w:type="dxa"/>
            <w:vAlign w:val="center"/>
            <w:textDirection w:val="lrTb"/>
            <w:noWrap w:val="false"/>
          </w:tcPr>
          <w:p>
            <w:pPr>
              <w:pStyle w:val="851"/>
              <w:contextualSpacing/>
              <w:ind w:firstLine="440"/>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color w:val="000000"/>
                <w:highlight w:val="none"/>
              </w:rPr>
            </w:r>
            <w:r/>
          </w:p>
        </w:tc>
        <w:tc>
          <w:tcPr>
            <w:tcMar>
              <w:left w:w="15" w:type="dxa"/>
              <w:top w:w="15" w:type="dxa"/>
              <w:right w:w="15" w:type="dxa"/>
              <w:bottom w:w="15" w:type="dxa"/>
            </w:tcMar>
            <w:tcW w:w="2551" w:type="dxa"/>
            <w:vAlign w:val="center"/>
            <w:textDirection w:val="lrTb"/>
            <w:noWrap w:val="false"/>
          </w:tcPr>
          <w:p>
            <w:pPr>
              <w:pStyle w:val="851"/>
              <w:contextualSpacing/>
              <w:ind w:firstLine="440"/>
              <w:spacing w:before="200" w:after="20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详见投标文件</w:t>
            </w:r>
            <w:r>
              <w:rPr>
                <w:color w:val="000000"/>
                <w:highlight w:val="none"/>
              </w:rPr>
            </w:r>
            <w:r/>
          </w:p>
        </w:tc>
        <w:tc>
          <w:tcPr>
            <w:tcMar>
              <w:left w:w="15" w:type="dxa"/>
              <w:top w:w="15" w:type="dxa"/>
              <w:right w:w="15" w:type="dxa"/>
              <w:bottom w:w="15" w:type="dxa"/>
            </w:tcMar>
            <w:tcW w:w="3779" w:type="dxa"/>
            <w:vAlign w:val="center"/>
            <w:textDirection w:val="lrTb"/>
            <w:noWrap w:val="false"/>
          </w:tcPr>
          <w:p>
            <w:pPr>
              <w:pStyle w:val="851"/>
              <w:contextualSpacing/>
              <w:ind w:firstLine="1350"/>
              <w:spacing w:before="200" w:after="20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 元 </w:t>
            </w:r>
            <w:r>
              <w:rPr>
                <w:color w:val="000000"/>
                <w:highlight w:val="none"/>
              </w:rPr>
            </w:r>
            <w:r/>
          </w:p>
        </w:tc>
      </w:tr>
      <w:tr>
        <w:trPr/>
        <w:tc>
          <w:tcPr>
            <w:tcMar>
              <w:left w:w="15" w:type="dxa"/>
              <w:top w:w="15" w:type="dxa"/>
              <w:right w:w="15" w:type="dxa"/>
              <w:bottom w:w="15" w:type="dxa"/>
            </w:tcMar>
            <w:tcW w:w="2567" w:type="dxa"/>
            <w:vAlign w:val="center"/>
            <w:textDirection w:val="lrTb"/>
            <w:noWrap w:val="false"/>
          </w:tcPr>
          <w:p>
            <w:pPr>
              <w:pStyle w:val="851"/>
              <w:contextualSpacing/>
              <w:ind w:firstLine="540"/>
              <w:spacing w:before="200" w:after="20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总价（大写）：</w:t>
            </w:r>
            <w:r>
              <w:rPr>
                <w:color w:val="000000"/>
                <w:highlight w:val="none"/>
              </w:rPr>
            </w:r>
            <w:r/>
          </w:p>
        </w:tc>
        <w:tc>
          <w:tcPr>
            <w:gridSpan w:val="2"/>
            <w:tcMar>
              <w:left w:w="15" w:type="dxa"/>
              <w:top w:w="15" w:type="dxa"/>
              <w:right w:w="15" w:type="dxa"/>
              <w:bottom w:w="15" w:type="dxa"/>
            </w:tcMar>
            <w:tcW w:w="6330" w:type="dxa"/>
            <w:vAlign w:val="center"/>
            <w:textDirection w:val="lrTb"/>
            <w:noWrap w:val="false"/>
          </w:tcPr>
          <w:p>
            <w:pPr>
              <w:pStyle w:val="851"/>
              <w:contextualSpacing/>
              <w:ind w:firstLine="540"/>
              <w:spacing w:before="200" w:after="20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金额大写 </w:t>
            </w:r>
            <w:r>
              <w:rPr>
                <w:color w:val="000000"/>
                <w:highlight w:val="none"/>
              </w:rPr>
            </w:r>
            <w:r/>
          </w:p>
        </w:tc>
      </w:tr>
    </w:tbl>
    <w:p>
      <w:pPr>
        <w:pStyle w:val="851"/>
        <w:contextualSpacing/>
        <w:ind w:firstLine="540"/>
        <w:spacing w:before="240" w:after="24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 </w:t>
      </w:r>
      <w:r>
        <w:rPr>
          <w:color w:val="000000"/>
          <w:highlight w:val="none"/>
        </w:rPr>
      </w:r>
      <w:r/>
    </w:p>
    <w:p>
      <w:pPr>
        <w:pStyle w:val="851"/>
        <w:contextualSpacing/>
        <w:ind w:firstLine="540"/>
        <w:spacing w:before="240" w:after="24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 </w:t>
      </w:r>
      <w:r>
        <w:rPr>
          <w:color w:val="000000"/>
          <w:highlight w:val="none"/>
        </w:rPr>
      </w:r>
      <w:r/>
    </w:p>
    <w:p>
      <w:pPr>
        <w:pStyle w:val="851"/>
        <w:contextualSpacing/>
        <w:ind w:firstLine="540"/>
        <w:spacing w:before="240" w:after="240"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 </w:t>
      </w:r>
      <w:r>
        <w:rPr>
          <w:color w:val="000000"/>
          <w:highlight w:val="none"/>
        </w:rPr>
      </w:r>
      <w:r/>
    </w:p>
    <w:p>
      <w:pPr>
        <w:pStyle w:val="851"/>
        <w:contextualSpacing/>
        <w:ind w:firstLine="540"/>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7"/>
          <w:highlight w:val="none"/>
        </w:rPr>
        <w:t xml:space="preserve">投标人公章： （</w:t>
      </w:r>
      <w:r>
        <w:rPr>
          <w:rFonts w:hint="eastAsia" w:ascii="宋体" w:hAnsi="宋体" w:cs="宋体"/>
          <w:color w:val="000000"/>
          <w:sz w:val="27"/>
          <w:highlight w:val="none"/>
          <w:lang w:val="en-US" w:eastAsia="zh-CN"/>
        </w:rPr>
        <w:t xml:space="preserve">CA</w:t>
      </w:r>
      <w:r>
        <w:rPr>
          <w:rFonts w:ascii="宋体" w:hAnsi="宋体" w:cs="宋体"/>
          <w:color w:val="000000"/>
          <w:sz w:val="27"/>
          <w:highlight w:val="none"/>
        </w:rPr>
        <w:t xml:space="preserve">电子签章）</w:t>
      </w:r>
      <w:r>
        <w:rPr>
          <w:color w:val="000000"/>
          <w:highlight w:val="none"/>
        </w:rPr>
      </w:r>
      <w:r/>
    </w:p>
    <w:p>
      <w:pPr>
        <w:pStyle w:val="851"/>
        <w:contextualSpacing/>
        <w:jc w:val="center"/>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highlight w:val="none"/>
        </w:rPr>
        <w:br w:type="page" w:clear="all"/>
      </w:r>
      <w:r>
        <w:rPr>
          <w:rFonts w:ascii="宋体" w:hAnsi="宋体" w:cs="宋体"/>
          <w:b/>
          <w:color w:val="000000"/>
          <w:sz w:val="30"/>
          <w:highlight w:val="none"/>
        </w:rPr>
        <w:t xml:space="preserve">关于资格的声明函</w:t>
      </w:r>
      <w:r>
        <w:rPr>
          <w:color w:val="000000"/>
          <w:highlight w:val="none"/>
        </w:rPr>
      </w:r>
      <w:r/>
    </w:p>
    <w:p>
      <w:pPr>
        <w:pStyle w:val="851"/>
        <w:jc w:val="center"/>
        <w:rPr>
          <w:rFonts w:hint="eastAsia" w:ascii="宋体" w:hAnsi="宋体" w:cs="宋体"/>
          <w:color w:val="000000"/>
          <w:sz w:val="32"/>
          <w:szCs w:val="32"/>
          <w:highlight w:val="none"/>
        </w:rPr>
      </w:pPr>
      <w:r>
        <w:rPr>
          <w:rFonts w:ascii="宋体" w:hAnsi="宋体" w:cs="宋体"/>
          <w:color w:val="000000"/>
          <w:sz w:val="32"/>
          <w:highlight w:val="none"/>
        </w:rPr>
        <w:t xml:space="preserve"> </w:t>
      </w:r>
      <w:r>
        <w:rPr>
          <w:rFonts w:hint="eastAsia" w:ascii="宋体" w:hAnsi="宋体" w:cs="宋体"/>
          <w:color w:val="000000"/>
          <w:sz w:val="32"/>
          <w:szCs w:val="32"/>
          <w:highlight w:val="none"/>
        </w:rPr>
        <w:t xml:space="preserve">（联合体各方均须提供）</w:t>
      </w:r>
      <w:r>
        <w:rPr>
          <w:rFonts w:hint="eastAsia" w:ascii="宋体" w:hAnsi="宋体" w:cs="宋体"/>
          <w:color w:val="000000"/>
          <w:sz w:val="32"/>
          <w:szCs w:val="32"/>
          <w:highlight w:val="none"/>
        </w:rPr>
      </w:r>
      <w:r/>
    </w:p>
    <w:p>
      <w:pPr>
        <w:pStyle w:val="851"/>
        <w:contextualSpacing/>
        <w:ind w:firstLine="640"/>
        <w:jc w:val="center"/>
        <w:spacing w:line="480" w:lineRule="exac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851"/>
        <w:contextualSpacing/>
        <w:spacing w:line="48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泰州市海陵区市政园林养护服务中心：</w:t>
      </w:r>
      <w:r>
        <w:rPr>
          <w:rFonts w:hint="eastAsia" w:ascii="宋体" w:hAnsi="宋体" w:cs="宋体"/>
          <w:color w:val="000000"/>
          <w:sz w:val="24"/>
          <w:szCs w:val="24"/>
          <w:highlight w:val="none"/>
        </w:rPr>
      </w:r>
      <w:r/>
    </w:p>
    <w:p>
      <w:pPr>
        <w:pStyle w:val="851"/>
        <w:contextualSpacing/>
        <w:ind w:firstLine="480"/>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单位）参加本次项目（项目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rPr>
          <w:color w:val="000000"/>
          <w:highlight w:val="none"/>
        </w:rPr>
      </w:r>
      <w:r/>
    </w:p>
    <w:p>
      <w:pPr>
        <w:pStyle w:val="851"/>
        <w:contextualSpacing/>
        <w:ind w:firstLine="560"/>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color w:val="000000"/>
          <w:highlight w:val="none"/>
        </w:rPr>
      </w:r>
      <w:r/>
    </w:p>
    <w:p>
      <w:pPr>
        <w:pStyle w:val="851"/>
        <w:contextualSpacing/>
        <w:ind w:firstLine="560"/>
        <w:jc w:val="right"/>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rFonts w:ascii="宋体" w:hAnsi="宋体" w:cs="宋体"/>
          <w:color w:val="000000"/>
          <w:sz w:val="24"/>
          <w:highlight w:val="none"/>
        </w:rPr>
        <w:t xml:space="preserve">法定代表人或授权代表（签字或盖章）：</w:t>
      </w:r>
      <w:r>
        <w:rPr>
          <w:color w:val="000000"/>
          <w:highlight w:val="none"/>
        </w:rPr>
      </w:r>
      <w:r/>
    </w:p>
    <w:p>
      <w:pPr>
        <w:pStyle w:val="851"/>
        <w:contextualSpacing/>
        <w:ind w:firstLine="480"/>
        <w:jc w:val="right"/>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szCs w:val="24"/>
          <w:highlight w:val="none"/>
        </w:rPr>
        <w:t xml:space="preserve">盖</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rPr>
        <w:t xml:space="preserve">公章</w:t>
      </w:r>
      <w:r>
        <w:rPr>
          <w:rFonts w:ascii="宋体" w:hAnsi="宋体" w:cs="宋体"/>
          <w:color w:val="000000"/>
          <w:sz w:val="24"/>
          <w:highlight w:val="none"/>
        </w:rPr>
        <w:t xml:space="preserve">）</w:t>
      </w:r>
      <w:r>
        <w:rPr>
          <w:color w:val="000000"/>
          <w:highlight w:val="none"/>
        </w:rPr>
      </w:r>
      <w:r/>
    </w:p>
    <w:p>
      <w:pPr>
        <w:pStyle w:val="851"/>
        <w:contextualSpacing/>
        <w:ind w:firstLine="480"/>
        <w:spacing w:line="48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日期：</w:t>
      </w:r>
      <w:r>
        <w:rPr>
          <w:color w:val="000000"/>
          <w:highlight w:val="none"/>
        </w:rPr>
      </w:r>
      <w:r/>
    </w:p>
    <w:p>
      <w:pPr>
        <w:pStyle w:val="851"/>
        <w:jc w:val="center"/>
        <w:spacing w:line="360" w:lineRule="auto"/>
        <w:rPr>
          <w:color w:val="000000"/>
          <w:highlight w:val="none"/>
        </w:rPr>
      </w:pPr>
      <w:r>
        <w:rPr>
          <w:rFonts w:ascii="宋体" w:hAnsi="宋体" w:cs="宋体"/>
          <w:b/>
          <w:bCs/>
          <w:color w:val="000000"/>
          <w:sz w:val="32"/>
          <w:szCs w:val="32"/>
          <w:highlight w:val="none"/>
        </w:rPr>
        <w:br w:type="page" w:clear="all"/>
      </w:r>
      <w:r>
        <w:rPr>
          <w:rFonts w:hint="eastAsia" w:ascii="宋体" w:hAnsi="宋体" w:eastAsia="宋体" w:cs="宋体"/>
          <w:sz w:val="44"/>
          <w:szCs w:val="44"/>
        </w:rPr>
        <w:t xml:space="preserve"> </w:t>
      </w:r>
      <w:r>
        <w:rPr>
          <w:rFonts w:ascii="宋体" w:hAnsi="宋体" w:cs="宋体"/>
          <w:b/>
          <w:color w:val="000000"/>
          <w:sz w:val="30"/>
          <w:highlight w:val="none"/>
        </w:rPr>
        <w:t xml:space="preserve">法人授权书</w:t>
      </w:r>
      <w:r>
        <w:rPr>
          <w:color w:val="000000"/>
          <w:highlight w:val="none"/>
        </w:rPr>
      </w:r>
      <w:r/>
    </w:p>
    <w:p>
      <w:pPr>
        <w:pStyle w:val="851"/>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51"/>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（联合体各方均须提供）</w:t>
      </w:r>
      <w:r>
        <w:rPr>
          <w:rFonts w:hint="eastAsia" w:ascii="宋体" w:hAnsi="宋体" w:cs="宋体"/>
          <w:color w:val="000000"/>
          <w:sz w:val="32"/>
          <w:szCs w:val="32"/>
          <w:highlight w:val="none"/>
        </w:rPr>
      </w:r>
      <w:r/>
    </w:p>
    <w:p>
      <w:pPr>
        <w:pStyle w:val="851"/>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51"/>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本授权书声明：____________（投标人名称）授权________________（被授权人的姓名）为我方就JSZC-</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号项目采购活动的合法代理人，以本单位名义全权处理一切与该项目采购有关的事务。</w:t>
      </w:r>
      <w:r>
        <w:rPr>
          <w:rFonts w:ascii="宋体" w:hAnsi="宋体" w:cs="宋体"/>
          <w:color w:val="000000"/>
          <w:sz w:val="24"/>
          <w:szCs w:val="24"/>
          <w:highlight w:val="none"/>
        </w:rPr>
      </w:r>
      <w:r/>
    </w:p>
    <w:p>
      <w:pPr>
        <w:pStyle w:val="851"/>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ascii="宋体" w:hAnsi="宋体" w:cs="宋体"/>
          <w:color w:val="000000"/>
          <w:sz w:val="24"/>
          <w:szCs w:val="24"/>
          <w:highlight w:val="none"/>
        </w:rPr>
      </w:r>
      <w:r/>
    </w:p>
    <w:p>
      <w:pPr>
        <w:pStyle w:val="851"/>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被授权人身份证号码：</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被授权人联系电话：（手机）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盖</w:t>
      </w:r>
      <w:r>
        <w:rPr>
          <w:rFonts w:hint="eastAsia" w:ascii="宋体" w:hAnsi="宋体" w:cs="宋体"/>
          <w:color w:val="000000"/>
          <w:sz w:val="24"/>
          <w:szCs w:val="24"/>
          <w:highlight w:val="none"/>
          <w:u w:val="single"/>
          <w:lang w:val="en-US" w:eastAsia="zh-CN"/>
        </w:rPr>
        <w:t xml:space="preserve">单位</w:t>
      </w:r>
      <w:r>
        <w:rPr>
          <w:rFonts w:hint="eastAsia" w:ascii="宋体" w:hAnsi="宋体" w:cs="宋体"/>
          <w:color w:val="000000"/>
          <w:sz w:val="24"/>
          <w:szCs w:val="24"/>
          <w:highlight w:val="none"/>
          <w:u w:val="single"/>
        </w:rPr>
        <w:t xml:space="preserve">公章</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rPr>
      </w:r>
      <w:r/>
    </w:p>
    <w:p>
      <w:pPr>
        <w:pStyle w:val="851"/>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单位地址：</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bookmarkStart w:id="315" w:name="_Hlt26671380"/>
      <w:r/>
      <w:bookmarkEnd w:id="315"/>
      <w:r/>
      <w:bookmarkStart w:id="316" w:name="_Hlt26955070"/>
      <w:r/>
      <w:bookmarkEnd w:id="316"/>
      <w:r/>
      <w:bookmarkStart w:id="317" w:name="_格式3__银行出具的资信证明"/>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附被授权人身份证正反面</w:t>
      </w:r>
      <w:r>
        <w:rPr>
          <w:rFonts w:ascii="宋体" w:hAnsi="宋体" w:cs="宋体"/>
          <w:color w:val="000000"/>
          <w:sz w:val="24"/>
          <w:szCs w:val="24"/>
          <w:highlight w:val="none"/>
        </w:rPr>
      </w:r>
      <w:r/>
    </w:p>
    <w:p>
      <w:pPr>
        <w:pStyle w:val="851"/>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51"/>
        <w:spacing w:line="440" w:lineRule="exact"/>
        <w:rPr>
          <w:rFonts w:hint="eastAsia" w:ascii="宋体" w:hAnsi="宋体" w:eastAsia="宋体" w:cs="宋体"/>
          <w:i/>
          <w:iCs/>
          <w:sz w:val="28"/>
          <w:szCs w:val="28"/>
          <w:u w:val="single"/>
        </w:rPr>
      </w:pPr>
      <w:r>
        <w:rPr>
          <w:rFonts w:hint="eastAsia" w:ascii="宋体" w:hAnsi="宋体" w:cs="宋体"/>
          <w:color w:val="000000"/>
          <w:sz w:val="24"/>
          <w:szCs w:val="24"/>
          <w:highlight w:val="none"/>
        </w:rPr>
        <w:br w:type="page" w:clear="all"/>
      </w:r>
      <w:r>
        <w:rPr>
          <w:rFonts w:hint="eastAsia" w:ascii="宋体" w:hAnsi="宋体" w:eastAsia="宋体" w:cs="宋体"/>
          <w:b/>
          <w:bCs/>
          <w:i w:val="0"/>
          <w:iCs w:val="0"/>
          <w:sz w:val="30"/>
          <w:szCs w:val="30"/>
          <w:u w:val="none"/>
        </w:rPr>
        <w:t xml:space="preserve">具备履行合同所必需的设备和专业技术能力的书面声明（联合体各方均须提供）</w:t>
      </w:r>
      <w:r>
        <w:rPr>
          <w:rFonts w:hint="eastAsia" w:ascii="宋体" w:hAnsi="宋体" w:eastAsia="宋体" w:cs="宋体"/>
          <w:i/>
          <w:iCs/>
          <w:sz w:val="28"/>
          <w:szCs w:val="28"/>
          <w:u w:val="single"/>
        </w:rPr>
      </w:r>
      <w:r/>
    </w:p>
    <w:p>
      <w:pPr>
        <w:pStyle w:val="851"/>
        <w:ind w:firstLine="492"/>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sz w:val="24"/>
          <w:szCs w:val="24"/>
        </w:rPr>
      </w:r>
      <w:r/>
    </w:p>
    <w:p>
      <w:pPr>
        <w:pStyle w:val="851"/>
        <w:ind w:firstLine="492"/>
        <w:spacing w:line="360" w:lineRule="auto"/>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851"/>
        <w:ind w:firstLine="492"/>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851"/>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51"/>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51"/>
        <w:ind w:firstLine="4560"/>
        <w:keepLines w:val="0"/>
        <w:keepNext w:val="0"/>
        <w:pageBreakBefore w:val="0"/>
        <w:spacing w:line="400" w:lineRule="exact"/>
        <w:widowControl w:val="off"/>
        <w:rPr>
          <w:rFonts w:hint="eastAsia" w:ascii="宋体" w:hAnsi="宋体" w:eastAsia="宋体" w:cs="宋体"/>
          <w:i/>
          <w:iCs/>
          <w:sz w:val="28"/>
          <w:szCs w:val="28"/>
          <w:u w:val="single"/>
        </w:rPr>
      </w:pPr>
      <w:r>
        <w:rPr>
          <w:rFonts w:ascii="宋体" w:hAnsi="宋体" w:cs="宋体"/>
          <w:color w:val="000000"/>
          <w:sz w:val="24"/>
          <w:highlight w:val="none"/>
        </w:rPr>
        <w:t xml:space="preserve">单位名称：（</w:t>
      </w:r>
      <w:r>
        <w:rPr>
          <w:rFonts w:hint="eastAsia" w:ascii="宋体" w:hAnsi="宋体" w:cs="宋体"/>
          <w:color w:val="000000"/>
          <w:sz w:val="24"/>
          <w:szCs w:val="24"/>
          <w:highlight w:val="none"/>
        </w:rPr>
        <w:t xml:space="preserve">盖</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rPr>
        <w:t xml:space="preserve">公章</w:t>
      </w:r>
      <w:r>
        <w:rPr>
          <w:rFonts w:ascii="宋体" w:hAnsi="宋体" w:cs="宋体"/>
          <w:color w:val="000000"/>
          <w:sz w:val="24"/>
          <w:highlight w:val="none"/>
        </w:rPr>
        <w:t xml:space="preserve">）</w:t>
      </w:r>
      <w:r>
        <w:rPr>
          <w:rFonts w:hint="eastAsia" w:ascii="宋体" w:hAnsi="宋体" w:eastAsia="宋体" w:cs="宋体"/>
          <w:sz w:val="24"/>
          <w:szCs w:val="24"/>
        </w:rPr>
        <w:br w:type="page" w:clear="all"/>
      </w:r>
      <w:r>
        <w:rPr>
          <w:rFonts w:hint="eastAsia" w:ascii="宋体" w:hAnsi="宋体" w:eastAsia="宋体" w:cs="宋体"/>
          <w:b/>
          <w:bCs/>
          <w:i w:val="0"/>
          <w:iCs w:val="0"/>
          <w:sz w:val="28"/>
          <w:szCs w:val="28"/>
          <w:u w:val="none"/>
        </w:rPr>
        <w:t xml:space="preserve">参加政府采购活动前 3 年内在经营活动中没有重大违法记录的书面声明（联合体各方均须提供）</w:t>
      </w:r>
      <w:r>
        <w:rPr>
          <w:rFonts w:hint="eastAsia" w:ascii="宋体" w:hAnsi="宋体" w:eastAsia="宋体" w:cs="宋体"/>
          <w:i/>
          <w:iCs/>
          <w:sz w:val="28"/>
          <w:szCs w:val="28"/>
          <w:u w:val="single"/>
        </w:rPr>
      </w:r>
      <w:r/>
    </w:p>
    <w:p>
      <w:pPr>
        <w:pStyle w:val="851"/>
        <w:spacing w:line="360" w:lineRule="auto"/>
        <w:rPr>
          <w:rFonts w:hint="eastAsia" w:ascii="宋体" w:hAnsi="宋体" w:eastAsia="宋体" w:cs="宋体"/>
          <w:sz w:val="44"/>
          <w:szCs w:val="44"/>
        </w:rPr>
      </w:pPr>
      <w:r>
        <w:rPr>
          <w:rFonts w:hint="eastAsia" w:ascii="宋体" w:hAnsi="宋体" w:eastAsia="宋体" w:cs="宋体"/>
          <w:sz w:val="44"/>
          <w:szCs w:val="44"/>
        </w:rPr>
        <w:t xml:space="preserve">               </w:t>
      </w: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44"/>
          <w:szCs w:val="44"/>
        </w:rPr>
        <w:t xml:space="preserve">                  声  明</w:t>
      </w:r>
      <w:r/>
    </w:p>
    <w:p>
      <w:pPr>
        <w:pStyle w:val="851"/>
        <w:spacing w:line="360" w:lineRule="auto"/>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eastAsia="宋体" w:cs="宋体"/>
          <w:sz w:val="24"/>
          <w:szCs w:val="24"/>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ind w:firstLine="3390"/>
        <w:keepLines/>
        <w:keepNext/>
        <w:spacing w:before="260" w:after="260" w:line="415"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51"/>
        <w:ind w:firstLine="3390"/>
        <w:jc w:val="center"/>
        <w:keepLines/>
        <w:keepNext/>
        <w:spacing w:before="260" w:after="260" w:line="415" w:lineRule="auto"/>
        <w:rPr>
          <w:rFonts w:ascii="宋体" w:hAnsi="宋体" w:cs="宋体"/>
          <w:color w:val="000000"/>
          <w:sz w:val="24"/>
          <w:szCs w:val="24"/>
          <w:highlight w:val="none"/>
        </w:rPr>
      </w:pPr>
      <w:r>
        <w:rPr>
          <w:rFonts w:ascii="宋体" w:hAnsi="宋体" w:cs="宋体"/>
          <w:color w:val="000000"/>
          <w:sz w:val="24"/>
          <w:highlight w:val="none"/>
        </w:rPr>
        <w:t xml:space="preserve">单位名称：（</w:t>
      </w:r>
      <w:r>
        <w:rPr>
          <w:rFonts w:hint="eastAsia" w:ascii="宋体" w:hAnsi="宋体" w:cs="宋体"/>
          <w:color w:val="000000"/>
          <w:sz w:val="24"/>
          <w:szCs w:val="24"/>
          <w:highlight w:val="none"/>
        </w:rPr>
        <w:t xml:space="preserve">盖</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rPr>
        <w:t xml:space="preserve">公章</w:t>
      </w:r>
      <w:r>
        <w:rPr>
          <w:rFonts w:ascii="宋体" w:hAnsi="宋体" w:cs="宋体"/>
          <w:color w:val="000000"/>
          <w:sz w:val="24"/>
          <w:highlight w:val="none"/>
        </w:rPr>
        <w:t xml:space="preserve">）</w:t>
      </w: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32"/>
          <w:szCs w:val="32"/>
          <w:highlight w:val="none"/>
        </w:rPr>
        <w:t xml:space="preserve">投标函</w:t>
      </w:r>
      <w:r>
        <w:rPr>
          <w:rFonts w:ascii="宋体" w:hAnsi="宋体" w:cs="宋体"/>
          <w:color w:val="000000"/>
          <w:sz w:val="24"/>
          <w:szCs w:val="24"/>
          <w:highlight w:val="none"/>
        </w:rPr>
      </w:r>
      <w:r/>
    </w:p>
    <w:p>
      <w:pPr>
        <w:pStyle w:val="851"/>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致：泰州市海陵区市政园林养护服务中心</w:t>
      </w:r>
      <w:r>
        <w:rPr>
          <w:rFonts w:hint="eastAsia"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号招标文件，正式授权下述签字人______(姓名)代表我方______________（投标人的名称），全权处理本次项目投标的有关事宜。</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1.按招标文件规定的各项要求，向买方提供所需服务（包含与服务相关的货物）。</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2.我们完全理解贵方不一定将合同授予最低报价的投标人。</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3.我们已详细审核全部招标文件及其有效补充文件，我们知道必须放弃提出含糊不清或误解问题的权利。</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4.我们同意从规定的开标日期起遵循本投标文件，并在规定的投标有效期期满之前均具有约束力。</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5.同意向贵方提供贵方可能另外要求的与投标有关的任何证据或资料，并保证我方已提供和将要提供的文件是真实的、准确的。</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6.一旦我方中标,我方将根据招标文件的规定，严格履行合同的责任和义务,并保证在招标文件规定的时间完成项目，交付买方验收、使用。</w:t>
      </w:r>
      <w:r>
        <w:rPr>
          <w:rFonts w:ascii="宋体" w:hAnsi="宋体" w:cs="宋体"/>
          <w:color w:val="000000"/>
          <w:sz w:val="24"/>
          <w:szCs w:val="24"/>
          <w:highlight w:val="none"/>
        </w:rPr>
      </w:r>
      <w:r/>
    </w:p>
    <w:p>
      <w:pPr>
        <w:pStyle w:val="85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7.与本投标有关的正式通讯地址为：</w:t>
      </w:r>
      <w:r>
        <w:rPr>
          <w:rFonts w:ascii="宋体" w:hAnsi="宋体" w:cs="宋体"/>
          <w:color w:val="000000"/>
          <w:sz w:val="24"/>
          <w:szCs w:val="24"/>
          <w:highlight w:val="none"/>
        </w:rPr>
      </w:r>
      <w:r/>
    </w:p>
    <w:p>
      <w:pPr>
        <w:pStyle w:val="851"/>
        <w:ind w:left="420"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851"/>
        <w:ind w:left="420"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rFonts w:ascii="宋体" w:hAnsi="宋体" w:cs="宋体"/>
          <w:color w:val="000000"/>
          <w:sz w:val="24"/>
          <w:szCs w:val="24"/>
          <w:highlight w:val="none"/>
        </w:rPr>
      </w:r>
      <w:r/>
    </w:p>
    <w:p>
      <w:pPr>
        <w:pStyle w:val="851"/>
        <w:ind w:left="420"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ascii="宋体" w:hAnsi="宋体" w:cs="宋体"/>
          <w:color w:val="000000"/>
          <w:sz w:val="24"/>
          <w:szCs w:val="24"/>
          <w:highlight w:val="none"/>
        </w:rPr>
      </w:r>
      <w:r/>
    </w:p>
    <w:p>
      <w:pPr>
        <w:pStyle w:val="851"/>
        <w:ind w:left="420"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851"/>
        <w:ind w:left="420"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投标人开户行：</w:t>
      </w:r>
      <w:r>
        <w:rPr>
          <w:rFonts w:ascii="宋体" w:hAnsi="宋体" w:cs="宋体"/>
          <w:color w:val="000000"/>
          <w:sz w:val="24"/>
          <w:szCs w:val="24"/>
          <w:highlight w:val="none"/>
        </w:rPr>
      </w:r>
      <w:r/>
    </w:p>
    <w:p>
      <w:pPr>
        <w:pStyle w:val="851"/>
        <w:ind w:left="420"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rFonts w:ascii="宋体" w:hAnsi="宋体" w:cs="宋体"/>
          <w:color w:val="000000"/>
          <w:sz w:val="24"/>
          <w:szCs w:val="24"/>
          <w:highlight w:val="none"/>
        </w:rPr>
      </w:r>
      <w:r/>
    </w:p>
    <w:p>
      <w:pPr>
        <w:pStyle w:val="851"/>
        <w:ind w:left="420"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rFonts w:ascii="宋体" w:hAnsi="宋体" w:cs="宋体"/>
          <w:color w:val="000000"/>
          <w:sz w:val="24"/>
          <w:szCs w:val="24"/>
          <w:highlight w:val="none"/>
        </w:rPr>
      </w:r>
      <w:r/>
    </w:p>
    <w:p>
      <w:pPr>
        <w:pStyle w:val="851"/>
        <w:ind w:firstLine="24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24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24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24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contextualSpacing/>
        <w:spacing w:line="480" w:lineRule="exac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如是，联合体各方均须提供：</w:t>
      </w:r>
      <w:r>
        <w:rPr>
          <w:rFonts w:hint="eastAsia" w:ascii="宋体" w:hAnsi="宋体" w:cs="宋体"/>
          <w:b/>
          <w:bCs/>
          <w:color w:val="000000"/>
          <w:sz w:val="32"/>
          <w:szCs w:val="32"/>
          <w:highlight w:val="none"/>
        </w:rPr>
      </w:r>
      <w:r/>
    </w:p>
    <w:p>
      <w:pPr>
        <w:pStyle w:val="851"/>
        <w:jc w:val="center"/>
        <w:spacing w:after="24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中小企业声明函（服务）</w:t>
      </w:r>
      <w:r>
        <w:rPr>
          <w:rFonts w:hint="eastAsia" w:ascii="宋体" w:hAnsi="宋体" w:cs="宋体"/>
          <w:b/>
          <w:bCs/>
          <w:color w:val="000000"/>
          <w:sz w:val="32"/>
          <w:szCs w:val="32"/>
          <w:highlight w:val="none"/>
        </w:rPr>
      </w:r>
      <w:r/>
    </w:p>
    <w:p>
      <w:pPr>
        <w:pStyle w:val="851"/>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本公司（联合体）郑重声明，根据《政府采购促进中小企业发展管理办法》(财库[2020]46号)的规定，本公司（联合体）参加采购人组织的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（项目名称）（分包号：**）</w:t>
      </w:r>
      <w:r>
        <w:rPr>
          <w:rFonts w:hint="eastAsia" w:ascii="宋体" w:hAnsi="宋体" w:cs="宋体"/>
          <w:color w:val="000000"/>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w:t>
      </w:r>
      <w:r>
        <w:rPr>
          <w:rFonts w:hint="eastAsia" w:ascii="宋体" w:hAnsi="宋体" w:cs="宋体"/>
          <w:color w:val="000000"/>
          <w:sz w:val="24"/>
          <w:szCs w:val="24"/>
          <w:highlight w:val="none"/>
          <w:u w:val="single"/>
        </w:rPr>
        <w:t xml:space="preserve">含联合体中的小微企业</w:t>
      </w:r>
      <w:r>
        <w:rPr>
          <w:rFonts w:hint="eastAsia" w:ascii="宋体" w:hAnsi="宋体" w:cs="宋体"/>
          <w:color w:val="000000"/>
          <w:sz w:val="24"/>
          <w:szCs w:val="24"/>
          <w:highlight w:val="none"/>
        </w:rPr>
        <w:t xml:space="preserve">、签订分包意向协议的中小企业）的具体情况如下：</w:t>
      </w:r>
      <w:r>
        <w:rPr>
          <w:rFonts w:ascii="宋体" w:hAnsi="宋体" w:cs="宋体"/>
          <w:color w:val="000000"/>
          <w:sz w:val="24"/>
          <w:szCs w:val="24"/>
          <w:highlight w:val="none"/>
        </w:rPr>
      </w:r>
      <w:r/>
    </w:p>
    <w:p>
      <w:pPr>
        <w:pStyle w:val="851"/>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ascii="宋体" w:hAnsi="宋体" w:cs="宋体"/>
          <w:color w:val="000000"/>
          <w:sz w:val="24"/>
          <w:szCs w:val="24"/>
          <w:highlight w:val="none"/>
        </w:rPr>
      </w:r>
      <w:r/>
    </w:p>
    <w:p>
      <w:pPr>
        <w:pStyle w:val="851"/>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ascii="宋体" w:hAnsi="宋体" w:cs="宋体"/>
          <w:color w:val="000000"/>
          <w:sz w:val="24"/>
          <w:szCs w:val="24"/>
          <w:highlight w:val="none"/>
        </w:rPr>
      </w:r>
      <w:r/>
    </w:p>
    <w:p>
      <w:pPr>
        <w:pStyle w:val="851"/>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51"/>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851"/>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ascii="宋体" w:hAnsi="宋体" w:cs="宋体"/>
          <w:color w:val="000000"/>
          <w:sz w:val="24"/>
          <w:szCs w:val="24"/>
          <w:highlight w:val="none"/>
        </w:rPr>
      </w:r>
      <w:r/>
    </w:p>
    <w:p>
      <w:pPr>
        <w:pStyle w:val="851"/>
        <w:ind w:right="7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right="180" w:firstLine="36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51"/>
        <w:ind w:right="180" w:firstLine="36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51"/>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w:t>
      </w:r>
      <w:r>
        <w:rPr>
          <w:rFonts w:hint="eastAsia" w:ascii="宋体" w:hAnsi="宋体" w:cs="宋体"/>
          <w:color w:val="000000"/>
          <w:sz w:val="24"/>
          <w:szCs w:val="24"/>
          <w:highlight w:val="none"/>
        </w:rPr>
        <w:t xml:space="preserve">盖</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51"/>
        <w:ind w:right="480" w:firstLine="54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ascii="宋体" w:hAnsi="宋体" w:cs="宋体"/>
          <w:color w:val="000000"/>
          <w:sz w:val="24"/>
          <w:szCs w:val="24"/>
          <w:highlight w:val="none"/>
        </w:rPr>
      </w:r>
      <w:r/>
    </w:p>
    <w:p>
      <w:pPr>
        <w:pStyle w:val="851"/>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w:t>
      </w:r>
      <w:r>
        <w:rPr>
          <w:rFonts w:ascii="宋体" w:hAnsi="宋体" w:cs="宋体"/>
          <w:color w:val="000000"/>
          <w:sz w:val="24"/>
          <w:szCs w:val="24"/>
          <w:highlight w:val="none"/>
        </w:rPr>
      </w:r>
      <w:r/>
    </w:p>
    <w:p>
      <w:pPr>
        <w:pStyle w:val="85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备注2：供应商如不提供此声明函，价格将不做相应扣除。</w:t>
      </w:r>
      <w:r>
        <w:rPr>
          <w:rFonts w:ascii="宋体" w:hAnsi="宋体" w:cs="宋体"/>
          <w:color w:val="000000"/>
          <w:sz w:val="24"/>
          <w:szCs w:val="24"/>
          <w:highlight w:val="none"/>
        </w:rPr>
      </w:r>
      <w:r/>
    </w:p>
    <w:p>
      <w:pPr>
        <w:pStyle w:val="851"/>
        <w:ind w:firstLine="48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备注3：联合体投标的，应当列出所有联合体成员的具体情况，否则价格将不做相应扣除。</w:t>
      </w:r>
      <w:r>
        <w:rPr>
          <w:rFonts w:ascii="宋体" w:hAnsi="宋体" w:cs="宋体"/>
          <w:color w:val="000000"/>
          <w:sz w:val="24"/>
          <w:szCs w:val="24"/>
          <w:highlight w:val="none"/>
          <w:u w:val="single"/>
        </w:rPr>
      </w:r>
      <w:r/>
    </w:p>
    <w:p>
      <w:pPr>
        <w:pStyle w:val="851"/>
        <w:jc w:val="center"/>
        <w:spacing w:after="240"/>
        <w:rPr>
          <w:rFonts w:ascii="宋体" w:hAnsi="宋体" w:cs="宋体"/>
          <w:color w:val="000000"/>
          <w:sz w:val="24"/>
          <w:szCs w:val="24"/>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残疾人福利性单位声明函</w:t>
      </w:r>
      <w:r>
        <w:rPr>
          <w:rFonts w:ascii="宋体" w:hAnsi="宋体" w:cs="宋体"/>
          <w:color w:val="000000"/>
          <w:sz w:val="24"/>
          <w:szCs w:val="24"/>
          <w:highlight w:val="none"/>
        </w:rPr>
      </w:r>
      <w:r/>
    </w:p>
    <w:p>
      <w:pPr>
        <w:pStyle w:val="85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项目（分包号：**）采购活动由本单位提供服务。</w:t>
      </w:r>
      <w:r>
        <w:rPr>
          <w:rFonts w:ascii="宋体" w:hAnsi="宋体" w:cs="宋体"/>
          <w:color w:val="000000"/>
          <w:sz w:val="24"/>
          <w:szCs w:val="24"/>
          <w:highlight w:val="none"/>
        </w:rPr>
      </w:r>
      <w:r/>
    </w:p>
    <w:p>
      <w:pPr>
        <w:pStyle w:val="85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rFonts w:ascii="宋体" w:hAnsi="宋体" w:cs="宋体"/>
          <w:color w:val="000000"/>
          <w:sz w:val="24"/>
          <w:szCs w:val="24"/>
          <w:highlight w:val="none"/>
        </w:rPr>
      </w:r>
      <w:r/>
    </w:p>
    <w:p>
      <w:pPr>
        <w:pStyle w:val="85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（备注：1、供应商如不提供此声明函，价格将不做相应扣除。2、中标人为残疾人福利单位的，此声明函将随中标结果同时公告，接受社会监督）</w:t>
      </w:r>
      <w:r>
        <w:rPr>
          <w:rFonts w:ascii="宋体" w:hAnsi="宋体" w:cs="宋体"/>
          <w:color w:val="000000"/>
          <w:sz w:val="24"/>
          <w:szCs w:val="24"/>
          <w:highlight w:val="none"/>
        </w:rPr>
      </w:r>
      <w:r/>
    </w:p>
    <w:p>
      <w:pPr>
        <w:pStyle w:val="851"/>
        <w:ind w:firstLine="62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right="1560" w:firstLine="624"/>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24"/>
          <w:szCs w:val="24"/>
          <w:highlight w:val="none"/>
        </w:rPr>
        <w:t xml:space="preserve">投标人全称（盖</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rPr>
        <w:t xml:space="preserve">公章）：</w:t>
      </w:r>
      <w:r>
        <w:rPr>
          <w:rFonts w:ascii="宋体" w:hAnsi="宋体" w:cs="宋体"/>
          <w:color w:val="000000"/>
          <w:sz w:val="24"/>
          <w:szCs w:val="24"/>
          <w:highlight w:val="none"/>
        </w:rPr>
      </w:r>
      <w:r/>
    </w:p>
    <w:p>
      <w:pPr>
        <w:pStyle w:val="851"/>
        <w:ind w:right="1560" w:firstLine="480"/>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rFonts w:ascii="宋体" w:hAnsi="宋体" w:cs="宋体"/>
          <w:color w:val="000000"/>
          <w:sz w:val="24"/>
          <w:szCs w:val="24"/>
          <w:highlight w:val="none"/>
        </w:rPr>
      </w:r>
      <w:r/>
    </w:p>
    <w:p>
      <w:pPr>
        <w:pStyle w:val="85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spacing w:after="240"/>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联合体协议</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（联合体中各供应商全称）在此达成以下协议：</w:t>
      </w:r>
      <w:r>
        <w:rPr>
          <w:rFonts w:ascii="宋体" w:hAnsi="宋体" w:cs="宋体"/>
          <w:color w:val="000000"/>
          <w:sz w:val="24"/>
          <w:szCs w:val="24"/>
          <w:highlight w:val="none"/>
        </w:rPr>
      </w:r>
      <w:r/>
    </w:p>
    <w:p>
      <w:pPr>
        <w:pStyle w:val="851"/>
        <w:ind w:firstLine="64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1、我们</w:t>
      </w:r>
      <w:r>
        <w:rPr>
          <w:rFonts w:hint="eastAsia" w:ascii="宋体" w:hAnsi="宋体" w:cs="宋体"/>
          <w:color w:val="000000"/>
          <w:sz w:val="24"/>
          <w:szCs w:val="24"/>
          <w:highlight w:val="none"/>
          <w:u w:val="single"/>
        </w:rPr>
        <w:t xml:space="preserve"> （供应商1），（供应商2） ，……</w:t>
      </w:r>
      <w:r>
        <w:rPr>
          <w:rFonts w:hint="eastAsia" w:ascii="宋体" w:hAnsi="宋体" w:cs="宋体"/>
          <w:color w:val="000000"/>
          <w:sz w:val="24"/>
          <w:szCs w:val="24"/>
          <w:highlight w:val="none"/>
        </w:rPr>
        <w:t xml:space="preserve">自愿组成联合体，参加泰州市中诚工程咨询有限公司组织的采购编号为</w:t>
      </w:r>
      <w:r>
        <w:rPr>
          <w:rFonts w:hint="eastAsia" w:ascii="宋体" w:hAnsi="宋体" w:cs="宋体"/>
          <w:color w:val="000000"/>
          <w:sz w:val="24"/>
          <w:szCs w:val="24"/>
          <w:highlight w:val="none"/>
          <w:u w:val="single"/>
        </w:rPr>
        <w:t xml:space="preserve">（编号全称），（项目全称）</w:t>
      </w:r>
      <w:r>
        <w:rPr>
          <w:rFonts w:hint="eastAsia" w:ascii="宋体" w:hAnsi="宋体" w:cs="宋体"/>
          <w:color w:val="000000"/>
          <w:sz w:val="24"/>
          <w:szCs w:val="24"/>
          <w:highlight w:val="none"/>
        </w:rPr>
        <w:t xml:space="preserve">项目（分包号：**）的政府采购活动，我联合体指定</w:t>
      </w:r>
      <w:r>
        <w:rPr>
          <w:rFonts w:hint="eastAsia" w:ascii="宋体" w:hAnsi="宋体" w:cs="宋体"/>
          <w:color w:val="000000"/>
          <w:sz w:val="24"/>
          <w:szCs w:val="24"/>
          <w:highlight w:val="none"/>
          <w:u w:val="single"/>
        </w:rPr>
        <w:t xml:space="preserve">（供应商*）</w:t>
      </w:r>
      <w:r>
        <w:rPr>
          <w:rFonts w:hint="eastAsia" w:ascii="宋体" w:hAnsi="宋体" w:cs="宋体"/>
          <w:color w:val="000000"/>
          <w:sz w:val="24"/>
          <w:szCs w:val="24"/>
          <w:highlight w:val="none"/>
        </w:rPr>
        <w:t xml:space="preserve">为牵头单位（牵头单位必须为联合体成员）。</w:t>
      </w:r>
      <w:r>
        <w:rPr>
          <w:rFonts w:ascii="宋体" w:hAnsi="宋体" w:cs="宋体"/>
          <w:color w:val="000000"/>
          <w:sz w:val="24"/>
          <w:szCs w:val="24"/>
          <w:highlight w:val="none"/>
        </w:rPr>
      </w:r>
      <w:r/>
    </w:p>
    <w:p>
      <w:pPr>
        <w:pStyle w:val="851"/>
        <w:ind w:firstLine="64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2、若我们联合中标、成交，（供应商单位1全称）实施项目中</w:t>
      </w:r>
      <w:r>
        <w:rPr>
          <w:rFonts w:hint="eastAsia" w:ascii="宋体" w:hAnsi="宋体" w:cs="宋体"/>
          <w:color w:val="000000"/>
          <w:sz w:val="24"/>
          <w:szCs w:val="24"/>
          <w:highlight w:val="none"/>
          <w:u w:val="single"/>
        </w:rPr>
        <w:t xml:space="preserve">（工作内容）</w:t>
      </w:r>
      <w:r>
        <w:rPr>
          <w:rFonts w:hint="eastAsia" w:ascii="宋体" w:hAnsi="宋体" w:cs="宋体"/>
          <w:color w:val="000000"/>
          <w:sz w:val="24"/>
          <w:szCs w:val="24"/>
          <w:highlight w:val="none"/>
        </w:rPr>
        <w:t xml:space="preserve">部分工作，并承担相应的责任。（供应商单位2全称）实施项目中</w:t>
      </w:r>
      <w:r>
        <w:rPr>
          <w:rFonts w:hint="eastAsia" w:ascii="宋体" w:hAnsi="宋体" w:cs="宋体"/>
          <w:color w:val="000000"/>
          <w:sz w:val="24"/>
          <w:szCs w:val="24"/>
          <w:highlight w:val="none"/>
          <w:u w:val="single"/>
        </w:rPr>
        <w:t xml:space="preserve">（工作内容）</w:t>
      </w:r>
      <w:r>
        <w:rPr>
          <w:rFonts w:hint="eastAsia" w:ascii="宋体" w:hAnsi="宋体" w:cs="宋体"/>
          <w:color w:val="000000"/>
          <w:sz w:val="24"/>
          <w:szCs w:val="24"/>
          <w:highlight w:val="none"/>
        </w:rPr>
        <w:t xml:space="preserve">部分工作，并承担相应的责任……。（注：联合体中各供应商都应明示所承担的工作和相应的责任）。</w:t>
      </w:r>
      <w:r>
        <w:rPr>
          <w:rFonts w:ascii="宋体" w:hAnsi="宋体" w:cs="宋体"/>
          <w:color w:val="000000"/>
          <w:sz w:val="24"/>
          <w:szCs w:val="24"/>
          <w:highlight w:val="none"/>
        </w:rPr>
      </w:r>
      <w:r/>
    </w:p>
    <w:p>
      <w:pPr>
        <w:pStyle w:val="851"/>
        <w:ind w:firstLine="64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3、其中</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（小型、微型企业/残疾人福利性单位/监狱企业全称）为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51"/>
        <w:ind w:firstLine="64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645"/>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备注：本招标文件中要求加盖CA电子签章的地方，仅需加盖牵头单位的CA电子签章。</w:t>
      </w:r>
      <w:r>
        <w:rPr>
          <w:rFonts w:hint="eastAsia" w:ascii="宋体" w:hAnsi="宋体" w:cs="宋体"/>
          <w:color w:val="000000"/>
          <w:sz w:val="24"/>
          <w:szCs w:val="24"/>
          <w:highlight w:val="none"/>
          <w:lang w:val="en-US" w:eastAsia="zh-CN"/>
        </w:rPr>
        <w:t xml:space="preserve">要求盖单位公章的地方，要求联合体各单位均须盖章。</w:t>
      </w:r>
      <w:r>
        <w:rPr>
          <w:rFonts w:ascii="宋体" w:hAnsi="宋体" w:eastAsia="宋体" w:cs="宋体"/>
          <w:color w:val="000000"/>
          <w:sz w:val="24"/>
          <w:szCs w:val="24"/>
          <w:highlight w:val="none"/>
          <w:lang w:val="en-US" w:eastAsia="zh-CN"/>
        </w:rPr>
      </w:r>
      <w:r/>
    </w:p>
    <w:p>
      <w:pPr>
        <w:pStyle w:val="851"/>
        <w:ind w:firstLine="64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645"/>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联合体中各供应商全称（</w:t>
      </w:r>
      <w:r>
        <w:rPr>
          <w:rFonts w:hint="eastAsia" w:ascii="宋体" w:hAnsi="宋体" w:cs="宋体"/>
          <w:color w:val="000000"/>
          <w:sz w:val="24"/>
          <w:szCs w:val="24"/>
          <w:highlight w:val="none"/>
          <w:lang w:val="en-US" w:eastAsia="zh-CN"/>
        </w:rPr>
        <w:t xml:space="preserve">并盖各单位</w:t>
      </w:r>
      <w:r>
        <w:rPr>
          <w:rFonts w:hint="eastAsia" w:ascii="宋体" w:hAnsi="宋体" w:cs="宋体"/>
          <w:color w:val="000000"/>
          <w:sz w:val="24"/>
          <w:szCs w:val="24"/>
          <w:highlight w:val="none"/>
        </w:rPr>
        <w:t xml:space="preserve">公章）：     </w:t>
      </w:r>
      <w:r>
        <w:rPr>
          <w:rFonts w:ascii="宋体" w:hAnsi="宋体" w:cs="宋体"/>
          <w:color w:val="000000"/>
          <w:sz w:val="24"/>
          <w:szCs w:val="24"/>
          <w:highlight w:val="none"/>
        </w:rPr>
      </w:r>
      <w:r/>
    </w:p>
    <w:p>
      <w:pPr>
        <w:pStyle w:val="851"/>
        <w:ind w:firstLine="64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日期：</w:t>
      </w:r>
      <w:r>
        <w:rPr>
          <w:rFonts w:ascii="宋体" w:hAnsi="宋体" w:cs="宋体"/>
          <w:color w:val="000000"/>
          <w:sz w:val="24"/>
          <w:szCs w:val="24"/>
          <w:highlight w:val="none"/>
        </w:rPr>
      </w:r>
      <w:r/>
    </w:p>
    <w:p>
      <w:pPr>
        <w:pStyle w:val="851"/>
        <w:ind w:firstLine="645"/>
        <w:jc w:val="center"/>
        <w:rPr>
          <w:rFonts w:ascii="宋体" w:hAnsi="宋体" w:cs="宋体"/>
          <w:i/>
          <w:iCs/>
          <w:color w:val="000000"/>
          <w:sz w:val="24"/>
          <w:szCs w:val="24"/>
          <w:highlight w:val="none"/>
          <w:u w:val="single"/>
        </w:rPr>
      </w:pPr>
      <w:r>
        <w:rPr>
          <w:rFonts w:hint="eastAsia" w:ascii="宋体" w:hAnsi="宋体" w:cs="宋体"/>
          <w:b/>
          <w:bCs/>
          <w:i/>
          <w:iCs/>
          <w:color w:val="000000"/>
          <w:sz w:val="32"/>
          <w:szCs w:val="32"/>
          <w:highlight w:val="none"/>
          <w:u w:val="single"/>
        </w:rPr>
        <w:br w:type="page" w:clear="all"/>
      </w:r>
      <w:r>
        <w:rPr>
          <w:rFonts w:hint="eastAsia" w:ascii="宋体" w:hAnsi="宋体" w:cs="宋体"/>
          <w:b/>
          <w:bCs/>
          <w:color w:val="000000"/>
          <w:sz w:val="32"/>
          <w:szCs w:val="32"/>
          <w:highlight w:val="none"/>
        </w:rPr>
        <w:t xml:space="preserve">投标分项报价表</w:t>
      </w:r>
      <w:r>
        <w:rPr>
          <w:rFonts w:ascii="宋体" w:hAnsi="宋体" w:cs="宋体"/>
          <w:i/>
          <w:iCs/>
          <w:color w:val="000000"/>
          <w:sz w:val="24"/>
          <w:szCs w:val="24"/>
          <w:highlight w:val="none"/>
          <w:u w:val="single"/>
        </w:rPr>
      </w:r>
      <w:r/>
    </w:p>
    <w:tbl>
      <w:tblPr>
        <w:tblW w:w="8588"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684"/>
        <w:gridCol w:w="750"/>
        <w:gridCol w:w="1751"/>
        <w:gridCol w:w="1650"/>
        <w:gridCol w:w="2167"/>
      </w:tblGrid>
      <w:tr>
        <w:trPr>
          <w:tblCellSpacing w:w="0" w:type="dxa"/>
          <w:trHeight w:val="610"/>
        </w:trPr>
        <w:tc>
          <w:tcPr>
            <w:tcW w:w="586"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684"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分项服务名称</w:t>
            </w:r>
            <w:r>
              <w:rPr>
                <w:rFonts w:ascii="宋体" w:hAnsi="宋体" w:cs="宋体"/>
                <w:color w:val="000000"/>
                <w:sz w:val="24"/>
                <w:szCs w:val="24"/>
                <w:highlight w:val="none"/>
              </w:rPr>
            </w:r>
            <w:r/>
          </w:p>
        </w:tc>
        <w:tc>
          <w:tcPr>
            <w:tcW w:w="750"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分项单位</w:t>
            </w:r>
            <w:r>
              <w:rPr>
                <w:rFonts w:ascii="宋体" w:hAnsi="宋体" w:cs="宋体"/>
                <w:color w:val="000000"/>
                <w:sz w:val="24"/>
                <w:szCs w:val="24"/>
                <w:highlight w:val="none"/>
              </w:rPr>
            </w:r>
            <w:r/>
          </w:p>
        </w:tc>
        <w:tc>
          <w:tcPr>
            <w:tcW w:w="1751"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工作量</w:t>
            </w:r>
            <w:r>
              <w:rPr>
                <w:rFonts w:ascii="宋体" w:hAnsi="宋体" w:cs="宋体"/>
                <w:color w:val="000000"/>
                <w:sz w:val="24"/>
                <w:szCs w:val="24"/>
                <w:highlight w:val="none"/>
              </w:rPr>
            </w:r>
            <w:r/>
          </w:p>
        </w:tc>
        <w:tc>
          <w:tcPr>
            <w:tcW w:w="1650"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分项</w:t>
            </w:r>
            <w:r>
              <w:rPr>
                <w:rFonts w:ascii="宋体" w:hAnsi="宋体" w:cs="宋体"/>
                <w:color w:val="000000"/>
                <w:sz w:val="24"/>
                <w:szCs w:val="24"/>
                <w:highlight w:val="none"/>
              </w:rPr>
            </w:r>
            <w:r/>
          </w:p>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w:t>
            </w:r>
            <w:r>
              <w:rPr>
                <w:rFonts w:ascii="宋体" w:hAnsi="宋体" w:cs="宋体"/>
                <w:color w:val="000000"/>
                <w:sz w:val="24"/>
                <w:szCs w:val="24"/>
                <w:highlight w:val="none"/>
              </w:rPr>
            </w:r>
            <w:r/>
          </w:p>
        </w:tc>
        <w:tc>
          <w:tcPr>
            <w:tcW w:w="2167"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分项</w:t>
            </w:r>
            <w:r>
              <w:rPr>
                <w:rFonts w:ascii="宋体" w:hAnsi="宋体" w:cs="宋体"/>
                <w:color w:val="000000"/>
                <w:sz w:val="24"/>
                <w:szCs w:val="24"/>
                <w:highlight w:val="none"/>
              </w:rPr>
            </w:r>
            <w:r/>
          </w:p>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w:t>
            </w:r>
            <w:r>
              <w:rPr>
                <w:rFonts w:ascii="宋体" w:hAnsi="宋体" w:cs="宋体"/>
                <w:color w:val="000000"/>
                <w:sz w:val="24"/>
                <w:szCs w:val="24"/>
                <w:highlight w:val="none"/>
              </w:rPr>
            </w:r>
            <w:r/>
          </w:p>
        </w:tc>
      </w:tr>
      <w:tr>
        <w:trPr>
          <w:tblCellSpacing w:w="0" w:type="dxa"/>
          <w:trHeight w:val="631"/>
        </w:trPr>
        <w:tc>
          <w:tcPr>
            <w:tcW w:w="586"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684" w:type="dxa"/>
            <w:vAlign w:val="center"/>
            <w:textDirection w:val="lrTb"/>
            <w:noWrap w:val="false"/>
          </w:tcPr>
          <w:p>
            <w:pPr>
              <w:pStyle w:val="851"/>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管道QV检测</w:t>
            </w:r>
            <w:r>
              <w:rPr>
                <w:rFonts w:hint="eastAsia" w:ascii="宋体" w:hAnsi="宋体" w:cs="宋体"/>
                <w:color w:val="000000"/>
                <w:sz w:val="24"/>
                <w:szCs w:val="24"/>
                <w:highlight w:val="none"/>
              </w:rPr>
            </w:r>
            <w:r/>
          </w:p>
        </w:tc>
        <w:tc>
          <w:tcPr>
            <w:tcW w:w="750" w:type="dxa"/>
            <w:vAlign w:val="center"/>
            <w:textDirection w:val="lrTb"/>
            <w:noWrap w:val="false"/>
          </w:tcPr>
          <w:p>
            <w:pPr>
              <w:pStyle w:val="851"/>
              <w:jc w:val="center"/>
              <w:spacing w:line="0" w:lineRule="atLeast"/>
              <w:rPr>
                <w:rFonts w:ascii="宋体" w:hAnsi="宋体" w:cs="宋体"/>
                <w:color w:val="000000"/>
                <w:sz w:val="22"/>
                <w:highlight w:val="none"/>
              </w:rPr>
            </w:pPr>
            <w:r>
              <w:rPr>
                <w:rFonts w:hint="eastAsia" w:ascii="宋体" w:hAnsi="宋体" w:cs="宋体"/>
                <w:color w:val="000000"/>
                <w:sz w:val="22"/>
                <w:highlight w:val="none"/>
              </w:rPr>
              <w:t xml:space="preserve">米</w:t>
            </w:r>
            <w:r>
              <w:rPr>
                <w:rFonts w:ascii="宋体" w:hAnsi="宋体" w:cs="宋体"/>
                <w:color w:val="000000"/>
                <w:sz w:val="22"/>
                <w:highlight w:val="none"/>
              </w:rPr>
            </w:r>
            <w:r/>
          </w:p>
        </w:tc>
        <w:tc>
          <w:tcPr>
            <w:tcW w:w="1751" w:type="dxa"/>
            <w:vAlign w:val="center"/>
            <w:textDirection w:val="lrTb"/>
            <w:noWrap w:val="false"/>
          </w:tcPr>
          <w:p>
            <w:pPr>
              <w:pStyle w:val="851"/>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rPr>
                <w:rFonts w:ascii="SimSun" w:hAnsi="SimSun" w:eastAsia="SimSun" w:cs="SimSun"/>
                <w:color w:val="000000"/>
                <w:sz w:val="20"/>
              </w:rPr>
              <w:t xml:space="preserve">67575</w:t>
            </w:r>
            <w:r>
              <w:rPr>
                <w:rFonts w:hint="eastAsia" w:ascii="宋体" w:hAnsi="宋体" w:cs="宋体"/>
                <w:color w:val="000000"/>
                <w:sz w:val="24"/>
                <w:szCs w:val="24"/>
                <w:highlight w:val="none"/>
                <w:lang w:bidi="ar"/>
              </w:rPr>
            </w:r>
            <w:r/>
          </w:p>
        </w:tc>
        <w:tc>
          <w:tcPr>
            <w:tcW w:w="1650" w:type="dxa"/>
            <w:vAlign w:val="center"/>
            <w:textDirection w:val="lrTb"/>
            <w:noWrap w:val="false"/>
          </w:tcPr>
          <w:p>
            <w:pPr>
              <w:pStyle w:val="851"/>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67" w:type="dxa"/>
            <w:vAlign w:val="center"/>
            <w:textDirection w:val="lrTb"/>
            <w:noWrap w:val="false"/>
          </w:tcPr>
          <w:p>
            <w:pPr>
              <w:pStyle w:val="851"/>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blCellSpacing w:w="0" w:type="dxa"/>
          <w:trHeight w:val="631"/>
        </w:trPr>
        <w:tc>
          <w:tcPr>
            <w:tcW w:w="586"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684" w:type="dxa"/>
            <w:vAlign w:val="center"/>
            <w:textDirection w:val="lrTb"/>
            <w:noWrap w:val="false"/>
          </w:tcPr>
          <w:p>
            <w:pPr>
              <w:pStyle w:val="851"/>
              <w:jc w:val="center"/>
              <w:spacing w:line="0" w:lineRule="atLeast"/>
              <w:rPr>
                <w:rFonts w:ascii="宋体" w:hAnsi="宋体" w:cs="宋体"/>
                <w:color w:val="000000"/>
                <w:sz w:val="22"/>
                <w:highlight w:val="none"/>
              </w:rPr>
            </w:pPr>
            <w:r>
              <w:rPr>
                <w:rFonts w:hint="eastAsia" w:ascii="宋体" w:hAnsi="宋体" w:cs="宋体"/>
                <w:color w:val="000000"/>
                <w:sz w:val="24"/>
                <w:szCs w:val="24"/>
                <w:highlight w:val="none"/>
              </w:rPr>
              <w:t xml:space="preserve">污水管网及配套设施运维</w:t>
            </w:r>
            <w:r>
              <w:rPr>
                <w:rFonts w:ascii="宋体" w:hAnsi="宋体" w:cs="宋体"/>
                <w:color w:val="000000"/>
                <w:sz w:val="22"/>
                <w:highlight w:val="none"/>
              </w:rPr>
            </w:r>
            <w:r/>
          </w:p>
        </w:tc>
        <w:tc>
          <w:tcPr>
            <w:tcW w:w="750" w:type="dxa"/>
            <w:vAlign w:val="center"/>
            <w:textDirection w:val="lrTb"/>
            <w:noWrap w:val="false"/>
          </w:tcPr>
          <w:p>
            <w:pPr>
              <w:pStyle w:val="851"/>
              <w:jc w:val="center"/>
              <w:spacing w:line="0" w:lineRule="atLeast"/>
              <w:rPr>
                <w:rFonts w:ascii="宋体" w:hAnsi="宋体" w:cs="宋体"/>
                <w:color w:val="000000"/>
                <w:sz w:val="22"/>
                <w:highlight w:val="none"/>
              </w:rPr>
            </w:pPr>
            <w:r>
              <w:rPr>
                <w:rFonts w:hint="eastAsia" w:ascii="宋体" w:hAnsi="宋体" w:cs="宋体"/>
                <w:color w:val="000000"/>
                <w:sz w:val="22"/>
                <w:highlight w:val="none"/>
              </w:rPr>
              <w:t xml:space="preserve">公里</w:t>
            </w:r>
            <w:r>
              <w:rPr>
                <w:rFonts w:ascii="宋体" w:hAnsi="宋体" w:cs="宋体"/>
                <w:color w:val="000000"/>
                <w:sz w:val="22"/>
                <w:highlight w:val="none"/>
              </w:rPr>
            </w:r>
            <w:r/>
          </w:p>
        </w:tc>
        <w:tc>
          <w:tcPr>
            <w:tcW w:w="1751" w:type="dxa"/>
            <w:vAlign w:val="center"/>
            <w:textDirection w:val="lrTb"/>
            <w:noWrap w:val="false"/>
          </w:tcPr>
          <w:p>
            <w:pPr>
              <w:pStyle w:val="85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r>
            <w:r>
              <w:rPr>
                <w:rFonts w:ascii="SimSun" w:hAnsi="SimSun" w:eastAsia="SimSun" w:cs="SimSun"/>
                <w:color w:val="000000"/>
                <w:sz w:val="20"/>
              </w:rPr>
              <w:t xml:space="preserve">900</w:t>
            </w: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rPr>
            </w:r>
            <w:r/>
          </w:p>
        </w:tc>
        <w:tc>
          <w:tcPr>
            <w:tcW w:w="1650"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167"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892"/>
        </w:trPr>
        <w:tc>
          <w:tcPr>
            <w:tcW w:w="586"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684" w:type="dxa"/>
            <w:vAlign w:val="center"/>
            <w:textDirection w:val="lrTb"/>
            <w:noWrap w:val="false"/>
          </w:tcPr>
          <w:p>
            <w:pPr>
              <w:pStyle w:val="851"/>
              <w:jc w:val="center"/>
              <w:spacing w:line="0" w:lineRule="atLeast"/>
              <w:rPr>
                <w:rFonts w:ascii="宋体" w:hAnsi="宋体" w:cs="宋体"/>
                <w:color w:val="000000"/>
                <w:sz w:val="22"/>
                <w:highlight w:val="none"/>
              </w:rPr>
            </w:pPr>
            <w:r>
              <w:rPr>
                <w:rFonts w:hint="eastAsia" w:ascii="宋体" w:hAnsi="宋体" w:cs="宋体"/>
                <w:color w:val="000000"/>
                <w:sz w:val="24"/>
                <w:szCs w:val="24"/>
                <w:highlight w:val="none"/>
              </w:rPr>
              <w:t xml:space="preserve">一体化污水处理设施运维</w:t>
            </w:r>
            <w:r>
              <w:rPr>
                <w:rFonts w:ascii="宋体" w:hAnsi="宋体" w:cs="宋体"/>
                <w:color w:val="000000"/>
                <w:sz w:val="22"/>
                <w:highlight w:val="none"/>
              </w:rPr>
            </w:r>
            <w:r/>
          </w:p>
        </w:tc>
        <w:tc>
          <w:tcPr>
            <w:tcW w:w="750" w:type="dxa"/>
            <w:vAlign w:val="center"/>
            <w:textDirection w:val="lrTb"/>
            <w:noWrap w:val="false"/>
          </w:tcPr>
          <w:p>
            <w:pPr>
              <w:pStyle w:val="851"/>
              <w:jc w:val="center"/>
              <w:spacing w:line="0" w:lineRule="atLeast"/>
              <w:rPr>
                <w:rFonts w:ascii="宋体" w:hAnsi="宋体" w:cs="宋体"/>
                <w:color w:val="000000"/>
                <w:sz w:val="22"/>
                <w:highlight w:val="none"/>
              </w:rPr>
            </w:pPr>
            <w:r>
              <w:rPr>
                <w:rFonts w:hint="eastAsia" w:ascii="宋体" w:hAnsi="宋体" w:cs="宋体"/>
                <w:color w:val="000000"/>
                <w:sz w:val="22"/>
                <w:highlight w:val="none"/>
              </w:rPr>
              <w:t xml:space="preserve">吨</w:t>
            </w:r>
            <w:r>
              <w:rPr>
                <w:rFonts w:ascii="宋体" w:hAnsi="宋体" w:cs="宋体"/>
                <w:color w:val="000000"/>
                <w:sz w:val="22"/>
                <w:highlight w:val="none"/>
              </w:rPr>
            </w:r>
            <w:r/>
          </w:p>
        </w:tc>
        <w:tc>
          <w:tcPr>
            <w:tcW w:w="1751" w:type="dxa"/>
            <w:vAlign w:val="center"/>
            <w:textDirection w:val="lrTb"/>
            <w:noWrap w:val="false"/>
          </w:tcPr>
          <w:p>
            <w:pPr>
              <w:pStyle w:val="851"/>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rFonts w:ascii="SimSun" w:hAnsi="SimSun" w:eastAsia="SimSun" w:cs="SimSun"/>
                <w:color w:val="000000"/>
                <w:sz w:val="20"/>
              </w:rPr>
              <w:t xml:space="preserve">1177709</w:t>
            </w:r>
            <w:r>
              <w:rPr>
                <w:rFonts w:ascii="宋体" w:hAnsi="宋体" w:cs="宋体"/>
                <w:color w:val="000000"/>
                <w:sz w:val="24"/>
                <w:szCs w:val="24"/>
                <w:highlight w:val="none"/>
              </w:rPr>
            </w:r>
            <w:r/>
          </w:p>
        </w:tc>
        <w:tc>
          <w:tcPr>
            <w:tcW w:w="1650"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167"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31"/>
        </w:trPr>
        <w:tc>
          <w:tcPr>
            <w:tcW w:w="586"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684"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暂列金</w:t>
            </w:r>
            <w:r>
              <w:rPr>
                <w:rFonts w:ascii="宋体" w:hAnsi="宋体" w:cs="宋体"/>
                <w:color w:val="000000"/>
                <w:sz w:val="24"/>
                <w:szCs w:val="24"/>
                <w:highlight w:val="none"/>
              </w:rPr>
            </w:r>
            <w:r/>
          </w:p>
        </w:tc>
        <w:tc>
          <w:tcPr>
            <w:gridSpan w:val="4"/>
            <w:tcW w:w="6318" w:type="dxa"/>
            <w:vAlign w:val="center"/>
            <w:textDirection w:val="lrTb"/>
            <w:noWrap w:val="false"/>
          </w:tcPr>
          <w:p>
            <w:pPr>
              <w:pStyle w:val="851"/>
              <w:jc w:val="center"/>
              <w:spacing w:line="0" w:lineRule="atLeast"/>
              <w:rPr>
                <w:rFonts w:ascii="宋体" w:hAnsi="宋体" w:cs="宋体"/>
                <w:color w:val="000000"/>
                <w:sz w:val="24"/>
                <w:szCs w:val="24"/>
                <w:highlight w:val="none"/>
              </w:rPr>
            </w:pPr>
            <w:r>
              <w:rPr>
                <w:rFonts w:hint="eastAsia" w:ascii="宋体" w:hAnsi="宋体" w:cs="宋体"/>
                <w:color w:val="000000"/>
                <w:sz w:val="20"/>
                <w:szCs w:val="20"/>
                <w:highlight w:val="none"/>
                <w:lang w:bidi="ar"/>
              </w:rPr>
              <w:t xml:space="preserve">200000元</w:t>
            </w:r>
            <w:r>
              <w:rPr>
                <w:rFonts w:ascii="宋体" w:hAnsi="宋体" w:cs="宋体"/>
                <w:color w:val="000000"/>
                <w:sz w:val="24"/>
                <w:szCs w:val="24"/>
                <w:highlight w:val="none"/>
              </w:rPr>
            </w:r>
            <w:r/>
          </w:p>
        </w:tc>
      </w:tr>
    </w:tbl>
    <w:p>
      <w:pPr>
        <w:pStyle w:val="851"/>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备注：1.投标报价采用总承包方式，“投标总报价”应包括采购需求的服务（包含与服务相关的货物）价格、以及为完成本项目所需要的</w:t>
      </w:r>
      <w:r>
        <w:rPr>
          <w:rFonts w:hint="eastAsia"/>
          <w:color w:val="000000"/>
          <w:sz w:val="24"/>
          <w:szCs w:val="24"/>
          <w:highlight w:val="none"/>
        </w:rPr>
        <w:t xml:space="preserve">保险费、人工费、材料费、设备费</w:t>
      </w:r>
      <w:r>
        <w:rPr>
          <w:rFonts w:hint="eastAsia" w:eastAsia="宋体" w:cs="Arial"/>
          <w:color w:val="000000"/>
          <w:sz w:val="24"/>
          <w:szCs w:val="24"/>
          <w:highlight w:val="none"/>
        </w:rPr>
        <w:t xml:space="preserve">、检测费、日常维护维修费、网络流量费、验收、人员培训、利润、</w:t>
      </w:r>
      <w:r>
        <w:rPr>
          <w:rFonts w:hint="eastAsia" w:ascii="等线" w:hAnsi="等线" w:eastAsia="宋体" w:cs="Arial"/>
          <w:color w:val="000000"/>
          <w:sz w:val="24"/>
          <w:szCs w:val="24"/>
          <w:highlight w:val="none"/>
          <w:lang w:val="en-US" w:eastAsia="zh-CN" w:bidi="ar-SA"/>
        </w:rPr>
        <w:t xml:space="preserve">工具器械费、电费、</w:t>
      </w:r>
      <w:r>
        <w:rPr>
          <w:rFonts w:hint="eastAsia" w:eastAsia="宋体" w:cs="Arial"/>
          <w:color w:val="000000"/>
          <w:sz w:val="24"/>
          <w:szCs w:val="24"/>
          <w:highlight w:val="none"/>
        </w:rPr>
        <w:t xml:space="preserve">员工工资及福利费、修理费</w:t>
      </w:r>
      <w:r>
        <w:rPr>
          <w:rFonts w:hint="eastAsia" w:eastAsia="宋体" w:cs="Arial"/>
          <w:b w:val="0"/>
          <w:bCs w:val="0"/>
          <w:color w:val="000000"/>
          <w:sz w:val="24"/>
          <w:szCs w:val="24"/>
          <w:highlight w:val="none"/>
        </w:rPr>
        <w:t xml:space="preserve">（不包含大修和</w:t>
      </w:r>
      <w:r>
        <w:rPr>
          <w:rFonts w:hint="eastAsia" w:ascii="宋体" w:hAnsi="宋体" w:cs="宋体"/>
          <w:color w:val="000000"/>
          <w:sz w:val="24"/>
          <w:szCs w:val="24"/>
          <w:highlight w:val="none"/>
        </w:rPr>
        <w:t xml:space="preserve">缺陷</w:t>
      </w:r>
      <w:r>
        <w:rPr>
          <w:rFonts w:hint="eastAsia" w:eastAsia="宋体" w:cs="Arial"/>
          <w:b w:val="0"/>
          <w:bCs w:val="0"/>
          <w:color w:val="000000"/>
          <w:sz w:val="24"/>
          <w:szCs w:val="24"/>
          <w:highlight w:val="none"/>
        </w:rPr>
        <w:t xml:space="preserve">责任期</w:t>
      </w:r>
      <w:r>
        <w:rPr>
          <w:rFonts w:hint="eastAsia" w:eastAsia="宋体" w:cs="Arial"/>
          <w:b w:val="0"/>
          <w:bCs w:val="0"/>
          <w:color w:val="000000"/>
          <w:sz w:val="24"/>
          <w:szCs w:val="24"/>
          <w:highlight w:val="none"/>
        </w:rPr>
        <w:t xml:space="preserve">内的工程质量问题维修）</w:t>
      </w:r>
      <w:r>
        <w:rPr>
          <w:rFonts w:hint="eastAsia" w:eastAsia="宋体" w:cs="Arial"/>
          <w:color w:val="000000"/>
          <w:sz w:val="24"/>
          <w:szCs w:val="24"/>
          <w:highlight w:val="none"/>
        </w:rPr>
        <w:t xml:space="preserve">、税费、管理费用及其他运维费用</w:t>
      </w:r>
      <w:r>
        <w:rPr>
          <w:rFonts w:hint="eastAsia" w:eastAsia="宋体" w:cs="Arial"/>
          <w:color w:val="000000"/>
          <w:sz w:val="24"/>
          <w:szCs w:val="24"/>
          <w:highlight w:val="none"/>
          <w:lang w:eastAsia="zh-CN"/>
        </w:rPr>
        <w:t xml:space="preserve">，</w:t>
      </w:r>
      <w:r>
        <w:rPr>
          <w:rFonts w:hint="eastAsia" w:ascii="等线" w:hAnsi="等线" w:eastAsia="宋体" w:cs="Arial"/>
          <w:color w:val="000000"/>
          <w:sz w:val="24"/>
          <w:szCs w:val="24"/>
          <w:highlight w:val="none"/>
          <w:lang w:val="en-US" w:eastAsia="zh-CN" w:bidi="ar-SA"/>
        </w:rPr>
        <w:t xml:space="preserve">招标人不再支付其它任何费用。</w:t>
      </w:r>
      <w:r>
        <w:rPr>
          <w:rFonts w:hint="eastAsia" w:ascii="宋体" w:hAnsi="宋体" w:cs="宋体"/>
          <w:color w:val="000000"/>
          <w:sz w:val="24"/>
          <w:szCs w:val="24"/>
          <w:highlight w:val="none"/>
        </w:rPr>
      </w:r>
      <w:r/>
    </w:p>
    <w:p>
      <w:pPr>
        <w:pStyle w:val="851"/>
        <w:numPr>
          <w:ilvl w:val="0"/>
          <w:numId w:val="0"/>
        </w:numPr>
        <w:ind w:firstLine="420"/>
        <w:rPr>
          <w:rFonts w:hint="eastAsia" w:ascii="宋体" w:hAnsi="宋体" w:cs="宋体"/>
          <w:color w:val="000000"/>
          <w:sz w:val="24"/>
          <w:szCs w:val="24"/>
          <w:highlight w:val="none"/>
        </w:rPr>
      </w:pPr>
      <w:r>
        <w:rPr>
          <w:rFonts w:hint="eastAsia" w:ascii="宋体" w:hAnsi="宋体" w:cs="宋体"/>
          <w:color w:val="000000"/>
          <w:sz w:val="24"/>
          <w:szCs w:val="24"/>
          <w:lang w:val="en-US" w:eastAsia="zh-CN" w:bidi="ar-SA"/>
        </w:rPr>
        <w:t xml:space="preserve">1.</w:t>
      </w:r>
      <w:r>
        <w:rPr>
          <w:rFonts w:hint="eastAsia" w:ascii="宋体" w:hAnsi="宋体" w:cs="宋体"/>
          <w:color w:val="000000"/>
          <w:sz w:val="24"/>
          <w:szCs w:val="24"/>
          <w:highlight w:val="none"/>
        </w:rPr>
        <w:t xml:space="preserve">“投标分项报价表”中“投标总报价”数额应当与“开标一览表”中“投标总报价”数额一致。</w:t>
      </w:r>
      <w:r>
        <w:rPr>
          <w:rFonts w:hint="eastAsia" w:ascii="宋体" w:hAnsi="宋体" w:cs="宋体"/>
          <w:color w:val="000000"/>
          <w:sz w:val="24"/>
          <w:szCs w:val="24"/>
          <w:highlight w:val="none"/>
        </w:rPr>
      </w:r>
      <w:r/>
    </w:p>
    <w:p>
      <w:pPr>
        <w:pStyle w:val="851"/>
        <w:numPr>
          <w:ilvl w:val="0"/>
          <w:numId w:val="0"/>
        </w:numPr>
        <w:ind w:firstLine="420"/>
        <w:rPr>
          <w:rFonts w:hint="eastAsia" w:ascii="宋体" w:hAnsi="宋体" w:cs="宋体"/>
          <w:color w:val="000000"/>
          <w:sz w:val="24"/>
          <w:szCs w:val="24"/>
          <w:highlight w:val="none"/>
        </w:rPr>
      </w:pPr>
      <w:r>
        <w:rPr>
          <w:rFonts w:hint="eastAsia" w:ascii="宋体" w:hAnsi="宋体" w:cs="宋体"/>
          <w:color w:val="000000"/>
          <w:sz w:val="24"/>
          <w:szCs w:val="24"/>
          <w:lang w:val="en-US" w:eastAsia="zh-CN" w:bidi="ar-SA"/>
        </w:rPr>
        <w:t xml:space="preserve">2.</w:t>
      </w:r>
      <w:r>
        <w:rPr>
          <w:rFonts w:hint="eastAsia" w:ascii="宋体" w:hAnsi="宋体" w:cs="宋体"/>
          <w:color w:val="000000"/>
          <w:sz w:val="24"/>
          <w:szCs w:val="24"/>
          <w:highlight w:val="none"/>
        </w:rPr>
        <w:t xml:space="preserve">暂列金不可改变</w:t>
      </w:r>
      <w:r>
        <w:rPr>
          <w:rFonts w:hint="eastAsia" w:ascii="宋体" w:hAnsi="宋体" w:cs="宋体"/>
          <w:color w:val="000000"/>
          <w:sz w:val="24"/>
          <w:szCs w:val="24"/>
          <w:highlight w:val="none"/>
        </w:rPr>
      </w:r>
      <w:r/>
    </w:p>
    <w:p>
      <w:pPr>
        <w:pStyle w:val="85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5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                                   投标人全称（加盖CA电子签章）：</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ascii="宋体" w:hAnsi="宋体" w:cs="宋体"/>
          <w:b/>
          <w:bCs/>
          <w:color w:val="000000"/>
          <w:sz w:val="32"/>
          <w:szCs w:val="32"/>
          <w:highlight w:val="none"/>
        </w:rPr>
      </w:r>
      <w:r/>
    </w:p>
    <w:p>
      <w:pPr>
        <w:pStyle w:val="851"/>
        <w:jc w:val="center"/>
        <w:rPr>
          <w:rFonts w:ascii="宋体" w:hAnsi="宋体" w:cs="宋体"/>
          <w:color w:val="000000"/>
          <w:sz w:val="24"/>
          <w:szCs w:val="24"/>
          <w:highlight w:val="none"/>
        </w:rPr>
      </w:pPr>
      <w:r>
        <w:rPr>
          <w:rFonts w:hint="eastAsia" w:ascii="宋体" w:hAnsi="宋体" w:cs="宋体"/>
          <w:b/>
          <w:bCs/>
          <w:color w:val="000000"/>
          <w:sz w:val="32"/>
          <w:szCs w:val="32"/>
          <w:highlight w:val="none"/>
          <w:lang w:val="en-US" w:eastAsia="zh-CN"/>
        </w:rPr>
        <w:t xml:space="preserve">商务</w:t>
      </w:r>
      <w:r>
        <w:rPr>
          <w:rFonts w:hint="eastAsia" w:ascii="宋体" w:hAnsi="宋体" w:cs="宋体"/>
          <w:b/>
          <w:bCs/>
          <w:color w:val="000000"/>
          <w:sz w:val="32"/>
          <w:szCs w:val="32"/>
          <w:highlight w:val="none"/>
        </w:rPr>
        <w:t xml:space="preserve">要求响应及偏离表</w:t>
      </w:r>
      <w:r>
        <w:rPr>
          <w:rFonts w:ascii="宋体" w:hAnsi="宋体" w:cs="宋体"/>
          <w:color w:val="000000"/>
          <w:sz w:val="24"/>
          <w:szCs w:val="24"/>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21"/>
        <w:gridCol w:w="2695"/>
        <w:gridCol w:w="1269"/>
        <w:gridCol w:w="1128"/>
      </w:tblGrid>
      <w:tr>
        <w:trPr>
          <w:tblCellSpacing w:w="0" w:type="dxa"/>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超出、符合或负偏离</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bl>
    <w:p>
      <w:pPr>
        <w:pStyle w:val="851"/>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注：1.行数不够，可自行添加；</w:t>
      </w:r>
      <w:r>
        <w:rPr>
          <w:rFonts w:hint="eastAsia" w:ascii="宋体" w:hAnsi="宋体" w:cs="宋体"/>
          <w:color w:val="000000"/>
          <w:sz w:val="24"/>
          <w:szCs w:val="24"/>
          <w:highlight w:val="none"/>
        </w:rPr>
      </w:r>
      <w:r/>
    </w:p>
    <w:p>
      <w:pPr>
        <w:pStyle w:val="851"/>
        <w:numPr>
          <w:ilvl w:val="0"/>
          <w:numId w:val="0"/>
        </w:numPr>
        <w:ind w:firstLine="420"/>
        <w:rPr>
          <w:rFonts w:hint="eastAsia" w:ascii="宋体" w:hAnsi="宋体" w:cs="宋体"/>
          <w:color w:val="000000"/>
          <w:sz w:val="24"/>
          <w:szCs w:val="24"/>
          <w:highlight w:val="none"/>
        </w:rPr>
      </w:pPr>
      <w:r>
        <w:rPr>
          <w:rFonts w:hint="eastAsia" w:ascii="宋体" w:hAnsi="宋体" w:cs="宋体"/>
          <w:color w:val="000000"/>
          <w:sz w:val="24"/>
          <w:szCs w:val="24"/>
          <w:lang w:val="en-US" w:eastAsia="zh-CN" w:bidi="ar-SA"/>
        </w:rPr>
        <w:t xml:space="preserve">2.</w:t>
      </w:r>
      <w:r>
        <w:rPr>
          <w:rFonts w:hint="eastAsia" w:ascii="宋体" w:hAnsi="宋体" w:cs="宋体"/>
          <w:color w:val="000000"/>
          <w:sz w:val="24"/>
          <w:szCs w:val="24"/>
          <w:highlight w:val="none"/>
        </w:rPr>
        <w:t xml:space="preserve">负偏离视为不响应；</w:t>
      </w:r>
      <w:r>
        <w:rPr>
          <w:rFonts w:hint="eastAsia" w:ascii="宋体" w:hAnsi="宋体" w:cs="宋体"/>
          <w:color w:val="000000"/>
          <w:sz w:val="24"/>
          <w:szCs w:val="24"/>
          <w:highlight w:val="none"/>
        </w:rPr>
      </w:r>
      <w:r/>
    </w:p>
    <w:p>
      <w:pPr>
        <w:pStyle w:val="851"/>
        <w:numPr>
          <w:ilvl w:val="0"/>
          <w:numId w:val="0"/>
        </w:numPr>
        <w:ind w:firstLine="420"/>
        <w:rPr>
          <w:rFonts w:ascii="宋体" w:hAnsi="宋体" w:cs="宋体"/>
          <w:color w:val="000000"/>
          <w:sz w:val="24"/>
          <w:szCs w:val="24"/>
          <w:highlight w:val="none"/>
        </w:rPr>
      </w:pPr>
      <w:r>
        <w:rPr>
          <w:rFonts w:hint="eastAsia" w:ascii="宋体" w:hAnsi="宋体" w:cs="宋体"/>
          <w:color w:val="000000"/>
          <w:sz w:val="24"/>
          <w:szCs w:val="24"/>
          <w:lang w:val="en-US" w:eastAsia="zh-CN" w:bidi="ar-SA"/>
        </w:rPr>
        <w:t xml:space="preserve">3</w:t>
      </w:r>
      <w:r>
        <w:rPr>
          <w:rFonts w:ascii="宋体" w:hAnsi="宋体" w:cs="宋体"/>
          <w:color w:val="000000"/>
          <w:sz w:val="24"/>
          <w:szCs w:val="24"/>
          <w:lang w:val="en-US" w:eastAsia="zh-CN" w:bidi="ar-SA"/>
        </w:rPr>
        <w:t xml:space="preserve">.</w:t>
      </w:r>
      <w:r>
        <w:rPr>
          <w:rFonts w:hint="eastAsia" w:ascii="宋体" w:hAnsi="宋体" w:cs="宋体"/>
          <w:color w:val="000000"/>
          <w:sz w:val="24"/>
          <w:szCs w:val="24"/>
          <w:highlight w:val="none"/>
        </w:rPr>
        <w:t xml:space="preserve">如不填写，盖电子章，视为完全响应。</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投标人全称（加盖CA电子签章）：</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hint="eastAsia" w:ascii="宋体" w:hAnsi="宋体" w:cs="宋体"/>
          <w:b/>
          <w:bCs/>
          <w:color w:val="000000"/>
          <w:sz w:val="32"/>
          <w:szCs w:val="32"/>
          <w:highlight w:val="none"/>
          <w:lang w:val="en-US" w:eastAsia="zh-CN"/>
        </w:rPr>
        <w:t xml:space="preserve">技术</w:t>
      </w:r>
      <w:r>
        <w:rPr>
          <w:rFonts w:hint="eastAsia" w:ascii="宋体" w:hAnsi="宋体" w:cs="宋体"/>
          <w:b/>
          <w:bCs/>
          <w:color w:val="000000"/>
          <w:sz w:val="32"/>
          <w:szCs w:val="32"/>
          <w:highlight w:val="none"/>
        </w:rPr>
        <w:t xml:space="preserve">要求响应及偏离表</w:t>
      </w:r>
      <w:r>
        <w:rPr>
          <w:rFonts w:ascii="宋体" w:hAnsi="宋体" w:cs="宋体"/>
          <w:color w:val="000000"/>
          <w:sz w:val="24"/>
          <w:szCs w:val="24"/>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121"/>
        <w:gridCol w:w="2695"/>
        <w:gridCol w:w="1269"/>
        <w:gridCol w:w="1128"/>
      </w:tblGrid>
      <w:tr>
        <w:trPr>
          <w:tblCellSpacing w:w="0" w:type="dxa"/>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超出、符合或负偏离</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545"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3291"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852"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308"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3" w:type="dxa"/>
            <w:vAlign w:val="center"/>
            <w:textDirection w:val="lrTb"/>
            <w:noWrap w:val="false"/>
          </w:tcPr>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bl>
    <w:p>
      <w:pPr>
        <w:pStyle w:val="851"/>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注：1.行数不够，可自行添加；</w:t>
      </w:r>
      <w:r>
        <w:rPr>
          <w:rFonts w:hint="eastAsia" w:ascii="宋体" w:hAnsi="宋体" w:cs="宋体"/>
          <w:color w:val="000000"/>
          <w:sz w:val="24"/>
          <w:szCs w:val="24"/>
          <w:highlight w:val="none"/>
        </w:rPr>
      </w:r>
      <w:r/>
    </w:p>
    <w:p>
      <w:pPr>
        <w:pStyle w:val="851"/>
        <w:numPr>
          <w:ilvl w:val="0"/>
          <w:numId w:val="0"/>
        </w:numPr>
        <w:ind w:firstLine="420"/>
        <w:rPr>
          <w:rFonts w:hint="eastAsia" w:ascii="宋体" w:hAnsi="宋体" w:cs="宋体"/>
          <w:color w:val="000000"/>
          <w:sz w:val="24"/>
          <w:szCs w:val="24"/>
          <w:highlight w:val="none"/>
        </w:rPr>
      </w:pPr>
      <w:r>
        <w:rPr>
          <w:rFonts w:hint="eastAsia" w:ascii="宋体" w:hAnsi="宋体" w:cs="宋体"/>
          <w:color w:val="000000"/>
          <w:sz w:val="24"/>
          <w:szCs w:val="24"/>
          <w:lang w:val="en-US" w:eastAsia="zh-CN" w:bidi="ar-SA"/>
        </w:rPr>
        <w:t xml:space="preserve">2.</w:t>
      </w:r>
      <w:r>
        <w:rPr>
          <w:rFonts w:hint="eastAsia" w:ascii="宋体" w:hAnsi="宋体" w:cs="宋体"/>
          <w:color w:val="000000"/>
          <w:sz w:val="24"/>
          <w:szCs w:val="24"/>
          <w:highlight w:val="none"/>
        </w:rPr>
        <w:t xml:space="preserve">负偏离视为不响应；</w:t>
      </w:r>
      <w:r>
        <w:rPr>
          <w:rFonts w:hint="eastAsia" w:ascii="宋体" w:hAnsi="宋体" w:cs="宋体"/>
          <w:color w:val="000000"/>
          <w:sz w:val="24"/>
          <w:szCs w:val="24"/>
          <w:highlight w:val="none"/>
        </w:rPr>
      </w:r>
      <w:r/>
    </w:p>
    <w:p>
      <w:pPr>
        <w:pStyle w:val="851"/>
        <w:numPr>
          <w:ilvl w:val="0"/>
          <w:numId w:val="0"/>
        </w:numPr>
        <w:ind w:firstLine="420"/>
        <w:rPr>
          <w:rFonts w:ascii="宋体" w:hAnsi="宋体" w:cs="宋体"/>
          <w:color w:val="000000"/>
          <w:sz w:val="24"/>
          <w:szCs w:val="24"/>
          <w:highlight w:val="none"/>
        </w:rPr>
      </w:pPr>
      <w:r>
        <w:rPr>
          <w:rFonts w:hint="eastAsia" w:ascii="宋体" w:hAnsi="宋体" w:cs="宋体"/>
          <w:color w:val="000000"/>
          <w:sz w:val="24"/>
          <w:szCs w:val="24"/>
          <w:lang w:val="en-US" w:eastAsia="zh-CN" w:bidi="ar-SA"/>
        </w:rPr>
        <w:t xml:space="preserve">3</w:t>
      </w:r>
      <w:r>
        <w:rPr>
          <w:rFonts w:ascii="宋体" w:hAnsi="宋体" w:cs="宋体"/>
          <w:color w:val="000000"/>
          <w:sz w:val="24"/>
          <w:szCs w:val="24"/>
          <w:lang w:val="en-US" w:eastAsia="zh-CN" w:bidi="ar-SA"/>
        </w:rPr>
        <w:t xml:space="preserve">.</w:t>
      </w:r>
      <w:r>
        <w:rPr>
          <w:rFonts w:hint="eastAsia" w:ascii="宋体" w:hAnsi="宋体" w:cs="宋体"/>
          <w:color w:val="000000"/>
          <w:sz w:val="24"/>
          <w:szCs w:val="24"/>
          <w:highlight w:val="none"/>
        </w:rPr>
        <w:t xml:space="preserve">如不填写，盖电子章，视为完全响应。</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投标人全称（加盖CA电子签章）：</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71"/>
        <w:rPr>
          <w:rFonts w:ascii="宋体" w:hAnsi="宋体" w:eastAsia="宋体" w:cs="宋体"/>
          <w:color w:val="000000"/>
          <w:highlight w:val="none"/>
        </w:rPr>
      </w:pPr>
      <w:r>
        <w:rPr>
          <w:rFonts w:ascii="宋体" w:hAnsi="宋体" w:eastAsia="宋体" w:cs="宋体"/>
          <w:color w:val="000000"/>
          <w:highlight w:val="none"/>
        </w:rPr>
      </w:r>
      <w:r/>
    </w:p>
    <w:p>
      <w:pPr>
        <w:pStyle w:val="871"/>
        <w:rPr>
          <w:rFonts w:ascii="宋体" w:hAnsi="宋体" w:eastAsia="宋体" w:cs="宋体"/>
          <w:color w:val="000000"/>
          <w:highlight w:val="none"/>
        </w:rPr>
      </w:pPr>
      <w:r>
        <w:rPr>
          <w:rFonts w:ascii="宋体" w:hAnsi="宋体" w:eastAsia="宋体" w:cs="宋体"/>
          <w:color w:val="000000"/>
          <w:highlight w:val="none"/>
        </w:rPr>
      </w:r>
      <w:r/>
    </w:p>
    <w:p>
      <w:pPr>
        <w:pStyle w:val="871"/>
        <w:rPr>
          <w:rFonts w:ascii="宋体" w:hAnsi="宋体" w:eastAsia="宋体" w:cs="宋体"/>
          <w:color w:val="000000"/>
          <w:highlight w:val="none"/>
        </w:rPr>
      </w:pPr>
      <w:r>
        <w:rPr>
          <w:rFonts w:ascii="宋体" w:hAnsi="宋体" w:eastAsia="宋体" w:cs="宋体"/>
          <w:color w:val="000000"/>
          <w:highlight w:val="none"/>
        </w:rPr>
        <w:br w:type="page" w:clear="all"/>
      </w:r>
      <w:r>
        <w:rPr>
          <w:rFonts w:ascii="宋体" w:hAnsi="宋体" w:eastAsia="宋体" w:cs="宋体"/>
          <w:color w:val="000000"/>
          <w:highlight w:val="none"/>
        </w:rPr>
      </w:r>
      <w:r/>
    </w:p>
    <w:p>
      <w:pPr>
        <w:pStyle w:val="851"/>
        <w:jc w:val="center"/>
        <w:rPr>
          <w:rFonts w:hint="eastAsia" w:ascii="宋体" w:hAnsi="宋体" w:cs="宋体"/>
          <w:b/>
          <w:bCs/>
          <w:color w:val="000000"/>
          <w:sz w:val="44"/>
          <w:szCs w:val="44"/>
          <w:highlight w:val="none"/>
        </w:rPr>
      </w:pPr>
      <w:r/>
      <w:bookmarkEnd w:id="317"/>
      <w:r/>
      <w:bookmarkStart w:id="318" w:name="_Hlt26955054"/>
      <w:r>
        <w:rPr>
          <w:rFonts w:hint="eastAsia" w:ascii="宋体" w:hAnsi="宋体" w:cs="宋体"/>
          <w:b/>
          <w:bCs/>
          <w:color w:val="000000"/>
          <w:sz w:val="32"/>
          <w:szCs w:val="32"/>
          <w:highlight w:val="none"/>
        </w:rPr>
        <w:t xml:space="preserve">人员配备表</w:t>
      </w:r>
      <w:bookmarkEnd w:id="318"/>
      <w:r>
        <w:rPr>
          <w:rFonts w:hint="eastAsia" w:ascii="宋体" w:hAnsi="宋体" w:cs="宋体"/>
          <w:b/>
          <w:bCs/>
          <w:color w:val="000000"/>
          <w:sz w:val="44"/>
          <w:szCs w:val="44"/>
          <w:highlight w:val="none"/>
        </w:rPr>
      </w:r>
      <w:r/>
    </w:p>
    <w:tbl>
      <w:tblPr>
        <w:tblW w:w="76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119"/>
        <w:gridCol w:w="1365"/>
        <w:gridCol w:w="1649"/>
        <w:gridCol w:w="1649"/>
      </w:tblGrid>
      <w:tr>
        <w:trPr>
          <w:trHeight w:val="539"/>
        </w:trPr>
        <w:tc>
          <w:tcPr>
            <w:tcW w:w="845"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119"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人员</w:t>
            </w:r>
            <w:r>
              <w:rPr>
                <w:rFonts w:hint="eastAsia" w:ascii="宋体" w:hAnsi="宋体" w:cs="宋体"/>
                <w:color w:val="000000"/>
                <w:szCs w:val="21"/>
                <w:highlight w:val="none"/>
              </w:rPr>
            </w:r>
            <w:r/>
          </w:p>
        </w:tc>
        <w:tc>
          <w:tcPr>
            <w:tcW w:w="1365" w:type="dxa"/>
            <w:vAlign w:val="center"/>
            <w:textDirection w:val="lrTb"/>
            <w:noWrap w:val="false"/>
          </w:tcPr>
          <w:p>
            <w:pPr>
              <w:pStyle w:val="85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1649" w:type="dxa"/>
            <w:vAlign w:val="center"/>
            <w:textDirection w:val="lrTb"/>
            <w:noWrap w:val="false"/>
          </w:tcPr>
          <w:p>
            <w:pPr>
              <w:pStyle w:val="85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职务</w:t>
            </w:r>
            <w:r>
              <w:rPr>
                <w:rFonts w:ascii="宋体" w:hAnsi="宋体" w:cs="宋体"/>
                <w:color w:val="000000"/>
                <w:szCs w:val="21"/>
                <w:highlight w:val="none"/>
              </w:rPr>
            </w:r>
            <w:r/>
          </w:p>
        </w:tc>
        <w:tc>
          <w:tcPr>
            <w:tcW w:w="1649" w:type="dxa"/>
            <w:vAlign w:val="center"/>
            <w:textDirection w:val="lrTb"/>
            <w:noWrap w:val="false"/>
          </w:tcPr>
          <w:p>
            <w:pPr>
              <w:pStyle w:val="85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r>
      <w:tr>
        <w:trPr/>
        <w:tc>
          <w:tcPr>
            <w:tcW w:w="84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项目负责人</w:t>
            </w:r>
            <w:r>
              <w:rPr>
                <w:rFonts w:hint="eastAsia" w:ascii="宋体" w:hAnsi="宋体" w:cs="宋体"/>
                <w:color w:val="000000"/>
                <w:szCs w:val="21"/>
                <w:highlight w:val="none"/>
                <w:u w:val="single"/>
              </w:rPr>
            </w:r>
            <w:r/>
          </w:p>
        </w:tc>
        <w:tc>
          <w:tcPr>
            <w:tcW w:w="1365" w:type="dxa"/>
            <w:vAlign w:val="center"/>
            <w:textDirection w:val="lrTb"/>
            <w:noWrap w:val="false"/>
          </w:tcPr>
          <w:p>
            <w:pPr>
              <w:pStyle w:val="851"/>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tc>
        <w:tc>
          <w:tcPr>
            <w:tcW w:w="1649" w:type="dxa"/>
            <w:vAlign w:val="center"/>
            <w:textDirection w:val="lrTb"/>
            <w:noWrap w:val="false"/>
          </w:tcPr>
          <w:p>
            <w:pPr>
              <w:pStyle w:val="851"/>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tc>
        <w:tc>
          <w:tcPr>
            <w:tcW w:w="1649" w:type="dxa"/>
            <w:vAlign w:val="center"/>
            <w:textDirection w:val="lrTb"/>
            <w:noWrap w:val="false"/>
          </w:tcPr>
          <w:p>
            <w:pPr>
              <w:pStyle w:val="851"/>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技术负责人</w:t>
            </w:r>
            <w:r>
              <w:rPr>
                <w:rFonts w:ascii="宋体" w:hAnsi="宋体" w:cs="宋体"/>
                <w:color w:val="000000"/>
                <w:szCs w:val="21"/>
                <w:highlight w:val="none"/>
                <w:u w:val="single"/>
              </w:rPr>
            </w:r>
            <w:r/>
          </w:p>
        </w:tc>
        <w:tc>
          <w:tcPr>
            <w:tcW w:w="1365" w:type="dxa"/>
            <w:vAlign w:val="center"/>
            <w:textDirection w:val="lrTb"/>
            <w:noWrap w:val="false"/>
          </w:tcPr>
          <w:p>
            <w:pPr>
              <w:pStyle w:val="851"/>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tc>
        <w:tc>
          <w:tcPr>
            <w:tcW w:w="1649" w:type="dxa"/>
            <w:vAlign w:val="center"/>
            <w:textDirection w:val="lrTb"/>
            <w:noWrap w:val="false"/>
          </w:tcPr>
          <w:p>
            <w:pPr>
              <w:pStyle w:val="851"/>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tc>
        <w:tc>
          <w:tcPr>
            <w:tcW w:w="1649" w:type="dxa"/>
            <w:vAlign w:val="center"/>
            <w:textDirection w:val="lrTb"/>
            <w:noWrap w:val="false"/>
          </w:tcPr>
          <w:p>
            <w:pPr>
              <w:pStyle w:val="851"/>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w:t>
            </w:r>
            <w:r>
              <w:rPr>
                <w:rFonts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项目组成员1</w:t>
            </w:r>
            <w:r>
              <w:rPr>
                <w:rFonts w:ascii="宋体" w:hAnsi="宋体" w:cs="宋体"/>
                <w:color w:val="000000"/>
                <w:szCs w:val="21"/>
                <w:highlight w:val="none"/>
                <w:u w:val="single"/>
              </w:rPr>
            </w:r>
            <w:r/>
          </w:p>
        </w:tc>
        <w:tc>
          <w:tcPr>
            <w:tcW w:w="136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w:t>
            </w:r>
            <w:r>
              <w:rPr>
                <w:rFonts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项目组成员2</w:t>
            </w:r>
            <w:r>
              <w:rPr>
                <w:rFonts w:ascii="宋体" w:hAnsi="宋体" w:cs="宋体"/>
                <w:color w:val="000000"/>
                <w:szCs w:val="21"/>
                <w:highlight w:val="none"/>
                <w:u w:val="single"/>
              </w:rPr>
            </w:r>
            <w:r/>
          </w:p>
        </w:tc>
        <w:tc>
          <w:tcPr>
            <w:tcW w:w="136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5</w:t>
            </w:r>
            <w:r>
              <w:rPr>
                <w:rFonts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项目组成员3</w:t>
            </w:r>
            <w:r>
              <w:rPr>
                <w:rFonts w:ascii="宋体" w:hAnsi="宋体" w:cs="宋体"/>
                <w:color w:val="000000"/>
                <w:szCs w:val="21"/>
                <w:highlight w:val="none"/>
                <w:u w:val="single"/>
              </w:rPr>
            </w:r>
            <w:r/>
          </w:p>
        </w:tc>
        <w:tc>
          <w:tcPr>
            <w:tcW w:w="136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6</w:t>
            </w:r>
            <w:r>
              <w:rPr>
                <w:rFonts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项目组成员4</w:t>
            </w:r>
            <w:r>
              <w:rPr>
                <w:rFonts w:ascii="宋体" w:hAnsi="宋体" w:cs="宋体"/>
                <w:color w:val="000000"/>
                <w:szCs w:val="21"/>
                <w:highlight w:val="none"/>
                <w:u w:val="single"/>
              </w:rPr>
            </w:r>
            <w:r/>
          </w:p>
        </w:tc>
        <w:tc>
          <w:tcPr>
            <w:tcW w:w="136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7</w:t>
            </w:r>
            <w:r>
              <w:rPr>
                <w:rFonts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项目组成员5</w:t>
            </w:r>
            <w:r>
              <w:rPr>
                <w:rFonts w:ascii="宋体" w:hAnsi="宋体" w:cs="宋体"/>
                <w:color w:val="000000"/>
                <w:szCs w:val="21"/>
                <w:highlight w:val="none"/>
                <w:u w:val="single"/>
              </w:rPr>
            </w:r>
            <w:r/>
          </w:p>
        </w:tc>
        <w:tc>
          <w:tcPr>
            <w:tcW w:w="136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r>
        <w:trPr/>
        <w:tc>
          <w:tcPr>
            <w:tcW w:w="845"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8</w:t>
            </w:r>
            <w:r>
              <w:rPr>
                <w:rFonts w:ascii="宋体" w:hAnsi="宋体" w:cs="宋体"/>
                <w:color w:val="000000"/>
                <w:szCs w:val="21"/>
                <w:highlight w:val="none"/>
                <w:u w:val="single"/>
              </w:rPr>
            </w:r>
            <w:r/>
          </w:p>
        </w:tc>
        <w:tc>
          <w:tcPr>
            <w:tcW w:w="2119" w:type="dxa"/>
            <w:vAlign w:val="center"/>
            <w:textDirection w:val="lrTb"/>
            <w:noWrap w:val="false"/>
          </w:tcPr>
          <w:p>
            <w:pPr>
              <w:pStyle w:val="851"/>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项目组成员6</w:t>
            </w:r>
            <w:r>
              <w:rPr>
                <w:rFonts w:ascii="宋体" w:hAnsi="宋体" w:cs="宋体"/>
                <w:color w:val="000000"/>
                <w:szCs w:val="21"/>
                <w:highlight w:val="none"/>
                <w:u w:val="single"/>
              </w:rPr>
            </w:r>
            <w:r/>
          </w:p>
        </w:tc>
        <w:tc>
          <w:tcPr>
            <w:tcW w:w="1365"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c>
          <w:tcPr>
            <w:tcW w:w="1649" w:type="dxa"/>
            <w:vAlign w:val="center"/>
            <w:textDirection w:val="lrTb"/>
            <w:noWrap w:val="false"/>
          </w:tcPr>
          <w:p>
            <w:pPr>
              <w:pStyle w:val="851"/>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bl>
    <w:p>
      <w:pPr>
        <w:pStyle w:val="85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51"/>
        <w:rPr>
          <w:rFonts w:ascii="宋体" w:hAnsi="宋体" w:cs="宋体"/>
          <w:color w:val="000000"/>
          <w:sz w:val="24"/>
          <w:szCs w:val="24"/>
          <w:highlight w:val="none"/>
        </w:rPr>
      </w:pPr>
      <w:r/>
      <w:bookmarkStart w:id="319" w:name="_Hlt26955056"/>
      <w:r/>
      <w:bookmarkEnd w:id="319"/>
      <w:r/>
      <w:bookmarkStart w:id="320" w:name="_Hlt26782999"/>
      <w:r/>
      <w:bookmarkEnd w:id="320"/>
      <w:r/>
      <w:bookmarkStart w:id="321" w:name="_Hlt26609391"/>
      <w:r/>
      <w:bookmarkEnd w:id="321"/>
      <w:r/>
      <w:bookmarkStart w:id="322" w:name="_Hlt26671343"/>
      <w:r/>
      <w:bookmarkEnd w:id="322"/>
      <w:r/>
      <w:bookmarkStart w:id="323" w:name="_Hlt26955064"/>
      <w:r/>
      <w:bookmarkEnd w:id="323"/>
      <w:r/>
      <w:bookmarkStart w:id="324" w:name="_Hlt24879081"/>
      <w:r/>
      <w:bookmarkEnd w:id="324"/>
      <w:r/>
      <w:bookmarkStart w:id="325" w:name="_Hlt26671372"/>
      <w:r/>
      <w:bookmarkEnd w:id="325"/>
      <w:r>
        <w:rPr>
          <w:rFonts w:hint="eastAsia" w:ascii="宋体" w:hAnsi="宋体" w:cs="宋体"/>
          <w:color w:val="000000"/>
          <w:sz w:val="24"/>
          <w:szCs w:val="24"/>
          <w:highlight w:val="none"/>
        </w:rPr>
        <w:t xml:space="preserve">注：1. 行数不够，可自行添加；2.按照第四章采购需求中人员及设备要求填写，将证明材料附在本表后。</w:t>
      </w:r>
      <w:r>
        <w:rPr>
          <w:rFonts w:ascii="宋体" w:hAnsi="宋体" w:cs="宋体"/>
          <w:color w:val="000000"/>
          <w:sz w:val="24"/>
          <w:szCs w:val="24"/>
          <w:highlight w:val="none"/>
        </w:rPr>
      </w:r>
      <w:r/>
    </w:p>
    <w:p>
      <w:pPr>
        <w:pStyle w:val="851"/>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480"/>
        <w:rPr>
          <w:rFonts w:ascii="宋体" w:hAnsi="宋体" w:cs="宋体"/>
          <w:color w:val="000000"/>
          <w:sz w:val="24"/>
          <w:szCs w:val="24"/>
          <w:highlight w:val="none"/>
        </w:rPr>
      </w:pPr>
      <w:r/>
      <w:bookmarkStart w:id="326" w:name="_Hlt26955066"/>
      <w:r/>
      <w:bookmarkEnd w:id="326"/>
      <w:r/>
      <w:bookmarkStart w:id="327" w:name="_Hlt26671374"/>
      <w:r/>
      <w:bookmarkEnd w:id="327"/>
      <w:r/>
      <w:bookmarkStart w:id="328" w:name="_Hlt26609389"/>
      <w:r/>
      <w:bookmarkEnd w:id="328"/>
      <w:r/>
      <w:bookmarkStart w:id="329" w:name="_Toc462564146"/>
      <w:r/>
      <w:bookmarkEnd w:id="329"/>
      <w:r>
        <w:rPr>
          <w:rFonts w:hint="eastAsia" w:ascii="宋体" w:hAnsi="宋体" w:cs="宋体"/>
          <w:color w:val="000000"/>
          <w:sz w:val="24"/>
          <w:szCs w:val="24"/>
          <w:highlight w:val="none"/>
        </w:rPr>
        <w:t xml:space="preserve">                                   投标人全称（加盖CA电子签章）：</w:t>
      </w:r>
      <w:r>
        <w:rPr>
          <w:rFonts w:ascii="宋体" w:hAnsi="宋体" w:cs="宋体"/>
          <w:color w:val="000000"/>
          <w:sz w:val="24"/>
          <w:szCs w:val="24"/>
          <w:highlight w:val="none"/>
        </w:rPr>
      </w:r>
      <w:r/>
    </w:p>
    <w:p>
      <w:pPr>
        <w:pStyle w:val="851"/>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71"/>
        <w:rPr>
          <w:rFonts w:ascii="宋体" w:hAnsi="宋体" w:eastAsia="宋体" w:cs="宋体"/>
          <w:color w:val="000000"/>
          <w:highlight w:val="none"/>
        </w:rPr>
      </w:pPr>
      <w:r>
        <w:rPr>
          <w:rFonts w:ascii="宋体" w:hAnsi="宋体" w:eastAsia="宋体" w:cs="宋体"/>
          <w:color w:val="000000"/>
          <w:highlight w:val="none"/>
        </w:rPr>
      </w:r>
      <w:r/>
    </w:p>
    <w:p>
      <w:pPr>
        <w:pStyle w:val="871"/>
        <w:rPr>
          <w:rFonts w:ascii="宋体" w:hAnsi="宋体" w:eastAsia="宋体" w:cs="宋体"/>
          <w:color w:val="000000"/>
          <w:highlight w:val="none"/>
        </w:rPr>
      </w:pPr>
      <w:r>
        <w:rPr>
          <w:rFonts w:ascii="宋体" w:hAnsi="宋体" w:eastAsia="宋体" w:cs="宋体"/>
          <w:color w:val="000000"/>
          <w:highlight w:val="none"/>
        </w:rPr>
      </w:r>
      <w:r/>
    </w:p>
    <w:p>
      <w:pPr>
        <w:pStyle w:val="871"/>
        <w:rPr>
          <w:rFonts w:ascii="宋体" w:hAnsi="宋体" w:eastAsia="宋体" w:cs="宋体"/>
          <w:color w:val="000000"/>
          <w:highlight w:val="none"/>
        </w:rPr>
      </w:pPr>
      <w:r>
        <w:rPr>
          <w:rFonts w:ascii="宋体" w:hAnsi="宋体" w:eastAsia="宋体" w:cs="宋体"/>
          <w:color w:val="000000"/>
          <w:highlight w:val="none"/>
        </w:rPr>
      </w:r>
      <w:r/>
    </w:p>
    <w:p>
      <w:pPr>
        <w:pStyle w:val="851"/>
        <w:ind w:firstLine="480"/>
        <w:rPr>
          <w:rFonts w:ascii="宋体" w:hAnsi="宋体" w:cs="宋体"/>
          <w:b/>
          <w:bCs/>
          <w:color w:val="000000"/>
          <w:sz w:val="32"/>
          <w:szCs w:val="32"/>
          <w:highlight w:val="none"/>
        </w:rPr>
      </w:pPr>
      <w:r>
        <w:rPr>
          <w:rFonts w:hint="eastAsia" w:ascii="宋体" w:hAnsi="宋体" w:cs="宋体"/>
          <w:b/>
          <w:bCs/>
          <w:i/>
          <w:iCs/>
          <w:color w:val="000000"/>
          <w:sz w:val="32"/>
          <w:szCs w:val="32"/>
          <w:highlight w:val="none"/>
          <w:u w:val="single"/>
        </w:rPr>
        <w:br w:type="page" w:clear="all"/>
      </w:r>
      <w:r>
        <w:rPr>
          <w:rFonts w:ascii="宋体" w:hAnsi="宋体" w:cs="宋体"/>
          <w:b/>
          <w:bCs/>
          <w:color w:val="000000"/>
          <w:sz w:val="32"/>
          <w:szCs w:val="32"/>
          <w:highlight w:val="none"/>
        </w:rPr>
      </w:r>
      <w:r/>
    </w:p>
    <w:p>
      <w:pPr>
        <w:pStyle w:val="851"/>
        <w:jc w:val="center"/>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质疑函范本</w:t>
      </w:r>
      <w:r>
        <w:rPr>
          <w:rFonts w:ascii="宋体" w:hAnsi="宋体" w:cs="宋体"/>
          <w:color w:val="000000"/>
          <w:sz w:val="24"/>
          <w:szCs w:val="24"/>
          <w:highlight w:val="none"/>
        </w:rPr>
      </w:r>
      <w:r/>
    </w:p>
    <w:p>
      <w:pPr>
        <w:pStyle w:val="851"/>
        <w:spacing w:before="29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一、质疑供应商基本信息</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二、质疑项目基本情况</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三、质疑事项具体内容</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质疑事项2</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四、与质疑事项相关的质疑请求</w:t>
      </w:r>
      <w:r>
        <w:rPr>
          <w:rFonts w:ascii="宋体" w:hAnsi="宋体" w:cs="宋体"/>
          <w:color w:val="000000"/>
          <w:sz w:val="24"/>
          <w:szCs w:val="24"/>
          <w:highlight w:val="none"/>
        </w:rPr>
      </w:r>
      <w:r/>
    </w:p>
    <w:p>
      <w:pPr>
        <w:pStyle w:val="85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签字(签章)：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公章：                      </w:t>
      </w:r>
      <w:r>
        <w:rPr>
          <w:rFonts w:ascii="宋体" w:hAnsi="宋体" w:cs="宋体"/>
          <w:color w:val="000000"/>
          <w:sz w:val="24"/>
          <w:szCs w:val="24"/>
          <w:highlight w:val="none"/>
        </w:rPr>
      </w:r>
      <w:r/>
    </w:p>
    <w:p>
      <w:pPr>
        <w:pStyle w:val="851"/>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ascii="宋体" w:hAnsi="宋体" w:cs="宋体"/>
          <w:color w:val="000000"/>
          <w:sz w:val="24"/>
          <w:szCs w:val="24"/>
          <w:highlight w:val="none"/>
        </w:rPr>
      </w:r>
      <w:r/>
    </w:p>
    <w:p>
      <w:pPr>
        <w:pStyle w:val="851"/>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871"/>
        <w:rPr>
          <w:color w:val="000000"/>
          <w:highlight w:val="none"/>
        </w:rPr>
      </w:pPr>
      <w:r>
        <w:rPr>
          <w:color w:val="000000"/>
          <w:highlight w:val="none"/>
        </w:rPr>
      </w:r>
      <w:r/>
    </w:p>
    <w:p>
      <w:pPr>
        <w:pStyle w:val="851"/>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质疑函制作说明：</w:t>
      </w:r>
      <w:r>
        <w:rPr>
          <w:rFonts w:ascii="宋体" w:hAnsi="宋体" w:cs="宋体"/>
          <w:color w:val="000000"/>
          <w:sz w:val="24"/>
          <w:szCs w:val="24"/>
          <w:highlight w:val="none"/>
        </w:rPr>
      </w:r>
      <w:r/>
    </w:p>
    <w:p>
      <w:pPr>
        <w:pStyle w:val="851"/>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rFonts w:ascii="宋体" w:hAnsi="宋体" w:cs="宋体"/>
          <w:color w:val="000000"/>
          <w:sz w:val="24"/>
          <w:szCs w:val="24"/>
          <w:highlight w:val="none"/>
        </w:rPr>
      </w:r>
      <w:r/>
    </w:p>
    <w:p>
      <w:pPr>
        <w:pStyle w:val="851"/>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4"/>
          <w:szCs w:val="24"/>
          <w:highlight w:val="none"/>
        </w:rPr>
      </w:r>
      <w:r/>
    </w:p>
    <w:p>
      <w:pPr>
        <w:pStyle w:val="851"/>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rFonts w:ascii="宋体" w:hAnsi="宋体" w:cs="宋体"/>
          <w:color w:val="000000"/>
          <w:sz w:val="24"/>
          <w:szCs w:val="24"/>
          <w:highlight w:val="none"/>
        </w:rPr>
      </w:r>
      <w:r/>
    </w:p>
    <w:p>
      <w:pPr>
        <w:pStyle w:val="851"/>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ascii="宋体" w:hAnsi="宋体" w:cs="宋体"/>
          <w:color w:val="000000"/>
          <w:sz w:val="24"/>
          <w:szCs w:val="24"/>
          <w:highlight w:val="none"/>
        </w:rPr>
      </w:r>
      <w:r/>
    </w:p>
    <w:p>
      <w:pPr>
        <w:pStyle w:val="851"/>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ascii="宋体" w:hAnsi="宋体" w:cs="宋体"/>
          <w:color w:val="000000"/>
          <w:sz w:val="24"/>
          <w:szCs w:val="24"/>
          <w:highlight w:val="none"/>
        </w:rPr>
      </w:r>
      <w:r/>
    </w:p>
    <w:p>
      <w:pPr>
        <w:pStyle w:val="851"/>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highlight w:val="none"/>
        </w:rPr>
      </w:r>
      <w:r/>
    </w:p>
    <w:p>
      <w:pPr>
        <w:pStyle w:val="85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51"/>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sectPr>
      <w:headerReference w:type="default" r:id="rId10"/>
      <w:footerReference w:type="default" r:id="rId13"/>
      <w:footnotePr/>
      <w:endnotePr/>
      <w:type w:val="nextPage"/>
      <w:pgSz w:w="11905" w:h="16838" w:orient="portrait"/>
      <w:pgMar w:top="1440" w:right="1689" w:bottom="1440" w:left="168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Times New Roman (正文 CS 字体)">
    <w:panose1 w:val="02020603050405020304"/>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681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51"/>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4"/>
                            <w:tabs>
                              <w:tab w:val="clear" w:pos="4153" w:leader="none"/>
                              <w:tab w:val="clear" w:pos="8306" w:leader="none"/>
                            </w:tabs>
                            <w:rPr>
                              <w:rFonts w:ascii="黑体" w:hAnsi="黑体" w:eastAsia="黑体" w:cs="黑体"/>
                              <w:sz w:val="28"/>
                              <w:szCs w:val="28"/>
                            </w:rPr>
                          </w:pP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PAGE  \* MERGEFORMAT </w:instrText>
                          </w:r>
                          <w:r>
                            <w:rPr>
                              <w:rFonts w:hint="eastAsia" w:ascii="黑体" w:hAnsi="黑体" w:eastAsia="黑体" w:cs="黑体"/>
                              <w:sz w:val="21"/>
                              <w:szCs w:val="21"/>
                            </w:rPr>
                            <w:fldChar w:fldCharType="separate"/>
                          </w:r>
                          <w:r>
                            <w:rPr>
                              <w:rFonts w:ascii="黑体" w:hAnsi="黑体" w:eastAsia="黑体" w:cs="黑体"/>
                              <w:sz w:val="21"/>
                              <w:szCs w:val="21"/>
                            </w:rPr>
                            <w:t xml:space="preserve">51</w:t>
                          </w:r>
                          <w:r>
                            <w:rPr>
                              <w:rFonts w:hint="eastAsia" w:ascii="黑体" w:hAnsi="黑体" w:eastAsia="黑体" w:cs="黑体"/>
                              <w:sz w:val="21"/>
                              <w:szCs w:val="21"/>
                            </w:rPr>
                            <w:fldChar w:fldCharType="end"/>
                          </w:r>
                          <w:r>
                            <w:rPr>
                              <w:rFonts w:hint="eastAsia" w:ascii="黑体" w:hAnsi="黑体" w:eastAsia="黑体" w:cs="黑体"/>
                              <w:sz w:val="21"/>
                              <w:szCs w:val="21"/>
                            </w:rPr>
                            <w:t xml:space="preserve"> </w:t>
                          </w:r>
                          <w:r>
                            <w:rPr>
                              <w:rFonts w:ascii="黑体" w:hAnsi="黑体" w:eastAsia="黑体" w:cs="黑体"/>
                              <w:sz w:val="28"/>
                              <w:szCs w:val="28"/>
                            </w:rPr>
                          </w:r>
                          <w:r/>
                        </w:p>
                        <w:p>
                          <w:pPr>
                            <w:pStyle w:val="8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4"/>
                      <w:tabs>
                        <w:tab w:val="clear" w:pos="4153" w:leader="none"/>
                        <w:tab w:val="clear" w:pos="8306" w:leader="none"/>
                      </w:tabs>
                      <w:rPr>
                        <w:rFonts w:ascii="黑体" w:hAnsi="黑体" w:eastAsia="黑体" w:cs="黑体"/>
                        <w:sz w:val="28"/>
                        <w:szCs w:val="28"/>
                      </w:rPr>
                    </w:pP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PAGE  \* MERGEFORMAT </w:instrText>
                    </w:r>
                    <w:r>
                      <w:rPr>
                        <w:rFonts w:hint="eastAsia" w:ascii="黑体" w:hAnsi="黑体" w:eastAsia="黑体" w:cs="黑体"/>
                        <w:sz w:val="21"/>
                        <w:szCs w:val="21"/>
                      </w:rPr>
                      <w:fldChar w:fldCharType="separate"/>
                    </w:r>
                    <w:r>
                      <w:rPr>
                        <w:rFonts w:ascii="黑体" w:hAnsi="黑体" w:eastAsia="黑体" w:cs="黑体"/>
                        <w:sz w:val="21"/>
                        <w:szCs w:val="21"/>
                      </w:rPr>
                      <w:t xml:space="preserve">51</w:t>
                    </w:r>
                    <w:r>
                      <w:rPr>
                        <w:rFonts w:hint="eastAsia" w:ascii="黑体" w:hAnsi="黑体" w:eastAsia="黑体" w:cs="黑体"/>
                        <w:sz w:val="21"/>
                        <w:szCs w:val="21"/>
                      </w:rPr>
                      <w:fldChar w:fldCharType="end"/>
                    </w:r>
                    <w:r>
                      <w:rPr>
                        <w:rFonts w:hint="eastAsia" w:ascii="黑体" w:hAnsi="黑体" w:eastAsia="黑体" w:cs="黑体"/>
                        <w:sz w:val="21"/>
                        <w:szCs w:val="21"/>
                      </w:rPr>
                      <w:t xml:space="preserve"> </w:t>
                    </w:r>
                    <w:r>
                      <w:rPr>
                        <w:rFonts w:ascii="黑体" w:hAnsi="黑体" w:eastAsia="黑体" w:cs="黑体"/>
                        <w:sz w:val="28"/>
                        <w:szCs w:val="28"/>
                      </w:rPr>
                    </w:r>
                    <w:r/>
                  </w:p>
                  <w:p>
                    <w:pPr>
                      <w:pStyle w:val="85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0574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5740" cy="1828800"/>
                      </a:xfrm>
                      <a:prstGeom prst="rect">
                        <a:avLst/>
                      </a:prstGeom>
                      <a:noFill/>
                      <a:ln w="6350">
                        <a:noFill/>
                      </a:ln>
                    </wps:spPr>
                    <wps:txbx>
                      <w:txbxContent>
                        <w:p>
                          <w:pPr>
                            <w:pStyle w:val="9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81</w:t>
                          </w:r>
                          <w:r>
                            <w:fldChar w:fldCharType="end"/>
                          </w:r>
                          <w:r/>
                        </w:p>
                        <w:p>
                          <w:pPr>
                            <w:pStyle w:val="851"/>
                          </w:pPr>
                          <w:r/>
                          <w:r/>
                        </w:p>
                        <w:p>
                          <w:pPr>
                            <w:pStyle w:val="851"/>
                          </w:pPr>
                          <w:r/>
                          <w:r/>
                        </w:p>
                      </w:txbxContent>
                    </wps:txbx>
                    <wps:bodyPr wrap="squar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6.2pt;height:144.0pt;mso-wrap-distance-left:9.0pt;mso-wrap-distance-top:0.0pt;mso-wrap-distance-right:9.0pt;mso-wrap-distance-bottom:0.0pt;visibility:visible;" filled="f" stroked="f" strokeweight="0.50pt">
              <v:textbox inset="0,0,0,0">
                <w:txbxContent>
                  <w:p>
                    <w:pPr>
                      <w:pStyle w:val="9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81</w:t>
                    </w:r>
                    <w:r>
                      <w:fldChar w:fldCharType="end"/>
                    </w:r>
                    <w:r/>
                  </w:p>
                  <w:p>
                    <w:pPr>
                      <w:pStyle w:val="851"/>
                    </w:pPr>
                    <w:r/>
                    <w:r/>
                  </w:p>
                  <w:p>
                    <w:pPr>
                      <w:pStyle w:val="8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jc w:val="right"/>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51"/>
      </w:pPr>
      <w:rPr>
        <w:rFonts w:hint="eastAsia"/>
        <w:color w:val="00000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825"/>
      <w:isLgl w:val="false"/>
      <w:suff w:val="tab"/>
      <w:lvlText w:val="%1)"/>
      <w:lvlJc w:val="left"/>
      <w:pPr>
        <w:pStyle w:val="851"/>
        <w:ind w:left="780" w:hanging="420"/>
      </w:pPr>
    </w:lvl>
    <w:lvl w:ilvl="1">
      <w:start w:val="1"/>
      <w:numFmt w:val="lowerLetter"/>
      <w:isLgl w:val="false"/>
      <w:suff w:val="tab"/>
      <w:lvlText w:val="%2)"/>
      <w:lvlJc w:val="left"/>
      <w:pPr>
        <w:pStyle w:val="851"/>
        <w:ind w:left="1200" w:hanging="420"/>
      </w:pPr>
    </w:lvl>
    <w:lvl w:ilvl="2">
      <w:start w:val="1"/>
      <w:numFmt w:val="lowerRoman"/>
      <w:isLgl w:val="false"/>
      <w:suff w:val="tab"/>
      <w:lvlText w:val="%3."/>
      <w:lvlJc w:val="right"/>
      <w:pPr>
        <w:pStyle w:val="851"/>
        <w:ind w:left="1620" w:hanging="420"/>
      </w:pPr>
    </w:lvl>
    <w:lvl w:ilvl="3">
      <w:start w:val="1"/>
      <w:numFmt w:val="decimal"/>
      <w:isLgl w:val="false"/>
      <w:suff w:val="tab"/>
      <w:lvlText w:val="%4."/>
      <w:lvlJc w:val="left"/>
      <w:pPr>
        <w:pStyle w:val="851"/>
        <w:ind w:left="2040" w:hanging="420"/>
      </w:pPr>
    </w:lvl>
    <w:lvl w:ilvl="4">
      <w:start w:val="1"/>
      <w:numFmt w:val="lowerLetter"/>
      <w:isLgl w:val="false"/>
      <w:suff w:val="tab"/>
      <w:lvlText w:val="%5)"/>
      <w:lvlJc w:val="left"/>
      <w:pPr>
        <w:pStyle w:val="851"/>
        <w:ind w:left="2460" w:hanging="420"/>
      </w:pPr>
    </w:lvl>
    <w:lvl w:ilvl="5">
      <w:start w:val="1"/>
      <w:numFmt w:val="lowerRoman"/>
      <w:isLgl w:val="false"/>
      <w:suff w:val="tab"/>
      <w:lvlText w:val="%6."/>
      <w:lvlJc w:val="right"/>
      <w:pPr>
        <w:pStyle w:val="851"/>
        <w:ind w:left="2880" w:hanging="420"/>
      </w:pPr>
    </w:lvl>
    <w:lvl w:ilvl="6">
      <w:start w:val="1"/>
      <w:numFmt w:val="decimal"/>
      <w:isLgl w:val="false"/>
      <w:suff w:val="tab"/>
      <w:lvlText w:val="%7."/>
      <w:lvlJc w:val="left"/>
      <w:pPr>
        <w:pStyle w:val="851"/>
        <w:ind w:left="3300" w:hanging="420"/>
      </w:pPr>
    </w:lvl>
    <w:lvl w:ilvl="7">
      <w:start w:val="1"/>
      <w:numFmt w:val="lowerLetter"/>
      <w:isLgl w:val="false"/>
      <w:suff w:val="tab"/>
      <w:lvlText w:val="%8)"/>
      <w:lvlJc w:val="left"/>
      <w:pPr>
        <w:pStyle w:val="851"/>
        <w:ind w:left="3720" w:hanging="420"/>
      </w:pPr>
    </w:lvl>
    <w:lvl w:ilvl="8">
      <w:start w:val="1"/>
      <w:numFmt w:val="lowerRoman"/>
      <w:isLgl w:val="false"/>
      <w:suff w:val="tab"/>
      <w:lvlText w:val="%9."/>
      <w:lvlJc w:val="right"/>
      <w:pPr>
        <w:pStyle w:val="851"/>
        <w:ind w:left="4140" w:hanging="420"/>
      </w:pPr>
    </w:lvl>
  </w:abstractNum>
  <w:abstractNum w:abstractNumId="3">
    <w:multiLevelType w:val="hybridMultilevel"/>
    <w:lvl w:ilvl="0">
      <w:start w:val="1"/>
      <w:numFmt w:val="decimal"/>
      <w:pStyle w:val="1519"/>
      <w:isLgl w:val="false"/>
      <w:suff w:val="nothing"/>
      <w:lvlText w:val="附表%1："/>
      <w:lvlJc w:val="left"/>
      <w:pPr>
        <w:pStyle w:val="851"/>
        <w:ind w:left="0" w:firstLine="0"/>
      </w:pPr>
      <w:rPr>
        <w:rFonts w:hint="eastAsia" w:ascii="宋体" w:hAnsi="宋体" w:eastAsia="宋体"/>
        <w:b/>
        <w:i w:val="0"/>
        <w:sz w:val="36"/>
      </w:rPr>
    </w:lvl>
    <w:lvl w:ilvl="1">
      <w:start w:val="1"/>
      <w:numFmt w:val="lowerLetter"/>
      <w:isLgl w:val="false"/>
      <w:suff w:val="tab"/>
      <w:lvlText w:val="%2)"/>
      <w:lvlJc w:val="left"/>
      <w:pPr>
        <w:pStyle w:val="851"/>
        <w:ind w:left="840" w:hanging="420"/>
      </w:p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abstractNum w:abstractNumId="4">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5">
    <w:multiLevelType w:val="hybridMultilevel"/>
    <w:lvl w:ilvl="0">
      <w:start w:val="1"/>
      <w:numFmt w:val="lowerLetter"/>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58"/>
      <w:isLgl w:val="false"/>
      <w:suff w:val="tab"/>
      <w:lvlText w:val=""/>
      <w:lvlJc w:val="left"/>
      <w:pPr>
        <w:pStyle w:val="851"/>
        <w:ind w:left="1620" w:hanging="360"/>
        <w:tabs>
          <w:tab w:val="num" w:pos="1620" w:leader="none"/>
        </w:tabs>
      </w:pPr>
      <w:rPr>
        <w:rFonts w:ascii="Wingdings" w:hAnsi="Wingdings"/>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7">
    <w:multiLevelType w:val="hybridMultilevel"/>
    <w:lvl w:ilvl="0">
      <w:start w:val="1"/>
      <w:numFmt w:val="decimal"/>
      <w:pStyle w:val="1834"/>
      <w:isLgl w:val="false"/>
      <w:suff w:val="space"/>
      <w:lvlText w:val="表%1"/>
      <w:lvlJc w:val="left"/>
      <w:pPr>
        <w:pStyle w:val="851"/>
        <w:ind w:left="900" w:hanging="420"/>
      </w:pPr>
      <w:rPr>
        <w:rFonts w:hint="eastAsia"/>
      </w:rPr>
    </w:lvl>
    <w:lvl w:ilvl="1">
      <w:start w:val="1"/>
      <w:numFmt w:val="lowerLetter"/>
      <w:isLgl w:val="false"/>
      <w:suff w:val="tab"/>
      <w:lvlText w:val="%2)"/>
      <w:lvlJc w:val="left"/>
      <w:pPr>
        <w:pStyle w:val="851"/>
        <w:ind w:left="1320" w:hanging="420"/>
      </w:pPr>
    </w:lvl>
    <w:lvl w:ilvl="2">
      <w:start w:val="1"/>
      <w:numFmt w:val="lowerRoman"/>
      <w:isLgl w:val="false"/>
      <w:suff w:val="tab"/>
      <w:lvlText w:val="%3."/>
      <w:lvlJc w:val="right"/>
      <w:pPr>
        <w:pStyle w:val="851"/>
        <w:ind w:left="1740" w:hanging="420"/>
      </w:pPr>
    </w:lvl>
    <w:lvl w:ilvl="3">
      <w:start w:val="1"/>
      <w:numFmt w:val="decimal"/>
      <w:isLgl w:val="false"/>
      <w:suff w:val="tab"/>
      <w:lvlText w:val="%4."/>
      <w:lvlJc w:val="left"/>
      <w:pPr>
        <w:pStyle w:val="851"/>
        <w:ind w:left="2160" w:hanging="420"/>
      </w:pPr>
    </w:lvl>
    <w:lvl w:ilvl="4">
      <w:start w:val="1"/>
      <w:numFmt w:val="lowerLetter"/>
      <w:isLgl w:val="false"/>
      <w:suff w:val="tab"/>
      <w:lvlText w:val="%5)"/>
      <w:lvlJc w:val="left"/>
      <w:pPr>
        <w:pStyle w:val="851"/>
        <w:ind w:left="2580" w:hanging="420"/>
      </w:pPr>
    </w:lvl>
    <w:lvl w:ilvl="5">
      <w:start w:val="1"/>
      <w:numFmt w:val="lowerRoman"/>
      <w:isLgl w:val="false"/>
      <w:suff w:val="tab"/>
      <w:lvlText w:val="%6."/>
      <w:lvlJc w:val="right"/>
      <w:pPr>
        <w:pStyle w:val="851"/>
        <w:ind w:left="3000" w:hanging="420"/>
      </w:pPr>
    </w:lvl>
    <w:lvl w:ilvl="6">
      <w:start w:val="1"/>
      <w:numFmt w:val="decimal"/>
      <w:isLgl w:val="false"/>
      <w:suff w:val="tab"/>
      <w:lvlText w:val="%7."/>
      <w:lvlJc w:val="left"/>
      <w:pPr>
        <w:pStyle w:val="851"/>
        <w:ind w:left="3420" w:hanging="420"/>
      </w:pPr>
    </w:lvl>
    <w:lvl w:ilvl="7">
      <w:start w:val="1"/>
      <w:numFmt w:val="lowerLetter"/>
      <w:isLgl w:val="false"/>
      <w:suff w:val="tab"/>
      <w:lvlText w:val="%8)"/>
      <w:lvlJc w:val="left"/>
      <w:pPr>
        <w:pStyle w:val="851"/>
        <w:ind w:left="3840" w:hanging="420"/>
      </w:pPr>
    </w:lvl>
    <w:lvl w:ilvl="8">
      <w:start w:val="1"/>
      <w:numFmt w:val="lowerRoman"/>
      <w:isLgl w:val="false"/>
      <w:suff w:val="tab"/>
      <w:lvlText w:val="%9."/>
      <w:lvlJc w:val="right"/>
      <w:pPr>
        <w:pStyle w:val="851"/>
        <w:ind w:left="4260" w:hanging="420"/>
      </w:pPr>
    </w:lvl>
  </w:abstractNum>
  <w:abstractNum w:abstractNumId="8">
    <w:multiLevelType w:val="hybridMultilevel"/>
    <w:lvl w:ilvl="0">
      <w:start w:val="2"/>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51"/>
        <w:tabs>
          <w:tab w:val="num" w:pos="312" w:leader="none"/>
        </w:tabs>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1">
    <w:multiLevelType w:val="hybridMultilevel"/>
    <w:lvl w:ilvl="0">
      <w:start w:val="1"/>
      <w:numFmt w:val="bullet"/>
      <w:pStyle w:val="1824"/>
      <w:isLgl w:val="false"/>
      <w:suff w:val="space"/>
      <w:lvlText w:val=""/>
      <w:lvlJc w:val="left"/>
      <w:pPr>
        <w:pStyle w:val="851"/>
        <w:ind w:left="420" w:hanging="420"/>
      </w:pPr>
      <w:rPr>
        <w:rFonts w:ascii="Wingdings" w:hAnsi="Wingdings"/>
        <w:caps w:val="0"/>
        <w:strike w:val="0"/>
        <w:vanish w:val="0"/>
        <w:sz w:val="18"/>
        <w:vertAlign w:val="baseline"/>
      </w:rPr>
    </w:lvl>
    <w:lvl w:ilvl="1">
      <w:start w:val="1"/>
      <w:numFmt w:val="bullet"/>
      <w:isLgl w:val="false"/>
      <w:suff w:val="tab"/>
      <w:lvlText w:val=""/>
      <w:lvlJc w:val="left"/>
      <w:pPr>
        <w:pStyle w:val="851"/>
        <w:ind w:left="420" w:hanging="420"/>
        <w:tabs>
          <w:tab w:val="num" w:pos="0" w:leader="none"/>
        </w:tabs>
      </w:pPr>
      <w:rPr>
        <w:rFonts w:ascii="Wingdings" w:hAnsi="Wingdings"/>
        <w:caps w:val="0"/>
        <w:strike w:val="0"/>
        <w:vanish w:val="0"/>
        <w:color w:val="000000"/>
        <w:sz w:val="18"/>
        <w:vertAlign w:val="baseline"/>
      </w:rPr>
    </w:lvl>
    <w:lvl w:ilvl="2">
      <w:start w:val="1"/>
      <w:numFmt w:val="lowerRoman"/>
      <w:isLgl w:val="false"/>
      <w:suff w:val="tab"/>
      <w:lvlText w:val="%3."/>
      <w:lvlJc w:val="right"/>
      <w:pPr>
        <w:pStyle w:val="851"/>
        <w:ind w:left="420" w:hanging="420"/>
        <w:tabs>
          <w:tab w:val="num" w:pos="0" w:leader="none"/>
        </w:tabs>
      </w:pPr>
      <w:rPr>
        <w:rFonts w:hint="eastAsia"/>
      </w:rPr>
    </w:lvl>
    <w:lvl w:ilvl="3">
      <w:start w:val="1"/>
      <w:numFmt w:val="decimal"/>
      <w:isLgl w:val="false"/>
      <w:suff w:val="tab"/>
      <w:lvlText w:val="%4."/>
      <w:lvlJc w:val="left"/>
      <w:pPr>
        <w:pStyle w:val="851"/>
        <w:ind w:left="420" w:hanging="420"/>
        <w:tabs>
          <w:tab w:val="num" w:pos="0" w:leader="none"/>
        </w:tabs>
      </w:pPr>
      <w:rPr>
        <w:rFonts w:hint="eastAsia"/>
      </w:rPr>
    </w:lvl>
    <w:lvl w:ilvl="4">
      <w:start w:val="1"/>
      <w:numFmt w:val="lowerLetter"/>
      <w:isLgl w:val="false"/>
      <w:suff w:val="tab"/>
      <w:lvlText w:val="%5)"/>
      <w:lvlJc w:val="left"/>
      <w:pPr>
        <w:pStyle w:val="851"/>
        <w:ind w:left="420" w:hanging="420"/>
        <w:tabs>
          <w:tab w:val="num" w:pos="0" w:leader="none"/>
        </w:tabs>
      </w:pPr>
      <w:rPr>
        <w:rFonts w:hint="eastAsia"/>
      </w:rPr>
    </w:lvl>
    <w:lvl w:ilvl="5">
      <w:start w:val="1"/>
      <w:numFmt w:val="lowerRoman"/>
      <w:isLgl w:val="false"/>
      <w:suff w:val="tab"/>
      <w:lvlText w:val="%6."/>
      <w:lvlJc w:val="right"/>
      <w:pPr>
        <w:pStyle w:val="851"/>
        <w:ind w:left="420" w:hanging="420"/>
        <w:tabs>
          <w:tab w:val="num" w:pos="0" w:leader="none"/>
        </w:tabs>
      </w:pPr>
      <w:rPr>
        <w:rFonts w:hint="eastAsia"/>
      </w:rPr>
    </w:lvl>
    <w:lvl w:ilvl="6">
      <w:start w:val="1"/>
      <w:numFmt w:val="decimal"/>
      <w:isLgl w:val="false"/>
      <w:suff w:val="tab"/>
      <w:lvlText w:val="%7."/>
      <w:lvlJc w:val="left"/>
      <w:pPr>
        <w:pStyle w:val="851"/>
        <w:ind w:left="420" w:hanging="420"/>
        <w:tabs>
          <w:tab w:val="num" w:pos="0" w:leader="none"/>
        </w:tabs>
      </w:pPr>
      <w:rPr>
        <w:rFonts w:hint="eastAsia"/>
      </w:rPr>
    </w:lvl>
    <w:lvl w:ilvl="7">
      <w:start w:val="1"/>
      <w:numFmt w:val="lowerLetter"/>
      <w:isLgl w:val="false"/>
      <w:suff w:val="tab"/>
      <w:lvlText w:val="%8)"/>
      <w:lvlJc w:val="left"/>
      <w:pPr>
        <w:pStyle w:val="851"/>
        <w:ind w:left="420" w:hanging="420"/>
        <w:tabs>
          <w:tab w:val="num" w:pos="0" w:leader="none"/>
        </w:tabs>
      </w:pPr>
      <w:rPr>
        <w:rFonts w:hint="eastAsia"/>
      </w:rPr>
    </w:lvl>
    <w:lvl w:ilvl="8">
      <w:start w:val="1"/>
      <w:numFmt w:val="lowerRoman"/>
      <w:isLgl w:val="false"/>
      <w:suff w:val="tab"/>
      <w:lvlText w:val="%9."/>
      <w:lvlJc w:val="right"/>
      <w:pPr>
        <w:pStyle w:val="851"/>
        <w:ind w:left="420" w:hanging="420"/>
        <w:tabs>
          <w:tab w:val="num" w:pos="0" w:leader="none"/>
        </w:tabs>
      </w:pPr>
      <w:rPr>
        <w:rFonts w:hint="eastAsia"/>
      </w:rPr>
    </w:lvl>
  </w:abstractNum>
  <w:abstractNum w:abstractNumId="12">
    <w:multiLevelType w:val="hybridMultilevel"/>
    <w:lvl w:ilvl="0">
      <w:start w:val="1"/>
      <w:numFmt w:val="decimal"/>
      <w:pStyle w:val="857"/>
      <w:isLgl w:val="false"/>
      <w:suff w:val="tab"/>
      <w:lvlText w:val="%1."/>
      <w:lvlJc w:val="left"/>
      <w:pPr>
        <w:pStyle w:val="851"/>
        <w:ind w:left="1854" w:hanging="360"/>
        <w:tabs>
          <w:tab w:val="num" w:pos="1854" w:leader="none"/>
        </w:tabs>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51"/>
        <w:ind w:left="2579" w:hanging="420"/>
        <w:tabs>
          <w:tab w:val="num" w:pos="2579" w:leader="none"/>
        </w:tabs>
      </w:pPr>
      <w:rPr>
        <w:rFonts w:hint="eastAsia"/>
      </w:rPr>
    </w:lvl>
    <w:lvl w:ilvl="1">
      <w:start w:val="1"/>
      <w:numFmt w:val="lowerLetter"/>
      <w:isLgl w:val="false"/>
      <w:suff w:val="tab"/>
      <w:lvlText w:val="%2)"/>
      <w:lvlJc w:val="left"/>
      <w:pPr>
        <w:pStyle w:val="851"/>
        <w:ind w:left="2579" w:hanging="420"/>
        <w:tabs>
          <w:tab w:val="num" w:pos="2579" w:leader="none"/>
        </w:tabs>
      </w:pPr>
    </w:lvl>
    <w:lvl w:ilvl="2">
      <w:start w:val="1"/>
      <w:numFmt w:val="lowerRoman"/>
      <w:isLgl w:val="false"/>
      <w:suff w:val="tab"/>
      <w:lvlText w:val="%3."/>
      <w:lvlJc w:val="right"/>
      <w:pPr>
        <w:pStyle w:val="851"/>
        <w:ind w:left="2999" w:hanging="420"/>
        <w:tabs>
          <w:tab w:val="num" w:pos="2999" w:leader="none"/>
        </w:tabs>
      </w:pPr>
    </w:lvl>
    <w:lvl w:ilvl="3">
      <w:start w:val="1"/>
      <w:numFmt w:val="decimal"/>
      <w:isLgl w:val="false"/>
      <w:suff w:val="tab"/>
      <w:lvlText w:val="%4."/>
      <w:lvlJc w:val="left"/>
      <w:pPr>
        <w:pStyle w:val="851"/>
        <w:ind w:left="3419" w:hanging="420"/>
        <w:tabs>
          <w:tab w:val="num" w:pos="3419" w:leader="none"/>
        </w:tabs>
      </w:pPr>
    </w:lvl>
    <w:lvl w:ilvl="4">
      <w:start w:val="1"/>
      <w:numFmt w:val="lowerLetter"/>
      <w:isLgl w:val="false"/>
      <w:suff w:val="tab"/>
      <w:lvlText w:val="%5)"/>
      <w:lvlJc w:val="left"/>
      <w:pPr>
        <w:pStyle w:val="851"/>
        <w:ind w:left="3839" w:hanging="420"/>
        <w:tabs>
          <w:tab w:val="num" w:pos="3839" w:leader="none"/>
        </w:tabs>
      </w:pPr>
    </w:lvl>
    <w:lvl w:ilvl="5">
      <w:start w:val="1"/>
      <w:numFmt w:val="lowerRoman"/>
      <w:isLgl w:val="false"/>
      <w:suff w:val="tab"/>
      <w:lvlText w:val="%6."/>
      <w:lvlJc w:val="right"/>
      <w:pPr>
        <w:pStyle w:val="851"/>
        <w:ind w:left="4259" w:hanging="420"/>
        <w:tabs>
          <w:tab w:val="num" w:pos="4259" w:leader="none"/>
        </w:tabs>
      </w:pPr>
    </w:lvl>
    <w:lvl w:ilvl="6">
      <w:start w:val="1"/>
      <w:numFmt w:val="decimal"/>
      <w:isLgl w:val="false"/>
      <w:suff w:val="tab"/>
      <w:lvlText w:val="%7."/>
      <w:lvlJc w:val="left"/>
      <w:pPr>
        <w:pStyle w:val="851"/>
        <w:ind w:left="4679" w:hanging="420"/>
        <w:tabs>
          <w:tab w:val="num" w:pos="4679" w:leader="none"/>
        </w:tabs>
      </w:pPr>
    </w:lvl>
    <w:lvl w:ilvl="7">
      <w:start w:val="1"/>
      <w:numFmt w:val="lowerLetter"/>
      <w:isLgl w:val="false"/>
      <w:suff w:val="tab"/>
      <w:lvlText w:val="%8)"/>
      <w:lvlJc w:val="left"/>
      <w:pPr>
        <w:pStyle w:val="851"/>
        <w:ind w:left="5099" w:hanging="420"/>
        <w:tabs>
          <w:tab w:val="num" w:pos="5099" w:leader="none"/>
        </w:tabs>
      </w:pPr>
    </w:lvl>
    <w:lvl w:ilvl="8">
      <w:start w:val="1"/>
      <w:numFmt w:val="lowerRoman"/>
      <w:isLgl w:val="false"/>
      <w:suff w:val="tab"/>
      <w:lvlText w:val="%9."/>
      <w:lvlJc w:val="right"/>
      <w:pPr>
        <w:pStyle w:val="851"/>
        <w:ind w:left="5519" w:hanging="420"/>
        <w:tabs>
          <w:tab w:val="num" w:pos="5519" w:leader="none"/>
        </w:tabs>
      </w:pPr>
    </w:lvl>
  </w:abstractNum>
  <w:abstractNum w:abstractNumId="14">
    <w:multiLevelType w:val="hybridMultilevel"/>
    <w:lvl w:ilvl="0">
      <w:start w:val="1"/>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39"/>
      <w:isLgl w:val="false"/>
      <w:suff w:val="tab"/>
      <w:lvlText w:val="(%1)"/>
      <w:lvlJc w:val="left"/>
      <w:pPr>
        <w:pStyle w:val="851"/>
        <w:ind w:left="425" w:hanging="425"/>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8">
    <w:multiLevelType w:val="hybridMultilevel"/>
    <w:lvl w:ilvl="0">
      <w:start w:val="1"/>
      <w:numFmt w:val="decimal"/>
      <w:pStyle w:val="1521"/>
      <w:isLgl w:val="false"/>
      <w:suff w:val="nothing"/>
      <w:lvlText w:val="附图%1："/>
      <w:lvlJc w:val="left"/>
      <w:pPr>
        <w:pStyle w:val="851"/>
        <w:ind w:left="0" w:firstLine="0"/>
      </w:pPr>
      <w:rPr>
        <w:rFonts w:hint="eastAsia" w:ascii="宋体" w:hAnsi="宋体" w:eastAsia="宋体"/>
        <w:b/>
        <w:i w:val="0"/>
        <w:sz w:val="36"/>
      </w:rPr>
    </w:lvl>
    <w:lvl w:ilvl="1">
      <w:start w:val="1"/>
      <w:numFmt w:val="lowerLetter"/>
      <w:isLgl w:val="false"/>
      <w:suff w:val="tab"/>
      <w:lvlText w:val="%2)"/>
      <w:lvlJc w:val="left"/>
      <w:pPr>
        <w:pStyle w:val="851"/>
        <w:ind w:left="840" w:hanging="420"/>
      </w:p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abstractNum w:abstractNumId="19">
    <w:multiLevelType w:val="hybridMultilevel"/>
    <w:lvl w:ilvl="0">
      <w:start w:val="1"/>
      <w:numFmt w:val="bullet"/>
      <w:pStyle w:val="1855"/>
      <w:isLgl w:val="false"/>
      <w:suff w:val="tab"/>
      <w:lvlText w:val=""/>
      <w:lvlJc w:val="left"/>
      <w:pPr>
        <w:pStyle w:val="851"/>
        <w:ind w:left="846" w:hanging="420"/>
      </w:pPr>
      <w:rPr>
        <w:rFonts w:ascii="Wingdings" w:hAnsi="Wingdings"/>
      </w:rPr>
    </w:lvl>
    <w:lvl w:ilvl="1">
      <w:start w:val="1"/>
      <w:numFmt w:val="bullet"/>
      <w:isLgl w:val="false"/>
      <w:suff w:val="tab"/>
      <w:lvlText w:val=""/>
      <w:lvlJc w:val="left"/>
      <w:pPr>
        <w:pStyle w:val="851"/>
        <w:ind w:left="1124" w:hanging="420"/>
      </w:pPr>
      <w:rPr>
        <w:rFonts w:ascii="Wingdings" w:hAnsi="Wingdings"/>
      </w:rPr>
    </w:lvl>
    <w:lvl w:ilvl="2">
      <w:start w:val="1"/>
      <w:numFmt w:val="bullet"/>
      <w:isLgl w:val="false"/>
      <w:suff w:val="tab"/>
      <w:lvlText w:val=""/>
      <w:lvlJc w:val="left"/>
      <w:pPr>
        <w:pStyle w:val="851"/>
        <w:ind w:left="1544" w:hanging="420"/>
      </w:pPr>
      <w:rPr>
        <w:rFonts w:ascii="Wingdings" w:hAnsi="Wingdings"/>
      </w:rPr>
    </w:lvl>
    <w:lvl w:ilvl="3">
      <w:start w:val="1"/>
      <w:numFmt w:val="bullet"/>
      <w:isLgl w:val="false"/>
      <w:suff w:val="tab"/>
      <w:lvlText w:val=""/>
      <w:lvlJc w:val="left"/>
      <w:pPr>
        <w:pStyle w:val="851"/>
        <w:ind w:left="1964" w:hanging="420"/>
      </w:pPr>
      <w:rPr>
        <w:rFonts w:ascii="Wingdings" w:hAnsi="Wingdings"/>
      </w:rPr>
    </w:lvl>
    <w:lvl w:ilvl="4">
      <w:start w:val="1"/>
      <w:numFmt w:val="bullet"/>
      <w:isLgl w:val="false"/>
      <w:suff w:val="tab"/>
      <w:lvlText w:val=""/>
      <w:lvlJc w:val="left"/>
      <w:pPr>
        <w:pStyle w:val="851"/>
        <w:ind w:left="2384" w:hanging="420"/>
      </w:pPr>
      <w:rPr>
        <w:rFonts w:ascii="Wingdings" w:hAnsi="Wingdings"/>
      </w:rPr>
    </w:lvl>
    <w:lvl w:ilvl="5">
      <w:start w:val="1"/>
      <w:numFmt w:val="bullet"/>
      <w:isLgl w:val="false"/>
      <w:suff w:val="tab"/>
      <w:lvlText w:val=""/>
      <w:lvlJc w:val="left"/>
      <w:pPr>
        <w:pStyle w:val="851"/>
        <w:ind w:left="2804" w:hanging="420"/>
      </w:pPr>
      <w:rPr>
        <w:rFonts w:ascii="Wingdings" w:hAnsi="Wingdings"/>
      </w:rPr>
    </w:lvl>
    <w:lvl w:ilvl="6">
      <w:start w:val="1"/>
      <w:numFmt w:val="bullet"/>
      <w:isLgl w:val="false"/>
      <w:suff w:val="tab"/>
      <w:lvlText w:val=""/>
      <w:lvlJc w:val="left"/>
      <w:pPr>
        <w:pStyle w:val="851"/>
        <w:ind w:left="3224" w:hanging="420"/>
      </w:pPr>
      <w:rPr>
        <w:rFonts w:ascii="Wingdings" w:hAnsi="Wingdings"/>
      </w:rPr>
    </w:lvl>
    <w:lvl w:ilvl="7">
      <w:start w:val="1"/>
      <w:numFmt w:val="bullet"/>
      <w:isLgl w:val="false"/>
      <w:suff w:val="tab"/>
      <w:lvlText w:val=""/>
      <w:lvlJc w:val="left"/>
      <w:pPr>
        <w:pStyle w:val="851"/>
        <w:ind w:left="3644" w:hanging="420"/>
      </w:pPr>
      <w:rPr>
        <w:rFonts w:ascii="Wingdings" w:hAnsi="Wingdings"/>
      </w:rPr>
    </w:lvl>
    <w:lvl w:ilvl="8">
      <w:start w:val="1"/>
      <w:numFmt w:val="bullet"/>
      <w:isLgl w:val="false"/>
      <w:suff w:val="tab"/>
      <w:lvlText w:val=""/>
      <w:lvlJc w:val="left"/>
      <w:pPr>
        <w:pStyle w:val="851"/>
        <w:ind w:left="4064" w:hanging="420"/>
      </w:pPr>
      <w:rPr>
        <w:rFonts w:ascii="Wingdings" w:hAnsi="Wingdings"/>
      </w:rPr>
    </w:lvl>
  </w:abstractNum>
  <w:abstractNum w:abstractNumId="20">
    <w:multiLevelType w:val="hybridMultilevel"/>
    <w:lvl w:ilvl="0">
      <w:start w:val="1"/>
      <w:numFmt w:val="decimal"/>
      <w:pStyle w:val="1830"/>
      <w:isLgl w:val="false"/>
      <w:suff w:val="tab"/>
      <w:lvlText w:val="%1)"/>
      <w:lvlJc w:val="left"/>
      <w:pPr>
        <w:pStyle w:val="851"/>
        <w:ind w:left="420" w:firstLine="0"/>
      </w:pPr>
      <w:rPr>
        <w:rFonts w:hint="eastAsia"/>
      </w:rPr>
    </w:lvl>
    <w:lvl w:ilvl="1">
      <w:start w:val="1"/>
      <w:numFmt w:val="lowerLetter"/>
      <w:isLgl w:val="false"/>
      <w:suff w:val="tab"/>
      <w:lvlText w:val="%2)"/>
      <w:lvlJc w:val="left"/>
      <w:pPr>
        <w:pStyle w:val="851"/>
        <w:ind w:left="420" w:hanging="420"/>
      </w:pPr>
    </w:lvl>
    <w:lvl w:ilvl="2">
      <w:start w:val="1"/>
      <w:numFmt w:val="lowerRoman"/>
      <w:isLgl w:val="false"/>
      <w:suff w:val="tab"/>
      <w:lvlText w:val="%3."/>
      <w:lvlJc w:val="right"/>
      <w:pPr>
        <w:pStyle w:val="851"/>
        <w:ind w:left="840" w:hanging="420"/>
      </w:pPr>
    </w:lvl>
    <w:lvl w:ilvl="3">
      <w:start w:val="1"/>
      <w:numFmt w:val="decimal"/>
      <w:isLgl w:val="false"/>
      <w:suff w:val="tab"/>
      <w:lvlText w:val="%4."/>
      <w:lvlJc w:val="left"/>
      <w:pPr>
        <w:pStyle w:val="851"/>
        <w:ind w:left="1260" w:hanging="420"/>
      </w:pPr>
    </w:lvl>
    <w:lvl w:ilvl="4">
      <w:start w:val="1"/>
      <w:numFmt w:val="lowerLetter"/>
      <w:isLgl w:val="false"/>
      <w:suff w:val="tab"/>
      <w:lvlText w:val="%5)"/>
      <w:lvlJc w:val="left"/>
      <w:pPr>
        <w:pStyle w:val="851"/>
        <w:ind w:left="1680" w:hanging="420"/>
      </w:pPr>
    </w:lvl>
    <w:lvl w:ilvl="5">
      <w:start w:val="1"/>
      <w:numFmt w:val="lowerRoman"/>
      <w:isLgl w:val="false"/>
      <w:suff w:val="tab"/>
      <w:lvlText w:val="%6."/>
      <w:lvlJc w:val="right"/>
      <w:pPr>
        <w:pStyle w:val="851"/>
        <w:ind w:left="2100" w:hanging="420"/>
      </w:pPr>
    </w:lvl>
    <w:lvl w:ilvl="6">
      <w:start w:val="1"/>
      <w:numFmt w:val="decimal"/>
      <w:isLgl w:val="false"/>
      <w:suff w:val="tab"/>
      <w:lvlText w:val="%7."/>
      <w:lvlJc w:val="left"/>
      <w:pPr>
        <w:pStyle w:val="851"/>
        <w:ind w:left="2520" w:hanging="420"/>
      </w:pPr>
    </w:lvl>
    <w:lvl w:ilvl="7">
      <w:start w:val="1"/>
      <w:numFmt w:val="lowerLetter"/>
      <w:isLgl w:val="false"/>
      <w:suff w:val="tab"/>
      <w:lvlText w:val="%8)"/>
      <w:lvlJc w:val="left"/>
      <w:pPr>
        <w:pStyle w:val="851"/>
        <w:ind w:left="2940" w:hanging="420"/>
      </w:pPr>
    </w:lvl>
    <w:lvl w:ilvl="8">
      <w:start w:val="1"/>
      <w:numFmt w:val="lowerRoman"/>
      <w:isLgl w:val="false"/>
      <w:suff w:val="tab"/>
      <w:lvlText w:val="%9."/>
      <w:lvlJc w:val="right"/>
      <w:pPr>
        <w:pStyle w:val="851"/>
        <w:ind w:left="3360" w:hanging="420"/>
      </w:pPr>
    </w:lvl>
  </w:abstractNum>
  <w:abstractNum w:abstractNumId="21">
    <w:multiLevelType w:val="hybridMultilevel"/>
    <w:lvl w:ilvl="0">
      <w:start w:val="1"/>
      <w:numFmt w:val="decimal"/>
      <w:isLgl w:val="false"/>
      <w:suff w:val="tab"/>
      <w:lvlText w:val="%1."/>
      <w:lvlJc w:val="left"/>
      <w:pPr>
        <w:pStyle w:val="851"/>
        <w:ind w:left="4679" w:hanging="425"/>
      </w:pPr>
    </w:lvl>
    <w:lvl w:ilvl="1">
      <w:start w:val="1"/>
      <w:numFmt w:val="decimal"/>
      <w:isLgl w:val="false"/>
      <w:suff w:val="tab"/>
      <w:lvlText w:val="%1.%2."/>
      <w:lvlJc w:val="left"/>
      <w:pPr>
        <w:pStyle w:val="851"/>
        <w:ind w:left="4821" w:hanging="567"/>
      </w:pPr>
    </w:lvl>
    <w:lvl w:ilvl="2">
      <w:start w:val="1"/>
      <w:numFmt w:val="decimal"/>
      <w:isLgl w:val="false"/>
      <w:suff w:val="tab"/>
      <w:lvlText w:val="%1.%2.%3."/>
      <w:lvlJc w:val="left"/>
      <w:pPr>
        <w:pStyle w:val="851"/>
        <w:ind w:left="4963" w:hanging="709"/>
      </w:pPr>
    </w:lvl>
    <w:lvl w:ilvl="3">
      <w:start w:val="1"/>
      <w:numFmt w:val="decimal"/>
      <w:isLgl w:val="false"/>
      <w:suff w:val="tab"/>
      <w:lvlText w:val="%1.%2.%3.%4."/>
      <w:lvlJc w:val="left"/>
      <w:pPr>
        <w:pStyle w:val="851"/>
        <w:ind w:left="5105" w:hanging="851"/>
      </w:pPr>
    </w:lvl>
    <w:lvl w:ilvl="4">
      <w:start w:val="1"/>
      <w:numFmt w:val="decimal"/>
      <w:pStyle w:val="1831"/>
      <w:isLgl w:val="false"/>
      <w:suff w:val="tab"/>
      <w:lvlText w:val="%1.%2.%3.%4.%5."/>
      <w:lvlJc w:val="left"/>
      <w:pPr>
        <w:pStyle w:val="851"/>
        <w:ind w:left="5246" w:hanging="992"/>
      </w:pPr>
    </w:lvl>
    <w:lvl w:ilvl="5">
      <w:start w:val="1"/>
      <w:numFmt w:val="decimal"/>
      <w:isLgl w:val="false"/>
      <w:suff w:val="tab"/>
      <w:lvlText w:val="%1.%2.%3.%4.%5.%6."/>
      <w:lvlJc w:val="left"/>
      <w:pPr>
        <w:pStyle w:val="851"/>
        <w:ind w:left="5388" w:hanging="1134"/>
      </w:pPr>
    </w:lvl>
    <w:lvl w:ilvl="6">
      <w:start w:val="1"/>
      <w:numFmt w:val="decimal"/>
      <w:isLgl w:val="false"/>
      <w:suff w:val="tab"/>
      <w:lvlText w:val="%1.%2.%3.%4.%5.%6.%7."/>
      <w:lvlJc w:val="left"/>
      <w:pPr>
        <w:pStyle w:val="851"/>
        <w:ind w:left="5530" w:hanging="1276"/>
      </w:pPr>
    </w:lvl>
    <w:lvl w:ilvl="7">
      <w:start w:val="1"/>
      <w:numFmt w:val="decimal"/>
      <w:isLgl w:val="false"/>
      <w:suff w:val="tab"/>
      <w:lvlText w:val="%1.%2.%3.%4.%5.%6.%7.%8."/>
      <w:lvlJc w:val="left"/>
      <w:pPr>
        <w:pStyle w:val="851"/>
        <w:ind w:left="5672" w:hanging="1418"/>
      </w:pPr>
    </w:lvl>
    <w:lvl w:ilvl="8">
      <w:start w:val="1"/>
      <w:numFmt w:val="decimal"/>
      <w:isLgl w:val="false"/>
      <w:suff w:val="tab"/>
      <w:lvlText w:val="%1.%2.%3.%4.%5.%6.%7.%8.%9."/>
      <w:lvlJc w:val="left"/>
      <w:pPr>
        <w:pStyle w:val="851"/>
        <w:ind w:left="5813" w:hanging="1559"/>
      </w:pPr>
    </w:lvl>
  </w:abstractNum>
  <w:abstractNum w:abstractNumId="22">
    <w:multiLevelType w:val="hybridMultilevel"/>
    <w:lvl w:ilvl="0">
      <w:start w:val="1"/>
      <w:numFmt w:val="japaneseCounting"/>
      <w:pStyle w:val="1499"/>
      <w:isLgl w:val="false"/>
      <w:suff w:val="nothing"/>
      <w:lvlText w:val="%1、"/>
      <w:lvlJc w:val="left"/>
      <w:pPr>
        <w:pStyle w:val="851"/>
        <w:ind w:firstLine="420"/>
      </w:pPr>
      <w:rPr>
        <w:rFonts w:ascii="等线" w:hAnsi="等线" w:eastAsia="宋体" w:cs="Arial"/>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5"/>
      <w:numFmt w:val="chineseCounting"/>
      <w:isLgl w:val="false"/>
      <w:suff w:val="nothing"/>
      <w:lvlText w:val="%1、"/>
      <w:lvlJc w:val="left"/>
      <w:pPr>
        <w:pStyle w:val="851"/>
      </w:pPr>
      <w:rPr>
        <w:rFonts w:hint="eastAsia"/>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num w:numId="1">
    <w:abstractNumId w:val="12"/>
  </w:num>
  <w:num w:numId="2">
    <w:abstractNumId w:val="6"/>
  </w:num>
  <w:num w:numId="3">
    <w:abstractNumId w:val="22"/>
  </w:num>
  <w:num w:numId="4">
    <w:abstractNumId w:val="3"/>
  </w:num>
  <w:num w:numId="5">
    <w:abstractNumId w:val="18"/>
  </w:num>
  <w:num w:numId="6">
    <w:abstractNumId w:val="15"/>
  </w:num>
  <w:num w:numId="7">
    <w:abstractNumId w:val="2"/>
  </w:num>
  <w:num w:numId="8">
    <w:abstractNumId w:val="11"/>
  </w:num>
  <w:num w:numId="9">
    <w:abstractNumId w:val="20"/>
  </w:num>
  <w:num w:numId="10">
    <w:abstractNumId w:val="21"/>
  </w:num>
  <w:num w:numId="11">
    <w:abstractNumId w:val="7"/>
  </w:num>
  <w:num w:numId="12">
    <w:abstractNumId w:val="19"/>
  </w:num>
  <w:num w:numId="13">
    <w:abstractNumId w:val="0"/>
  </w:num>
  <w:num w:numId="14">
    <w:abstractNumId w:val="9"/>
  </w:num>
  <w:num w:numId="15">
    <w:abstractNumId w:val="13"/>
  </w:num>
  <w:num w:numId="16">
    <w:abstractNumId w:val="14"/>
  </w:num>
  <w:num w:numId="17">
    <w:abstractNumId w:val="10"/>
  </w:num>
  <w:num w:numId="18">
    <w:abstractNumId w:val="4"/>
  </w:num>
  <w:num w:numId="19">
    <w:abstractNumId w:val="17"/>
  </w:num>
  <w:num w:numId="20">
    <w:abstractNumId w:val="5"/>
  </w:num>
  <w:num w:numId="21">
    <w:abstractNumId w:val="1"/>
  </w:num>
  <w:num w:numId="22">
    <w:abstractNumId w:val="24"/>
  </w:num>
  <w:num w:numId="23">
    <w:abstractNumId w:val="8"/>
  </w:num>
  <w:num w:numId="24">
    <w:abstractNumId w:val="2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name w:val="List Paragraph"/>
    <w:basedOn w:val="851"/>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851"/>
    <w:next w:val="851"/>
    <w:link w:val="1739"/>
    <w:uiPriority w:val="10"/>
    <w:qFormat/>
    <w:pPr>
      <w:contextualSpacing/>
      <w:spacing w:before="300" w:after="200"/>
    </w:pPr>
    <w:rPr>
      <w:sz w:val="48"/>
      <w:szCs w:val="48"/>
    </w:rPr>
  </w:style>
  <w:style w:type="paragraph" w:styleId="828">
    <w:name w:val="Subtitle"/>
    <w:basedOn w:val="851"/>
    <w:next w:val="851"/>
    <w:link w:val="1740"/>
    <w:uiPriority w:val="11"/>
    <w:qFormat/>
    <w:pPr>
      <w:spacing w:before="200" w:after="200"/>
    </w:pPr>
    <w:rPr>
      <w:sz w:val="24"/>
      <w:szCs w:val="24"/>
    </w:rPr>
  </w:style>
  <w:style w:type="paragraph" w:styleId="829">
    <w:name w:val="Quote"/>
    <w:basedOn w:val="851"/>
    <w:next w:val="851"/>
    <w:link w:val="1741"/>
    <w:uiPriority w:val="29"/>
    <w:qFormat/>
    <w:pPr>
      <w:ind w:left="720" w:right="720"/>
    </w:pPr>
    <w:rPr>
      <w:i/>
    </w:rPr>
  </w:style>
  <w:style w:type="paragraph" w:styleId="830">
    <w:name w:val="Intense Quote"/>
    <w:basedOn w:val="851"/>
    <w:next w:val="851"/>
    <w:link w:val="1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1">
    <w:name w:val="Header"/>
    <w:basedOn w:val="851"/>
    <w:link w:val="1754"/>
    <w:uiPriority w:val="99"/>
    <w:unhideWhenUsed/>
    <w:pPr>
      <w:spacing w:after="0" w:line="240" w:lineRule="auto"/>
      <w:tabs>
        <w:tab w:val="center" w:pos="7143" w:leader="none"/>
        <w:tab w:val="right" w:pos="14287" w:leader="none"/>
      </w:tabs>
    </w:pPr>
  </w:style>
  <w:style w:type="paragraph" w:styleId="832">
    <w:name w:val="Footer"/>
    <w:basedOn w:val="851"/>
    <w:link w:val="1755"/>
    <w:uiPriority w:val="99"/>
    <w:unhideWhenUsed/>
    <w:pPr>
      <w:spacing w:after="0" w:line="240" w:lineRule="auto"/>
      <w:tabs>
        <w:tab w:val="center" w:pos="7143" w:leader="none"/>
        <w:tab w:val="right" w:pos="14287" w:leader="none"/>
      </w:tabs>
    </w:pPr>
  </w:style>
  <w:style w:type="paragraph" w:styleId="833">
    <w:name w:val="Caption"/>
    <w:basedOn w:val="851"/>
    <w:next w:val="851"/>
    <w:uiPriority w:val="35"/>
    <w:semiHidden/>
    <w:unhideWhenUsed/>
    <w:qFormat/>
    <w:pPr>
      <w:spacing w:line="276" w:lineRule="auto"/>
    </w:pPr>
    <w:rPr>
      <w:b/>
      <w:bCs/>
      <w:color w:val="4f81bd" w:themeColor="accent1"/>
      <w:sz w:val="18"/>
      <w:szCs w:val="18"/>
    </w:rPr>
  </w:style>
  <w:style w:type="table" w:styleId="8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Hyperlink"/>
    <w:uiPriority w:val="99"/>
    <w:unhideWhenUsed/>
    <w:rPr>
      <w:color w:val="0000ff" w:themeColor="hyperlink"/>
      <w:u w:val="single"/>
    </w:rPr>
  </w:style>
  <w:style w:type="paragraph" w:styleId="836">
    <w:name w:val="footnote text"/>
    <w:basedOn w:val="851"/>
    <w:link w:val="1743"/>
    <w:uiPriority w:val="99"/>
    <w:semiHidden/>
    <w:unhideWhenUsed/>
    <w:pPr>
      <w:spacing w:after="40" w:line="240" w:lineRule="auto"/>
    </w:pPr>
    <w:rPr>
      <w:sz w:val="18"/>
    </w:rPr>
  </w:style>
  <w:style w:type="character" w:styleId="837">
    <w:name w:val="footnote reference"/>
    <w:uiPriority w:val="99"/>
    <w:unhideWhenUsed/>
    <w:rPr>
      <w:vertAlign w:val="superscript"/>
    </w:rPr>
  </w:style>
  <w:style w:type="paragraph" w:styleId="838">
    <w:name w:val="endnote text"/>
    <w:basedOn w:val="851"/>
    <w:link w:val="1744"/>
    <w:uiPriority w:val="99"/>
    <w:semiHidden/>
    <w:unhideWhenUsed/>
    <w:pPr>
      <w:spacing w:after="0" w:line="240" w:lineRule="auto"/>
    </w:pPr>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rFonts w:ascii="等线" w:hAnsi="等线" w:cs="Arial"/>
      <w:sz w:val="21"/>
      <w:szCs w:val="22"/>
      <w:lang w:val="en-US" w:eastAsia="zh-CN" w:bidi="ar-SA"/>
    </w:rPr>
  </w:style>
  <w:style w:type="paragraph" w:styleId="852">
    <w:name w:val="标题 2"/>
    <w:basedOn w:val="851"/>
    <w:next w:val="851"/>
    <w:link w:val="851"/>
    <w:uiPriority w:val="9"/>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53">
    <w:name w:val="默认段落字体"/>
    <w:next w:val="853"/>
    <w:link w:val="851"/>
    <w:uiPriority w:val="1"/>
    <w:unhideWhenUsed/>
    <w:qFormat/>
  </w:style>
  <w:style w:type="table" w:styleId="854">
    <w:name w:val="普通表格"/>
    <w:next w:val="854"/>
    <w:link w:val="851"/>
    <w:uiPriority w:val="99"/>
    <w:unhideWhenUsed/>
    <w:qFormat/>
    <w:tblPr/>
  </w:style>
  <w:style w:type="paragraph" w:styleId="855">
    <w:name w:val="列表 3"/>
    <w:basedOn w:val="851"/>
    <w:next w:val="855"/>
    <w:link w:val="851"/>
    <w:qFormat/>
    <w:pPr>
      <w:ind w:left="100" w:hanging="200"/>
    </w:pPr>
    <w:rPr>
      <w:rFonts w:ascii="Times New Roman" w:hAnsi="Times New Roman" w:eastAsia="宋体" w:cs="Times New Roman"/>
      <w:szCs w:val="21"/>
    </w:rPr>
  </w:style>
  <w:style w:type="paragraph" w:styleId="856">
    <w:name w:val="目录 7"/>
    <w:basedOn w:val="851"/>
    <w:next w:val="851"/>
    <w:link w:val="851"/>
    <w:uiPriority w:val="39"/>
    <w:unhideWhenUsed/>
    <w:qFormat/>
    <w:pPr>
      <w:ind w:left="2520" w:firstLine="200"/>
      <w:jc w:val="left"/>
    </w:pPr>
    <w:rPr>
      <w:rFonts w:ascii="Calibri" w:hAnsi="Calibri" w:eastAsia="仿宋" w:cs="Times New Roman"/>
      <w:sz w:val="28"/>
    </w:rPr>
  </w:style>
  <w:style w:type="paragraph" w:styleId="857">
    <w:name w:val="列表编号 2"/>
    <w:basedOn w:val="851"/>
    <w:next w:val="857"/>
    <w:link w:val="851"/>
    <w:unhideWhenUsed/>
    <w:qFormat/>
    <w:pPr>
      <w:numPr>
        <w:ilvl w:val="0"/>
        <w:numId w:val="1"/>
      </w:numPr>
      <w:ind w:firstLine="0"/>
      <w:jc w:val="left"/>
      <w:spacing w:line="360" w:lineRule="auto"/>
      <w:widowControl/>
      <w:tabs>
        <w:tab w:val="left" w:pos="1854" w:leader="none"/>
      </w:tabs>
    </w:pPr>
    <w:rPr>
      <w:rFonts w:ascii="宋体" w:hAnsi="宋体" w:eastAsia="宋体" w:cs="Times New Roman"/>
      <w:sz w:val="24"/>
      <w:szCs w:val="20"/>
    </w:rPr>
  </w:style>
  <w:style w:type="paragraph" w:styleId="858">
    <w:name w:val="列表项目符号 4"/>
    <w:basedOn w:val="851"/>
    <w:next w:val="858"/>
    <w:link w:val="851"/>
    <w:unhideWhenUsed/>
    <w:qFormat/>
    <w:pPr>
      <w:numPr>
        <w:ilvl w:val="0"/>
        <w:numId w:val="2"/>
      </w:numPr>
      <w:contextualSpacing/>
      <w:tabs>
        <w:tab w:val="left" w:pos="1620" w:leader="none"/>
      </w:tabs>
    </w:pPr>
  </w:style>
  <w:style w:type="paragraph" w:styleId="859">
    <w:name w:val="列表编号"/>
    <w:basedOn w:val="851"/>
    <w:next w:val="859"/>
    <w:link w:val="851"/>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60">
    <w:name w:val="正文缩进"/>
    <w:basedOn w:val="851"/>
    <w:next w:val="860"/>
    <w:link w:val="861"/>
    <w:unhideWhenUsed/>
    <w:qFormat/>
    <w:pPr>
      <w:ind w:firstLine="420"/>
      <w:jc w:val="left"/>
    </w:pPr>
    <w:rPr>
      <w:rFonts w:ascii="Times New Roman" w:hAnsi="Times New Roman" w:eastAsia="宋体"/>
      <w:sz w:val="28"/>
      <w:szCs w:val="24"/>
    </w:rPr>
  </w:style>
  <w:style w:type="character" w:styleId="861">
    <w:name w:val="正文缩进 Char2"/>
    <w:next w:val="861"/>
    <w:link w:val="860"/>
    <w:qFormat/>
    <w:rPr>
      <w:rFonts w:ascii="Times New Roman" w:hAnsi="Times New Roman" w:eastAsia="宋体"/>
      <w:sz w:val="28"/>
      <w:szCs w:val="24"/>
    </w:rPr>
  </w:style>
  <w:style w:type="paragraph" w:styleId="862">
    <w:name w:val="列表项目符号"/>
    <w:next w:val="862"/>
    <w:link w:val="851"/>
    <w:qFormat/>
    <w:pPr>
      <w:spacing w:after="200" w:line="276" w:lineRule="auto"/>
      <w:tabs>
        <w:tab w:val="left" w:pos="480" w:leader="none"/>
      </w:tabs>
    </w:pPr>
    <w:rPr>
      <w:rFonts w:ascii="Calibri" w:hAnsi="Calibri" w:cs="Arial"/>
      <w:sz w:val="22"/>
      <w:szCs w:val="22"/>
      <w:lang w:val="en-US" w:eastAsia="zh-CN" w:bidi="ar-SA"/>
    </w:rPr>
  </w:style>
  <w:style w:type="paragraph" w:styleId="863">
    <w:name w:val="文档结构图"/>
    <w:basedOn w:val="851"/>
    <w:next w:val="863"/>
    <w:link w:val="864"/>
    <w:qFormat/>
    <w:pPr>
      <w:ind w:firstLine="200"/>
      <w:jc w:val="left"/>
      <w:spacing w:after="200" w:line="360" w:lineRule="auto"/>
      <w:shd w:val="clear" w:color="auto" w:fill="000080"/>
      <w:widowControl/>
    </w:pPr>
    <w:rPr>
      <w:rFonts w:eastAsia="仿宋"/>
      <w:sz w:val="24"/>
      <w:szCs w:val="20"/>
      <w:lang w:eastAsia="en-US" w:bidi="en-US"/>
    </w:rPr>
  </w:style>
  <w:style w:type="character" w:styleId="864">
    <w:name w:val="文档结构图 Char2"/>
    <w:next w:val="864"/>
    <w:link w:val="863"/>
    <w:qFormat/>
    <w:rPr>
      <w:rFonts w:eastAsia="仿宋"/>
      <w:sz w:val="24"/>
      <w:shd w:val="clear" w:color="auto" w:fill="000080"/>
      <w:lang w:eastAsia="en-US" w:bidi="en-US"/>
    </w:rPr>
  </w:style>
  <w:style w:type="paragraph" w:styleId="865">
    <w:name w:val="批注文字"/>
    <w:basedOn w:val="851"/>
    <w:next w:val="865"/>
    <w:link w:val="866"/>
    <w:qFormat/>
    <w:pPr>
      <w:ind w:firstLine="200"/>
      <w:jc w:val="left"/>
    </w:pPr>
    <w:rPr>
      <w:rFonts w:ascii="Times New Roman" w:hAnsi="Times New Roman" w:eastAsia="仿宋"/>
      <w:sz w:val="28"/>
      <w:szCs w:val="24"/>
    </w:rPr>
  </w:style>
  <w:style w:type="character" w:styleId="866">
    <w:name w:val="批注文字 Char2"/>
    <w:next w:val="866"/>
    <w:link w:val="865"/>
    <w:qFormat/>
    <w:rPr>
      <w:rFonts w:ascii="Times New Roman" w:hAnsi="Times New Roman" w:eastAsia="仿宋"/>
      <w:sz w:val="28"/>
      <w:szCs w:val="24"/>
    </w:rPr>
  </w:style>
  <w:style w:type="paragraph" w:styleId="867">
    <w:name w:val="正文文本 3"/>
    <w:basedOn w:val="851"/>
    <w:next w:val="867"/>
    <w:link w:val="868"/>
    <w:qFormat/>
    <w:rPr>
      <w:rFonts w:ascii="仿宋_GB2312" w:hAnsi="Arial" w:eastAsia="仿宋_GB2312" w:cs="Times New Roman"/>
      <w:sz w:val="32"/>
      <w:szCs w:val="32"/>
    </w:rPr>
  </w:style>
  <w:style w:type="character" w:styleId="868">
    <w:name w:val="正文文本 3 Char2"/>
    <w:next w:val="868"/>
    <w:link w:val="867"/>
    <w:qFormat/>
    <w:rPr>
      <w:rFonts w:ascii="仿宋_GB2312" w:hAnsi="Arial" w:eastAsia="仿宋_GB2312" w:cs="Times New Roman"/>
      <w:sz w:val="32"/>
      <w:szCs w:val="32"/>
    </w:rPr>
  </w:style>
  <w:style w:type="paragraph" w:styleId="869">
    <w:name w:val="正文文本"/>
    <w:basedOn w:val="851"/>
    <w:next w:val="871"/>
    <w:link w:val="870"/>
    <w:unhideWhenUsed/>
    <w:qFormat/>
    <w:pPr>
      <w:spacing w:after="120"/>
    </w:pPr>
    <w:rPr>
      <w:sz w:val="20"/>
      <w:szCs w:val="20"/>
    </w:rPr>
  </w:style>
  <w:style w:type="character" w:styleId="870">
    <w:name w:val="正文文本 Char2"/>
    <w:next w:val="870"/>
    <w:link w:val="869"/>
    <w:qFormat/>
  </w:style>
  <w:style w:type="paragraph" w:styleId="871">
    <w:name w:val="正文首行缩进"/>
    <w:basedOn w:val="869"/>
    <w:next w:val="851"/>
    <w:link w:val="872"/>
    <w:uiPriority w:val="99"/>
    <w:unhideWhenUsed/>
    <w:qFormat/>
    <w:pPr>
      <w:ind w:firstLine="420"/>
      <w:spacing w:line="360" w:lineRule="auto"/>
    </w:pPr>
    <w:rPr>
      <w:rFonts w:ascii="Calibri" w:hAnsi="Calibri" w:eastAsia="仿宋" w:cs="Times New Roman"/>
      <w:sz w:val="24"/>
      <w:szCs w:val="24"/>
    </w:rPr>
  </w:style>
  <w:style w:type="character" w:styleId="872">
    <w:name w:val="正文首行缩进 Char2"/>
    <w:next w:val="872"/>
    <w:link w:val="871"/>
    <w:uiPriority w:val="99"/>
    <w:qFormat/>
    <w:rPr>
      <w:rFonts w:ascii="Calibri" w:hAnsi="Calibri" w:eastAsia="仿宋" w:cs="Times New Roman"/>
      <w:sz w:val="24"/>
      <w:szCs w:val="24"/>
    </w:rPr>
  </w:style>
  <w:style w:type="paragraph" w:styleId="873">
    <w:name w:val="正文文本缩进"/>
    <w:basedOn w:val="851"/>
    <w:next w:val="873"/>
    <w:link w:val="874"/>
    <w:unhideWhenUsed/>
    <w:qFormat/>
    <w:pPr>
      <w:ind w:left="420"/>
      <w:jc w:val="left"/>
      <w:spacing w:after="120"/>
      <w:widowControl/>
    </w:pPr>
    <w:rPr>
      <w:rFonts w:ascii="Arial" w:hAnsi="Arial" w:eastAsia="Arial" w:cs="Arial"/>
      <w:color w:val="000000"/>
      <w:szCs w:val="21"/>
    </w:rPr>
  </w:style>
  <w:style w:type="character" w:styleId="874">
    <w:name w:val="正文文本缩进 Char2"/>
    <w:next w:val="874"/>
    <w:link w:val="873"/>
    <w:qFormat/>
    <w:rPr>
      <w:rFonts w:ascii="Arial" w:hAnsi="Arial" w:eastAsia="Arial" w:cs="Arial"/>
      <w:color w:val="000000"/>
      <w:sz w:val="21"/>
      <w:szCs w:val="21"/>
    </w:rPr>
  </w:style>
  <w:style w:type="paragraph" w:styleId="875">
    <w:name w:val="列表 2"/>
    <w:basedOn w:val="851"/>
    <w:next w:val="875"/>
    <w:link w:val="851"/>
    <w:qFormat/>
    <w:pPr>
      <w:ind w:left="100" w:hanging="200"/>
    </w:pPr>
    <w:rPr>
      <w:rFonts w:ascii="Times New Roman" w:hAnsi="Times New Roman" w:eastAsia="宋体" w:cs="Times New Roman"/>
      <w:szCs w:val="21"/>
    </w:rPr>
  </w:style>
  <w:style w:type="paragraph" w:styleId="876">
    <w:name w:val="文本块"/>
    <w:basedOn w:val="851"/>
    <w:next w:val="876"/>
    <w:link w:val="851"/>
    <w:unhideWhenUsed/>
    <w:qFormat/>
    <w:pPr>
      <w:ind w:left="1440" w:right="1440"/>
      <w:spacing w:after="120" w:line="360" w:lineRule="auto"/>
    </w:pPr>
    <w:rPr>
      <w:rFonts w:ascii="宋体" w:hAnsi="宋体" w:eastAsia="宋体" w:cs="宋体"/>
      <w:sz w:val="24"/>
      <w:szCs w:val="24"/>
    </w:rPr>
  </w:style>
  <w:style w:type="paragraph" w:styleId="877">
    <w:name w:val="列表项目符号 2"/>
    <w:basedOn w:val="851"/>
    <w:next w:val="877"/>
    <w:link w:val="851"/>
    <w:uiPriority w:val="99"/>
    <w:qFormat/>
    <w:pPr>
      <w:contextualSpacing/>
      <w:ind w:left="780" w:hanging="360"/>
      <w:tabs>
        <w:tab w:val="left" w:pos="780" w:leader="none"/>
      </w:tabs>
    </w:pPr>
    <w:rPr>
      <w:rFonts w:ascii="Times New Roman" w:hAnsi="Times New Roman" w:eastAsia="宋体" w:cs="Times New Roman"/>
      <w:szCs w:val="24"/>
    </w:rPr>
  </w:style>
  <w:style w:type="paragraph" w:styleId="878">
    <w:name w:val="索引 4"/>
    <w:basedOn w:val="851"/>
    <w:next w:val="851"/>
    <w:link w:val="851"/>
    <w:uiPriority w:val="99"/>
    <w:unhideWhenUsed/>
    <w:qFormat/>
    <w:pPr>
      <w:ind w:firstLine="840"/>
      <w:jc w:val="left"/>
      <w:spacing w:line="360" w:lineRule="auto"/>
    </w:pPr>
    <w:rPr>
      <w:rFonts w:ascii="宋体" w:hAnsi="宋体" w:eastAsia="宋体" w:cs="宋体"/>
      <w:sz w:val="22"/>
      <w:lang w:val="zh-CN" w:bidi="zh-CN"/>
    </w:rPr>
  </w:style>
  <w:style w:type="paragraph" w:styleId="879">
    <w:name w:val="目录 5"/>
    <w:basedOn w:val="851"/>
    <w:next w:val="851"/>
    <w:link w:val="851"/>
    <w:uiPriority w:val="39"/>
    <w:unhideWhenUsed/>
    <w:qFormat/>
    <w:pPr>
      <w:ind w:left="1680" w:firstLine="200"/>
      <w:jc w:val="left"/>
    </w:pPr>
    <w:rPr>
      <w:rFonts w:ascii="Calibri" w:hAnsi="Calibri" w:eastAsia="仿宋" w:cs="Times New Roman"/>
      <w:sz w:val="28"/>
    </w:rPr>
  </w:style>
  <w:style w:type="paragraph" w:styleId="880">
    <w:name w:val="目录 3"/>
    <w:basedOn w:val="851"/>
    <w:next w:val="851"/>
    <w:link w:val="851"/>
    <w:uiPriority w:val="39"/>
    <w:unhideWhenUsed/>
    <w:qFormat/>
    <w:pPr>
      <w:ind w:left="840" w:firstLine="200"/>
      <w:jc w:val="left"/>
    </w:pPr>
    <w:rPr>
      <w:rFonts w:ascii="Calibri" w:hAnsi="Calibri" w:eastAsia="仿宋" w:cs="Times New Roman"/>
      <w:sz w:val="28"/>
      <w:szCs w:val="24"/>
    </w:rPr>
  </w:style>
  <w:style w:type="paragraph" w:styleId="881">
    <w:name w:val="纯文本"/>
    <w:basedOn w:val="851"/>
    <w:next w:val="860"/>
    <w:link w:val="882"/>
    <w:qFormat/>
    <w:pPr>
      <w:ind w:firstLine="200"/>
      <w:jc w:val="left"/>
      <w:spacing w:after="200" w:line="360" w:lineRule="auto"/>
      <w:widowControl/>
    </w:pPr>
    <w:rPr>
      <w:rFonts w:ascii="宋体" w:hAnsi="Courier New" w:eastAsia="仿宋"/>
      <w:sz w:val="24"/>
      <w:szCs w:val="20"/>
      <w:lang w:eastAsia="en-US"/>
    </w:rPr>
  </w:style>
  <w:style w:type="character" w:styleId="882">
    <w:name w:val="纯文本 Char2"/>
    <w:next w:val="882"/>
    <w:link w:val="881"/>
    <w:qFormat/>
    <w:rPr>
      <w:rFonts w:ascii="宋体" w:hAnsi="Courier New" w:eastAsia="仿宋"/>
      <w:sz w:val="24"/>
      <w:lang w:eastAsia="en-US"/>
    </w:rPr>
  </w:style>
  <w:style w:type="paragraph" w:styleId="883">
    <w:name w:val="目录 8"/>
    <w:basedOn w:val="851"/>
    <w:next w:val="851"/>
    <w:link w:val="851"/>
    <w:uiPriority w:val="39"/>
    <w:unhideWhenUsed/>
    <w:qFormat/>
    <w:pPr>
      <w:ind w:left="2940" w:firstLine="200"/>
      <w:jc w:val="left"/>
    </w:pPr>
    <w:rPr>
      <w:rFonts w:ascii="Calibri" w:hAnsi="Calibri" w:eastAsia="仿宋" w:cs="Times New Roman"/>
      <w:sz w:val="28"/>
    </w:rPr>
  </w:style>
  <w:style w:type="paragraph" w:styleId="884">
    <w:name w:val="日期"/>
    <w:basedOn w:val="851"/>
    <w:next w:val="851"/>
    <w:link w:val="885"/>
    <w:uiPriority w:val="99"/>
    <w:unhideWhenUsed/>
    <w:qFormat/>
    <w:pPr>
      <w:ind w:left="100" w:firstLine="480"/>
      <w:spacing w:line="360" w:lineRule="auto"/>
    </w:pPr>
    <w:rPr>
      <w:rFonts w:ascii="宋体" w:hAnsi="宋体" w:eastAsia="宋体" w:cs="Times New Roman"/>
      <w:color w:val="000000"/>
      <w:sz w:val="24"/>
      <w:szCs w:val="24"/>
    </w:rPr>
  </w:style>
  <w:style w:type="character" w:styleId="885">
    <w:name w:val="日期 Char2"/>
    <w:next w:val="885"/>
    <w:link w:val="884"/>
    <w:uiPriority w:val="99"/>
    <w:qFormat/>
    <w:rPr>
      <w:rFonts w:ascii="宋体" w:hAnsi="宋体" w:eastAsia="宋体" w:cs="Times New Roman"/>
      <w:color w:val="000000"/>
      <w:sz w:val="24"/>
      <w:szCs w:val="24"/>
    </w:rPr>
  </w:style>
  <w:style w:type="paragraph" w:styleId="886">
    <w:name w:val="正文文本缩进 2"/>
    <w:basedOn w:val="887"/>
    <w:next w:val="851"/>
    <w:link w:val="889"/>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887">
    <w:name w:val="Heading 1"/>
    <w:basedOn w:val="851"/>
    <w:next w:val="887"/>
    <w:link w:val="888"/>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character" w:styleId="888">
    <w:name w:val="标题 1 Char1"/>
    <w:next w:val="888"/>
    <w:link w:val="887"/>
    <w:qFormat/>
    <w:rPr>
      <w:rFonts w:ascii="Times New Roman" w:hAnsi="Times New Roman" w:eastAsia="黑体"/>
      <w:b/>
      <w:bCs/>
      <w:spacing w:val="20"/>
      <w:sz w:val="48"/>
      <w:szCs w:val="44"/>
    </w:rPr>
  </w:style>
  <w:style w:type="character" w:styleId="889">
    <w:name w:val="正文文本缩进 2 Char2"/>
    <w:next w:val="889"/>
    <w:link w:val="886"/>
    <w:qFormat/>
    <w:rPr>
      <w:rFonts w:ascii="Arial" w:hAnsi="Arial" w:eastAsia="仿宋_GB2312" w:cs="Arial"/>
      <w:sz w:val="32"/>
      <w:szCs w:val="32"/>
    </w:rPr>
  </w:style>
  <w:style w:type="paragraph" w:styleId="890">
    <w:name w:val="尾注文本"/>
    <w:basedOn w:val="851"/>
    <w:next w:val="890"/>
    <w:link w:val="891"/>
    <w:uiPriority w:val="99"/>
    <w:unhideWhenUsed/>
    <w:qFormat/>
    <w:rPr>
      <w:rFonts w:ascii="Times New Roman" w:hAnsi="Times New Roman" w:eastAsia="宋体" w:cs="Times New Roman"/>
      <w:sz w:val="20"/>
      <w:szCs w:val="21"/>
    </w:rPr>
  </w:style>
  <w:style w:type="character" w:styleId="891">
    <w:name w:val="尾注文本 Char"/>
    <w:next w:val="891"/>
    <w:link w:val="890"/>
    <w:uiPriority w:val="99"/>
    <w:semiHidden/>
    <w:qFormat/>
    <w:rPr>
      <w:rFonts w:ascii="Times New Roman" w:hAnsi="Times New Roman" w:eastAsia="宋体" w:cs="Times New Roman"/>
      <w:szCs w:val="21"/>
    </w:rPr>
  </w:style>
  <w:style w:type="paragraph" w:styleId="892">
    <w:name w:val="批注框文本"/>
    <w:basedOn w:val="851"/>
    <w:next w:val="892"/>
    <w:link w:val="893"/>
    <w:unhideWhenUsed/>
    <w:qFormat/>
    <w:pPr>
      <w:ind w:firstLine="200"/>
      <w:jc w:val="left"/>
    </w:pPr>
    <w:rPr>
      <w:sz w:val="18"/>
      <w:szCs w:val="18"/>
    </w:rPr>
  </w:style>
  <w:style w:type="character" w:styleId="893">
    <w:name w:val="批注框文本 Char2"/>
    <w:next w:val="893"/>
    <w:link w:val="892"/>
    <w:uiPriority w:val="99"/>
    <w:qFormat/>
    <w:rPr>
      <w:sz w:val="18"/>
      <w:szCs w:val="18"/>
    </w:rPr>
  </w:style>
  <w:style w:type="paragraph" w:styleId="894">
    <w:name w:val="页脚"/>
    <w:basedOn w:val="851"/>
    <w:next w:val="894"/>
    <w:link w:val="895"/>
    <w:uiPriority w:val="99"/>
    <w:unhideWhenUsed/>
    <w:pPr>
      <w:jc w:val="left"/>
      <w:tabs>
        <w:tab w:val="center" w:pos="4153" w:leader="none"/>
        <w:tab w:val="right" w:pos="8306" w:leader="none"/>
      </w:tabs>
    </w:pPr>
    <w:rPr>
      <w:sz w:val="18"/>
      <w:szCs w:val="18"/>
    </w:rPr>
  </w:style>
  <w:style w:type="character" w:styleId="895">
    <w:name w:val="页脚 Char2"/>
    <w:next w:val="895"/>
    <w:link w:val="894"/>
    <w:uiPriority w:val="99"/>
    <w:rPr>
      <w:rFonts w:ascii="等线" w:hAnsi="等线" w:cs="Arial"/>
      <w:sz w:val="18"/>
      <w:szCs w:val="18"/>
    </w:rPr>
  </w:style>
  <w:style w:type="paragraph" w:styleId="896">
    <w:name w:val="寄信人地址"/>
    <w:basedOn w:val="851"/>
    <w:next w:val="896"/>
    <w:link w:val="851"/>
    <w:uiPriority w:val="99"/>
    <w:qFormat/>
    <w:rPr>
      <w:rFonts w:ascii="Arial" w:hAnsi="Arial" w:cs="Times New Roman"/>
      <w:color w:val="000000"/>
    </w:rPr>
  </w:style>
  <w:style w:type="paragraph" w:styleId="897">
    <w:name w:val="页眉"/>
    <w:basedOn w:val="851"/>
    <w:next w:val="897"/>
    <w:link w:val="898"/>
    <w:uiPriority w:val="99"/>
    <w:unhideWhenUsed/>
    <w:pPr>
      <w:jc w:val="center"/>
      <w:tabs>
        <w:tab w:val="center" w:pos="4153" w:leader="none"/>
        <w:tab w:val="right" w:pos="8306" w:leader="none"/>
      </w:tabs>
      <w:pBdr>
        <w:bottom w:val="single" w:color="000000" w:sz="6" w:space="1"/>
      </w:pBdr>
    </w:pPr>
    <w:rPr>
      <w:sz w:val="18"/>
      <w:szCs w:val="18"/>
    </w:rPr>
  </w:style>
  <w:style w:type="character" w:styleId="898">
    <w:name w:val="页眉 Char2"/>
    <w:next w:val="898"/>
    <w:link w:val="897"/>
    <w:uiPriority w:val="99"/>
    <w:rPr>
      <w:rFonts w:ascii="等线" w:hAnsi="等线" w:cs="Arial"/>
      <w:sz w:val="18"/>
      <w:szCs w:val="18"/>
    </w:rPr>
  </w:style>
  <w:style w:type="paragraph" w:styleId="899">
    <w:name w:val="目录 1"/>
    <w:basedOn w:val="851"/>
    <w:next w:val="851"/>
    <w:link w:val="851"/>
    <w:uiPriority w:val="39"/>
    <w:unhideWhenUsed/>
    <w:qFormat/>
    <w:pPr>
      <w:ind w:firstLine="200"/>
      <w:jc w:val="left"/>
    </w:pPr>
    <w:rPr>
      <w:rFonts w:ascii="Calibri" w:hAnsi="Calibri" w:eastAsia="仿宋" w:cs="Times New Roman"/>
      <w:b/>
      <w:sz w:val="28"/>
      <w:szCs w:val="24"/>
    </w:rPr>
  </w:style>
  <w:style w:type="paragraph" w:styleId="900">
    <w:name w:val="目录 4"/>
    <w:basedOn w:val="851"/>
    <w:next w:val="851"/>
    <w:link w:val="851"/>
    <w:uiPriority w:val="39"/>
    <w:unhideWhenUsed/>
    <w:qFormat/>
    <w:pPr>
      <w:ind w:left="1260" w:firstLine="200"/>
      <w:jc w:val="left"/>
    </w:pPr>
    <w:rPr>
      <w:rFonts w:ascii="Calibri" w:hAnsi="Calibri" w:eastAsia="仿宋" w:cs="Times New Roman"/>
      <w:sz w:val="28"/>
    </w:rPr>
  </w:style>
  <w:style w:type="paragraph" w:styleId="901">
    <w:name w:val="副标题"/>
    <w:basedOn w:val="851"/>
    <w:next w:val="851"/>
    <w:link w:val="902"/>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902">
    <w:name w:val="副标题 Char"/>
    <w:next w:val="902"/>
    <w:link w:val="901"/>
    <w:uiPriority w:val="11"/>
    <w:qFormat/>
    <w:rPr>
      <w:rFonts w:ascii="Cambria" w:hAnsi="Cambria" w:eastAsia="仿宋"/>
      <w:i/>
      <w:iCs/>
      <w:color w:val="4f81bd"/>
      <w:spacing w:val="15"/>
      <w:sz w:val="24"/>
      <w:szCs w:val="24"/>
      <w:lang w:eastAsia="en-US" w:bidi="en-US"/>
    </w:rPr>
  </w:style>
  <w:style w:type="paragraph" w:styleId="903">
    <w:name w:val="列表"/>
    <w:basedOn w:val="851"/>
    <w:next w:val="903"/>
    <w:link w:val="851"/>
    <w:qFormat/>
    <w:pPr>
      <w:ind w:left="200" w:hanging="200"/>
    </w:pPr>
    <w:rPr>
      <w:rFonts w:ascii="Times New Roman" w:hAnsi="Times New Roman" w:eastAsia="宋体" w:cs="Times New Roman"/>
      <w:szCs w:val="21"/>
    </w:rPr>
  </w:style>
  <w:style w:type="paragraph" w:styleId="904">
    <w:name w:val="脚注文本"/>
    <w:basedOn w:val="851"/>
    <w:next w:val="904"/>
    <w:link w:val="905"/>
    <w:uiPriority w:val="99"/>
    <w:qFormat/>
    <w:pPr>
      <w:spacing w:line="312" w:lineRule="atLeast"/>
    </w:pPr>
    <w:rPr>
      <w:rFonts w:ascii="Times New Roman" w:hAnsi="Times New Roman" w:eastAsia="宋体" w:cs="Times New Roman"/>
      <w:sz w:val="18"/>
      <w:szCs w:val="20"/>
    </w:rPr>
  </w:style>
  <w:style w:type="character" w:styleId="905">
    <w:name w:val="脚注文本 Char"/>
    <w:next w:val="905"/>
    <w:link w:val="904"/>
    <w:uiPriority w:val="99"/>
    <w:qFormat/>
    <w:rPr>
      <w:rFonts w:ascii="Times New Roman" w:hAnsi="Times New Roman" w:eastAsia="宋体" w:cs="Times New Roman"/>
      <w:sz w:val="18"/>
    </w:rPr>
  </w:style>
  <w:style w:type="paragraph" w:styleId="906">
    <w:name w:val="目录 6"/>
    <w:basedOn w:val="851"/>
    <w:next w:val="851"/>
    <w:link w:val="851"/>
    <w:uiPriority w:val="39"/>
    <w:unhideWhenUsed/>
    <w:qFormat/>
    <w:pPr>
      <w:ind w:left="2100" w:firstLine="200"/>
      <w:jc w:val="left"/>
    </w:pPr>
    <w:rPr>
      <w:rFonts w:ascii="Calibri" w:hAnsi="Calibri" w:eastAsia="仿宋" w:cs="Times New Roman"/>
      <w:sz w:val="28"/>
    </w:rPr>
  </w:style>
  <w:style w:type="paragraph" w:styleId="907">
    <w:name w:val="正文文本缩进 3"/>
    <w:basedOn w:val="851"/>
    <w:next w:val="907"/>
    <w:link w:val="908"/>
    <w:qFormat/>
    <w:pPr>
      <w:ind w:firstLine="420"/>
      <w:jc w:val="left"/>
      <w:spacing w:before="100" w:beforeAutospacing="1" w:after="100" w:afterAutospacing="1" w:line="360" w:lineRule="auto"/>
      <w:widowControl/>
    </w:pPr>
    <w:rPr>
      <w:rFonts w:ascii="宋体" w:hAnsi="宋体" w:eastAsia="仿宋"/>
      <w:sz w:val="24"/>
      <w:szCs w:val="24"/>
    </w:rPr>
  </w:style>
  <w:style w:type="character" w:styleId="908">
    <w:name w:val="正文文本缩进 3 Char2"/>
    <w:next w:val="908"/>
    <w:link w:val="907"/>
    <w:qFormat/>
    <w:rPr>
      <w:rFonts w:ascii="宋体" w:hAnsi="宋体" w:eastAsia="仿宋"/>
      <w:sz w:val="24"/>
      <w:szCs w:val="24"/>
    </w:rPr>
  </w:style>
  <w:style w:type="paragraph" w:styleId="909">
    <w:name w:val="图表目录"/>
    <w:basedOn w:val="851"/>
    <w:next w:val="851"/>
    <w:link w:val="851"/>
    <w:uiPriority w:val="99"/>
    <w:unhideWhenUsed/>
    <w:qFormat/>
    <w:pPr>
      <w:ind w:left="200" w:hanging="200"/>
      <w:spacing w:line="360" w:lineRule="auto"/>
    </w:pPr>
    <w:rPr>
      <w:rFonts w:ascii="宋体" w:hAnsi="宋体" w:eastAsia="宋体"/>
      <w:sz w:val="24"/>
      <w:szCs w:val="24"/>
    </w:rPr>
  </w:style>
  <w:style w:type="paragraph" w:styleId="910">
    <w:name w:val="目录 2"/>
    <w:basedOn w:val="851"/>
    <w:next w:val="851"/>
    <w:link w:val="851"/>
    <w:uiPriority w:val="39"/>
    <w:unhideWhenUsed/>
    <w:qFormat/>
    <w:pPr>
      <w:ind w:left="420" w:firstLine="200"/>
      <w:jc w:val="left"/>
    </w:pPr>
    <w:rPr>
      <w:rFonts w:ascii="Calibri" w:hAnsi="Calibri" w:eastAsia="仿宋" w:cs="Times New Roman"/>
      <w:sz w:val="28"/>
      <w:szCs w:val="24"/>
    </w:rPr>
  </w:style>
  <w:style w:type="paragraph" w:styleId="911">
    <w:name w:val="目录 9"/>
    <w:basedOn w:val="851"/>
    <w:next w:val="851"/>
    <w:link w:val="851"/>
    <w:uiPriority w:val="39"/>
    <w:unhideWhenUsed/>
    <w:qFormat/>
    <w:pPr>
      <w:ind w:left="3360" w:firstLine="200"/>
      <w:jc w:val="left"/>
    </w:pPr>
    <w:rPr>
      <w:rFonts w:ascii="Calibri" w:hAnsi="Calibri" w:eastAsia="仿宋" w:cs="Times New Roman"/>
      <w:sz w:val="28"/>
    </w:rPr>
  </w:style>
  <w:style w:type="paragraph" w:styleId="912">
    <w:name w:val="正文文本 2"/>
    <w:basedOn w:val="851"/>
    <w:next w:val="912"/>
    <w:link w:val="913"/>
    <w:qFormat/>
    <w:pPr>
      <w:jc w:val="center"/>
      <w:widowControl/>
    </w:pPr>
    <w:rPr>
      <w:rFonts w:ascii="楷体_GB2312" w:hAnsi="Times New Roman" w:eastAsia="楷体_GB2312" w:cs="Times New Roman"/>
      <w:sz w:val="28"/>
      <w:szCs w:val="28"/>
    </w:rPr>
  </w:style>
  <w:style w:type="character" w:styleId="913">
    <w:name w:val="正文文本 2 Char2"/>
    <w:next w:val="913"/>
    <w:link w:val="912"/>
    <w:qFormat/>
    <w:rPr>
      <w:rFonts w:ascii="楷体_GB2312" w:hAnsi="Times New Roman" w:eastAsia="楷体_GB2312" w:cs="Times New Roman"/>
      <w:sz w:val="28"/>
      <w:szCs w:val="28"/>
    </w:rPr>
  </w:style>
  <w:style w:type="paragraph" w:styleId="914">
    <w:name w:val="HTML 预设格式"/>
    <w:basedOn w:val="851"/>
    <w:next w:val="914"/>
    <w:link w:val="915"/>
    <w:uiPriority w:val="99"/>
    <w:qFormat/>
    <w:rPr>
      <w:rFonts w:ascii="Courier New" w:hAnsi="Courier New"/>
      <w:sz w:val="20"/>
      <w:szCs w:val="24"/>
    </w:rPr>
  </w:style>
  <w:style w:type="character" w:styleId="915">
    <w:name w:val="HTML 预设格式 Char"/>
    <w:next w:val="915"/>
    <w:link w:val="914"/>
    <w:uiPriority w:val="99"/>
    <w:qFormat/>
    <w:rPr>
      <w:rFonts w:ascii="Courier New" w:hAnsi="Courier New"/>
      <w:szCs w:val="24"/>
    </w:rPr>
  </w:style>
  <w:style w:type="paragraph" w:styleId="916">
    <w:name w:val="普通(网站)"/>
    <w:basedOn w:val="851"/>
    <w:next w:val="916"/>
    <w:link w:val="917"/>
    <w:unhideWhenUsed/>
    <w:qFormat/>
    <w:pPr>
      <w:jc w:val="left"/>
      <w:spacing w:before="100" w:beforeAutospacing="1" w:after="100" w:afterAutospacing="1"/>
      <w:widowControl/>
    </w:pPr>
    <w:rPr>
      <w:rFonts w:ascii="宋体" w:hAnsi="宋体" w:eastAsia="宋体" w:cs="宋体"/>
      <w:sz w:val="24"/>
      <w:szCs w:val="24"/>
    </w:rPr>
  </w:style>
  <w:style w:type="character" w:styleId="917">
    <w:name w:val="普通(网站) Char"/>
    <w:next w:val="917"/>
    <w:link w:val="916"/>
    <w:qFormat/>
    <w:rPr>
      <w:rFonts w:ascii="宋体" w:hAnsi="宋体" w:eastAsia="宋体" w:cs="宋体"/>
      <w:sz w:val="24"/>
      <w:szCs w:val="24"/>
    </w:rPr>
  </w:style>
  <w:style w:type="paragraph" w:styleId="918">
    <w:name w:val="索引 1"/>
    <w:basedOn w:val="851"/>
    <w:next w:val="851"/>
    <w:link w:val="851"/>
    <w:semiHidden/>
    <w:qFormat/>
    <w:pPr>
      <w:spacing w:line="240" w:lineRule="atLeast"/>
    </w:pPr>
    <w:rPr>
      <w:rFonts w:ascii="Times New Roman" w:hAnsi="Times New Roman" w:eastAsia="宋体" w:cs="Times New Roman"/>
      <w:b/>
      <w:bCs/>
      <w:szCs w:val="21"/>
    </w:rPr>
  </w:style>
  <w:style w:type="paragraph" w:styleId="919">
    <w:name w:val="标题"/>
    <w:basedOn w:val="851"/>
    <w:next w:val="851"/>
    <w:link w:val="920"/>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920">
    <w:name w:val="标题 Char"/>
    <w:next w:val="920"/>
    <w:link w:val="919"/>
    <w:qFormat/>
    <w:rPr>
      <w:rFonts w:ascii="Cambria" w:hAnsi="Cambria" w:eastAsia="仿宋"/>
      <w:color w:val="17365d"/>
      <w:spacing w:val="5"/>
      <w:sz w:val="52"/>
      <w:szCs w:val="52"/>
      <w:lang w:eastAsia="en-US" w:bidi="en-US"/>
    </w:rPr>
  </w:style>
  <w:style w:type="paragraph" w:styleId="921">
    <w:name w:val="批注主题"/>
    <w:basedOn w:val="865"/>
    <w:next w:val="865"/>
    <w:link w:val="922"/>
    <w:unhideWhenUsed/>
    <w:qFormat/>
    <w:pPr>
      <w:spacing w:line="360" w:lineRule="auto"/>
    </w:pPr>
    <w:rPr>
      <w:rFonts w:ascii="宋体" w:hAnsi="宋体" w:eastAsia="宋体"/>
      <w:b/>
      <w:bCs/>
      <w:sz w:val="24"/>
    </w:rPr>
  </w:style>
  <w:style w:type="character" w:styleId="922">
    <w:name w:val="批注主题 Char2"/>
    <w:next w:val="922"/>
    <w:link w:val="921"/>
    <w:qFormat/>
    <w:rPr>
      <w:rFonts w:ascii="宋体" w:hAnsi="宋体" w:eastAsia="宋体"/>
      <w:b/>
      <w:bCs/>
      <w:sz w:val="24"/>
      <w:szCs w:val="24"/>
    </w:rPr>
  </w:style>
  <w:style w:type="paragraph" w:styleId="923">
    <w:name w:val="正文首行缩进 2"/>
    <w:basedOn w:val="873"/>
    <w:next w:val="923"/>
    <w:link w:val="924"/>
    <w:uiPriority w:val="99"/>
    <w:unhideWhenUsed/>
    <w:qFormat/>
    <w:pPr>
      <w:ind w:firstLine="420"/>
      <w:spacing w:after="0"/>
    </w:pPr>
    <w:rPr>
      <w:rFonts w:ascii="等线" w:hAnsi="等线" w:eastAsia="宋体"/>
      <w:szCs w:val="22"/>
    </w:rPr>
  </w:style>
  <w:style w:type="character" w:styleId="924">
    <w:name w:val="正文首行缩进 2 Char2"/>
    <w:next w:val="924"/>
    <w:link w:val="923"/>
    <w:uiPriority w:val="99"/>
    <w:qFormat/>
    <w:rPr>
      <w:rFonts w:ascii="Arial" w:hAnsi="Arial" w:eastAsia="Arial" w:cs="Arial"/>
      <w:color w:val="000000"/>
      <w:sz w:val="21"/>
      <w:szCs w:val="22"/>
    </w:rPr>
  </w:style>
  <w:style w:type="table" w:styleId="925">
    <w:name w:val="网格型"/>
    <w:basedOn w:val="854"/>
    <w:next w:val="925"/>
    <w:link w:val="851"/>
    <w:uiPriority w:val="39"/>
    <w:qFormat/>
    <w:tblPr/>
  </w:style>
  <w:style w:type="character" w:styleId="926">
    <w:name w:val="要点"/>
    <w:next w:val="926"/>
    <w:link w:val="851"/>
    <w:uiPriority w:val="22"/>
    <w:qFormat/>
    <w:rPr>
      <w:b/>
      <w:bCs/>
    </w:rPr>
  </w:style>
  <w:style w:type="character" w:styleId="927">
    <w:name w:val="尾注引用"/>
    <w:next w:val="927"/>
    <w:link w:val="851"/>
    <w:uiPriority w:val="99"/>
    <w:unhideWhenUsed/>
    <w:qFormat/>
    <w:rPr>
      <w:vertAlign w:val="superscript"/>
    </w:rPr>
  </w:style>
  <w:style w:type="character" w:styleId="928">
    <w:name w:val="页码"/>
    <w:next w:val="928"/>
    <w:link w:val="851"/>
    <w:qFormat/>
  </w:style>
  <w:style w:type="character" w:styleId="929">
    <w:name w:val="已访问的超链接"/>
    <w:next w:val="929"/>
    <w:link w:val="851"/>
    <w:uiPriority w:val="99"/>
    <w:qFormat/>
    <w:rPr>
      <w:color w:val="800080"/>
      <w:u w:val="single"/>
    </w:rPr>
  </w:style>
  <w:style w:type="character" w:styleId="930">
    <w:name w:val="强调"/>
    <w:next w:val="930"/>
    <w:link w:val="851"/>
    <w:uiPriority w:val="20"/>
    <w:qFormat/>
    <w:rPr>
      <w:rFonts w:ascii="宋体" w:eastAsia="仿宋"/>
      <w:iCs/>
      <w:color w:val="000000"/>
      <w:sz w:val="28"/>
      <w:u w:val="single"/>
    </w:rPr>
  </w:style>
  <w:style w:type="character" w:styleId="931">
    <w:name w:val="超链接"/>
    <w:next w:val="931"/>
    <w:link w:val="851"/>
    <w:uiPriority w:val="99"/>
    <w:qFormat/>
    <w:rPr>
      <w:color w:val="0000ff"/>
      <w:u w:val="single"/>
    </w:rPr>
  </w:style>
  <w:style w:type="character" w:styleId="932">
    <w:name w:val="批注引用"/>
    <w:next w:val="932"/>
    <w:link w:val="851"/>
    <w:qFormat/>
    <w:rPr>
      <w:rFonts w:eastAsia="宋体"/>
      <w:sz w:val="18"/>
    </w:rPr>
  </w:style>
  <w:style w:type="character" w:styleId="933">
    <w:name w:val="脚注引用"/>
    <w:next w:val="933"/>
    <w:link w:val="851"/>
    <w:uiPriority w:val="99"/>
    <w:qFormat/>
    <w:rPr>
      <w:vertAlign w:val="superscript"/>
    </w:rPr>
  </w:style>
  <w:style w:type="paragraph" w:styleId="934">
    <w:name w:val="样式2"/>
    <w:basedOn w:val="935"/>
    <w:next w:val="851"/>
    <w:link w:val="851"/>
    <w:qFormat/>
    <w:pPr>
      <w:ind w:left="0" w:firstLine="0"/>
      <w:tabs>
        <w:tab w:val="left" w:pos="1080" w:leader="none"/>
      </w:tabs>
    </w:pPr>
    <w:rPr>
      <w:rFonts w:ascii="Arial" w:hAnsi="Arial" w:eastAsia="黑体"/>
    </w:rPr>
  </w:style>
  <w:style w:type="paragraph" w:styleId="935">
    <w:name w:val="标题 21"/>
    <w:basedOn w:val="851"/>
    <w:next w:val="851"/>
    <w:link w:val="851"/>
    <w:qFormat/>
    <w:pPr>
      <w:ind w:left="576" w:hanging="576"/>
      <w:keepLines/>
      <w:keepNext/>
      <w:spacing w:before="260" w:after="260" w:line="416" w:lineRule="auto"/>
      <w:outlineLvl w:val="1"/>
    </w:pPr>
    <w:rPr>
      <w:rFonts w:ascii="Cambria" w:hAnsi="Cambria" w:eastAsia="宋体" w:cs="Times New Roman"/>
      <w:b/>
      <w:bCs/>
      <w:sz w:val="32"/>
      <w:szCs w:val="32"/>
    </w:rPr>
  </w:style>
  <w:style w:type="table" w:styleId="936">
    <w:name w:val="Plain Table 1"/>
    <w:basedOn w:val="854"/>
    <w:next w:val="936"/>
    <w:link w:val="851"/>
    <w:uiPriority w:val="59"/>
    <w:pPr>
      <w:spacing w:after="0" w:line="240" w:lineRule="auto"/>
    </w:pPr>
    <w:tblPr/>
  </w:style>
  <w:style w:type="table" w:styleId="937">
    <w:name w:val="Plain Table 2"/>
    <w:basedOn w:val="854"/>
    <w:next w:val="937"/>
    <w:link w:val="851"/>
    <w:uiPriority w:val="59"/>
    <w:pPr>
      <w:spacing w:after="0" w:line="240" w:lineRule="auto"/>
    </w:pPr>
    <w:tblPr/>
  </w:style>
  <w:style w:type="table" w:styleId="938">
    <w:name w:val="Plain Table 3"/>
    <w:basedOn w:val="854"/>
    <w:next w:val="938"/>
    <w:link w:val="851"/>
    <w:uiPriority w:val="99"/>
    <w:pPr>
      <w:spacing w:after="0" w:line="240" w:lineRule="auto"/>
    </w:pPr>
    <w:tblPr/>
  </w:style>
  <w:style w:type="table" w:styleId="939">
    <w:name w:val="Plain Table 4"/>
    <w:basedOn w:val="854"/>
    <w:next w:val="939"/>
    <w:link w:val="851"/>
    <w:uiPriority w:val="99"/>
    <w:pPr>
      <w:spacing w:after="0" w:line="240" w:lineRule="auto"/>
    </w:pPr>
    <w:tblPr/>
  </w:style>
  <w:style w:type="table" w:styleId="940">
    <w:name w:val="Plain Table 5"/>
    <w:basedOn w:val="854"/>
    <w:next w:val="940"/>
    <w:link w:val="851"/>
    <w:uiPriority w:val="99"/>
    <w:pPr>
      <w:spacing w:after="0" w:line="240" w:lineRule="auto"/>
    </w:pPr>
    <w:tblPr/>
  </w:style>
  <w:style w:type="table" w:styleId="941">
    <w:name w:val="Grid Table 1 Light"/>
    <w:basedOn w:val="854"/>
    <w:next w:val="941"/>
    <w:link w:val="851"/>
    <w:uiPriority w:val="99"/>
    <w:pPr>
      <w:spacing w:after="0" w:line="240" w:lineRule="auto"/>
    </w:pPr>
    <w:tblPr/>
  </w:style>
  <w:style w:type="table" w:styleId="942">
    <w:name w:val="Grid Table 2"/>
    <w:basedOn w:val="854"/>
    <w:next w:val="942"/>
    <w:link w:val="851"/>
    <w:uiPriority w:val="99"/>
    <w:pPr>
      <w:spacing w:after="0" w:line="240" w:lineRule="auto"/>
    </w:pPr>
    <w:tblPr/>
  </w:style>
  <w:style w:type="table" w:styleId="943">
    <w:name w:val="Grid Table 3"/>
    <w:basedOn w:val="854"/>
    <w:next w:val="943"/>
    <w:link w:val="851"/>
    <w:uiPriority w:val="99"/>
    <w:pPr>
      <w:spacing w:after="0" w:line="240" w:lineRule="auto"/>
    </w:pPr>
    <w:tblPr/>
  </w:style>
  <w:style w:type="table" w:styleId="944">
    <w:name w:val="Grid Table 4"/>
    <w:basedOn w:val="854"/>
    <w:next w:val="944"/>
    <w:link w:val="851"/>
    <w:uiPriority w:val="59"/>
    <w:pPr>
      <w:spacing w:after="0" w:line="240" w:lineRule="auto"/>
    </w:pPr>
    <w:tblPr/>
  </w:style>
  <w:style w:type="table" w:styleId="945">
    <w:name w:val="Grid Table 5 Dark"/>
    <w:basedOn w:val="854"/>
    <w:next w:val="945"/>
    <w:link w:val="851"/>
    <w:uiPriority w:val="99"/>
    <w:pPr>
      <w:spacing w:after="0" w:line="240" w:lineRule="auto"/>
    </w:pPr>
    <w:tblPr/>
  </w:style>
  <w:style w:type="table" w:styleId="946">
    <w:name w:val="Grid Table 6 Colorful"/>
    <w:basedOn w:val="854"/>
    <w:next w:val="946"/>
    <w:link w:val="851"/>
    <w:uiPriority w:val="99"/>
    <w:pPr>
      <w:spacing w:after="0" w:line="240" w:lineRule="auto"/>
    </w:pPr>
    <w:tblPr/>
  </w:style>
  <w:style w:type="table" w:styleId="947">
    <w:name w:val="Grid Table 7 Colorful"/>
    <w:basedOn w:val="854"/>
    <w:next w:val="947"/>
    <w:link w:val="851"/>
    <w:uiPriority w:val="99"/>
    <w:pPr>
      <w:spacing w:after="0" w:line="240" w:lineRule="auto"/>
    </w:pPr>
    <w:tblPr/>
  </w:style>
  <w:style w:type="table" w:styleId="948">
    <w:name w:val="List Table 1 Light"/>
    <w:basedOn w:val="854"/>
    <w:next w:val="948"/>
    <w:link w:val="851"/>
    <w:uiPriority w:val="99"/>
    <w:pPr>
      <w:spacing w:after="0" w:line="240" w:lineRule="auto"/>
    </w:pPr>
    <w:tblPr/>
  </w:style>
  <w:style w:type="table" w:styleId="949">
    <w:name w:val="List Table 2"/>
    <w:basedOn w:val="854"/>
    <w:next w:val="949"/>
    <w:link w:val="851"/>
    <w:uiPriority w:val="99"/>
    <w:pPr>
      <w:spacing w:after="0" w:line="240" w:lineRule="auto"/>
    </w:pPr>
    <w:tblPr/>
  </w:style>
  <w:style w:type="table" w:styleId="950">
    <w:name w:val="List Table 3"/>
    <w:basedOn w:val="854"/>
    <w:next w:val="950"/>
    <w:link w:val="851"/>
    <w:uiPriority w:val="99"/>
    <w:pPr>
      <w:spacing w:after="0" w:line="240" w:lineRule="auto"/>
    </w:pPr>
    <w:tblPr/>
  </w:style>
  <w:style w:type="table" w:styleId="951">
    <w:name w:val="List Table 4"/>
    <w:basedOn w:val="854"/>
    <w:next w:val="951"/>
    <w:link w:val="851"/>
    <w:uiPriority w:val="99"/>
    <w:pPr>
      <w:spacing w:after="0" w:line="240" w:lineRule="auto"/>
    </w:pPr>
    <w:tblPr/>
  </w:style>
  <w:style w:type="table" w:styleId="952">
    <w:name w:val="List Table 5 Dark"/>
    <w:basedOn w:val="854"/>
    <w:next w:val="952"/>
    <w:link w:val="851"/>
    <w:uiPriority w:val="99"/>
    <w:pPr>
      <w:spacing w:after="0" w:line="240" w:lineRule="auto"/>
    </w:pPr>
    <w:tblPr/>
  </w:style>
  <w:style w:type="table" w:styleId="953">
    <w:name w:val="List Table 6 Colorful"/>
    <w:basedOn w:val="854"/>
    <w:next w:val="953"/>
    <w:link w:val="851"/>
    <w:uiPriority w:val="99"/>
    <w:pPr>
      <w:spacing w:after="0" w:line="240" w:lineRule="auto"/>
    </w:pPr>
    <w:tblPr/>
  </w:style>
  <w:style w:type="table" w:styleId="954">
    <w:name w:val="List Table 7 Colorful"/>
    <w:basedOn w:val="854"/>
    <w:next w:val="954"/>
    <w:link w:val="851"/>
    <w:uiPriority w:val="99"/>
    <w:pPr>
      <w:spacing w:after="0" w:line="240" w:lineRule="auto"/>
    </w:pPr>
    <w:tblPr/>
  </w:style>
  <w:style w:type="paragraph" w:styleId="955">
    <w:name w:val="TOC 标题"/>
    <w:next w:val="955"/>
    <w:link w:val="851"/>
    <w:uiPriority w:val="39"/>
    <w:qFormat/>
    <w:rPr>
      <w:lang w:val="en-US" w:eastAsia="zh-CN" w:bidi="ar-SA"/>
    </w:rPr>
  </w:style>
  <w:style w:type="paragraph" w:styleId="956">
    <w:name w:val="Heading 2"/>
    <w:basedOn w:val="851"/>
    <w:next w:val="851"/>
    <w:link w:val="957"/>
    <w:uiPriority w:val="9"/>
    <w:unhideWhenUsed/>
    <w:qFormat/>
    <w:pPr>
      <w:keepLines/>
      <w:keepNext/>
      <w:spacing w:before="260" w:after="260" w:line="416" w:lineRule="auto"/>
      <w:outlineLvl w:val="1"/>
    </w:pPr>
    <w:rPr>
      <w:rFonts w:ascii="等线 Light" w:hAnsi="等线 Light" w:eastAsia="黑体" w:cs="Arial"/>
      <w:b/>
      <w:bCs/>
      <w:sz w:val="32"/>
      <w:szCs w:val="32"/>
    </w:rPr>
  </w:style>
  <w:style w:type="character" w:styleId="957">
    <w:name w:val="标题 2 Char1"/>
    <w:next w:val="957"/>
    <w:link w:val="956"/>
    <w:uiPriority w:val="9"/>
    <w:qFormat/>
    <w:rPr>
      <w:rFonts w:ascii="等线 Light" w:hAnsi="等线 Light" w:eastAsia="黑体" w:cs="Arial"/>
      <w:b/>
      <w:bCs/>
      <w:sz w:val="32"/>
      <w:szCs w:val="32"/>
    </w:rPr>
  </w:style>
  <w:style w:type="paragraph" w:styleId="958">
    <w:name w:val="Heading 3"/>
    <w:basedOn w:val="851"/>
    <w:next w:val="958"/>
    <w:link w:val="959"/>
    <w:unhideWhenUsed/>
    <w:qFormat/>
    <w:pPr>
      <w:keepLines/>
      <w:keepNext/>
      <w:spacing w:before="260" w:after="260" w:line="416" w:lineRule="auto"/>
      <w:outlineLvl w:val="2"/>
    </w:pPr>
    <w:rPr>
      <w:b/>
      <w:bCs/>
      <w:sz w:val="32"/>
      <w:szCs w:val="32"/>
    </w:rPr>
  </w:style>
  <w:style w:type="character" w:styleId="959">
    <w:name w:val="标题 3 Char1"/>
    <w:next w:val="959"/>
    <w:link w:val="958"/>
    <w:qFormat/>
    <w:rPr>
      <w:b/>
      <w:bCs/>
      <w:sz w:val="32"/>
      <w:szCs w:val="32"/>
    </w:rPr>
  </w:style>
  <w:style w:type="paragraph" w:styleId="960">
    <w:name w:val="Heading 4"/>
    <w:basedOn w:val="851"/>
    <w:next w:val="851"/>
    <w:link w:val="961"/>
    <w:unhideWhenUsed/>
    <w:qFormat/>
    <w:pPr>
      <w:keepLines/>
      <w:keepNext/>
      <w:spacing w:before="280" w:after="290" w:line="376" w:lineRule="auto"/>
      <w:outlineLvl w:val="3"/>
    </w:pPr>
    <w:rPr>
      <w:rFonts w:ascii="等线 Light" w:hAnsi="等线 Light" w:eastAsia="黑体" w:cs="Arial"/>
      <w:b/>
      <w:bCs/>
      <w:sz w:val="28"/>
      <w:szCs w:val="28"/>
    </w:rPr>
  </w:style>
  <w:style w:type="character" w:styleId="961">
    <w:name w:val="标题 4 Char1"/>
    <w:next w:val="961"/>
    <w:link w:val="960"/>
    <w:qFormat/>
    <w:rPr>
      <w:rFonts w:ascii="等线 Light" w:hAnsi="等线 Light" w:eastAsia="黑体" w:cs="Arial"/>
      <w:b/>
      <w:bCs/>
      <w:sz w:val="28"/>
      <w:szCs w:val="28"/>
    </w:rPr>
  </w:style>
  <w:style w:type="paragraph" w:styleId="962">
    <w:name w:val="Heading 5"/>
    <w:basedOn w:val="851"/>
    <w:next w:val="851"/>
    <w:link w:val="963"/>
    <w:unhideWhenUsed/>
    <w:qFormat/>
    <w:pPr>
      <w:keepLines/>
      <w:keepNext/>
      <w:spacing w:before="280" w:after="290" w:line="376" w:lineRule="auto"/>
      <w:outlineLvl w:val="4"/>
    </w:pPr>
    <w:rPr>
      <w:rFonts w:eastAsia="宋体"/>
      <w:b/>
      <w:bCs/>
      <w:sz w:val="28"/>
      <w:szCs w:val="28"/>
    </w:rPr>
  </w:style>
  <w:style w:type="character" w:styleId="963">
    <w:name w:val="标题 5 Char1"/>
    <w:next w:val="963"/>
    <w:link w:val="962"/>
    <w:qFormat/>
    <w:rPr>
      <w:rFonts w:eastAsia="宋体"/>
      <w:b/>
      <w:bCs/>
      <w:sz w:val="28"/>
      <w:szCs w:val="28"/>
    </w:rPr>
  </w:style>
  <w:style w:type="paragraph" w:styleId="964">
    <w:name w:val="Heading 6"/>
    <w:basedOn w:val="851"/>
    <w:next w:val="851"/>
    <w:link w:val="965"/>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character" w:styleId="965">
    <w:name w:val="标题 6 Char2"/>
    <w:next w:val="965"/>
    <w:link w:val="964"/>
    <w:qFormat/>
    <w:rPr>
      <w:rFonts w:ascii="Calibri" w:hAnsi="Calibri" w:eastAsia="黑体" w:cs="Times New Roman"/>
      <w:b/>
      <w:bCs/>
      <w:sz w:val="28"/>
      <w:szCs w:val="24"/>
    </w:rPr>
  </w:style>
  <w:style w:type="paragraph" w:styleId="966">
    <w:name w:val="Heading 7"/>
    <w:basedOn w:val="851"/>
    <w:next w:val="851"/>
    <w:link w:val="967"/>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character" w:styleId="967">
    <w:name w:val="标题 7 Char2"/>
    <w:next w:val="967"/>
    <w:link w:val="966"/>
    <w:qFormat/>
    <w:rPr>
      <w:rFonts w:ascii="Calibri" w:hAnsi="Calibri" w:eastAsia="黑体" w:cs="Times New Roman"/>
      <w:b/>
      <w:bCs/>
    </w:rPr>
  </w:style>
  <w:style w:type="paragraph" w:styleId="968">
    <w:name w:val="Heading 8"/>
    <w:basedOn w:val="851"/>
    <w:next w:val="851"/>
    <w:link w:val="969"/>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character" w:styleId="969">
    <w:name w:val="标题 8 Char2"/>
    <w:next w:val="969"/>
    <w:link w:val="968"/>
    <w:qFormat/>
    <w:rPr>
      <w:rFonts w:ascii="Calibri" w:hAnsi="Calibri" w:eastAsia="黑体" w:cs="Times New Roman"/>
    </w:rPr>
  </w:style>
  <w:style w:type="paragraph" w:styleId="970">
    <w:name w:val="Heading 9"/>
    <w:basedOn w:val="851"/>
    <w:next w:val="851"/>
    <w:link w:val="971"/>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971">
    <w:name w:val="标题 9 Char2"/>
    <w:next w:val="971"/>
    <w:link w:val="970"/>
    <w:qFormat/>
    <w:rPr>
      <w:rFonts w:ascii="Calibri" w:hAnsi="Calibri" w:eastAsia="黑体" w:cs="Times New Roman"/>
      <w:b/>
    </w:rPr>
  </w:style>
  <w:style w:type="paragraph" w:styleId="972">
    <w:name w:val="Caption1"/>
    <w:basedOn w:val="851"/>
    <w:next w:val="851"/>
    <w:link w:val="973"/>
    <w:qFormat/>
    <w:pPr>
      <w:ind w:firstLine="200"/>
      <w:jc w:val="left"/>
      <w:spacing w:after="200"/>
      <w:widowControl/>
    </w:pPr>
    <w:rPr>
      <w:rFonts w:ascii="Calibri" w:hAnsi="Calibri" w:eastAsia="仿宋" w:cs="Arial"/>
      <w:b/>
      <w:bCs/>
      <w:color w:val="4f81bd"/>
      <w:sz w:val="18"/>
      <w:szCs w:val="18"/>
      <w:lang w:eastAsia="en-US" w:bidi="en-US"/>
    </w:rPr>
  </w:style>
  <w:style w:type="character" w:styleId="973">
    <w:name w:val="题注 Char"/>
    <w:next w:val="973"/>
    <w:link w:val="972"/>
    <w:qFormat/>
    <w:rPr>
      <w:rFonts w:ascii="Calibri" w:hAnsi="Calibri" w:eastAsia="仿宋" w:cs="Arial"/>
      <w:b/>
      <w:bCs/>
      <w:color w:val="4f81bd"/>
      <w:sz w:val="18"/>
      <w:szCs w:val="18"/>
      <w:lang w:eastAsia="en-US" w:bidi="en-US"/>
    </w:rPr>
  </w:style>
  <w:style w:type="paragraph" w:styleId="974">
    <w:name w:val="Footer1"/>
    <w:basedOn w:val="851"/>
    <w:next w:val="974"/>
    <w:link w:val="975"/>
    <w:uiPriority w:val="99"/>
    <w:unhideWhenUsed/>
    <w:qFormat/>
    <w:pPr>
      <w:jc w:val="left"/>
      <w:tabs>
        <w:tab w:val="center" w:pos="4153" w:leader="none"/>
        <w:tab w:val="right" w:pos="8306" w:leader="none"/>
      </w:tabs>
    </w:pPr>
    <w:rPr>
      <w:sz w:val="18"/>
      <w:szCs w:val="18"/>
    </w:rPr>
  </w:style>
  <w:style w:type="character" w:styleId="975">
    <w:name w:val="页脚 Char1"/>
    <w:next w:val="975"/>
    <w:link w:val="974"/>
    <w:uiPriority w:val="99"/>
    <w:qFormat/>
    <w:rPr>
      <w:sz w:val="18"/>
      <w:szCs w:val="18"/>
    </w:rPr>
  </w:style>
  <w:style w:type="paragraph" w:styleId="976">
    <w:name w:val="Header1"/>
    <w:basedOn w:val="851"/>
    <w:next w:val="976"/>
    <w:link w:val="9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7">
    <w:name w:val="页眉 Char1"/>
    <w:next w:val="977"/>
    <w:link w:val="976"/>
    <w:uiPriority w:val="99"/>
    <w:qFormat/>
    <w:rPr>
      <w:sz w:val="18"/>
      <w:szCs w:val="18"/>
    </w:rPr>
  </w:style>
  <w:style w:type="paragraph" w:styleId="978">
    <w:name w:val="段"/>
    <w:next w:val="851"/>
    <w:link w:val="979"/>
    <w:qFormat/>
    <w:pPr>
      <w:ind w:firstLine="420"/>
      <w:jc w:val="both"/>
      <w:spacing w:after="200" w:line="276" w:lineRule="auto"/>
      <w:tabs>
        <w:tab w:val="center" w:pos="4201" w:leader="none"/>
        <w:tab w:val="right" w:pos="9298" w:leader="dot"/>
      </w:tabs>
    </w:pPr>
    <w:rPr>
      <w:rFonts w:ascii="宋体" w:hAnsi="等线" w:cs="Arial"/>
      <w:lang w:val="en-US" w:eastAsia="zh-CN" w:bidi="ar-SA"/>
    </w:rPr>
  </w:style>
  <w:style w:type="character" w:styleId="979">
    <w:name w:val="段 Char"/>
    <w:next w:val="979"/>
    <w:link w:val="978"/>
    <w:qFormat/>
    <w:rPr>
      <w:rFonts w:ascii="宋体"/>
    </w:rPr>
  </w:style>
  <w:style w:type="paragraph" w:styleId="980">
    <w:name w:val="TOC 标题1"/>
    <w:next w:val="980"/>
    <w:link w:val="851"/>
    <w:uiPriority w:val="39"/>
    <w:unhideWhenUsed/>
    <w:qFormat/>
    <w:rPr>
      <w:rFonts w:ascii="等线" w:hAnsi="等线" w:cs="Arial"/>
      <w:lang w:val="en-US" w:eastAsia="zh-CN" w:bidi="ar-SA"/>
    </w:rPr>
  </w:style>
  <w:style w:type="table" w:styleId="981">
    <w:name w:val="无格式表格 11"/>
    <w:basedOn w:val="854"/>
    <w:next w:val="981"/>
    <w:link w:val="851"/>
    <w:uiPriority w:val="59"/>
    <w:qFormat/>
    <w:tblPr/>
  </w:style>
  <w:style w:type="table" w:styleId="982">
    <w:name w:val="无格式表格 21"/>
    <w:basedOn w:val="854"/>
    <w:next w:val="982"/>
    <w:link w:val="851"/>
    <w:uiPriority w:val="59"/>
    <w:qFormat/>
    <w:tblPr/>
  </w:style>
  <w:style w:type="table" w:styleId="983">
    <w:name w:val="无格式表格 31"/>
    <w:basedOn w:val="854"/>
    <w:next w:val="983"/>
    <w:link w:val="851"/>
    <w:uiPriority w:val="99"/>
    <w:qFormat/>
    <w:tblPr/>
  </w:style>
  <w:style w:type="table" w:styleId="984">
    <w:name w:val="无格式表格 41"/>
    <w:basedOn w:val="854"/>
    <w:next w:val="984"/>
    <w:link w:val="851"/>
    <w:uiPriority w:val="99"/>
    <w:qFormat/>
    <w:tblPr/>
  </w:style>
  <w:style w:type="table" w:styleId="985">
    <w:name w:val="无格式表格 51"/>
    <w:basedOn w:val="854"/>
    <w:next w:val="985"/>
    <w:link w:val="851"/>
    <w:uiPriority w:val="99"/>
    <w:qFormat/>
    <w:tblPr/>
  </w:style>
  <w:style w:type="table" w:styleId="986">
    <w:name w:val="网格表 1 浅色1"/>
    <w:basedOn w:val="854"/>
    <w:next w:val="986"/>
    <w:link w:val="851"/>
    <w:uiPriority w:val="46"/>
    <w:qFormat/>
    <w:tblPr/>
  </w:style>
  <w:style w:type="table" w:styleId="987">
    <w:name w:val="网格表 21"/>
    <w:basedOn w:val="854"/>
    <w:next w:val="987"/>
    <w:link w:val="851"/>
    <w:uiPriority w:val="99"/>
    <w:qFormat/>
    <w:tblPr/>
  </w:style>
  <w:style w:type="table" w:styleId="988">
    <w:name w:val="网格表 31"/>
    <w:basedOn w:val="854"/>
    <w:next w:val="988"/>
    <w:link w:val="851"/>
    <w:uiPriority w:val="99"/>
    <w:qFormat/>
    <w:tblPr/>
  </w:style>
  <w:style w:type="table" w:styleId="989">
    <w:name w:val="网格表 41"/>
    <w:basedOn w:val="854"/>
    <w:next w:val="989"/>
    <w:link w:val="851"/>
    <w:uiPriority w:val="59"/>
    <w:qFormat/>
    <w:tblPr/>
  </w:style>
  <w:style w:type="table" w:styleId="990">
    <w:name w:val="网格表 5 深色1"/>
    <w:basedOn w:val="854"/>
    <w:next w:val="990"/>
    <w:link w:val="851"/>
    <w:uiPriority w:val="99"/>
    <w:qFormat/>
    <w:tblPr/>
  </w:style>
  <w:style w:type="table" w:styleId="991">
    <w:name w:val="网格表 6 彩色1"/>
    <w:basedOn w:val="854"/>
    <w:next w:val="991"/>
    <w:link w:val="851"/>
    <w:uiPriority w:val="99"/>
    <w:qFormat/>
    <w:tblPr/>
  </w:style>
  <w:style w:type="table" w:styleId="992">
    <w:name w:val="网格表 7 彩色1"/>
    <w:basedOn w:val="854"/>
    <w:next w:val="992"/>
    <w:link w:val="851"/>
    <w:uiPriority w:val="99"/>
    <w:qFormat/>
    <w:tblPr/>
  </w:style>
  <w:style w:type="table" w:styleId="993">
    <w:name w:val="清单表 1 浅色1"/>
    <w:basedOn w:val="854"/>
    <w:next w:val="993"/>
    <w:link w:val="851"/>
    <w:uiPriority w:val="99"/>
    <w:qFormat/>
    <w:tblPr/>
  </w:style>
  <w:style w:type="table" w:styleId="994">
    <w:name w:val="清单表 21"/>
    <w:basedOn w:val="854"/>
    <w:next w:val="994"/>
    <w:link w:val="851"/>
    <w:uiPriority w:val="99"/>
    <w:qFormat/>
    <w:tblPr/>
  </w:style>
  <w:style w:type="table" w:styleId="995">
    <w:name w:val="清单表 31"/>
    <w:basedOn w:val="854"/>
    <w:next w:val="995"/>
    <w:link w:val="851"/>
    <w:uiPriority w:val="99"/>
    <w:qFormat/>
    <w:tblPr/>
  </w:style>
  <w:style w:type="table" w:styleId="996">
    <w:name w:val="清单表 41"/>
    <w:basedOn w:val="854"/>
    <w:next w:val="996"/>
    <w:link w:val="851"/>
    <w:uiPriority w:val="99"/>
    <w:qFormat/>
    <w:tblPr/>
  </w:style>
  <w:style w:type="table" w:styleId="997">
    <w:name w:val="清单表 5 深色1"/>
    <w:basedOn w:val="854"/>
    <w:next w:val="997"/>
    <w:link w:val="851"/>
    <w:uiPriority w:val="99"/>
    <w:qFormat/>
    <w:tblPr/>
  </w:style>
  <w:style w:type="table" w:styleId="998">
    <w:name w:val="清单表 6 彩色1"/>
    <w:basedOn w:val="854"/>
    <w:next w:val="998"/>
    <w:link w:val="851"/>
    <w:uiPriority w:val="99"/>
    <w:qFormat/>
    <w:tblPr/>
  </w:style>
  <w:style w:type="table" w:styleId="999">
    <w:name w:val="清单表 7 彩色1"/>
    <w:basedOn w:val="854"/>
    <w:next w:val="999"/>
    <w:link w:val="851"/>
    <w:uiPriority w:val="99"/>
    <w:qFormat/>
    <w:tblPr/>
  </w:style>
  <w:style w:type="paragraph" w:styleId="1000">
    <w:name w:val="TOC 标题112"/>
    <w:next w:val="1000"/>
    <w:link w:val="851"/>
    <w:uiPriority w:val="39"/>
    <w:unhideWhenUsed/>
    <w:qFormat/>
    <w:rPr>
      <w:rFonts w:ascii="等线" w:hAnsi="等线" w:cs="Arial"/>
      <w:lang w:val="en-US" w:eastAsia="zh-CN" w:bidi="ar-SA"/>
    </w:rPr>
  </w:style>
  <w:style w:type="paragraph" w:styleId="1001">
    <w:name w:val="正文段落内容"/>
    <w:basedOn w:val="851"/>
    <w:next w:val="1001"/>
    <w:link w:val="1002"/>
    <w:qFormat/>
    <w:pPr>
      <w:ind w:firstLine="200"/>
      <w:jc w:val="left"/>
    </w:pPr>
    <w:rPr>
      <w:rFonts w:ascii="Times New Roman" w:hAnsi="Times New Roman"/>
      <w:sz w:val="20"/>
      <w:szCs w:val="24"/>
      <w:lang w:bidi="en-US"/>
    </w:rPr>
  </w:style>
  <w:style w:type="character" w:styleId="1002">
    <w:name w:val="正文段落内容 Char"/>
    <w:next w:val="1002"/>
    <w:link w:val="1001"/>
    <w:qFormat/>
    <w:rPr>
      <w:rFonts w:ascii="Times New Roman" w:hAnsi="Times New Roman"/>
      <w:szCs w:val="24"/>
      <w:lang w:bidi="en-US"/>
    </w:rPr>
  </w:style>
  <w:style w:type="paragraph" w:styleId="1003">
    <w:name w:val="标题 31"/>
    <w:basedOn w:val="851"/>
    <w:next w:val="851"/>
    <w:link w:val="851"/>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1004">
    <w:name w:val="标题 41"/>
    <w:basedOn w:val="851"/>
    <w:next w:val="851"/>
    <w:link w:val="1005"/>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1005">
    <w:name w:val="标题 4 Char"/>
    <w:next w:val="1005"/>
    <w:link w:val="1004"/>
    <w:qFormat/>
    <w:rPr>
      <w:rFonts w:ascii="Cambria" w:hAnsi="Cambria" w:eastAsia="宋体" w:cs="Times New Roman"/>
      <w:b/>
      <w:bCs/>
      <w:sz w:val="28"/>
      <w:szCs w:val="28"/>
    </w:rPr>
  </w:style>
  <w:style w:type="paragraph" w:styleId="1006">
    <w:name w:val="标题 51"/>
    <w:basedOn w:val="851"/>
    <w:next w:val="851"/>
    <w:link w:val="851"/>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1007">
    <w:name w:val="标题 61"/>
    <w:basedOn w:val="851"/>
    <w:next w:val="851"/>
    <w:link w:val="1008"/>
    <w:qFormat/>
    <w:pPr>
      <w:ind w:left="1152" w:hanging="1152"/>
      <w:keepLines/>
      <w:keepNext/>
      <w:spacing w:before="240" w:after="64" w:line="320" w:lineRule="auto"/>
      <w:outlineLvl w:val="5"/>
    </w:pPr>
    <w:rPr>
      <w:rFonts w:ascii="Cambria" w:hAnsi="Cambria" w:eastAsia="宋体" w:cs="Times New Roman"/>
      <w:b/>
      <w:bCs/>
      <w:sz w:val="24"/>
      <w:szCs w:val="24"/>
    </w:rPr>
  </w:style>
  <w:style w:type="character" w:styleId="1008">
    <w:name w:val="标题 6 Char"/>
    <w:next w:val="1008"/>
    <w:link w:val="1007"/>
    <w:qFormat/>
    <w:rPr>
      <w:rFonts w:ascii="Cambria" w:hAnsi="Cambria" w:eastAsia="宋体" w:cs="Times New Roman"/>
      <w:b/>
      <w:bCs/>
      <w:sz w:val="24"/>
      <w:szCs w:val="24"/>
    </w:rPr>
  </w:style>
  <w:style w:type="paragraph" w:styleId="1009">
    <w:name w:val="标题 71"/>
    <w:basedOn w:val="851"/>
    <w:next w:val="851"/>
    <w:link w:val="101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1010">
    <w:name w:val="标题 7 Char1"/>
    <w:next w:val="1010"/>
    <w:link w:val="1009"/>
    <w:qFormat/>
    <w:rPr>
      <w:rFonts w:ascii="Calibri" w:hAnsi="Calibri" w:eastAsia="宋体" w:cs="Times New Roman"/>
      <w:b/>
      <w:bCs/>
      <w:sz w:val="24"/>
      <w:szCs w:val="24"/>
    </w:rPr>
  </w:style>
  <w:style w:type="paragraph" w:styleId="1011">
    <w:name w:val="标题 81"/>
    <w:basedOn w:val="851"/>
    <w:next w:val="851"/>
    <w:link w:val="1012"/>
    <w:qFormat/>
    <w:pPr>
      <w:ind w:left="1440" w:hanging="1440"/>
      <w:keepLines/>
      <w:keepNext/>
      <w:spacing w:before="240" w:after="64" w:line="320" w:lineRule="auto"/>
      <w:outlineLvl w:val="7"/>
    </w:pPr>
    <w:rPr>
      <w:rFonts w:ascii="Cambria" w:hAnsi="Cambria" w:eastAsia="宋体" w:cs="Times New Roman"/>
      <w:sz w:val="24"/>
      <w:szCs w:val="24"/>
    </w:rPr>
  </w:style>
  <w:style w:type="character" w:styleId="1012">
    <w:name w:val="标题 8 Char"/>
    <w:next w:val="1012"/>
    <w:link w:val="1011"/>
    <w:qFormat/>
    <w:rPr>
      <w:rFonts w:ascii="Cambria" w:hAnsi="Cambria" w:eastAsia="宋体" w:cs="Times New Roman"/>
      <w:sz w:val="24"/>
      <w:szCs w:val="24"/>
    </w:rPr>
  </w:style>
  <w:style w:type="paragraph" w:styleId="1013">
    <w:name w:val="标题 91"/>
    <w:basedOn w:val="851"/>
    <w:next w:val="851"/>
    <w:link w:val="1014"/>
    <w:qFormat/>
    <w:pPr>
      <w:ind w:left="1584" w:hanging="1584"/>
      <w:keepLines/>
      <w:keepNext/>
      <w:spacing w:before="240" w:after="64" w:line="320" w:lineRule="auto"/>
      <w:outlineLvl w:val="8"/>
    </w:pPr>
    <w:rPr>
      <w:rFonts w:ascii="Cambria" w:hAnsi="Cambria" w:eastAsia="宋体" w:cs="Times New Roman"/>
      <w:szCs w:val="21"/>
    </w:rPr>
  </w:style>
  <w:style w:type="character" w:styleId="1014">
    <w:name w:val="标题 9 Char"/>
    <w:next w:val="1014"/>
    <w:link w:val="1013"/>
    <w:qFormat/>
    <w:rPr>
      <w:rFonts w:ascii="Cambria" w:hAnsi="Cambria" w:eastAsia="宋体" w:cs="Times New Roman"/>
      <w:sz w:val="21"/>
      <w:szCs w:val="21"/>
    </w:rPr>
  </w:style>
  <w:style w:type="paragraph" w:styleId="1015">
    <w:name w:val="样式 样式 正文缩进四号ALT+Z段1 Char Char Char段1 Char Char标题4body text鋘d... ...1"/>
    <w:basedOn w:val="851"/>
    <w:next w:val="1015"/>
    <w:link w:val="1016"/>
    <w:qFormat/>
    <w:rPr>
      <w:rFonts w:ascii="宋体" w:hAnsi="宋体" w:eastAsia="宋体" w:cs="Times New Roman"/>
      <w:sz w:val="20"/>
      <w:szCs w:val="21"/>
    </w:rPr>
  </w:style>
  <w:style w:type="character" w:styleId="1016">
    <w:name w:val="样式 样式 正文缩进四号ALT+Z段1 Char Char Char段1 Char Char标题4body text鋘d... ...1 Char Char"/>
    <w:next w:val="1016"/>
    <w:link w:val="1015"/>
    <w:qFormat/>
    <w:rPr>
      <w:rFonts w:ascii="宋体" w:hAnsi="宋体" w:eastAsia="宋体" w:cs="Times New Roman"/>
      <w:szCs w:val="21"/>
    </w:rPr>
  </w:style>
  <w:style w:type="paragraph" w:styleId="1017">
    <w:name w:val="AC-Image-图片"/>
    <w:next w:val="851"/>
    <w:link w:val="851"/>
    <w:qFormat/>
    <w:pPr>
      <w:jc w:val="center"/>
    </w:pPr>
    <w:rPr>
      <w:rFonts w:cs="Calibri"/>
      <w:sz w:val="24"/>
      <w:szCs w:val="21"/>
      <w:lang w:val="en-US" w:eastAsia="zh-CN" w:bidi="ar-SA"/>
    </w:rPr>
  </w:style>
  <w:style w:type="paragraph" w:styleId="1018">
    <w:name w:val="AC-Image-图表标题"/>
    <w:next w:val="1018"/>
    <w:link w:val="851"/>
    <w:qFormat/>
    <w:pPr>
      <w:jc w:val="center"/>
    </w:pPr>
    <w:rPr>
      <w:rFonts w:eastAsia="微软雅黑" w:cs="宋体"/>
      <w:sz w:val="21"/>
      <w:lang w:val="en-US" w:eastAsia="zh-CN" w:bidi="ar-SA"/>
    </w:rPr>
  </w:style>
  <w:style w:type="paragraph" w:styleId="1019">
    <w:name w:val="列项"/>
    <w:basedOn w:val="851"/>
    <w:next w:val="1019"/>
    <w:link w:val="851"/>
    <w:qFormat/>
    <w:pPr>
      <w:ind w:left="425" w:hanging="425"/>
      <w:jc w:val="left"/>
      <w:widowControl/>
    </w:pPr>
    <w:rPr>
      <w:rFonts w:ascii="宋体" w:hAnsi="Calibri" w:eastAsia="仿宋" w:cs="Times New Roman"/>
      <w:sz w:val="28"/>
      <w:szCs w:val="24"/>
    </w:rPr>
  </w:style>
  <w:style w:type="character" w:styleId="1020">
    <w:name w:val="标题 7 字符"/>
    <w:next w:val="1020"/>
    <w:link w:val="851"/>
    <w:qFormat/>
    <w:rPr>
      <w:b/>
      <w:bCs/>
      <w:sz w:val="24"/>
      <w:szCs w:val="24"/>
    </w:rPr>
  </w:style>
  <w:style w:type="paragraph" w:styleId="1021">
    <w:name w:val="标书突出内容（文字加粗）"/>
    <w:basedOn w:val="1001"/>
    <w:next w:val="1001"/>
    <w:link w:val="1022"/>
    <w:qFormat/>
    <w:rPr>
      <w:b/>
    </w:rPr>
  </w:style>
  <w:style w:type="character" w:styleId="1022">
    <w:name w:val="标书突出内容（文字加粗） Char"/>
    <w:next w:val="1022"/>
    <w:link w:val="1021"/>
    <w:qFormat/>
    <w:rPr>
      <w:rFonts w:ascii="Times New Roman" w:hAnsi="Times New Roman"/>
      <w:b/>
      <w:szCs w:val="24"/>
      <w:lang w:bidi="en-US"/>
    </w:rPr>
  </w:style>
  <w:style w:type="character" w:styleId="1023">
    <w:name w:val="webdict"/>
    <w:next w:val="1023"/>
    <w:link w:val="851"/>
    <w:qFormat/>
  </w:style>
  <w:style w:type="character" w:styleId="1024">
    <w:name w:val="明显参考1"/>
    <w:next w:val="1024"/>
    <w:link w:val="851"/>
    <w:qFormat/>
    <w:rPr>
      <w:b/>
      <w:bCs/>
      <w:smallCaps/>
      <w:color w:val="c0504d"/>
      <w:spacing w:val="5"/>
      <w:u w:val="single"/>
    </w:rPr>
  </w:style>
  <w:style w:type="paragraph" w:styleId="1025">
    <w:name w:val="图片（居中）"/>
    <w:basedOn w:val="851"/>
    <w:next w:val="1001"/>
    <w:link w:val="1026"/>
    <w:qFormat/>
    <w:pPr>
      <w:jc w:val="center"/>
    </w:pPr>
    <w:rPr>
      <w:rFonts w:ascii="宋体" w:hAnsi="宋体"/>
      <w:sz w:val="24"/>
      <w:szCs w:val="24"/>
      <w:lang w:bidi="en-US"/>
    </w:rPr>
  </w:style>
  <w:style w:type="character" w:styleId="1026">
    <w:name w:val="图片（居中） Char"/>
    <w:next w:val="1026"/>
    <w:link w:val="1025"/>
    <w:qFormat/>
    <w:rPr>
      <w:rFonts w:ascii="宋体" w:hAnsi="宋体"/>
      <w:sz w:val="24"/>
      <w:szCs w:val="24"/>
      <w:lang w:bidi="en-US"/>
    </w:rPr>
  </w:style>
  <w:style w:type="paragraph" w:styleId="1027">
    <w:name w:val="页眉1"/>
    <w:basedOn w:val="851"/>
    <w:next w:val="1027"/>
    <w:link w:val="1028"/>
    <w:qFormat/>
    <w:pPr>
      <w:jc w:val="center"/>
      <w:tabs>
        <w:tab w:val="center" w:pos="4153" w:leader="none"/>
        <w:tab w:val="right" w:pos="8306" w:leader="none"/>
      </w:tabs>
      <w:pBdr>
        <w:bottom w:val="single" w:color="000000" w:sz="6" w:space="1"/>
      </w:pBdr>
    </w:pPr>
    <w:rPr>
      <w:sz w:val="18"/>
      <w:szCs w:val="18"/>
    </w:rPr>
  </w:style>
  <w:style w:type="character" w:styleId="1028">
    <w:name w:val="页眉 Char"/>
    <w:next w:val="1028"/>
    <w:link w:val="1027"/>
    <w:qFormat/>
    <w:rPr>
      <w:sz w:val="18"/>
      <w:szCs w:val="18"/>
    </w:rPr>
  </w:style>
  <w:style w:type="paragraph" w:styleId="1029">
    <w:name w:val="段落内容三级列表"/>
    <w:basedOn w:val="851"/>
    <w:next w:val="1029"/>
    <w:link w:val="1030"/>
    <w:uiPriority w:val="30"/>
    <w:qFormat/>
    <w:pPr>
      <w:ind w:left="4848" w:hanging="1418"/>
      <w:jc w:val="left"/>
      <w:tabs>
        <w:tab w:val="left" w:pos="4848" w:leader="none"/>
      </w:tabs>
    </w:pPr>
    <w:rPr>
      <w:rFonts w:ascii="宋体" w:hAnsi="宋体" w:eastAsia="仿宋"/>
      <w:sz w:val="28"/>
      <w:szCs w:val="24"/>
      <w:lang w:bidi="en-US"/>
    </w:rPr>
  </w:style>
  <w:style w:type="character" w:styleId="1030">
    <w:name w:val="段落内容三级列表 Char"/>
    <w:next w:val="1030"/>
    <w:link w:val="1029"/>
    <w:uiPriority w:val="30"/>
    <w:qFormat/>
    <w:rPr>
      <w:rFonts w:ascii="宋体" w:hAnsi="宋体" w:eastAsia="仿宋"/>
      <w:sz w:val="28"/>
      <w:szCs w:val="24"/>
      <w:lang w:bidi="en-US"/>
    </w:rPr>
  </w:style>
  <w:style w:type="paragraph" w:styleId="1031">
    <w:name w:val="段落内容一级列表"/>
    <w:basedOn w:val="851"/>
    <w:next w:val="1031"/>
    <w:link w:val="1032"/>
    <w:uiPriority w:val="29"/>
    <w:qFormat/>
    <w:pPr>
      <w:ind w:left="100" w:hanging="1276"/>
      <w:jc w:val="left"/>
      <w:tabs>
        <w:tab w:val="left" w:pos="4281" w:leader="none"/>
      </w:tabs>
    </w:pPr>
    <w:rPr>
      <w:rFonts w:ascii="宋体" w:hAnsi="宋体"/>
      <w:sz w:val="24"/>
      <w:szCs w:val="24"/>
      <w:lang w:bidi="en-US"/>
    </w:rPr>
  </w:style>
  <w:style w:type="character" w:styleId="1032">
    <w:name w:val="段落内容一级列表 Char"/>
    <w:next w:val="1032"/>
    <w:link w:val="1031"/>
    <w:uiPriority w:val="29"/>
    <w:qFormat/>
    <w:rPr>
      <w:rFonts w:ascii="宋体" w:hAnsi="宋体"/>
      <w:sz w:val="24"/>
      <w:szCs w:val="24"/>
      <w:lang w:bidi="en-US"/>
    </w:rPr>
  </w:style>
  <w:style w:type="character" w:styleId="1033">
    <w:name w:val="标题 3 Char"/>
    <w:next w:val="1033"/>
    <w:link w:val="851"/>
    <w:qFormat/>
    <w:rPr>
      <w:rFonts w:eastAsia="黑体"/>
      <w:b/>
      <w:color w:val="000000"/>
      <w:sz w:val="28"/>
      <w:szCs w:val="32"/>
    </w:rPr>
  </w:style>
  <w:style w:type="paragraph" w:styleId="1034">
    <w:name w:val="段落内容无序列表"/>
    <w:basedOn w:val="851"/>
    <w:next w:val="1034"/>
    <w:link w:val="1035"/>
    <w:uiPriority w:val="32"/>
    <w:qFormat/>
    <w:pPr>
      <w:ind w:left="250" w:hanging="720"/>
      <w:jc w:val="left"/>
      <w:widowControl/>
      <w:tabs>
        <w:tab w:val="left" w:pos="720" w:leader="none"/>
      </w:tabs>
    </w:pPr>
    <w:rPr>
      <w:rFonts w:ascii="宋体" w:hAnsi="宋体" w:eastAsia="仿宋"/>
      <w:sz w:val="24"/>
      <w:szCs w:val="24"/>
      <w:lang w:bidi="en-US"/>
    </w:rPr>
  </w:style>
  <w:style w:type="character" w:styleId="1035">
    <w:name w:val="段落内容无序列表 Char"/>
    <w:next w:val="1035"/>
    <w:link w:val="1034"/>
    <w:uiPriority w:val="32"/>
    <w:qFormat/>
    <w:rPr>
      <w:rFonts w:ascii="宋体" w:hAnsi="宋体" w:eastAsia="仿宋"/>
      <w:sz w:val="24"/>
      <w:szCs w:val="24"/>
      <w:lang w:bidi="en-US"/>
    </w:rPr>
  </w:style>
  <w:style w:type="character" w:styleId="1036">
    <w:name w:val="书籍标题1"/>
    <w:next w:val="1036"/>
    <w:link w:val="851"/>
    <w:uiPriority w:val="33"/>
    <w:qFormat/>
    <w:rPr>
      <w:b/>
      <w:bCs/>
      <w:smallCaps/>
      <w:spacing w:val="5"/>
    </w:rPr>
  </w:style>
  <w:style w:type="character" w:styleId="1037">
    <w:name w:val="明显强调1"/>
    <w:next w:val="1037"/>
    <w:link w:val="851"/>
    <w:uiPriority w:val="21"/>
    <w:qFormat/>
    <w:rPr>
      <w:b/>
      <w:bCs/>
      <w:i/>
      <w:iCs/>
      <w:color w:val="4f81bd"/>
    </w:rPr>
  </w:style>
  <w:style w:type="character" w:styleId="1038">
    <w:name w:val="标题 5 Char"/>
    <w:next w:val="1038"/>
    <w:link w:val="851"/>
    <w:qFormat/>
    <w:rPr>
      <w:rFonts w:eastAsia="黑体"/>
      <w:b/>
      <w:bCs/>
      <w:sz w:val="28"/>
      <w:szCs w:val="28"/>
      <w:lang w:bidi="en-US"/>
    </w:rPr>
  </w:style>
  <w:style w:type="paragraph" w:styleId="1039">
    <w:name w:val="标题 11"/>
    <w:basedOn w:val="851"/>
    <w:next w:val="851"/>
    <w:link w:val="1040"/>
    <w:qFormat/>
    <w:pPr>
      <w:keepLines/>
      <w:keepNext/>
      <w:pageBreakBefore/>
      <w:spacing w:before="340" w:after="330" w:line="578" w:lineRule="auto"/>
      <w:outlineLvl w:val="0"/>
    </w:pPr>
    <w:rPr>
      <w:rFonts w:eastAsia="黑体"/>
      <w:b/>
      <w:bCs/>
      <w:sz w:val="32"/>
      <w:szCs w:val="44"/>
    </w:rPr>
  </w:style>
  <w:style w:type="character" w:styleId="1040">
    <w:name w:val="标题 1 Char"/>
    <w:next w:val="1040"/>
    <w:link w:val="1039"/>
    <w:qFormat/>
    <w:rPr>
      <w:rFonts w:eastAsia="黑体"/>
      <w:b/>
      <w:bCs/>
      <w:sz w:val="32"/>
      <w:szCs w:val="44"/>
    </w:rPr>
  </w:style>
  <w:style w:type="paragraph" w:styleId="1041">
    <w:name w:val="正文文本1"/>
    <w:basedOn w:val="851"/>
    <w:next w:val="1041"/>
    <w:link w:val="1042"/>
    <w:qFormat/>
    <w:pPr>
      <w:spacing w:after="120"/>
    </w:pPr>
    <w:rPr>
      <w:rFonts w:ascii="Times New Roman" w:hAnsi="Times New Roman" w:eastAsia="仿宋"/>
      <w:sz w:val="28"/>
      <w:szCs w:val="24"/>
    </w:rPr>
  </w:style>
  <w:style w:type="character" w:styleId="1042">
    <w:name w:val="正文文本 Char"/>
    <w:next w:val="1042"/>
    <w:link w:val="1041"/>
    <w:qFormat/>
    <w:rPr>
      <w:rFonts w:ascii="Times New Roman" w:hAnsi="Times New Roman" w:eastAsia="仿宋"/>
      <w:sz w:val="28"/>
      <w:szCs w:val="24"/>
    </w:rPr>
  </w:style>
  <w:style w:type="paragraph" w:styleId="1043">
    <w:name w:val="页脚1"/>
    <w:basedOn w:val="851"/>
    <w:next w:val="1043"/>
    <w:link w:val="1044"/>
    <w:qFormat/>
    <w:pPr>
      <w:jc w:val="left"/>
      <w:tabs>
        <w:tab w:val="center" w:pos="4153" w:leader="none"/>
        <w:tab w:val="right" w:pos="8306" w:leader="none"/>
      </w:tabs>
    </w:pPr>
    <w:rPr>
      <w:rFonts w:ascii="Times New Roman" w:hAnsi="Times New Roman"/>
      <w:sz w:val="18"/>
      <w:szCs w:val="18"/>
    </w:rPr>
  </w:style>
  <w:style w:type="character" w:styleId="1044">
    <w:name w:val="页脚 Char"/>
    <w:next w:val="1044"/>
    <w:link w:val="1043"/>
    <w:qFormat/>
    <w:rPr>
      <w:rFonts w:ascii="Times New Roman" w:hAnsi="Times New Roman"/>
      <w:sz w:val="18"/>
      <w:szCs w:val="18"/>
    </w:rPr>
  </w:style>
  <w:style w:type="character" w:styleId="1045">
    <w:name w:val="标题 2 Char"/>
    <w:next w:val="1045"/>
    <w:link w:val="851"/>
    <w:qFormat/>
    <w:rPr>
      <w:rFonts w:eastAsia="黑体"/>
      <w:b/>
      <w:bCs/>
      <w:color w:val="000000"/>
      <w:sz w:val="30"/>
      <w:szCs w:val="32"/>
    </w:rPr>
  </w:style>
  <w:style w:type="character" w:styleId="1046">
    <w:name w:val="不明显参考1"/>
    <w:next w:val="1046"/>
    <w:link w:val="851"/>
    <w:qFormat/>
    <w:rPr>
      <w:smallCaps/>
      <w:color w:val="c0504d"/>
      <w:u w:val="single"/>
    </w:rPr>
  </w:style>
  <w:style w:type="character" w:styleId="1047">
    <w:name w:val="不明显强调1"/>
    <w:next w:val="1047"/>
    <w:link w:val="851"/>
    <w:qFormat/>
    <w:rPr>
      <w:i/>
      <w:iCs/>
      <w:color w:val="4040ff"/>
    </w:rPr>
  </w:style>
  <w:style w:type="paragraph" w:styleId="1048">
    <w:name w:val="章节71"/>
    <w:basedOn w:val="956"/>
    <w:next w:val="1048"/>
    <w:link w:val="851"/>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49">
    <w:name w:val="章节6.1"/>
    <w:basedOn w:val="956"/>
    <w:next w:val="1049"/>
    <w:link w:val="851"/>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50">
    <w:name w:val="章节2-1"/>
    <w:basedOn w:val="851"/>
    <w:next w:val="1050"/>
    <w:link w:val="851"/>
    <w:qFormat/>
    <w:pPr>
      <w:jc w:val="left"/>
    </w:pPr>
    <w:rPr>
      <w:rFonts w:ascii="黑体" w:hAnsi="Calibri" w:eastAsia="黑体" w:cs="Times New Roman"/>
      <w:sz w:val="28"/>
      <w:szCs w:val="24"/>
    </w:rPr>
  </w:style>
  <w:style w:type="paragraph" w:styleId="1051">
    <w:name w:val="附录标题"/>
    <w:basedOn w:val="887"/>
    <w:next w:val="1051"/>
    <w:link w:val="851"/>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52">
    <w:name w:val="标题 字符"/>
    <w:next w:val="1052"/>
    <w:link w:val="851"/>
    <w:uiPriority w:val="10"/>
    <w:qFormat/>
    <w:rPr>
      <w:rFonts w:ascii="等线 Light" w:hAnsi="等线 Light" w:eastAsia="黑体" w:cs="Arial"/>
      <w:b/>
      <w:bCs/>
      <w:sz w:val="32"/>
      <w:szCs w:val="32"/>
    </w:rPr>
  </w:style>
  <w:style w:type="paragraph" w:styleId="1053">
    <w:name w:val="术语"/>
    <w:basedOn w:val="851"/>
    <w:next w:val="1053"/>
    <w:link w:val="851"/>
    <w:qFormat/>
    <w:pPr>
      <w:ind w:firstLine="200"/>
      <w:jc w:val="left"/>
    </w:pPr>
    <w:rPr>
      <w:rFonts w:ascii="黑体" w:hAnsi="Calibri" w:eastAsia="黑体" w:cs="Times New Roman"/>
      <w:sz w:val="28"/>
      <w:szCs w:val="24"/>
    </w:rPr>
  </w:style>
  <w:style w:type="paragraph" w:styleId="1054">
    <w:name w:val="章节5.7.1"/>
    <w:basedOn w:val="958"/>
    <w:next w:val="1054"/>
    <w:link w:val="851"/>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1055">
    <w:name w:val="章节2-3"/>
    <w:basedOn w:val="1050"/>
    <w:next w:val="1055"/>
    <w:link w:val="851"/>
    <w:qFormat/>
    <w:pPr>
      <w:ind w:left="567" w:hanging="567"/>
    </w:pPr>
  </w:style>
  <w:style w:type="paragraph" w:styleId="1056">
    <w:name w:val="章节3"/>
    <w:basedOn w:val="958"/>
    <w:next w:val="1056"/>
    <w:link w:val="851"/>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57">
    <w:name w:val="章节841"/>
    <w:basedOn w:val="958"/>
    <w:next w:val="1057"/>
    <w:link w:val="851"/>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58">
    <w:name w:val="Char"/>
    <w:basedOn w:val="851"/>
    <w:next w:val="1058"/>
    <w:link w:val="851"/>
    <w:qFormat/>
    <w:pPr>
      <w:ind w:firstLine="200"/>
      <w:jc w:val="left"/>
    </w:pPr>
    <w:rPr>
      <w:rFonts w:ascii="Calibri" w:hAnsi="Calibri" w:eastAsia="仿宋" w:cs="Times New Roman"/>
      <w:sz w:val="28"/>
      <w:szCs w:val="24"/>
    </w:rPr>
  </w:style>
  <w:style w:type="paragraph" w:styleId="1059">
    <w:name w:val="章节3-5"/>
    <w:basedOn w:val="1056"/>
    <w:next w:val="1059"/>
    <w:link w:val="851"/>
    <w:qFormat/>
    <w:pPr>
      <w:ind w:left="0" w:firstLine="0"/>
      <w:spacing w:before="312" w:after="312"/>
      <w:tabs>
        <w:tab w:val="left" w:pos="57" w:leader="none"/>
      </w:tabs>
    </w:pPr>
  </w:style>
  <w:style w:type="paragraph" w:styleId="1060">
    <w:name w:val="章节6.1.1"/>
    <w:basedOn w:val="958"/>
    <w:next w:val="1060"/>
    <w:link w:val="851"/>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61">
    <w:name w:val="数字编号列项（二级）"/>
    <w:next w:val="1061"/>
    <w:link w:val="851"/>
    <w:qFormat/>
    <w:pPr>
      <w:ind w:left="1259" w:hanging="420"/>
      <w:jc w:val="both"/>
      <w:spacing w:after="200" w:line="276" w:lineRule="auto"/>
      <w:tabs>
        <w:tab w:val="left" w:pos="1259" w:leader="none"/>
      </w:tabs>
    </w:pPr>
    <w:rPr>
      <w:rFonts w:ascii="宋体" w:hAnsi="Calibri"/>
      <w:sz w:val="21"/>
      <w:szCs w:val="22"/>
      <w:lang w:val="en-US" w:eastAsia="zh-CN" w:bidi="ar-SA"/>
    </w:rPr>
  </w:style>
  <w:style w:type="paragraph" w:styleId="1062">
    <w:name w:val="正文标题名称"/>
    <w:basedOn w:val="851"/>
    <w:next w:val="1062"/>
    <w:link w:val="851"/>
    <w:qFormat/>
    <w:pPr>
      <w:ind w:firstLine="200"/>
      <w:jc w:val="center"/>
      <w:spacing w:before="640" w:after="560"/>
    </w:pPr>
    <w:rPr>
      <w:rFonts w:ascii="黑体" w:hAnsi="华文中宋" w:eastAsia="仿宋" w:cs="Times New Roman"/>
      <w:b/>
      <w:sz w:val="44"/>
      <w:szCs w:val="32"/>
    </w:rPr>
  </w:style>
  <w:style w:type="paragraph" w:styleId="1063">
    <w:name w:val="引言内容"/>
    <w:basedOn w:val="851"/>
    <w:next w:val="1063"/>
    <w:link w:val="851"/>
    <w:qFormat/>
    <w:pPr>
      <w:ind w:firstLine="454"/>
      <w:jc w:val="left"/>
    </w:pPr>
    <w:rPr>
      <w:rFonts w:ascii="Calibri" w:hAnsi="Calibri" w:eastAsia="仿宋" w:cs="Times New Roman"/>
      <w:sz w:val="28"/>
      <w:szCs w:val="21"/>
    </w:rPr>
  </w:style>
  <w:style w:type="paragraph" w:styleId="1064">
    <w:name w:val="附录1"/>
    <w:basedOn w:val="887"/>
    <w:next w:val="851"/>
    <w:link w:val="851"/>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65">
    <w:name w:val="一致性程度标识"/>
    <w:basedOn w:val="851"/>
    <w:next w:val="1065"/>
    <w:link w:val="851"/>
    <w:qFormat/>
    <w:pPr>
      <w:ind w:firstLine="200"/>
      <w:jc w:val="center"/>
    </w:pPr>
    <w:rPr>
      <w:rFonts w:ascii="宋体" w:hAnsi="宋体" w:eastAsia="宋体" w:cs="Times New Roman"/>
      <w:sz w:val="28"/>
      <w:szCs w:val="28"/>
    </w:rPr>
  </w:style>
  <w:style w:type="paragraph" w:styleId="1066">
    <w:name w:val="终结线"/>
    <w:basedOn w:val="851"/>
    <w:next w:val="1066"/>
    <w:link w:val="851"/>
    <w:qFormat/>
    <w:pPr>
      <w:ind w:firstLine="200"/>
      <w:jc w:val="left"/>
      <w:spacing w:after="200" w:line="360" w:lineRule="auto"/>
      <w:widowControl/>
    </w:pPr>
    <w:rPr>
      <w:rFonts w:ascii="Calibri" w:hAnsi="Calibri" w:eastAsia="仿宋" w:cs="Times New Roman"/>
      <w:sz w:val="24"/>
      <w:lang w:eastAsia="en-US" w:bidi="en-US"/>
    </w:rPr>
  </w:style>
  <w:style w:type="paragraph" w:styleId="1067">
    <w:name w:val="章节3-5-3"/>
    <w:basedOn w:val="1059"/>
    <w:next w:val="1067"/>
    <w:link w:val="851"/>
    <w:qFormat/>
    <w:pPr>
      <w:ind w:left="1260" w:hanging="420"/>
      <w:tabs>
        <w:tab w:val="left" w:pos="57" w:leader="none"/>
      </w:tabs>
    </w:pPr>
  </w:style>
  <w:style w:type="paragraph" w:styleId="1068">
    <w:name w:val="TOC 标题111"/>
    <w:basedOn w:val="1039"/>
    <w:next w:val="851"/>
    <w:link w:val="851"/>
    <w:uiPriority w:val="39"/>
    <w:qFormat/>
    <w:pPr>
      <w:jc w:val="left"/>
      <w:spacing w:before="480" w:after="0" w:line="276" w:lineRule="auto"/>
      <w:widowControl/>
      <w:outlineLvl w:val="9"/>
    </w:pPr>
    <w:rPr>
      <w:rFonts w:ascii="Cambria" w:hAnsi="Cambria"/>
      <w:color w:val="365f91"/>
      <w:sz w:val="28"/>
      <w:szCs w:val="28"/>
    </w:rPr>
  </w:style>
  <w:style w:type="paragraph" w:styleId="1069">
    <w:name w:val="字母编号列项（一级）"/>
    <w:next w:val="1069"/>
    <w:link w:val="851"/>
    <w:qFormat/>
    <w:pPr>
      <w:ind w:left="780" w:hanging="360"/>
      <w:jc w:val="both"/>
      <w:spacing w:after="200" w:line="276" w:lineRule="auto"/>
      <w:tabs>
        <w:tab w:val="left" w:pos="839" w:leader="none"/>
      </w:tabs>
    </w:pPr>
    <w:rPr>
      <w:rFonts w:ascii="宋体" w:hAnsi="Calibri"/>
      <w:sz w:val="21"/>
      <w:szCs w:val="22"/>
      <w:lang w:val="en-US" w:eastAsia="zh-CN" w:bidi="ar-SA"/>
    </w:rPr>
  </w:style>
  <w:style w:type="paragraph" w:styleId="1070">
    <w:name w:val="章节2"/>
    <w:basedOn w:val="1071"/>
    <w:next w:val="1070"/>
    <w:link w:val="851"/>
    <w:qFormat/>
    <w:pPr>
      <w:ind w:left="0" w:firstLine="0"/>
      <w:tabs>
        <w:tab w:val="left" w:pos="0" w:leader="none"/>
      </w:tabs>
    </w:pPr>
    <w:rPr>
      <w:lang w:val="zh-CN"/>
    </w:rPr>
  </w:style>
  <w:style w:type="paragraph" w:styleId="1071">
    <w:name w:val="章节1"/>
    <w:basedOn w:val="887"/>
    <w:next w:val="1071"/>
    <w:link w:val="851"/>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1072">
    <w:name w:val="Char Char3 Char Char Char Char1"/>
    <w:basedOn w:val="851"/>
    <w:next w:val="1072"/>
    <w:link w:val="851"/>
    <w:qFormat/>
    <w:pPr>
      <w:jc w:val="left"/>
      <w:spacing w:after="160" w:line="240" w:lineRule="exact"/>
      <w:widowControl/>
    </w:pPr>
    <w:rPr>
      <w:rFonts w:ascii="Verdana" w:hAnsi="Verdana" w:eastAsia="仿宋" w:cs="Times New Roman"/>
      <w:sz w:val="20"/>
      <w:szCs w:val="20"/>
      <w:lang w:eastAsia="en-US"/>
    </w:rPr>
  </w:style>
  <w:style w:type="paragraph" w:styleId="1073">
    <w:name w:val="_正文"/>
    <w:basedOn w:val="851"/>
    <w:next w:val="1073"/>
    <w:link w:val="851"/>
    <w:qFormat/>
    <w:pPr>
      <w:ind w:firstLine="480"/>
      <w:jc w:val="left"/>
      <w:spacing w:before="156"/>
    </w:pPr>
    <w:rPr>
      <w:rFonts w:ascii="Calibri" w:hAnsi="Calibri" w:eastAsia="仿宋" w:cs="Times New Roman"/>
      <w:sz w:val="28"/>
      <w:szCs w:val="24"/>
    </w:rPr>
  </w:style>
  <w:style w:type="paragraph" w:styleId="1074">
    <w:name w:val="章节5.8.1"/>
    <w:basedOn w:val="1059"/>
    <w:next w:val="1074"/>
    <w:link w:val="851"/>
    <w:qFormat/>
    <w:pPr>
      <w:jc w:val="both"/>
      <w:tabs>
        <w:tab w:val="left" w:pos="57" w:leader="none"/>
      </w:tabs>
    </w:pPr>
    <w:rPr>
      <w:color w:val="000000"/>
    </w:rPr>
  </w:style>
  <w:style w:type="paragraph" w:styleId="1075">
    <w:name w:val="附录c21"/>
    <w:basedOn w:val="958"/>
    <w:next w:val="1075"/>
    <w:link w:val="851"/>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76">
    <w:name w:val="章节7.1"/>
    <w:basedOn w:val="1049"/>
    <w:next w:val="1076"/>
    <w:link w:val="851"/>
    <w:qFormat/>
    <w:pPr>
      <w:tabs>
        <w:tab w:val="left" w:pos="567" w:leader="none"/>
        <w:tab w:val="left" w:pos="720" w:leader="none"/>
      </w:tabs>
    </w:pPr>
  </w:style>
  <w:style w:type="paragraph" w:styleId="1077">
    <w:name w:val="附录3"/>
    <w:basedOn w:val="958"/>
    <w:next w:val="851"/>
    <w:link w:val="851"/>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78">
    <w:name w:val="发布部门"/>
    <w:basedOn w:val="851"/>
    <w:next w:val="1078"/>
    <w:link w:val="851"/>
    <w:qFormat/>
    <w:pPr>
      <w:ind w:firstLine="200"/>
      <w:jc w:val="center"/>
    </w:pPr>
    <w:rPr>
      <w:rFonts w:ascii="华文中宋" w:hAnsi="华文中宋" w:eastAsia="华文中宋" w:cs="Times New Roman"/>
      <w:b/>
      <w:sz w:val="32"/>
      <w:szCs w:val="32"/>
    </w:rPr>
  </w:style>
  <w:style w:type="paragraph" w:styleId="1079">
    <w:name w:val="附录表标题"/>
    <w:basedOn w:val="851"/>
    <w:next w:val="978"/>
    <w:link w:val="851"/>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80">
    <w:name w:val="三级条标题"/>
    <w:basedOn w:val="851"/>
    <w:next w:val="978"/>
    <w:link w:val="851"/>
    <w:qFormat/>
    <w:pPr>
      <w:jc w:val="left"/>
      <w:spacing w:line="276" w:lineRule="auto"/>
      <w:widowControl/>
      <w:outlineLvl w:val="4"/>
    </w:pPr>
    <w:rPr>
      <w:rFonts w:ascii="黑体" w:hAnsi="Calibri" w:eastAsia="黑体" w:cs="Times New Roman"/>
    </w:rPr>
  </w:style>
  <w:style w:type="paragraph" w:styleId="1081">
    <w:name w:val="样式1"/>
    <w:basedOn w:val="960"/>
    <w:next w:val="1081"/>
    <w:link w:val="1082"/>
    <w:qFormat/>
    <w:pPr>
      <w:ind w:left="2945" w:hanging="1668"/>
      <w:tabs>
        <w:tab w:val="left" w:pos="2141" w:leader="none"/>
      </w:tabs>
    </w:pPr>
    <w:rPr>
      <w:rFonts w:ascii="Arial" w:hAnsi="Arial" w:eastAsia="仿宋" w:cs="Times New Roman"/>
    </w:rPr>
  </w:style>
  <w:style w:type="character" w:styleId="1082">
    <w:name w:val="样式1 Char Char"/>
    <w:next w:val="1082"/>
    <w:link w:val="1081"/>
    <w:qFormat/>
    <w:rPr>
      <w:rFonts w:ascii="Arial" w:hAnsi="Arial" w:eastAsia="仿宋" w:cs="Times New Roman"/>
      <w:b/>
      <w:bCs/>
      <w:sz w:val="28"/>
      <w:szCs w:val="28"/>
    </w:rPr>
  </w:style>
  <w:style w:type="paragraph" w:styleId="1083">
    <w:name w:val="2"/>
    <w:next w:val="851"/>
    <w:link w:val="851"/>
    <w:qFormat/>
    <w:pPr>
      <w:ind w:firstLine="200"/>
      <w:widowControl w:val="off"/>
    </w:pPr>
    <w:rPr>
      <w:rFonts w:ascii="Calibri" w:hAnsi="Calibri" w:eastAsia="仿宋"/>
      <w:sz w:val="28"/>
      <w:szCs w:val="24"/>
      <w:lang w:val="en-US" w:eastAsia="zh-CN" w:bidi="ar-SA"/>
    </w:rPr>
  </w:style>
  <w:style w:type="paragraph" w:styleId="1084">
    <w:name w:val="附录c"/>
    <w:basedOn w:val="956"/>
    <w:next w:val="1084"/>
    <w:link w:val="851"/>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85">
    <w:name w:val="列项——（一级）"/>
    <w:next w:val="1085"/>
    <w:link w:val="851"/>
    <w:qFormat/>
    <w:pPr>
      <w:ind w:left="833" w:hanging="408"/>
      <w:jc w:val="both"/>
      <w:spacing w:after="200" w:line="276" w:lineRule="auto"/>
      <w:widowControl w:val="off"/>
    </w:pPr>
    <w:rPr>
      <w:rFonts w:ascii="宋体" w:hAnsi="Calibri"/>
      <w:sz w:val="21"/>
      <w:szCs w:val="22"/>
      <w:lang w:val="en-US" w:eastAsia="zh-CN" w:bidi="ar-SA"/>
    </w:rPr>
  </w:style>
  <w:style w:type="paragraph" w:styleId="1086">
    <w:name w:val="章节7.1.1"/>
    <w:basedOn w:val="958"/>
    <w:next w:val="1086"/>
    <w:link w:val="851"/>
    <w:qFormat/>
    <w:pPr>
      <w:ind w:left="1430" w:hanging="720"/>
      <w:spacing w:before="0" w:after="0" w:line="240" w:lineRule="auto"/>
      <w:widowControl/>
    </w:pPr>
    <w:rPr>
      <w:rFonts w:ascii="黑体" w:hAnsi="黑体" w:eastAsia="仿宋" w:cs="黑体"/>
      <w:color w:val="000000"/>
      <w:sz w:val="30"/>
      <w:szCs w:val="21"/>
      <w:lang w:bidi="en-US"/>
    </w:rPr>
  </w:style>
  <w:style w:type="paragraph" w:styleId="1087">
    <w:name w:val="章节821"/>
    <w:basedOn w:val="958"/>
    <w:next w:val="1087"/>
    <w:link w:val="851"/>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088">
    <w:name w:val="章节8631"/>
    <w:basedOn w:val="960"/>
    <w:next w:val="1088"/>
    <w:link w:val="851"/>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1089">
    <w:name w:val="章节8.1"/>
    <w:basedOn w:val="956"/>
    <w:next w:val="1089"/>
    <w:link w:val="851"/>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90">
    <w:name w:val="附录2"/>
    <w:basedOn w:val="956"/>
    <w:next w:val="851"/>
    <w:link w:val="851"/>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091">
    <w:name w:val="条款节部分"/>
    <w:basedOn w:val="851"/>
    <w:next w:val="1091"/>
    <w:link w:val="851"/>
    <w:qFormat/>
    <w:pPr>
      <w:ind w:left="2417" w:hanging="432"/>
      <w:tabs>
        <w:tab w:val="left" w:pos="2850" w:leader="none"/>
      </w:tabs>
    </w:pPr>
    <w:rPr>
      <w:rFonts w:ascii="Calibri" w:hAnsi="Calibri" w:eastAsia="仿宋_GB2312" w:cs="Times New Roman"/>
      <w:sz w:val="32"/>
      <w:szCs w:val="32"/>
    </w:rPr>
  </w:style>
  <w:style w:type="paragraph" w:styleId="1092">
    <w:name w:val="章节8621"/>
    <w:basedOn w:val="960"/>
    <w:next w:val="1092"/>
    <w:link w:val="851"/>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1093">
    <w:name w:val="章节831"/>
    <w:basedOn w:val="958"/>
    <w:next w:val="1093"/>
    <w:link w:val="851"/>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094">
    <w:name w:val="章节2-5"/>
    <w:basedOn w:val="1050"/>
    <w:next w:val="1094"/>
    <w:link w:val="851"/>
    <w:qFormat/>
    <w:pPr>
      <w:ind w:left="576" w:hanging="576"/>
      <w:tabs>
        <w:tab w:val="left" w:pos="567" w:leader="none"/>
      </w:tabs>
    </w:pPr>
  </w:style>
  <w:style w:type="paragraph" w:styleId="1095">
    <w:name w:val="附录4"/>
    <w:basedOn w:val="1077"/>
    <w:next w:val="1095"/>
    <w:link w:val="851"/>
    <w:qFormat/>
    <w:pPr>
      <w:ind w:left="2100" w:hanging="420"/>
      <w:tabs>
        <w:tab w:val="left" w:pos="709" w:leader="none"/>
      </w:tabs>
      <w:outlineLvl w:val="3"/>
    </w:pPr>
  </w:style>
  <w:style w:type="paragraph" w:styleId="1096">
    <w:name w:val="章节8.1.1"/>
    <w:basedOn w:val="958"/>
    <w:next w:val="1096"/>
    <w:link w:val="851"/>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7">
    <w:name w:val="附录3新"/>
    <w:basedOn w:val="1077"/>
    <w:next w:val="851"/>
    <w:link w:val="851"/>
    <w:qFormat/>
    <w:pPr>
      <w:ind w:left="1680" w:hanging="420"/>
      <w:spacing w:before="50" w:after="50"/>
      <w:tabs>
        <w:tab w:val="left" w:pos="709" w:leader="none"/>
      </w:tabs>
    </w:pPr>
  </w:style>
  <w:style w:type="paragraph" w:styleId="1098">
    <w:name w:val="章节861"/>
    <w:basedOn w:val="958"/>
    <w:next w:val="1098"/>
    <w:link w:val="851"/>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9">
    <w:name w:val="表题"/>
    <w:basedOn w:val="851"/>
    <w:next w:val="1099"/>
    <w:link w:val="851"/>
    <w:qFormat/>
    <w:pPr>
      <w:jc w:val="center"/>
    </w:pPr>
    <w:rPr>
      <w:rFonts w:ascii="黑体" w:hAnsi="Calibri" w:eastAsia="仿宋" w:cs="Times New Roman"/>
      <w:b/>
      <w:sz w:val="28"/>
      <w:szCs w:val="24"/>
    </w:rPr>
  </w:style>
  <w:style w:type="paragraph" w:styleId="1100">
    <w:name w:val="章节731"/>
    <w:basedOn w:val="1086"/>
    <w:next w:val="1100"/>
    <w:link w:val="851"/>
    <w:qFormat/>
  </w:style>
  <w:style w:type="paragraph" w:styleId="1101">
    <w:name w:val="章节5.6.1"/>
    <w:basedOn w:val="1067"/>
    <w:next w:val="1101"/>
    <w:link w:val="851"/>
    <w:qFormat/>
    <w:pPr>
      <w:ind w:left="840"/>
      <w:tabs>
        <w:tab w:val="left" w:pos="57" w:leader="none"/>
      </w:tabs>
    </w:pPr>
  </w:style>
  <w:style w:type="paragraph" w:styleId="1102">
    <w:name w:val="章节5.9.1"/>
    <w:basedOn w:val="958"/>
    <w:next w:val="1102"/>
    <w:link w:val="851"/>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103">
    <w:name w:val="Table Text"/>
    <w:basedOn w:val="851"/>
    <w:next w:val="1103"/>
    <w:link w:val="1104"/>
    <w:qFormat/>
    <w:pPr>
      <w:ind w:firstLine="200"/>
      <w:jc w:val="left"/>
      <w:spacing w:after="200" w:line="360" w:lineRule="exact"/>
      <w:widowControl/>
    </w:pPr>
    <w:rPr>
      <w:rFonts w:ascii="??¨¬?" w:hAnsi="??¨¬?" w:eastAsia="仿宋" w:cs="Times New Roman"/>
      <w:sz w:val="24"/>
      <w:lang w:val="en-GB" w:eastAsia="en-US" w:bidi="en-US"/>
    </w:rPr>
  </w:style>
  <w:style w:type="character" w:styleId="1104">
    <w:name w:val="Table Text Char"/>
    <w:next w:val="1104"/>
    <w:link w:val="1103"/>
    <w:qFormat/>
    <w:rPr>
      <w:rFonts w:ascii="??¨¬?" w:hAnsi="??¨¬?" w:eastAsia="仿宋" w:cs="Times New Roman"/>
      <w:sz w:val="24"/>
      <w:szCs w:val="22"/>
      <w:lang w:val="en-GB" w:eastAsia="en-US" w:bidi="en-US"/>
    </w:rPr>
  </w:style>
  <w:style w:type="paragraph" w:styleId="1105">
    <w:name w:val="标准名称"/>
    <w:basedOn w:val="851"/>
    <w:next w:val="1105"/>
    <w:link w:val="851"/>
    <w:qFormat/>
    <w:pPr>
      <w:ind w:firstLine="200"/>
      <w:jc w:val="center"/>
    </w:pPr>
    <w:rPr>
      <w:rFonts w:ascii="黑体" w:hAnsi="华文中宋" w:eastAsia="黑体" w:cs="Times New Roman"/>
      <w:sz w:val="52"/>
      <w:szCs w:val="52"/>
    </w:rPr>
  </w:style>
  <w:style w:type="paragraph" w:styleId="1106">
    <w:name w:val="章节5.1"/>
    <w:basedOn w:val="956"/>
    <w:next w:val="1106"/>
    <w:link w:val="851"/>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107">
    <w:name w:val="中文标准正文"/>
    <w:basedOn w:val="851"/>
    <w:next w:val="1107"/>
    <w:link w:val="851"/>
    <w:qFormat/>
    <w:pPr>
      <w:ind w:firstLine="200"/>
      <w:jc w:val="left"/>
      <w:spacing w:line="360" w:lineRule="auto"/>
    </w:pPr>
    <w:rPr>
      <w:rFonts w:ascii="Times New Roman" w:hAnsi="Times New Roman" w:eastAsia="宋体" w:cs="Times New Roman"/>
      <w:sz w:val="28"/>
      <w:szCs w:val="21"/>
    </w:rPr>
  </w:style>
  <w:style w:type="paragraph" w:styleId="1108">
    <w:name w:val="msolistparagraph"/>
    <w:basedOn w:val="851"/>
    <w:next w:val="1108"/>
    <w:link w:val="851"/>
    <w:qFormat/>
    <w:pPr>
      <w:ind w:firstLine="200"/>
    </w:pPr>
    <w:rPr>
      <w:rFonts w:ascii="Calibri" w:hAnsi="Calibri" w:eastAsia="宋体" w:cs="Times New Roman"/>
    </w:rPr>
  </w:style>
  <w:style w:type="paragraph" w:styleId="1109">
    <w:name w:val="正文文本缩进1"/>
    <w:basedOn w:val="851"/>
    <w:next w:val="1109"/>
    <w:link w:val="1110"/>
    <w:qFormat/>
    <w:pPr>
      <w:ind w:left="420" w:firstLine="420"/>
      <w:spacing w:line="240" w:lineRule="atLeast"/>
    </w:pPr>
    <w:rPr>
      <w:rFonts w:ascii="Times New Roman" w:hAnsi="Times New Roman" w:eastAsia="楷体_GB2312" w:cs="Times New Roman"/>
      <w:sz w:val="24"/>
      <w:szCs w:val="24"/>
    </w:rPr>
  </w:style>
  <w:style w:type="character" w:styleId="1110">
    <w:name w:val="正文文本缩进 Char1"/>
    <w:next w:val="1110"/>
    <w:link w:val="1109"/>
    <w:uiPriority w:val="99"/>
    <w:qFormat/>
    <w:rPr>
      <w:rFonts w:ascii="Times New Roman" w:hAnsi="Times New Roman" w:eastAsia="楷体_GB2312" w:cs="Times New Roman"/>
      <w:sz w:val="24"/>
      <w:szCs w:val="24"/>
    </w:rPr>
  </w:style>
  <w:style w:type="paragraph" w:styleId="1111">
    <w:name w:val="样式 宋体 小四 行距: 1.5 倍行距 首行缩进:  2 字符"/>
    <w:basedOn w:val="851"/>
    <w:next w:val="1111"/>
    <w:link w:val="851"/>
    <w:qFormat/>
    <w:pPr>
      <w:ind w:firstLine="480"/>
      <w:spacing w:line="360" w:lineRule="auto"/>
    </w:pPr>
    <w:rPr>
      <w:rFonts w:ascii="宋体" w:hAnsi="宋体" w:eastAsia="宋体" w:cs="宋体"/>
      <w:sz w:val="24"/>
      <w:szCs w:val="20"/>
    </w:rPr>
  </w:style>
  <w:style w:type="paragraph" w:styleId="1112">
    <w:name w:val="样式 正文缩进 + 首行缩进:  2 字符"/>
    <w:basedOn w:val="860"/>
    <w:next w:val="1112"/>
    <w:link w:val="851"/>
    <w:qFormat/>
    <w:pPr>
      <w:ind w:firstLine="200"/>
      <w:jc w:val="both"/>
      <w:spacing w:line="360" w:lineRule="auto"/>
    </w:pPr>
    <w:rPr>
      <w:rFonts w:cs="Times New Roman"/>
      <w:sz w:val="24"/>
      <w:szCs w:val="20"/>
    </w:rPr>
  </w:style>
  <w:style w:type="paragraph" w:styleId="1113">
    <w:name w:val="批注主题1"/>
    <w:basedOn w:val="865"/>
    <w:next w:val="865"/>
    <w:link w:val="1114"/>
    <w:qFormat/>
    <w:pPr>
      <w:ind w:firstLine="0"/>
    </w:pPr>
    <w:rPr>
      <w:rFonts w:eastAsia="宋体" w:cs="Times New Roman"/>
      <w:b/>
      <w:bCs/>
      <w:sz w:val="21"/>
    </w:rPr>
  </w:style>
  <w:style w:type="character" w:styleId="1114">
    <w:name w:val="批注主题 Char"/>
    <w:next w:val="1114"/>
    <w:link w:val="1113"/>
    <w:qFormat/>
    <w:rPr>
      <w:rFonts w:ascii="Times New Roman" w:hAnsi="Times New Roman" w:eastAsia="宋体" w:cs="Times New Roman"/>
      <w:b/>
      <w:bCs/>
      <w:sz w:val="21"/>
      <w:szCs w:val="24"/>
    </w:rPr>
  </w:style>
  <w:style w:type="paragraph" w:styleId="1115">
    <w:name w:val="正文首行缩进1"/>
    <w:basedOn w:val="1041"/>
    <w:next w:val="1115"/>
    <w:link w:val="1116"/>
    <w:qFormat/>
    <w:pPr>
      <w:ind w:firstLine="200"/>
      <w:spacing w:line="360" w:lineRule="auto"/>
    </w:pPr>
    <w:rPr>
      <w:rFonts w:eastAsia="宋体" w:cs="Times New Roman"/>
      <w:sz w:val="24"/>
      <w:szCs w:val="20"/>
    </w:rPr>
  </w:style>
  <w:style w:type="character" w:styleId="1116">
    <w:name w:val="正文首行缩进 Char"/>
    <w:next w:val="1116"/>
    <w:link w:val="1115"/>
    <w:qFormat/>
    <w:rPr>
      <w:rFonts w:ascii="Times New Roman" w:hAnsi="Times New Roman" w:eastAsia="宋体" w:cs="Times New Roman"/>
      <w:sz w:val="24"/>
    </w:rPr>
  </w:style>
  <w:style w:type="paragraph" w:styleId="1117">
    <w:name w:val="注释标题1"/>
    <w:basedOn w:val="851"/>
    <w:next w:val="851"/>
    <w:link w:val="1118"/>
    <w:qFormat/>
    <w:pPr>
      <w:jc w:val="center"/>
    </w:pPr>
    <w:rPr>
      <w:rFonts w:ascii="宋体" w:hAnsi="Times New Roman"/>
      <w:spacing w:val="-20"/>
      <w:position w:val="-6"/>
      <w:sz w:val="20"/>
      <w:szCs w:val="44"/>
    </w:rPr>
  </w:style>
  <w:style w:type="character" w:styleId="1118">
    <w:name w:val="注释标题 Char"/>
    <w:next w:val="1118"/>
    <w:link w:val="1117"/>
    <w:qFormat/>
    <w:rPr>
      <w:rFonts w:ascii="宋体" w:hAnsi="Times New Roman"/>
      <w:spacing w:val="-20"/>
      <w:position w:val="-6"/>
      <w:szCs w:val="44"/>
    </w:rPr>
  </w:style>
  <w:style w:type="paragraph" w:styleId="1119">
    <w:name w:val="文档结构图1"/>
    <w:basedOn w:val="851"/>
    <w:next w:val="1119"/>
    <w:link w:val="1120"/>
    <w:qFormat/>
    <w:rPr>
      <w:rFonts w:ascii="宋体" w:hAnsi="Calibri" w:eastAsia="宋体" w:cs="Times New Roman"/>
      <w:sz w:val="18"/>
      <w:szCs w:val="18"/>
    </w:rPr>
  </w:style>
  <w:style w:type="character" w:styleId="1120">
    <w:name w:val="文档结构图 Char"/>
    <w:next w:val="1120"/>
    <w:link w:val="1119"/>
    <w:qFormat/>
    <w:rPr>
      <w:rFonts w:ascii="宋体" w:hAnsi="Calibri" w:eastAsia="宋体" w:cs="Times New Roman"/>
      <w:sz w:val="18"/>
      <w:szCs w:val="18"/>
    </w:rPr>
  </w:style>
  <w:style w:type="paragraph" w:styleId="1121">
    <w:name w:val="正文文本 31"/>
    <w:basedOn w:val="851"/>
    <w:next w:val="1121"/>
    <w:link w:val="1122"/>
    <w:qFormat/>
    <w:pPr>
      <w:spacing w:after="120"/>
    </w:pPr>
    <w:rPr>
      <w:rFonts w:ascii="Times New Roman" w:hAnsi="Times New Roman"/>
      <w:sz w:val="16"/>
      <w:szCs w:val="16"/>
    </w:rPr>
  </w:style>
  <w:style w:type="character" w:styleId="1122">
    <w:name w:val="正文文本 3 Char"/>
    <w:next w:val="1122"/>
    <w:link w:val="1121"/>
    <w:qFormat/>
    <w:rPr>
      <w:rFonts w:ascii="Times New Roman" w:hAnsi="Times New Roman"/>
      <w:sz w:val="16"/>
      <w:szCs w:val="16"/>
    </w:rPr>
  </w:style>
  <w:style w:type="paragraph" w:styleId="1123">
    <w:name w:val="日期1"/>
    <w:basedOn w:val="851"/>
    <w:next w:val="851"/>
    <w:link w:val="1124"/>
    <w:qFormat/>
    <w:rPr>
      <w:rFonts w:ascii="Times New Roman" w:hAnsi="Times New Roman" w:eastAsia="宋体" w:cs="Times New Roman"/>
      <w:sz w:val="24"/>
    </w:rPr>
  </w:style>
  <w:style w:type="character" w:styleId="1124">
    <w:name w:val="日期 Char"/>
    <w:next w:val="1124"/>
    <w:link w:val="1123"/>
    <w:qFormat/>
    <w:rPr>
      <w:rFonts w:ascii="Times New Roman" w:hAnsi="Times New Roman" w:eastAsia="宋体" w:cs="Times New Roman"/>
      <w:sz w:val="24"/>
      <w:szCs w:val="22"/>
    </w:rPr>
  </w:style>
  <w:style w:type="paragraph" w:styleId="1125">
    <w:name w:val="正文文本缩进 21"/>
    <w:basedOn w:val="851"/>
    <w:next w:val="1125"/>
    <w:link w:val="1126"/>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1126">
    <w:name w:val="正文文本缩进 2 Char"/>
    <w:next w:val="1126"/>
    <w:link w:val="1125"/>
    <w:qFormat/>
    <w:rPr>
      <w:rFonts w:ascii="楷体" w:hAnsi="楷体" w:eastAsia="楷体" w:cs="Times New Roman"/>
      <w:color w:val="000000"/>
      <w:sz w:val="24"/>
      <w:lang w:eastAsia="ar-SA"/>
    </w:rPr>
  </w:style>
  <w:style w:type="paragraph" w:styleId="1127">
    <w:name w:val="正文首行缩进 21"/>
    <w:basedOn w:val="1109"/>
    <w:next w:val="1127"/>
    <w:link w:val="1128"/>
    <w:uiPriority w:val="99"/>
    <w:qFormat/>
    <w:pPr>
      <w:ind w:left="200" w:firstLine="200"/>
      <w:spacing w:after="120" w:line="240" w:lineRule="auto"/>
    </w:pPr>
    <w:rPr>
      <w:rFonts w:eastAsia="仿宋" w:cs="Arial"/>
      <w:sz w:val="28"/>
    </w:rPr>
  </w:style>
  <w:style w:type="character" w:styleId="1128">
    <w:name w:val="正文首行缩进 2 Char"/>
    <w:next w:val="1128"/>
    <w:link w:val="1127"/>
    <w:uiPriority w:val="99"/>
    <w:qFormat/>
    <w:rPr>
      <w:rFonts w:ascii="Times New Roman" w:hAnsi="Times New Roman" w:eastAsia="仿宋"/>
      <w:sz w:val="28"/>
      <w:szCs w:val="24"/>
    </w:rPr>
  </w:style>
  <w:style w:type="paragraph" w:styleId="1129">
    <w:name w:val="正文文本缩进 31"/>
    <w:basedOn w:val="851"/>
    <w:next w:val="1129"/>
    <w:link w:val="1130"/>
    <w:qFormat/>
    <w:pPr>
      <w:jc w:val="left"/>
      <w:spacing w:before="100" w:beforeAutospacing="1" w:after="100" w:afterAutospacing="1"/>
      <w:widowControl/>
    </w:pPr>
    <w:rPr>
      <w:rFonts w:ascii="宋体" w:hAnsi="宋体" w:eastAsia="宋体" w:cs="宋体"/>
      <w:sz w:val="24"/>
      <w:szCs w:val="24"/>
    </w:rPr>
  </w:style>
  <w:style w:type="character" w:styleId="1130">
    <w:name w:val="正文文本缩进 3 Char"/>
    <w:next w:val="1130"/>
    <w:link w:val="1129"/>
    <w:qFormat/>
    <w:rPr>
      <w:rFonts w:ascii="宋体" w:hAnsi="宋体" w:eastAsia="宋体" w:cs="宋体"/>
      <w:sz w:val="24"/>
      <w:szCs w:val="24"/>
    </w:rPr>
  </w:style>
  <w:style w:type="paragraph" w:styleId="1131">
    <w:name w:val="正文文本 21"/>
    <w:basedOn w:val="851"/>
    <w:next w:val="1131"/>
    <w:link w:val="1132"/>
    <w:qFormat/>
    <w:pPr>
      <w:spacing w:after="120" w:line="480" w:lineRule="auto"/>
    </w:pPr>
    <w:rPr>
      <w:rFonts w:ascii="Times New Roman" w:hAnsi="Times New Roman"/>
      <w:sz w:val="20"/>
      <w:szCs w:val="24"/>
    </w:rPr>
  </w:style>
  <w:style w:type="character" w:styleId="1132">
    <w:name w:val="正文文本 2 Char"/>
    <w:next w:val="1132"/>
    <w:link w:val="1131"/>
    <w:qFormat/>
    <w:rPr>
      <w:rFonts w:ascii="Times New Roman" w:hAnsi="Times New Roman"/>
      <w:szCs w:val="24"/>
    </w:rPr>
  </w:style>
  <w:style w:type="paragraph" w:styleId="1133">
    <w:name w:val="HTML 预设格式1"/>
    <w:basedOn w:val="851"/>
    <w:next w:val="1133"/>
    <w:link w:val="8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34">
    <w:name w:val="批注框文本 Char Char"/>
    <w:basedOn w:val="851"/>
    <w:next w:val="1134"/>
    <w:link w:val="1135"/>
    <w:qFormat/>
    <w:rPr>
      <w:rFonts w:ascii="Calibri" w:hAnsi="Calibri" w:eastAsia="宋体" w:cs="Times New Roman"/>
      <w:sz w:val="18"/>
      <w:szCs w:val="18"/>
    </w:rPr>
  </w:style>
  <w:style w:type="character" w:styleId="1135">
    <w:name w:val="批注框文本 Char Char Char Char"/>
    <w:next w:val="1135"/>
    <w:link w:val="1134"/>
    <w:qFormat/>
    <w:rPr>
      <w:rFonts w:ascii="Calibri" w:hAnsi="Calibri" w:eastAsia="宋体" w:cs="Times New Roman"/>
      <w:sz w:val="18"/>
      <w:szCs w:val="18"/>
    </w:rPr>
  </w:style>
  <w:style w:type="paragraph" w:styleId="1136">
    <w:name w:val="Char Char Char Char Char Char Char1 Char Char Char Char Char Char Char"/>
    <w:basedOn w:val="1119"/>
    <w:next w:val="851"/>
    <w:link w:val="851"/>
    <w:qFormat/>
  </w:style>
  <w:style w:type="paragraph" w:styleId="1137">
    <w:name w:val="文挡编号"/>
    <w:basedOn w:val="851"/>
    <w:next w:val="851"/>
    <w:link w:val="851"/>
    <w:qFormat/>
    <w:pPr>
      <w:spacing w:before="480" w:after="120" w:line="360" w:lineRule="auto"/>
      <w:widowControl/>
    </w:pPr>
    <w:rPr>
      <w:rFonts w:ascii="Times New Roman" w:hAnsi="Times New Roman" w:eastAsia="宋体" w:cs="Times New Roman"/>
      <w:szCs w:val="20"/>
    </w:rPr>
  </w:style>
  <w:style w:type="paragraph" w:styleId="1138">
    <w:name w:val="列出段落1"/>
    <w:basedOn w:val="851"/>
    <w:next w:val="1138"/>
    <w:link w:val="1139"/>
    <w:uiPriority w:val="34"/>
    <w:qFormat/>
    <w:pPr>
      <w:ind w:firstLine="420"/>
    </w:pPr>
    <w:rPr>
      <w:rFonts w:ascii="Calibri" w:hAnsi="Calibri" w:eastAsia="宋体" w:cs="Times New Roman"/>
      <w:sz w:val="20"/>
      <w:szCs w:val="20"/>
    </w:rPr>
  </w:style>
  <w:style w:type="character" w:styleId="1139">
    <w:name w:val="列出段落 Char"/>
    <w:next w:val="1139"/>
    <w:link w:val="1138"/>
    <w:qFormat/>
    <w:rPr>
      <w:rFonts w:ascii="Calibri" w:hAnsi="Calibri" w:eastAsia="宋体" w:cs="Times New Roman"/>
    </w:rPr>
  </w:style>
  <w:style w:type="paragraph" w:styleId="1140">
    <w:name w:val="正文缩进1"/>
    <w:basedOn w:val="851"/>
    <w:next w:val="851"/>
    <w:link w:val="1141"/>
    <w:qFormat/>
    <w:pPr>
      <w:ind w:firstLine="420"/>
    </w:pPr>
    <w:rPr>
      <w:rFonts w:ascii="Calibri" w:hAnsi="Calibri" w:eastAsia="宋体" w:cs="Times New Roman"/>
      <w:sz w:val="20"/>
      <w:szCs w:val="20"/>
    </w:rPr>
  </w:style>
  <w:style w:type="character" w:styleId="1141">
    <w:name w:val="正文缩进 Char"/>
    <w:next w:val="1141"/>
    <w:link w:val="1140"/>
    <w:qFormat/>
    <w:rPr>
      <w:rFonts w:ascii="Calibri" w:hAnsi="Calibri" w:eastAsia="宋体" w:cs="Times New Roman"/>
    </w:rPr>
  </w:style>
  <w:style w:type="paragraph" w:styleId="1142">
    <w:name w:val="样式 正文文本 + 左侧:  2 字符 首行缩进:  2 字符 段前: 0.5 行"/>
    <w:basedOn w:val="869"/>
    <w:next w:val="1142"/>
    <w:link w:val="851"/>
    <w:qFormat/>
    <w:pPr>
      <w:ind w:firstLine="420"/>
      <w:jc w:val="left"/>
      <w:spacing w:line="300" w:lineRule="auto"/>
      <w:widowControl/>
    </w:pPr>
    <w:rPr>
      <w:rFonts w:ascii="Times New Roman" w:hAnsi="Times New Roman" w:eastAsia="宋体" w:cs="宋体"/>
      <w:sz w:val="21"/>
    </w:rPr>
  </w:style>
  <w:style w:type="paragraph" w:styleId="1143">
    <w:name w:val="cLevel1"/>
    <w:basedOn w:val="1039"/>
    <w:next w:val="1143"/>
    <w:link w:val="851"/>
    <w:qFormat/>
    <w:pPr>
      <w:jc w:val="center"/>
      <w:spacing w:before="240" w:after="240" w:line="480" w:lineRule="auto"/>
      <w:tabs>
        <w:tab w:val="left" w:pos="-180" w:leader="none"/>
      </w:tabs>
    </w:pPr>
    <w:rPr>
      <w:rFonts w:ascii="Times New Roman" w:hAnsi="Times New Roman"/>
      <w:sz w:val="48"/>
    </w:rPr>
  </w:style>
  <w:style w:type="paragraph" w:styleId="1144">
    <w:name w:val="cLevel2"/>
    <w:basedOn w:val="935"/>
    <w:next w:val="1144"/>
    <w:link w:val="851"/>
    <w:qFormat/>
    <w:pPr>
      <w:ind w:left="0" w:firstLine="0"/>
      <w:jc w:val="left"/>
      <w:spacing w:before="0" w:after="0" w:line="360" w:lineRule="auto"/>
      <w:tabs>
        <w:tab w:val="left" w:pos="4205" w:leader="none"/>
      </w:tabs>
    </w:pPr>
    <w:rPr>
      <w:rFonts w:ascii="Arial" w:hAnsi="Arial" w:eastAsia="新宋体"/>
      <w:sz w:val="36"/>
    </w:rPr>
  </w:style>
  <w:style w:type="paragraph" w:styleId="1145">
    <w:name w:val="cx标题三"/>
    <w:basedOn w:val="1003"/>
    <w:next w:val="1145"/>
    <w:link w:val="851"/>
    <w:qFormat/>
    <w:pPr>
      <w:ind w:left="0" w:firstLine="50"/>
      <w:spacing w:before="0" w:after="0" w:line="360" w:lineRule="auto"/>
      <w:tabs>
        <w:tab w:val="left" w:pos="4205" w:leader="none"/>
      </w:tabs>
    </w:pPr>
    <w:rPr>
      <w:rFonts w:ascii="Times New Roman" w:hAnsi="Times New Roman" w:eastAsia="新宋体"/>
      <w:sz w:val="30"/>
    </w:rPr>
  </w:style>
  <w:style w:type="paragraph" w:styleId="1146">
    <w:name w:val="cxLevel4"/>
    <w:basedOn w:val="1004"/>
    <w:next w:val="1146"/>
    <w:link w:val="1147"/>
    <w:qFormat/>
    <w:pPr>
      <w:ind w:left="0" w:firstLine="100"/>
      <w:spacing w:before="0" w:after="0" w:line="360" w:lineRule="auto"/>
      <w:tabs>
        <w:tab w:val="left" w:pos="4205" w:leader="none"/>
      </w:tabs>
    </w:pPr>
    <w:rPr>
      <w:rFonts w:ascii="Arial" w:hAnsi="Arial"/>
    </w:rPr>
  </w:style>
  <w:style w:type="character" w:styleId="1147">
    <w:name w:val="cxLevel4 Char Char"/>
    <w:next w:val="1147"/>
    <w:link w:val="1146"/>
    <w:qFormat/>
    <w:rPr>
      <w:rFonts w:ascii="Arial" w:hAnsi="Arial" w:eastAsia="宋体" w:cs="Times New Roman"/>
      <w:b/>
      <w:bCs/>
      <w:sz w:val="28"/>
      <w:szCs w:val="28"/>
    </w:rPr>
  </w:style>
  <w:style w:type="paragraph" w:styleId="1148">
    <w:name w:val="cxLevel5"/>
    <w:basedOn w:val="1006"/>
    <w:next w:val="1148"/>
    <w:link w:val="851"/>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49">
    <w:name w:val="Default"/>
    <w:next w:val="1149"/>
    <w:link w:val="1150"/>
    <w:qFormat/>
    <w:pPr>
      <w:widowControl w:val="off"/>
    </w:pPr>
    <w:rPr>
      <w:rFonts w:ascii="黑体" w:eastAsia="黑体" w:cs="黑体"/>
      <w:color w:val="000000"/>
      <w:sz w:val="24"/>
      <w:szCs w:val="24"/>
      <w:lang w:val="en-US" w:eastAsia="zh-CN" w:bidi="ar-SA"/>
    </w:rPr>
  </w:style>
  <w:style w:type="character" w:styleId="1150">
    <w:name w:val="Default Char"/>
    <w:next w:val="1150"/>
    <w:link w:val="1149"/>
    <w:qFormat/>
    <w:rPr>
      <w:rFonts w:ascii="黑体" w:hAnsi="Times New Roman" w:eastAsia="黑体" w:cs="黑体"/>
      <w:color w:val="000000"/>
      <w:sz w:val="24"/>
      <w:szCs w:val="24"/>
    </w:rPr>
  </w:style>
  <w:style w:type="paragraph" w:styleId="1151">
    <w:name w:val="• NCS bullet list"/>
    <w:next w:val="1151"/>
    <w:link w:val="851"/>
    <w:qFormat/>
    <w:pPr>
      <w:ind w:left="-4896" w:hanging="360"/>
      <w:spacing w:before="120" w:after="60"/>
      <w:tabs>
        <w:tab w:val="left" w:pos="720" w:leader="none"/>
        <w:tab w:val="left" w:pos="1584" w:leader="none"/>
      </w:tabs>
    </w:pPr>
    <w:rPr>
      <w:rFonts w:ascii="Trebuchet MS" w:hAnsi="Trebuchet MS" w:cs="Calibri"/>
      <w:lang w:val="en-US" w:eastAsia="ar-SA" w:bidi="ar-SA"/>
    </w:rPr>
  </w:style>
  <w:style w:type="paragraph" w:styleId="1152">
    <w:name w:val="标准文本"/>
    <w:basedOn w:val="851"/>
    <w:next w:val="1152"/>
    <w:link w:val="1153"/>
    <w:qFormat/>
    <w:pPr>
      <w:ind w:firstLine="480"/>
      <w:spacing w:line="360" w:lineRule="auto"/>
    </w:pPr>
    <w:rPr>
      <w:rFonts w:ascii="Calibri" w:hAnsi="Calibri" w:eastAsia="宋体" w:cs="宋体"/>
      <w:sz w:val="24"/>
      <w:szCs w:val="20"/>
    </w:rPr>
  </w:style>
  <w:style w:type="character" w:styleId="1153">
    <w:name w:val="标准文本 Char Char"/>
    <w:next w:val="1153"/>
    <w:link w:val="1152"/>
    <w:qFormat/>
    <w:rPr>
      <w:rFonts w:ascii="Calibri" w:hAnsi="Calibri" w:eastAsia="宋体" w:cs="宋体"/>
      <w:sz w:val="24"/>
    </w:rPr>
  </w:style>
  <w:style w:type="paragraph" w:styleId="1154">
    <w:name w:val="WDQ项目标号3"/>
    <w:basedOn w:val="851"/>
    <w:next w:val="1154"/>
    <w:link w:val="851"/>
    <w:qFormat/>
    <w:pPr>
      <w:ind w:left="2024" w:hanging="453"/>
      <w:tabs>
        <w:tab w:val="left" w:pos="2024" w:leader="none"/>
      </w:tabs>
    </w:pPr>
    <w:rPr>
      <w:rFonts w:ascii="Times New Roman" w:hAnsi="Times New Roman" w:eastAsia="宋体" w:cs="Times New Roman"/>
      <w:szCs w:val="20"/>
    </w:rPr>
  </w:style>
  <w:style w:type="paragraph" w:styleId="1155">
    <w:name w:val="样式 标题 4 + 段前: 14 磅 段后: 14.5 磅 行距: 多倍行距 1.57 字行"/>
    <w:basedOn w:val="1004"/>
    <w:next w:val="1155"/>
    <w:link w:val="851"/>
    <w:qFormat/>
    <w:pPr>
      <w:ind w:left="0" w:firstLine="0"/>
      <w:tabs>
        <w:tab w:val="left" w:pos="0" w:leader="none"/>
      </w:tabs>
    </w:pPr>
    <w:rPr>
      <w:rFonts w:ascii="Arial" w:hAnsi="Arial" w:eastAsia="黑体" w:cs="宋体"/>
      <w:b w:val="0"/>
      <w:sz w:val="24"/>
      <w:szCs w:val="24"/>
    </w:rPr>
  </w:style>
  <w:style w:type="paragraph" w:styleId="1156">
    <w:name w:val="样式 样式 正文zhang + 首行缩进:  2 字符 段前: 0.5 行 段后: 0.5 行 + 段前: 0.5 行 段后:... Char"/>
    <w:basedOn w:val="851"/>
    <w:next w:val="1156"/>
    <w:link w:val="1157"/>
    <w:qFormat/>
    <w:pPr>
      <w:ind w:firstLine="480"/>
      <w:spacing w:line="360" w:lineRule="exact"/>
    </w:pPr>
    <w:rPr>
      <w:rFonts w:ascii="Calibri" w:hAnsi="Calibri" w:eastAsia="宋体" w:cs="宋体"/>
      <w:sz w:val="24"/>
      <w:szCs w:val="20"/>
    </w:rPr>
  </w:style>
  <w:style w:type="character" w:styleId="1157">
    <w:name w:val="样式 样式 正文zhang + 首行缩进:  2 字符 段前: 0.5 行 段后: 0.5 行 + 段前: 0.5 行 段后:... Char Char Char"/>
    <w:next w:val="1157"/>
    <w:link w:val="1156"/>
    <w:qFormat/>
    <w:rPr>
      <w:rFonts w:ascii="Calibri" w:hAnsi="Calibri" w:eastAsia="宋体" w:cs="宋体"/>
      <w:sz w:val="24"/>
    </w:rPr>
  </w:style>
  <w:style w:type="paragraph" w:styleId="1158">
    <w:name w:val="纯文本1"/>
    <w:basedOn w:val="851"/>
    <w:next w:val="1158"/>
    <w:link w:val="1159"/>
    <w:qFormat/>
    <w:pPr>
      <w:spacing w:line="312" w:lineRule="atLeast"/>
    </w:pPr>
    <w:rPr>
      <w:rFonts w:ascii="Arial Black" w:hAnsi="Courier New" w:eastAsia="宋体" w:cs="Times New Roman"/>
      <w:szCs w:val="20"/>
    </w:rPr>
  </w:style>
  <w:style w:type="character" w:styleId="1159">
    <w:name w:val="纯文本 Char"/>
    <w:next w:val="1159"/>
    <w:link w:val="1158"/>
    <w:qFormat/>
    <w:rPr>
      <w:rFonts w:ascii="Arial Black" w:hAnsi="Courier New" w:eastAsia="宋体" w:cs="Times New Roman"/>
      <w:sz w:val="21"/>
    </w:rPr>
  </w:style>
  <w:style w:type="paragraph" w:styleId="1160">
    <w:name w:val="普通(网站)1"/>
    <w:basedOn w:val="851"/>
    <w:next w:val="1160"/>
    <w:link w:val="851"/>
    <w:uiPriority w:val="99"/>
    <w:qFormat/>
    <w:pPr>
      <w:jc w:val="left"/>
      <w:spacing w:before="100" w:beforeAutospacing="1" w:after="100" w:afterAutospacing="1"/>
      <w:widowControl/>
    </w:pPr>
    <w:rPr>
      <w:rFonts w:ascii="宋体" w:hAnsi="宋体" w:eastAsia="宋体" w:cs="宋体"/>
      <w:sz w:val="24"/>
      <w:szCs w:val="24"/>
    </w:rPr>
  </w:style>
  <w:style w:type="paragraph" w:styleId="1161">
    <w:name w:val="Char Char Char1 Char Char Char Char Char Char Char Char Char"/>
    <w:basedOn w:val="851"/>
    <w:next w:val="1161"/>
    <w:link w:val="851"/>
    <w:qFormat/>
    <w:pPr>
      <w:spacing w:line="360" w:lineRule="auto"/>
    </w:pPr>
    <w:rPr>
      <w:rFonts w:ascii="Times New Roman" w:hAnsi="Times New Roman" w:eastAsia="宋体" w:cs="宋体"/>
      <w:b/>
      <w:sz w:val="24"/>
      <w:szCs w:val="20"/>
    </w:rPr>
  </w:style>
  <w:style w:type="paragraph" w:styleId="1162">
    <w:name w:val="样式 样式 宋体 首行缩进:  2 字符 段前: 0.5 行 + 首行缩进:  2 字符 段前: 0.5 行"/>
    <w:basedOn w:val="851"/>
    <w:next w:val="1162"/>
    <w:link w:val="851"/>
    <w:qFormat/>
    <w:pPr>
      <w:ind w:firstLine="480"/>
      <w:spacing w:line="300" w:lineRule="auto"/>
    </w:pPr>
    <w:rPr>
      <w:rFonts w:ascii="Times New Roman" w:hAnsi="Times New Roman" w:eastAsia="宋体" w:cs="宋体"/>
      <w:sz w:val="24"/>
      <w:szCs w:val="20"/>
    </w:rPr>
  </w:style>
  <w:style w:type="paragraph" w:styleId="1163">
    <w:name w:val="FA正文"/>
    <w:basedOn w:val="851"/>
    <w:next w:val="1163"/>
    <w:link w:val="851"/>
    <w:qFormat/>
    <w:pPr>
      <w:ind w:firstLine="200"/>
    </w:pPr>
    <w:rPr>
      <w:rFonts w:ascii="Calibri" w:hAnsi="宋体" w:eastAsia="宋体" w:cs="宋体"/>
      <w:bCs/>
      <w:sz w:val="24"/>
      <w:szCs w:val="21"/>
    </w:rPr>
  </w:style>
  <w:style w:type="paragraph" w:styleId="1164">
    <w:name w:val="文档正文"/>
    <w:basedOn w:val="851"/>
    <w:next w:val="1164"/>
    <w:link w:val="851"/>
    <w:qFormat/>
    <w:pPr>
      <w:ind w:right="-107"/>
      <w:spacing w:line="312" w:lineRule="atLeast"/>
    </w:pPr>
    <w:rPr>
      <w:rFonts w:ascii="宋体" w:hAnsi="宋体" w:eastAsia="宋体" w:cs="Times New Roman"/>
      <w:spacing w:val="6"/>
      <w:sz w:val="24"/>
      <w:szCs w:val="24"/>
    </w:rPr>
  </w:style>
  <w:style w:type="paragraph" w:styleId="1165">
    <w:name w:val="样式 cz正文 + 仿宋_GB2312"/>
    <w:basedOn w:val="1166"/>
    <w:next w:val="1165"/>
    <w:link w:val="851"/>
    <w:qFormat/>
    <w:rPr>
      <w:rFonts w:ascii="仿宋_GB2312" w:hAnsi="仿宋_GB2312"/>
    </w:rPr>
  </w:style>
  <w:style w:type="paragraph" w:styleId="1166">
    <w:name w:val="cz正文"/>
    <w:basedOn w:val="851"/>
    <w:next w:val="1166"/>
    <w:link w:val="1167"/>
    <w:qFormat/>
    <w:pPr>
      <w:ind w:firstLine="480"/>
      <w:spacing w:line="360" w:lineRule="auto"/>
    </w:pPr>
    <w:rPr>
      <w:rFonts w:ascii="宋体" w:hAnsi="宋体" w:eastAsia="宋体" w:cs="宋体"/>
      <w:sz w:val="24"/>
      <w:szCs w:val="24"/>
    </w:rPr>
  </w:style>
  <w:style w:type="character" w:styleId="1167">
    <w:name w:val="cz正文 Char Char"/>
    <w:next w:val="1167"/>
    <w:link w:val="1166"/>
    <w:qFormat/>
    <w:rPr>
      <w:rFonts w:ascii="宋体" w:hAnsi="宋体" w:eastAsia="宋体" w:cs="宋体"/>
      <w:sz w:val="24"/>
      <w:szCs w:val="24"/>
    </w:rPr>
  </w:style>
  <w:style w:type="paragraph" w:styleId="1168">
    <w:name w:val="yh正文"/>
    <w:basedOn w:val="851"/>
    <w:next w:val="1168"/>
    <w:link w:val="851"/>
    <w:qFormat/>
    <w:pPr>
      <w:ind w:firstLine="480"/>
      <w:spacing w:line="360" w:lineRule="auto"/>
    </w:pPr>
    <w:rPr>
      <w:rFonts w:ascii="Calibri" w:hAnsi="宋体" w:eastAsia="宋体" w:cs="宋体"/>
      <w:sz w:val="24"/>
      <w:szCs w:val="21"/>
    </w:rPr>
  </w:style>
  <w:style w:type="paragraph" w:styleId="1169">
    <w:name w:val="正文4"/>
    <w:basedOn w:val="851"/>
    <w:next w:val="1169"/>
    <w:link w:val="851"/>
    <w:qFormat/>
    <w:pPr>
      <w:ind w:left="3780"/>
      <w:jc w:val="left"/>
      <w:spacing w:line="480" w:lineRule="atLeast"/>
      <w:widowControl/>
    </w:pPr>
    <w:rPr>
      <w:rFonts w:ascii="Times New Roman" w:hAnsi="Times New Roman" w:eastAsia="宋体" w:cs="Times New Roman"/>
      <w:sz w:val="24"/>
      <w:szCs w:val="24"/>
    </w:rPr>
  </w:style>
  <w:style w:type="paragraph" w:styleId="1170">
    <w:name w:val="Char Char Char Char Char Char Char Char Char Char Char Char Char Char Char"/>
    <w:basedOn w:val="851"/>
    <w:next w:val="1170"/>
    <w:link w:val="851"/>
    <w:qFormat/>
    <w:rPr>
      <w:rFonts w:ascii="Tahoma" w:hAnsi="Tahoma" w:eastAsia="宋体" w:cs="Times New Roman"/>
      <w:sz w:val="24"/>
      <w:szCs w:val="24"/>
    </w:rPr>
  </w:style>
  <w:style w:type="paragraph" w:styleId="1171">
    <w:name w:val="Table Heading"/>
    <w:basedOn w:val="1103"/>
    <w:next w:val="1171"/>
    <w:link w:val="1172"/>
    <w:qFormat/>
    <w:pPr>
      <w:ind w:firstLine="0"/>
      <w:jc w:val="center"/>
      <w:spacing w:before="60" w:after="60" w:line="288" w:lineRule="auto"/>
    </w:pPr>
    <w:rPr>
      <w:rFonts w:ascii="Times New Roman" w:hAnsi="Times New Roman" w:eastAsia="宋体" w:cs="Calibri"/>
      <w:b/>
      <w:sz w:val="21"/>
      <w:szCs w:val="24"/>
      <w:lang w:val="en-US" w:eastAsia="zh-CN" w:bidi="ar-SA"/>
    </w:rPr>
  </w:style>
  <w:style w:type="character" w:styleId="1172">
    <w:name w:val="Table Heading Char"/>
    <w:next w:val="1172"/>
    <w:link w:val="1171"/>
    <w:qFormat/>
    <w:rPr>
      <w:rFonts w:ascii="Times New Roman" w:hAnsi="Times New Roman" w:eastAsia="宋体" w:cs="Calibri"/>
      <w:b/>
      <w:sz w:val="21"/>
      <w:szCs w:val="24"/>
    </w:rPr>
  </w:style>
  <w:style w:type="paragraph" w:styleId="1173">
    <w:name w:val="符号缩进"/>
    <w:basedOn w:val="1140"/>
    <w:next w:val="1173"/>
    <w:link w:val="851"/>
    <w:qFormat/>
    <w:pPr>
      <w:ind w:left="200" w:firstLine="200"/>
      <w:spacing w:before="120"/>
    </w:pPr>
    <w:rPr>
      <w:rFonts w:ascii="Arial" w:hAnsi="Arial" w:eastAsia="楷体_GB2312"/>
      <w:color w:val="000000"/>
      <w:sz w:val="24"/>
      <w:szCs w:val="22"/>
    </w:rPr>
  </w:style>
  <w:style w:type="paragraph" w:styleId="1174">
    <w:name w:val="样式 标题 1 + 居中"/>
    <w:basedOn w:val="1039"/>
    <w:next w:val="1174"/>
    <w:link w:val="851"/>
    <w:qFormat/>
    <w:pPr>
      <w:ind w:left="1283" w:hanging="432"/>
      <w:jc w:val="center"/>
      <w:tabs>
        <w:tab w:val="left" w:pos="1283" w:leader="none"/>
      </w:tabs>
    </w:pPr>
    <w:rPr>
      <w:rFonts w:ascii="Times New Roman" w:hAnsi="Times New Roman" w:cs="宋体"/>
      <w:sz w:val="44"/>
      <w:szCs w:val="20"/>
    </w:rPr>
  </w:style>
  <w:style w:type="paragraph" w:styleId="1175">
    <w:name w:val="样式 样式 样式 宋体 小四 首行缩进:  0.74 厘米 行距: 最小值 18 磅 + 段前: 0.5 行 段后: 0.5 行..."/>
    <w:basedOn w:val="851"/>
    <w:next w:val="1175"/>
    <w:link w:val="1176"/>
    <w:qFormat/>
    <w:pPr>
      <w:ind w:firstLine="420"/>
      <w:spacing w:line="360" w:lineRule="auto"/>
    </w:pPr>
    <w:rPr>
      <w:rFonts w:ascii="宋体" w:hAnsi="Times New Roman" w:eastAsia="宋体" w:cs="宋体"/>
      <w:sz w:val="24"/>
      <w:szCs w:val="20"/>
    </w:rPr>
  </w:style>
  <w:style w:type="character" w:styleId="1176">
    <w:name w:val="样式 样式 样式 宋体 小四 首行缩进:  0.74 厘米 行距: 最小值 18 磅 + 段前: 0.5 行 段后: 0.5 行... Char3"/>
    <w:next w:val="1176"/>
    <w:link w:val="1175"/>
    <w:qFormat/>
    <w:rPr>
      <w:rFonts w:ascii="宋体" w:hAnsi="Times New Roman" w:eastAsia="宋体" w:cs="宋体"/>
      <w:sz w:val="24"/>
    </w:rPr>
  </w:style>
  <w:style w:type="paragraph" w:styleId="1177">
    <w:name w:val="样式 样式 样式 样式 宋体 小四 首行缩进:  0.74 厘米 行距: 最小值 18 磅 + 段前: 0.5 行 段后: 0...."/>
    <w:basedOn w:val="1175"/>
    <w:next w:val="1177"/>
    <w:link w:val="1178"/>
    <w:qFormat/>
    <w:pPr>
      <w:spacing w:before="50" w:after="50" w:line="240" w:lineRule="auto"/>
    </w:pPr>
    <w:rPr>
      <w:rFonts w:hAnsi="宋体"/>
    </w:rPr>
  </w:style>
  <w:style w:type="character" w:styleId="1178">
    <w:name w:val="样式 样式 样式 样式 宋体 小四 首行缩进:  0.74 厘米 行距: 最小值 18 磅 + 段前: 0.5 行 段后: 0.... Char3"/>
    <w:next w:val="1178"/>
    <w:link w:val="1177"/>
    <w:qFormat/>
    <w:rPr>
      <w:rFonts w:ascii="宋体" w:hAnsi="宋体" w:eastAsia="宋体" w:cs="宋体"/>
      <w:sz w:val="24"/>
    </w:rPr>
  </w:style>
  <w:style w:type="paragraph" w:styleId="1179">
    <w:name w:val="样式 标题 22nd levelh22Header 2l2节Titre2Head 2H2heading 2+..."/>
    <w:basedOn w:val="935"/>
    <w:next w:val="1179"/>
    <w:link w:val="851"/>
    <w:qFormat/>
    <w:pPr>
      <w:ind w:left="0" w:firstLine="0"/>
      <w:spacing w:before="360" w:after="0" w:line="240" w:lineRule="auto"/>
      <w:tabs>
        <w:tab w:val="left" w:pos="0" w:leader="none"/>
      </w:tabs>
    </w:pPr>
    <w:rPr>
      <w:rFonts w:ascii="Arial" w:hAnsi="Arial" w:eastAsia="黑体" w:cs="宋体"/>
      <w:b w:val="0"/>
    </w:rPr>
  </w:style>
  <w:style w:type="paragraph" w:styleId="1180">
    <w:name w:val="样式 正文（首行缩进两字）正文双线正文非缩进表正文特点四号ALT+Z段1 + 宋体 段前: 5 磅 段后: 5..."/>
    <w:basedOn w:val="1140"/>
    <w:next w:val="1180"/>
    <w:link w:val="1181"/>
    <w:qFormat/>
    <w:pPr>
      <w:spacing w:before="100" w:after="100" w:line="360" w:lineRule="auto"/>
    </w:pPr>
    <w:rPr>
      <w:rFonts w:ascii="宋体" w:hAnsi="宋体" w:cs="宋体"/>
      <w:sz w:val="24"/>
    </w:rPr>
  </w:style>
  <w:style w:type="character" w:styleId="1181">
    <w:name w:val="样式 正文（首行缩进两字）正文双线正文非缩进表正文特点四号ALT+Z段1 + 宋体 段前: 5 磅 段后: 5... Char Char"/>
    <w:next w:val="1181"/>
    <w:link w:val="1180"/>
    <w:qFormat/>
    <w:rPr>
      <w:rFonts w:ascii="宋体" w:hAnsi="宋体" w:eastAsia="宋体" w:cs="宋体"/>
      <w:sz w:val="24"/>
    </w:rPr>
  </w:style>
  <w:style w:type="paragraph" w:styleId="1182">
    <w:name w:val="样式 标题 3一1h33rd levelH3l3CTHeading 3 - oldLevel 3 Head3..."/>
    <w:basedOn w:val="1003"/>
    <w:next w:val="1182"/>
    <w:link w:val="851"/>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83">
    <w:name w:val="列表1"/>
    <w:basedOn w:val="851"/>
    <w:next w:val="1183"/>
    <w:link w:val="851"/>
    <w:qFormat/>
    <w:pPr>
      <w:ind w:left="200" w:hanging="200"/>
    </w:pPr>
    <w:rPr>
      <w:rFonts w:ascii="Times New Roman" w:hAnsi="Times New Roman" w:eastAsia="宋体" w:cs="Times New Roman"/>
      <w:szCs w:val="24"/>
    </w:rPr>
  </w:style>
  <w:style w:type="paragraph" w:styleId="1184">
    <w:name w:val="HD图号"/>
    <w:basedOn w:val="851"/>
    <w:next w:val="1184"/>
    <w:link w:val="851"/>
    <w:qFormat/>
    <w:pPr>
      <w:jc w:val="center"/>
      <w:spacing w:line="440" w:lineRule="atLeast"/>
    </w:pPr>
    <w:rPr>
      <w:rFonts w:ascii="Times New Roman" w:hAnsi="Times New Roman" w:eastAsia="楷体_GB2312" w:cs="Times New Roman"/>
      <w:sz w:val="24"/>
      <w:szCs w:val="20"/>
    </w:rPr>
  </w:style>
  <w:style w:type="paragraph" w:styleId="1185">
    <w:name w:val="样式 样式 样式 样式 样式 宋体 小四 首行缩进:  0.74 厘米 行距: 最小值 18 磅 + 段前: 0.5 行 段后:..."/>
    <w:basedOn w:val="1177"/>
    <w:next w:val="1185"/>
    <w:link w:val="851"/>
    <w:qFormat/>
    <w:rPr>
      <w:szCs w:val="22"/>
    </w:rPr>
  </w:style>
  <w:style w:type="paragraph" w:styleId="1186">
    <w:name w:val="样式 样式 样式 样式 样式 宋体 小四 首行缩进:  0.74 厘米 行距: 最小值 18 磅 + 段前: 0.5 行 段后:...1"/>
    <w:basedOn w:val="1177"/>
    <w:next w:val="1186"/>
    <w:link w:val="851"/>
    <w:qFormat/>
    <w:rPr>
      <w:szCs w:val="22"/>
    </w:rPr>
  </w:style>
  <w:style w:type="paragraph" w:styleId="1187">
    <w:name w:val="样式 样式 样式 样式 样式 样式 宋体 小四 首行缩进:  0.74 厘米 行距: 最小值 18 磅 + 段前: 0.5 行 ..."/>
    <w:basedOn w:val="1186"/>
    <w:next w:val="1187"/>
    <w:link w:val="851"/>
    <w:qFormat/>
    <w:pPr>
      <w:spacing w:line="320" w:lineRule="exact"/>
    </w:pPr>
  </w:style>
  <w:style w:type="paragraph" w:styleId="1188">
    <w:name w:val="样式 样式 样式 样式 样式 样式 样式 宋体 小四 首行缩进:  0.74 厘米 行距: 最小值 18 磅 + 段前: 0.5..."/>
    <w:basedOn w:val="1187"/>
    <w:next w:val="1188"/>
    <w:link w:val="851"/>
    <w:qFormat/>
    <w:pPr>
      <w:ind w:left="100" w:firstLine="454"/>
      <w:spacing w:line="360" w:lineRule="exact"/>
    </w:pPr>
  </w:style>
  <w:style w:type="paragraph" w:styleId="1189">
    <w:name w:val="样式 样式 标题 4 + 段前: 14 磅 段后: 14.5 磅 行距: 多倍行距 1.57 字行 + 左侧:  1.48 厘米"/>
    <w:basedOn w:val="1155"/>
    <w:next w:val="1189"/>
    <w:link w:val="851"/>
    <w:qFormat/>
    <w:pPr>
      <w:spacing w:before="240" w:after="0" w:line="240" w:lineRule="auto"/>
      <w:tabs>
        <w:tab w:val="left" w:pos="0" w:leader="none"/>
      </w:tabs>
    </w:pPr>
    <w:rPr>
      <w:rFonts w:eastAsia="宋体"/>
      <w:b/>
      <w:szCs w:val="20"/>
    </w:rPr>
  </w:style>
  <w:style w:type="paragraph" w:styleId="1190">
    <w:name w:val="wen_2"/>
    <w:basedOn w:val="851"/>
    <w:next w:val="1190"/>
    <w:link w:val="851"/>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91">
    <w:name w:val="样式 样式 样式 样式 样式 样式 样式 样式 宋体 小四 首行缩进:  0.74 厘米 行距: 最小值 18 磅 + 段前: ... Char"/>
    <w:basedOn w:val="1188"/>
    <w:next w:val="1191"/>
    <w:link w:val="851"/>
    <w:qFormat/>
    <w:pPr>
      <w:ind w:left="0" w:firstLine="0"/>
      <w:spacing w:line="240" w:lineRule="auto"/>
    </w:pPr>
    <w:rPr>
      <w:rFonts w:ascii="Calibri" w:hAnsi="Calibri"/>
      <w:sz w:val="21"/>
    </w:rPr>
  </w:style>
  <w:style w:type="paragraph" w:styleId="1192">
    <w:name w:val="封面标准名称"/>
    <w:next w:val="1192"/>
    <w:link w:val="851"/>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93">
    <w:name w:val="Char2"/>
    <w:basedOn w:val="851"/>
    <w:next w:val="1193"/>
    <w:link w:val="851"/>
    <w:qFormat/>
    <w:rPr>
      <w:rFonts w:ascii="仿宋_GB2312" w:hAnsi="Times New Roman" w:eastAsia="仿宋_GB2312" w:cs="Times New Roman"/>
      <w:b/>
      <w:sz w:val="32"/>
      <w:szCs w:val="32"/>
    </w:rPr>
  </w:style>
  <w:style w:type="paragraph" w:styleId="1194">
    <w:name w:val="正文悬挂缩进"/>
    <w:basedOn w:val="851"/>
    <w:next w:val="1194"/>
    <w:link w:val="851"/>
    <w:qFormat/>
    <w:pPr>
      <w:tabs>
        <w:tab w:val="left" w:pos="450" w:leader="none"/>
        <w:tab w:val="right" w:pos="9174" w:leader="dot"/>
      </w:tabs>
    </w:pPr>
    <w:rPr>
      <w:rFonts w:ascii="Times New Roman" w:hAnsi="Times New Roman" w:eastAsia="宋体" w:cs="Times New Roman"/>
      <w:szCs w:val="24"/>
    </w:rPr>
  </w:style>
  <w:style w:type="paragraph" w:styleId="1195">
    <w:name w:val="Char Char Char Char Char Char Char"/>
    <w:basedOn w:val="851"/>
    <w:next w:val="1195"/>
    <w:link w:val="1196"/>
    <w:qFormat/>
    <w:rPr>
      <w:rFonts w:ascii="Tahoma" w:hAnsi="Tahoma" w:eastAsia="宋体" w:cs="Times New Roman"/>
      <w:sz w:val="24"/>
      <w:szCs w:val="20"/>
    </w:rPr>
  </w:style>
  <w:style w:type="character" w:styleId="1196">
    <w:name w:val="Char Char Char Char Char Char Char Char Char Char Char Char"/>
    <w:next w:val="1196"/>
    <w:link w:val="1195"/>
    <w:qFormat/>
    <w:rPr>
      <w:rFonts w:ascii="Tahoma" w:hAnsi="Tahoma" w:eastAsia="宋体" w:cs="Times New Roman"/>
      <w:sz w:val="24"/>
    </w:rPr>
  </w:style>
  <w:style w:type="paragraph" w:styleId="1197">
    <w:name w:val="Char Char Char Char"/>
    <w:basedOn w:val="1119"/>
    <w:next w:val="1197"/>
    <w:link w:val="851"/>
    <w:qFormat/>
    <w:pPr>
      <w:spacing w:line="360" w:lineRule="auto"/>
      <w:shd w:val="clear" w:color="auto" w:fill="000080"/>
    </w:pPr>
    <w:rPr>
      <w:rFonts w:ascii="Tahoma" w:hAnsi="Tahoma"/>
      <w:sz w:val="24"/>
      <w:szCs w:val="24"/>
    </w:rPr>
  </w:style>
  <w:style w:type="paragraph" w:styleId="1198">
    <w:name w:val="样式 标题 3H3h3Level 3 Topic HeadingMap一13rd levell3CTHead..."/>
    <w:basedOn w:val="1003"/>
    <w:next w:val="1198"/>
    <w:link w:val="851"/>
    <w:qFormat/>
    <w:pPr>
      <w:ind w:left="567" w:hanging="567"/>
      <w:spacing w:line="360" w:lineRule="auto"/>
      <w:tabs>
        <w:tab w:val="left" w:pos="360" w:leader="none"/>
      </w:tabs>
    </w:pPr>
    <w:rPr>
      <w:rFonts w:ascii="黑体" w:hAnsi="宋体" w:eastAsia="黑体"/>
      <w:spacing w:val="4"/>
      <w:sz w:val="28"/>
      <w:szCs w:val="28"/>
    </w:rPr>
  </w:style>
  <w:style w:type="paragraph" w:styleId="1199">
    <w:name w:val="样式 宋体 小四 首行缩进:  0.74 厘米 行距: 最小值 18 磅"/>
    <w:basedOn w:val="851"/>
    <w:next w:val="1199"/>
    <w:link w:val="851"/>
    <w:qFormat/>
    <w:pPr>
      <w:ind w:firstLine="420"/>
      <w:spacing w:line="320" w:lineRule="exact"/>
    </w:pPr>
    <w:rPr>
      <w:rFonts w:ascii="宋体" w:hAnsi="Times New Roman" w:eastAsia="宋体" w:cs="宋体"/>
      <w:sz w:val="24"/>
      <w:szCs w:val="24"/>
    </w:rPr>
  </w:style>
  <w:style w:type="paragraph" w:styleId="1200">
    <w:name w:val="样式 样式 宋体 小四 首行缩进:  0.74 厘米 行距: 最小值 18 磅 + 段前: 0.5 行 段后: 0.5 行 Char"/>
    <w:basedOn w:val="1199"/>
    <w:next w:val="1200"/>
    <w:link w:val="851"/>
    <w:qFormat/>
    <w:pPr>
      <w:spacing w:line="360" w:lineRule="auto"/>
    </w:pPr>
    <w:rPr>
      <w:szCs w:val="20"/>
    </w:rPr>
  </w:style>
  <w:style w:type="paragraph" w:styleId="1201">
    <w:name w:val="11"/>
    <w:basedOn w:val="851"/>
    <w:next w:val="1121"/>
    <w:link w:val="851"/>
    <w:qFormat/>
    <w:pPr>
      <w:jc w:val="center"/>
    </w:pPr>
    <w:rPr>
      <w:rFonts w:ascii="Times New Roman" w:hAnsi="Times New Roman" w:eastAsia="宋体" w:cs="Times New Roman"/>
      <w:color w:val="000000"/>
      <w:sz w:val="28"/>
      <w:szCs w:val="28"/>
      <w:lang w:val="zh-CN"/>
    </w:rPr>
  </w:style>
  <w:style w:type="paragraph" w:styleId="1202">
    <w:name w:val="10"/>
    <w:basedOn w:val="851"/>
    <w:next w:val="1140"/>
    <w:link w:val="851"/>
    <w:qFormat/>
    <w:pPr>
      <w:ind w:left="200" w:firstLine="200"/>
      <w:spacing w:before="240"/>
    </w:pPr>
    <w:rPr>
      <w:rFonts w:ascii="Times New Roman" w:hAnsi="Times New Roman" w:eastAsia="楷体_GB2312" w:cs="Times New Roman"/>
      <w:sz w:val="24"/>
      <w:szCs w:val="20"/>
    </w:rPr>
  </w:style>
  <w:style w:type="paragraph" w:styleId="1203">
    <w:name w:val="样式 标题 2H2Heading 2 HiddenHeading 2 CCBSheading 2第一章 标题 2IS..."/>
    <w:basedOn w:val="935"/>
    <w:next w:val="1203"/>
    <w:link w:val="851"/>
    <w:qFormat/>
    <w:pPr>
      <w:ind w:left="992" w:firstLine="0"/>
      <w:spacing w:line="400" w:lineRule="atLeast"/>
    </w:pPr>
    <w:rPr>
      <w:rFonts w:ascii="Arial" w:hAnsi="Arial" w:eastAsia="黑体" w:cs="宋体"/>
      <w:b w:val="0"/>
      <w:bCs w:val="0"/>
      <w:sz w:val="24"/>
      <w:szCs w:val="20"/>
    </w:rPr>
  </w:style>
  <w:style w:type="paragraph" w:styleId="1204">
    <w:name w:val="9"/>
    <w:basedOn w:val="851"/>
    <w:next w:val="1140"/>
    <w:link w:val="851"/>
    <w:qFormat/>
    <w:pPr>
      <w:ind w:firstLine="420"/>
    </w:pPr>
    <w:rPr>
      <w:rFonts w:ascii="Times New Roman" w:hAnsi="Times New Roman" w:eastAsia="宋体" w:cs="Times New Roman"/>
      <w:szCs w:val="24"/>
    </w:rPr>
  </w:style>
  <w:style w:type="paragraph" w:styleId="1205">
    <w:name w:val="8"/>
    <w:basedOn w:val="851"/>
    <w:next w:val="1109"/>
    <w:link w:val="851"/>
    <w:qFormat/>
    <w:pPr>
      <w:ind w:left="420"/>
      <w:spacing w:after="120"/>
    </w:pPr>
    <w:rPr>
      <w:rFonts w:ascii="Times New Roman" w:hAnsi="Times New Roman" w:eastAsia="宋体" w:cs="Times New Roman"/>
      <w:szCs w:val="24"/>
    </w:rPr>
  </w:style>
  <w:style w:type="paragraph" w:styleId="1206">
    <w:name w:val="索引 11"/>
    <w:basedOn w:val="851"/>
    <w:next w:val="851"/>
    <w:link w:val="851"/>
    <w:qFormat/>
    <w:rPr>
      <w:rFonts w:ascii="Times New Roman" w:hAnsi="Times New Roman" w:eastAsia="宋体" w:cs="Times New Roman"/>
      <w:szCs w:val="24"/>
    </w:rPr>
  </w:style>
  <w:style w:type="paragraph" w:styleId="1207">
    <w:name w:val="7"/>
    <w:basedOn w:val="851"/>
    <w:next w:val="1109"/>
    <w:link w:val="851"/>
    <w:qFormat/>
    <w:pPr>
      <w:ind w:left="420"/>
      <w:spacing w:after="120"/>
    </w:pPr>
    <w:rPr>
      <w:rFonts w:ascii="Times New Roman" w:hAnsi="Times New Roman" w:eastAsia="宋体" w:cs="Times New Roman"/>
      <w:szCs w:val="24"/>
    </w:rPr>
  </w:style>
  <w:style w:type="paragraph" w:styleId="1208">
    <w:name w:val="表名"/>
    <w:basedOn w:val="851"/>
    <w:next w:val="1208"/>
    <w:link w:val="851"/>
    <w:qFormat/>
    <w:pPr>
      <w:ind w:left="1920" w:firstLine="360"/>
      <w:jc w:val="center"/>
      <w:spacing w:line="227" w:lineRule="atLeast"/>
    </w:pPr>
    <w:rPr>
      <w:rFonts w:ascii="Times New Roman" w:hAnsi="Times New Roman" w:eastAsia="宋体" w:cs="Times New Roman"/>
      <w:b/>
      <w:sz w:val="18"/>
      <w:szCs w:val="20"/>
    </w:rPr>
  </w:style>
  <w:style w:type="paragraph" w:styleId="1209">
    <w:name w:val="主正文"/>
    <w:basedOn w:val="851"/>
    <w:next w:val="1209"/>
    <w:link w:val="851"/>
    <w:qFormat/>
    <w:pPr>
      <w:ind w:left="200" w:firstLine="200"/>
      <w:spacing w:line="360" w:lineRule="exact"/>
    </w:pPr>
    <w:rPr>
      <w:rFonts w:ascii="宋体" w:hAnsi="宋体" w:eastAsia="宋体" w:cs="Times New Roman"/>
      <w:sz w:val="24"/>
      <w:szCs w:val="20"/>
    </w:rPr>
  </w:style>
  <w:style w:type="paragraph" w:styleId="1210">
    <w:name w:val="一般正文"/>
    <w:basedOn w:val="851"/>
    <w:next w:val="1210"/>
    <w:link w:val="851"/>
    <w:qFormat/>
    <w:pPr>
      <w:ind w:firstLine="480"/>
      <w:spacing w:line="380" w:lineRule="exact"/>
    </w:pPr>
    <w:rPr>
      <w:rFonts w:ascii="宋体" w:hAnsi="宋体" w:eastAsia="宋体" w:cs="Times New Roman"/>
      <w:sz w:val="24"/>
      <w:szCs w:val="20"/>
    </w:rPr>
  </w:style>
  <w:style w:type="paragraph" w:styleId="1211">
    <w:name w:val="序号正文"/>
    <w:basedOn w:val="1158"/>
    <w:next w:val="1211"/>
    <w:link w:val="851"/>
    <w:qFormat/>
    <w:pPr>
      <w:ind w:left="200" w:firstLine="200"/>
      <w:tabs>
        <w:tab w:val="left" w:pos="720" w:leader="none"/>
      </w:tabs>
    </w:pPr>
    <w:rPr>
      <w:sz w:val="24"/>
    </w:rPr>
  </w:style>
  <w:style w:type="paragraph" w:styleId="1212">
    <w:name w:val="样式 样式 样式 样式 左侧:  0 厘米 悬挂缩进: 2 字符 段前: 0.5 行 段后: 0.5 行1 + 首行缩进:  2..."/>
    <w:basedOn w:val="851"/>
    <w:next w:val="1212"/>
    <w:link w:val="851"/>
    <w:qFormat/>
    <w:pPr>
      <w:ind w:firstLine="480"/>
      <w:spacing w:line="320" w:lineRule="exact"/>
    </w:pPr>
    <w:rPr>
      <w:rFonts w:ascii="Times New Roman" w:hAnsi="Times New Roman" w:eastAsia="宋体" w:cs="宋体"/>
      <w:sz w:val="24"/>
      <w:szCs w:val="24"/>
    </w:rPr>
  </w:style>
  <w:style w:type="paragraph" w:styleId="1213">
    <w:name w:val="z-窗体顶端1"/>
    <w:basedOn w:val="851"/>
    <w:next w:val="851"/>
    <w:link w:val="1214"/>
    <w:qFormat/>
    <w:pPr>
      <w:jc w:val="center"/>
      <w:widowControl/>
      <w:pBdr>
        <w:bottom w:val="single" w:color="000000" w:sz="6" w:space="1"/>
      </w:pBdr>
    </w:pPr>
    <w:rPr>
      <w:rFonts w:ascii="Arial" w:hAnsi="Arial" w:eastAsia="宋体" w:cs="Arial"/>
      <w:vanish/>
      <w:sz w:val="16"/>
      <w:szCs w:val="16"/>
    </w:rPr>
  </w:style>
  <w:style w:type="character" w:styleId="1214">
    <w:name w:val="z-窗体顶端 Char"/>
    <w:next w:val="1214"/>
    <w:link w:val="1213"/>
    <w:qFormat/>
    <w:rPr>
      <w:rFonts w:ascii="Arial" w:hAnsi="Arial" w:eastAsia="宋体" w:cs="Arial"/>
      <w:vanish/>
      <w:sz w:val="16"/>
      <w:szCs w:val="16"/>
    </w:rPr>
  </w:style>
  <w:style w:type="paragraph" w:styleId="1215">
    <w:name w:val="z-窗体底端1"/>
    <w:basedOn w:val="851"/>
    <w:next w:val="851"/>
    <w:link w:val="1216"/>
    <w:qFormat/>
    <w:pPr>
      <w:jc w:val="center"/>
      <w:widowControl/>
      <w:pBdr>
        <w:top w:val="single" w:color="000000" w:sz="6" w:space="1"/>
      </w:pBdr>
    </w:pPr>
    <w:rPr>
      <w:rFonts w:ascii="Arial" w:hAnsi="Arial" w:eastAsia="宋体" w:cs="Arial"/>
      <w:vanish/>
      <w:sz w:val="16"/>
      <w:szCs w:val="16"/>
    </w:rPr>
  </w:style>
  <w:style w:type="character" w:styleId="1216">
    <w:name w:val="z-窗体底端 Char"/>
    <w:next w:val="1216"/>
    <w:link w:val="1215"/>
    <w:qFormat/>
    <w:rPr>
      <w:rFonts w:ascii="Arial" w:hAnsi="Arial" w:eastAsia="宋体" w:cs="Arial"/>
      <w:vanish/>
      <w:sz w:val="16"/>
      <w:szCs w:val="16"/>
    </w:rPr>
  </w:style>
  <w:style w:type="paragraph" w:styleId="1217">
    <w:name w:val="题头"/>
    <w:basedOn w:val="1003"/>
    <w:next w:val="851"/>
    <w:link w:val="851"/>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18">
    <w:name w:val="样式 论文正文__最新 Char Char"/>
    <w:basedOn w:val="851"/>
    <w:next w:val="1218"/>
    <w:link w:val="851"/>
    <w:qFormat/>
    <w:pPr>
      <w:ind w:left="210" w:firstLine="510"/>
      <w:spacing w:line="400" w:lineRule="exact"/>
    </w:pPr>
    <w:rPr>
      <w:rFonts w:ascii="Times New Roman" w:hAnsi="Times New Roman" w:eastAsia="宋体" w:cs="宋体"/>
      <w:sz w:val="24"/>
      <w:szCs w:val="24"/>
    </w:rPr>
  </w:style>
  <w:style w:type="paragraph" w:styleId="1219">
    <w:name w:val="索引 51"/>
    <w:basedOn w:val="851"/>
    <w:next w:val="851"/>
    <w:link w:val="851"/>
    <w:qFormat/>
    <w:pPr>
      <w:ind w:left="800"/>
      <w:spacing w:line="227" w:lineRule="atLeast"/>
    </w:pPr>
    <w:rPr>
      <w:rFonts w:ascii="宋体" w:hAnsi="Times New Roman" w:eastAsia="宋体" w:cs="Times New Roman"/>
      <w:szCs w:val="20"/>
    </w:rPr>
  </w:style>
  <w:style w:type="paragraph" w:styleId="1220">
    <w:name w:val="样式 正文缩进特点四号段1标题4body text鋘drad????ndBody Te?ndBo段1 Cha...1"/>
    <w:basedOn w:val="1140"/>
    <w:next w:val="1220"/>
    <w:link w:val="851"/>
    <w:qFormat/>
    <w:pPr>
      <w:ind w:left="480" w:firstLine="480"/>
      <w:spacing w:line="300" w:lineRule="auto"/>
    </w:pPr>
    <w:rPr>
      <w:rFonts w:eastAsia="仿宋_GB2312" w:cs="宋体"/>
      <w:sz w:val="24"/>
      <w:szCs w:val="22"/>
    </w:rPr>
  </w:style>
  <w:style w:type="paragraph" w:styleId="1221">
    <w:name w:val="样式 标题 22nd levelh22Header 2l2节Titre2Head 2H2heading 2+...1"/>
    <w:basedOn w:val="935"/>
    <w:next w:val="1221"/>
    <w:link w:val="851"/>
    <w:qFormat/>
    <w:pPr>
      <w:ind w:left="578" w:hanging="578"/>
      <w:spacing w:line="415" w:lineRule="auto"/>
      <w:tabs>
        <w:tab w:val="left" w:pos="425" w:leader="none"/>
      </w:tabs>
    </w:pPr>
    <w:rPr>
      <w:rFonts w:ascii="Arial" w:hAnsi="Arial" w:eastAsia="黑体" w:cs="宋体"/>
      <w:szCs w:val="20"/>
    </w:rPr>
  </w:style>
  <w:style w:type="paragraph" w:styleId="1222">
    <w:name w:val="样式 正文缩进特点四号段1标题4body text鋘drad????ndBody Te?ndBo段1 Cha..."/>
    <w:basedOn w:val="1140"/>
    <w:next w:val="1222"/>
    <w:link w:val="851"/>
    <w:qFormat/>
    <w:pPr>
      <w:ind w:left="480" w:firstLine="400"/>
      <w:spacing w:line="360" w:lineRule="auto"/>
    </w:pPr>
    <w:rPr>
      <w:rFonts w:eastAsia="仿宋_GB2312" w:cs="宋体"/>
      <w:sz w:val="24"/>
      <w:szCs w:val="22"/>
    </w:rPr>
  </w:style>
  <w:style w:type="paragraph" w:styleId="1223">
    <w:name w:val="样式 样式 标题 3一1h33rd levelH3l3CTHeading 3 - oldLevel 3 Head3...1 +"/>
    <w:basedOn w:val="851"/>
    <w:next w:val="1223"/>
    <w:link w:val="851"/>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24">
    <w:name w:val="样式 (符号) 宋体 左侧:  2 字符 首行缩进:  2 字符 段前: 0.5 行 行距: 1.5 倍行距"/>
    <w:basedOn w:val="851"/>
    <w:next w:val="1224"/>
    <w:link w:val="851"/>
    <w:qFormat/>
    <w:pPr>
      <w:ind w:left="480" w:firstLine="480"/>
      <w:spacing w:line="360" w:lineRule="auto"/>
    </w:pPr>
    <w:rPr>
      <w:rFonts w:ascii="Times New Roman" w:hAnsi="宋体" w:eastAsia="仿宋_GB2312" w:cs="宋体"/>
      <w:sz w:val="24"/>
      <w:szCs w:val="20"/>
    </w:rPr>
  </w:style>
  <w:style w:type="paragraph" w:styleId="1225">
    <w:name w:val="样式 主正文 + 左侧:  2 字符 首行缩进:  2 字符 段前: 0.5 行"/>
    <w:basedOn w:val="1209"/>
    <w:next w:val="1225"/>
    <w:link w:val="851"/>
    <w:qFormat/>
    <w:rPr>
      <w:rFonts w:cs="宋体"/>
    </w:rPr>
  </w:style>
  <w:style w:type="paragraph" w:styleId="1226">
    <w:name w:val="样式 样式 左侧:  2 字符 首行缩进:  2 字符 段前: 0.5 行1 + 左侧:  2 字符 首行缩进:  2 字符..."/>
    <w:basedOn w:val="851"/>
    <w:next w:val="1226"/>
    <w:link w:val="851"/>
    <w:qFormat/>
    <w:pPr>
      <w:ind w:left="200" w:firstLine="200"/>
      <w:spacing w:line="360" w:lineRule="auto"/>
    </w:pPr>
    <w:rPr>
      <w:rFonts w:ascii="Times New Roman" w:hAnsi="Times New Roman" w:eastAsia="仿宋_GB2312" w:cs="Times New Roman"/>
      <w:sz w:val="24"/>
      <w:szCs w:val="20"/>
    </w:rPr>
  </w:style>
  <w:style w:type="paragraph" w:styleId="1227">
    <w:name w:val="样式 标题 3一1h33rd levelH3l3CTHeading 3 - oldLevel 3 Head3...1"/>
    <w:basedOn w:val="1003"/>
    <w:next w:val="1227"/>
    <w:link w:val="851"/>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28">
    <w:name w:val="样式 jerry + 左侧:  0 厘米 段前: 0.5 行 段后: 0.5 行"/>
    <w:basedOn w:val="851"/>
    <w:next w:val="1228"/>
    <w:link w:val="851"/>
    <w:qFormat/>
    <w:pPr>
      <w:ind w:firstLine="420"/>
    </w:pPr>
    <w:rPr>
      <w:rFonts w:ascii="Times New Roman" w:hAnsi="Times New Roman" w:eastAsia="宋体" w:cs="Times New Roman"/>
      <w:sz w:val="24"/>
      <w:szCs w:val="20"/>
    </w:rPr>
  </w:style>
  <w:style w:type="paragraph" w:styleId="1229">
    <w:name w:val="aaaaa"/>
    <w:basedOn w:val="851"/>
    <w:next w:val="1229"/>
    <w:link w:val="851"/>
    <w:qFormat/>
    <w:pPr>
      <w:ind w:firstLine="420"/>
      <w:spacing w:before="120" w:after="120" w:line="300" w:lineRule="auto"/>
    </w:pPr>
    <w:rPr>
      <w:rFonts w:ascii="仿宋_GB2312" w:hAnsi="Times New Roman" w:eastAsia="宋体" w:cs="Times New Roman"/>
      <w:sz w:val="28"/>
      <w:szCs w:val="28"/>
    </w:rPr>
  </w:style>
  <w:style w:type="paragraph" w:styleId="1230">
    <w:name w:val="样式 标题 2H2Heading 2 HiddenHeading 2 CCBSheading 2第一章 标题 2IS...1"/>
    <w:basedOn w:val="935"/>
    <w:next w:val="1230"/>
    <w:link w:val="851"/>
    <w:qFormat/>
    <w:pPr>
      <w:ind w:left="0" w:firstLine="0"/>
      <w:spacing w:line="415" w:lineRule="auto"/>
    </w:pPr>
    <w:rPr>
      <w:rFonts w:ascii="Times New Roman" w:hAnsi="Times New Roman" w:eastAsia="黑体"/>
      <w:b w:val="0"/>
      <w:bCs w:val="0"/>
    </w:rPr>
  </w:style>
  <w:style w:type="paragraph" w:styleId="1231">
    <w:name w:val="样式 标题 2H2Heading 2 HiddenHeading 2 CCBSheading 2第一章 标题 2IS...2"/>
    <w:basedOn w:val="935"/>
    <w:next w:val="1231"/>
    <w:link w:val="851"/>
    <w:qFormat/>
    <w:pPr>
      <w:ind w:left="0" w:firstLine="0"/>
      <w:spacing w:line="415" w:lineRule="auto"/>
    </w:pPr>
    <w:rPr>
      <w:rFonts w:ascii="Times New Roman" w:hAnsi="Times New Roman" w:eastAsia="黑体"/>
      <w:b w:val="0"/>
      <w:bCs w:val="0"/>
    </w:rPr>
  </w:style>
  <w:style w:type="paragraph" w:styleId="1232">
    <w:name w:val="样式 标题 2H2Heading 2 HiddenHeading 2 CCBSheading 2第一章 标题 2IS...3"/>
    <w:basedOn w:val="935"/>
    <w:next w:val="1232"/>
    <w:link w:val="851"/>
    <w:qFormat/>
    <w:pPr>
      <w:ind w:left="0" w:firstLine="0"/>
    </w:pPr>
    <w:rPr>
      <w:rFonts w:ascii="Times New Roman" w:hAnsi="Times New Roman" w:eastAsia="黑体"/>
      <w:b w:val="0"/>
      <w:bCs w:val="0"/>
    </w:rPr>
  </w:style>
  <w:style w:type="paragraph" w:styleId="1233">
    <w:name w:val="样式 标题 2H2Heading 2 HiddenHeading 2 CCBSheading 2第一章 标题 2IS...4"/>
    <w:basedOn w:val="935"/>
    <w:next w:val="1233"/>
    <w:link w:val="851"/>
    <w:qFormat/>
    <w:pPr>
      <w:ind w:left="0" w:firstLine="0"/>
    </w:pPr>
    <w:rPr>
      <w:rFonts w:ascii="Times New Roman" w:hAnsi="Times New Roman" w:eastAsia="黑体"/>
      <w:b w:val="0"/>
      <w:bCs w:val="0"/>
    </w:rPr>
  </w:style>
  <w:style w:type="paragraph" w:styleId="1234">
    <w:name w:val="样式 标题 4h4H4Ref Heading 1rh1Heading sqlsect 1.2.3.4PIM 4第..."/>
    <w:basedOn w:val="1004"/>
    <w:next w:val="1234"/>
    <w:link w:val="1235"/>
    <w:qFormat/>
    <w:pPr>
      <w:ind w:left="2240" w:hanging="420"/>
      <w:spacing w:before="120" w:line="240" w:lineRule="auto"/>
      <w:tabs>
        <w:tab w:val="left" w:pos="2240" w:leader="none"/>
      </w:tabs>
    </w:pPr>
    <w:rPr>
      <w:rFonts w:ascii="Times New Roman" w:hAnsi="Times New Roman" w:cs="宋体"/>
    </w:rPr>
  </w:style>
  <w:style w:type="character" w:styleId="1235">
    <w:name w:val="样式 标题 4h4H4Ref Heading 1rh1Heading sqlsect 1.2.3.4PIM 4第... Char Char"/>
    <w:next w:val="1235"/>
    <w:link w:val="1234"/>
    <w:qFormat/>
    <w:rPr>
      <w:rFonts w:ascii="Times New Roman" w:hAnsi="Times New Roman" w:eastAsia="宋体" w:cs="宋体"/>
      <w:b/>
      <w:bCs/>
      <w:sz w:val="28"/>
      <w:szCs w:val="28"/>
    </w:rPr>
  </w:style>
  <w:style w:type="paragraph" w:styleId="1236">
    <w:name w:val="样式 宋体 小四 行距: 1.5 倍行距"/>
    <w:basedOn w:val="851"/>
    <w:next w:val="1236"/>
    <w:link w:val="1237"/>
    <w:qFormat/>
    <w:pPr>
      <w:ind w:firstLine="540"/>
      <w:jc w:val="left"/>
      <w:spacing w:line="300" w:lineRule="auto"/>
    </w:pPr>
    <w:rPr>
      <w:rFonts w:ascii="宋体" w:hAnsi="Times New Roman" w:eastAsia="宋体" w:cs="宋体"/>
      <w:color w:val="000000"/>
      <w:sz w:val="24"/>
      <w:szCs w:val="21"/>
    </w:rPr>
  </w:style>
  <w:style w:type="character" w:styleId="1237">
    <w:name w:val="样式 宋体 小四 行距: 1.5 倍行距 Char Char"/>
    <w:next w:val="1237"/>
    <w:link w:val="1236"/>
    <w:qFormat/>
    <w:rPr>
      <w:rFonts w:ascii="宋体" w:hAnsi="Times New Roman" w:eastAsia="宋体" w:cs="宋体"/>
      <w:color w:val="000000"/>
      <w:sz w:val="24"/>
      <w:szCs w:val="21"/>
    </w:rPr>
  </w:style>
  <w:style w:type="paragraph" w:styleId="1238">
    <w:name w:val="样式 正文缩进正文（首行缩进两字）表正文正文非缩进特点段1四号正文不缩进特点 CharALT+Z水上软件 +..."/>
    <w:basedOn w:val="1140"/>
    <w:next w:val="1238"/>
    <w:link w:val="851"/>
    <w:qFormat/>
    <w:pPr>
      <w:ind w:firstLine="480"/>
      <w:spacing w:line="360" w:lineRule="auto"/>
    </w:pPr>
    <w:rPr>
      <w:sz w:val="24"/>
      <w:szCs w:val="22"/>
    </w:rPr>
  </w:style>
  <w:style w:type="paragraph" w:styleId="1239">
    <w:name w:val="标书正文"/>
    <w:basedOn w:val="851"/>
    <w:next w:val="1239"/>
    <w:link w:val="1240"/>
    <w:qFormat/>
    <w:pPr>
      <w:ind w:firstLine="540"/>
      <w:spacing w:before="120" w:after="120" w:line="360" w:lineRule="auto"/>
    </w:pPr>
    <w:rPr>
      <w:rFonts w:ascii="华文中宋" w:hAnsi="宋体" w:eastAsia="宋体" w:cs="宋体"/>
      <w:color w:val="000000"/>
      <w:sz w:val="28"/>
      <w:szCs w:val="28"/>
    </w:rPr>
  </w:style>
  <w:style w:type="character" w:styleId="1240">
    <w:name w:val="标书正文 Char2"/>
    <w:next w:val="1240"/>
    <w:link w:val="1239"/>
    <w:qFormat/>
    <w:rPr>
      <w:rFonts w:ascii="华文中宋" w:hAnsi="宋体" w:eastAsia="宋体" w:cs="宋体"/>
      <w:color w:val="000000"/>
      <w:sz w:val="28"/>
      <w:szCs w:val="28"/>
    </w:rPr>
  </w:style>
  <w:style w:type="paragraph" w:styleId="1241">
    <w:name w:val="样式14"/>
    <w:basedOn w:val="851"/>
    <w:next w:val="1006"/>
    <w:link w:val="851"/>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242">
    <w:name w:val="样式 正文缩进特点四号段1标题4body text鋘drad????ndBody Te?ndBo段1 Cha...3"/>
    <w:basedOn w:val="1140"/>
    <w:next w:val="1242"/>
    <w:link w:val="851"/>
    <w:qFormat/>
    <w:pPr>
      <w:ind w:firstLine="200"/>
      <w:spacing w:line="300" w:lineRule="auto"/>
    </w:pPr>
    <w:rPr>
      <w:rFonts w:hAnsi="宋体" w:cs="宋体"/>
      <w:sz w:val="24"/>
      <w:szCs w:val="22"/>
    </w:rPr>
  </w:style>
  <w:style w:type="paragraph" w:styleId="1243">
    <w:name w:val="段落要点2"/>
    <w:basedOn w:val="851"/>
    <w:next w:val="1243"/>
    <w:link w:val="851"/>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244">
    <w:name w:val="样式 (中文) 仿宋_GB2312 小四 行距: 1.5 倍行距"/>
    <w:basedOn w:val="851"/>
    <w:next w:val="1244"/>
    <w:link w:val="1245"/>
    <w:qFormat/>
    <w:pPr>
      <w:ind w:firstLine="480"/>
      <w:spacing w:before="240" w:line="360" w:lineRule="auto"/>
    </w:pPr>
    <w:rPr>
      <w:rFonts w:ascii="Times New Roman" w:hAnsi="Times New Roman" w:eastAsia="仿宋_GB2312" w:cs="宋体"/>
      <w:sz w:val="24"/>
      <w:szCs w:val="20"/>
    </w:rPr>
  </w:style>
  <w:style w:type="character" w:styleId="1245">
    <w:name w:val="样式 (中文) 仿宋_GB2312 小四 行距: 1.5 倍行距 Char Char"/>
    <w:next w:val="1245"/>
    <w:link w:val="1244"/>
    <w:qFormat/>
    <w:rPr>
      <w:rFonts w:ascii="Times New Roman" w:hAnsi="Times New Roman" w:eastAsia="仿宋_GB2312" w:cs="宋体"/>
      <w:sz w:val="24"/>
    </w:rPr>
  </w:style>
  <w:style w:type="paragraph" w:styleId="1246">
    <w:name w:val="样式 左侧:  2 字符 首行缩进:  2 字符 段前: 0.5 行2"/>
    <w:basedOn w:val="851"/>
    <w:next w:val="1246"/>
    <w:link w:val="1247"/>
    <w:qFormat/>
    <w:pPr>
      <w:ind w:left="480" w:firstLine="480"/>
    </w:pPr>
    <w:rPr>
      <w:rFonts w:ascii="Times New Roman" w:hAnsi="Times New Roman" w:eastAsia="仿宋_GB2312" w:cs="宋体"/>
      <w:sz w:val="24"/>
      <w:szCs w:val="20"/>
    </w:rPr>
  </w:style>
  <w:style w:type="character" w:styleId="1247">
    <w:name w:val="样式 左侧:  2 字符 首行缩进:  2 字符 段前: 0.5 行2 Char1"/>
    <w:next w:val="1247"/>
    <w:link w:val="1246"/>
    <w:qFormat/>
    <w:rPr>
      <w:rFonts w:ascii="Times New Roman" w:hAnsi="Times New Roman" w:eastAsia="仿宋_GB2312" w:cs="宋体"/>
      <w:sz w:val="24"/>
    </w:rPr>
  </w:style>
  <w:style w:type="paragraph" w:styleId="1248">
    <w:name w:val="样式 样式 正文缩进四号ALT+Z段1 Char Char Char段1 Char Char标题4body text鋘d... ..."/>
    <w:basedOn w:val="851"/>
    <w:next w:val="1248"/>
    <w:link w:val="1249"/>
    <w:qFormat/>
    <w:pPr>
      <w:ind w:firstLine="640"/>
      <w:spacing w:line="300" w:lineRule="auto"/>
    </w:pPr>
    <w:rPr>
      <w:rFonts w:ascii="宋体" w:hAnsi="宋体" w:eastAsia="宋体" w:cs="宋体"/>
      <w:sz w:val="32"/>
      <w:szCs w:val="32"/>
    </w:rPr>
  </w:style>
  <w:style w:type="character" w:styleId="1249">
    <w:name w:val="样式 样式 正文缩进四号ALT+Z段1 Char Char Char段1 Char Char标题4body text鋘d... ... Char Char"/>
    <w:next w:val="1249"/>
    <w:link w:val="1248"/>
    <w:qFormat/>
    <w:rPr>
      <w:rFonts w:ascii="宋体" w:hAnsi="宋体" w:eastAsia="宋体" w:cs="宋体"/>
      <w:sz w:val="32"/>
      <w:szCs w:val="32"/>
    </w:rPr>
  </w:style>
  <w:style w:type="paragraph" w:styleId="1250">
    <w:name w:val="SG186正文"/>
    <w:basedOn w:val="851"/>
    <w:next w:val="1250"/>
    <w:link w:val="851"/>
    <w:qFormat/>
    <w:pPr>
      <w:ind w:left="900" w:hanging="420"/>
      <w:jc w:val="left"/>
      <w:spacing w:line="360" w:lineRule="auto"/>
      <w:tabs>
        <w:tab w:val="left" w:pos="900" w:leader="none"/>
      </w:tabs>
    </w:pPr>
    <w:rPr>
      <w:rFonts w:ascii="宋体" w:hAnsi="宋体" w:eastAsia="宋体" w:cs="宋体"/>
      <w:sz w:val="24"/>
      <w:szCs w:val="20"/>
    </w:rPr>
  </w:style>
  <w:style w:type="paragraph" w:styleId="1251">
    <w:name w:val="样式 样式 样式 正文缩进四号ALT+Z段1 Char Char Char段1 Char Char标题4body text鋘d...."/>
    <w:basedOn w:val="1248"/>
    <w:next w:val="1251"/>
    <w:link w:val="1252"/>
    <w:qFormat/>
    <w:rPr>
      <w:rFonts w:ascii="Times New Roman" w:hAnsi="Times New Roman"/>
      <w:sz w:val="24"/>
      <w:szCs w:val="24"/>
    </w:rPr>
  </w:style>
  <w:style w:type="character" w:styleId="1252">
    <w:name w:val="样式 样式 样式 正文缩进四号ALT+Z段1 Char Char Char段1 Char Char标题4body text鋘d.... Char Char"/>
    <w:next w:val="1252"/>
    <w:link w:val="1251"/>
    <w:qFormat/>
    <w:rPr>
      <w:rFonts w:ascii="Times New Roman" w:hAnsi="Times New Roman" w:eastAsia="宋体" w:cs="宋体"/>
      <w:sz w:val="24"/>
      <w:szCs w:val="24"/>
    </w:rPr>
  </w:style>
  <w:style w:type="paragraph" w:styleId="1253">
    <w:name w:val="样式 样式 样式 样式 样式 样式 样式 样式 样式 宋体 小四 首行缩进:  0.74 厘米 行距: 最小值 18 磅 + 段..."/>
    <w:basedOn w:val="1191"/>
    <w:next w:val="1253"/>
    <w:link w:val="851"/>
    <w:qFormat/>
    <w:pPr>
      <w:ind w:firstLine="200"/>
      <w:spacing w:line="300" w:lineRule="auto"/>
    </w:pPr>
    <w:rPr>
      <w:rFonts w:ascii="Times New Roman" w:hAnsi="Times New Roman"/>
      <w:sz w:val="24"/>
      <w:szCs w:val="24"/>
    </w:rPr>
  </w:style>
  <w:style w:type="paragraph" w:styleId="1254">
    <w:name w:val="段落要点"/>
    <w:basedOn w:val="851"/>
    <w:next w:val="1254"/>
    <w:link w:val="851"/>
    <w:qFormat/>
    <w:pPr>
      <w:ind w:left="900" w:hanging="420"/>
      <w:spacing w:before="156"/>
      <w:tabs>
        <w:tab w:val="left" w:pos="900" w:leader="none"/>
      </w:tabs>
    </w:pPr>
    <w:rPr>
      <w:rFonts w:ascii="Times New Roman" w:hAnsi="Times New Roman" w:eastAsia="宋体" w:cs="Times New Roman"/>
      <w:sz w:val="24"/>
      <w:szCs w:val="24"/>
    </w:rPr>
  </w:style>
  <w:style w:type="paragraph" w:styleId="1255">
    <w:name w:val="样式5"/>
    <w:basedOn w:val="935"/>
    <w:next w:val="1255"/>
    <w:link w:val="851"/>
    <w:qFormat/>
    <w:pPr>
      <w:ind w:left="420" w:firstLine="0"/>
      <w:tabs>
        <w:tab w:val="left" w:pos="1500" w:leader="none"/>
      </w:tabs>
    </w:pPr>
    <w:rPr>
      <w:rFonts w:ascii="Arial" w:hAnsi="Arial" w:eastAsia="黑体"/>
    </w:rPr>
  </w:style>
  <w:style w:type="paragraph" w:styleId="1256">
    <w:name w:val="样式 正文缩进四号ALT+Z段1 Char Char Char段1 Char Char标题4body text鋘d..."/>
    <w:basedOn w:val="1140"/>
    <w:next w:val="1256"/>
    <w:link w:val="1257"/>
    <w:qFormat/>
    <w:pPr>
      <w:ind w:firstLine="200"/>
      <w:spacing w:line="300" w:lineRule="auto"/>
    </w:pPr>
    <w:rPr>
      <w:rFonts w:ascii="宋体" w:hAnsi="宋体" w:cs="宋体"/>
      <w:sz w:val="24"/>
      <w:szCs w:val="24"/>
    </w:rPr>
  </w:style>
  <w:style w:type="character" w:styleId="1257">
    <w:name w:val="样式 正文缩进四号ALT+Z段1 Char Char Char段1 Char Char标题4body text鋘d... Char Char"/>
    <w:next w:val="1257"/>
    <w:link w:val="1256"/>
    <w:qFormat/>
    <w:rPr>
      <w:rFonts w:ascii="宋体" w:hAnsi="宋体" w:eastAsia="宋体" w:cs="宋体"/>
      <w:sz w:val="24"/>
      <w:szCs w:val="24"/>
    </w:rPr>
  </w:style>
  <w:style w:type="paragraph" w:styleId="1258">
    <w:name w:val="样式 标题 1H1标书1Heading 0PIM 1h1Head1Heading apps合同标题标题一1s..."/>
    <w:basedOn w:val="1039"/>
    <w:next w:val="1258"/>
    <w:link w:val="851"/>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59">
    <w:name w:val="样式 (中文) 仿宋_GB2312 小四 行距: 1.5 倍行距1"/>
    <w:basedOn w:val="851"/>
    <w:next w:val="1259"/>
    <w:link w:val="851"/>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60">
    <w:name w:val="融信正文"/>
    <w:basedOn w:val="851"/>
    <w:next w:val="1260"/>
    <w:link w:val="851"/>
    <w:qFormat/>
    <w:pPr>
      <w:ind w:right="240" w:firstLine="480"/>
      <w:spacing w:line="360" w:lineRule="auto"/>
    </w:pPr>
    <w:rPr>
      <w:rFonts w:ascii="仿宋_GB2312" w:hAnsi="Arial" w:eastAsia="仿宋_GB2312" w:cs="Arial"/>
      <w:sz w:val="24"/>
      <w:szCs w:val="24"/>
    </w:rPr>
  </w:style>
  <w:style w:type="paragraph" w:styleId="1261">
    <w:name w:val="正文列4_1"/>
    <w:basedOn w:val="851"/>
    <w:next w:val="1261"/>
    <w:link w:val="851"/>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62">
    <w:name w:val="项目符号2"/>
    <w:basedOn w:val="851"/>
    <w:next w:val="1262"/>
    <w:link w:val="851"/>
    <w:qFormat/>
    <w:pPr>
      <w:jc w:val="left"/>
      <w:spacing w:line="360" w:lineRule="auto"/>
      <w:widowControl/>
      <w:tabs>
        <w:tab w:val="left" w:pos="0" w:leader="none"/>
      </w:tabs>
    </w:pPr>
    <w:rPr>
      <w:rFonts w:ascii="Times New Roman" w:hAnsi="Times New Roman" w:eastAsia="宋体" w:cs="Times New Roman"/>
      <w:szCs w:val="20"/>
    </w:rPr>
  </w:style>
  <w:style w:type="paragraph" w:styleId="1263">
    <w:name w:val="图题"/>
    <w:basedOn w:val="851"/>
    <w:next w:val="851"/>
    <w:link w:val="851"/>
    <w:qFormat/>
    <w:pPr>
      <w:jc w:val="center"/>
      <w:spacing w:line="300" w:lineRule="auto"/>
      <w:widowControl/>
      <w:tabs>
        <w:tab w:val="left" w:pos="0" w:leader="none"/>
      </w:tabs>
    </w:pPr>
    <w:rPr>
      <w:rFonts w:ascii="Times New Roman" w:hAnsi="Times New Roman" w:eastAsia="黑体" w:cs="Times New Roman"/>
      <w:szCs w:val="24"/>
    </w:rPr>
  </w:style>
  <w:style w:type="paragraph" w:styleId="1264">
    <w:name w:val="正文段落"/>
    <w:basedOn w:val="1140"/>
    <w:next w:val="1264"/>
    <w:link w:val="851"/>
    <w:qFormat/>
    <w:pPr>
      <w:ind w:firstLine="200"/>
      <w:spacing w:after="120" w:line="360" w:lineRule="auto"/>
      <w:widowControl/>
    </w:pPr>
    <w:rPr>
      <w:sz w:val="24"/>
      <w:szCs w:val="24"/>
    </w:rPr>
  </w:style>
  <w:style w:type="paragraph" w:styleId="1265">
    <w:name w:val="Sale_Header 2"/>
    <w:next w:val="851"/>
    <w:link w:val="1266"/>
    <w:qFormat/>
    <w:rPr>
      <w:rFonts w:ascii="Arial" w:hAnsi="Arial" w:cs="Calibri"/>
      <w:b/>
      <w:i/>
      <w:iCs/>
      <w:color w:val="000000"/>
      <w:sz w:val="28"/>
      <w:szCs w:val="24"/>
      <w:lang w:val="en-US" w:eastAsia="zh-CN" w:bidi="ar-SA"/>
    </w:rPr>
  </w:style>
  <w:style w:type="character" w:styleId="1266">
    <w:name w:val="Sale_Header 2 Char Char"/>
    <w:next w:val="1266"/>
    <w:link w:val="1265"/>
    <w:qFormat/>
    <w:rPr>
      <w:rFonts w:ascii="Arial" w:hAnsi="Arial" w:eastAsia="宋体" w:cs="Calibri"/>
      <w:b/>
      <w:i/>
      <w:iCs/>
      <w:color w:val="000000"/>
      <w:sz w:val="28"/>
      <w:szCs w:val="24"/>
    </w:rPr>
  </w:style>
  <w:style w:type="paragraph" w:styleId="1267">
    <w:name w:val="Default Text"/>
    <w:next w:val="1267"/>
    <w:link w:val="1268"/>
    <w:qFormat/>
    <w:pPr>
      <w:ind w:left="289" w:hanging="181"/>
      <w:widowControl w:val="off"/>
      <w:tabs>
        <w:tab w:val="left" w:pos="720" w:leader="none"/>
      </w:tabs>
    </w:pPr>
    <w:rPr>
      <w:rFonts w:ascii="Arial" w:hAnsi="Arial" w:cs="Calibri"/>
      <w:sz w:val="18"/>
      <w:szCs w:val="18"/>
      <w:lang w:val="en-US" w:eastAsia="zh-CN" w:bidi="ar-SA"/>
    </w:rPr>
  </w:style>
  <w:style w:type="character" w:styleId="1268">
    <w:name w:val="Default Text Char Char"/>
    <w:next w:val="1268"/>
    <w:link w:val="1267"/>
    <w:qFormat/>
    <w:rPr>
      <w:rFonts w:ascii="Arial" w:hAnsi="Arial" w:eastAsia="宋体" w:cs="Calibri"/>
      <w:sz w:val="18"/>
      <w:szCs w:val="18"/>
    </w:rPr>
  </w:style>
  <w:style w:type="paragraph" w:styleId="1269">
    <w:name w:val="Normal (Arial)"/>
    <w:basedOn w:val="851"/>
    <w:next w:val="1269"/>
    <w:link w:val="851"/>
    <w:qFormat/>
    <w:pPr>
      <w:jc w:val="left"/>
      <w:widowControl/>
    </w:pPr>
    <w:rPr>
      <w:rFonts w:ascii="Arial" w:hAnsi="Arial" w:eastAsia="宋体" w:cs="Arial"/>
      <w:sz w:val="20"/>
      <w:szCs w:val="20"/>
      <w:lang w:eastAsia="en-US"/>
    </w:rPr>
  </w:style>
  <w:style w:type="paragraph" w:styleId="1270">
    <w:name w:val="标题 42"/>
    <w:basedOn w:val="851"/>
    <w:next w:val="1004"/>
    <w:link w:val="851"/>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271">
    <w:name w:val="List Bullet2"/>
    <w:basedOn w:val="851"/>
    <w:next w:val="1271"/>
    <w:link w:val="851"/>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72">
    <w:name w:val="正文缩进3"/>
    <w:next w:val="1272"/>
    <w:link w:val="851"/>
    <w:qFormat/>
    <w:pPr>
      <w:ind w:firstLine="200"/>
    </w:pPr>
    <w:rPr>
      <w:rFonts w:cs="Calibri"/>
      <w:sz w:val="24"/>
      <w:lang w:val="en-US" w:eastAsia="zh-CN" w:bidi="ar-SA"/>
    </w:rPr>
  </w:style>
  <w:style w:type="paragraph" w:styleId="1273">
    <w:name w:val="列表 1"/>
    <w:next w:val="1273"/>
    <w:link w:val="851"/>
    <w:qFormat/>
    <w:pPr>
      <w:ind w:left="840" w:hanging="420"/>
      <w:tabs>
        <w:tab w:val="left" w:pos="840" w:leader="none"/>
      </w:tabs>
    </w:pPr>
    <w:rPr>
      <w:rFonts w:eastAsia="楷体_GB2312" w:cs="Calibri"/>
      <w:sz w:val="24"/>
      <w:lang w:val="en-US" w:eastAsia="zh-CN" w:bidi="ar-SA"/>
    </w:rPr>
  </w:style>
  <w:style w:type="paragraph" w:styleId="1274">
    <w:name w:val="小标题"/>
    <w:basedOn w:val="851"/>
    <w:next w:val="851"/>
    <w:link w:val="851"/>
    <w:qFormat/>
    <w:pPr>
      <w:ind w:firstLine="200"/>
      <w:keepLines/>
      <w:keepNext/>
      <w:outlineLvl w:val="4"/>
    </w:pPr>
    <w:rPr>
      <w:rFonts w:ascii="Times New Roman" w:hAnsi="Times New Roman" w:eastAsia="楷体_GB2312" w:cs="Times New Roman"/>
      <w:b/>
      <w:bCs/>
      <w:i/>
      <w:iCs/>
      <w:sz w:val="24"/>
      <w:szCs w:val="24"/>
      <w:u w:val="single"/>
    </w:rPr>
  </w:style>
  <w:style w:type="paragraph" w:styleId="1275">
    <w:name w:val="Body"/>
    <w:basedOn w:val="851"/>
    <w:next w:val="1275"/>
    <w:link w:val="851"/>
    <w:qFormat/>
    <w:pPr>
      <w:jc w:val="left"/>
      <w:spacing w:after="200"/>
      <w:widowControl/>
    </w:pPr>
    <w:rPr>
      <w:rFonts w:ascii="Times New Roman" w:hAnsi="Times New Roman" w:eastAsia="宋体" w:cs="Times New Roman"/>
      <w:sz w:val="22"/>
      <w:szCs w:val="20"/>
    </w:rPr>
  </w:style>
  <w:style w:type="paragraph" w:styleId="1276">
    <w:name w:val="索引 91"/>
    <w:basedOn w:val="851"/>
    <w:next w:val="851"/>
    <w:link w:val="851"/>
    <w:qFormat/>
    <w:pPr>
      <w:ind w:left="1890" w:hanging="210"/>
      <w:jc w:val="left"/>
    </w:pPr>
    <w:rPr>
      <w:rFonts w:ascii="Times New Roman" w:hAnsi="Times New Roman" w:eastAsia="宋体" w:cs="Times New Roman"/>
      <w:sz w:val="20"/>
      <w:szCs w:val="20"/>
    </w:rPr>
  </w:style>
  <w:style w:type="paragraph" w:styleId="1277">
    <w:name w:val="基准索引样式"/>
    <w:basedOn w:val="851"/>
    <w:next w:val="1277"/>
    <w:link w:val="851"/>
    <w:qFormat/>
    <w:pPr>
      <w:ind w:left="360" w:firstLine="576"/>
      <w:jc w:val="left"/>
      <w:spacing w:line="220" w:lineRule="atLeast"/>
      <w:widowControl/>
    </w:pPr>
    <w:rPr>
      <w:rFonts w:ascii="Times New Roman" w:hAnsi="Times New Roman" w:eastAsia="宋体" w:cs="Times New Roman"/>
      <w:sz w:val="20"/>
      <w:szCs w:val="20"/>
    </w:rPr>
  </w:style>
  <w:style w:type="paragraph" w:styleId="1278">
    <w:name w:val="Heading2REP"/>
    <w:basedOn w:val="1041"/>
    <w:next w:val="1278"/>
    <w:link w:val="851"/>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79">
    <w:name w:val="BodyREP"/>
    <w:basedOn w:val="1041"/>
    <w:next w:val="1279"/>
    <w:link w:val="851"/>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80">
    <w:name w:val="Bullet1"/>
    <w:basedOn w:val="851"/>
    <w:next w:val="1280"/>
    <w:link w:val="851"/>
    <w:qFormat/>
    <w:pPr>
      <w:jc w:val="left"/>
      <w:widowControl/>
    </w:pPr>
    <w:rPr>
      <w:rFonts w:ascii="CG Times" w:hAnsi="CG Times" w:eastAsia="宋体" w:cs="Times New Roman"/>
      <w:sz w:val="20"/>
      <w:szCs w:val="20"/>
    </w:rPr>
  </w:style>
  <w:style w:type="paragraph" w:styleId="1281">
    <w:name w:val="TableText"/>
    <w:basedOn w:val="851"/>
    <w:next w:val="1281"/>
    <w:link w:val="851"/>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82">
    <w:name w:val="工程正文"/>
    <w:basedOn w:val="851"/>
    <w:next w:val="1282"/>
    <w:link w:val="851"/>
    <w:qFormat/>
    <w:pPr>
      <w:ind w:firstLine="500"/>
      <w:spacing w:line="360" w:lineRule="atLeast"/>
    </w:pPr>
    <w:rPr>
      <w:rFonts w:ascii="Times New Roman" w:hAnsi="Times New Roman" w:eastAsia="宋体" w:cs="Times New Roman"/>
      <w:color w:val="000000"/>
      <w:spacing w:val="20"/>
      <w:szCs w:val="20"/>
    </w:rPr>
  </w:style>
  <w:style w:type="paragraph" w:styleId="1283">
    <w:name w:val="Picture"/>
    <w:basedOn w:val="851"/>
    <w:next w:val="972"/>
    <w:link w:val="851"/>
    <w:qFormat/>
    <w:pPr>
      <w:keepNext/>
      <w:widowControl/>
    </w:pPr>
    <w:rPr>
      <w:rFonts w:hint="eastAsia" w:ascii="楷体" w:hAnsi="Arial" w:eastAsia="楷体" w:cs="Times New Roman"/>
      <w:b/>
      <w:spacing w:val="-5"/>
      <w:sz w:val="24"/>
      <w:szCs w:val="20"/>
    </w:rPr>
  </w:style>
  <w:style w:type="paragraph" w:styleId="1284">
    <w:name w:val="TableTitle"/>
    <w:basedOn w:val="1285"/>
    <w:next w:val="1284"/>
    <w:link w:val="851"/>
    <w:qFormat/>
    <w:pPr>
      <w:spacing w:before="0" w:after="120"/>
    </w:pPr>
  </w:style>
  <w:style w:type="paragraph" w:styleId="1285">
    <w:name w:val="TableNumber"/>
    <w:basedOn w:val="851"/>
    <w:next w:val="1284"/>
    <w:link w:val="851"/>
    <w:qFormat/>
    <w:pPr>
      <w:jc w:val="center"/>
      <w:keepNext/>
      <w:spacing w:before="75" w:after="40" w:line="260" w:lineRule="atLeast"/>
      <w:widowControl/>
    </w:pPr>
    <w:rPr>
      <w:rFonts w:ascii="IDCSansSerif" w:hAnsi="IDCSansSerif" w:eastAsia="宋体" w:cs="Times New Roman"/>
      <w:b/>
      <w:sz w:val="22"/>
      <w:szCs w:val="20"/>
    </w:rPr>
  </w:style>
  <w:style w:type="paragraph" w:styleId="1286">
    <w:name w:val="TH_FL"/>
    <w:basedOn w:val="851"/>
    <w:next w:val="1286"/>
    <w:link w:val="851"/>
    <w:qFormat/>
    <w:pPr>
      <w:jc w:val="left"/>
      <w:spacing w:before="40" w:after="40" w:line="220" w:lineRule="atLeast"/>
      <w:widowControl/>
    </w:pPr>
    <w:rPr>
      <w:rFonts w:ascii="IDCSansSerif" w:hAnsi="IDCSansSerif" w:eastAsia="宋体" w:cs="Times New Roman"/>
      <w:sz w:val="18"/>
      <w:szCs w:val="20"/>
    </w:rPr>
  </w:style>
  <w:style w:type="paragraph" w:styleId="1287">
    <w:name w:val="TH_CTR"/>
    <w:basedOn w:val="1286"/>
    <w:next w:val="1287"/>
    <w:link w:val="851"/>
    <w:qFormat/>
    <w:pPr>
      <w:jc w:val="center"/>
    </w:pPr>
  </w:style>
  <w:style w:type="paragraph" w:styleId="1288">
    <w:name w:val="TB_FL"/>
    <w:basedOn w:val="851"/>
    <w:next w:val="1288"/>
    <w:link w:val="851"/>
    <w:qFormat/>
    <w:pPr>
      <w:jc w:val="left"/>
      <w:spacing w:before="40" w:after="40" w:line="220" w:lineRule="atLeast"/>
      <w:widowControl/>
    </w:pPr>
    <w:rPr>
      <w:rFonts w:ascii="IDCSansSerif" w:hAnsi="IDCSansSerif" w:eastAsia="宋体" w:cs="Times New Roman"/>
      <w:sz w:val="18"/>
      <w:szCs w:val="20"/>
    </w:rPr>
  </w:style>
  <w:style w:type="paragraph" w:styleId="1289">
    <w:name w:val="TB_FR"/>
    <w:basedOn w:val="1288"/>
    <w:next w:val="1289"/>
    <w:link w:val="851"/>
    <w:qFormat/>
    <w:pPr>
      <w:jc w:val="right"/>
    </w:pPr>
  </w:style>
  <w:style w:type="paragraph" w:styleId="1290">
    <w:name w:val="TFN"/>
    <w:basedOn w:val="1288"/>
    <w:next w:val="1290"/>
    <w:link w:val="851"/>
    <w:qFormat/>
    <w:pPr>
      <w:spacing w:after="0"/>
    </w:pPr>
  </w:style>
  <w:style w:type="paragraph" w:styleId="1291">
    <w:name w:val="ymtext"/>
    <w:basedOn w:val="851"/>
    <w:next w:val="1291"/>
    <w:link w:val="851"/>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92">
    <w:name w:val="正文1"/>
    <w:basedOn w:val="851"/>
    <w:next w:val="1292"/>
    <w:link w:val="851"/>
    <w:qFormat/>
    <w:pPr>
      <w:jc w:val="left"/>
      <w:spacing w:before="156" w:line="360" w:lineRule="auto"/>
    </w:pPr>
    <w:rPr>
      <w:rFonts w:ascii="华文楷体" w:hAnsi="Times New Roman" w:eastAsia="宋体" w:cs="Times New Roman"/>
      <w:sz w:val="24"/>
      <w:szCs w:val="20"/>
    </w:rPr>
  </w:style>
  <w:style w:type="paragraph" w:styleId="1293">
    <w:name w:val="text"/>
    <w:basedOn w:val="1004"/>
    <w:next w:val="1293"/>
    <w:link w:val="851"/>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94">
    <w:name w:val="正文文字（缩进2字）"/>
    <w:basedOn w:val="1041"/>
    <w:next w:val="1294"/>
    <w:link w:val="851"/>
    <w:qFormat/>
    <w:pPr>
      <w:ind w:firstLine="422"/>
    </w:pPr>
    <w:rPr>
      <w:b/>
      <w:bCs/>
      <w:szCs w:val="20"/>
    </w:rPr>
  </w:style>
  <w:style w:type="paragraph" w:styleId="1295">
    <w:name w:val="我的标题2"/>
    <w:basedOn w:val="851"/>
    <w:next w:val="851"/>
    <w:link w:val="851"/>
    <w:qFormat/>
    <w:pPr>
      <w:jc w:val="left"/>
      <w:spacing w:line="300" w:lineRule="auto"/>
      <w:widowControl/>
    </w:pPr>
    <w:rPr>
      <w:rFonts w:ascii="宋体" w:hAnsi="宋体" w:eastAsia="宋体" w:cs="Times New Roman"/>
      <w:b/>
      <w:bCs/>
      <w:spacing w:val="6"/>
      <w:sz w:val="24"/>
      <w:szCs w:val="20"/>
    </w:rPr>
  </w:style>
  <w:style w:type="paragraph" w:styleId="1296">
    <w:name w:val="我的正文"/>
    <w:basedOn w:val="851"/>
    <w:next w:val="1296"/>
    <w:link w:val="851"/>
    <w:qFormat/>
    <w:pPr>
      <w:ind w:firstLine="510"/>
      <w:jc w:val="left"/>
      <w:spacing w:line="288" w:lineRule="auto"/>
      <w:widowControl/>
    </w:pPr>
    <w:rPr>
      <w:rFonts w:ascii="Times New Roman" w:hAnsi="Times New Roman" w:eastAsia="宋体" w:cs="Times New Roman"/>
      <w:spacing w:val="6"/>
      <w:sz w:val="24"/>
      <w:szCs w:val="20"/>
    </w:rPr>
  </w:style>
  <w:style w:type="paragraph" w:styleId="1297">
    <w:name w:val="Body Single"/>
    <w:basedOn w:val="851"/>
    <w:next w:val="1297"/>
    <w:link w:val="851"/>
    <w:qFormat/>
    <w:pPr>
      <w:jc w:val="left"/>
      <w:widowControl/>
    </w:pPr>
    <w:rPr>
      <w:rFonts w:ascii="Times New Roman" w:hAnsi="Times New Roman" w:eastAsia="Times New Roman" w:cs="Times New Roman"/>
      <w:sz w:val="24"/>
      <w:szCs w:val="20"/>
      <w:lang w:eastAsia="en-US"/>
    </w:rPr>
  </w:style>
  <w:style w:type="paragraph" w:styleId="1298">
    <w:name w:val="图片"/>
    <w:basedOn w:val="851"/>
    <w:next w:val="851"/>
    <w:link w:val="851"/>
    <w:qFormat/>
    <w:pPr>
      <w:jc w:val="center"/>
    </w:pPr>
    <w:rPr>
      <w:rFonts w:ascii="Times New Roman" w:hAnsi="Times New Roman" w:eastAsia="宋体" w:cs="Times New Roman"/>
      <w:szCs w:val="24"/>
    </w:rPr>
  </w:style>
  <w:style w:type="paragraph" w:styleId="1299">
    <w:name w:val="图名"/>
    <w:basedOn w:val="851"/>
    <w:next w:val="851"/>
    <w:link w:val="851"/>
    <w:qFormat/>
    <w:pPr>
      <w:jc w:val="center"/>
      <w:spacing w:line="360" w:lineRule="auto"/>
    </w:pPr>
    <w:rPr>
      <w:rFonts w:ascii="Arial" w:hAnsi="Arial" w:eastAsia="黑体" w:cs="Times New Roman"/>
      <w:b/>
      <w:szCs w:val="24"/>
    </w:rPr>
  </w:style>
  <w:style w:type="paragraph" w:styleId="1300">
    <w:name w:val="项目 1"/>
    <w:basedOn w:val="1140"/>
    <w:next w:val="1300"/>
    <w:link w:val="851"/>
    <w:qFormat/>
    <w:pPr>
      <w:ind w:firstLine="0"/>
      <w:spacing w:line="360" w:lineRule="auto"/>
    </w:pPr>
    <w:rPr>
      <w:sz w:val="24"/>
      <w:szCs w:val="24"/>
    </w:rPr>
  </w:style>
  <w:style w:type="paragraph" w:styleId="1301">
    <w:name w:val="List Bullet1"/>
    <w:basedOn w:val="851"/>
    <w:next w:val="1301"/>
    <w:link w:val="851"/>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302">
    <w:name w:val="封面落款"/>
    <w:basedOn w:val="851"/>
    <w:next w:val="1302"/>
    <w:link w:val="851"/>
    <w:qFormat/>
    <w:pPr>
      <w:jc w:val="center"/>
      <w:spacing w:line="360" w:lineRule="auto"/>
    </w:pPr>
    <w:rPr>
      <w:rFonts w:ascii="Arial" w:hAnsi="Arial" w:eastAsia="黑体" w:cs="Times New Roman"/>
      <w:sz w:val="32"/>
      <w:szCs w:val="24"/>
    </w:rPr>
  </w:style>
  <w:style w:type="paragraph" w:styleId="1303">
    <w:name w:val="表格标注"/>
    <w:basedOn w:val="851"/>
    <w:next w:val="1303"/>
    <w:link w:val="851"/>
    <w:qFormat/>
    <w:pPr>
      <w:ind w:left="420" w:hanging="420"/>
      <w:spacing w:line="360" w:lineRule="auto"/>
      <w:tabs>
        <w:tab w:val="left" w:pos="420" w:leader="none"/>
      </w:tabs>
    </w:pPr>
    <w:rPr>
      <w:rFonts w:ascii="Times New Roman" w:hAnsi="Times New Roman" w:eastAsia="宋体" w:cs="Times New Roman"/>
      <w:szCs w:val="24"/>
    </w:rPr>
  </w:style>
  <w:style w:type="paragraph" w:styleId="1304">
    <w:name w:val="Char Char1"/>
    <w:basedOn w:val="851"/>
    <w:next w:val="1304"/>
    <w:link w:val="851"/>
    <w:qFormat/>
    <w:pPr>
      <w:spacing w:line="360" w:lineRule="auto"/>
    </w:pPr>
    <w:rPr>
      <w:rFonts w:ascii="Tahoma" w:hAnsi="Tahoma" w:eastAsia="宋体" w:cs="Times New Roman"/>
      <w:sz w:val="24"/>
      <w:szCs w:val="20"/>
    </w:rPr>
  </w:style>
  <w:style w:type="paragraph" w:styleId="1305">
    <w:name w:val="Char1 Char Char Char Char Char"/>
    <w:basedOn w:val="851"/>
    <w:next w:val="1305"/>
    <w:link w:val="851"/>
    <w:qFormat/>
    <w:pPr>
      <w:ind w:firstLine="200"/>
      <w:jc w:val="left"/>
      <w:spacing w:before="240" w:after="120" w:line="288" w:lineRule="auto"/>
    </w:pPr>
    <w:rPr>
      <w:rFonts w:ascii="Tahoma" w:hAnsi="Tahoma" w:eastAsia="宋体" w:cs="Times New Roman"/>
      <w:sz w:val="24"/>
      <w:szCs w:val="24"/>
    </w:rPr>
  </w:style>
  <w:style w:type="paragraph" w:styleId="1306">
    <w:name w:val="WW-正文缩进"/>
    <w:basedOn w:val="851"/>
    <w:next w:val="1306"/>
    <w:link w:val="851"/>
    <w:qFormat/>
    <w:pPr>
      <w:ind w:firstLine="420"/>
    </w:pPr>
    <w:rPr>
      <w:rFonts w:ascii="Times New Roman" w:hAnsi="Times New Roman" w:eastAsia="宋体" w:cs="Times New Roman"/>
      <w:szCs w:val="20"/>
      <w:lang w:eastAsia="ar-SA"/>
    </w:rPr>
  </w:style>
  <w:style w:type="paragraph" w:styleId="1307">
    <w:name w:val="Table Text Bullet"/>
    <w:basedOn w:val="1103"/>
    <w:next w:val="1307"/>
    <w:link w:val="85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308">
    <w:name w:val="RFP Question List 2"/>
    <w:basedOn w:val="851"/>
    <w:next w:val="1308"/>
    <w:link w:val="851"/>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309">
    <w:name w:val="bullet box 2 (arrows)"/>
    <w:basedOn w:val="851"/>
    <w:next w:val="1309"/>
    <w:link w:val="851"/>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310">
    <w:name w:val="表格项目符号"/>
    <w:basedOn w:val="862"/>
    <w:next w:val="1310"/>
    <w:link w:val="851"/>
    <w:qFormat/>
    <w:pPr>
      <w:ind w:left="249" w:hanging="249"/>
      <w:jc w:val="both"/>
      <w:spacing w:after="0" w:line="300" w:lineRule="auto"/>
      <w:widowControl w:val="off"/>
      <w:tabs>
        <w:tab w:val="left" w:pos="249" w:leader="none"/>
        <w:tab w:val="left" w:pos="360" w:leader="none"/>
      </w:tabs>
    </w:pPr>
    <w:rPr>
      <w:rFonts w:ascii="Times New Roman" w:hAnsi="Times New Roman" w:cs="Times New Roman"/>
      <w:sz w:val="21"/>
      <w:szCs w:val="24"/>
    </w:rPr>
  </w:style>
  <w:style w:type="paragraph" w:styleId="1311">
    <w:name w:val="附图标题"/>
    <w:basedOn w:val="851"/>
    <w:next w:val="1140"/>
    <w:link w:val="851"/>
    <w:qFormat/>
    <w:pPr>
      <w:ind w:left="420" w:hanging="420"/>
      <w:jc w:val="center"/>
      <w:tabs>
        <w:tab w:val="left" w:pos="720" w:leader="none"/>
      </w:tabs>
    </w:pPr>
    <w:rPr>
      <w:rFonts w:ascii="Arial" w:hAnsi="Arial" w:eastAsia="黑体" w:cs="Times New Roman"/>
      <w:b/>
      <w:sz w:val="18"/>
      <w:szCs w:val="24"/>
    </w:rPr>
  </w:style>
  <w:style w:type="paragraph" w:styleId="1312">
    <w:name w:val="bullet box 1"/>
    <w:basedOn w:val="851"/>
    <w:next w:val="1312"/>
    <w:link w:val="851"/>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313">
    <w:name w:val="Char1 Char Char Char Char Char Char Char Char Char Char"/>
    <w:basedOn w:val="851"/>
    <w:next w:val="1313"/>
    <w:link w:val="851"/>
    <w:qFormat/>
    <w:rPr>
      <w:rFonts w:ascii="Tahoma" w:hAnsi="Tahoma" w:eastAsia="宋体" w:cs="Times New Roman"/>
      <w:sz w:val="24"/>
      <w:szCs w:val="20"/>
    </w:rPr>
  </w:style>
  <w:style w:type="paragraph" w:styleId="1314">
    <w:name w:val="Char Char Char Char Char Char Char Char Char Char Char Char Char Char Char Char Char Char Char Char Char Char Char Char"/>
    <w:basedOn w:val="851"/>
    <w:next w:val="1314"/>
    <w:link w:val="851"/>
    <w:qFormat/>
    <w:rPr>
      <w:rFonts w:ascii="Tahoma" w:hAnsi="Tahoma" w:eastAsia="宋体" w:cs="Times New Roman"/>
      <w:sz w:val="24"/>
      <w:szCs w:val="20"/>
    </w:rPr>
  </w:style>
  <w:style w:type="paragraph" w:styleId="1315">
    <w:name w:val="Char Char Char Char1 Char Char"/>
    <w:basedOn w:val="851"/>
    <w:next w:val="1315"/>
    <w:link w:val="851"/>
    <w:qFormat/>
    <w:pPr>
      <w:jc w:val="center"/>
    </w:pPr>
    <w:rPr>
      <w:rFonts w:ascii="Tahoma" w:hAnsi="Tahoma" w:eastAsia="宋体" w:cs="Times New Roman"/>
      <w:sz w:val="24"/>
      <w:szCs w:val="24"/>
    </w:rPr>
  </w:style>
  <w:style w:type="paragraph" w:styleId="1316">
    <w:name w:val="Char1 Char Char"/>
    <w:basedOn w:val="851"/>
    <w:next w:val="1316"/>
    <w:link w:val="851"/>
    <w:qFormat/>
    <w:rPr>
      <w:rFonts w:ascii="Tahoma" w:hAnsi="Tahoma" w:eastAsia="宋体" w:cs="Times New Roman"/>
      <w:sz w:val="24"/>
      <w:szCs w:val="20"/>
    </w:rPr>
  </w:style>
  <w:style w:type="paragraph" w:styleId="1317">
    <w:name w:val="a14"/>
    <w:basedOn w:val="851"/>
    <w:next w:val="1317"/>
    <w:link w:val="851"/>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318">
    <w:name w:val="Char Char1 Char Char Char Char Char Char"/>
    <w:basedOn w:val="851"/>
    <w:next w:val="1318"/>
    <w:link w:val="851"/>
    <w:qFormat/>
    <w:pPr>
      <w:spacing w:line="360" w:lineRule="auto"/>
    </w:pPr>
    <w:rPr>
      <w:rFonts w:ascii="Tahoma" w:hAnsi="Tahoma" w:eastAsia="宋体" w:cs="Times New Roman"/>
      <w:sz w:val="24"/>
      <w:szCs w:val="20"/>
    </w:rPr>
  </w:style>
  <w:style w:type="paragraph" w:styleId="1319">
    <w:name w:val="纯文本11"/>
    <w:basedOn w:val="851"/>
    <w:next w:val="1140"/>
    <w:link w:val="851"/>
    <w:qFormat/>
    <w:rPr>
      <w:rFonts w:ascii="宋体" w:hAnsi="宋体" w:eastAsia="宋体" w:cs="Times New Roman"/>
      <w:szCs w:val="20"/>
      <w:lang w:eastAsia="ar-SA"/>
    </w:rPr>
  </w:style>
  <w:style w:type="paragraph" w:styleId="1320">
    <w:name w:val="批注文字1"/>
    <w:basedOn w:val="851"/>
    <w:next w:val="1320"/>
    <w:link w:val="1321"/>
    <w:qFormat/>
    <w:pPr>
      <w:jc w:val="left"/>
    </w:pPr>
    <w:rPr>
      <w:rFonts w:ascii="Times New Roman" w:hAnsi="Times New Roman" w:eastAsia="宋体" w:cs="Times New Roman"/>
      <w:szCs w:val="24"/>
      <w:lang w:eastAsia="ar-SA"/>
    </w:rPr>
  </w:style>
  <w:style w:type="character" w:styleId="1321">
    <w:name w:val="批注文字 Char"/>
    <w:next w:val="1321"/>
    <w:link w:val="1320"/>
    <w:qFormat/>
    <w:rPr>
      <w:rFonts w:ascii="Times New Roman" w:hAnsi="Times New Roman" w:eastAsia="宋体" w:cs="Times New Roman"/>
      <w:sz w:val="21"/>
      <w:szCs w:val="24"/>
      <w:lang w:eastAsia="ar-SA"/>
    </w:rPr>
  </w:style>
  <w:style w:type="paragraph" w:styleId="1322">
    <w:name w:val="正文s"/>
    <w:basedOn w:val="851"/>
    <w:next w:val="851"/>
    <w:link w:val="851"/>
    <w:qFormat/>
    <w:pPr>
      <w:ind w:firstLine="200"/>
      <w:spacing w:after="50" w:line="400" w:lineRule="exact"/>
    </w:pPr>
    <w:rPr>
      <w:rFonts w:ascii="Times New Roman" w:hAnsi="Times New Roman" w:eastAsia="宋体" w:cs="Times New Roman"/>
      <w:sz w:val="24"/>
      <w:szCs w:val="24"/>
      <w:lang w:eastAsia="ar-SA"/>
    </w:rPr>
  </w:style>
  <w:style w:type="paragraph" w:styleId="1323">
    <w:name w:val="Bullet List"/>
    <w:basedOn w:val="851"/>
    <w:next w:val="1323"/>
    <w:link w:val="851"/>
    <w:qFormat/>
    <w:pPr>
      <w:ind w:left="820" w:hanging="420"/>
      <w:spacing w:before="120"/>
      <w:widowControl/>
      <w:tabs>
        <w:tab w:val="left" w:pos="820" w:leader="none"/>
      </w:tabs>
    </w:pPr>
    <w:rPr>
      <w:rFonts w:ascii="Courier New" w:hAnsi="Courier New" w:eastAsia="宋体" w:cs="Times New Roman"/>
      <w:sz w:val="20"/>
      <w:szCs w:val="20"/>
    </w:rPr>
  </w:style>
  <w:style w:type="paragraph" w:styleId="1324">
    <w:name w:val="表格正文"/>
    <w:basedOn w:val="851"/>
    <w:next w:val="1324"/>
    <w:link w:val="851"/>
    <w:qFormat/>
    <w:pPr>
      <w:spacing w:line="300" w:lineRule="auto"/>
    </w:pPr>
    <w:rPr>
      <w:rFonts w:ascii="Times New Roman" w:hAnsi="Times New Roman" w:eastAsia="宋体" w:cs="Times New Roman"/>
      <w:szCs w:val="24"/>
    </w:rPr>
  </w:style>
  <w:style w:type="paragraph" w:styleId="1325">
    <w:name w:val="Alt+X_首行空2"/>
    <w:basedOn w:val="851"/>
    <w:next w:val="1325"/>
    <w:link w:val="851"/>
    <w:qFormat/>
    <w:pPr>
      <w:ind w:firstLine="480"/>
      <w:spacing w:line="360" w:lineRule="auto"/>
    </w:pPr>
    <w:rPr>
      <w:rFonts w:ascii="Times New Roman" w:hAnsi="Times New Roman" w:eastAsia="宋体" w:cs="宋体"/>
      <w:sz w:val="24"/>
      <w:szCs w:val="24"/>
    </w:rPr>
  </w:style>
  <w:style w:type="paragraph" w:styleId="1326">
    <w:name w:val="缺省文本"/>
    <w:basedOn w:val="851"/>
    <w:next w:val="1326"/>
    <w:link w:val="851"/>
    <w:qFormat/>
    <w:pPr>
      <w:jc w:val="left"/>
    </w:pPr>
    <w:rPr>
      <w:rFonts w:ascii="Times New Roman" w:hAnsi="Times New Roman" w:eastAsia="宋体" w:cs="Times New Roman"/>
      <w:sz w:val="24"/>
      <w:szCs w:val="24"/>
    </w:rPr>
  </w:style>
  <w:style w:type="paragraph" w:styleId="1327">
    <w:name w:val="Char Char Char Char Char Char Char Char Char Char Char Char Char Char Char Char Char Char Char Char Char Char"/>
    <w:basedOn w:val="851"/>
    <w:next w:val="1327"/>
    <w:link w:val="851"/>
    <w:qFormat/>
    <w:rPr>
      <w:rFonts w:ascii="Tahoma" w:hAnsi="Tahoma" w:eastAsia="宋体" w:cs="Times New Roman"/>
      <w:sz w:val="24"/>
      <w:szCs w:val="24"/>
    </w:rPr>
  </w:style>
  <w:style w:type="paragraph" w:styleId="1328">
    <w:name w:val="表格首行"/>
    <w:basedOn w:val="851"/>
    <w:next w:val="1328"/>
    <w:link w:val="851"/>
    <w:qFormat/>
    <w:pPr>
      <w:jc w:val="center"/>
    </w:pPr>
    <w:rPr>
      <w:rFonts w:ascii="宋体" w:hAnsi="宋体" w:eastAsia="宋体" w:cs="Times New Roman"/>
      <w:szCs w:val="24"/>
    </w:rPr>
  </w:style>
  <w:style w:type="paragraph" w:styleId="1329">
    <w:name w:val="样式8"/>
    <w:basedOn w:val="1004"/>
    <w:next w:val="1004"/>
    <w:link w:val="851"/>
    <w:qFormat/>
    <w:pPr>
      <w:ind w:hanging="144"/>
      <w:spacing w:before="120" w:line="415" w:lineRule="auto"/>
      <w:tabs>
        <w:tab w:val="left" w:pos="864" w:leader="none"/>
      </w:tabs>
    </w:pPr>
    <w:rPr>
      <w:rFonts w:ascii="Arial" w:hAnsi="Arial" w:eastAsia="黑体"/>
    </w:rPr>
  </w:style>
  <w:style w:type="paragraph" w:styleId="1330">
    <w:name w:val="样式 标题 3level_3PIM 3H3Level 3 HeadHeading 3 - oldsl3Headin..."/>
    <w:basedOn w:val="1003"/>
    <w:next w:val="1330"/>
    <w:link w:val="851"/>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31">
    <w:name w:val="样式 宋体 首行缩进:  2 字符 段前: 0.5 行"/>
    <w:basedOn w:val="851"/>
    <w:next w:val="1331"/>
    <w:link w:val="851"/>
    <w:qFormat/>
    <w:pPr>
      <w:ind w:left="200" w:firstLine="200"/>
      <w:spacing w:line="300" w:lineRule="auto"/>
    </w:pPr>
    <w:rPr>
      <w:rFonts w:ascii="Times New Roman" w:hAnsi="Times New Roman" w:eastAsia="仿宋_GB2312" w:cs="宋体"/>
      <w:sz w:val="24"/>
      <w:szCs w:val="20"/>
    </w:rPr>
  </w:style>
  <w:style w:type="paragraph" w:styleId="1332">
    <w:name w:val="样式 首行缩进:  0.85 厘米"/>
    <w:basedOn w:val="851"/>
    <w:next w:val="1332"/>
    <w:link w:val="851"/>
    <w:qFormat/>
    <w:pPr>
      <w:ind w:firstLine="480"/>
      <w:spacing w:line="360" w:lineRule="auto"/>
    </w:pPr>
    <w:rPr>
      <w:rFonts w:ascii="Tahoma" w:hAnsi="Tahoma" w:eastAsia="新宋体" w:cs="宋体"/>
      <w:sz w:val="24"/>
      <w:szCs w:val="20"/>
    </w:rPr>
  </w:style>
  <w:style w:type="paragraph" w:styleId="1333">
    <w:name w:val="font9"/>
    <w:basedOn w:val="851"/>
    <w:next w:val="1333"/>
    <w:link w:val="851"/>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334">
    <w:name w:val="TABLE"/>
    <w:basedOn w:val="851"/>
    <w:next w:val="1334"/>
    <w:link w:val="851"/>
    <w:qFormat/>
    <w:pPr>
      <w:jc w:val="left"/>
    </w:pPr>
    <w:rPr>
      <w:rFonts w:ascii="Microsoft Sans Serif" w:hAnsi="Microsoft Sans Serif" w:eastAsia="宋体" w:cs="Microsoft Sans Serif"/>
      <w:b/>
      <w:szCs w:val="21"/>
    </w:rPr>
  </w:style>
  <w:style w:type="paragraph" w:styleId="1335">
    <w:name w:val="默认段落字体 Para Char Char Char Char"/>
    <w:basedOn w:val="851"/>
    <w:next w:val="1335"/>
    <w:link w:val="851"/>
    <w:qFormat/>
    <w:pPr>
      <w:ind w:left="420" w:firstLine="420"/>
      <w:spacing w:line="240" w:lineRule="atLeast"/>
    </w:pPr>
    <w:rPr>
      <w:rFonts w:ascii="Times New Roman" w:hAnsi="Times New Roman" w:eastAsia="宋体" w:cs="Times New Roman"/>
      <w:szCs w:val="21"/>
    </w:rPr>
  </w:style>
  <w:style w:type="paragraph" w:styleId="1336">
    <w:name w:val="正文2"/>
    <w:next w:val="1336"/>
    <w:link w:val="1337"/>
    <w:qFormat/>
    <w:pPr>
      <w:jc w:val="both"/>
      <w:spacing w:line="312" w:lineRule="atLeast"/>
      <w:widowControl w:val="off"/>
    </w:pPr>
    <w:rPr>
      <w:rFonts w:ascii="宋体" w:cs="Calibri"/>
      <w:sz w:val="34"/>
      <w:lang w:val="en-US" w:eastAsia="zh-CN" w:bidi="ar-SA"/>
    </w:rPr>
  </w:style>
  <w:style w:type="character" w:styleId="1337">
    <w:name w:val="正文2 字符1"/>
    <w:next w:val="1337"/>
    <w:link w:val="1336"/>
    <w:qFormat/>
    <w:rPr>
      <w:rFonts w:ascii="宋体" w:hAnsi="Times New Roman" w:eastAsia="宋体" w:cs="Calibri"/>
      <w:sz w:val="34"/>
    </w:rPr>
  </w:style>
  <w:style w:type="paragraph" w:styleId="1338">
    <w:name w:val="标题 4 + 两端对齐 段后: 0 磅 行距: 单倍行距1"/>
    <w:basedOn w:val="1004"/>
    <w:next w:val="1338"/>
    <w:link w:val="1339"/>
    <w:qFormat/>
    <w:pPr>
      <w:spacing w:before="60" w:after="0" w:line="240" w:lineRule="auto"/>
      <w:tabs>
        <w:tab w:val="left" w:pos="864" w:leader="none"/>
        <w:tab w:val="left" w:pos="1560" w:leader="none"/>
      </w:tabs>
    </w:pPr>
    <w:rPr>
      <w:rFonts w:ascii="Times New Roman" w:hAnsi="Times New Roman" w:cs="宋体"/>
      <w:spacing w:val="5"/>
    </w:rPr>
  </w:style>
  <w:style w:type="character" w:styleId="1339">
    <w:name w:val="标题 4 + 两端对齐 段后: 0 磅 行距: 单倍行距1 Char Char"/>
    <w:next w:val="1339"/>
    <w:link w:val="1338"/>
    <w:qFormat/>
    <w:rPr>
      <w:rFonts w:ascii="Times New Roman" w:hAnsi="Times New Roman" w:eastAsia="宋体" w:cs="宋体"/>
      <w:b/>
      <w:bCs/>
      <w:spacing w:val="5"/>
      <w:sz w:val="28"/>
      <w:szCs w:val="28"/>
    </w:rPr>
  </w:style>
  <w:style w:type="paragraph" w:styleId="1340">
    <w:name w:val="Char Char Char Char1"/>
    <w:basedOn w:val="1119"/>
    <w:next w:val="1340"/>
    <w:link w:val="851"/>
    <w:qFormat/>
    <w:pPr>
      <w:spacing w:line="360" w:lineRule="auto"/>
      <w:shd w:val="clear" w:color="auto" w:fill="000080"/>
    </w:pPr>
    <w:rPr>
      <w:rFonts w:ascii="Tahoma" w:hAnsi="Tahoma"/>
      <w:sz w:val="24"/>
      <w:szCs w:val="24"/>
    </w:rPr>
  </w:style>
  <w:style w:type="paragraph" w:styleId="1341">
    <w:name w:val="缩紧正文 Char Char Char"/>
    <w:basedOn w:val="851"/>
    <w:next w:val="1341"/>
    <w:link w:val="1342"/>
    <w:qFormat/>
    <w:pPr>
      <w:ind w:firstLine="480"/>
      <w:jc w:val="left"/>
      <w:spacing w:before="120" w:after="120" w:line="400" w:lineRule="exact"/>
      <w:widowControl/>
    </w:pPr>
    <w:rPr>
      <w:rFonts w:ascii="宋体" w:hAnsi="宋体" w:eastAsia="宋体" w:cs="宋体"/>
      <w:sz w:val="24"/>
      <w:szCs w:val="24"/>
    </w:rPr>
  </w:style>
  <w:style w:type="character" w:styleId="1342">
    <w:name w:val="缩紧正文 Char Char Char Char Char"/>
    <w:next w:val="1342"/>
    <w:link w:val="1341"/>
    <w:qFormat/>
    <w:rPr>
      <w:rFonts w:ascii="宋体" w:hAnsi="宋体" w:eastAsia="宋体" w:cs="宋体"/>
      <w:sz w:val="24"/>
      <w:szCs w:val="24"/>
    </w:rPr>
  </w:style>
  <w:style w:type="paragraph" w:styleId="1343">
    <w:name w:val="样式 首行缩进:  0.74 厘米 行距: 1.5 倍行距"/>
    <w:basedOn w:val="851"/>
    <w:next w:val="1343"/>
    <w:link w:val="851"/>
    <w:qFormat/>
    <w:pPr>
      <w:ind w:firstLine="420"/>
      <w:spacing w:line="360" w:lineRule="auto"/>
    </w:pPr>
    <w:rPr>
      <w:rFonts w:ascii="Times New Roman" w:hAnsi="Times New Roman" w:eastAsia="宋体" w:cs="宋体"/>
      <w:sz w:val="24"/>
      <w:szCs w:val="20"/>
    </w:rPr>
  </w:style>
  <w:style w:type="paragraph" w:styleId="1344">
    <w:name w:val="正文（首行缩进）"/>
    <w:basedOn w:val="851"/>
    <w:next w:val="1344"/>
    <w:link w:val="851"/>
    <w:qFormat/>
    <w:pPr>
      <w:ind w:firstLine="200"/>
      <w:spacing w:line="360" w:lineRule="auto"/>
    </w:pPr>
    <w:rPr>
      <w:rFonts w:ascii="Times New Roman" w:hAnsi="Times New Roman" w:eastAsia="宋体" w:cs="Times New Roman"/>
      <w:sz w:val="24"/>
      <w:szCs w:val="24"/>
    </w:rPr>
  </w:style>
  <w:style w:type="paragraph" w:styleId="1345">
    <w:name w:val="列表 31"/>
    <w:basedOn w:val="851"/>
    <w:next w:val="1345"/>
    <w:link w:val="851"/>
    <w:qFormat/>
    <w:pPr>
      <w:contextualSpacing/>
      <w:ind w:left="100" w:hanging="200"/>
    </w:pPr>
    <w:rPr>
      <w:rFonts w:ascii="Times New Roman" w:hAnsi="Times New Roman" w:eastAsia="宋体" w:cs="Times New Roman"/>
      <w:szCs w:val="24"/>
    </w:rPr>
  </w:style>
  <w:style w:type="paragraph" w:styleId="1346">
    <w:name w:val="table"/>
    <w:basedOn w:val="851"/>
    <w:next w:val="1346"/>
    <w:link w:val="851"/>
    <w:qFormat/>
    <w:pPr>
      <w:jc w:val="left"/>
      <w:spacing w:after="144"/>
      <w:widowControl/>
    </w:pPr>
    <w:rPr>
      <w:rFonts w:ascii="Verdana" w:hAnsi="Verdana" w:eastAsia="Arial Unicode MS" w:cs="Arial Unicode MS"/>
      <w:color w:val="000000"/>
      <w:sz w:val="20"/>
      <w:szCs w:val="20"/>
      <w:lang w:eastAsia="en-US"/>
    </w:rPr>
  </w:style>
  <w:style w:type="paragraph" w:styleId="1347">
    <w:name w:val="Style Verdana Before:  0.76 cm"/>
    <w:basedOn w:val="851"/>
    <w:next w:val="1347"/>
    <w:link w:val="851"/>
    <w:qFormat/>
    <w:pPr>
      <w:ind w:left="2280" w:firstLine="480"/>
      <w:jc w:val="left"/>
      <w:spacing w:before="240" w:line="300" w:lineRule="auto"/>
      <w:widowControl/>
    </w:pPr>
    <w:rPr>
      <w:rFonts w:ascii="Verdana" w:hAnsi="Verdana" w:eastAsia="宋体" w:cs="Times New Roman"/>
      <w:sz w:val="24"/>
      <w:szCs w:val="20"/>
    </w:rPr>
  </w:style>
  <w:style w:type="paragraph" w:styleId="1348">
    <w:name w:val="Style Verdana Centered"/>
    <w:basedOn w:val="851"/>
    <w:next w:val="1348"/>
    <w:link w:val="851"/>
    <w:qFormat/>
    <w:pPr>
      <w:ind w:left="2268"/>
      <w:jc w:val="center"/>
      <w:spacing w:before="240" w:line="300" w:lineRule="auto"/>
      <w:widowControl/>
    </w:pPr>
    <w:rPr>
      <w:rFonts w:ascii="Verdana" w:hAnsi="Verdana" w:eastAsia="宋体" w:cs="Times New Roman"/>
      <w:sz w:val="24"/>
      <w:szCs w:val="20"/>
    </w:rPr>
  </w:style>
  <w:style w:type="paragraph" w:styleId="1349">
    <w:name w:val="样式 样式 样式 左侧:  2 字符 首行缩进:  2 字符 段前: 0.5 行2 + 左侧:  2 字符 + 首行缩进:  2...1"/>
    <w:basedOn w:val="851"/>
    <w:next w:val="1349"/>
    <w:link w:val="851"/>
    <w:qFormat/>
    <w:pPr>
      <w:ind w:firstLine="480"/>
      <w:spacing w:line="300" w:lineRule="auto"/>
    </w:pPr>
    <w:rPr>
      <w:rFonts w:ascii="Times New Roman" w:hAnsi="Times New Roman" w:eastAsia="宋体" w:cs="宋体"/>
      <w:sz w:val="24"/>
      <w:szCs w:val="20"/>
    </w:rPr>
  </w:style>
  <w:style w:type="paragraph" w:styleId="1350">
    <w:name w:val="Char1"/>
    <w:basedOn w:val="851"/>
    <w:next w:val="1350"/>
    <w:link w:val="851"/>
    <w:qFormat/>
    <w:pPr>
      <w:ind w:left="840" w:hanging="420"/>
      <w:tabs>
        <w:tab w:val="left" w:pos="840" w:leader="none"/>
      </w:tabs>
    </w:pPr>
    <w:rPr>
      <w:rFonts w:ascii="Times New Roman" w:hAnsi="Times New Roman" w:eastAsia="宋体" w:cs="Times New Roman"/>
      <w:sz w:val="24"/>
      <w:szCs w:val="24"/>
    </w:rPr>
  </w:style>
  <w:style w:type="paragraph" w:styleId="1351">
    <w:name w:val="xl38"/>
    <w:basedOn w:val="851"/>
    <w:next w:val="1351"/>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352">
    <w:name w:val="Char Char2"/>
    <w:basedOn w:val="851"/>
    <w:next w:val="1352"/>
    <w:link w:val="851"/>
    <w:qFormat/>
    <w:pPr>
      <w:jc w:val="left"/>
      <w:spacing w:after="160" w:line="240" w:lineRule="exact"/>
      <w:widowControl/>
    </w:pPr>
    <w:rPr>
      <w:rFonts w:ascii="Verdana" w:hAnsi="Verdana" w:eastAsia="宋体" w:cs="Times New Roman"/>
      <w:szCs w:val="20"/>
      <w:lang w:eastAsia="en-US"/>
    </w:rPr>
  </w:style>
  <w:style w:type="paragraph" w:styleId="1353">
    <w:name w:val="样式 样式 左 首行缩进:2 字符 + 首行缩进:  2 字符 + 首行缩进:  2 字符"/>
    <w:basedOn w:val="851"/>
    <w:next w:val="1353"/>
    <w:link w:val="851"/>
    <w:qFormat/>
    <w:pPr>
      <w:ind w:firstLine="480"/>
      <w:spacing w:line="360" w:lineRule="auto"/>
    </w:pPr>
    <w:rPr>
      <w:rFonts w:ascii="宋体" w:hAnsi="宋体" w:eastAsia="宋体" w:cs="宋体"/>
      <w:sz w:val="24"/>
      <w:szCs w:val="24"/>
    </w:rPr>
  </w:style>
  <w:style w:type="paragraph" w:styleId="1354">
    <w:name w:val="正文 + 小四"/>
    <w:basedOn w:val="851"/>
    <w:next w:val="1354"/>
    <w:link w:val="851"/>
    <w:qFormat/>
    <w:pPr>
      <w:ind w:firstLine="480"/>
      <w:spacing w:line="312" w:lineRule="auto"/>
    </w:pPr>
    <w:rPr>
      <w:rFonts w:ascii="宋体" w:hAnsi="宋体" w:eastAsia="宋体" w:cs="Times New Roman"/>
      <w:sz w:val="24"/>
      <w:szCs w:val="24"/>
    </w:rPr>
  </w:style>
  <w:style w:type="paragraph" w:styleId="1355">
    <w:name w:val="题注 + 居中"/>
    <w:basedOn w:val="851"/>
    <w:next w:val="1355"/>
    <w:link w:val="851"/>
    <w:qFormat/>
    <w:rPr>
      <w:rFonts w:ascii="Times New Roman" w:hAnsi="Times New Roman" w:eastAsia="宋体" w:cs="Times New Roman"/>
      <w:szCs w:val="24"/>
    </w:rPr>
  </w:style>
  <w:style w:type="paragraph" w:styleId="1356">
    <w:name w:val="样式 正文缩进 + 小四 首行缩进:  2 字符"/>
    <w:basedOn w:val="1140"/>
    <w:next w:val="1356"/>
    <w:link w:val="851"/>
    <w:qFormat/>
    <w:pPr>
      <w:ind w:firstLine="200"/>
      <w:spacing w:line="360" w:lineRule="auto"/>
    </w:pPr>
    <w:rPr>
      <w:rFonts w:cs="宋体"/>
      <w:sz w:val="24"/>
      <w:szCs w:val="22"/>
    </w:rPr>
  </w:style>
  <w:style w:type="paragraph" w:styleId="1357">
    <w:name w:val="pic-info"/>
    <w:basedOn w:val="851"/>
    <w:next w:val="1357"/>
    <w:link w:val="851"/>
    <w:qFormat/>
    <w:pPr>
      <w:jc w:val="left"/>
      <w:spacing w:before="100" w:beforeAutospacing="1" w:after="100" w:afterAutospacing="1"/>
      <w:widowControl/>
    </w:pPr>
    <w:rPr>
      <w:rFonts w:ascii="宋体" w:hAnsi="宋体" w:eastAsia="宋体" w:cs="宋体"/>
      <w:sz w:val="24"/>
      <w:szCs w:val="24"/>
    </w:rPr>
  </w:style>
  <w:style w:type="paragraph" w:styleId="1358">
    <w:name w:val="Char Char Char Char Char Char"/>
    <w:basedOn w:val="851"/>
    <w:next w:val="1358"/>
    <w:link w:val="851"/>
    <w:qFormat/>
    <w:pPr>
      <w:jc w:val="left"/>
      <w:spacing w:after="160" w:line="240" w:lineRule="exact"/>
      <w:widowControl/>
    </w:pPr>
    <w:rPr>
      <w:rFonts w:ascii="宋体" w:hAnsi="宋体" w:eastAsia="宋体" w:cs="Times New Roman"/>
      <w:b/>
      <w:sz w:val="24"/>
      <w:szCs w:val="20"/>
      <w:lang w:eastAsia="en-US"/>
    </w:rPr>
  </w:style>
  <w:style w:type="paragraph" w:styleId="1359">
    <w:name w:val="样式 小四 行距: 1.5 倍行距"/>
    <w:basedOn w:val="851"/>
    <w:next w:val="1359"/>
    <w:link w:val="851"/>
    <w:qFormat/>
    <w:pPr>
      <w:ind w:firstLine="200"/>
      <w:spacing w:line="360" w:lineRule="auto"/>
    </w:pPr>
    <w:rPr>
      <w:rFonts w:ascii="Times New Roman" w:hAnsi="Times New Roman" w:eastAsia="宋体" w:cs="宋体"/>
      <w:sz w:val="24"/>
      <w:szCs w:val="20"/>
    </w:rPr>
  </w:style>
  <w:style w:type="paragraph" w:styleId="1360">
    <w:name w:val="CSS1级正文 Char Char"/>
    <w:basedOn w:val="1041"/>
    <w:next w:val="1360"/>
    <w:link w:val="1361"/>
    <w:qFormat/>
    <w:pPr>
      <w:ind w:firstLine="480"/>
      <w:spacing w:after="0" w:line="360" w:lineRule="auto"/>
    </w:pPr>
    <w:rPr>
      <w:rFonts w:cs="宋体"/>
      <w:sz w:val="24"/>
    </w:rPr>
  </w:style>
  <w:style w:type="character" w:styleId="1361">
    <w:name w:val="CSS1级正文 Char Char Char Char"/>
    <w:next w:val="1361"/>
    <w:link w:val="1360"/>
    <w:qFormat/>
    <w:rPr>
      <w:rFonts w:ascii="Times New Roman" w:hAnsi="Times New Roman" w:eastAsia="仿宋" w:cs="宋体"/>
      <w:sz w:val="24"/>
      <w:szCs w:val="24"/>
    </w:rPr>
  </w:style>
  <w:style w:type="paragraph" w:styleId="1362">
    <w:name w:val="CSS1级编号 Char"/>
    <w:basedOn w:val="1363"/>
    <w:next w:val="1363"/>
    <w:link w:val="1366"/>
    <w:qFormat/>
  </w:style>
  <w:style w:type="paragraph" w:styleId="1363">
    <w:name w:val="CSS1级编号 Char1"/>
    <w:basedOn w:val="1364"/>
    <w:next w:val="1364"/>
    <w:link w:val="1365"/>
    <w:qFormat/>
  </w:style>
  <w:style w:type="paragraph" w:styleId="1364">
    <w:name w:val="CSS1级编号"/>
    <w:basedOn w:val="851"/>
    <w:next w:val="1364"/>
    <w:link w:val="851"/>
    <w:qFormat/>
    <w:pPr>
      <w:spacing w:line="360" w:lineRule="auto"/>
    </w:pPr>
    <w:rPr>
      <w:rFonts w:ascii="Times New Roman" w:hAnsi="Times New Roman" w:eastAsia="宋体" w:cs="Times New Roman"/>
      <w:sz w:val="24"/>
      <w:szCs w:val="24"/>
    </w:rPr>
  </w:style>
  <w:style w:type="character" w:styleId="1365">
    <w:name w:val="CSS1级编号 Char1 Char Char"/>
    <w:next w:val="1365"/>
    <w:link w:val="1363"/>
    <w:qFormat/>
    <w:rPr>
      <w:rFonts w:ascii="Times New Roman" w:hAnsi="Times New Roman" w:eastAsia="宋体" w:cs="Times New Roman"/>
      <w:sz w:val="24"/>
      <w:szCs w:val="24"/>
    </w:rPr>
  </w:style>
  <w:style w:type="character" w:styleId="1366">
    <w:name w:val="CSS1级编号 Char Char1"/>
    <w:next w:val="1366"/>
    <w:link w:val="1362"/>
    <w:qFormat/>
    <w:rPr>
      <w:rFonts w:ascii="Times New Roman" w:hAnsi="Times New Roman" w:eastAsia="宋体" w:cs="Times New Roman"/>
      <w:sz w:val="24"/>
      <w:szCs w:val="24"/>
    </w:rPr>
  </w:style>
  <w:style w:type="paragraph" w:styleId="1367">
    <w:name w:val="CSS2级正文"/>
    <w:basedOn w:val="1131"/>
    <w:next w:val="1367"/>
    <w:link w:val="1368"/>
    <w:qFormat/>
    <w:pPr>
      <w:ind w:left="480" w:firstLine="480"/>
      <w:spacing w:after="0" w:line="360" w:lineRule="auto"/>
    </w:pPr>
    <w:rPr>
      <w:rFonts w:cs="宋体"/>
      <w:sz w:val="24"/>
    </w:rPr>
  </w:style>
  <w:style w:type="character" w:styleId="1368">
    <w:name w:val="CSS2级正文 Char Char"/>
    <w:next w:val="1368"/>
    <w:link w:val="1367"/>
    <w:qFormat/>
    <w:rPr>
      <w:rFonts w:ascii="Times New Roman" w:hAnsi="Times New Roman" w:cs="宋体"/>
      <w:sz w:val="24"/>
      <w:szCs w:val="24"/>
    </w:rPr>
  </w:style>
  <w:style w:type="paragraph" w:styleId="1369">
    <w:name w:val="CSS3级正文"/>
    <w:basedOn w:val="1121"/>
    <w:next w:val="1369"/>
    <w:link w:val="1370"/>
    <w:qFormat/>
    <w:pPr>
      <w:ind w:left="960" w:firstLine="480"/>
      <w:spacing w:after="0" w:line="360" w:lineRule="auto"/>
    </w:pPr>
    <w:rPr>
      <w:rFonts w:cs="宋体"/>
      <w:sz w:val="24"/>
    </w:rPr>
  </w:style>
  <w:style w:type="character" w:styleId="1370">
    <w:name w:val="CSS3级正文 Char Char"/>
    <w:next w:val="1370"/>
    <w:link w:val="1369"/>
    <w:qFormat/>
    <w:rPr>
      <w:rFonts w:ascii="Times New Roman" w:hAnsi="Times New Roman" w:cs="宋体"/>
      <w:sz w:val="24"/>
      <w:szCs w:val="16"/>
    </w:rPr>
  </w:style>
  <w:style w:type="paragraph" w:styleId="1371">
    <w:name w:val="正文文本4"/>
    <w:basedOn w:val="1121"/>
    <w:next w:val="1371"/>
    <w:link w:val="851"/>
    <w:qFormat/>
    <w:pPr>
      <w:ind w:left="600" w:firstLine="200"/>
      <w:spacing w:after="0" w:line="360" w:lineRule="auto"/>
    </w:pPr>
    <w:rPr>
      <w:sz w:val="24"/>
    </w:rPr>
  </w:style>
  <w:style w:type="paragraph" w:styleId="1372">
    <w:name w:val="CSS4级正文"/>
    <w:basedOn w:val="851"/>
    <w:next w:val="1372"/>
    <w:link w:val="851"/>
    <w:qFormat/>
    <w:pPr>
      <w:spacing w:line="360" w:lineRule="auto"/>
    </w:pPr>
    <w:rPr>
      <w:rFonts w:ascii="Times New Roman" w:hAnsi="Times New Roman" w:eastAsia="宋体" w:cs="宋体"/>
      <w:sz w:val="24"/>
      <w:szCs w:val="20"/>
    </w:rPr>
  </w:style>
  <w:style w:type="paragraph" w:styleId="1373">
    <w:name w:val="列表 21"/>
    <w:basedOn w:val="851"/>
    <w:next w:val="1373"/>
    <w:link w:val="851"/>
    <w:qFormat/>
    <w:pPr>
      <w:spacing w:line="360" w:lineRule="auto"/>
    </w:pPr>
    <w:rPr>
      <w:rFonts w:ascii="Times New Roman" w:hAnsi="Times New Roman" w:eastAsia="宋体" w:cs="Times New Roman"/>
      <w:sz w:val="24"/>
      <w:szCs w:val="24"/>
    </w:rPr>
  </w:style>
  <w:style w:type="paragraph" w:styleId="1374">
    <w:name w:val="列表 41"/>
    <w:basedOn w:val="851"/>
    <w:next w:val="1374"/>
    <w:link w:val="851"/>
    <w:qFormat/>
    <w:pPr>
      <w:ind w:left="1361" w:hanging="864"/>
      <w:spacing w:line="360" w:lineRule="auto"/>
    </w:pPr>
    <w:rPr>
      <w:rFonts w:ascii="Times New Roman" w:hAnsi="Times New Roman" w:eastAsia="宋体" w:cs="Times New Roman"/>
      <w:sz w:val="24"/>
      <w:szCs w:val="24"/>
    </w:rPr>
  </w:style>
  <w:style w:type="paragraph" w:styleId="1375">
    <w:name w:val="样式 CSS1级编号 Char + 宋体 黑色 Char"/>
    <w:basedOn w:val="1363"/>
    <w:next w:val="1375"/>
    <w:link w:val="1376"/>
    <w:qFormat/>
    <w:rPr>
      <w:rFonts w:ascii="宋体" w:hAnsi="宋体"/>
      <w:color w:val="000000"/>
    </w:rPr>
  </w:style>
  <w:style w:type="character" w:styleId="1376">
    <w:name w:val="样式 CSS1级编号 Char + 宋体 黑色 Char Char Char"/>
    <w:next w:val="1376"/>
    <w:link w:val="1375"/>
    <w:qFormat/>
    <w:rPr>
      <w:rFonts w:ascii="宋体" w:hAnsi="宋体" w:eastAsia="宋体" w:cs="Times New Roman"/>
      <w:color w:val="000000"/>
      <w:sz w:val="24"/>
      <w:szCs w:val="24"/>
    </w:rPr>
  </w:style>
  <w:style w:type="paragraph" w:styleId="1377">
    <w:name w:val="CSS1级正文"/>
    <w:basedOn w:val="1041"/>
    <w:next w:val="1377"/>
    <w:link w:val="851"/>
    <w:qFormat/>
    <w:pPr>
      <w:ind w:firstLine="480"/>
      <w:spacing w:after="0" w:line="360" w:lineRule="auto"/>
    </w:pPr>
    <w:rPr>
      <w:rFonts w:cs="宋体"/>
      <w:sz w:val="24"/>
      <w:szCs w:val="20"/>
    </w:rPr>
  </w:style>
  <w:style w:type="paragraph" w:styleId="1378">
    <w:name w:val="CSS1级正文 Char Char Char Char Char Char Char Char Char Char Char Char Char Char Char Char"/>
    <w:basedOn w:val="1041"/>
    <w:next w:val="1378"/>
    <w:link w:val="1379"/>
    <w:qFormat/>
    <w:pPr>
      <w:ind w:firstLine="480"/>
      <w:spacing w:after="0" w:line="360" w:lineRule="auto"/>
    </w:pPr>
    <w:rPr>
      <w:rFonts w:cs="宋体"/>
      <w:sz w:val="24"/>
    </w:rPr>
  </w:style>
  <w:style w:type="character" w:styleId="1379">
    <w:name w:val="CSS1级正文 Char Char Char Char Char Char Char Char Char Char Char Char Char Char Char Char Char Char"/>
    <w:next w:val="1379"/>
    <w:link w:val="1378"/>
    <w:qFormat/>
    <w:rPr>
      <w:rFonts w:ascii="Times New Roman" w:hAnsi="Times New Roman" w:eastAsia="仿宋" w:cs="宋体"/>
      <w:sz w:val="24"/>
      <w:szCs w:val="24"/>
    </w:rPr>
  </w:style>
  <w:style w:type="paragraph" w:styleId="1380">
    <w:name w:val="表格文字"/>
    <w:basedOn w:val="851"/>
    <w:next w:val="1380"/>
    <w:link w:val="1381"/>
    <w:qFormat/>
    <w:rPr>
      <w:rFonts w:ascii="Times New Roman" w:hAnsi="Times New Roman" w:eastAsia="宋体" w:cs="Times New Roman"/>
      <w:spacing w:val="10"/>
      <w:sz w:val="24"/>
      <w:szCs w:val="24"/>
    </w:rPr>
  </w:style>
  <w:style w:type="character" w:styleId="1381">
    <w:name w:val="表格文字 Char"/>
    <w:next w:val="1381"/>
    <w:link w:val="1380"/>
    <w:qFormat/>
    <w:rPr>
      <w:rFonts w:ascii="Times New Roman" w:hAnsi="Times New Roman" w:eastAsia="宋体" w:cs="Times New Roman"/>
      <w:spacing w:val="10"/>
      <w:sz w:val="24"/>
      <w:szCs w:val="24"/>
    </w:rPr>
  </w:style>
  <w:style w:type="paragraph" w:styleId="1382">
    <w:name w:val="CSS一级中文编号"/>
    <w:basedOn w:val="851"/>
    <w:next w:val="1377"/>
    <w:link w:val="851"/>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83">
    <w:name w:val="CSS二级中文编号"/>
    <w:basedOn w:val="851"/>
    <w:next w:val="1367"/>
    <w:link w:val="851"/>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84">
    <w:name w:val="ICSS标书首行缩进正文"/>
    <w:basedOn w:val="851"/>
    <w:next w:val="1384"/>
    <w:link w:val="851"/>
    <w:qFormat/>
    <w:pPr>
      <w:ind w:firstLine="200"/>
      <w:spacing w:line="360" w:lineRule="auto"/>
    </w:pPr>
    <w:rPr>
      <w:rFonts w:ascii="Times New Roman" w:hAnsi="Times New Roman" w:eastAsia="宋体" w:cs="Times New Roman"/>
      <w:sz w:val="24"/>
      <w:szCs w:val="24"/>
    </w:rPr>
  </w:style>
  <w:style w:type="paragraph" w:styleId="1385">
    <w:name w:val="AC-Table-表格标题行"/>
    <w:next w:val="1385"/>
    <w:link w:val="851"/>
    <w:qFormat/>
    <w:pPr>
      <w:jc w:val="center"/>
      <w:spacing w:line="320" w:lineRule="exact"/>
    </w:pPr>
    <w:rPr>
      <w:rFonts w:eastAsia="黑体" w:cs="Calibri"/>
      <w:sz w:val="21"/>
      <w:szCs w:val="21"/>
      <w:lang w:val="en-US" w:eastAsia="zh-CN" w:bidi="ar-SA"/>
    </w:rPr>
  </w:style>
  <w:style w:type="paragraph" w:styleId="1386">
    <w:name w:val="AC-Table-表格正文行"/>
    <w:next w:val="1386"/>
    <w:link w:val="851"/>
    <w:qFormat/>
    <w:pPr>
      <w:spacing w:line="320" w:lineRule="exact"/>
    </w:pPr>
    <w:rPr>
      <w:rFonts w:cs="Calibri"/>
      <w:sz w:val="21"/>
      <w:szCs w:val="21"/>
      <w:lang w:val="en-US" w:eastAsia="zh-CN" w:bidi="ar-SA"/>
    </w:rPr>
  </w:style>
  <w:style w:type="paragraph" w:styleId="1387">
    <w:name w:val="封面主标题"/>
    <w:next w:val="851"/>
    <w:link w:val="851"/>
    <w:qFormat/>
    <w:pPr>
      <w:jc w:val="center"/>
      <w:spacing w:before="2400" w:after="400"/>
    </w:pPr>
    <w:rPr>
      <w:rFonts w:eastAsia="黑体" w:cs="Calibri"/>
      <w:b/>
      <w:spacing w:val="20"/>
      <w:sz w:val="72"/>
      <w:szCs w:val="72"/>
      <w:lang w:val="en-US" w:eastAsia="zh-CN" w:bidi="ar-SA"/>
    </w:rPr>
  </w:style>
  <w:style w:type="paragraph" w:styleId="1388">
    <w:name w:val="招标单位"/>
    <w:basedOn w:val="851"/>
    <w:next w:val="1388"/>
    <w:link w:val="851"/>
    <w:qFormat/>
    <w:pPr>
      <w:jc w:val="center"/>
      <w:spacing w:before="1800" w:after="360"/>
      <w:widowControl/>
    </w:pPr>
    <w:rPr>
      <w:rFonts w:ascii="Calibri" w:hAnsi="Calibri" w:eastAsia="黑体" w:cs="Times New Roman"/>
      <w:b/>
      <w:sz w:val="44"/>
      <w:szCs w:val="44"/>
      <w:lang w:eastAsia="en-US" w:bidi="en-US"/>
    </w:rPr>
  </w:style>
  <w:style w:type="paragraph" w:styleId="1389">
    <w:name w:val="样式 标题 4Heading 4 Charh4PIM 4H4 + 加宽量  1 磅"/>
    <w:basedOn w:val="1004"/>
    <w:next w:val="1389"/>
    <w:link w:val="851"/>
    <w:qFormat/>
    <w:pPr>
      <w:ind w:left="862" w:hanging="862"/>
      <w:spacing w:line="360" w:lineRule="auto"/>
    </w:pPr>
    <w:rPr>
      <w:rFonts w:ascii="Arial" w:hAnsi="Arial" w:eastAsia="黑体"/>
      <w:b w:val="0"/>
      <w:bCs w:val="0"/>
      <w:spacing w:val="20"/>
      <w:sz w:val="24"/>
      <w:szCs w:val="24"/>
    </w:rPr>
  </w:style>
  <w:style w:type="paragraph" w:styleId="1390">
    <w:name w:val="样式 标题 5 + 段前: 1 行 段后: 1 行"/>
    <w:basedOn w:val="1006"/>
    <w:next w:val="1390"/>
    <w:link w:val="851"/>
    <w:qFormat/>
    <w:pPr>
      <w:ind w:left="0" w:firstLine="0"/>
      <w:spacing w:line="360" w:lineRule="auto"/>
    </w:pPr>
    <w:rPr>
      <w:rFonts w:ascii="Arial" w:hAnsi="Arial" w:eastAsia="黑体" w:cs="宋体"/>
      <w:b w:val="0"/>
      <w:bCs w:val="0"/>
      <w:spacing w:val="10"/>
      <w:sz w:val="24"/>
      <w:szCs w:val="24"/>
    </w:rPr>
  </w:style>
  <w:style w:type="paragraph" w:styleId="1391">
    <w:name w:val="样式 首行缩进:  2 字符1"/>
    <w:basedOn w:val="851"/>
    <w:next w:val="1391"/>
    <w:link w:val="851"/>
    <w:qFormat/>
    <w:pPr>
      <w:ind w:firstLine="480"/>
      <w:spacing w:line="360" w:lineRule="auto"/>
    </w:pPr>
    <w:rPr>
      <w:rFonts w:ascii="Times New Roman" w:hAnsi="Times New Roman" w:eastAsia="宋体" w:cs="宋体"/>
      <w:sz w:val="24"/>
      <w:szCs w:val="20"/>
    </w:rPr>
  </w:style>
  <w:style w:type="paragraph" w:styleId="1392">
    <w:name w:val="JHTitle1"/>
    <w:basedOn w:val="1039"/>
    <w:next w:val="1392"/>
    <w:link w:val="851"/>
    <w:qFormat/>
    <w:pPr>
      <w:ind w:left="851" w:hanging="851"/>
      <w:jc w:val="left"/>
      <w:spacing w:line="360" w:lineRule="auto"/>
      <w:tabs>
        <w:tab w:val="left" w:pos="1134" w:leader="none"/>
      </w:tabs>
    </w:pPr>
    <w:rPr>
      <w:rFonts w:ascii="Times New Roman" w:hAnsi="Times New Roman"/>
      <w:szCs w:val="32"/>
    </w:rPr>
  </w:style>
  <w:style w:type="paragraph" w:styleId="1393">
    <w:name w:val="样式 标题 3H3h33rd level3Head 3section:3section:31section:32..."/>
    <w:basedOn w:val="1003"/>
    <w:next w:val="1391"/>
    <w:link w:val="851"/>
    <w:qFormat/>
    <w:pPr>
      <w:contextualSpacing/>
      <w:ind w:left="0" w:firstLine="0"/>
      <w:jc w:val="left"/>
      <w:spacing w:before="0" w:after="0" w:line="360" w:lineRule="auto"/>
      <w:widowControl/>
    </w:pPr>
    <w:rPr>
      <w:rFonts w:ascii="Times New Roman" w:hAnsi="Times New Roman" w:eastAsia="黑体" w:cs="宋体"/>
    </w:rPr>
  </w:style>
  <w:style w:type="paragraph" w:styleId="1394">
    <w:name w:val="样式 标题 2 + 宋体 小三 非倾斜 段后: 1 行"/>
    <w:basedOn w:val="935"/>
    <w:next w:val="1394"/>
    <w:link w:val="851"/>
    <w:qFormat/>
    <w:pPr>
      <w:ind w:left="1440" w:hanging="360"/>
      <w:spacing w:before="240" w:line="360" w:lineRule="auto"/>
      <w:tabs>
        <w:tab w:val="left" w:pos="576" w:leader="none"/>
        <w:tab w:val="left" w:pos="1440" w:leader="none"/>
      </w:tabs>
    </w:pPr>
    <w:rPr>
      <w:rFonts w:ascii="Arial" w:hAnsi="Arial" w:cs="Arial"/>
      <w:szCs w:val="30"/>
    </w:rPr>
  </w:style>
  <w:style w:type="paragraph" w:styleId="1395">
    <w:name w:val="正文表格"/>
    <w:basedOn w:val="851"/>
    <w:next w:val="1395"/>
    <w:link w:val="851"/>
    <w:qFormat/>
    <w:pPr>
      <w:spacing w:before="40" w:after="40"/>
    </w:pPr>
    <w:rPr>
      <w:rFonts w:ascii="Times New Roman" w:hAnsi="Times New Roman" w:eastAsia="宋体" w:cs="Times New Roman"/>
      <w:sz w:val="24"/>
      <w:szCs w:val="20"/>
    </w:rPr>
  </w:style>
  <w:style w:type="paragraph" w:styleId="1396">
    <w:name w:val="AC-目录标题"/>
    <w:next w:val="1396"/>
    <w:link w:val="851"/>
    <w:qFormat/>
    <w:pPr>
      <w:jc w:val="center"/>
    </w:pPr>
    <w:rPr>
      <w:rFonts w:eastAsia="黑体" w:cs="Calibri"/>
      <w:b/>
      <w:sz w:val="36"/>
      <w:szCs w:val="21"/>
      <w:lang w:val="en-US" w:eastAsia="zh-CN" w:bidi="ar-SA"/>
    </w:rPr>
  </w:style>
  <w:style w:type="paragraph" w:styleId="1397">
    <w:name w:val="AC-文档标题"/>
    <w:next w:val="1397"/>
    <w:link w:val="851"/>
    <w:qFormat/>
    <w:pPr>
      <w:jc w:val="center"/>
    </w:pPr>
    <w:rPr>
      <w:rFonts w:eastAsia="黑体" w:cs="Calibri"/>
      <w:b/>
      <w:sz w:val="44"/>
      <w:szCs w:val="21"/>
      <w:lang w:val="en-US" w:eastAsia="zh-CN" w:bidi="ar-SA"/>
    </w:rPr>
  </w:style>
  <w:style w:type="paragraph" w:styleId="1398">
    <w:name w:val="修订1"/>
    <w:next w:val="1398"/>
    <w:link w:val="851"/>
    <w:uiPriority w:val="99"/>
    <w:qFormat/>
    <w:rPr>
      <w:rFonts w:cs="Calibri"/>
      <w:sz w:val="24"/>
      <w:szCs w:val="24"/>
      <w:lang w:val="en-US" w:eastAsia="zh-CN" w:bidi="ar-SA"/>
    </w:rPr>
  </w:style>
  <w:style w:type="paragraph" w:styleId="1399">
    <w:name w:val="font0"/>
    <w:basedOn w:val="851"/>
    <w:next w:val="1399"/>
    <w:link w:val="851"/>
    <w:qFormat/>
    <w:pPr>
      <w:jc w:val="left"/>
      <w:spacing w:before="100" w:beforeAutospacing="1" w:after="100" w:afterAutospacing="1"/>
      <w:widowControl/>
    </w:pPr>
    <w:rPr>
      <w:rFonts w:ascii="宋体" w:hAnsi="宋体" w:eastAsia="宋体" w:cs="宋体"/>
      <w:color w:val="000000"/>
      <w:sz w:val="22"/>
    </w:rPr>
  </w:style>
  <w:style w:type="paragraph" w:styleId="1400">
    <w:name w:val="reader-word-layer"/>
    <w:basedOn w:val="851"/>
    <w:next w:val="1400"/>
    <w:link w:val="851"/>
    <w:qFormat/>
    <w:pPr>
      <w:jc w:val="left"/>
      <w:spacing w:before="100" w:beforeAutospacing="1" w:after="100" w:afterAutospacing="1"/>
      <w:widowControl/>
    </w:pPr>
    <w:rPr>
      <w:rFonts w:ascii="宋体" w:hAnsi="宋体" w:eastAsia="宋体" w:cs="宋体"/>
      <w:sz w:val="24"/>
      <w:szCs w:val="24"/>
    </w:rPr>
  </w:style>
  <w:style w:type="paragraph" w:styleId="1401">
    <w:name w:val="Char Char Char Char Char Char Char Char Char Char"/>
    <w:basedOn w:val="851"/>
    <w:next w:val="1401"/>
    <w:link w:val="1402"/>
    <w:qFormat/>
    <w:rPr>
      <w:rFonts w:ascii="Tahoma" w:hAnsi="Tahoma" w:eastAsia="宋体" w:cs="Times New Roman"/>
      <w:sz w:val="24"/>
      <w:szCs w:val="20"/>
    </w:rPr>
  </w:style>
  <w:style w:type="character" w:styleId="1402">
    <w:name w:val="Char Char Char Char Char Char Char Char Char Char Char Char Char"/>
    <w:next w:val="1402"/>
    <w:link w:val="1401"/>
    <w:qFormat/>
    <w:rPr>
      <w:rFonts w:ascii="Tahoma" w:hAnsi="Tahoma" w:eastAsia="宋体" w:cs="Times New Roman"/>
      <w:sz w:val="24"/>
    </w:rPr>
  </w:style>
  <w:style w:type="paragraph" w:styleId="1403">
    <w:name w:val="列出段落2"/>
    <w:basedOn w:val="851"/>
    <w:next w:val="1403"/>
    <w:link w:val="851"/>
    <w:uiPriority w:val="34"/>
    <w:qFormat/>
    <w:pPr>
      <w:ind w:firstLine="420"/>
    </w:pPr>
    <w:rPr>
      <w:rFonts w:ascii="Calibri" w:hAnsi="Calibri" w:eastAsia="宋体" w:cs="Times New Roman"/>
    </w:rPr>
  </w:style>
  <w:style w:type="paragraph" w:styleId="1404">
    <w:name w:val="文档结构图2"/>
    <w:basedOn w:val="851"/>
    <w:next w:val="1404"/>
    <w:link w:val="851"/>
    <w:qFormat/>
    <w:rPr>
      <w:rFonts w:ascii="宋体" w:hAnsi="Calibri" w:eastAsia="宋体" w:cs="Times New Roman"/>
      <w:sz w:val="18"/>
      <w:szCs w:val="18"/>
    </w:rPr>
  </w:style>
  <w:style w:type="paragraph" w:styleId="1405">
    <w:name w:val="列出段落21"/>
    <w:basedOn w:val="851"/>
    <w:next w:val="1405"/>
    <w:link w:val="851"/>
    <w:qFormat/>
    <w:pPr>
      <w:ind w:firstLine="420"/>
    </w:pPr>
    <w:rPr>
      <w:rFonts w:ascii="Calibri" w:hAnsi="Calibri" w:eastAsia="宋体" w:cs="Times New Roman"/>
    </w:rPr>
  </w:style>
  <w:style w:type="character" w:styleId="1406">
    <w:name w:val="标题 2 Char2"/>
    <w:next w:val="1406"/>
    <w:link w:val="851"/>
    <w:qFormat/>
    <w:rPr>
      <w:rFonts w:ascii="Arial" w:hAnsi="Arial" w:eastAsia="黑体"/>
      <w:sz w:val="32"/>
    </w:rPr>
  </w:style>
  <w:style w:type="character" w:styleId="1407">
    <w:name w:val="标题 3 Char2"/>
    <w:next w:val="1407"/>
    <w:link w:val="851"/>
    <w:qFormat/>
    <w:rPr>
      <w:rFonts w:ascii="Arial" w:hAnsi="Arial" w:eastAsia="黑体"/>
      <w:sz w:val="24"/>
      <w:szCs w:val="30"/>
    </w:rPr>
  </w:style>
  <w:style w:type="character" w:styleId="1408">
    <w:name w:val="标题 5 Char2"/>
    <w:next w:val="1408"/>
    <w:link w:val="851"/>
    <w:qFormat/>
    <w:rPr>
      <w:bCs/>
      <w:sz w:val="24"/>
      <w:szCs w:val="28"/>
    </w:rPr>
  </w:style>
  <w:style w:type="character" w:styleId="1409">
    <w:name w:val="标题 6 Char1"/>
    <w:next w:val="1409"/>
    <w:link w:val="851"/>
    <w:qFormat/>
    <w:rPr>
      <w:rFonts w:ascii="Arial" w:hAnsi="Arial" w:eastAsia="黑体"/>
      <w:b/>
      <w:bCs/>
      <w:sz w:val="24"/>
      <w:szCs w:val="24"/>
    </w:rPr>
  </w:style>
  <w:style w:type="character" w:styleId="1410">
    <w:name w:val="标题 8 Char1"/>
    <w:next w:val="1410"/>
    <w:link w:val="851"/>
    <w:qFormat/>
    <w:rPr>
      <w:rFonts w:ascii="Arial" w:hAnsi="Arial" w:eastAsia="黑体"/>
      <w:sz w:val="24"/>
      <w:szCs w:val="24"/>
    </w:rPr>
  </w:style>
  <w:style w:type="character" w:styleId="1411">
    <w:name w:val="标题 9 Char1"/>
    <w:next w:val="1411"/>
    <w:link w:val="851"/>
    <w:qFormat/>
    <w:rPr>
      <w:rFonts w:ascii="Arial" w:hAnsi="Arial" w:eastAsia="黑体"/>
      <w:sz w:val="21"/>
      <w:szCs w:val="21"/>
    </w:rPr>
  </w:style>
  <w:style w:type="character" w:styleId="1412">
    <w:name w:val="页码1"/>
    <w:next w:val="1412"/>
    <w:link w:val="851"/>
    <w:qFormat/>
  </w:style>
  <w:style w:type="character" w:styleId="1413">
    <w:name w:val="Char Char15"/>
    <w:next w:val="1413"/>
    <w:link w:val="851"/>
    <w:qFormat/>
    <w:rPr>
      <w:rFonts w:ascii="Cambria" w:hAnsi="Cambria"/>
      <w:b/>
      <w:bCs/>
      <w:sz w:val="32"/>
      <w:szCs w:val="32"/>
    </w:rPr>
  </w:style>
  <w:style w:type="character" w:styleId="1414">
    <w:name w:val="Char Char16"/>
    <w:next w:val="1414"/>
    <w:link w:val="851"/>
    <w:qFormat/>
    <w:rPr>
      <w:b/>
      <w:bCs/>
      <w:sz w:val="36"/>
      <w:szCs w:val="44"/>
    </w:rPr>
  </w:style>
  <w:style w:type="character" w:styleId="1415">
    <w:name w:val="样式 (西文) 幼圆"/>
    <w:next w:val="1415"/>
    <w:link w:val="851"/>
    <w:qFormat/>
    <w:rPr>
      <w:rFonts w:ascii="幼圆" w:hAnsi="幼圆" w:eastAsia="宋体"/>
      <w:sz w:val="24"/>
    </w:rPr>
  </w:style>
  <w:style w:type="character" w:styleId="1416">
    <w:name w:val="apple-style-span"/>
    <w:next w:val="1416"/>
    <w:link w:val="851"/>
    <w:qFormat/>
  </w:style>
  <w:style w:type="character" w:styleId="1417">
    <w:name w:val="已访问的超链接1"/>
    <w:next w:val="1417"/>
    <w:link w:val="851"/>
    <w:qFormat/>
    <w:rPr>
      <w:color w:val="800080"/>
      <w:u w:val="single"/>
    </w:rPr>
  </w:style>
  <w:style w:type="character" w:styleId="1418">
    <w:name w:val="unnamed31"/>
    <w:next w:val="1418"/>
    <w:link w:val="851"/>
    <w:qFormat/>
    <w:rPr>
      <w:color w:val="000000"/>
      <w:spacing w:val="440"/>
      <w:sz w:val="22"/>
      <w:szCs w:val="22"/>
      <w:u w:val="none"/>
    </w:rPr>
  </w:style>
  <w:style w:type="character" w:styleId="1419">
    <w:name w:val="line1"/>
    <w:next w:val="1419"/>
    <w:link w:val="851"/>
    <w:qFormat/>
    <w:rPr>
      <w:spacing w:val="360"/>
    </w:rPr>
  </w:style>
  <w:style w:type="character" w:styleId="1420">
    <w:name w:val="样式 样式 样式 宋体 小四 首行缩进:  0.74 厘米 行距: 最小值 18 磅 + 段前: 0.5 行 段后: 0.5 行... Char Char"/>
    <w:next w:val="1420"/>
    <w:link w:val="851"/>
    <w:qFormat/>
    <w:rPr>
      <w:rFonts w:ascii="宋体" w:eastAsia="宋体" w:cs="宋体"/>
      <w:sz w:val="24"/>
      <w:lang w:val="en-US" w:eastAsia="zh-CN" w:bidi="ar-SA"/>
    </w:rPr>
  </w:style>
  <w:style w:type="character" w:styleId="1421">
    <w:name w:val="样式 样式 样式 样式 宋体 小四 首行缩进:  0.74 厘米 行距: 最小值 18 磅 + 段前: 0.5 行 段后: 0.... Char Char"/>
    <w:next w:val="1421"/>
    <w:link w:val="851"/>
    <w:qFormat/>
    <w:rPr>
      <w:rFonts w:ascii="宋体" w:hAnsi="宋体" w:eastAsia="宋体" w:cs="宋体"/>
      <w:sz w:val="24"/>
      <w:lang w:val="en-US" w:eastAsia="zh-CN" w:bidi="ar-SA"/>
    </w:rPr>
  </w:style>
  <w:style w:type="character" w:styleId="1422">
    <w:name w:val="样式 样式 样式 宋体 小四 首行缩进:  0.74 厘米 行距: 最小值 18 磅 + 段前: 0.5 行 段后: 0.5 行... Char1"/>
    <w:next w:val="1422"/>
    <w:link w:val="851"/>
    <w:qFormat/>
    <w:rPr>
      <w:rFonts w:ascii="宋体" w:eastAsia="宋体" w:cs="宋体"/>
      <w:sz w:val="24"/>
      <w:lang w:val="en-US" w:eastAsia="zh-CN" w:bidi="ar-SA"/>
    </w:rPr>
  </w:style>
  <w:style w:type="character" w:styleId="1423">
    <w:name w:val="样式 样式 样式 样式 宋体 小四 首行缩进:  0.74 厘米 行距: 最小值 18 磅 + 段前: 0.5 行 段后: 0.... Char1"/>
    <w:next w:val="1423"/>
    <w:link w:val="851"/>
    <w:qFormat/>
    <w:rPr>
      <w:rFonts w:ascii="宋体" w:hAnsi="宋体" w:eastAsia="宋体" w:cs="宋体"/>
      <w:sz w:val="24"/>
      <w:lang w:val="en-US" w:eastAsia="zh-CN" w:bidi="ar-SA"/>
    </w:rPr>
  </w:style>
  <w:style w:type="character" w:styleId="1424">
    <w:name w:val="样式 样式 样式 样式 样式 宋体 小四 首行缩进:  0.74 厘米 行距: 最小值 18 磅 + 段前: 0.5 行 段后:... Char Char"/>
    <w:next w:val="1424"/>
    <w:link w:val="851"/>
    <w:qFormat/>
    <w:rPr>
      <w:rFonts w:eastAsia="宋体" w:cs="宋体"/>
      <w:sz w:val="24"/>
      <w:lang w:val="en-US" w:eastAsia="zh-CN" w:bidi="ar-SA"/>
    </w:rPr>
  </w:style>
  <w:style w:type="character" w:styleId="1425">
    <w:name w:val="样式 样式 样式 宋体 小四 首行缩进:  0.74 厘米 行距: 最小值 18 磅 + 段前: 0.5 行 段后: 0.5 行... Char2"/>
    <w:next w:val="1425"/>
    <w:link w:val="851"/>
    <w:qFormat/>
    <w:rPr>
      <w:rFonts w:ascii="宋体" w:eastAsia="宋体" w:cs="宋体"/>
      <w:sz w:val="24"/>
      <w:lang w:val="en-US" w:eastAsia="zh-CN" w:bidi="ar-SA"/>
    </w:rPr>
  </w:style>
  <w:style w:type="character" w:styleId="1426">
    <w:name w:val="样式 样式 样式 样式 宋体 小四 首行缩进:  0.74 厘米 行距: 最小值 18 磅 + 段前: 0.5 行 段后: 0.... Char2"/>
    <w:next w:val="1426"/>
    <w:link w:val="851"/>
    <w:qFormat/>
    <w:rPr>
      <w:rFonts w:ascii="宋体" w:hAnsi="宋体" w:eastAsia="宋体" w:cs="宋体"/>
      <w:sz w:val="24"/>
      <w:lang w:val="en-US" w:eastAsia="zh-CN" w:bidi="ar-SA"/>
    </w:rPr>
  </w:style>
  <w:style w:type="character" w:styleId="1427">
    <w:name w:val="样式 样式 样式 样式 样式 宋体 小四 首行缩进:  0.74 厘米 行距: 最小值 18 磅 + 段前: 0.5 行 段后:...1 Char Char"/>
    <w:next w:val="1427"/>
    <w:link w:val="851"/>
    <w:qFormat/>
    <w:rPr>
      <w:rFonts w:ascii="宋体" w:hAnsi="宋体" w:eastAsia="宋体" w:cs="宋体"/>
      <w:sz w:val="24"/>
      <w:lang w:val="en-US" w:eastAsia="zh-CN" w:bidi="ar-SA"/>
    </w:rPr>
  </w:style>
  <w:style w:type="character" w:styleId="1428">
    <w:name w:val="样式 样式 样式 样式 样式 样式 宋体 小四 首行缩进:  0.74 厘米 行距: 最小值 18 磅 + 段前: 0.5 行 ... Char Char"/>
    <w:next w:val="1428"/>
    <w:link w:val="851"/>
    <w:qFormat/>
    <w:rPr>
      <w:rFonts w:ascii="宋体" w:hAnsi="宋体" w:eastAsia="宋体" w:cs="宋体"/>
      <w:sz w:val="24"/>
      <w:lang w:val="en-US" w:eastAsia="zh-CN" w:bidi="ar-SA"/>
    </w:rPr>
  </w:style>
  <w:style w:type="character" w:styleId="1429">
    <w:name w:val="样式 样式 样式 样式 样式 样式 样式 宋体 小四 首行缩进:  0.74 厘米 行距: 最小值 18 磅 + 段前: 0.5... Char Char"/>
    <w:next w:val="1429"/>
    <w:link w:val="851"/>
    <w:qFormat/>
    <w:rPr>
      <w:rFonts w:ascii="宋体" w:hAnsi="宋体" w:eastAsia="宋体" w:cs="宋体"/>
      <w:sz w:val="24"/>
      <w:lang w:val="en-US" w:eastAsia="zh-CN" w:bidi="ar-SA"/>
    </w:rPr>
  </w:style>
  <w:style w:type="character" w:styleId="1430">
    <w:name w:val="样式 样式 样式 样式 样式 样式 样式 样式 宋体 小四 首行缩进:  0.74 厘米 行距: 最小值 18 磅 + 段前: ... Char Char Char"/>
    <w:next w:val="1430"/>
    <w:link w:val="851"/>
    <w:qFormat/>
    <w:rPr>
      <w:rFonts w:ascii="宋体" w:hAnsi="宋体" w:eastAsia="宋体" w:cs="宋体"/>
      <w:sz w:val="24"/>
      <w:lang w:val="en-US" w:eastAsia="zh-CN" w:bidi="ar-SA"/>
    </w:rPr>
  </w:style>
  <w:style w:type="character" w:styleId="1431">
    <w:name w:val="Char Char151"/>
    <w:next w:val="1431"/>
    <w:link w:val="851"/>
    <w:qFormat/>
    <w:rPr>
      <w:rFonts w:ascii="Cambria" w:hAnsi="Cambria"/>
      <w:b/>
      <w:bCs/>
      <w:sz w:val="32"/>
      <w:szCs w:val="32"/>
    </w:rPr>
  </w:style>
  <w:style w:type="character" w:styleId="1432">
    <w:name w:val="Char Char161"/>
    <w:next w:val="1432"/>
    <w:link w:val="851"/>
    <w:qFormat/>
    <w:rPr>
      <w:b/>
      <w:bCs/>
      <w:sz w:val="36"/>
      <w:szCs w:val="44"/>
    </w:rPr>
  </w:style>
  <w:style w:type="character" w:styleId="1433">
    <w:name w:val="h Char Char"/>
    <w:next w:val="1433"/>
    <w:link w:val="851"/>
    <w:qFormat/>
    <w:rPr>
      <w:sz w:val="18"/>
      <w:szCs w:val="18"/>
    </w:rPr>
  </w:style>
  <w:style w:type="character" w:styleId="1434">
    <w:name w:val="Char Char18"/>
    <w:next w:val="1434"/>
    <w:link w:val="851"/>
    <w:qFormat/>
    <w:rPr>
      <w:sz w:val="18"/>
      <w:szCs w:val="18"/>
    </w:rPr>
  </w:style>
  <w:style w:type="character" w:styleId="1435">
    <w:name w:val="Char Char17"/>
    <w:next w:val="1435"/>
    <w:link w:val="851"/>
    <w:qFormat/>
    <w:rPr>
      <w:rFonts w:ascii="Times New Roman" w:hAnsi="Times New Roman" w:eastAsia="宋体" w:cs="Times New Roman"/>
      <w:szCs w:val="24"/>
      <w:shd w:val="clear" w:color="auto" w:fill="000080"/>
    </w:rPr>
  </w:style>
  <w:style w:type="character" w:styleId="1436">
    <w:name w:val="样式 宋体 小四 首行缩进:  0.74 厘米 行距: 最小值 18 磅 Char Char"/>
    <w:next w:val="1436"/>
    <w:link w:val="851"/>
    <w:qFormat/>
    <w:rPr>
      <w:rFonts w:ascii="宋体" w:eastAsia="宋体" w:cs="宋体"/>
      <w:sz w:val="24"/>
      <w:szCs w:val="24"/>
      <w:lang w:val="en-US" w:eastAsia="zh-CN" w:bidi="ar-SA"/>
    </w:rPr>
  </w:style>
  <w:style w:type="character" w:styleId="1437">
    <w:name w:val="样式 样式 宋体 小四 首行缩进:  0.74 厘米 行距: 最小值 18 磅 + 段前: 0.5 行 段后: 0.5 行 Char Char Char"/>
    <w:next w:val="1437"/>
    <w:link w:val="851"/>
    <w:qFormat/>
    <w:rPr>
      <w:rFonts w:ascii="宋体" w:eastAsia="宋体" w:cs="宋体"/>
      <w:sz w:val="24"/>
      <w:szCs w:val="24"/>
      <w:lang w:val="en-US" w:eastAsia="zh-CN" w:bidi="ar-SA"/>
    </w:rPr>
  </w:style>
  <w:style w:type="character" w:styleId="1438">
    <w:name w:val="Char Char14"/>
    <w:next w:val="1438"/>
    <w:link w:val="851"/>
    <w:qFormat/>
    <w:rPr>
      <w:rFonts w:ascii="Times New Roman" w:hAnsi="Times New Roman" w:eastAsia="宋体" w:cs="Times New Roman"/>
      <w:szCs w:val="24"/>
    </w:rPr>
  </w:style>
  <w:style w:type="character" w:styleId="1439">
    <w:name w:val="Char Char11"/>
    <w:next w:val="1439"/>
    <w:link w:val="851"/>
    <w:qFormat/>
    <w:rPr>
      <w:rFonts w:ascii="Times New Roman" w:hAnsi="Times New Roman" w:eastAsia="宋体" w:cs="Times New Roman"/>
      <w:sz w:val="18"/>
      <w:szCs w:val="18"/>
    </w:rPr>
  </w:style>
  <w:style w:type="character" w:styleId="1440">
    <w:name w:val="141"/>
    <w:next w:val="1440"/>
    <w:link w:val="851"/>
    <w:qFormat/>
    <w:rPr>
      <w:color w:val="000000"/>
      <w:spacing w:val="320"/>
      <w:u w:val="none"/>
    </w:rPr>
  </w:style>
  <w:style w:type="character" w:styleId="1441">
    <w:name w:val="bodycopy1"/>
    <w:next w:val="1441"/>
    <w:link w:val="851"/>
    <w:qFormat/>
    <w:rPr>
      <w:rFonts w:ascii="Arial" w:hAnsi="Arial" w:cs="Arial"/>
      <w:color w:val="000000"/>
      <w:sz w:val="18"/>
      <w:szCs w:val="18"/>
      <w:u w:val="none"/>
    </w:rPr>
  </w:style>
  <w:style w:type="character" w:styleId="1442">
    <w:name w:val="parahead21"/>
    <w:next w:val="1442"/>
    <w:link w:val="851"/>
    <w:qFormat/>
    <w:rPr>
      <w:rFonts w:ascii="Arial" w:hAnsi="Arial" w:cs="Arial"/>
      <w:b/>
      <w:bCs/>
      <w:color w:val="336699"/>
      <w:sz w:val="21"/>
      <w:szCs w:val="21"/>
      <w:u w:val="none"/>
    </w:rPr>
  </w:style>
  <w:style w:type="character" w:styleId="1443">
    <w:name w:val="Char Char8"/>
    <w:next w:val="1443"/>
    <w:link w:val="851"/>
    <w:qFormat/>
    <w:rPr>
      <w:rFonts w:ascii="Times New Roman" w:hAnsi="Times New Roman" w:eastAsia="宋体" w:cs="Times New Roman"/>
      <w:sz w:val="24"/>
      <w:szCs w:val="20"/>
    </w:rPr>
  </w:style>
  <w:style w:type="character" w:styleId="1444">
    <w:name w:val="cont1"/>
    <w:next w:val="1444"/>
    <w:link w:val="851"/>
    <w:qFormat/>
    <w:rPr>
      <w:rFonts w:ascii="ˎ̥" w:hAnsi="ˎ̥"/>
      <w:color w:val="000000"/>
      <w:sz w:val="21"/>
      <w:szCs w:val="21"/>
      <w:u w:val="none"/>
    </w:rPr>
  </w:style>
  <w:style w:type="character" w:styleId="1445">
    <w:name w:val="可研标题 3"/>
    <w:next w:val="1445"/>
    <w:link w:val="851"/>
    <w:qFormat/>
    <w:rPr>
      <w:rFonts w:ascii="仿宋_GB2312" w:eastAsia="黑体"/>
      <w:b/>
      <w:bCs/>
      <w:sz w:val="28"/>
      <w:szCs w:val="32"/>
      <w:lang w:val="en-US" w:eastAsia="zh-CN" w:bidi="ar-SA"/>
    </w:rPr>
  </w:style>
  <w:style w:type="character" w:styleId="1446">
    <w:name w:val="可研标题 4"/>
    <w:next w:val="1446"/>
    <w:link w:val="851"/>
    <w:qFormat/>
    <w:rPr>
      <w:rFonts w:ascii="仿宋_GB2312" w:eastAsia="仿宋_GB2312"/>
      <w:b/>
      <w:bCs/>
      <w:sz w:val="24"/>
      <w:szCs w:val="32"/>
      <w:lang w:val="en-US" w:eastAsia="zh-CN" w:bidi="ar-SA"/>
    </w:rPr>
  </w:style>
  <w:style w:type="character" w:styleId="1447">
    <w:name w:val="正文缩进 Char1"/>
    <w:next w:val="1447"/>
    <w:link w:val="851"/>
    <w:qFormat/>
    <w:rPr>
      <w:rFonts w:eastAsia="宋体"/>
      <w:sz w:val="21"/>
      <w:szCs w:val="24"/>
      <w:lang w:val="en-US" w:eastAsia="zh-CN" w:bidi="ar-SA"/>
    </w:rPr>
  </w:style>
  <w:style w:type="character" w:styleId="1448">
    <w:name w:val="title_emph"/>
    <w:next w:val="1448"/>
    <w:link w:val="851"/>
    <w:qFormat/>
  </w:style>
  <w:style w:type="character" w:styleId="1449">
    <w:name w:val="style8"/>
    <w:next w:val="1449"/>
    <w:link w:val="851"/>
    <w:qFormat/>
  </w:style>
  <w:style w:type="character" w:styleId="1450">
    <w:name w:val="Body Text(ch) Char"/>
    <w:next w:val="1450"/>
    <w:link w:val="851"/>
    <w:qFormat/>
    <w:rPr>
      <w:rFonts w:ascii="Times New Roman" w:hAnsi="Times New Roman" w:eastAsia="宋体" w:cs="Times New Roman"/>
      <w:szCs w:val="24"/>
    </w:rPr>
  </w:style>
  <w:style w:type="character" w:styleId="1451">
    <w:name w:val="H1 Char1"/>
    <w:next w:val="1451"/>
    <w:link w:val="851"/>
    <w:qFormat/>
    <w:rPr>
      <w:rFonts w:ascii="Times New Roman" w:hAnsi="Times New Roman" w:eastAsia="宋体" w:cs="Times New Roman"/>
      <w:b/>
      <w:bCs/>
      <w:sz w:val="44"/>
      <w:szCs w:val="44"/>
    </w:rPr>
  </w:style>
  <w:style w:type="character" w:styleId="1452">
    <w:name w:val="批注引用1"/>
    <w:next w:val="1452"/>
    <w:link w:val="851"/>
    <w:qFormat/>
    <w:rPr>
      <w:sz w:val="16"/>
      <w:szCs w:val="16"/>
    </w:rPr>
  </w:style>
  <w:style w:type="character" w:styleId="1453">
    <w:name w:val="样式 宋体"/>
    <w:next w:val="1453"/>
    <w:link w:val="851"/>
    <w:qFormat/>
    <w:rPr>
      <w:rFonts w:ascii="宋体" w:hAnsi="宋体" w:eastAsia="宋体"/>
      <w:sz w:val="24"/>
    </w:rPr>
  </w:style>
  <w:style w:type="character" w:styleId="1454">
    <w:name w:val="headline-content"/>
    <w:next w:val="1454"/>
    <w:link w:val="851"/>
    <w:qFormat/>
  </w:style>
  <w:style w:type="character" w:styleId="1455">
    <w:name w:val="CSS3级编号 Char"/>
    <w:next w:val="1455"/>
    <w:link w:val="851"/>
    <w:qFormat/>
    <w:rPr>
      <w:rFonts w:eastAsia="宋体"/>
      <w:sz w:val="24"/>
      <w:szCs w:val="24"/>
      <w:lang w:val="en-US" w:eastAsia="zh-CN" w:bidi="ar-SA"/>
    </w:rPr>
  </w:style>
  <w:style w:type="character" w:styleId="1456">
    <w:name w:val="批注文字 Char1"/>
    <w:next w:val="1456"/>
    <w:link w:val="851"/>
    <w:uiPriority w:val="99"/>
    <w:qFormat/>
    <w:rPr>
      <w:sz w:val="24"/>
      <w:szCs w:val="24"/>
    </w:rPr>
  </w:style>
  <w:style w:type="character" w:styleId="1457">
    <w:name w:val="批注主题 Char1"/>
    <w:next w:val="1457"/>
    <w:link w:val="851"/>
    <w:uiPriority w:val="99"/>
    <w:qFormat/>
    <w:rPr>
      <w:b/>
      <w:bCs/>
      <w:sz w:val="24"/>
      <w:szCs w:val="24"/>
    </w:rPr>
  </w:style>
  <w:style w:type="character" w:styleId="1458">
    <w:name w:val="纯文本 Char1"/>
    <w:next w:val="1458"/>
    <w:link w:val="851"/>
    <w:uiPriority w:val="99"/>
    <w:qFormat/>
    <w:rPr>
      <w:rFonts w:ascii="宋体" w:hAnsi="Courier New" w:cs="Courier New"/>
      <w:sz w:val="21"/>
      <w:szCs w:val="21"/>
    </w:rPr>
  </w:style>
  <w:style w:type="character" w:styleId="1459">
    <w:name w:val="apple-converted-space"/>
    <w:next w:val="1459"/>
    <w:link w:val="851"/>
    <w:qFormat/>
  </w:style>
  <w:style w:type="character" w:styleId="1460">
    <w:name w:val="文档结构图 Char1"/>
    <w:next w:val="1460"/>
    <w:link w:val="851"/>
    <w:uiPriority w:val="99"/>
    <w:qFormat/>
    <w:rPr>
      <w:rFonts w:ascii="宋体" w:cs="Times New Roman"/>
      <w:sz w:val="18"/>
      <w:szCs w:val="18"/>
    </w:rPr>
  </w:style>
  <w:style w:type="paragraph" w:styleId="1461">
    <w:name w:val="l正文"/>
    <w:next w:val="1461"/>
    <w:link w:val="851"/>
    <w:qFormat/>
    <w:pPr>
      <w:ind w:firstLine="200"/>
      <w:spacing w:line="360" w:lineRule="auto"/>
    </w:pPr>
    <w:rPr>
      <w:sz w:val="22"/>
      <w:szCs w:val="22"/>
      <w:lang w:val="en-US" w:eastAsia="zh-CN" w:bidi="ar-SA"/>
    </w:rPr>
  </w:style>
  <w:style w:type="paragraph" w:styleId="1462">
    <w:name w:val="l列表1"/>
    <w:next w:val="1462"/>
    <w:link w:val="851"/>
    <w:qFormat/>
    <w:pPr>
      <w:ind w:left="350" w:hanging="150"/>
      <w:spacing w:line="360" w:lineRule="auto"/>
      <w:tabs>
        <w:tab w:val="left" w:pos="735" w:leader="none"/>
      </w:tabs>
    </w:pPr>
    <w:rPr>
      <w:iCs/>
      <w:sz w:val="22"/>
      <w:szCs w:val="22"/>
      <w:lang w:val="en-US" w:eastAsia="zh-CN" w:bidi="ar-SA"/>
    </w:rPr>
  </w:style>
  <w:style w:type="paragraph" w:styleId="1463">
    <w:name w:val="样式7"/>
    <w:basedOn w:val="851"/>
    <w:next w:val="1463"/>
    <w:link w:val="851"/>
    <w:qFormat/>
    <w:pPr>
      <w:ind w:firstLine="601"/>
      <w:spacing w:line="440" w:lineRule="atLeast"/>
    </w:pPr>
    <w:rPr>
      <w:rFonts w:ascii="宋体" w:hAnsi="Calibri" w:eastAsia="宋体" w:cs="Times New Roman"/>
      <w:sz w:val="24"/>
      <w:szCs w:val="20"/>
    </w:rPr>
  </w:style>
  <w:style w:type="paragraph" w:styleId="1464">
    <w:name w:val="FinBodyStyle"/>
    <w:basedOn w:val="851"/>
    <w:next w:val="1464"/>
    <w:link w:val="851"/>
    <w:qFormat/>
    <w:pPr>
      <w:ind w:firstLine="480"/>
      <w:jc w:val="left"/>
      <w:spacing w:line="360" w:lineRule="auto"/>
      <w:widowControl/>
    </w:pPr>
    <w:rPr>
      <w:rFonts w:hint="eastAsia" w:ascii="宋体" w:hAnsi="宋体" w:eastAsia="宋体" w:cs="宋体"/>
      <w:sz w:val="24"/>
      <w:szCs w:val="20"/>
    </w:rPr>
  </w:style>
  <w:style w:type="paragraph" w:styleId="1465">
    <w:name w:val="FinListStyle"/>
    <w:basedOn w:val="851"/>
    <w:next w:val="1465"/>
    <w:link w:val="851"/>
    <w:qFormat/>
    <w:pPr>
      <w:jc w:val="left"/>
      <w:spacing w:line="360" w:lineRule="auto"/>
      <w:widowControl/>
    </w:pPr>
    <w:rPr>
      <w:rFonts w:hint="eastAsia" w:ascii="宋体" w:hAnsi="宋体" w:eastAsia="宋体" w:cs="宋体"/>
      <w:sz w:val="24"/>
      <w:szCs w:val="20"/>
    </w:rPr>
  </w:style>
  <w:style w:type="paragraph" w:styleId="1466">
    <w:name w:val="FinShapeStyle"/>
    <w:basedOn w:val="851"/>
    <w:next w:val="1466"/>
    <w:link w:val="851"/>
    <w:qFormat/>
    <w:pPr>
      <w:jc w:val="center"/>
      <w:widowControl/>
    </w:pPr>
    <w:rPr>
      <w:rFonts w:ascii="Times New Roman" w:hAnsi="Times New Roman" w:eastAsia="宋体" w:cs="Times New Roman"/>
      <w:sz w:val="20"/>
      <w:szCs w:val="20"/>
    </w:rPr>
  </w:style>
  <w:style w:type="paragraph" w:styleId="1467">
    <w:name w:val="WPSOffice手动目录 1"/>
    <w:next w:val="1467"/>
    <w:link w:val="851"/>
    <w:qFormat/>
    <w:rPr>
      <w:lang w:val="en-US" w:eastAsia="zh-CN" w:bidi="ar-SA"/>
    </w:rPr>
  </w:style>
  <w:style w:type="paragraph" w:styleId="1468">
    <w:name w:val="WPSOffice手动目录 2"/>
    <w:next w:val="1468"/>
    <w:link w:val="851"/>
    <w:qFormat/>
    <w:pPr>
      <w:ind w:left="200"/>
    </w:pPr>
    <w:rPr>
      <w:lang w:val="en-US" w:eastAsia="zh-CN" w:bidi="ar-SA"/>
    </w:rPr>
  </w:style>
  <w:style w:type="paragraph" w:styleId="1469">
    <w:name w:val="WPSOffice手动目录 3"/>
    <w:next w:val="1469"/>
    <w:link w:val="851"/>
    <w:qFormat/>
    <w:pPr>
      <w:ind w:left="400"/>
    </w:pPr>
    <w:rPr>
      <w:lang w:val="en-US" w:eastAsia="zh-CN" w:bidi="ar-SA"/>
    </w:rPr>
  </w:style>
  <w:style w:type="character" w:styleId="1470">
    <w:name w:val="answer-title"/>
    <w:next w:val="1470"/>
    <w:link w:val="851"/>
    <w:qFormat/>
  </w:style>
  <w:style w:type="character" w:styleId="1471">
    <w:name w:val="del-btn"/>
    <w:next w:val="1471"/>
    <w:link w:val="851"/>
    <w:qFormat/>
  </w:style>
  <w:style w:type="character" w:styleId="1472">
    <w:name w:val="bg"/>
    <w:next w:val="1472"/>
    <w:link w:val="851"/>
    <w:qFormat/>
    <w:rPr>
      <w:shd w:val="clear" w:color="auto" w:fill="000000"/>
    </w:rPr>
  </w:style>
  <w:style w:type="character" w:styleId="1473">
    <w:name w:val="bg1"/>
    <w:next w:val="1473"/>
    <w:link w:val="851"/>
    <w:qFormat/>
    <w:rPr>
      <w:shd w:val="clear" w:color="auto" w:fill="000000"/>
    </w:rPr>
  </w:style>
  <w:style w:type="character" w:styleId="1474">
    <w:name w:val="fontborder"/>
    <w:next w:val="1474"/>
    <w:link w:val="851"/>
    <w:qFormat/>
  </w:style>
  <w:style w:type="character" w:styleId="1475">
    <w:name w:val="fontstrikethrough"/>
    <w:next w:val="1475"/>
    <w:link w:val="851"/>
    <w:qFormat/>
    <w:rPr>
      <w:strike/>
    </w:rPr>
  </w:style>
  <w:style w:type="paragraph" w:styleId="1476">
    <w:name w:val="样式3"/>
    <w:basedOn w:val="851"/>
    <w:next w:val="1476"/>
    <w:link w:val="1477"/>
    <w:qFormat/>
    <w:pPr>
      <w:ind w:firstLine="480"/>
      <w:jc w:val="left"/>
      <w:spacing w:after="3" w:line="360" w:lineRule="auto"/>
      <w:widowControl/>
    </w:pPr>
    <w:rPr>
      <w:rFonts w:ascii="宋体" w:hAnsi="宋体" w:eastAsia="宋体" w:cs="仿宋"/>
      <w:color w:val="000000"/>
      <w:sz w:val="24"/>
      <w:szCs w:val="20"/>
    </w:rPr>
  </w:style>
  <w:style w:type="character" w:styleId="1477">
    <w:name w:val="样式3 字符"/>
    <w:next w:val="1477"/>
    <w:link w:val="1476"/>
    <w:qFormat/>
    <w:rPr>
      <w:rFonts w:ascii="宋体" w:hAnsi="宋体" w:eastAsia="宋体" w:cs="仿宋"/>
      <w:color w:val="000000"/>
      <w:sz w:val="24"/>
    </w:rPr>
  </w:style>
  <w:style w:type="paragraph" w:styleId="1478">
    <w:name w:val="无间隔"/>
    <w:next w:val="1478"/>
    <w:link w:val="1479"/>
    <w:uiPriority w:val="1"/>
    <w:qFormat/>
    <w:rPr>
      <w:rFonts w:ascii="Calibri" w:hAnsi="Calibri"/>
      <w:sz w:val="22"/>
      <w:szCs w:val="22"/>
      <w:lang w:val="en-US" w:eastAsia="zh-CN" w:bidi="en-US"/>
    </w:rPr>
  </w:style>
  <w:style w:type="character" w:styleId="1479">
    <w:name w:val="无间隔 Char"/>
    <w:next w:val="1479"/>
    <w:link w:val="1478"/>
    <w:uiPriority w:val="1"/>
    <w:qFormat/>
    <w:rPr>
      <w:rFonts w:ascii="Calibri" w:hAnsi="Calibri" w:eastAsia="宋体" w:cs="Times New Roman"/>
      <w:sz w:val="22"/>
      <w:szCs w:val="22"/>
      <w:lang w:eastAsia="en-US" w:bidi="en-US"/>
    </w:rPr>
  </w:style>
  <w:style w:type="paragraph" w:styleId="1480">
    <w:name w:val="列出段落"/>
    <w:basedOn w:val="851"/>
    <w:next w:val="1480"/>
    <w:link w:val="1481"/>
    <w:uiPriority w:val="34"/>
    <w:qFormat/>
    <w:pPr>
      <w:ind w:firstLine="420"/>
    </w:pPr>
    <w:rPr>
      <w:sz w:val="20"/>
      <w:szCs w:val="20"/>
    </w:rPr>
  </w:style>
  <w:style w:type="character" w:styleId="1481">
    <w:name w:val="列出段落 Char1"/>
    <w:next w:val="1481"/>
    <w:link w:val="1480"/>
    <w:uiPriority w:val="34"/>
    <w:qFormat/>
  </w:style>
  <w:style w:type="paragraph" w:styleId="1482">
    <w:name w:val="引用"/>
    <w:basedOn w:val="851"/>
    <w:next w:val="851"/>
    <w:link w:val="1483"/>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483">
    <w:name w:val="引用 Char"/>
    <w:next w:val="1483"/>
    <w:link w:val="1482"/>
    <w:uiPriority w:val="29"/>
    <w:qFormat/>
    <w:rPr>
      <w:rFonts w:ascii="Times New Roman" w:hAnsi="Times New Roman" w:eastAsia="仿宋"/>
      <w:i/>
      <w:iCs/>
      <w:color w:val="000080"/>
      <w:sz w:val="28"/>
      <w:szCs w:val="24"/>
    </w:rPr>
  </w:style>
  <w:style w:type="paragraph" w:styleId="1484">
    <w:name w:val="明显引用"/>
    <w:basedOn w:val="851"/>
    <w:next w:val="851"/>
    <w:link w:val="1485"/>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85">
    <w:name w:val="明显引用 Char"/>
    <w:next w:val="1485"/>
    <w:link w:val="1484"/>
    <w:uiPriority w:val="30"/>
    <w:qFormat/>
    <w:rPr>
      <w:rFonts w:ascii="Times New Roman" w:hAnsi="Times New Roman" w:eastAsia="仿宋"/>
      <w:b/>
      <w:bCs/>
      <w:i/>
      <w:iCs/>
      <w:color w:val="4f81bd"/>
      <w:sz w:val="28"/>
      <w:szCs w:val="24"/>
    </w:rPr>
  </w:style>
  <w:style w:type="paragraph" w:styleId="1486">
    <w:name w:val="my正文"/>
    <w:basedOn w:val="851"/>
    <w:next w:val="1486"/>
    <w:link w:val="1487"/>
    <w:qFormat/>
    <w:pPr>
      <w:ind w:firstLine="480"/>
      <w:spacing w:line="360" w:lineRule="auto"/>
    </w:pPr>
    <w:rPr>
      <w:rFonts w:ascii="Times New Roman" w:hAnsi="Times New Roman" w:eastAsia="宋体" w:cs="Times New Roman"/>
      <w:sz w:val="24"/>
      <w:szCs w:val="24"/>
    </w:rPr>
  </w:style>
  <w:style w:type="character" w:styleId="1487">
    <w:name w:val="my正文 Char"/>
    <w:next w:val="1487"/>
    <w:link w:val="1486"/>
    <w:qFormat/>
    <w:rPr>
      <w:rFonts w:ascii="Times New Roman" w:hAnsi="Times New Roman" w:eastAsia="宋体" w:cs="Times New Roman"/>
      <w:sz w:val="24"/>
      <w:szCs w:val="24"/>
    </w:rPr>
  </w:style>
  <w:style w:type="paragraph" w:styleId="1488">
    <w:name w:val="题注格式"/>
    <w:basedOn w:val="972"/>
    <w:next w:val="1488"/>
    <w:link w:val="1489"/>
    <w:qFormat/>
    <w:pPr>
      <w:ind w:firstLine="0"/>
      <w:jc w:val="center"/>
      <w:spacing w:after="0" w:line="360" w:lineRule="auto"/>
      <w:widowControl w:val="off"/>
    </w:pPr>
    <w:rPr>
      <w:rFonts w:ascii="宋体" w:hAnsi="宋体" w:eastAsia="宋体"/>
      <w:bCs w:val="0"/>
      <w:sz w:val="21"/>
      <w:szCs w:val="21"/>
    </w:rPr>
  </w:style>
  <w:style w:type="character" w:styleId="1489">
    <w:name w:val="题注格式 字符"/>
    <w:next w:val="1489"/>
    <w:link w:val="1488"/>
    <w:qFormat/>
    <w:rPr>
      <w:rFonts w:ascii="宋体" w:hAnsi="宋体" w:eastAsia="宋体" w:cs="Arial"/>
      <w:bCs w:val="0"/>
      <w:color w:val="4f81bd"/>
      <w:sz w:val="21"/>
      <w:szCs w:val="21"/>
      <w:lang w:eastAsia="en-US" w:bidi="en-US"/>
    </w:rPr>
  </w:style>
  <w:style w:type="paragraph" w:styleId="1490">
    <w:name w:val="图片格式"/>
    <w:basedOn w:val="851"/>
    <w:next w:val="1490"/>
    <w:link w:val="1491"/>
    <w:qFormat/>
    <w:pPr>
      <w:jc w:val="center"/>
      <w:keepNext/>
      <w:spacing w:line="360" w:lineRule="auto"/>
    </w:pPr>
    <w:rPr>
      <w:rFonts w:ascii="宋体" w:hAnsi="宋体" w:eastAsia="宋体"/>
      <w:sz w:val="24"/>
      <w:szCs w:val="24"/>
    </w:rPr>
  </w:style>
  <w:style w:type="character" w:styleId="1491">
    <w:name w:val="图片格式 字符"/>
    <w:next w:val="1491"/>
    <w:link w:val="1490"/>
    <w:qFormat/>
    <w:rPr>
      <w:rFonts w:ascii="宋体" w:hAnsi="宋体" w:eastAsia="宋体"/>
      <w:sz w:val="24"/>
      <w:szCs w:val="24"/>
    </w:rPr>
  </w:style>
  <w:style w:type="paragraph" w:styleId="1492">
    <w:name w:val="表格格式"/>
    <w:basedOn w:val="1324"/>
    <w:next w:val="1492"/>
    <w:link w:val="1493"/>
    <w:qFormat/>
    <w:pPr>
      <w:jc w:val="center"/>
      <w:spacing w:line="240" w:lineRule="auto"/>
      <w:widowControl/>
    </w:pPr>
    <w:rPr>
      <w:bCs/>
      <w:szCs w:val="32"/>
    </w:rPr>
  </w:style>
  <w:style w:type="character" w:styleId="1493">
    <w:name w:val="表格格式 字符"/>
    <w:next w:val="1493"/>
    <w:link w:val="1492"/>
    <w:qFormat/>
    <w:rPr>
      <w:rFonts w:ascii="Times New Roman" w:hAnsi="Times New Roman" w:eastAsia="宋体" w:cs="Times New Roman"/>
      <w:bCs/>
      <w:sz w:val="21"/>
      <w:szCs w:val="32"/>
    </w:rPr>
  </w:style>
  <w:style w:type="paragraph" w:styleId="1494">
    <w:name w:val="TOC 标题11"/>
    <w:basedOn w:val="887"/>
    <w:next w:val="851"/>
    <w:link w:val="851"/>
    <w:uiPriority w:val="39"/>
    <w:unhideWhenUsed/>
    <w:qFormat/>
    <w:pPr>
      <w:jc w:val="left"/>
      <w:spacing w:before="0" w:after="0" w:line="259" w:lineRule="auto"/>
      <w:widowControl/>
      <w:tabs>
        <w:tab w:val="clear" w:pos="879" w:leader="none"/>
      </w:tabs>
      <w:outlineLvl w:val="9"/>
    </w:pPr>
    <w:rPr>
      <w:rFonts w:ascii="等线 Light" w:hAnsi="等线 Light" w:eastAsia="黑体" w:cs="Arial"/>
      <w:b w:val="0"/>
      <w:bCs w:val="0"/>
      <w:color w:val="2e75b6"/>
      <w:spacing w:val="0"/>
      <w:sz w:val="32"/>
      <w:szCs w:val="32"/>
    </w:rPr>
  </w:style>
  <w:style w:type="table" w:styleId="1495">
    <w:name w:val="Table Normal_0"/>
    <w:next w:val="1495"/>
    <w:link w:val="851"/>
    <w:uiPriority w:val="2"/>
    <w:unhideWhenUsed/>
    <w:qFormat/>
    <w:rPr>
      <w:lang w:val="en-US" w:eastAsia="zh-CN" w:bidi="ar-SA"/>
    </w:rPr>
    <w:tblPr/>
  </w:style>
  <w:style w:type="paragraph" w:styleId="1496">
    <w:name w:val="列表段落1"/>
    <w:basedOn w:val="851"/>
    <w:next w:val="1496"/>
    <w:link w:val="851"/>
    <w:uiPriority w:val="34"/>
    <w:qFormat/>
    <w:pPr>
      <w:ind w:firstLine="420"/>
      <w:jc w:val="left"/>
      <w:widowControl/>
    </w:pPr>
    <w:rPr>
      <w:rFonts w:ascii="Arial" w:hAnsi="Arial" w:eastAsia="Arial" w:cs="Arial"/>
      <w:color w:val="000000"/>
      <w:szCs w:val="21"/>
    </w:rPr>
  </w:style>
  <w:style w:type="table" w:styleId="1497">
    <w:name w:val="网格型1"/>
    <w:basedOn w:val="854"/>
    <w:next w:val="1497"/>
    <w:link w:val="851"/>
    <w:uiPriority w:val="59"/>
    <w:qFormat/>
    <w:rPr>
      <w:rFonts w:ascii="等线" w:hAnsi="等线" w:eastAsia="等线"/>
    </w:rPr>
    <w:tblPr/>
  </w:style>
  <w:style w:type="table" w:styleId="1498">
    <w:name w:val="网格型2"/>
    <w:basedOn w:val="854"/>
    <w:next w:val="1498"/>
    <w:link w:val="851"/>
    <w:uiPriority w:val="59"/>
    <w:qFormat/>
    <w:rPr>
      <w:rFonts w:ascii="等线" w:hAnsi="等线" w:eastAsia="等线"/>
    </w:rPr>
    <w:tblPr/>
  </w:style>
  <w:style w:type="paragraph" w:styleId="1499">
    <w:name w:val="标题 22"/>
    <w:basedOn w:val="851"/>
    <w:next w:val="851"/>
    <w:link w:val="851"/>
    <w:qFormat/>
    <w:pPr>
      <w:numPr>
        <w:ilvl w:val="0"/>
        <w:numId w:val="3"/>
      </w:numPr>
      <w:ind w:firstLine="200"/>
      <w:jc w:val="left"/>
      <w:keepLines/>
      <w:keepNext/>
      <w:spacing w:before="120" w:after="120"/>
      <w:widowControl/>
    </w:pPr>
    <w:rPr>
      <w:rFonts w:ascii="Cambria" w:hAnsi="Cambria" w:eastAsia="楷体" w:cs="Arial"/>
      <w:color w:val="000000"/>
      <w:szCs w:val="21"/>
    </w:rPr>
  </w:style>
  <w:style w:type="character" w:styleId="1500">
    <w:name w:val="font11"/>
    <w:next w:val="1500"/>
    <w:link w:val="851"/>
    <w:qFormat/>
    <w:rPr>
      <w:rFonts w:hint="eastAsia" w:ascii="宋体" w:hAnsi="宋体" w:eastAsia="宋体" w:cs="宋体"/>
      <w:b/>
      <w:bCs/>
      <w:color w:val="000000"/>
      <w:sz w:val="24"/>
      <w:szCs w:val="24"/>
      <w:u w:val="none"/>
    </w:rPr>
  </w:style>
  <w:style w:type="table" w:styleId="1501">
    <w:name w:val="网格型浅色1"/>
    <w:basedOn w:val="854"/>
    <w:next w:val="1501"/>
    <w:link w:val="851"/>
    <w:uiPriority w:val="40"/>
    <w:qFormat/>
    <w:tblPr/>
  </w:style>
  <w:style w:type="paragraph" w:styleId="1502">
    <w:name w:val="Table Paragraph"/>
    <w:basedOn w:val="851"/>
    <w:next w:val="1502"/>
    <w:link w:val="851"/>
    <w:uiPriority w:val="1"/>
    <w:qFormat/>
    <w:pPr>
      <w:jc w:val="left"/>
      <w:widowControl/>
    </w:pPr>
    <w:rPr>
      <w:rFonts w:ascii="方正仿宋_GBK" w:hAnsi="方正仿宋_GBK" w:eastAsia="方正仿宋_GBK" w:cs="方正仿宋_GBK"/>
      <w:sz w:val="22"/>
      <w:lang w:eastAsia="en-US"/>
    </w:rPr>
  </w:style>
  <w:style w:type="paragraph" w:styleId="1503">
    <w:name w:val="正文格式"/>
    <w:basedOn w:val="851"/>
    <w:next w:val="1503"/>
    <w:link w:val="1504"/>
    <w:qFormat/>
    <w:pPr>
      <w:ind w:firstLine="480"/>
      <w:spacing w:line="276" w:lineRule="auto"/>
    </w:pPr>
    <w:rPr>
      <w:rFonts w:ascii="方正仿宋_GBK" w:hAnsi="Times New Roman" w:eastAsia="方正仿宋_GBK" w:cs="Times New Roman"/>
      <w:sz w:val="24"/>
      <w:szCs w:val="24"/>
    </w:rPr>
  </w:style>
  <w:style w:type="character" w:styleId="1504">
    <w:name w:val="正文格式 字符"/>
    <w:next w:val="1504"/>
    <w:link w:val="1503"/>
    <w:qFormat/>
    <w:rPr>
      <w:rFonts w:ascii="方正仿宋_GBK" w:hAnsi="Times New Roman" w:eastAsia="方正仿宋_GBK" w:cs="Times New Roman"/>
      <w:sz w:val="24"/>
      <w:szCs w:val="24"/>
    </w:rPr>
  </w:style>
  <w:style w:type="paragraph" w:styleId="1505">
    <w:name w:val="TOC 标题2"/>
    <w:basedOn w:val="887"/>
    <w:next w:val="851"/>
    <w:link w:val="851"/>
    <w:uiPriority w:val="39"/>
    <w:unhideWhenUsed/>
    <w:qFormat/>
    <w:pPr>
      <w:jc w:val="left"/>
      <w:spacing w:before="0" w:after="0" w:line="259" w:lineRule="auto"/>
      <w:widowControl/>
      <w:tabs>
        <w:tab w:val="clear" w:pos="879" w:leader="none"/>
      </w:tabs>
      <w:outlineLvl w:val="9"/>
    </w:pPr>
    <w:rPr>
      <w:rFonts w:ascii="等线 Light" w:hAnsi="等线 Light" w:eastAsia="黑体" w:cs="Arial"/>
      <w:b w:val="0"/>
      <w:bCs w:val="0"/>
      <w:color w:val="2e75b6"/>
      <w:spacing w:val="0"/>
      <w:sz w:val="32"/>
      <w:szCs w:val="32"/>
    </w:rPr>
  </w:style>
  <w:style w:type="paragraph" w:styleId="1506">
    <w:name w:val="正文（首行缩进2字符）"/>
    <w:basedOn w:val="851"/>
    <w:next w:val="1506"/>
    <w:link w:val="1507"/>
    <w:qFormat/>
    <w:pPr>
      <w:ind w:firstLine="480"/>
      <w:spacing w:line="360" w:lineRule="auto"/>
    </w:pPr>
    <w:rPr>
      <w:rFonts w:ascii="Times New Roman" w:hAnsi="Times New Roman" w:eastAsia="宋体" w:cs="Times New Roman"/>
      <w:color w:val="000000"/>
      <w:sz w:val="24"/>
    </w:rPr>
  </w:style>
  <w:style w:type="character" w:styleId="1507">
    <w:name w:val="正文（首行缩进2字符） 字符"/>
    <w:next w:val="1507"/>
    <w:link w:val="1506"/>
    <w:qFormat/>
    <w:rPr>
      <w:rFonts w:ascii="Times New Roman" w:hAnsi="Times New Roman" w:eastAsia="宋体" w:cs="Times New Roman"/>
      <w:color w:val="000000"/>
      <w:sz w:val="24"/>
      <w:szCs w:val="22"/>
    </w:rPr>
  </w:style>
  <w:style w:type="paragraph" w:styleId="1508">
    <w:name w:val="H0正文标准样式"/>
    <w:basedOn w:val="851"/>
    <w:next w:val="1508"/>
    <w:link w:val="1509"/>
    <w:qFormat/>
    <w:pPr>
      <w:ind w:firstLine="480"/>
      <w:spacing w:line="360" w:lineRule="auto"/>
    </w:pPr>
    <w:rPr>
      <w:rFonts w:ascii="宋体" w:hAnsi="宋体" w:eastAsia="宋体" w:cs="Times New Roman (正文 CS 字体)"/>
      <w:color w:val="000000"/>
      <w:sz w:val="24"/>
    </w:rPr>
  </w:style>
  <w:style w:type="character" w:styleId="1509">
    <w:name w:val="H0正文标准样式 Char"/>
    <w:next w:val="1509"/>
    <w:link w:val="1508"/>
    <w:qFormat/>
    <w:rPr>
      <w:rFonts w:ascii="宋体" w:hAnsi="宋体" w:eastAsia="宋体" w:cs="Times New Roman (正文 CS 字体)"/>
      <w:color w:val="000000"/>
      <w:sz w:val="24"/>
      <w:szCs w:val="22"/>
    </w:rPr>
  </w:style>
  <w:style w:type="paragraph" w:styleId="1510">
    <w:name w:val="生命线正文"/>
    <w:basedOn w:val="851"/>
    <w:next w:val="1510"/>
    <w:link w:val="1511"/>
    <w:qFormat/>
    <w:pPr>
      <w:ind w:firstLine="480"/>
      <w:spacing w:line="360" w:lineRule="auto"/>
    </w:pPr>
    <w:rPr>
      <w:rFonts w:ascii="宋体" w:hAnsi="宋体" w:eastAsia="宋体" w:cs="Times New Roman"/>
      <w:color w:val="000000"/>
      <w:sz w:val="24"/>
      <w:szCs w:val="24"/>
    </w:rPr>
  </w:style>
  <w:style w:type="character" w:styleId="1511">
    <w:name w:val="生命线正文 字符"/>
    <w:next w:val="1511"/>
    <w:link w:val="1510"/>
    <w:qFormat/>
    <w:rPr>
      <w:rFonts w:ascii="宋体" w:hAnsi="宋体" w:eastAsia="宋体" w:cs="Times New Roman"/>
      <w:color w:val="000000"/>
      <w:sz w:val="24"/>
      <w:szCs w:val="24"/>
    </w:rPr>
  </w:style>
  <w:style w:type="paragraph" w:styleId="1512">
    <w:name w:val="☆正文"/>
    <w:basedOn w:val="851"/>
    <w:next w:val="1512"/>
    <w:link w:val="851"/>
    <w:qFormat/>
    <w:pPr>
      <w:ind w:firstLine="200"/>
      <w:spacing w:line="360" w:lineRule="auto"/>
    </w:pPr>
    <w:rPr>
      <w:rFonts w:ascii="宋体" w:hAnsi="等线" w:eastAsia="宋体" w:cs="Times New Roman"/>
      <w:sz w:val="24"/>
    </w:rPr>
  </w:style>
  <w:style w:type="character" w:styleId="1513">
    <w:name w:val="未处理的提及1"/>
    <w:next w:val="1513"/>
    <w:link w:val="851"/>
    <w:uiPriority w:val="99"/>
    <w:unhideWhenUsed/>
    <w:qFormat/>
    <w:rPr>
      <w:color w:val="605e5c"/>
      <w:shd w:val="clear" w:color="auto" w:fill="e1dfdd"/>
    </w:rPr>
  </w:style>
  <w:style w:type="paragraph" w:styleId="1514">
    <w:name w:val="A 正文"/>
    <w:next w:val="1514"/>
    <w:link w:val="851"/>
    <w:qFormat/>
    <w:pPr>
      <w:ind w:firstLine="480"/>
      <w:jc w:val="both"/>
      <w:spacing w:line="360" w:lineRule="auto"/>
    </w:pPr>
    <w:rPr>
      <w:rFonts w:ascii="等线" w:hAnsi="等线" w:eastAsia="等线" w:cs="等线"/>
      <w:sz w:val="24"/>
      <w:szCs w:val="22"/>
      <w:lang w:val="en-US" w:eastAsia="zh-CN" w:bidi="ar-SA"/>
    </w:rPr>
  </w:style>
  <w:style w:type="paragraph" w:styleId="1515">
    <w:name w:val="!正文"/>
    <w:basedOn w:val="851"/>
    <w:next w:val="1515"/>
    <w:link w:val="1516"/>
    <w:qFormat/>
    <w:pPr>
      <w:ind w:firstLine="439"/>
      <w:jc w:val="left"/>
      <w:spacing w:before="120" w:after="120" w:line="360" w:lineRule="auto"/>
    </w:pPr>
    <w:rPr>
      <w:rFonts w:ascii="Arial" w:hAnsi="Arial" w:eastAsia="宋体" w:cs="Arial"/>
      <w:color w:val="000000"/>
      <w:sz w:val="24"/>
      <w:szCs w:val="24"/>
    </w:rPr>
  </w:style>
  <w:style w:type="character" w:styleId="1516">
    <w:name w:val="!正文 Char"/>
    <w:next w:val="1516"/>
    <w:link w:val="1515"/>
    <w:qFormat/>
    <w:rPr>
      <w:rFonts w:ascii="Arial" w:hAnsi="Arial" w:eastAsia="宋体" w:cs="Arial"/>
      <w:color w:val="000000"/>
      <w:sz w:val="24"/>
      <w:szCs w:val="24"/>
    </w:rPr>
  </w:style>
  <w:style w:type="paragraph" w:styleId="1517">
    <w:name w:val="CIM正文"/>
    <w:basedOn w:val="851"/>
    <w:next w:val="1517"/>
    <w:link w:val="851"/>
    <w:qFormat/>
    <w:pPr>
      <w:spacing w:line="360" w:lineRule="auto"/>
    </w:pPr>
    <w:rPr>
      <w:rFonts w:ascii="Times New Roman" w:hAnsi="Times New Roman" w:eastAsia="宋体" w:cs="Times New Roman"/>
      <w:sz w:val="24"/>
      <w:szCs w:val="24"/>
    </w:rPr>
  </w:style>
  <w:style w:type="character" w:styleId="1518">
    <w:name w:val="未处理的提及2"/>
    <w:next w:val="1518"/>
    <w:link w:val="851"/>
    <w:uiPriority w:val="99"/>
    <w:unhideWhenUsed/>
    <w:qFormat/>
    <w:rPr>
      <w:color w:val="605e5c"/>
      <w:shd w:val="clear" w:color="auto" w:fill="e1dfdd"/>
    </w:rPr>
  </w:style>
  <w:style w:type="paragraph" w:styleId="1519">
    <w:name w:val="附表标题样式"/>
    <w:next w:val="851"/>
    <w:link w:val="1520"/>
    <w:unhideWhenUsed/>
    <w:qFormat/>
    <w:pPr>
      <w:numPr>
        <w:ilvl w:val="0"/>
        <w:numId w:val="4"/>
      </w:numPr>
      <w:pageBreakBefore/>
      <w:spacing w:before="240" w:after="120"/>
      <w:widowControl w:val="off"/>
      <w:outlineLvl w:val="1"/>
    </w:pPr>
    <w:rPr>
      <w:b/>
      <w:bCs/>
      <w:spacing w:val="20"/>
      <w:sz w:val="36"/>
      <w:szCs w:val="36"/>
      <w:lang w:val="en-US" w:eastAsia="zh-CN" w:bidi="ar-SA"/>
    </w:rPr>
  </w:style>
  <w:style w:type="character" w:styleId="1520">
    <w:name w:val="附表标题样式 字符"/>
    <w:next w:val="1520"/>
    <w:link w:val="1519"/>
    <w:qFormat/>
    <w:rPr>
      <w:rFonts w:ascii="Times New Roman" w:hAnsi="Times New Roman" w:eastAsia="宋体" w:cs="Times New Roman"/>
      <w:spacing w:val="20"/>
      <w:sz w:val="36"/>
      <w:szCs w:val="36"/>
    </w:rPr>
  </w:style>
  <w:style w:type="paragraph" w:styleId="1521">
    <w:name w:val="附图标题样式"/>
    <w:next w:val="851"/>
    <w:link w:val="1522"/>
    <w:unhideWhenUsed/>
    <w:qFormat/>
    <w:pPr>
      <w:numPr>
        <w:ilvl w:val="0"/>
        <w:numId w:val="5"/>
      </w:numPr>
      <w:pageBreakBefore/>
      <w:spacing w:before="240" w:after="120"/>
      <w:widowControl w:val="off"/>
      <w:outlineLvl w:val="1"/>
    </w:pPr>
    <w:rPr>
      <w:b/>
      <w:bCs/>
      <w:spacing w:val="20"/>
      <w:sz w:val="36"/>
      <w:szCs w:val="36"/>
      <w:lang w:val="en-US" w:eastAsia="zh-CN" w:bidi="ar-SA"/>
    </w:rPr>
  </w:style>
  <w:style w:type="character" w:styleId="1522">
    <w:name w:val="附图标题样式 字符"/>
    <w:next w:val="1522"/>
    <w:link w:val="1521"/>
    <w:qFormat/>
    <w:rPr>
      <w:rFonts w:ascii="Times New Roman" w:hAnsi="Times New Roman" w:eastAsia="宋体" w:cs="Times New Roman"/>
      <w:spacing w:val="20"/>
      <w:sz w:val="36"/>
      <w:szCs w:val="36"/>
    </w:rPr>
  </w:style>
  <w:style w:type="character" w:styleId="1523">
    <w:name w:val="bjh-strong"/>
    <w:next w:val="1523"/>
    <w:link w:val="851"/>
    <w:qFormat/>
  </w:style>
  <w:style w:type="paragraph" w:styleId="1524">
    <w:name w:val="正文编号2级"/>
    <w:basedOn w:val="923"/>
    <w:next w:val="1524"/>
    <w:link w:val="851"/>
    <w:qFormat/>
    <w:pPr>
      <w:ind w:firstLine="0"/>
      <w:spacing w:line="360" w:lineRule="auto"/>
      <w:widowControl w:val="off"/>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525">
    <w:name w:val="未处理的提及3"/>
    <w:next w:val="1525"/>
    <w:link w:val="851"/>
    <w:uiPriority w:val="99"/>
    <w:unhideWhenUsed/>
    <w:qFormat/>
    <w:rPr>
      <w:color w:val="605e5c"/>
      <w:shd w:val="clear" w:color="auto" w:fill="e1dfdd"/>
    </w:rPr>
  </w:style>
  <w:style w:type="paragraph" w:styleId="1526">
    <w:name w:val="正文 首行缩进"/>
    <w:basedOn w:val="851"/>
    <w:next w:val="1526"/>
    <w:link w:val="1527"/>
    <w:qFormat/>
    <w:pPr>
      <w:ind w:firstLine="480"/>
      <w:jc w:val="left"/>
      <w:spacing w:line="360" w:lineRule="auto"/>
      <w:widowControl/>
    </w:pPr>
    <w:rPr>
      <w:rFonts w:ascii="宋体" w:hAnsi="宋体" w:eastAsia="宋体" w:cs="Times New Roman"/>
      <w:sz w:val="24"/>
    </w:rPr>
  </w:style>
  <w:style w:type="character" w:styleId="1527">
    <w:name w:val="正文 首行缩进 Char"/>
    <w:next w:val="1527"/>
    <w:link w:val="1526"/>
    <w:qFormat/>
    <w:rPr>
      <w:rFonts w:ascii="宋体" w:hAnsi="宋体" w:eastAsia="宋体" w:cs="Times New Roman"/>
      <w:sz w:val="24"/>
      <w:szCs w:val="22"/>
    </w:rPr>
  </w:style>
  <w:style w:type="paragraph" w:styleId="1528">
    <w:name w:val="左对齐的表内文字"/>
    <w:basedOn w:val="851"/>
    <w:next w:val="1528"/>
    <w:link w:val="851"/>
    <w:qFormat/>
    <w:rPr>
      <w:rFonts w:ascii="Times New Roman" w:hAnsi="Times New Roman" w:eastAsia="仿宋_GB2312" w:cs="Times New Roman"/>
      <w:szCs w:val="20"/>
    </w:rPr>
  </w:style>
  <w:style w:type="paragraph" w:styleId="1529">
    <w:name w:val="*正文"/>
    <w:basedOn w:val="860"/>
    <w:next w:val="1529"/>
    <w:link w:val="1530"/>
    <w:qFormat/>
    <w:pPr>
      <w:ind w:firstLine="482"/>
      <w:jc w:val="both"/>
    </w:pPr>
    <w:rPr>
      <w:rFonts w:ascii="宋体" w:hAnsi="宋体" w:cs="Times New Roman"/>
      <w:sz w:val="21"/>
      <w:szCs w:val="20"/>
    </w:rPr>
  </w:style>
  <w:style w:type="character" w:styleId="1530">
    <w:name w:val="*正文 字符1"/>
    <w:next w:val="1530"/>
    <w:link w:val="1529"/>
    <w:qFormat/>
    <w:rPr>
      <w:rFonts w:ascii="宋体" w:hAnsi="宋体" w:eastAsia="宋体" w:cs="Times New Roman"/>
      <w:sz w:val="21"/>
    </w:rPr>
  </w:style>
  <w:style w:type="paragraph" w:styleId="1531">
    <w:name w:val="表格内文字"/>
    <w:next w:val="1531"/>
    <w:link w:val="851"/>
    <w:qFormat/>
    <w:pPr>
      <w:jc w:val="center"/>
    </w:pPr>
    <w:rPr>
      <w:sz w:val="21"/>
      <w:szCs w:val="21"/>
      <w:lang w:val="en-US" w:eastAsia="zh-CN" w:bidi="ar-SA"/>
    </w:rPr>
  </w:style>
  <w:style w:type="paragraph" w:styleId="1532">
    <w:name w:val="正文首行缩进11"/>
    <w:basedOn w:val="869"/>
    <w:next w:val="976"/>
    <w:link w:val="851"/>
    <w:semiHidden/>
    <w:qFormat/>
    <w:pPr>
      <w:ind w:firstLine="420"/>
      <w:spacing w:before="100" w:beforeAutospacing="1" w:line="360" w:lineRule="auto"/>
    </w:pPr>
    <w:rPr>
      <w:rFonts w:ascii="Times New Roman" w:hAnsi="Times New Roman" w:eastAsia="宋体" w:cs="宋体"/>
      <w:sz w:val="21"/>
      <w:szCs w:val="21"/>
    </w:rPr>
  </w:style>
  <w:style w:type="paragraph" w:styleId="1533">
    <w:name w:val="表格格式（生命线）"/>
    <w:basedOn w:val="851"/>
    <w:next w:val="1533"/>
    <w:link w:val="1534"/>
    <w:qFormat/>
    <w:pPr>
      <w:jc w:val="center"/>
    </w:pPr>
    <w:rPr>
      <w:rFonts w:ascii="宋体" w:hAnsi="宋体" w:eastAsia="宋体" w:cs="Times New Roman"/>
      <w:color w:val="000000"/>
      <w:szCs w:val="21"/>
    </w:rPr>
  </w:style>
  <w:style w:type="character" w:styleId="1534">
    <w:name w:val="表格格式（生命线） 字符"/>
    <w:next w:val="1534"/>
    <w:link w:val="1533"/>
    <w:qFormat/>
    <w:rPr>
      <w:rFonts w:ascii="宋体" w:hAnsi="宋体" w:eastAsia="宋体" w:cs="Times New Roman"/>
      <w:color w:val="000000"/>
      <w:sz w:val="21"/>
      <w:szCs w:val="21"/>
    </w:rPr>
  </w:style>
  <w:style w:type="character" w:styleId="1535">
    <w:name w:val="未处理的提及311"/>
    <w:next w:val="1535"/>
    <w:link w:val="851"/>
    <w:uiPriority w:val="99"/>
    <w:unhideWhenUsed/>
    <w:qFormat/>
    <w:rPr>
      <w:color w:val="605e5c"/>
      <w:shd w:val="clear" w:color="auto" w:fill="e1dfdd"/>
    </w:rPr>
  </w:style>
  <w:style w:type="character" w:styleId="1536">
    <w:name w:val="font21"/>
    <w:next w:val="1536"/>
    <w:link w:val="851"/>
    <w:qFormat/>
    <w:rPr>
      <w:rFonts w:hint="eastAsia" w:ascii="宋体" w:hAnsi="宋体" w:eastAsia="宋体" w:cs="宋体"/>
      <w:b/>
      <w:bCs/>
      <w:color w:val="000000"/>
      <w:sz w:val="24"/>
      <w:szCs w:val="24"/>
      <w:u w:val="none"/>
    </w:rPr>
  </w:style>
  <w:style w:type="character" w:styleId="1537">
    <w:name w:val="font71"/>
    <w:next w:val="1537"/>
    <w:link w:val="851"/>
    <w:qFormat/>
    <w:rPr>
      <w:rFonts w:hint="eastAsia" w:ascii="宋体" w:hAnsi="宋体" w:eastAsia="宋体" w:cs="宋体"/>
      <w:b/>
      <w:bCs/>
      <w:color w:val="000000"/>
      <w:sz w:val="24"/>
      <w:szCs w:val="24"/>
      <w:u w:val="none"/>
    </w:rPr>
  </w:style>
  <w:style w:type="paragraph" w:styleId="1538">
    <w:name w:val="msonormal"/>
    <w:basedOn w:val="851"/>
    <w:next w:val="1538"/>
    <w:link w:val="851"/>
    <w:qFormat/>
    <w:pPr>
      <w:jc w:val="left"/>
      <w:spacing w:before="100" w:beforeAutospacing="1" w:after="100" w:afterAutospacing="1"/>
      <w:widowControl/>
    </w:pPr>
    <w:rPr>
      <w:rFonts w:ascii="宋体" w:hAnsi="宋体" w:eastAsia="宋体" w:cs="宋体"/>
      <w:sz w:val="24"/>
      <w:szCs w:val="24"/>
    </w:rPr>
  </w:style>
  <w:style w:type="paragraph" w:styleId="1539">
    <w:name w:val="5"/>
    <w:basedOn w:val="851"/>
    <w:next w:val="1539"/>
    <w:link w:val="851"/>
    <w:qFormat/>
    <w:pPr>
      <w:numPr>
        <w:ilvl w:val="0"/>
        <w:numId w:val="6"/>
      </w:numPr>
      <w:ind w:left="0" w:firstLine="0"/>
      <w:jc w:val="left"/>
      <w:keepLines/>
      <w:keepNext/>
      <w:spacing w:line="360" w:lineRule="auto"/>
      <w:outlineLvl w:val="4"/>
    </w:pPr>
    <w:rPr>
      <w:rFonts w:hint="eastAsia" w:ascii="Times New Roman" w:hAnsi="Times New Roman" w:eastAsia="宋体"/>
      <w:color w:val="000000"/>
      <w:sz w:val="28"/>
      <w:szCs w:val="28"/>
    </w:rPr>
  </w:style>
  <w:style w:type="paragraph" w:styleId="1540">
    <w:name w:val="首行缩进 2"/>
    <w:next w:val="1540"/>
    <w:link w:val="1541"/>
    <w:qFormat/>
    <w:pPr>
      <w:ind w:firstLine="480"/>
      <w:jc w:val="both"/>
      <w:spacing w:line="360" w:lineRule="auto"/>
    </w:pPr>
    <w:rPr>
      <w:rFonts w:ascii="宋体" w:hAnsi="宋体"/>
      <w:sz w:val="24"/>
      <w:szCs w:val="24"/>
      <w:lang w:val="en-US" w:eastAsia="zh-CN" w:bidi="ar-SA"/>
    </w:rPr>
  </w:style>
  <w:style w:type="character" w:styleId="1541">
    <w:name w:val="首行缩进 2 Char"/>
    <w:next w:val="1541"/>
    <w:link w:val="1540"/>
    <w:qFormat/>
    <w:rPr>
      <w:rFonts w:ascii="宋体" w:hAnsi="宋体" w:eastAsia="宋体" w:cs="Times New Roman"/>
      <w:sz w:val="24"/>
      <w:szCs w:val="24"/>
    </w:rPr>
  </w:style>
  <w:style w:type="paragraph" w:styleId="1542">
    <w:name w:val="表内文字"/>
    <w:basedOn w:val="851"/>
    <w:next w:val="1542"/>
    <w:link w:val="851"/>
    <w:qFormat/>
    <w:pPr>
      <w:jc w:val="left"/>
      <w:widowControl/>
    </w:pPr>
    <w:rPr>
      <w:rFonts w:eastAsia="仿宋"/>
      <w:sz w:val="24"/>
      <w:szCs w:val="24"/>
    </w:rPr>
  </w:style>
  <w:style w:type="paragraph" w:styleId="1543">
    <w:name w:val="pf0"/>
    <w:basedOn w:val="851"/>
    <w:next w:val="1543"/>
    <w:link w:val="851"/>
    <w:qFormat/>
    <w:pPr>
      <w:jc w:val="left"/>
      <w:spacing w:before="100" w:beforeAutospacing="1" w:after="100" w:afterAutospacing="1"/>
      <w:widowControl/>
    </w:pPr>
    <w:rPr>
      <w:rFonts w:ascii="宋体" w:hAnsi="宋体" w:eastAsia="宋体" w:cs="宋体"/>
      <w:sz w:val="24"/>
      <w:szCs w:val="24"/>
    </w:rPr>
  </w:style>
  <w:style w:type="character" w:styleId="1544">
    <w:name w:val="cf01"/>
    <w:next w:val="1544"/>
    <w:link w:val="851"/>
    <w:qFormat/>
    <w:rPr>
      <w:rFonts w:hint="eastAsia" w:ascii="Microsoft YaHei UI" w:hAnsi="Microsoft YaHei UI" w:eastAsia="Microsoft YaHei UI"/>
      <w:sz w:val="18"/>
      <w:szCs w:val="18"/>
      <w:shd w:val="clear" w:color="auto" w:fill="ffff00"/>
    </w:rPr>
  </w:style>
  <w:style w:type="character" w:styleId="1545">
    <w:name w:val="font31"/>
    <w:next w:val="1545"/>
    <w:link w:val="851"/>
    <w:qFormat/>
    <w:rPr>
      <w:rFonts w:ascii="Times New Roman" w:hAnsi="Times New Roman" w:cs="Times New Roman"/>
      <w:color w:val="000000"/>
      <w:sz w:val="21"/>
      <w:szCs w:val="21"/>
      <w:u w:val="none"/>
    </w:rPr>
  </w:style>
  <w:style w:type="character" w:styleId="1546">
    <w:name w:val="font41"/>
    <w:next w:val="1546"/>
    <w:link w:val="851"/>
    <w:qFormat/>
    <w:rPr>
      <w:rFonts w:hint="eastAsia" w:ascii="宋体" w:hAnsi="宋体" w:eastAsia="宋体" w:cs="宋体"/>
      <w:color w:val="000000"/>
      <w:sz w:val="21"/>
      <w:szCs w:val="21"/>
      <w:u w:val="none"/>
    </w:rPr>
  </w:style>
  <w:style w:type="character" w:styleId="1547">
    <w:name w:val="未处理的提及4"/>
    <w:next w:val="1547"/>
    <w:link w:val="851"/>
    <w:uiPriority w:val="99"/>
    <w:unhideWhenUsed/>
    <w:qFormat/>
    <w:rPr>
      <w:color w:val="605e5c"/>
      <w:shd w:val="clear" w:color="auto" w:fill="e1dfdd"/>
    </w:rPr>
  </w:style>
  <w:style w:type="paragraph" w:styleId="1548">
    <w:name w:val="表格头"/>
    <w:basedOn w:val="851"/>
    <w:next w:val="851"/>
    <w:link w:val="851"/>
    <w:qFormat/>
    <w:pPr>
      <w:jc w:val="center"/>
      <w:keepNext/>
      <w:spacing w:line="276" w:lineRule="auto"/>
      <w:shd w:val="clear" w:color="ffffff" w:fill="ffffff"/>
    </w:pPr>
    <w:rPr>
      <w:rFonts w:ascii="Times New Roman" w:hAnsi="Times New Roman" w:eastAsia="方正黑体_GBK" w:cs="Times New Roman"/>
      <w:szCs w:val="20"/>
    </w:rPr>
  </w:style>
  <w:style w:type="table" w:styleId="1549">
    <w:name w:val="数据对接规范表格样式"/>
    <w:basedOn w:val="854"/>
    <w:next w:val="1549"/>
    <w:link w:val="851"/>
    <w:uiPriority w:val="99"/>
    <w:qFormat/>
    <w:pPr>
      <w:jc w:val="center"/>
    </w:pPr>
    <w:rPr>
      <w:rFonts w:eastAsia="方正仿宋_GBK"/>
      <w:sz w:val="21"/>
    </w:rPr>
    <w:tblPr/>
  </w:style>
  <w:style w:type="paragraph" w:styleId="1550">
    <w:name w:val="xl63"/>
    <w:basedOn w:val="851"/>
    <w:next w:val="1550"/>
    <w:link w:val="85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1">
    <w:name w:val="xl64"/>
    <w:basedOn w:val="851"/>
    <w:next w:val="1551"/>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2">
    <w:name w:val="修订2"/>
    <w:next w:val="1552"/>
    <w:link w:val="851"/>
    <w:uiPriority w:val="99"/>
    <w:unhideWhenUsed/>
    <w:qFormat/>
    <w:rPr>
      <w:rFonts w:ascii="宋体" w:hAnsi="宋体"/>
      <w:color w:val="000000"/>
      <w:sz w:val="24"/>
      <w:szCs w:val="24"/>
      <w:lang w:val="en-US" w:eastAsia="zh-CN" w:bidi="ar-SA"/>
    </w:rPr>
  </w:style>
  <w:style w:type="paragraph" w:styleId="1553">
    <w:name w:val="font5"/>
    <w:basedOn w:val="851"/>
    <w:next w:val="1553"/>
    <w:link w:val="851"/>
    <w:qFormat/>
    <w:pPr>
      <w:jc w:val="left"/>
      <w:spacing w:before="100" w:beforeAutospacing="1" w:after="100" w:afterAutospacing="1"/>
      <w:widowControl/>
    </w:pPr>
    <w:rPr>
      <w:rFonts w:ascii="宋体" w:hAnsi="宋体" w:eastAsia="宋体" w:cs="宋体"/>
      <w:sz w:val="24"/>
      <w:szCs w:val="24"/>
    </w:rPr>
  </w:style>
  <w:style w:type="paragraph" w:styleId="1554">
    <w:name w:val="font6"/>
    <w:basedOn w:val="851"/>
    <w:next w:val="1554"/>
    <w:link w:val="851"/>
    <w:qFormat/>
    <w:pPr>
      <w:jc w:val="left"/>
      <w:spacing w:before="100" w:beforeAutospacing="1" w:after="100" w:afterAutospacing="1"/>
      <w:widowControl/>
    </w:pPr>
    <w:rPr>
      <w:rFonts w:ascii="Arial" w:hAnsi="Arial" w:eastAsia="宋体" w:cs="Arial"/>
      <w:sz w:val="24"/>
      <w:szCs w:val="24"/>
    </w:rPr>
  </w:style>
  <w:style w:type="paragraph" w:styleId="1555">
    <w:name w:val="font7"/>
    <w:basedOn w:val="851"/>
    <w:next w:val="1555"/>
    <w:link w:val="851"/>
    <w:qFormat/>
    <w:pPr>
      <w:jc w:val="left"/>
      <w:spacing w:before="100" w:beforeAutospacing="1" w:after="100" w:afterAutospacing="1"/>
      <w:widowControl/>
    </w:pPr>
    <w:rPr>
      <w:rFonts w:ascii="宋体" w:hAnsi="宋体" w:eastAsia="宋体" w:cs="宋体"/>
      <w:sz w:val="24"/>
      <w:szCs w:val="24"/>
    </w:rPr>
  </w:style>
  <w:style w:type="paragraph" w:styleId="1556">
    <w:name w:val="font8"/>
    <w:basedOn w:val="851"/>
    <w:next w:val="1556"/>
    <w:link w:val="851"/>
    <w:qFormat/>
    <w:pPr>
      <w:jc w:val="left"/>
      <w:spacing w:before="100" w:beforeAutospacing="1" w:after="100" w:afterAutospacing="1"/>
      <w:widowControl/>
    </w:pPr>
    <w:rPr>
      <w:rFonts w:ascii="等线" w:hAnsi="等线" w:eastAsia="等线" w:cs="宋体"/>
      <w:color w:val="000000"/>
      <w:sz w:val="24"/>
      <w:szCs w:val="24"/>
    </w:rPr>
  </w:style>
  <w:style w:type="paragraph" w:styleId="1557">
    <w:name w:val="xl65"/>
    <w:basedOn w:val="851"/>
    <w:next w:val="1557"/>
    <w:link w:val="851"/>
    <w:qFormat/>
    <w:pPr>
      <w:jc w:val="left"/>
      <w:spacing w:before="100" w:beforeAutospacing="1" w:after="100" w:afterAutospacing="1"/>
      <w:widowControl/>
    </w:pPr>
    <w:rPr>
      <w:rFonts w:ascii="宋体" w:hAnsi="宋体" w:eastAsia="宋体" w:cs="宋体"/>
      <w:sz w:val="28"/>
      <w:szCs w:val="28"/>
    </w:rPr>
  </w:style>
  <w:style w:type="paragraph" w:styleId="1558">
    <w:name w:val="xl66"/>
    <w:basedOn w:val="851"/>
    <w:next w:val="1558"/>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9">
    <w:name w:val="xl67"/>
    <w:basedOn w:val="851"/>
    <w:next w:val="1559"/>
    <w:link w:val="851"/>
    <w:qFormat/>
    <w:pPr>
      <w:jc w:val="center"/>
      <w:spacing w:before="100" w:beforeAutospacing="1" w:after="100" w:afterAutospacing="1"/>
      <w:shd w:val="clear" w:color="000000" w:fill="ddebf7"/>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szCs w:val="24"/>
    </w:rPr>
  </w:style>
  <w:style w:type="paragraph" w:styleId="1560">
    <w:name w:val="xl68"/>
    <w:basedOn w:val="851"/>
    <w:next w:val="1560"/>
    <w:link w:val="8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1">
    <w:name w:val="xl69"/>
    <w:basedOn w:val="851"/>
    <w:next w:val="1561"/>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2">
    <w:name w:val="xl70"/>
    <w:basedOn w:val="851"/>
    <w:next w:val="1562"/>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3">
    <w:name w:val="xl71"/>
    <w:basedOn w:val="851"/>
    <w:next w:val="1563"/>
    <w:link w:val="851"/>
    <w:qFormat/>
    <w:pPr>
      <w:jc w:val="center"/>
      <w:spacing w:before="100" w:beforeAutospacing="1" w:after="100" w:afterAutospacing="1"/>
      <w:shd w:val="clear" w:color="000000" w:fill="ddebf7"/>
      <w:widowControl/>
      <w:pBdr>
        <w:top w:val="single" w:color="000000" w:sz="4" w:space="0"/>
        <w:left w:val="single" w:color="000000" w:sz="4" w:space="0"/>
        <w:bottom w:val="single" w:color="000000" w:sz="4" w:space="0"/>
      </w:pBdr>
    </w:pPr>
    <w:rPr>
      <w:rFonts w:ascii="宋体" w:hAnsi="宋体" w:eastAsia="宋体" w:cs="宋体"/>
      <w:b/>
      <w:bCs/>
      <w:color w:val="000000"/>
      <w:sz w:val="28"/>
      <w:szCs w:val="28"/>
    </w:rPr>
  </w:style>
  <w:style w:type="paragraph" w:styleId="1564">
    <w:name w:val="xl72"/>
    <w:basedOn w:val="851"/>
    <w:next w:val="1564"/>
    <w:link w:val="851"/>
    <w:qFormat/>
    <w:pPr>
      <w:jc w:val="center"/>
      <w:spacing w:before="100" w:beforeAutospacing="1" w:after="100" w:afterAutospacing="1"/>
      <w:shd w:val="clear" w:color="000000" w:fill="ddebf7"/>
      <w:widowControl/>
      <w:pBdr>
        <w:top w:val="single" w:color="000000" w:sz="4" w:space="0"/>
        <w:bottom w:val="single" w:color="000000" w:sz="4" w:space="0"/>
      </w:pBdr>
    </w:pPr>
    <w:rPr>
      <w:rFonts w:ascii="宋体" w:hAnsi="宋体" w:eastAsia="宋体" w:cs="宋体"/>
      <w:b/>
      <w:bCs/>
      <w:color w:val="000000"/>
      <w:sz w:val="28"/>
      <w:szCs w:val="28"/>
    </w:rPr>
  </w:style>
  <w:style w:type="paragraph" w:styleId="1565">
    <w:name w:val="xl73"/>
    <w:basedOn w:val="851"/>
    <w:next w:val="1565"/>
    <w:link w:val="851"/>
    <w:qFormat/>
    <w:pPr>
      <w:jc w:val="center"/>
      <w:spacing w:before="100" w:beforeAutospacing="1" w:after="100" w:afterAutospacing="1"/>
      <w:shd w:val="clear" w:color="000000" w:fill="dce6f1"/>
      <w:widowControl/>
      <w:pBdr>
        <w:top w:val="single" w:color="000000" w:sz="4" w:space="0"/>
        <w:left w:val="single" w:color="000000" w:sz="4" w:space="0"/>
        <w:right w:val="single" w:color="000000" w:sz="4" w:space="0"/>
      </w:pBdr>
    </w:pPr>
    <w:rPr>
      <w:rFonts w:ascii="宋体" w:hAnsi="宋体" w:eastAsia="宋体" w:cs="宋体"/>
      <w:b/>
      <w:bCs/>
      <w:color w:val="000000"/>
      <w:sz w:val="24"/>
      <w:szCs w:val="24"/>
    </w:rPr>
  </w:style>
  <w:style w:type="paragraph" w:styleId="1566">
    <w:name w:val="xl74"/>
    <w:basedOn w:val="851"/>
    <w:next w:val="1566"/>
    <w:link w:val="851"/>
    <w:qFormat/>
    <w:pPr>
      <w:jc w:val="center"/>
      <w:spacing w:before="100" w:beforeAutospacing="1" w:after="100" w:afterAutospacing="1"/>
      <w:shd w:val="clear" w:color="000000" w:fill="dce6f1"/>
      <w:widowControl/>
      <w:pBdr>
        <w:left w:val="single" w:color="000000" w:sz="4" w:space="0"/>
        <w:bottom w:val="single" w:color="000000" w:sz="4" w:space="0"/>
        <w:right w:val="single" w:color="000000" w:sz="4" w:space="0"/>
      </w:pBdr>
    </w:pPr>
    <w:rPr>
      <w:rFonts w:ascii="宋体" w:hAnsi="宋体" w:eastAsia="宋体" w:cs="宋体"/>
      <w:b/>
      <w:bCs/>
      <w:color w:val="000000"/>
      <w:sz w:val="24"/>
      <w:szCs w:val="24"/>
    </w:rPr>
  </w:style>
  <w:style w:type="paragraph" w:styleId="1567">
    <w:name w:val="71e7dc79-1ff7-45e8-997d-0ebda3762b91"/>
    <w:basedOn w:val="956"/>
    <w:next w:val="1569"/>
    <w:link w:val="1568"/>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character" w:styleId="1568">
    <w:name w:val="71e7dc79-1ff7-45e8-997d-0ebda3762b91 字符"/>
    <w:next w:val="1568"/>
    <w:link w:val="1567"/>
    <w:qFormat/>
    <w:rPr>
      <w:rFonts w:ascii="微软雅黑" w:hAnsi="微软雅黑" w:eastAsia="微软雅黑" w:cs="Times New Roman"/>
      <w:bCs w:val="0"/>
      <w:color w:val="000000"/>
      <w:sz w:val="28"/>
      <w:szCs w:val="36"/>
    </w:rPr>
  </w:style>
  <w:style w:type="paragraph" w:styleId="1569">
    <w:name w:val="acbfdd8b-e11b-4d36-88ff-6049b138f862"/>
    <w:basedOn w:val="869"/>
    <w:next w:val="1569"/>
    <w:link w:val="1570"/>
    <w:qFormat/>
    <w:pPr>
      <w:jc w:val="left"/>
      <w:spacing w:after="0" w:line="288" w:lineRule="auto"/>
    </w:pPr>
    <w:rPr>
      <w:rFonts w:ascii="微软雅黑" w:hAnsi="微软雅黑" w:eastAsia="微软雅黑" w:cs="Times New Roman"/>
      <w:color w:val="000000"/>
      <w:sz w:val="22"/>
      <w:szCs w:val="22"/>
    </w:rPr>
  </w:style>
  <w:style w:type="character" w:styleId="1570">
    <w:name w:val="acbfdd8b-e11b-4d36-88ff-6049b138f862 字符"/>
    <w:next w:val="1570"/>
    <w:link w:val="1569"/>
    <w:qFormat/>
    <w:rPr>
      <w:rFonts w:ascii="微软雅黑" w:hAnsi="微软雅黑" w:eastAsia="微软雅黑" w:cs="Times New Roman"/>
      <w:b w:val="0"/>
      <w:bCs w:val="0"/>
      <w:color w:val="000000"/>
      <w:sz w:val="22"/>
      <w:szCs w:val="22"/>
    </w:rPr>
  </w:style>
  <w:style w:type="paragraph" w:styleId="1571">
    <w:name w:val="b63ee27f-4cf3-414c-9275-d88e3f90795e"/>
    <w:basedOn w:val="958"/>
    <w:next w:val="1569"/>
    <w:link w:val="1572"/>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572">
    <w:name w:val="b63ee27f-4cf3-414c-9275-d88e3f90795e 字符"/>
    <w:next w:val="1572"/>
    <w:link w:val="1571"/>
    <w:qFormat/>
    <w:rPr>
      <w:rFonts w:ascii="微软雅黑" w:hAnsi="微软雅黑" w:eastAsia="微软雅黑" w:cs="Times New Roman"/>
      <w:color w:val="000000"/>
      <w:sz w:val="26"/>
      <w:szCs w:val="36"/>
      <w:lang w:val="zh-CN"/>
    </w:rPr>
  </w:style>
  <w:style w:type="paragraph" w:styleId="1573">
    <w:name w:val="17babae4-54f0-44fa-a444-1068224df0ac"/>
    <w:basedOn w:val="919"/>
    <w:next w:val="1569"/>
    <w:link w:val="1574"/>
    <w:qFormat/>
    <w:pPr>
      <w:ind w:firstLine="0"/>
      <w:jc w:val="center"/>
      <w:spacing w:after="0" w:line="288" w:lineRule="auto"/>
      <w:widowControl w:val="off"/>
      <w:pBdr>
        <w:bottom w:val="none" w:color="000000" w:sz="0" w:space="0"/>
      </w:pBdr>
      <w:outlineLvl w:val="0"/>
    </w:pPr>
    <w:rPr>
      <w:rFonts w:ascii="微软雅黑" w:hAnsi="微软雅黑" w:eastAsia="微软雅黑" w:cs="Arial"/>
      <w:b/>
      <w:bCs/>
      <w:color w:val="000000"/>
      <w:spacing w:val="0"/>
      <w:sz w:val="40"/>
      <w:szCs w:val="32"/>
      <w:lang w:eastAsia="zh-CN" w:bidi="ar-SA"/>
    </w:rPr>
  </w:style>
  <w:style w:type="character" w:styleId="1574">
    <w:name w:val="17babae4-54f0-44fa-a444-1068224df0ac 字符"/>
    <w:next w:val="1574"/>
    <w:link w:val="1573"/>
    <w:qFormat/>
    <w:rPr>
      <w:rFonts w:ascii="微软雅黑" w:hAnsi="微软雅黑" w:eastAsia="微软雅黑" w:cs="Arial"/>
      <w:bCs/>
      <w:color w:val="000000"/>
      <w:sz w:val="40"/>
      <w:szCs w:val="32"/>
    </w:rPr>
  </w:style>
  <w:style w:type="character" w:styleId="1575">
    <w:name w:val="未处理的提及41"/>
    <w:next w:val="1575"/>
    <w:link w:val="851"/>
    <w:uiPriority w:val="99"/>
    <w:unhideWhenUsed/>
    <w:qFormat/>
    <w:rPr>
      <w:color w:val="605e5c"/>
      <w:shd w:val="clear" w:color="auto" w:fill="e1dfdd"/>
    </w:rPr>
  </w:style>
  <w:style w:type="paragraph" w:styleId="1576">
    <w:name w:val="修订3"/>
    <w:next w:val="1576"/>
    <w:link w:val="851"/>
    <w:uiPriority w:val="99"/>
    <w:unhideWhenUsed/>
    <w:qFormat/>
    <w:rPr>
      <w:rFonts w:ascii="宋体" w:hAnsi="宋体"/>
      <w:color w:val="000000"/>
      <w:sz w:val="24"/>
      <w:szCs w:val="24"/>
      <w:lang w:val="en-US" w:eastAsia="zh-CN" w:bidi="ar-SA"/>
    </w:rPr>
  </w:style>
  <w:style w:type="character" w:styleId="1577">
    <w:name w:val="未处理的提及5"/>
    <w:next w:val="1577"/>
    <w:link w:val="851"/>
    <w:uiPriority w:val="99"/>
    <w:unhideWhenUsed/>
    <w:qFormat/>
    <w:rPr>
      <w:color w:val="605e5c"/>
      <w:shd w:val="clear" w:color="auto" w:fill="e1dfdd"/>
    </w:rPr>
  </w:style>
  <w:style w:type="paragraph" w:styleId="1578">
    <w:name w:val="修订311"/>
    <w:next w:val="1578"/>
    <w:link w:val="851"/>
    <w:uiPriority w:val="99"/>
    <w:unhideWhenUsed/>
    <w:qFormat/>
    <w:rPr>
      <w:rFonts w:ascii="宋体" w:hAnsi="宋体"/>
      <w:color w:val="000000"/>
      <w:sz w:val="24"/>
      <w:szCs w:val="24"/>
      <w:lang w:val="en-US" w:eastAsia="zh-CN" w:bidi="ar-SA"/>
    </w:rPr>
  </w:style>
  <w:style w:type="paragraph" w:styleId="1579">
    <w:name w:val="TOC 标题3"/>
    <w:next w:val="1579"/>
    <w:link w:val="851"/>
    <w:uiPriority w:val="39"/>
    <w:unhideWhenUsed/>
    <w:qFormat/>
    <w:rPr>
      <w:lang w:val="en-US" w:eastAsia="zh-CN" w:bidi="ar-SA"/>
    </w:rPr>
  </w:style>
  <w:style w:type="character" w:styleId="1580">
    <w:name w:val="Footer Char"/>
    <w:next w:val="1580"/>
    <w:link w:val="851"/>
    <w:uiPriority w:val="99"/>
    <w:qFormat/>
  </w:style>
  <w:style w:type="table" w:styleId="1581">
    <w:name w:val="Table Grid Light"/>
    <w:next w:val="1581"/>
    <w:link w:val="851"/>
    <w:uiPriority w:val="59"/>
    <w:qFormat/>
    <w:rPr>
      <w:lang w:val="en-US" w:eastAsia="zh-CN" w:bidi="ar-SA"/>
    </w:rPr>
    <w:tblPr/>
  </w:style>
  <w:style w:type="table" w:styleId="1582">
    <w:name w:val="Grid Table 1 Light - Accent 1"/>
    <w:next w:val="1582"/>
    <w:link w:val="851"/>
    <w:uiPriority w:val="99"/>
    <w:qFormat/>
    <w:rPr>
      <w:lang w:val="en-US" w:eastAsia="zh-CN" w:bidi="ar-SA"/>
    </w:rPr>
    <w:tblPr/>
  </w:style>
  <w:style w:type="table" w:styleId="1583">
    <w:name w:val="Grid Table 1 Light - Accent 2"/>
    <w:next w:val="1583"/>
    <w:link w:val="851"/>
    <w:uiPriority w:val="99"/>
    <w:qFormat/>
    <w:rPr>
      <w:lang w:val="en-US" w:eastAsia="zh-CN" w:bidi="ar-SA"/>
    </w:rPr>
    <w:tblPr/>
  </w:style>
  <w:style w:type="table" w:styleId="1584">
    <w:name w:val="Grid Table 1 Light - Accent 3"/>
    <w:next w:val="1584"/>
    <w:link w:val="851"/>
    <w:uiPriority w:val="99"/>
    <w:qFormat/>
    <w:rPr>
      <w:lang w:val="en-US" w:eastAsia="zh-CN" w:bidi="ar-SA"/>
    </w:rPr>
    <w:tblPr/>
  </w:style>
  <w:style w:type="table" w:styleId="1585">
    <w:name w:val="Grid Table 1 Light - Accent 4"/>
    <w:next w:val="1585"/>
    <w:link w:val="851"/>
    <w:uiPriority w:val="99"/>
    <w:qFormat/>
    <w:rPr>
      <w:lang w:val="en-US" w:eastAsia="zh-CN" w:bidi="ar-SA"/>
    </w:rPr>
    <w:tblPr/>
  </w:style>
  <w:style w:type="table" w:styleId="1586">
    <w:name w:val="Grid Table 1 Light - Accent 5"/>
    <w:next w:val="1586"/>
    <w:link w:val="851"/>
    <w:uiPriority w:val="99"/>
    <w:qFormat/>
    <w:rPr>
      <w:lang w:val="en-US" w:eastAsia="zh-CN" w:bidi="ar-SA"/>
    </w:rPr>
    <w:tblPr/>
  </w:style>
  <w:style w:type="table" w:styleId="1587">
    <w:name w:val="Grid Table 1 Light - Accent 6"/>
    <w:next w:val="1587"/>
    <w:link w:val="851"/>
    <w:uiPriority w:val="99"/>
    <w:qFormat/>
    <w:rPr>
      <w:lang w:val="en-US" w:eastAsia="zh-CN" w:bidi="ar-SA"/>
    </w:rPr>
    <w:tblPr/>
  </w:style>
  <w:style w:type="table" w:styleId="1588">
    <w:name w:val="Grid Table 2 - Accent 1"/>
    <w:next w:val="1588"/>
    <w:link w:val="851"/>
    <w:uiPriority w:val="99"/>
    <w:qFormat/>
    <w:rPr>
      <w:lang w:val="en-US" w:eastAsia="zh-CN" w:bidi="ar-SA"/>
    </w:rPr>
    <w:tblPr/>
  </w:style>
  <w:style w:type="table" w:styleId="1589">
    <w:name w:val="Grid Table 2 - Accent 2"/>
    <w:next w:val="1589"/>
    <w:link w:val="851"/>
    <w:uiPriority w:val="99"/>
    <w:qFormat/>
    <w:rPr>
      <w:lang w:val="en-US" w:eastAsia="zh-CN" w:bidi="ar-SA"/>
    </w:rPr>
    <w:tblPr/>
  </w:style>
  <w:style w:type="table" w:styleId="1590">
    <w:name w:val="Grid Table 2 - Accent 3"/>
    <w:next w:val="1590"/>
    <w:link w:val="851"/>
    <w:uiPriority w:val="99"/>
    <w:qFormat/>
    <w:rPr>
      <w:lang w:val="en-US" w:eastAsia="zh-CN" w:bidi="ar-SA"/>
    </w:rPr>
    <w:tblPr/>
  </w:style>
  <w:style w:type="table" w:styleId="1591">
    <w:name w:val="Grid Table 2 - Accent 4"/>
    <w:next w:val="1591"/>
    <w:link w:val="851"/>
    <w:uiPriority w:val="99"/>
    <w:qFormat/>
    <w:rPr>
      <w:lang w:val="en-US" w:eastAsia="zh-CN" w:bidi="ar-SA"/>
    </w:rPr>
    <w:tblPr/>
  </w:style>
  <w:style w:type="table" w:styleId="1592">
    <w:name w:val="Grid Table 2 - Accent 5"/>
    <w:next w:val="1592"/>
    <w:link w:val="851"/>
    <w:uiPriority w:val="99"/>
    <w:qFormat/>
    <w:rPr>
      <w:lang w:val="en-US" w:eastAsia="zh-CN" w:bidi="ar-SA"/>
    </w:rPr>
    <w:tblPr/>
  </w:style>
  <w:style w:type="table" w:styleId="1593">
    <w:name w:val="Grid Table 2 - Accent 6"/>
    <w:next w:val="1593"/>
    <w:link w:val="851"/>
    <w:uiPriority w:val="99"/>
    <w:qFormat/>
    <w:rPr>
      <w:lang w:val="en-US" w:eastAsia="zh-CN" w:bidi="ar-SA"/>
    </w:rPr>
    <w:tblPr/>
  </w:style>
  <w:style w:type="table" w:styleId="1594">
    <w:name w:val="Grid Table 3 - Accent 1"/>
    <w:next w:val="1594"/>
    <w:link w:val="851"/>
    <w:uiPriority w:val="99"/>
    <w:qFormat/>
    <w:rPr>
      <w:lang w:val="en-US" w:eastAsia="zh-CN" w:bidi="ar-SA"/>
    </w:rPr>
    <w:tblPr/>
  </w:style>
  <w:style w:type="table" w:styleId="1595">
    <w:name w:val="Grid Table 3 - Accent 2"/>
    <w:next w:val="1595"/>
    <w:link w:val="851"/>
    <w:uiPriority w:val="99"/>
    <w:qFormat/>
    <w:rPr>
      <w:lang w:val="en-US" w:eastAsia="zh-CN" w:bidi="ar-SA"/>
    </w:rPr>
    <w:tblPr/>
  </w:style>
  <w:style w:type="table" w:styleId="1596">
    <w:name w:val="Grid Table 3 - Accent 3"/>
    <w:next w:val="1596"/>
    <w:link w:val="851"/>
    <w:uiPriority w:val="99"/>
    <w:qFormat/>
    <w:rPr>
      <w:lang w:val="en-US" w:eastAsia="zh-CN" w:bidi="ar-SA"/>
    </w:rPr>
    <w:tblPr/>
  </w:style>
  <w:style w:type="table" w:styleId="1597">
    <w:name w:val="Grid Table 3 - Accent 4"/>
    <w:next w:val="1597"/>
    <w:link w:val="851"/>
    <w:uiPriority w:val="99"/>
    <w:qFormat/>
    <w:rPr>
      <w:lang w:val="en-US" w:eastAsia="zh-CN" w:bidi="ar-SA"/>
    </w:rPr>
    <w:tblPr/>
  </w:style>
  <w:style w:type="table" w:styleId="1598">
    <w:name w:val="Grid Table 3 - Accent 5"/>
    <w:next w:val="1598"/>
    <w:link w:val="851"/>
    <w:uiPriority w:val="99"/>
    <w:qFormat/>
    <w:rPr>
      <w:lang w:val="en-US" w:eastAsia="zh-CN" w:bidi="ar-SA"/>
    </w:rPr>
    <w:tblPr/>
  </w:style>
  <w:style w:type="table" w:styleId="1599">
    <w:name w:val="Grid Table 3 - Accent 6"/>
    <w:next w:val="1599"/>
    <w:link w:val="851"/>
    <w:uiPriority w:val="99"/>
    <w:qFormat/>
    <w:rPr>
      <w:lang w:val="en-US" w:eastAsia="zh-CN" w:bidi="ar-SA"/>
    </w:rPr>
    <w:tblPr/>
  </w:style>
  <w:style w:type="table" w:styleId="1600">
    <w:name w:val="Grid Table 4 - Accent 1"/>
    <w:next w:val="1600"/>
    <w:link w:val="851"/>
    <w:uiPriority w:val="59"/>
    <w:qFormat/>
    <w:rPr>
      <w:lang w:val="en-US" w:eastAsia="zh-CN" w:bidi="ar-SA"/>
    </w:rPr>
    <w:tblPr/>
  </w:style>
  <w:style w:type="table" w:styleId="1601">
    <w:name w:val="Grid Table 4 - Accent 2"/>
    <w:next w:val="1601"/>
    <w:link w:val="851"/>
    <w:uiPriority w:val="59"/>
    <w:qFormat/>
    <w:rPr>
      <w:lang w:val="en-US" w:eastAsia="zh-CN" w:bidi="ar-SA"/>
    </w:rPr>
    <w:tblPr/>
  </w:style>
  <w:style w:type="table" w:styleId="1602">
    <w:name w:val="Grid Table 4 - Accent 3"/>
    <w:next w:val="1602"/>
    <w:link w:val="851"/>
    <w:uiPriority w:val="59"/>
    <w:qFormat/>
    <w:rPr>
      <w:lang w:val="en-US" w:eastAsia="zh-CN" w:bidi="ar-SA"/>
    </w:rPr>
    <w:tblPr/>
  </w:style>
  <w:style w:type="table" w:styleId="1603">
    <w:name w:val="Grid Table 4 - Accent 4"/>
    <w:next w:val="1603"/>
    <w:link w:val="851"/>
    <w:uiPriority w:val="59"/>
    <w:qFormat/>
    <w:rPr>
      <w:lang w:val="en-US" w:eastAsia="zh-CN" w:bidi="ar-SA"/>
    </w:rPr>
    <w:tblPr/>
  </w:style>
  <w:style w:type="table" w:styleId="1604">
    <w:name w:val="Grid Table 4 - Accent 5"/>
    <w:next w:val="1604"/>
    <w:link w:val="851"/>
    <w:uiPriority w:val="59"/>
    <w:qFormat/>
    <w:rPr>
      <w:lang w:val="en-US" w:eastAsia="zh-CN" w:bidi="ar-SA"/>
    </w:rPr>
    <w:tblPr/>
  </w:style>
  <w:style w:type="table" w:styleId="1605">
    <w:name w:val="Grid Table 4 - Accent 6"/>
    <w:next w:val="1605"/>
    <w:link w:val="851"/>
    <w:uiPriority w:val="59"/>
    <w:qFormat/>
    <w:rPr>
      <w:lang w:val="en-US" w:eastAsia="zh-CN" w:bidi="ar-SA"/>
    </w:rPr>
    <w:tblPr/>
  </w:style>
  <w:style w:type="table" w:styleId="1606">
    <w:name w:val="Grid Table 5 Dark- Accent 1"/>
    <w:next w:val="1606"/>
    <w:link w:val="851"/>
    <w:uiPriority w:val="99"/>
    <w:qFormat/>
    <w:rPr>
      <w:lang w:val="en-US" w:eastAsia="zh-CN" w:bidi="ar-SA"/>
    </w:rPr>
    <w:tblPr/>
  </w:style>
  <w:style w:type="table" w:styleId="1607">
    <w:name w:val="Grid Table 5 Dark - Accent 2"/>
    <w:next w:val="1607"/>
    <w:link w:val="851"/>
    <w:uiPriority w:val="99"/>
    <w:qFormat/>
    <w:rPr>
      <w:lang w:val="en-US" w:eastAsia="zh-CN" w:bidi="ar-SA"/>
    </w:rPr>
    <w:tblPr/>
  </w:style>
  <w:style w:type="table" w:styleId="1608">
    <w:name w:val="Grid Table 5 Dark - Accent 3"/>
    <w:next w:val="1608"/>
    <w:link w:val="851"/>
    <w:uiPriority w:val="99"/>
    <w:qFormat/>
    <w:rPr>
      <w:lang w:val="en-US" w:eastAsia="zh-CN" w:bidi="ar-SA"/>
    </w:rPr>
    <w:tblPr/>
  </w:style>
  <w:style w:type="table" w:styleId="1609">
    <w:name w:val="Grid Table 5 Dark- Accent 4"/>
    <w:next w:val="1609"/>
    <w:link w:val="851"/>
    <w:uiPriority w:val="99"/>
    <w:qFormat/>
    <w:rPr>
      <w:lang w:val="en-US" w:eastAsia="zh-CN" w:bidi="ar-SA"/>
    </w:rPr>
    <w:tblPr/>
  </w:style>
  <w:style w:type="table" w:styleId="1610">
    <w:name w:val="Grid Table 5 Dark - Accent 5"/>
    <w:next w:val="1610"/>
    <w:link w:val="851"/>
    <w:uiPriority w:val="99"/>
    <w:qFormat/>
    <w:rPr>
      <w:lang w:val="en-US" w:eastAsia="zh-CN" w:bidi="ar-SA"/>
    </w:rPr>
    <w:tblPr/>
  </w:style>
  <w:style w:type="table" w:styleId="1611">
    <w:name w:val="Grid Table 5 Dark - Accent 6"/>
    <w:next w:val="1611"/>
    <w:link w:val="851"/>
    <w:uiPriority w:val="99"/>
    <w:qFormat/>
    <w:rPr>
      <w:lang w:val="en-US" w:eastAsia="zh-CN" w:bidi="ar-SA"/>
    </w:rPr>
    <w:tblPr/>
  </w:style>
  <w:style w:type="table" w:styleId="1612">
    <w:name w:val="Grid Table 6 Colorful - Accent 1"/>
    <w:next w:val="1612"/>
    <w:link w:val="851"/>
    <w:uiPriority w:val="99"/>
    <w:qFormat/>
    <w:rPr>
      <w:lang w:val="en-US" w:eastAsia="zh-CN" w:bidi="ar-SA"/>
    </w:rPr>
    <w:tblPr/>
  </w:style>
  <w:style w:type="table" w:styleId="1613">
    <w:name w:val="Grid Table 6 Colorful - Accent 2"/>
    <w:next w:val="1613"/>
    <w:link w:val="851"/>
    <w:uiPriority w:val="99"/>
    <w:qFormat/>
    <w:rPr>
      <w:lang w:val="en-US" w:eastAsia="zh-CN" w:bidi="ar-SA"/>
    </w:rPr>
    <w:tblPr/>
  </w:style>
  <w:style w:type="table" w:styleId="1614">
    <w:name w:val="Grid Table 6 Colorful - Accent 3"/>
    <w:next w:val="1614"/>
    <w:link w:val="851"/>
    <w:uiPriority w:val="99"/>
    <w:qFormat/>
    <w:rPr>
      <w:lang w:val="en-US" w:eastAsia="zh-CN" w:bidi="ar-SA"/>
    </w:rPr>
    <w:tblPr/>
  </w:style>
  <w:style w:type="table" w:styleId="1615">
    <w:name w:val="Grid Table 6 Colorful - Accent 4"/>
    <w:next w:val="1615"/>
    <w:link w:val="851"/>
    <w:uiPriority w:val="99"/>
    <w:qFormat/>
    <w:rPr>
      <w:lang w:val="en-US" w:eastAsia="zh-CN" w:bidi="ar-SA"/>
    </w:rPr>
    <w:tblPr/>
  </w:style>
  <w:style w:type="table" w:styleId="1616">
    <w:name w:val="Grid Table 6 Colorful - Accent 5"/>
    <w:next w:val="1616"/>
    <w:link w:val="851"/>
    <w:uiPriority w:val="99"/>
    <w:qFormat/>
    <w:rPr>
      <w:lang w:val="en-US" w:eastAsia="zh-CN" w:bidi="ar-SA"/>
    </w:rPr>
    <w:tblPr/>
  </w:style>
  <w:style w:type="table" w:styleId="1617">
    <w:name w:val="Grid Table 6 Colorful - Accent 6"/>
    <w:next w:val="1617"/>
    <w:link w:val="851"/>
    <w:uiPriority w:val="99"/>
    <w:qFormat/>
    <w:rPr>
      <w:lang w:val="en-US" w:eastAsia="zh-CN" w:bidi="ar-SA"/>
    </w:rPr>
    <w:tblPr/>
  </w:style>
  <w:style w:type="table" w:styleId="1618">
    <w:name w:val="Grid Table 7 Colorful - Accent 1"/>
    <w:next w:val="1618"/>
    <w:link w:val="851"/>
    <w:uiPriority w:val="99"/>
    <w:qFormat/>
    <w:rPr>
      <w:lang w:val="en-US" w:eastAsia="zh-CN" w:bidi="ar-SA"/>
    </w:rPr>
    <w:tblPr/>
  </w:style>
  <w:style w:type="table" w:styleId="1619">
    <w:name w:val="Grid Table 7 Colorful - Accent 2"/>
    <w:next w:val="1619"/>
    <w:link w:val="851"/>
    <w:uiPriority w:val="99"/>
    <w:qFormat/>
    <w:rPr>
      <w:lang w:val="en-US" w:eastAsia="zh-CN" w:bidi="ar-SA"/>
    </w:rPr>
    <w:tblPr/>
  </w:style>
  <w:style w:type="table" w:styleId="1620">
    <w:name w:val="Grid Table 7 Colorful - Accent 3"/>
    <w:next w:val="1620"/>
    <w:link w:val="851"/>
    <w:uiPriority w:val="99"/>
    <w:qFormat/>
    <w:rPr>
      <w:lang w:val="en-US" w:eastAsia="zh-CN" w:bidi="ar-SA"/>
    </w:rPr>
    <w:tblPr/>
  </w:style>
  <w:style w:type="table" w:styleId="1621">
    <w:name w:val="Grid Table 7 Colorful - Accent 4"/>
    <w:next w:val="1621"/>
    <w:link w:val="851"/>
    <w:uiPriority w:val="99"/>
    <w:qFormat/>
    <w:rPr>
      <w:lang w:val="en-US" w:eastAsia="zh-CN" w:bidi="ar-SA"/>
    </w:rPr>
    <w:tblPr/>
  </w:style>
  <w:style w:type="table" w:styleId="1622">
    <w:name w:val="Grid Table 7 Colorful - Accent 5"/>
    <w:next w:val="1622"/>
    <w:link w:val="851"/>
    <w:uiPriority w:val="99"/>
    <w:qFormat/>
    <w:rPr>
      <w:lang w:val="en-US" w:eastAsia="zh-CN" w:bidi="ar-SA"/>
    </w:rPr>
    <w:tblPr/>
  </w:style>
  <w:style w:type="table" w:styleId="1623">
    <w:name w:val="Grid Table 7 Colorful - Accent 6"/>
    <w:next w:val="1623"/>
    <w:link w:val="851"/>
    <w:uiPriority w:val="99"/>
    <w:qFormat/>
    <w:rPr>
      <w:lang w:val="en-US" w:eastAsia="zh-CN" w:bidi="ar-SA"/>
    </w:rPr>
    <w:tblPr/>
  </w:style>
  <w:style w:type="table" w:styleId="1624">
    <w:name w:val="List Table 1 Light - Accent 1"/>
    <w:next w:val="1624"/>
    <w:link w:val="851"/>
    <w:uiPriority w:val="99"/>
    <w:qFormat/>
    <w:rPr>
      <w:lang w:val="en-US" w:eastAsia="zh-CN" w:bidi="ar-SA"/>
    </w:rPr>
    <w:tblPr/>
  </w:style>
  <w:style w:type="table" w:styleId="1625">
    <w:name w:val="List Table 1 Light - Accent 2"/>
    <w:next w:val="1625"/>
    <w:link w:val="851"/>
    <w:uiPriority w:val="99"/>
    <w:qFormat/>
    <w:rPr>
      <w:lang w:val="en-US" w:eastAsia="zh-CN" w:bidi="ar-SA"/>
    </w:rPr>
    <w:tblPr/>
  </w:style>
  <w:style w:type="table" w:styleId="1626">
    <w:name w:val="List Table 1 Light - Accent 3"/>
    <w:next w:val="1626"/>
    <w:link w:val="851"/>
    <w:uiPriority w:val="99"/>
    <w:qFormat/>
    <w:rPr>
      <w:lang w:val="en-US" w:eastAsia="zh-CN" w:bidi="ar-SA"/>
    </w:rPr>
    <w:tblPr/>
  </w:style>
  <w:style w:type="table" w:styleId="1627">
    <w:name w:val="List Table 1 Light - Accent 4"/>
    <w:next w:val="1627"/>
    <w:link w:val="851"/>
    <w:uiPriority w:val="99"/>
    <w:qFormat/>
    <w:rPr>
      <w:lang w:val="en-US" w:eastAsia="zh-CN" w:bidi="ar-SA"/>
    </w:rPr>
    <w:tblPr/>
  </w:style>
  <w:style w:type="table" w:styleId="1628">
    <w:name w:val="List Table 1 Light - Accent 5"/>
    <w:next w:val="1628"/>
    <w:link w:val="851"/>
    <w:uiPriority w:val="99"/>
    <w:qFormat/>
    <w:rPr>
      <w:lang w:val="en-US" w:eastAsia="zh-CN" w:bidi="ar-SA"/>
    </w:rPr>
    <w:tblPr/>
  </w:style>
  <w:style w:type="table" w:styleId="1629">
    <w:name w:val="List Table 1 Light - Accent 6"/>
    <w:next w:val="1629"/>
    <w:link w:val="851"/>
    <w:uiPriority w:val="99"/>
    <w:qFormat/>
    <w:rPr>
      <w:lang w:val="en-US" w:eastAsia="zh-CN" w:bidi="ar-SA"/>
    </w:rPr>
    <w:tblPr/>
  </w:style>
  <w:style w:type="table" w:styleId="1630">
    <w:name w:val="List Table 2 - Accent 1"/>
    <w:next w:val="1630"/>
    <w:link w:val="851"/>
    <w:uiPriority w:val="99"/>
    <w:qFormat/>
    <w:rPr>
      <w:lang w:val="en-US" w:eastAsia="zh-CN" w:bidi="ar-SA"/>
    </w:rPr>
    <w:tblPr/>
  </w:style>
  <w:style w:type="table" w:styleId="1631">
    <w:name w:val="List Table 2 - Accent 2"/>
    <w:next w:val="1631"/>
    <w:link w:val="851"/>
    <w:uiPriority w:val="99"/>
    <w:qFormat/>
    <w:rPr>
      <w:lang w:val="en-US" w:eastAsia="zh-CN" w:bidi="ar-SA"/>
    </w:rPr>
    <w:tblPr/>
  </w:style>
  <w:style w:type="table" w:styleId="1632">
    <w:name w:val="List Table 2 - Accent 3"/>
    <w:next w:val="1632"/>
    <w:link w:val="851"/>
    <w:uiPriority w:val="99"/>
    <w:qFormat/>
    <w:rPr>
      <w:lang w:val="en-US" w:eastAsia="zh-CN" w:bidi="ar-SA"/>
    </w:rPr>
    <w:tblPr/>
  </w:style>
  <w:style w:type="table" w:styleId="1633">
    <w:name w:val="List Table 2 - Accent 4"/>
    <w:next w:val="1633"/>
    <w:link w:val="851"/>
    <w:uiPriority w:val="99"/>
    <w:qFormat/>
    <w:rPr>
      <w:lang w:val="en-US" w:eastAsia="zh-CN" w:bidi="ar-SA"/>
    </w:rPr>
    <w:tblPr/>
  </w:style>
  <w:style w:type="table" w:styleId="1634">
    <w:name w:val="List Table 2 - Accent 5"/>
    <w:next w:val="1634"/>
    <w:link w:val="851"/>
    <w:uiPriority w:val="99"/>
    <w:qFormat/>
    <w:rPr>
      <w:lang w:val="en-US" w:eastAsia="zh-CN" w:bidi="ar-SA"/>
    </w:rPr>
    <w:tblPr/>
  </w:style>
  <w:style w:type="table" w:styleId="1635">
    <w:name w:val="List Table 2 - Accent 6"/>
    <w:next w:val="1635"/>
    <w:link w:val="851"/>
    <w:uiPriority w:val="99"/>
    <w:qFormat/>
    <w:rPr>
      <w:lang w:val="en-US" w:eastAsia="zh-CN" w:bidi="ar-SA"/>
    </w:rPr>
    <w:tblPr/>
  </w:style>
  <w:style w:type="table" w:styleId="1636">
    <w:name w:val="List Table 3 - Accent 1"/>
    <w:next w:val="1636"/>
    <w:link w:val="851"/>
    <w:uiPriority w:val="99"/>
    <w:qFormat/>
    <w:rPr>
      <w:lang w:val="en-US" w:eastAsia="zh-CN" w:bidi="ar-SA"/>
    </w:rPr>
    <w:tblPr/>
  </w:style>
  <w:style w:type="table" w:styleId="1637">
    <w:name w:val="List Table 3 - Accent 2"/>
    <w:next w:val="1637"/>
    <w:link w:val="851"/>
    <w:uiPriority w:val="99"/>
    <w:qFormat/>
    <w:rPr>
      <w:lang w:val="en-US" w:eastAsia="zh-CN" w:bidi="ar-SA"/>
    </w:rPr>
    <w:tblPr/>
  </w:style>
  <w:style w:type="table" w:styleId="1638">
    <w:name w:val="List Table 3 - Accent 3"/>
    <w:next w:val="1638"/>
    <w:link w:val="851"/>
    <w:uiPriority w:val="99"/>
    <w:qFormat/>
    <w:rPr>
      <w:lang w:val="en-US" w:eastAsia="zh-CN" w:bidi="ar-SA"/>
    </w:rPr>
    <w:tblPr/>
  </w:style>
  <w:style w:type="table" w:styleId="1639">
    <w:name w:val="List Table 3 - Accent 4"/>
    <w:next w:val="1639"/>
    <w:link w:val="851"/>
    <w:uiPriority w:val="99"/>
    <w:qFormat/>
    <w:rPr>
      <w:lang w:val="en-US" w:eastAsia="zh-CN" w:bidi="ar-SA"/>
    </w:rPr>
    <w:tblPr/>
  </w:style>
  <w:style w:type="table" w:styleId="1640">
    <w:name w:val="List Table 3 - Accent 5"/>
    <w:next w:val="1640"/>
    <w:link w:val="851"/>
    <w:uiPriority w:val="99"/>
    <w:qFormat/>
    <w:rPr>
      <w:lang w:val="en-US" w:eastAsia="zh-CN" w:bidi="ar-SA"/>
    </w:rPr>
    <w:tblPr/>
  </w:style>
  <w:style w:type="table" w:styleId="1641">
    <w:name w:val="List Table 3 - Accent 6"/>
    <w:next w:val="1641"/>
    <w:link w:val="851"/>
    <w:uiPriority w:val="99"/>
    <w:qFormat/>
    <w:rPr>
      <w:lang w:val="en-US" w:eastAsia="zh-CN" w:bidi="ar-SA"/>
    </w:rPr>
    <w:tblPr/>
  </w:style>
  <w:style w:type="table" w:styleId="1642">
    <w:name w:val="List Table 4 - Accent 1"/>
    <w:next w:val="1642"/>
    <w:link w:val="851"/>
    <w:uiPriority w:val="99"/>
    <w:qFormat/>
    <w:rPr>
      <w:lang w:val="en-US" w:eastAsia="zh-CN" w:bidi="ar-SA"/>
    </w:rPr>
    <w:tblPr/>
  </w:style>
  <w:style w:type="table" w:styleId="1643">
    <w:name w:val="List Table 4 - Accent 2"/>
    <w:next w:val="1643"/>
    <w:link w:val="851"/>
    <w:uiPriority w:val="99"/>
    <w:qFormat/>
    <w:rPr>
      <w:lang w:val="en-US" w:eastAsia="zh-CN" w:bidi="ar-SA"/>
    </w:rPr>
    <w:tblPr/>
  </w:style>
  <w:style w:type="table" w:styleId="1644">
    <w:name w:val="List Table 4 - Accent 3"/>
    <w:next w:val="1644"/>
    <w:link w:val="851"/>
    <w:uiPriority w:val="99"/>
    <w:qFormat/>
    <w:rPr>
      <w:lang w:val="en-US" w:eastAsia="zh-CN" w:bidi="ar-SA"/>
    </w:rPr>
    <w:tblPr/>
  </w:style>
  <w:style w:type="table" w:styleId="1645">
    <w:name w:val="List Table 4 - Accent 4"/>
    <w:next w:val="1645"/>
    <w:link w:val="851"/>
    <w:uiPriority w:val="99"/>
    <w:qFormat/>
    <w:rPr>
      <w:lang w:val="en-US" w:eastAsia="zh-CN" w:bidi="ar-SA"/>
    </w:rPr>
    <w:tblPr/>
  </w:style>
  <w:style w:type="table" w:styleId="1646">
    <w:name w:val="List Table 4 - Accent 5"/>
    <w:next w:val="1646"/>
    <w:link w:val="851"/>
    <w:uiPriority w:val="99"/>
    <w:qFormat/>
    <w:rPr>
      <w:lang w:val="en-US" w:eastAsia="zh-CN" w:bidi="ar-SA"/>
    </w:rPr>
    <w:tblPr/>
  </w:style>
  <w:style w:type="table" w:styleId="1647">
    <w:name w:val="List Table 4 - Accent 6"/>
    <w:next w:val="1647"/>
    <w:link w:val="851"/>
    <w:uiPriority w:val="99"/>
    <w:qFormat/>
    <w:rPr>
      <w:lang w:val="en-US" w:eastAsia="zh-CN" w:bidi="ar-SA"/>
    </w:rPr>
    <w:tblPr/>
  </w:style>
  <w:style w:type="table" w:styleId="1648">
    <w:name w:val="List Table 5 Dark - Accent 1"/>
    <w:next w:val="1648"/>
    <w:link w:val="851"/>
    <w:uiPriority w:val="99"/>
    <w:qFormat/>
    <w:rPr>
      <w:lang w:val="en-US" w:eastAsia="zh-CN" w:bidi="ar-SA"/>
    </w:rPr>
    <w:tblPr/>
  </w:style>
  <w:style w:type="table" w:styleId="1649">
    <w:name w:val="List Table 5 Dark - Accent 2"/>
    <w:next w:val="1649"/>
    <w:link w:val="851"/>
    <w:uiPriority w:val="99"/>
    <w:qFormat/>
    <w:rPr>
      <w:lang w:val="en-US" w:eastAsia="zh-CN" w:bidi="ar-SA"/>
    </w:rPr>
    <w:tblPr/>
  </w:style>
  <w:style w:type="table" w:styleId="1650">
    <w:name w:val="List Table 5 Dark - Accent 3"/>
    <w:next w:val="1650"/>
    <w:link w:val="851"/>
    <w:uiPriority w:val="99"/>
    <w:qFormat/>
    <w:rPr>
      <w:lang w:val="en-US" w:eastAsia="zh-CN" w:bidi="ar-SA"/>
    </w:rPr>
    <w:tblPr/>
  </w:style>
  <w:style w:type="table" w:styleId="1651">
    <w:name w:val="List Table 5 Dark - Accent 4"/>
    <w:next w:val="1651"/>
    <w:link w:val="851"/>
    <w:uiPriority w:val="99"/>
    <w:qFormat/>
    <w:rPr>
      <w:lang w:val="en-US" w:eastAsia="zh-CN" w:bidi="ar-SA"/>
    </w:rPr>
    <w:tblPr/>
  </w:style>
  <w:style w:type="table" w:styleId="1652">
    <w:name w:val="List Table 5 Dark - Accent 5"/>
    <w:next w:val="1652"/>
    <w:link w:val="851"/>
    <w:uiPriority w:val="99"/>
    <w:qFormat/>
    <w:rPr>
      <w:lang w:val="en-US" w:eastAsia="zh-CN" w:bidi="ar-SA"/>
    </w:rPr>
    <w:tblPr/>
  </w:style>
  <w:style w:type="table" w:styleId="1653">
    <w:name w:val="List Table 5 Dark - Accent 6"/>
    <w:next w:val="1653"/>
    <w:link w:val="851"/>
    <w:uiPriority w:val="99"/>
    <w:qFormat/>
    <w:rPr>
      <w:lang w:val="en-US" w:eastAsia="zh-CN" w:bidi="ar-SA"/>
    </w:rPr>
    <w:tblPr/>
  </w:style>
  <w:style w:type="table" w:styleId="1654">
    <w:name w:val="List Table 6 Colorful - Accent 1"/>
    <w:next w:val="1654"/>
    <w:link w:val="851"/>
    <w:uiPriority w:val="99"/>
    <w:qFormat/>
    <w:rPr>
      <w:lang w:val="en-US" w:eastAsia="zh-CN" w:bidi="ar-SA"/>
    </w:rPr>
    <w:tblPr/>
  </w:style>
  <w:style w:type="table" w:styleId="1655">
    <w:name w:val="List Table 6 Colorful - Accent 2"/>
    <w:next w:val="1655"/>
    <w:link w:val="851"/>
    <w:uiPriority w:val="99"/>
    <w:qFormat/>
    <w:rPr>
      <w:lang w:val="en-US" w:eastAsia="zh-CN" w:bidi="ar-SA"/>
    </w:rPr>
    <w:tblPr/>
  </w:style>
  <w:style w:type="table" w:styleId="1656">
    <w:name w:val="List Table 6 Colorful - Accent 3"/>
    <w:next w:val="1656"/>
    <w:link w:val="851"/>
    <w:uiPriority w:val="99"/>
    <w:qFormat/>
    <w:rPr>
      <w:lang w:val="en-US" w:eastAsia="zh-CN" w:bidi="ar-SA"/>
    </w:rPr>
    <w:tblPr/>
  </w:style>
  <w:style w:type="table" w:styleId="1657">
    <w:name w:val="List Table 6 Colorful - Accent 4"/>
    <w:next w:val="1657"/>
    <w:link w:val="851"/>
    <w:uiPriority w:val="99"/>
    <w:qFormat/>
    <w:rPr>
      <w:lang w:val="en-US" w:eastAsia="zh-CN" w:bidi="ar-SA"/>
    </w:rPr>
    <w:tblPr/>
  </w:style>
  <w:style w:type="table" w:styleId="1658">
    <w:name w:val="List Table 6 Colorful - Accent 5"/>
    <w:next w:val="1658"/>
    <w:link w:val="851"/>
    <w:uiPriority w:val="99"/>
    <w:qFormat/>
    <w:rPr>
      <w:lang w:val="en-US" w:eastAsia="zh-CN" w:bidi="ar-SA"/>
    </w:rPr>
    <w:tblPr/>
  </w:style>
  <w:style w:type="table" w:styleId="1659">
    <w:name w:val="List Table 6 Colorful - Accent 6"/>
    <w:next w:val="1659"/>
    <w:link w:val="851"/>
    <w:uiPriority w:val="99"/>
    <w:qFormat/>
    <w:rPr>
      <w:lang w:val="en-US" w:eastAsia="zh-CN" w:bidi="ar-SA"/>
    </w:rPr>
    <w:tblPr/>
  </w:style>
  <w:style w:type="table" w:styleId="1660">
    <w:name w:val="List Table 7 Colorful - Accent 1"/>
    <w:next w:val="1660"/>
    <w:link w:val="851"/>
    <w:uiPriority w:val="99"/>
    <w:qFormat/>
    <w:rPr>
      <w:lang w:val="en-US" w:eastAsia="zh-CN" w:bidi="ar-SA"/>
    </w:rPr>
    <w:tblPr/>
  </w:style>
  <w:style w:type="table" w:styleId="1661">
    <w:name w:val="List Table 7 Colorful - Accent 2"/>
    <w:next w:val="1661"/>
    <w:link w:val="851"/>
    <w:uiPriority w:val="99"/>
    <w:qFormat/>
    <w:rPr>
      <w:lang w:val="en-US" w:eastAsia="zh-CN" w:bidi="ar-SA"/>
    </w:rPr>
    <w:tblPr/>
  </w:style>
  <w:style w:type="table" w:styleId="1662">
    <w:name w:val="List Table 7 Colorful - Accent 3"/>
    <w:next w:val="1662"/>
    <w:link w:val="851"/>
    <w:uiPriority w:val="99"/>
    <w:qFormat/>
    <w:rPr>
      <w:lang w:val="en-US" w:eastAsia="zh-CN" w:bidi="ar-SA"/>
    </w:rPr>
    <w:tblPr/>
  </w:style>
  <w:style w:type="table" w:styleId="1663">
    <w:name w:val="List Table 7 Colorful - Accent 4"/>
    <w:next w:val="1663"/>
    <w:link w:val="851"/>
    <w:uiPriority w:val="99"/>
    <w:qFormat/>
    <w:rPr>
      <w:lang w:val="en-US" w:eastAsia="zh-CN" w:bidi="ar-SA"/>
    </w:rPr>
    <w:tblPr/>
  </w:style>
  <w:style w:type="table" w:styleId="1664">
    <w:name w:val="List Table 7 Colorful - Accent 5"/>
    <w:next w:val="1664"/>
    <w:link w:val="851"/>
    <w:uiPriority w:val="99"/>
    <w:qFormat/>
    <w:rPr>
      <w:lang w:val="en-US" w:eastAsia="zh-CN" w:bidi="ar-SA"/>
    </w:rPr>
    <w:tblPr/>
  </w:style>
  <w:style w:type="table" w:styleId="1665">
    <w:name w:val="List Table 7 Colorful - Accent 6"/>
    <w:next w:val="1665"/>
    <w:link w:val="851"/>
    <w:uiPriority w:val="99"/>
    <w:qFormat/>
    <w:rPr>
      <w:lang w:val="en-US" w:eastAsia="zh-CN" w:bidi="ar-SA"/>
    </w:rPr>
    <w:tblPr/>
  </w:style>
  <w:style w:type="table" w:styleId="1666">
    <w:name w:val="Lined - Accent"/>
    <w:next w:val="1666"/>
    <w:link w:val="851"/>
    <w:uiPriority w:val="99"/>
    <w:qFormat/>
    <w:rPr>
      <w:color w:val="404040"/>
      <w:lang w:val="en-US" w:eastAsia="zh-CN" w:bidi="ar-SA"/>
    </w:rPr>
    <w:tblPr/>
  </w:style>
  <w:style w:type="table" w:styleId="1667">
    <w:name w:val="Lined - Accent 1"/>
    <w:next w:val="1667"/>
    <w:link w:val="851"/>
    <w:uiPriority w:val="99"/>
    <w:qFormat/>
    <w:rPr>
      <w:color w:val="404040"/>
      <w:lang w:val="en-US" w:eastAsia="zh-CN" w:bidi="ar-SA"/>
    </w:rPr>
    <w:tblPr/>
  </w:style>
  <w:style w:type="table" w:styleId="1668">
    <w:name w:val="Lined - Accent 2"/>
    <w:next w:val="1668"/>
    <w:link w:val="851"/>
    <w:uiPriority w:val="99"/>
    <w:qFormat/>
    <w:rPr>
      <w:color w:val="404040"/>
      <w:lang w:val="en-US" w:eastAsia="zh-CN" w:bidi="ar-SA"/>
    </w:rPr>
    <w:tblPr/>
  </w:style>
  <w:style w:type="table" w:styleId="1669">
    <w:name w:val="Lined - Accent 3"/>
    <w:next w:val="1669"/>
    <w:link w:val="851"/>
    <w:uiPriority w:val="99"/>
    <w:qFormat/>
    <w:rPr>
      <w:color w:val="404040"/>
      <w:lang w:val="en-US" w:eastAsia="zh-CN" w:bidi="ar-SA"/>
    </w:rPr>
    <w:tblPr/>
  </w:style>
  <w:style w:type="table" w:styleId="1670">
    <w:name w:val="Lined - Accent 4"/>
    <w:next w:val="1670"/>
    <w:link w:val="851"/>
    <w:uiPriority w:val="99"/>
    <w:qFormat/>
    <w:rPr>
      <w:color w:val="404040"/>
      <w:lang w:val="en-US" w:eastAsia="zh-CN" w:bidi="ar-SA"/>
    </w:rPr>
    <w:tblPr/>
  </w:style>
  <w:style w:type="table" w:styleId="1671">
    <w:name w:val="Lined - Accent 5"/>
    <w:next w:val="1671"/>
    <w:link w:val="851"/>
    <w:uiPriority w:val="99"/>
    <w:qFormat/>
    <w:rPr>
      <w:color w:val="404040"/>
      <w:lang w:val="en-US" w:eastAsia="zh-CN" w:bidi="ar-SA"/>
    </w:rPr>
    <w:tblPr/>
  </w:style>
  <w:style w:type="table" w:styleId="1672">
    <w:name w:val="Lined - Accent 6"/>
    <w:next w:val="1672"/>
    <w:link w:val="851"/>
    <w:uiPriority w:val="99"/>
    <w:qFormat/>
    <w:rPr>
      <w:color w:val="404040"/>
      <w:lang w:val="en-US" w:eastAsia="zh-CN" w:bidi="ar-SA"/>
    </w:rPr>
    <w:tblPr/>
  </w:style>
  <w:style w:type="table" w:styleId="1673">
    <w:name w:val="Bordered &amp; Lined - Accent"/>
    <w:next w:val="1673"/>
    <w:link w:val="851"/>
    <w:uiPriority w:val="99"/>
    <w:qFormat/>
    <w:rPr>
      <w:color w:val="404040"/>
      <w:lang w:val="en-US" w:eastAsia="zh-CN" w:bidi="ar-SA"/>
    </w:rPr>
    <w:tblPr/>
  </w:style>
  <w:style w:type="table" w:styleId="1674">
    <w:name w:val="Bordered &amp; Lined - Accent 1"/>
    <w:next w:val="1674"/>
    <w:link w:val="851"/>
    <w:uiPriority w:val="99"/>
    <w:qFormat/>
    <w:rPr>
      <w:color w:val="404040"/>
      <w:lang w:val="en-US" w:eastAsia="zh-CN" w:bidi="ar-SA"/>
    </w:rPr>
    <w:tblPr/>
  </w:style>
  <w:style w:type="table" w:styleId="1675">
    <w:name w:val="Bordered &amp; Lined - Accent 2"/>
    <w:next w:val="1675"/>
    <w:link w:val="851"/>
    <w:uiPriority w:val="99"/>
    <w:qFormat/>
    <w:rPr>
      <w:color w:val="404040"/>
      <w:lang w:val="en-US" w:eastAsia="zh-CN" w:bidi="ar-SA"/>
    </w:rPr>
    <w:tblPr/>
  </w:style>
  <w:style w:type="table" w:styleId="1676">
    <w:name w:val="Bordered &amp; Lined - Accent 3"/>
    <w:next w:val="1676"/>
    <w:link w:val="851"/>
    <w:uiPriority w:val="99"/>
    <w:qFormat/>
    <w:rPr>
      <w:color w:val="404040"/>
      <w:lang w:val="en-US" w:eastAsia="zh-CN" w:bidi="ar-SA"/>
    </w:rPr>
    <w:tblPr/>
  </w:style>
  <w:style w:type="table" w:styleId="1677">
    <w:name w:val="Bordered &amp; Lined - Accent 4"/>
    <w:next w:val="1677"/>
    <w:link w:val="851"/>
    <w:uiPriority w:val="99"/>
    <w:qFormat/>
    <w:rPr>
      <w:color w:val="404040"/>
      <w:lang w:val="en-US" w:eastAsia="zh-CN" w:bidi="ar-SA"/>
    </w:rPr>
    <w:tblPr/>
  </w:style>
  <w:style w:type="table" w:styleId="1678">
    <w:name w:val="Bordered &amp; Lined - Accent 5"/>
    <w:next w:val="1678"/>
    <w:link w:val="851"/>
    <w:uiPriority w:val="99"/>
    <w:qFormat/>
    <w:rPr>
      <w:color w:val="404040"/>
      <w:lang w:val="en-US" w:eastAsia="zh-CN" w:bidi="ar-SA"/>
    </w:rPr>
    <w:tblPr/>
  </w:style>
  <w:style w:type="table" w:styleId="1679">
    <w:name w:val="Bordered &amp; Lined - Accent 6"/>
    <w:next w:val="1679"/>
    <w:link w:val="851"/>
    <w:uiPriority w:val="99"/>
    <w:qFormat/>
    <w:rPr>
      <w:color w:val="404040"/>
      <w:lang w:val="en-US" w:eastAsia="zh-CN" w:bidi="ar-SA"/>
    </w:rPr>
    <w:tblPr/>
  </w:style>
  <w:style w:type="table" w:styleId="1680">
    <w:name w:val="Bordered"/>
    <w:next w:val="1680"/>
    <w:link w:val="851"/>
    <w:uiPriority w:val="99"/>
    <w:qFormat/>
    <w:rPr>
      <w:lang w:val="en-US" w:eastAsia="zh-CN" w:bidi="ar-SA"/>
    </w:rPr>
    <w:tblPr/>
  </w:style>
  <w:style w:type="table" w:styleId="1681">
    <w:name w:val="Bordered - Accent 1"/>
    <w:next w:val="1681"/>
    <w:link w:val="851"/>
    <w:uiPriority w:val="99"/>
    <w:qFormat/>
    <w:rPr>
      <w:lang w:val="en-US" w:eastAsia="zh-CN" w:bidi="ar-SA"/>
    </w:rPr>
    <w:tblPr/>
  </w:style>
  <w:style w:type="table" w:styleId="1682">
    <w:name w:val="Bordered - Accent 2"/>
    <w:next w:val="1682"/>
    <w:link w:val="851"/>
    <w:uiPriority w:val="99"/>
    <w:qFormat/>
    <w:rPr>
      <w:lang w:val="en-US" w:eastAsia="zh-CN" w:bidi="ar-SA"/>
    </w:rPr>
    <w:tblPr/>
  </w:style>
  <w:style w:type="table" w:styleId="1683">
    <w:name w:val="Bordered - Accent 3"/>
    <w:next w:val="1683"/>
    <w:link w:val="851"/>
    <w:uiPriority w:val="99"/>
    <w:qFormat/>
    <w:rPr>
      <w:lang w:val="en-US" w:eastAsia="zh-CN" w:bidi="ar-SA"/>
    </w:rPr>
    <w:tblPr/>
  </w:style>
  <w:style w:type="table" w:styleId="1684">
    <w:name w:val="Bordered - Accent 4"/>
    <w:next w:val="1684"/>
    <w:link w:val="851"/>
    <w:uiPriority w:val="99"/>
    <w:qFormat/>
    <w:rPr>
      <w:lang w:val="en-US" w:eastAsia="zh-CN" w:bidi="ar-SA"/>
    </w:rPr>
    <w:tblPr/>
  </w:style>
  <w:style w:type="table" w:styleId="1685">
    <w:name w:val="Bordered - Accent 5"/>
    <w:next w:val="1685"/>
    <w:link w:val="851"/>
    <w:uiPriority w:val="99"/>
    <w:qFormat/>
    <w:rPr>
      <w:lang w:val="en-US" w:eastAsia="zh-CN" w:bidi="ar-SA"/>
    </w:rPr>
    <w:tblPr/>
  </w:style>
  <w:style w:type="table" w:styleId="1686">
    <w:name w:val="Bordered - Accent 6"/>
    <w:next w:val="1686"/>
    <w:link w:val="851"/>
    <w:uiPriority w:val="99"/>
    <w:qFormat/>
    <w:rPr>
      <w:lang w:val="en-US" w:eastAsia="zh-CN" w:bidi="ar-SA"/>
    </w:rPr>
    <w:tblPr/>
  </w:style>
  <w:style w:type="character" w:styleId="1687">
    <w:name w:val="默认段落字体1"/>
    <w:next w:val="1687"/>
    <w:link w:val="851"/>
    <w:uiPriority w:val="1"/>
    <w:unhideWhenUsed/>
    <w:qFormat/>
  </w:style>
  <w:style w:type="table" w:styleId="1688">
    <w:name w:val="普通表格1"/>
    <w:next w:val="1688"/>
    <w:link w:val="851"/>
    <w:uiPriority w:val="99"/>
    <w:unhideWhenUsed/>
    <w:qFormat/>
    <w:rPr>
      <w:lang w:val="en-US" w:eastAsia="zh-CN" w:bidi="ar-SA"/>
    </w:rPr>
    <w:tblPr/>
  </w:style>
  <w:style w:type="character" w:styleId="1689">
    <w:name w:val="要点1"/>
    <w:next w:val="1689"/>
    <w:link w:val="851"/>
    <w:qFormat/>
    <w:rPr>
      <w:b/>
      <w:bCs/>
    </w:rPr>
  </w:style>
  <w:style w:type="character" w:styleId="1690">
    <w:name w:val="二级目录 Char"/>
    <w:next w:val="1690"/>
    <w:link w:val="1691"/>
    <w:qFormat/>
    <w:rPr>
      <w:b/>
      <w:sz w:val="30"/>
      <w:szCs w:val="28"/>
    </w:rPr>
  </w:style>
  <w:style w:type="paragraph" w:styleId="1691">
    <w:name w:val="二级目录"/>
    <w:next w:val="851"/>
    <w:link w:val="1690"/>
    <w:qFormat/>
    <w:pPr>
      <w:ind w:left="907" w:hanging="907"/>
      <w:tabs>
        <w:tab w:val="left" w:pos="907" w:leader="none"/>
        <w:tab w:val="left" w:pos="1145" w:leader="none"/>
      </w:tabs>
      <w:outlineLvl w:val="1"/>
    </w:pPr>
    <w:rPr>
      <w:rFonts w:ascii="等线" w:hAnsi="等线" w:cs="Arial"/>
      <w:b/>
      <w:sz w:val="30"/>
      <w:szCs w:val="28"/>
      <w:lang w:val="en-US" w:eastAsia="zh-CN" w:bidi="ar-SA"/>
    </w:rPr>
  </w:style>
  <w:style w:type="character" w:styleId="1692">
    <w:name w:val="标题 7 Char"/>
    <w:next w:val="1692"/>
    <w:link w:val="851"/>
    <w:qFormat/>
    <w:rPr>
      <w:rFonts w:ascii="Times New Roman" w:hAnsi="Times New Roman" w:eastAsia="宋体" w:cs="Times New Roman"/>
      <w:b/>
      <w:bCs/>
      <w:sz w:val="24"/>
      <w:szCs w:val="24"/>
    </w:rPr>
  </w:style>
  <w:style w:type="character" w:styleId="1693">
    <w:name w:val="正文文本缩进 Char"/>
    <w:next w:val="1693"/>
    <w:link w:val="851"/>
    <w:qFormat/>
    <w:rPr>
      <w:rFonts w:ascii="楷体_GB2312" w:hAnsi="Times New Roman" w:eastAsia="楷体_GB2312" w:cs="Times New Roman"/>
      <w:sz w:val="32"/>
      <w:szCs w:val="32"/>
    </w:rPr>
  </w:style>
  <w:style w:type="character" w:styleId="1694">
    <w:name w:val="超链接1"/>
    <w:next w:val="1694"/>
    <w:link w:val="851"/>
    <w:qFormat/>
    <w:rPr>
      <w:color w:val="0000ff"/>
      <w:u w:val="single"/>
    </w:rPr>
  </w:style>
  <w:style w:type="character" w:styleId="1695">
    <w:name w:val="批注框文本 Char"/>
    <w:next w:val="1695"/>
    <w:link w:val="1696"/>
    <w:semiHidden/>
    <w:qFormat/>
    <w:rPr>
      <w:rFonts w:ascii="Times New Roman" w:hAnsi="Times New Roman" w:eastAsia="宋体" w:cs="Times New Roman"/>
      <w:sz w:val="18"/>
      <w:szCs w:val="18"/>
    </w:rPr>
  </w:style>
  <w:style w:type="paragraph" w:styleId="1696">
    <w:name w:val="批注框文本1"/>
    <w:basedOn w:val="851"/>
    <w:next w:val="1696"/>
    <w:link w:val="1695"/>
    <w:semiHidden/>
    <w:qFormat/>
    <w:rPr>
      <w:rFonts w:ascii="Times New Roman" w:hAnsi="Times New Roman" w:eastAsia="宋体" w:cs="Times New Roman"/>
      <w:sz w:val="18"/>
      <w:szCs w:val="18"/>
    </w:rPr>
  </w:style>
  <w:style w:type="character" w:styleId="1697">
    <w:name w:val="font5 Char"/>
    <w:next w:val="1697"/>
    <w:link w:val="851"/>
    <w:qFormat/>
    <w:rPr>
      <w:rFonts w:ascii="宋体" w:hAnsi="宋体" w:eastAsia="宋体"/>
      <w:sz w:val="28"/>
      <w:szCs w:val="28"/>
      <w:lang w:val="en-US" w:eastAsia="zh-CN" w:bidi="ar-SA"/>
    </w:rPr>
  </w:style>
  <w:style w:type="paragraph" w:styleId="1698">
    <w:name w:val="xl25"/>
    <w:basedOn w:val="851"/>
    <w:next w:val="1698"/>
    <w:link w:val="85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699">
    <w:name w:val="xl27"/>
    <w:basedOn w:val="851"/>
    <w:next w:val="1699"/>
    <w:link w:val="85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00">
    <w:name w:val="标题1"/>
    <w:basedOn w:val="851"/>
    <w:next w:val="851"/>
    <w:link w:val="851"/>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701">
    <w:name w:val="目录 31"/>
    <w:basedOn w:val="851"/>
    <w:next w:val="851"/>
    <w:link w:val="851"/>
    <w:semiHidden/>
    <w:qFormat/>
    <w:pPr>
      <w:ind w:left="420"/>
      <w:jc w:val="left"/>
    </w:pPr>
    <w:rPr>
      <w:rFonts w:ascii="Times New Roman" w:hAnsi="Times New Roman" w:eastAsia="宋体" w:cs="Times New Roman"/>
      <w:i/>
      <w:iCs/>
      <w:szCs w:val="24"/>
    </w:rPr>
  </w:style>
  <w:style w:type="paragraph" w:styleId="1702">
    <w:name w:val="xl30"/>
    <w:basedOn w:val="851"/>
    <w:next w:val="1702"/>
    <w:link w:val="851"/>
    <w:qFormat/>
    <w:pPr>
      <w:jc w:val="center"/>
      <w:spacing w:before="100" w:beforeAutospacing="1" w:after="100" w:afterAutospacing="1"/>
      <w:widowControl/>
    </w:pPr>
    <w:rPr>
      <w:rFonts w:ascii="宋体" w:hAnsi="宋体" w:eastAsia="宋体" w:cs="Times New Roman"/>
      <w:b/>
      <w:bCs/>
      <w:sz w:val="36"/>
      <w:szCs w:val="36"/>
    </w:rPr>
  </w:style>
  <w:style w:type="paragraph" w:styleId="1703">
    <w:name w:val="图标"/>
    <w:basedOn w:val="851"/>
    <w:next w:val="851"/>
    <w:link w:val="851"/>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704">
    <w:name w:val="目录 81"/>
    <w:basedOn w:val="851"/>
    <w:next w:val="851"/>
    <w:link w:val="851"/>
    <w:semiHidden/>
    <w:qFormat/>
    <w:pPr>
      <w:ind w:left="1470"/>
      <w:jc w:val="left"/>
    </w:pPr>
    <w:rPr>
      <w:rFonts w:ascii="Times New Roman" w:hAnsi="Times New Roman" w:eastAsia="宋体" w:cs="Times New Roman"/>
      <w:szCs w:val="21"/>
    </w:rPr>
  </w:style>
  <w:style w:type="paragraph" w:styleId="1705">
    <w:name w:val="xl24"/>
    <w:basedOn w:val="851"/>
    <w:next w:val="1705"/>
    <w:link w:val="85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06">
    <w:name w:val="目录 51"/>
    <w:basedOn w:val="851"/>
    <w:next w:val="851"/>
    <w:link w:val="851"/>
    <w:semiHidden/>
    <w:qFormat/>
    <w:pPr>
      <w:ind w:left="840"/>
      <w:jc w:val="left"/>
    </w:pPr>
    <w:rPr>
      <w:rFonts w:ascii="Times New Roman" w:hAnsi="Times New Roman" w:eastAsia="宋体" w:cs="Times New Roman"/>
      <w:szCs w:val="21"/>
    </w:rPr>
  </w:style>
  <w:style w:type="paragraph" w:styleId="1707">
    <w:name w:val="Char Char Char Char Char Char Char Char"/>
    <w:basedOn w:val="851"/>
    <w:next w:val="1707"/>
    <w:link w:val="851"/>
    <w:qFormat/>
    <w:pPr>
      <w:jc w:val="left"/>
      <w:spacing w:after="160" w:line="240" w:lineRule="exact"/>
      <w:widowControl/>
    </w:pPr>
    <w:rPr>
      <w:rFonts w:ascii="Verdana" w:hAnsi="Verdana" w:eastAsia="宋体" w:cs="Times New Roman"/>
      <w:sz w:val="20"/>
      <w:szCs w:val="20"/>
      <w:lang w:eastAsia="en-US"/>
    </w:rPr>
  </w:style>
  <w:style w:type="paragraph" w:styleId="1708">
    <w:name w:val="目录 61"/>
    <w:basedOn w:val="851"/>
    <w:next w:val="851"/>
    <w:link w:val="851"/>
    <w:semiHidden/>
    <w:qFormat/>
    <w:pPr>
      <w:ind w:left="1050"/>
      <w:jc w:val="left"/>
    </w:pPr>
    <w:rPr>
      <w:rFonts w:ascii="Times New Roman" w:hAnsi="Times New Roman" w:eastAsia="宋体" w:cs="Times New Roman"/>
      <w:szCs w:val="21"/>
    </w:rPr>
  </w:style>
  <w:style w:type="paragraph" w:styleId="1709">
    <w:name w:val="Char Char Char Char Char Char Char Char11"/>
    <w:basedOn w:val="851"/>
    <w:next w:val="1709"/>
    <w:link w:val="851"/>
    <w:qFormat/>
    <w:pPr>
      <w:jc w:val="left"/>
      <w:spacing w:after="160" w:line="240" w:lineRule="exact"/>
      <w:widowControl/>
    </w:pPr>
    <w:rPr>
      <w:rFonts w:ascii="Verdana" w:hAnsi="Verdana" w:eastAsia="宋体" w:cs="Times New Roman"/>
      <w:sz w:val="20"/>
      <w:szCs w:val="20"/>
      <w:lang w:eastAsia="en-US"/>
    </w:rPr>
  </w:style>
  <w:style w:type="paragraph" w:styleId="1710">
    <w:name w:val="table_lines"/>
    <w:basedOn w:val="851"/>
    <w:next w:val="1710"/>
    <w:link w:val="851"/>
    <w:qFormat/>
    <w:pPr>
      <w:jc w:val="left"/>
      <w:widowControl/>
    </w:pPr>
    <w:rPr>
      <w:rFonts w:ascii="Times New Roman" w:hAnsi="Times New Roman" w:eastAsia="宋体" w:cs="Times New Roman"/>
      <w:sz w:val="20"/>
      <w:szCs w:val="20"/>
      <w:lang w:val="de-DE" w:eastAsia="de-DE"/>
    </w:rPr>
  </w:style>
  <w:style w:type="paragraph" w:styleId="1711">
    <w:name w:val="zhengwen"/>
    <w:basedOn w:val="851"/>
    <w:next w:val="1711"/>
    <w:link w:val="851"/>
    <w:uiPriority w:val="99"/>
    <w:qFormat/>
    <w:pPr>
      <w:ind w:firstLine="480"/>
      <w:spacing w:line="360" w:lineRule="auto"/>
    </w:pPr>
    <w:rPr>
      <w:rFonts w:ascii="Times New Roman" w:hAnsi="Times New Roman" w:eastAsia="宋体" w:cs="Times New Roman"/>
      <w:color w:val="333333"/>
      <w:sz w:val="24"/>
      <w:szCs w:val="24"/>
    </w:rPr>
  </w:style>
  <w:style w:type="paragraph" w:styleId="1712">
    <w:name w:val="图表目录1"/>
    <w:basedOn w:val="851"/>
    <w:next w:val="851"/>
    <w:link w:val="851"/>
    <w:semiHidden/>
    <w:qFormat/>
    <w:pPr>
      <w:ind w:left="840" w:hanging="420"/>
    </w:pPr>
    <w:rPr>
      <w:rFonts w:ascii="Times New Roman" w:hAnsi="Times New Roman" w:eastAsia="宋体" w:cs="Times New Roman"/>
      <w:szCs w:val="21"/>
    </w:rPr>
  </w:style>
  <w:style w:type="paragraph" w:styleId="1713">
    <w:name w:val="Body Text(ch)"/>
    <w:basedOn w:val="851"/>
    <w:next w:val="1041"/>
    <w:link w:val="851"/>
    <w:qFormat/>
    <w:pPr>
      <w:spacing w:after="120"/>
    </w:pPr>
    <w:rPr>
      <w:rFonts w:ascii="宋体" w:hAnsi="Arial" w:eastAsia="宋体" w:cs="Times New Roman"/>
      <w:bCs/>
      <w:iCs/>
      <w:szCs w:val="24"/>
    </w:rPr>
  </w:style>
  <w:style w:type="paragraph" w:styleId="1714">
    <w:name w:val="目录 91"/>
    <w:basedOn w:val="851"/>
    <w:next w:val="851"/>
    <w:link w:val="851"/>
    <w:semiHidden/>
    <w:qFormat/>
    <w:pPr>
      <w:ind w:left="1680"/>
      <w:jc w:val="left"/>
    </w:pPr>
    <w:rPr>
      <w:rFonts w:ascii="Times New Roman" w:hAnsi="Times New Roman" w:eastAsia="宋体" w:cs="Times New Roman"/>
      <w:szCs w:val="21"/>
    </w:rPr>
  </w:style>
  <w:style w:type="paragraph" w:styleId="1715">
    <w:name w:val="目录 11"/>
    <w:basedOn w:val="851"/>
    <w:next w:val="851"/>
    <w:link w:val="851"/>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716">
    <w:name w:val="xl28"/>
    <w:basedOn w:val="851"/>
    <w:next w:val="1716"/>
    <w:link w:val="85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717">
    <w:name w:val="目录 21"/>
    <w:basedOn w:val="851"/>
    <w:next w:val="851"/>
    <w:link w:val="851"/>
    <w:semiHidden/>
    <w:qFormat/>
    <w:pPr>
      <w:ind w:left="210"/>
      <w:jc w:val="left"/>
    </w:pPr>
    <w:rPr>
      <w:rFonts w:ascii="Times New Roman" w:hAnsi="Times New Roman" w:eastAsia="宋体" w:cs="Times New Roman"/>
      <w:smallCaps/>
      <w:szCs w:val="24"/>
    </w:rPr>
  </w:style>
  <w:style w:type="paragraph" w:styleId="1718">
    <w:name w:val="普通 (Web)"/>
    <w:basedOn w:val="851"/>
    <w:next w:val="1718"/>
    <w:link w:val="851"/>
    <w:qFormat/>
    <w:pPr>
      <w:jc w:val="left"/>
      <w:spacing w:before="100" w:beforeAutospacing="1" w:after="100" w:afterAutospacing="1"/>
      <w:widowControl/>
    </w:pPr>
    <w:rPr>
      <w:rFonts w:ascii="宋体" w:hAnsi="宋体" w:eastAsia="宋体" w:cs="Times New Roman"/>
      <w:sz w:val="24"/>
      <w:szCs w:val="24"/>
    </w:rPr>
  </w:style>
  <w:style w:type="paragraph" w:styleId="1719">
    <w:name w:val="普通正文"/>
    <w:basedOn w:val="851"/>
    <w:next w:val="1719"/>
    <w:link w:val="851"/>
    <w:qFormat/>
    <w:pPr>
      <w:ind w:firstLine="480"/>
      <w:jc w:val="left"/>
      <w:spacing w:before="120" w:after="120" w:line="360" w:lineRule="auto"/>
    </w:pPr>
    <w:rPr>
      <w:rFonts w:ascii="Arial" w:hAnsi="Arial" w:eastAsia="宋体" w:cs="Times New Roman"/>
      <w:sz w:val="24"/>
      <w:szCs w:val="24"/>
    </w:rPr>
  </w:style>
  <w:style w:type="paragraph" w:styleId="1720">
    <w:name w:val="目录 71"/>
    <w:basedOn w:val="851"/>
    <w:next w:val="851"/>
    <w:link w:val="851"/>
    <w:semiHidden/>
    <w:qFormat/>
    <w:pPr>
      <w:ind w:left="1260"/>
      <w:jc w:val="left"/>
    </w:pPr>
    <w:rPr>
      <w:rFonts w:ascii="Times New Roman" w:hAnsi="Times New Roman" w:eastAsia="宋体" w:cs="Times New Roman"/>
      <w:szCs w:val="21"/>
    </w:rPr>
  </w:style>
  <w:style w:type="paragraph" w:styleId="1721">
    <w:name w:val="目录 41"/>
    <w:basedOn w:val="851"/>
    <w:next w:val="851"/>
    <w:link w:val="851"/>
    <w:semiHidden/>
    <w:qFormat/>
    <w:pPr>
      <w:ind w:left="630"/>
      <w:jc w:val="left"/>
    </w:pPr>
    <w:rPr>
      <w:rFonts w:ascii="Times New Roman" w:hAnsi="Times New Roman" w:eastAsia="宋体" w:cs="Times New Roman"/>
      <w:szCs w:val="21"/>
    </w:rPr>
  </w:style>
  <w:style w:type="paragraph" w:styleId="1722">
    <w:name w:val="xl26"/>
    <w:basedOn w:val="851"/>
    <w:next w:val="1722"/>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23">
    <w:name w:val="xl29"/>
    <w:basedOn w:val="851"/>
    <w:next w:val="1723"/>
    <w:link w:val="851"/>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724">
    <w:name w:val="Char11"/>
    <w:basedOn w:val="851"/>
    <w:next w:val="1724"/>
    <w:link w:val="851"/>
    <w:qFormat/>
    <w:pPr>
      <w:tabs>
        <w:tab w:val="left" w:pos="360" w:leader="none"/>
      </w:tabs>
    </w:pPr>
    <w:rPr>
      <w:rFonts w:ascii="Times New Roman" w:hAnsi="Times New Roman" w:eastAsia="宋体" w:cs="Times New Roman"/>
      <w:sz w:val="28"/>
      <w:szCs w:val="30"/>
    </w:rPr>
  </w:style>
  <w:style w:type="paragraph" w:styleId="1725">
    <w:name w:val="4"/>
    <w:basedOn w:val="851"/>
    <w:next w:val="1129"/>
    <w:link w:val="851"/>
    <w:qFormat/>
    <w:pPr>
      <w:ind w:firstLine="420"/>
      <w:spacing w:line="360" w:lineRule="auto"/>
    </w:pPr>
    <w:rPr>
      <w:rFonts w:ascii="Times New Roman" w:hAnsi="Times New Roman" w:eastAsia="宋体" w:cs="Times New Roman"/>
      <w:color w:val="ff0000"/>
      <w:sz w:val="24"/>
      <w:szCs w:val="24"/>
    </w:rPr>
  </w:style>
  <w:style w:type="paragraph" w:styleId="1726">
    <w:name w:val="标题3"/>
    <w:basedOn w:val="851"/>
    <w:next w:val="851"/>
    <w:link w:val="851"/>
    <w:qFormat/>
    <w:pPr>
      <w:ind w:firstLine="624"/>
      <w:spacing w:line="590" w:lineRule="atLeast"/>
    </w:pPr>
    <w:rPr>
      <w:rFonts w:ascii="方正黑体_GBK" w:hAnsi="Times New Roman" w:eastAsia="方正黑体_GBK" w:cs="Times New Roman"/>
      <w:sz w:val="32"/>
      <w:szCs w:val="32"/>
    </w:rPr>
  </w:style>
  <w:style w:type="paragraph" w:styleId="1727">
    <w:name w:val="Char Char Char Char11"/>
    <w:basedOn w:val="1119"/>
    <w:next w:val="1727"/>
    <w:link w:val="851"/>
    <w:qFormat/>
    <w:pPr>
      <w:spacing w:line="360" w:lineRule="auto"/>
      <w:shd w:val="clear" w:color="auto" w:fill="000080"/>
    </w:pPr>
    <w:rPr>
      <w:rFonts w:ascii="Tahoma" w:hAnsi="Tahoma"/>
      <w:sz w:val="24"/>
      <w:szCs w:val="24"/>
    </w:rPr>
  </w:style>
  <w:style w:type="paragraph" w:styleId="1728">
    <w:name w:val="table_1stline"/>
    <w:basedOn w:val="851"/>
    <w:next w:val="1728"/>
    <w:link w:val="851"/>
    <w:qFormat/>
    <w:pPr>
      <w:jc w:val="left"/>
      <w:spacing w:before="120"/>
      <w:widowControl/>
    </w:pPr>
    <w:rPr>
      <w:rFonts w:ascii="Times New Roman" w:hAnsi="Times New Roman" w:eastAsia="宋体" w:cs="Times New Roman"/>
      <w:bCs/>
      <w:sz w:val="20"/>
      <w:szCs w:val="20"/>
      <w:lang w:val="de-DE" w:eastAsia="de-DE"/>
    </w:rPr>
  </w:style>
  <w:style w:type="character" w:styleId="1729">
    <w:name w:val="正文文本 Char1"/>
    <w:next w:val="1729"/>
    <w:link w:val="851"/>
    <w:uiPriority w:val="99"/>
    <w:semiHidden/>
    <w:qFormat/>
    <w:rPr>
      <w:sz w:val="21"/>
      <w:szCs w:val="21"/>
    </w:rPr>
  </w:style>
  <w:style w:type="character" w:styleId="1730">
    <w:name w:val="正文文本 3 Char1"/>
    <w:next w:val="1730"/>
    <w:link w:val="851"/>
    <w:uiPriority w:val="99"/>
    <w:semiHidden/>
    <w:qFormat/>
    <w:rPr>
      <w:sz w:val="16"/>
      <w:szCs w:val="16"/>
    </w:rPr>
  </w:style>
  <w:style w:type="character" w:styleId="1731">
    <w:name w:val="日期 Char1"/>
    <w:next w:val="1731"/>
    <w:link w:val="851"/>
    <w:uiPriority w:val="99"/>
    <w:semiHidden/>
    <w:qFormat/>
    <w:rPr>
      <w:sz w:val="21"/>
      <w:szCs w:val="21"/>
    </w:rPr>
  </w:style>
  <w:style w:type="character" w:styleId="1732">
    <w:name w:val="正文文本缩进 2 Char1"/>
    <w:next w:val="1732"/>
    <w:link w:val="851"/>
    <w:uiPriority w:val="99"/>
    <w:semiHidden/>
    <w:qFormat/>
    <w:rPr>
      <w:sz w:val="21"/>
      <w:szCs w:val="21"/>
    </w:rPr>
  </w:style>
  <w:style w:type="character" w:styleId="1733">
    <w:name w:val="批注框文本 Char1"/>
    <w:next w:val="1733"/>
    <w:link w:val="851"/>
    <w:uiPriority w:val="99"/>
    <w:semiHidden/>
    <w:qFormat/>
    <w:rPr>
      <w:sz w:val="18"/>
      <w:szCs w:val="18"/>
    </w:rPr>
  </w:style>
  <w:style w:type="character" w:styleId="1734">
    <w:name w:val="正文文本缩进 3 Char1"/>
    <w:next w:val="1734"/>
    <w:link w:val="851"/>
    <w:uiPriority w:val="99"/>
    <w:semiHidden/>
    <w:qFormat/>
    <w:rPr>
      <w:sz w:val="16"/>
      <w:szCs w:val="16"/>
    </w:rPr>
  </w:style>
  <w:style w:type="character" w:styleId="1735">
    <w:name w:val="正文文本 2 Char1"/>
    <w:next w:val="1735"/>
    <w:link w:val="851"/>
    <w:uiPriority w:val="99"/>
    <w:semiHidden/>
    <w:qFormat/>
    <w:rPr>
      <w:sz w:val="21"/>
      <w:szCs w:val="21"/>
    </w:rPr>
  </w:style>
  <w:style w:type="character" w:styleId="1736">
    <w:name w:val="正文首行缩进 Char1"/>
    <w:next w:val="1736"/>
    <w:link w:val="851"/>
    <w:uiPriority w:val="99"/>
    <w:semiHidden/>
    <w:qFormat/>
    <w:rPr>
      <w:sz w:val="21"/>
      <w:szCs w:val="21"/>
    </w:rPr>
  </w:style>
  <w:style w:type="character" w:styleId="1737">
    <w:name w:val="正文首行缩进 2 Char1"/>
    <w:next w:val="1737"/>
    <w:link w:val="851"/>
    <w:uiPriority w:val="99"/>
    <w:semiHidden/>
    <w:qFormat/>
    <w:rPr>
      <w:rFonts w:ascii="Times New Roman" w:hAnsi="Times New Roman" w:eastAsia="楷体_GB2312" w:cs="Times New Roman"/>
      <w:sz w:val="21"/>
      <w:szCs w:val="21"/>
    </w:rPr>
  </w:style>
  <w:style w:type="paragraph" w:styleId="1738">
    <w:name w:val="xl62"/>
    <w:basedOn w:val="887"/>
    <w:next w:val="886"/>
    <w:link w:val="851"/>
    <w:qFormat/>
    <w:pPr>
      <w:ind w:firstLine="1024"/>
      <w:keepLines w:val="0"/>
      <w:spacing w:before="280" w:after="280" w:line="240" w:lineRule="auto"/>
      <w:tabs>
        <w:tab w:val="clear" w:pos="879" w:leader="none"/>
      </w:tabs>
    </w:pPr>
    <w:rPr>
      <w:rFonts w:ascii="等线" w:hAnsi="等线"/>
      <w:b w:val="0"/>
      <w:bCs w:val="0"/>
      <w:spacing w:val="0"/>
      <w:sz w:val="32"/>
      <w:szCs w:val="28"/>
    </w:rPr>
  </w:style>
  <w:style w:type="character" w:styleId="1739">
    <w:name w:val="Title Char"/>
    <w:next w:val="1739"/>
    <w:link w:val="851"/>
    <w:uiPriority w:val="10"/>
    <w:qFormat/>
    <w:rPr>
      <w:sz w:val="48"/>
      <w:szCs w:val="48"/>
    </w:rPr>
  </w:style>
  <w:style w:type="character" w:styleId="1740">
    <w:name w:val="Subtitle Char"/>
    <w:next w:val="1740"/>
    <w:link w:val="851"/>
    <w:uiPriority w:val="11"/>
    <w:qFormat/>
    <w:rPr>
      <w:sz w:val="24"/>
      <w:szCs w:val="24"/>
    </w:rPr>
  </w:style>
  <w:style w:type="character" w:styleId="1741">
    <w:name w:val="Quote Char"/>
    <w:next w:val="1741"/>
    <w:link w:val="851"/>
    <w:uiPriority w:val="29"/>
    <w:qFormat/>
    <w:rPr>
      <w:i/>
    </w:rPr>
  </w:style>
  <w:style w:type="character" w:styleId="1742">
    <w:name w:val="Intense Quote Char"/>
    <w:next w:val="1742"/>
    <w:link w:val="851"/>
    <w:uiPriority w:val="30"/>
    <w:qFormat/>
    <w:rPr>
      <w:i/>
    </w:rPr>
  </w:style>
  <w:style w:type="character" w:styleId="1743">
    <w:name w:val="Footnote Text Char"/>
    <w:next w:val="1743"/>
    <w:link w:val="851"/>
    <w:uiPriority w:val="99"/>
    <w:qFormat/>
    <w:rPr>
      <w:sz w:val="18"/>
    </w:rPr>
  </w:style>
  <w:style w:type="character" w:styleId="1744">
    <w:name w:val="Endnote Text Char"/>
    <w:next w:val="1744"/>
    <w:link w:val="851"/>
    <w:uiPriority w:val="99"/>
    <w:qFormat/>
    <w:rPr>
      <w:sz w:val="20"/>
    </w:rPr>
  </w:style>
  <w:style w:type="character" w:styleId="1745">
    <w:name w:val="Heading 1 Char"/>
    <w:next w:val="1745"/>
    <w:link w:val="851"/>
    <w:uiPriority w:val="9"/>
    <w:qFormat/>
    <w:rPr>
      <w:rFonts w:ascii="Arial" w:hAnsi="Arial" w:eastAsia="Arial" w:cs="Arial"/>
      <w:sz w:val="40"/>
      <w:szCs w:val="40"/>
    </w:rPr>
  </w:style>
  <w:style w:type="character" w:styleId="1746">
    <w:name w:val="Heading 2 Char"/>
    <w:next w:val="1746"/>
    <w:link w:val="851"/>
    <w:uiPriority w:val="9"/>
    <w:qFormat/>
    <w:rPr>
      <w:rFonts w:ascii="Arial" w:hAnsi="Arial" w:eastAsia="Arial" w:cs="Arial"/>
      <w:sz w:val="34"/>
    </w:rPr>
  </w:style>
  <w:style w:type="character" w:styleId="1747">
    <w:name w:val="Heading 3 Char"/>
    <w:next w:val="1747"/>
    <w:link w:val="851"/>
    <w:uiPriority w:val="9"/>
    <w:qFormat/>
    <w:rPr>
      <w:rFonts w:ascii="Arial" w:hAnsi="Arial" w:eastAsia="Arial" w:cs="Arial"/>
      <w:sz w:val="30"/>
      <w:szCs w:val="30"/>
    </w:rPr>
  </w:style>
  <w:style w:type="character" w:styleId="1748">
    <w:name w:val="Heading 4 Char"/>
    <w:next w:val="1748"/>
    <w:link w:val="851"/>
    <w:uiPriority w:val="9"/>
    <w:qFormat/>
    <w:rPr>
      <w:rFonts w:ascii="Arial" w:hAnsi="Arial" w:eastAsia="Arial" w:cs="Arial"/>
      <w:b/>
      <w:bCs/>
      <w:sz w:val="26"/>
      <w:szCs w:val="26"/>
    </w:rPr>
  </w:style>
  <w:style w:type="character" w:styleId="1749">
    <w:name w:val="Heading 5 Char"/>
    <w:next w:val="1749"/>
    <w:link w:val="851"/>
    <w:uiPriority w:val="9"/>
    <w:qFormat/>
    <w:rPr>
      <w:rFonts w:ascii="Arial" w:hAnsi="Arial" w:eastAsia="Arial" w:cs="Arial"/>
      <w:b/>
      <w:bCs/>
      <w:sz w:val="24"/>
      <w:szCs w:val="24"/>
    </w:rPr>
  </w:style>
  <w:style w:type="character" w:styleId="1750">
    <w:name w:val="Heading 6 Char"/>
    <w:next w:val="1750"/>
    <w:link w:val="851"/>
    <w:uiPriority w:val="9"/>
    <w:qFormat/>
    <w:rPr>
      <w:rFonts w:ascii="Arial" w:hAnsi="Arial" w:eastAsia="Arial" w:cs="Arial"/>
      <w:b/>
      <w:bCs/>
      <w:sz w:val="22"/>
      <w:szCs w:val="22"/>
    </w:rPr>
  </w:style>
  <w:style w:type="character" w:styleId="1751">
    <w:name w:val="Heading 7 Char"/>
    <w:next w:val="1751"/>
    <w:link w:val="851"/>
    <w:uiPriority w:val="9"/>
    <w:qFormat/>
    <w:rPr>
      <w:rFonts w:ascii="Arial" w:hAnsi="Arial" w:eastAsia="Arial" w:cs="Arial"/>
      <w:b/>
      <w:bCs/>
      <w:i/>
      <w:iCs/>
      <w:sz w:val="22"/>
      <w:szCs w:val="22"/>
    </w:rPr>
  </w:style>
  <w:style w:type="character" w:styleId="1752">
    <w:name w:val="Heading 8 Char"/>
    <w:next w:val="1752"/>
    <w:link w:val="851"/>
    <w:uiPriority w:val="9"/>
    <w:qFormat/>
    <w:rPr>
      <w:rFonts w:ascii="Arial" w:hAnsi="Arial" w:eastAsia="Arial" w:cs="Arial"/>
      <w:i/>
      <w:iCs/>
      <w:sz w:val="22"/>
      <w:szCs w:val="22"/>
    </w:rPr>
  </w:style>
  <w:style w:type="character" w:styleId="1753">
    <w:name w:val="Heading 9 Char"/>
    <w:next w:val="1753"/>
    <w:link w:val="851"/>
    <w:uiPriority w:val="9"/>
    <w:qFormat/>
    <w:rPr>
      <w:rFonts w:ascii="Arial" w:hAnsi="Arial" w:eastAsia="Arial" w:cs="Arial"/>
      <w:i/>
      <w:iCs/>
      <w:sz w:val="21"/>
      <w:szCs w:val="21"/>
    </w:rPr>
  </w:style>
  <w:style w:type="character" w:styleId="1754">
    <w:name w:val="Header Char"/>
    <w:next w:val="1754"/>
    <w:link w:val="851"/>
    <w:uiPriority w:val="99"/>
    <w:qFormat/>
  </w:style>
  <w:style w:type="character" w:styleId="1755">
    <w:name w:val="Caption Char"/>
    <w:next w:val="1755"/>
    <w:link w:val="851"/>
    <w:uiPriority w:val="99"/>
    <w:qFormat/>
  </w:style>
  <w:style w:type="paragraph" w:styleId="1756">
    <w:name w:val="Char Char Char Char Char Char Char Char1"/>
    <w:basedOn w:val="851"/>
    <w:next w:val="1756"/>
    <w:link w:val="851"/>
    <w:qFormat/>
    <w:pPr>
      <w:jc w:val="left"/>
      <w:spacing w:after="160" w:line="240" w:lineRule="exact"/>
      <w:widowControl/>
    </w:pPr>
    <w:rPr>
      <w:rFonts w:ascii="Verdana" w:hAnsi="Verdana" w:eastAsia="宋体" w:cs="Times New Roman"/>
      <w:sz w:val="20"/>
      <w:szCs w:val="20"/>
      <w:lang w:eastAsia="en-US"/>
    </w:rPr>
  </w:style>
  <w:style w:type="paragraph" w:styleId="1757">
    <w:name w:val="List Paragraph1"/>
    <w:basedOn w:val="851"/>
    <w:next w:val="1757"/>
    <w:link w:val="851"/>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758">
    <w:name w:val="列出段落3"/>
    <w:basedOn w:val="851"/>
    <w:next w:val="1758"/>
    <w:link w:val="851"/>
    <w:qFormat/>
    <w:pPr>
      <w:ind w:firstLine="420"/>
    </w:pPr>
    <w:rPr>
      <w:rFonts w:ascii="Times New Roman" w:hAnsi="Times New Roman" w:eastAsia="宋体" w:cs="Times New Roman"/>
      <w:szCs w:val="21"/>
    </w:rPr>
  </w:style>
  <w:style w:type="paragraph" w:styleId="1759">
    <w:name w:val="标题6"/>
    <w:basedOn w:val="964"/>
    <w:next w:val="851"/>
    <w:link w:val="851"/>
    <w:qFormat/>
    <w:pPr>
      <w:ind w:left="992" w:hanging="992"/>
      <w:jc w:val="both"/>
      <w:keepLines w:val="0"/>
      <w:keepNext w:val="0"/>
      <w:spacing w:before="120" w:after="120" w:line="276" w:lineRule="auto"/>
      <w:tabs>
        <w:tab w:val="clear" w:pos="3714" w:leader="none"/>
      </w:tabs>
    </w:pPr>
    <w:rPr>
      <w:rFonts w:ascii="方正仿宋_GBK" w:hAnsi="宋体" w:eastAsia="方正仿宋_GBK" w:cs="Arial"/>
      <w:bCs w:val="0"/>
      <w:szCs w:val="28"/>
      <w:lang w:val="zh-CN"/>
    </w:rPr>
  </w:style>
  <w:style w:type="paragraph" w:styleId="1760">
    <w:name w:val="修订4"/>
    <w:next w:val="1760"/>
    <w:link w:val="851"/>
    <w:uiPriority w:val="99"/>
    <w:unhideWhenUsed/>
    <w:qFormat/>
    <w:rPr>
      <w:rFonts w:ascii="宋体" w:hAnsi="宋体" w:cs="Arial"/>
      <w:sz w:val="24"/>
      <w:szCs w:val="24"/>
      <w:lang w:val="en-US" w:eastAsia="zh-CN" w:bidi="ar-SA"/>
    </w:rPr>
  </w:style>
  <w:style w:type="table" w:styleId="1761">
    <w:name w:val="Table Normal1"/>
    <w:next w:val="1761"/>
    <w:link w:val="851"/>
    <w:uiPriority w:val="2"/>
    <w:unhideWhenUsed/>
    <w:qFormat/>
    <w:rPr>
      <w:lang w:val="en-US" w:eastAsia="zh-CN" w:bidi="ar-SA"/>
    </w:rPr>
    <w:tblPr/>
  </w:style>
  <w:style w:type="paragraph" w:styleId="1762">
    <w:name w:val="7内置样式"/>
    <w:basedOn w:val="966"/>
    <w:next w:val="1762"/>
    <w:link w:val="851"/>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763">
    <w:name w:val="xl75"/>
    <w:basedOn w:val="851"/>
    <w:next w:val="1763"/>
    <w:link w:val="8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64">
    <w:name w:val="xl76"/>
    <w:basedOn w:val="851"/>
    <w:next w:val="1764"/>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65">
    <w:name w:val="xl77"/>
    <w:basedOn w:val="851"/>
    <w:next w:val="1765"/>
    <w:link w:val="8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66">
    <w:name w:val="xl78"/>
    <w:basedOn w:val="851"/>
    <w:next w:val="1766"/>
    <w:link w:val="8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67">
    <w:name w:val="xl79"/>
    <w:basedOn w:val="851"/>
    <w:next w:val="1767"/>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68">
    <w:name w:val="xl80"/>
    <w:basedOn w:val="851"/>
    <w:next w:val="1768"/>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69">
    <w:name w:val="xl81"/>
    <w:basedOn w:val="851"/>
    <w:next w:val="1769"/>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0">
    <w:name w:val="xl82"/>
    <w:basedOn w:val="851"/>
    <w:next w:val="1770"/>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1">
    <w:name w:val="xl83"/>
    <w:basedOn w:val="851"/>
    <w:next w:val="1771"/>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2">
    <w:name w:val="xl84"/>
    <w:basedOn w:val="851"/>
    <w:next w:val="1772"/>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3">
    <w:name w:val="xl85"/>
    <w:basedOn w:val="851"/>
    <w:next w:val="1773"/>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4">
    <w:name w:val="xl86"/>
    <w:basedOn w:val="851"/>
    <w:next w:val="1774"/>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5">
    <w:name w:val="xl87"/>
    <w:basedOn w:val="851"/>
    <w:next w:val="1775"/>
    <w:link w:val="851"/>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776">
    <w:name w:val="xl88"/>
    <w:basedOn w:val="851"/>
    <w:next w:val="1776"/>
    <w:link w:val="851"/>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sz w:val="24"/>
      <w:szCs w:val="24"/>
    </w:rPr>
  </w:style>
  <w:style w:type="paragraph" w:styleId="1777">
    <w:name w:val="xl89"/>
    <w:basedOn w:val="851"/>
    <w:next w:val="1777"/>
    <w:link w:val="851"/>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778">
    <w:name w:val="xl90"/>
    <w:basedOn w:val="851"/>
    <w:next w:val="1778"/>
    <w:link w:val="851"/>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4"/>
      <w:szCs w:val="24"/>
    </w:rPr>
  </w:style>
  <w:style w:type="paragraph" w:styleId="1779">
    <w:name w:val="xl91"/>
    <w:basedOn w:val="851"/>
    <w:next w:val="1779"/>
    <w:link w:val="851"/>
    <w:qFormat/>
    <w:pPr>
      <w:jc w:val="center"/>
      <w:spacing w:before="100" w:beforeAutospacing="1" w:after="100" w:afterAutospacing="1"/>
      <w:widowControl/>
      <w:pBdr>
        <w:right w:val="single" w:color="000000" w:sz="4" w:space="0"/>
      </w:pBdr>
    </w:pPr>
    <w:rPr>
      <w:rFonts w:ascii="宋体" w:hAnsi="宋体" w:eastAsia="宋体" w:cs="宋体"/>
      <w:sz w:val="24"/>
      <w:szCs w:val="24"/>
    </w:rPr>
  </w:style>
  <w:style w:type="paragraph" w:styleId="1780">
    <w:name w:val="xl92"/>
    <w:basedOn w:val="851"/>
    <w:next w:val="1780"/>
    <w:link w:val="851"/>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sz w:val="24"/>
      <w:szCs w:val="24"/>
    </w:rPr>
  </w:style>
  <w:style w:type="paragraph" w:styleId="1781">
    <w:name w:val="xl93"/>
    <w:basedOn w:val="851"/>
    <w:next w:val="1781"/>
    <w:link w:val="85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782">
    <w:name w:val="xl94"/>
    <w:basedOn w:val="851"/>
    <w:next w:val="1782"/>
    <w:link w:val="851"/>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783">
    <w:name w:val="xl95"/>
    <w:basedOn w:val="851"/>
    <w:next w:val="1783"/>
    <w:link w:val="85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784">
    <w:name w:val="xl96"/>
    <w:basedOn w:val="851"/>
    <w:next w:val="1784"/>
    <w:link w:val="851"/>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cs="宋体"/>
      <w:sz w:val="20"/>
      <w:szCs w:val="20"/>
    </w:rPr>
  </w:style>
  <w:style w:type="paragraph" w:styleId="1785">
    <w:name w:val="xl97"/>
    <w:basedOn w:val="851"/>
    <w:next w:val="1785"/>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86">
    <w:name w:val="xl98"/>
    <w:basedOn w:val="851"/>
    <w:next w:val="1786"/>
    <w:link w:val="851"/>
    <w:qFormat/>
    <w:pPr>
      <w:jc w:val="center"/>
      <w:spacing w:before="100" w:beforeAutospacing="1" w:after="100" w:afterAutospacing="1"/>
      <w:widowControl/>
    </w:pPr>
    <w:rPr>
      <w:rFonts w:ascii="宋体" w:hAnsi="宋体" w:eastAsia="宋体" w:cs="宋体"/>
      <w:sz w:val="20"/>
      <w:szCs w:val="20"/>
    </w:rPr>
  </w:style>
  <w:style w:type="paragraph" w:styleId="1787">
    <w:name w:val="xl99"/>
    <w:basedOn w:val="851"/>
    <w:next w:val="1787"/>
    <w:link w:val="85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788">
    <w:name w:val="xl100"/>
    <w:basedOn w:val="851"/>
    <w:next w:val="1788"/>
    <w:link w:val="85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789">
    <w:name w:val="xl101"/>
    <w:basedOn w:val="851"/>
    <w:next w:val="1789"/>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90">
    <w:name w:val="xl102"/>
    <w:basedOn w:val="851"/>
    <w:next w:val="1790"/>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791">
    <w:name w:val="xl103"/>
    <w:basedOn w:val="851"/>
    <w:next w:val="1791"/>
    <w:link w:val="851"/>
    <w:qFormat/>
    <w:pPr>
      <w:jc w:val="left"/>
      <w:spacing w:before="100" w:beforeAutospacing="1" w:after="100" w:afterAutospacing="1"/>
      <w:widowControl/>
    </w:pPr>
    <w:rPr>
      <w:rFonts w:ascii="宋体" w:hAnsi="宋体" w:eastAsia="宋体" w:cs="宋体"/>
      <w:sz w:val="20"/>
      <w:szCs w:val="20"/>
    </w:rPr>
  </w:style>
  <w:style w:type="paragraph" w:styleId="1792">
    <w:name w:val="xl104"/>
    <w:basedOn w:val="851"/>
    <w:next w:val="1792"/>
    <w:link w:val="85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793">
    <w:name w:val="xl105"/>
    <w:basedOn w:val="851"/>
    <w:next w:val="1793"/>
    <w:link w:val="851"/>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szCs w:val="24"/>
    </w:rPr>
  </w:style>
  <w:style w:type="paragraph" w:styleId="1794">
    <w:name w:val="xl106"/>
    <w:basedOn w:val="851"/>
    <w:next w:val="1794"/>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795">
    <w:name w:val="xl107"/>
    <w:basedOn w:val="851"/>
    <w:next w:val="1795"/>
    <w:link w:val="85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796">
    <w:name w:val="xl108"/>
    <w:basedOn w:val="851"/>
    <w:next w:val="1796"/>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97">
    <w:name w:val="xl109"/>
    <w:basedOn w:val="851"/>
    <w:next w:val="1797"/>
    <w:link w:val="851"/>
    <w:qFormat/>
    <w:pPr>
      <w:jc w:val="left"/>
      <w:spacing w:before="100" w:beforeAutospacing="1" w:after="100" w:afterAutospacing="1"/>
      <w:widowControl/>
      <w:pBdr>
        <w:left w:val="single" w:color="000000" w:sz="4" w:space="0"/>
      </w:pBdr>
    </w:pPr>
    <w:rPr>
      <w:rFonts w:ascii="宋体" w:hAnsi="宋体" w:eastAsia="宋体" w:cs="宋体"/>
      <w:sz w:val="20"/>
      <w:szCs w:val="20"/>
    </w:rPr>
  </w:style>
  <w:style w:type="paragraph" w:styleId="1798">
    <w:name w:val="xl110"/>
    <w:basedOn w:val="851"/>
    <w:next w:val="1798"/>
    <w:link w:val="851"/>
    <w:qFormat/>
    <w:pPr>
      <w:jc w:val="left"/>
      <w:spacing w:before="100" w:beforeAutospacing="1" w:after="100" w:afterAutospacing="1"/>
      <w:widowControl/>
    </w:pPr>
    <w:rPr>
      <w:rFonts w:ascii="宋体" w:hAnsi="宋体" w:eastAsia="宋体" w:cs="宋体"/>
      <w:sz w:val="20"/>
      <w:szCs w:val="20"/>
    </w:rPr>
  </w:style>
  <w:style w:type="paragraph" w:styleId="1799">
    <w:name w:val="xl111"/>
    <w:basedOn w:val="851"/>
    <w:next w:val="1799"/>
    <w:link w:val="851"/>
    <w:qFormat/>
    <w:pPr>
      <w:jc w:val="center"/>
      <w:spacing w:before="100" w:beforeAutospacing="1" w:after="100" w:afterAutospacing="1"/>
      <w:widowControl/>
      <w:pBdr>
        <w:left w:val="single" w:color="000000" w:sz="8" w:space="0"/>
        <w:right w:val="single" w:color="000000" w:sz="4" w:space="0"/>
      </w:pBdr>
    </w:pPr>
    <w:rPr>
      <w:rFonts w:ascii="宋体" w:hAnsi="宋体" w:eastAsia="宋体" w:cs="宋体"/>
      <w:sz w:val="20"/>
      <w:szCs w:val="20"/>
    </w:rPr>
  </w:style>
  <w:style w:type="paragraph" w:styleId="1800">
    <w:name w:val="xl112"/>
    <w:basedOn w:val="851"/>
    <w:next w:val="1800"/>
    <w:link w:val="851"/>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rPr>
  </w:style>
  <w:style w:type="paragraph" w:styleId="1801">
    <w:name w:val="xl113"/>
    <w:basedOn w:val="851"/>
    <w:next w:val="1801"/>
    <w:link w:val="85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802">
    <w:name w:val="xl114"/>
    <w:basedOn w:val="851"/>
    <w:next w:val="1802"/>
    <w:link w:val="851"/>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rPr>
  </w:style>
  <w:style w:type="paragraph" w:styleId="1803">
    <w:name w:val="xl115"/>
    <w:basedOn w:val="851"/>
    <w:next w:val="1803"/>
    <w:link w:val="85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804">
    <w:name w:val="xl116"/>
    <w:basedOn w:val="851"/>
    <w:next w:val="1804"/>
    <w:link w:val="8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0"/>
      <w:szCs w:val="20"/>
    </w:rPr>
  </w:style>
  <w:style w:type="paragraph" w:styleId="1805">
    <w:name w:val="xl117"/>
    <w:basedOn w:val="851"/>
    <w:next w:val="1805"/>
    <w:link w:val="85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806">
    <w:name w:val="xl118"/>
    <w:basedOn w:val="851"/>
    <w:next w:val="1806"/>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807">
    <w:name w:val="xl119"/>
    <w:basedOn w:val="851"/>
    <w:next w:val="1807"/>
    <w:link w:val="851"/>
    <w:qFormat/>
    <w:pPr>
      <w:jc w:val="left"/>
      <w:spacing w:before="100" w:beforeAutospacing="1" w:after="100" w:afterAutospacing="1"/>
      <w:widowControl/>
      <w:pBdr>
        <w:left w:val="single" w:color="000000" w:sz="4" w:space="0"/>
      </w:pBdr>
    </w:pPr>
    <w:rPr>
      <w:rFonts w:ascii="宋体" w:hAnsi="宋体" w:eastAsia="宋体" w:cs="宋体"/>
      <w:b/>
      <w:bCs/>
      <w:sz w:val="24"/>
      <w:szCs w:val="24"/>
    </w:rPr>
  </w:style>
  <w:style w:type="paragraph" w:styleId="1808">
    <w:name w:val="xl120"/>
    <w:basedOn w:val="851"/>
    <w:next w:val="1808"/>
    <w:link w:val="851"/>
    <w:qFormat/>
    <w:pPr>
      <w:jc w:val="left"/>
      <w:spacing w:before="100" w:beforeAutospacing="1" w:after="100" w:afterAutospacing="1"/>
      <w:widowControl/>
    </w:pPr>
    <w:rPr>
      <w:rFonts w:ascii="宋体" w:hAnsi="宋体" w:eastAsia="宋体" w:cs="宋体"/>
      <w:b/>
      <w:bCs/>
      <w:sz w:val="24"/>
      <w:szCs w:val="24"/>
    </w:rPr>
  </w:style>
  <w:style w:type="paragraph" w:styleId="1809">
    <w:name w:val="xl121"/>
    <w:basedOn w:val="851"/>
    <w:next w:val="1809"/>
    <w:link w:val="85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0"/>
      <w:szCs w:val="20"/>
    </w:rPr>
  </w:style>
  <w:style w:type="paragraph" w:styleId="1810">
    <w:name w:val="xl122"/>
    <w:basedOn w:val="851"/>
    <w:next w:val="1810"/>
    <w:link w:val="8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811">
    <w:name w:val="xl123"/>
    <w:basedOn w:val="851"/>
    <w:next w:val="1811"/>
    <w:link w:val="85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812">
    <w:name w:val="xl124"/>
    <w:basedOn w:val="851"/>
    <w:next w:val="1812"/>
    <w:link w:val="85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813">
    <w:name w:val="xl125"/>
    <w:basedOn w:val="851"/>
    <w:next w:val="1813"/>
    <w:link w:val="8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0"/>
      <w:szCs w:val="20"/>
    </w:rPr>
  </w:style>
  <w:style w:type="paragraph" w:styleId="1814">
    <w:name w:val="xl126"/>
    <w:basedOn w:val="851"/>
    <w:next w:val="1814"/>
    <w:link w:val="85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815">
    <w:name w:val="xl127"/>
    <w:basedOn w:val="851"/>
    <w:next w:val="1815"/>
    <w:link w:val="8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816">
    <w:name w:val="xl128"/>
    <w:basedOn w:val="851"/>
    <w:next w:val="1816"/>
    <w:link w:val="851"/>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817">
    <w:name w:val="xl129"/>
    <w:basedOn w:val="851"/>
    <w:next w:val="1817"/>
    <w:link w:val="85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818">
    <w:name w:val="xl130"/>
    <w:basedOn w:val="851"/>
    <w:next w:val="1818"/>
    <w:link w:val="851"/>
    <w:qFormat/>
    <w:pPr>
      <w:jc w:val="center"/>
      <w:spacing w:before="100" w:beforeAutospacing="1" w:after="100" w:afterAutospacing="1"/>
      <w:widowControl/>
      <w:pBdr>
        <w:left w:val="single" w:color="000000" w:sz="4" w:space="0"/>
      </w:pBdr>
    </w:pPr>
    <w:rPr>
      <w:rFonts w:ascii="宋体" w:hAnsi="宋体" w:eastAsia="宋体" w:cs="宋体"/>
      <w:b/>
      <w:bCs/>
      <w:sz w:val="24"/>
      <w:szCs w:val="24"/>
    </w:rPr>
  </w:style>
  <w:style w:type="paragraph" w:styleId="1819">
    <w:name w:val="xl131"/>
    <w:basedOn w:val="851"/>
    <w:next w:val="1819"/>
    <w:link w:val="851"/>
    <w:qFormat/>
    <w:pPr>
      <w:jc w:val="center"/>
      <w:spacing w:before="100" w:beforeAutospacing="1" w:after="100" w:afterAutospacing="1"/>
      <w:widowControl/>
    </w:pPr>
    <w:rPr>
      <w:rFonts w:ascii="宋体" w:hAnsi="宋体" w:eastAsia="宋体" w:cs="宋体"/>
      <w:b/>
      <w:bCs/>
      <w:sz w:val="24"/>
      <w:szCs w:val="24"/>
    </w:rPr>
  </w:style>
  <w:style w:type="paragraph" w:styleId="1820">
    <w:name w:val="xl132"/>
    <w:basedOn w:val="851"/>
    <w:next w:val="1820"/>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821">
    <w:name w:val="xl133"/>
    <w:basedOn w:val="851"/>
    <w:next w:val="1821"/>
    <w:link w:val="851"/>
    <w:qFormat/>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0"/>
      <w:szCs w:val="20"/>
    </w:rPr>
  </w:style>
  <w:style w:type="paragraph" w:styleId="1822">
    <w:name w:val="王-正文"/>
    <w:basedOn w:val="851"/>
    <w:next w:val="1822"/>
    <w:link w:val="1823"/>
    <w:qFormat/>
    <w:pPr>
      <w:ind w:firstLine="200"/>
      <w:spacing w:before="50" w:after="50" w:line="360" w:lineRule="auto"/>
    </w:pPr>
    <w:rPr>
      <w:rFonts w:ascii="Times New Roman" w:hAnsi="Times New Roman" w:eastAsia="宋体"/>
      <w:color w:val="000000"/>
      <w:sz w:val="24"/>
      <w:szCs w:val="24"/>
      <w:lang w:val="en-GB"/>
    </w:rPr>
  </w:style>
  <w:style w:type="character" w:styleId="1823">
    <w:name w:val="王-正文 Char"/>
    <w:next w:val="1823"/>
    <w:link w:val="1822"/>
    <w:qFormat/>
    <w:rPr>
      <w:rFonts w:ascii="Times New Roman" w:hAnsi="Times New Roman" w:eastAsia="宋体"/>
      <w:color w:val="000000"/>
      <w:sz w:val="24"/>
      <w:szCs w:val="24"/>
      <w:lang w:val="en-GB"/>
    </w:rPr>
  </w:style>
  <w:style w:type="paragraph" w:styleId="1824">
    <w:name w:val="一级项目符号"/>
    <w:basedOn w:val="1825"/>
    <w:next w:val="1344"/>
    <w:link w:val="851"/>
    <w:qFormat/>
    <w:pPr>
      <w:numPr>
        <w:numId w:val="8"/>
      </w:numPr>
      <w:ind w:left="720" w:right="180" w:hanging="240"/>
      <w:spacing w:line="360" w:lineRule="auto"/>
    </w:pPr>
    <w:rPr>
      <w:rFonts w:ascii="宋体" w:hAnsi="宋体" w:eastAsia="宋体"/>
      <w:sz w:val="24"/>
      <w:szCs w:val="22"/>
      <w:lang w:val="en-GB"/>
    </w:rPr>
  </w:style>
  <w:style w:type="paragraph" w:styleId="1825">
    <w:name w:val="一级列表编号"/>
    <w:basedOn w:val="851"/>
    <w:next w:val="1344"/>
    <w:link w:val="851"/>
    <w:qFormat/>
    <w:pPr>
      <w:numPr>
        <w:ilvl w:val="0"/>
        <w:numId w:val="7"/>
      </w:numPr>
      <w:ind w:left="300" w:hanging="100"/>
    </w:pPr>
    <w:rPr>
      <w:szCs w:val="20"/>
    </w:rPr>
  </w:style>
  <w:style w:type="paragraph" w:styleId="1826">
    <w:name w:val="中标题_标题3基准样式"/>
    <w:basedOn w:val="851"/>
    <w:next w:val="1826"/>
    <w:link w:val="851"/>
    <w:qFormat/>
    <w:pPr>
      <w:ind w:left="3" w:hanging="360"/>
      <w:spacing w:before="50" w:after="50"/>
    </w:pPr>
    <w:rPr>
      <w:b/>
      <w:sz w:val="24"/>
    </w:rPr>
  </w:style>
  <w:style w:type="character" w:styleId="1827">
    <w:name w:val="正文2 Char"/>
    <w:next w:val="1827"/>
    <w:link w:val="851"/>
    <w:qFormat/>
    <w:rPr>
      <w:rFonts w:ascii="Times New Roman" w:hAnsi="Times New Roman" w:eastAsia="宋体"/>
      <w:sz w:val="24"/>
      <w:szCs w:val="24"/>
    </w:rPr>
  </w:style>
  <w:style w:type="paragraph" w:styleId="1828">
    <w:name w:val="样式 楷体_GB2312 三号 黑色 首行缩进:  0.35 厘米 字距调整四号 行距: 固定值 28 磅"/>
    <w:basedOn w:val="851"/>
    <w:next w:val="1828"/>
    <w:link w:val="851"/>
    <w:uiPriority w:val="99"/>
    <w:qFormat/>
    <w:pPr>
      <w:spacing w:line="560" w:lineRule="exact"/>
    </w:pPr>
    <w:rPr>
      <w:rFonts w:ascii="Yu Mincho Light" w:hAnsi="Yu Mincho Light" w:eastAsia="Yu Mincho Light"/>
      <w:color w:val="000000"/>
      <w:sz w:val="24"/>
      <w:szCs w:val="20"/>
    </w:rPr>
  </w:style>
  <w:style w:type="character" w:styleId="1829">
    <w:name w:val="*正文 Char"/>
    <w:next w:val="1829"/>
    <w:link w:val="851"/>
    <w:qFormat/>
    <w:rPr>
      <w:rFonts w:ascii="Times New Roman" w:hAnsi="Times New Roman" w:eastAsia="宋体" w:cs="Times New Roman"/>
      <w:sz w:val="24"/>
      <w:szCs w:val="24"/>
      <w:lang w:val="zh-CN"/>
    </w:rPr>
  </w:style>
  <w:style w:type="paragraph" w:styleId="1830">
    <w:name w:val="编号，小四"/>
    <w:basedOn w:val="851"/>
    <w:next w:val="1830"/>
    <w:link w:val="851"/>
    <w:qFormat/>
    <w:pPr>
      <w:numPr>
        <w:ilvl w:val="0"/>
        <w:numId w:val="9"/>
      </w:numPr>
      <w:spacing w:line="360" w:lineRule="auto"/>
    </w:pPr>
    <w:rPr>
      <w:rFonts w:ascii="Arial" w:hAnsi="Arial" w:eastAsia="宋体" w:cs="宋体"/>
      <w:sz w:val="24"/>
      <w:szCs w:val="20"/>
    </w:rPr>
  </w:style>
  <w:style w:type="paragraph" w:styleId="1831">
    <w:name w:val="样式 标题 5 + 段前: 0.5 行"/>
    <w:basedOn w:val="851"/>
    <w:next w:val="1831"/>
    <w:link w:val="851"/>
    <w:qFormat/>
    <w:pPr>
      <w:numPr>
        <w:ilvl w:val="4"/>
        <w:numId w:val="10"/>
      </w:numPr>
      <w:ind w:left="0" w:firstLine="0"/>
      <w:jc w:val="left"/>
      <w:keepLines/>
      <w:keepNext/>
      <w:spacing w:before="163" w:line="360" w:lineRule="auto"/>
      <w:outlineLvl w:val="4"/>
    </w:pPr>
    <w:rPr>
      <w:rFonts w:ascii="Arial" w:hAnsi="Arial" w:eastAsia="黑体" w:cs="宋体"/>
      <w:sz w:val="28"/>
      <w:szCs w:val="20"/>
    </w:rPr>
  </w:style>
  <w:style w:type="paragraph" w:styleId="1832">
    <w:name w:val="样式 首行缩进:  0 字符"/>
    <w:basedOn w:val="851"/>
    <w:next w:val="1832"/>
    <w:link w:val="851"/>
    <w:qFormat/>
    <w:pPr>
      <w:ind w:firstLine="200"/>
      <w:spacing w:line="360" w:lineRule="auto"/>
    </w:pPr>
    <w:rPr>
      <w:rFonts w:ascii="Arial" w:hAnsi="Arial" w:eastAsia="宋体" w:cs="宋体"/>
      <w:sz w:val="24"/>
      <w:szCs w:val="20"/>
    </w:rPr>
  </w:style>
  <w:style w:type="paragraph" w:styleId="1833">
    <w:name w:val="表格表头"/>
    <w:basedOn w:val="851"/>
    <w:next w:val="1833"/>
    <w:link w:val="851"/>
    <w:qFormat/>
    <w:pPr>
      <w:jc w:val="center"/>
      <w:spacing w:line="360" w:lineRule="auto"/>
      <w:outlineLvl w:val="0"/>
    </w:pPr>
    <w:rPr>
      <w:rFonts w:ascii="宋体" w:hAnsi="宋体" w:eastAsia="黑体" w:cs="宋体"/>
      <w:sz w:val="24"/>
      <w:szCs w:val="21"/>
    </w:rPr>
  </w:style>
  <w:style w:type="paragraph" w:styleId="1834">
    <w:name w:val="表1"/>
    <w:basedOn w:val="851"/>
    <w:next w:val="1834"/>
    <w:link w:val="851"/>
    <w:qFormat/>
    <w:pPr>
      <w:numPr>
        <w:ilvl w:val="0"/>
        <w:numId w:val="11"/>
      </w:numPr>
      <w:ind w:left="0" w:firstLine="0"/>
      <w:jc w:val="center"/>
      <w:spacing w:line="360" w:lineRule="auto"/>
    </w:pPr>
    <w:rPr>
      <w:rFonts w:ascii="Arial" w:hAnsi="Arial" w:eastAsia="宋体" w:cs="宋体"/>
      <w:szCs w:val="20"/>
    </w:rPr>
  </w:style>
  <w:style w:type="paragraph" w:styleId="1835">
    <w:name w:val="CM51"/>
    <w:basedOn w:val="851"/>
    <w:next w:val="1149"/>
    <w:link w:val="851"/>
    <w:qFormat/>
    <w:pPr>
      <w:jc w:val="left"/>
      <w:spacing w:after="103"/>
    </w:pPr>
    <w:rPr>
      <w:rFonts w:ascii="黑体" w:hAnsi="Calibri" w:eastAsia="黑体" w:cs="Times New Roman"/>
      <w:sz w:val="24"/>
      <w:szCs w:val="24"/>
    </w:rPr>
  </w:style>
  <w:style w:type="paragraph" w:styleId="1836">
    <w:name w:val="标题7"/>
    <w:basedOn w:val="851"/>
    <w:next w:val="851"/>
    <w:link w:val="851"/>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837">
    <w:name w:val="标题8"/>
    <w:basedOn w:val="851"/>
    <w:next w:val="851"/>
    <w:link w:val="851"/>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838">
    <w:name w:val="标题9"/>
    <w:basedOn w:val="851"/>
    <w:next w:val="851"/>
    <w:link w:val="851"/>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839">
    <w:name w:val="正文黑体"/>
    <w:basedOn w:val="1832"/>
    <w:next w:val="1839"/>
    <w:link w:val="851"/>
    <w:qFormat/>
    <w:pPr>
      <w:ind w:firstLine="480"/>
    </w:pPr>
    <w:rPr>
      <w:rFonts w:ascii="黑体" w:hAnsi="黑体" w:eastAsia="黑体"/>
    </w:rPr>
  </w:style>
  <w:style w:type="paragraph" w:styleId="1840">
    <w:name w:val="样式 标题9 +"/>
    <w:basedOn w:val="1838"/>
    <w:next w:val="1840"/>
    <w:link w:val="851"/>
    <w:qFormat/>
    <w:rPr>
      <w:rFonts w:eastAsia="黑体"/>
    </w:rPr>
  </w:style>
  <w:style w:type="paragraph" w:styleId="1841">
    <w:name w:val="标准正文"/>
    <w:basedOn w:val="851"/>
    <w:next w:val="1841"/>
    <w:link w:val="1842"/>
    <w:qFormat/>
    <w:pPr>
      <w:ind w:firstLine="480"/>
      <w:spacing w:before="156" w:after="156" w:line="360" w:lineRule="auto"/>
    </w:pPr>
    <w:rPr>
      <w:rFonts w:ascii="Times New Roman" w:hAnsi="Times New Roman" w:eastAsia="宋体" w:cs="宋体"/>
      <w:sz w:val="24"/>
      <w:szCs w:val="20"/>
    </w:rPr>
  </w:style>
  <w:style w:type="character" w:styleId="1842">
    <w:name w:val="标准正文 Char"/>
    <w:next w:val="1842"/>
    <w:link w:val="1841"/>
    <w:qFormat/>
    <w:rPr>
      <w:rFonts w:ascii="Times New Roman" w:hAnsi="Times New Roman" w:eastAsia="宋体" w:cs="宋体"/>
      <w:sz w:val="24"/>
    </w:rPr>
  </w:style>
  <w:style w:type="character" w:styleId="1843">
    <w:name w:val="bjh-p"/>
    <w:next w:val="1843"/>
    <w:link w:val="851"/>
    <w:qFormat/>
  </w:style>
  <w:style w:type="paragraph" w:styleId="1844">
    <w:name w:val="表格文本"/>
    <w:basedOn w:val="851"/>
    <w:next w:val="1844"/>
    <w:link w:val="1845"/>
    <w:qFormat/>
    <w:pPr>
      <w:spacing w:line="240" w:lineRule="atLeast"/>
    </w:pPr>
    <w:rPr>
      <w:rFonts w:ascii="微软雅黑" w:hAnsi="微软雅黑" w:eastAsia="宋体" w:cs="Times New Roman"/>
      <w:szCs w:val="24"/>
    </w:rPr>
  </w:style>
  <w:style w:type="character" w:styleId="1845">
    <w:name w:val="表格文本 Char"/>
    <w:next w:val="1845"/>
    <w:link w:val="1844"/>
    <w:qFormat/>
    <w:rPr>
      <w:rFonts w:ascii="微软雅黑" w:hAnsi="微软雅黑" w:eastAsia="宋体" w:cs="Times New Roman"/>
      <w:sz w:val="21"/>
      <w:szCs w:val="24"/>
    </w:rPr>
  </w:style>
  <w:style w:type="paragraph" w:styleId="1846">
    <w:name w:val="白皮书正文"/>
    <w:basedOn w:val="851"/>
    <w:next w:val="1846"/>
    <w:link w:val="1847"/>
    <w:qFormat/>
    <w:pPr>
      <w:ind w:firstLine="200"/>
      <w:spacing w:line="360" w:lineRule="auto"/>
    </w:pPr>
    <w:rPr>
      <w:rFonts w:ascii="宋体" w:hAnsi="宋体" w:eastAsia="宋体" w:cs="Times New Roman"/>
      <w:sz w:val="24"/>
      <w:szCs w:val="24"/>
    </w:rPr>
  </w:style>
  <w:style w:type="character" w:styleId="1847">
    <w:name w:val="白皮书正文 字符"/>
    <w:next w:val="1847"/>
    <w:link w:val="1846"/>
    <w:qFormat/>
    <w:rPr>
      <w:rFonts w:ascii="宋体" w:hAnsi="宋体" w:eastAsia="宋体" w:cs="Times New Roman"/>
      <w:sz w:val="24"/>
      <w:szCs w:val="24"/>
    </w:rPr>
  </w:style>
  <w:style w:type="character" w:styleId="1848">
    <w:name w:val="fontstyle01"/>
    <w:next w:val="1848"/>
    <w:link w:val="851"/>
    <w:qFormat/>
    <w:rPr>
      <w:color w:val="242021"/>
      <w:sz w:val="20"/>
      <w:szCs w:val="20"/>
    </w:rPr>
  </w:style>
  <w:style w:type="character" w:styleId="1849">
    <w:name w:val="link"/>
    <w:next w:val="1849"/>
    <w:link w:val="851"/>
    <w:qFormat/>
  </w:style>
  <w:style w:type="character" w:styleId="1850">
    <w:name w:val="identification-tag"/>
    <w:next w:val="1850"/>
    <w:link w:val="851"/>
    <w:qFormat/>
  </w:style>
  <w:style w:type="character" w:styleId="1851">
    <w:name w:val="fontstyle21"/>
    <w:next w:val="1851"/>
    <w:link w:val="851"/>
    <w:qFormat/>
    <w:rPr>
      <w:rFonts w:ascii="DengXian-Regular" w:hAnsi="DengXian-Regular"/>
      <w:color w:val="000000"/>
      <w:sz w:val="18"/>
      <w:szCs w:val="18"/>
    </w:rPr>
  </w:style>
  <w:style w:type="paragraph" w:styleId="1852">
    <w:name w:val="line"/>
    <w:basedOn w:val="851"/>
    <w:next w:val="1852"/>
    <w:link w:val="851"/>
    <w:qFormat/>
    <w:pPr>
      <w:jc w:val="left"/>
      <w:spacing w:before="100" w:beforeAutospacing="1" w:after="100" w:afterAutospacing="1"/>
      <w:widowControl/>
    </w:pPr>
    <w:rPr>
      <w:rFonts w:ascii="宋体" w:hAnsi="宋体" w:eastAsia="宋体" w:cs="宋体"/>
      <w:sz w:val="24"/>
      <w:szCs w:val="24"/>
    </w:rPr>
  </w:style>
  <w:style w:type="paragraph" w:styleId="1853">
    <w:name w:val="标题4"/>
    <w:basedOn w:val="851"/>
    <w:next w:val="1841"/>
    <w:link w:val="851"/>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854">
    <w:name w:val="5级样式"/>
    <w:basedOn w:val="1841"/>
    <w:next w:val="1854"/>
    <w:link w:val="851"/>
    <w:qFormat/>
    <w:pPr>
      <w:ind w:left="992" w:firstLine="0"/>
      <w:spacing w:before="120" w:after="120" w:line="240" w:lineRule="auto"/>
    </w:pPr>
  </w:style>
  <w:style w:type="paragraph" w:styleId="1855">
    <w:name w:val="itemlist in table"/>
    <w:basedOn w:val="851"/>
    <w:next w:val="1529"/>
    <w:link w:val="851"/>
    <w:qFormat/>
    <w:pPr>
      <w:numPr>
        <w:ilvl w:val="0"/>
        <w:numId w:val="12"/>
      </w:numPr>
      <w:ind w:firstLine="0"/>
      <w:spacing w:line="360" w:lineRule="auto"/>
    </w:pPr>
    <w:rPr>
      <w:rFonts w:eastAsia="宋体"/>
      <w:b/>
      <w:sz w:val="24"/>
      <w:szCs w:val="24"/>
    </w:rPr>
  </w:style>
  <w:style w:type="paragraph" w:styleId="1856">
    <w:name w:val="标题4."/>
    <w:basedOn w:val="960"/>
    <w:next w:val="960"/>
    <w:link w:val="1857"/>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character" w:styleId="1857">
    <w:name w:val="标题4. 字符"/>
    <w:next w:val="1857"/>
    <w:link w:val="1856"/>
    <w:qFormat/>
    <w:rPr>
      <w:rFonts w:ascii="Times New Roman" w:hAnsi="Times New Roman" w:eastAsia="方正仿宋_GBK" w:cs="Times New Roman"/>
      <w:b/>
      <w:sz w:val="28"/>
      <w:szCs w:val="28"/>
      <w:lang w:val="zh-CN"/>
    </w:rPr>
  </w:style>
  <w:style w:type="paragraph" w:styleId="1858">
    <w:name w:val="标题5"/>
    <w:basedOn w:val="962"/>
    <w:next w:val="962"/>
    <w:link w:val="1859"/>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859">
    <w:name w:val="标题5 字符"/>
    <w:next w:val="1859"/>
    <w:link w:val="1858"/>
    <w:qFormat/>
    <w:rPr>
      <w:rFonts w:ascii="Times New Roman" w:hAnsi="Times New Roman" w:eastAsia="方正仿宋_GBK" w:cs="Times New Roman"/>
      <w:b/>
      <w:sz w:val="28"/>
      <w:szCs w:val="28"/>
      <w:lang w:val="zh-CN"/>
    </w:rPr>
  </w:style>
  <w:style w:type="character" w:styleId="1860">
    <w:name w:val="wpcom_tag_link"/>
    <w:next w:val="1860"/>
    <w:link w:val="851"/>
    <w:qFormat/>
  </w:style>
  <w:style w:type="paragraph" w:styleId="1861">
    <w:name w:val="**正文"/>
    <w:basedOn w:val="851"/>
    <w:next w:val="1861"/>
    <w:link w:val="851"/>
    <w:qFormat/>
    <w:pPr>
      <w:ind w:firstLine="482"/>
    </w:pPr>
    <w:rPr>
      <w:rFonts w:ascii="宋体" w:hAnsi="宋体" w:eastAsia="微软雅黑"/>
    </w:rPr>
  </w:style>
  <w:style w:type="character" w:styleId="1862">
    <w:name w:val="3.0正文样式 Char"/>
    <w:next w:val="1862"/>
    <w:link w:val="1863"/>
    <w:qFormat/>
    <w:rPr>
      <w:rFonts w:ascii="Calibri" w:hAnsi="Calibri" w:eastAsia="宋体" w:cs="Times New Roman"/>
      <w:sz w:val="24"/>
      <w:szCs w:val="21"/>
      <w:lang w:val="zh-CN"/>
    </w:rPr>
  </w:style>
  <w:style w:type="paragraph" w:styleId="1863">
    <w:name w:val="3.0正文样式"/>
    <w:basedOn w:val="851"/>
    <w:next w:val="1863"/>
    <w:link w:val="1862"/>
    <w:qFormat/>
    <w:pPr>
      <w:ind w:firstLine="420"/>
      <w:spacing w:before="120" w:after="120" w:line="360" w:lineRule="auto"/>
    </w:pPr>
    <w:rPr>
      <w:rFonts w:ascii="Calibri" w:hAnsi="Calibri" w:eastAsia="宋体" w:cs="Times New Roman"/>
      <w:sz w:val="24"/>
      <w:szCs w:val="21"/>
      <w:lang w:val="zh-CN"/>
    </w:rPr>
  </w:style>
  <w:style w:type="paragraph" w:styleId="1864">
    <w:name w:val="清单1"/>
    <w:basedOn w:val="1510"/>
    <w:next w:val="1864"/>
    <w:link w:val="1865"/>
    <w:qFormat/>
    <w:pPr>
      <w:ind w:firstLine="420"/>
      <w:jc w:val="left"/>
    </w:pPr>
    <w:rPr>
      <w:sz w:val="21"/>
      <w:szCs w:val="21"/>
    </w:rPr>
  </w:style>
  <w:style w:type="character" w:styleId="1865">
    <w:name w:val="清单1 字符"/>
    <w:next w:val="1865"/>
    <w:link w:val="1864"/>
    <w:qFormat/>
    <w:rPr>
      <w:rFonts w:ascii="宋体" w:hAnsi="宋体" w:eastAsia="宋体" w:cs="Times New Roman"/>
      <w:color w:val="000000"/>
      <w:sz w:val="21"/>
      <w:szCs w:val="21"/>
    </w:rPr>
  </w:style>
  <w:style w:type="paragraph" w:styleId="1866">
    <w:name w:val="清单"/>
    <w:basedOn w:val="887"/>
    <w:next w:val="1866"/>
    <w:link w:val="851"/>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867">
    <w:name w:val="xl134"/>
    <w:basedOn w:val="851"/>
    <w:next w:val="1867"/>
    <w:link w:val="85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68">
    <w:name w:val="xl135"/>
    <w:basedOn w:val="851"/>
    <w:next w:val="1868"/>
    <w:link w:val="8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color w:val="000000"/>
      <w:sz w:val="24"/>
      <w:szCs w:val="24"/>
    </w:rPr>
  </w:style>
  <w:style w:type="paragraph" w:styleId="1869">
    <w:name w:val="xl136"/>
    <w:basedOn w:val="851"/>
    <w:next w:val="1869"/>
    <w:link w:val="851"/>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color w:val="000000"/>
      <w:sz w:val="24"/>
      <w:szCs w:val="24"/>
    </w:rPr>
  </w:style>
  <w:style w:type="paragraph" w:styleId="1870">
    <w:name w:val="xl137"/>
    <w:basedOn w:val="851"/>
    <w:next w:val="1870"/>
    <w:link w:val="85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color w:val="000000"/>
      <w:sz w:val="24"/>
      <w:szCs w:val="24"/>
    </w:rPr>
  </w:style>
  <w:style w:type="paragraph" w:styleId="1871">
    <w:name w:val="H表标题"/>
    <w:basedOn w:val="972"/>
    <w:next w:val="1871"/>
    <w:link w:val="851"/>
    <w:qFormat/>
    <w:pPr>
      <w:ind w:firstLine="400"/>
      <w:jc w:val="center"/>
      <w:spacing w:after="0" w:line="360" w:lineRule="auto"/>
      <w:widowControl w:val="off"/>
    </w:pPr>
    <w:rPr>
      <w:rFonts w:ascii="宋体" w:hAnsi="宋体" w:eastAsia="宋体" w:cs="Times New Roman"/>
      <w:bCs w:val="0"/>
      <w:color w:val="000000"/>
      <w:sz w:val="21"/>
      <w:szCs w:val="21"/>
      <w:lang w:eastAsia="zh-CN" w:bidi="ar-SA"/>
    </w:rPr>
  </w:style>
  <w:style w:type="character" w:styleId="1872">
    <w:name w:val="未处理的提及6"/>
    <w:next w:val="1872"/>
    <w:link w:val="851"/>
    <w:uiPriority w:val="99"/>
    <w:unhideWhenUsed/>
    <w:qFormat/>
    <w:rPr>
      <w:color w:val="605e5c"/>
      <w:shd w:val="clear" w:color="auto" w:fill="e1dfdd"/>
    </w:rPr>
  </w:style>
  <w:style w:type="character" w:styleId="1873">
    <w:name w:val="书籍标题2"/>
    <w:next w:val="1873"/>
    <w:link w:val="851"/>
    <w:uiPriority w:val="33"/>
    <w:qFormat/>
    <w:rPr>
      <w:b/>
      <w:sz w:val="21"/>
      <w:szCs w:val="18"/>
    </w:rPr>
  </w:style>
  <w:style w:type="paragraph" w:styleId="1874">
    <w:name w:val="正文首行缩进2"/>
    <w:basedOn w:val="869"/>
    <w:next w:val="976"/>
    <w:link w:val="851"/>
    <w:semiHidden/>
    <w:qFormat/>
    <w:pPr>
      <w:ind w:firstLine="420"/>
      <w:spacing w:before="100" w:beforeAutospacing="1" w:line="360" w:lineRule="auto"/>
    </w:pPr>
    <w:rPr>
      <w:rFonts w:ascii="Times New Roman" w:hAnsi="Times New Roman" w:eastAsia="宋体" w:cs="宋体"/>
      <w:sz w:val="21"/>
      <w:szCs w:val="21"/>
    </w:rPr>
  </w:style>
  <w:style w:type="paragraph" w:styleId="1875">
    <w:name w:val="TOC 标题4"/>
    <w:basedOn w:val="887"/>
    <w:next w:val="851"/>
    <w:link w:val="851"/>
    <w:uiPriority w:val="39"/>
    <w:unhideWhenUsed/>
    <w:qFormat/>
    <w:pPr>
      <w:jc w:val="left"/>
      <w:spacing w:before="0" w:after="0" w:line="259" w:lineRule="auto"/>
      <w:widowControl/>
      <w:tabs>
        <w:tab w:val="clear" w:pos="879" w:leader="none"/>
      </w:tabs>
      <w:outlineLvl w:val="9"/>
    </w:pPr>
    <w:rPr>
      <w:rFonts w:ascii="等线 Light" w:hAnsi="等线 Light" w:eastAsia="黑体" w:cs="Arial"/>
      <w:b w:val="0"/>
      <w:bCs w:val="0"/>
      <w:color w:val="2e75b6"/>
      <w:spacing w:val="0"/>
      <w:sz w:val="32"/>
      <w:szCs w:val="32"/>
    </w:rPr>
  </w:style>
  <w:style w:type="character" w:styleId="1876">
    <w:name w:val="未处理的提及31"/>
    <w:next w:val="1876"/>
    <w:link w:val="851"/>
    <w:uiPriority w:val="99"/>
    <w:unhideWhenUsed/>
    <w:qFormat/>
    <w:rPr>
      <w:color w:val="605e5c"/>
      <w:shd w:val="clear" w:color="auto" w:fill="e1dfdd"/>
    </w:rPr>
  </w:style>
  <w:style w:type="paragraph" w:styleId="1877">
    <w:name w:val="修订31"/>
    <w:next w:val="1877"/>
    <w:link w:val="851"/>
    <w:uiPriority w:val="99"/>
    <w:unhideWhenUsed/>
    <w:qFormat/>
    <w:rPr>
      <w:rFonts w:ascii="宋体" w:hAnsi="宋体"/>
      <w:color w:val="000000"/>
      <w:sz w:val="24"/>
      <w:szCs w:val="24"/>
      <w:lang w:val="en-US" w:eastAsia="zh-CN" w:bidi="ar-SA"/>
    </w:rPr>
  </w:style>
  <w:style w:type="paragraph" w:styleId="1878">
    <w:name w:val="修订41"/>
    <w:next w:val="1878"/>
    <w:link w:val="851"/>
    <w:uiPriority w:val="99"/>
    <w:unhideWhenUsed/>
    <w:qFormat/>
    <w:rPr>
      <w:rFonts w:ascii="宋体" w:hAnsi="宋体" w:cs="Arial"/>
      <w:sz w:val="24"/>
      <w:szCs w:val="24"/>
      <w:lang w:val="en-US" w:eastAsia="zh-CN" w:bidi="ar-SA"/>
    </w:rPr>
  </w:style>
  <w:style w:type="character" w:styleId="1879">
    <w:name w:val="未处理的提及61"/>
    <w:next w:val="1879"/>
    <w:link w:val="851"/>
    <w:uiPriority w:val="99"/>
    <w:unhideWhenUsed/>
    <w:qFormat/>
    <w:rPr>
      <w:color w:val="605e5c"/>
      <w:shd w:val="clear" w:color="auto" w:fill="e1dfdd"/>
    </w:rPr>
  </w:style>
  <w:style w:type="paragraph" w:styleId="1880">
    <w:name w:val="表格正文1"/>
    <w:basedOn w:val="851"/>
    <w:next w:val="1880"/>
    <w:link w:val="851"/>
    <w:qFormat/>
    <w:pPr>
      <w:jc w:val="center"/>
    </w:pPr>
    <w:rPr>
      <w:rFonts w:ascii="Times New Roman" w:hAnsi="Times New Roman" w:eastAsia="宋体" w:cs="Times New Roman"/>
      <w:szCs w:val="20"/>
    </w:rPr>
  </w:style>
  <w:style w:type="paragraph" w:styleId="1881">
    <w:name w:val="GZ"/>
    <w:basedOn w:val="851"/>
    <w:next w:val="1881"/>
    <w:link w:val="851"/>
    <w:qFormat/>
    <w:pPr>
      <w:ind w:firstLine="482"/>
      <w:spacing w:line="360" w:lineRule="auto"/>
    </w:pPr>
    <w:rPr>
      <w:rFonts w:ascii="Times New Roman" w:hAnsi="Times New Roman" w:eastAsia="宋体" w:cs="Times New Roman"/>
      <w:sz w:val="24"/>
      <w:szCs w:val="20"/>
    </w:rPr>
  </w:style>
  <w:style w:type="paragraph" w:styleId="1882">
    <w:name w:val="QB正文"/>
    <w:basedOn w:val="851"/>
    <w:next w:val="1882"/>
    <w:link w:val="851"/>
    <w:qFormat/>
    <w:pPr>
      <w:ind w:firstLine="200"/>
      <w:spacing w:line="360" w:lineRule="auto"/>
      <w:widowControl/>
    </w:pPr>
    <w:rPr>
      <w:rFonts w:ascii="宋体" w:hAnsi="Times New Roman" w:eastAsia="宋体" w:cs="Times New Roman"/>
      <w:szCs w:val="20"/>
    </w:rPr>
  </w:style>
  <w:style w:type="paragraph" w:styleId="1883">
    <w:name w:val="1正文"/>
    <w:basedOn w:val="901"/>
    <w:next w:val="1883"/>
    <w:link w:val="851"/>
    <w:qFormat/>
    <w:pPr>
      <w:jc w:val="center"/>
      <w:spacing w:after="0"/>
      <w:widowControl w:val="off"/>
    </w:pPr>
    <w:rPr>
      <w:rFonts w:ascii="等线" w:hAnsi="等线" w:eastAsia="宋体"/>
      <w:b/>
      <w:bCs/>
      <w:i w:val="0"/>
      <w:iCs w:val="0"/>
      <w:color w:val="000000"/>
      <w:spacing w:val="0"/>
      <w:szCs w:val="32"/>
      <w:lang w:eastAsia="zh-CN" w:bidi="ar-SA"/>
    </w:rPr>
  </w:style>
  <w:style w:type="paragraph" w:styleId="1884">
    <w:name w:val="一级标题"/>
    <w:basedOn w:val="956"/>
    <w:next w:val="1884"/>
    <w:link w:val="851"/>
    <w:qFormat/>
    <w:pPr>
      <w:ind w:firstLine="420"/>
      <w:spacing w:before="50" w:after="50" w:line="240" w:lineRule="auto"/>
      <w:outlineLvl w:val="0"/>
    </w:pPr>
    <w:rPr>
      <w:rFonts w:ascii="Arial" w:hAnsi="Arial" w:eastAsia="黑体" w:cs="Arial"/>
      <w:szCs w:val="24"/>
    </w:rPr>
  </w:style>
  <w:style w:type="paragraph" w:styleId="1885">
    <w:name w:val="标准标题"/>
    <w:basedOn w:val="851"/>
    <w:next w:val="1885"/>
    <w:link w:val="851"/>
    <w:qFormat/>
    <w:pPr>
      <w:spacing w:before="100" w:after="100"/>
    </w:pPr>
    <w:rPr>
      <w:rFonts w:ascii="黑体" w:hAnsi="黑体" w:eastAsia="黑体" w:cs="Times New Roman"/>
      <w:szCs w:val="21"/>
    </w:rPr>
  </w:style>
  <w:style w:type="paragraph" w:styleId="1886">
    <w:name w:val="正文单倍行距"/>
    <w:basedOn w:val="851"/>
    <w:next w:val="1886"/>
    <w:link w:val="851"/>
    <w:qFormat/>
    <w:rPr>
      <w:rFonts w:ascii="Calibri" w:hAnsi="Calibri" w:eastAsia="宋体" w:cs="Times New Roman"/>
      <w:szCs w:val="21"/>
    </w:rPr>
  </w:style>
  <w:style w:type="table" w:styleId="1887">
    <w:name w:val="网格型3"/>
    <w:basedOn w:val="854"/>
    <w:next w:val="1887"/>
    <w:link w:val="851"/>
    <w:uiPriority w:val="99"/>
    <w:qFormat/>
    <w:tblPr/>
  </w:style>
  <w:style w:type="table" w:styleId="1888">
    <w:name w:val="网格型21"/>
    <w:basedOn w:val="854"/>
    <w:next w:val="1888"/>
    <w:link w:val="851"/>
    <w:qFormat/>
    <w:tblPr/>
  </w:style>
  <w:style w:type="table" w:styleId="1889">
    <w:name w:val="网格型4"/>
    <w:basedOn w:val="854"/>
    <w:next w:val="1889"/>
    <w:link w:val="851"/>
    <w:uiPriority w:val="99"/>
    <w:qFormat/>
    <w:tblPr/>
  </w:style>
  <w:style w:type="table" w:styleId="1890">
    <w:name w:val="网格型6"/>
    <w:basedOn w:val="854"/>
    <w:next w:val="1890"/>
    <w:link w:val="851"/>
    <w:uiPriority w:val="99"/>
    <w:qFormat/>
    <w:tblPr/>
  </w:style>
  <w:style w:type="paragraph" w:styleId="1891">
    <w:name w:val="标准文件_段"/>
    <w:next w:val="1891"/>
    <w:link w:val="851"/>
    <w:qFormat/>
    <w:pPr>
      <w:ind w:firstLine="200"/>
      <w:jc w:val="both"/>
    </w:pPr>
    <w:rPr>
      <w:rFonts w:ascii="宋体"/>
      <w:sz w:val="21"/>
      <w:lang w:val="en-US" w:eastAsia="zh-CN" w:bidi="ar-SA"/>
    </w:rPr>
  </w:style>
  <w:style w:type="table" w:styleId="1892">
    <w:name w:val="网格型7"/>
    <w:basedOn w:val="854"/>
    <w:next w:val="1892"/>
    <w:link w:val="851"/>
    <w:qFormat/>
    <w:pPr>
      <w:jc w:val="both"/>
      <w:widowControl w:val="off"/>
    </w:pPr>
    <w:tblPr/>
  </w:style>
  <w:style w:type="paragraph" w:styleId="1893">
    <w:name w:val="一级条标题"/>
    <w:basedOn w:val="851"/>
    <w:next w:val="851"/>
    <w:link w:val="851"/>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894">
    <w:name w:val="网格表 1 浅色 - 着色 31"/>
    <w:basedOn w:val="854"/>
    <w:next w:val="1894"/>
    <w:link w:val="851"/>
    <w:uiPriority w:val="46"/>
    <w:qFormat/>
    <w:tblPr/>
  </w:style>
  <w:style w:type="paragraph" w:styleId="1895">
    <w:name w:val="TOC 标题5"/>
    <w:basedOn w:val="887"/>
    <w:next w:val="851"/>
    <w:link w:val="851"/>
    <w:uiPriority w:val="39"/>
    <w:unhideWhenUsed/>
    <w:qFormat/>
    <w:pPr>
      <w:jc w:val="left"/>
      <w:spacing w:before="0" w:after="0" w:line="259" w:lineRule="auto"/>
      <w:widowControl/>
      <w:tabs>
        <w:tab w:val="clear" w:pos="879" w:leader="none"/>
      </w:tabs>
      <w:outlineLvl w:val="9"/>
    </w:pPr>
    <w:rPr>
      <w:rFonts w:ascii="等线 Light" w:hAnsi="等线 Light" w:eastAsia="黑体" w:cs="Arial"/>
      <w:b w:val="0"/>
      <w:bCs w:val="0"/>
      <w:color w:val="2e75b6"/>
      <w:spacing w:val="0"/>
      <w:sz w:val="32"/>
      <w:szCs w:val="32"/>
    </w:rPr>
  </w:style>
  <w:style w:type="character" w:styleId="1896">
    <w:name w:val="font51"/>
    <w:next w:val="1896"/>
    <w:link w:val="851"/>
    <w:qFormat/>
    <w:rPr>
      <w:rFonts w:hint="eastAsia" w:ascii="宋体" w:hAnsi="宋体" w:eastAsia="宋体" w:cs="宋体"/>
      <w:color w:val="000000"/>
      <w:sz w:val="20"/>
      <w:szCs w:val="20"/>
      <w:u w:val="none"/>
    </w:rPr>
  </w:style>
  <w:style w:type="character" w:styleId="1897">
    <w:name w:val="font81"/>
    <w:next w:val="1897"/>
    <w:link w:val="851"/>
    <w:qFormat/>
    <w:rPr>
      <w:rFonts w:hint="eastAsia" w:ascii="宋体" w:hAnsi="宋体" w:eastAsia="宋体" w:cs="宋体"/>
      <w:color w:val="000000"/>
      <w:sz w:val="20"/>
      <w:szCs w:val="20"/>
      <w:u w:val="none"/>
      <w:vertAlign w:val="superscript"/>
    </w:rPr>
  </w:style>
  <w:style w:type="paragraph" w:styleId="1898">
    <w:name w:val="修订5"/>
    <w:next w:val="1898"/>
    <w:link w:val="851"/>
    <w:uiPriority w:val="99"/>
    <w:unhideWhenUsed/>
    <w:qFormat/>
    <w:rPr>
      <w:rFonts w:ascii="宋体" w:hAnsi="宋体" w:cs="Arial"/>
      <w:sz w:val="24"/>
      <w:szCs w:val="24"/>
      <w:lang w:val="en-US" w:eastAsia="zh-CN" w:bidi="ar-SA"/>
    </w:rPr>
  </w:style>
  <w:style w:type="paragraph" w:styleId="1899">
    <w:name w:val="TOC 标题51"/>
    <w:basedOn w:val="887"/>
    <w:next w:val="851"/>
    <w:link w:val="851"/>
    <w:uiPriority w:val="39"/>
    <w:unhideWhenUsed/>
    <w:qFormat/>
    <w:pPr>
      <w:jc w:val="left"/>
      <w:spacing w:before="0" w:after="0" w:line="259" w:lineRule="auto"/>
      <w:widowControl/>
      <w:tabs>
        <w:tab w:val="clear" w:pos="879" w:leader="none"/>
      </w:tabs>
      <w:outlineLvl w:val="9"/>
    </w:pPr>
    <w:rPr>
      <w:rFonts w:ascii="等线 Light" w:hAnsi="等线 Light" w:eastAsia="黑体" w:cs="Arial"/>
      <w:b w:val="0"/>
      <w:bCs w:val="0"/>
      <w:color w:val="2e75b6"/>
      <w:spacing w:val="0"/>
      <w:sz w:val="32"/>
      <w:szCs w:val="32"/>
    </w:rPr>
  </w:style>
  <w:style w:type="paragraph" w:styleId="1900">
    <w:name w:val="修订51"/>
    <w:next w:val="1900"/>
    <w:link w:val="851"/>
    <w:uiPriority w:val="99"/>
    <w:unhideWhenUsed/>
    <w:qFormat/>
    <w:rPr>
      <w:rFonts w:ascii="宋体" w:hAnsi="宋体" w:cs="Arial"/>
      <w:sz w:val="24"/>
      <w:szCs w:val="24"/>
      <w:lang w:val="en-US" w:eastAsia="zh-CN" w:bidi="ar-SA"/>
    </w:rPr>
  </w:style>
  <w:style w:type="character" w:styleId="1901">
    <w:name w:val="font01"/>
    <w:next w:val="1901"/>
    <w:link w:val="851"/>
    <w:qFormat/>
    <w:rPr>
      <w:rFonts w:hint="eastAsia" w:ascii="宋体" w:hAnsi="宋体" w:eastAsia="宋体" w:cs="宋体"/>
      <w:color w:val="000000"/>
      <w:sz w:val="22"/>
      <w:szCs w:val="22"/>
      <w:u w:val="none"/>
    </w:rPr>
  </w:style>
  <w:style w:type="paragraph" w:styleId="1902">
    <w:name w:val="TOC 标题6"/>
    <w:basedOn w:val="887"/>
    <w:next w:val="851"/>
    <w:link w:val="851"/>
    <w:uiPriority w:val="39"/>
    <w:unhideWhenUsed/>
    <w:qFormat/>
    <w:pPr>
      <w:jc w:val="left"/>
      <w:spacing w:before="240" w:after="0" w:line="259" w:lineRule="auto"/>
      <w:widowControl/>
      <w:tabs>
        <w:tab w:val="clear" w:pos="879" w:leader="none"/>
      </w:tabs>
      <w:outlineLvl w:val="9"/>
    </w:pPr>
    <w:rPr>
      <w:rFonts w:ascii="等线 Light" w:hAnsi="等线 Light" w:eastAsia="黑体" w:cs="Arial"/>
      <w:b w:val="0"/>
      <w:bCs w:val="0"/>
      <w:color w:val="2e75b6"/>
      <w:spacing w:val="0"/>
      <w:sz w:val="32"/>
      <w:szCs w:val="32"/>
    </w:rPr>
  </w:style>
  <w:style w:type="character" w:styleId="1903">
    <w:name w:val="font61"/>
    <w:next w:val="1903"/>
    <w:link w:val="851"/>
    <w:qFormat/>
    <w:rPr>
      <w:rFonts w:hint="eastAsia" w:ascii="宋体" w:hAnsi="宋体" w:eastAsia="宋体" w:cs="宋体"/>
      <w:color w:val="000000"/>
      <w:sz w:val="20"/>
      <w:szCs w:val="20"/>
      <w:u w:val="none"/>
    </w:rPr>
  </w:style>
  <w:style w:type="paragraph" w:styleId="1904">
    <w:name w:val="zw"/>
    <w:basedOn w:val="851"/>
    <w:next w:val="1904"/>
    <w:link w:val="851"/>
    <w:qFormat/>
    <w:pPr>
      <w:ind w:firstLine="480"/>
      <w:spacing w:before="120" w:after="120" w:line="360" w:lineRule="auto"/>
    </w:pPr>
    <w:rPr>
      <w:rFonts w:ascii="Times New Roman" w:hAnsi="Times New Roman"/>
      <w:sz w:val="24"/>
      <w:szCs w:val="24"/>
    </w:rPr>
  </w:style>
  <w:style w:type="paragraph" w:styleId="1905">
    <w:name w:val="修订6"/>
    <w:next w:val="1905"/>
    <w:link w:val="851"/>
    <w:uiPriority w:val="99"/>
    <w:unhideWhenUsed/>
    <w:qFormat/>
    <w:rPr>
      <w:rFonts w:ascii="等线" w:hAnsi="等线" w:cs="Arial"/>
      <w:sz w:val="21"/>
      <w:szCs w:val="22"/>
      <w:lang w:val="en-US" w:eastAsia="zh-CN" w:bidi="ar-SA"/>
    </w:rPr>
  </w:style>
  <w:style w:type="character" w:styleId="1906">
    <w:name w:val="active16"/>
    <w:next w:val="1906"/>
    <w:link w:val="851"/>
    <w:rPr>
      <w:color w:val="ffffff"/>
      <w:shd w:val="clear" w:color="auto" w:fill="0f5bb9"/>
    </w:rPr>
  </w:style>
  <w:style w:type="character" w:styleId="1907" w:default="1">
    <w:name w:val="Default Paragraph Font"/>
    <w:uiPriority w:val="1"/>
    <w:semiHidden/>
    <w:unhideWhenUsed/>
  </w:style>
  <w:style w:type="numbering" w:styleId="1908" w:default="1">
    <w:name w:val="No List"/>
    <w:uiPriority w:val="99"/>
    <w:semiHidden/>
    <w:unhideWhenUsed/>
  </w:style>
  <w:style w:type="table" w:styleId="19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陈梅-中诚</cp:lastModifiedBy>
  <cp:revision>9</cp:revision>
  <dcterms:created xsi:type="dcterms:W3CDTF">2024-11-05T09:54:00Z</dcterms:created>
  <dcterms:modified xsi:type="dcterms:W3CDTF">2026-07-13T07:40:20Z</dcterms:modified>
</cp:coreProperties>
</file>