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240" w:lineRule="exact"/>
        <w:tabs>
          <w:tab w:val="left" w:pos="3841" w:leader="none"/>
        </w:tabs>
        <w:rPr>
          <w:rFonts w:asciiTheme="minorEastAsia" w:hAnsiTheme="minorEastAsia" w:eastAsiaTheme="minorEastAsia" w:cstheme="minorEastAsia"/>
          <w:b/>
          <w:i/>
          <w:szCs w:val="21"/>
        </w:rPr>
      </w:pPr>
      <w:r>
        <w:rPr>
          <w:rFonts w:hint="eastAsia" w:asciiTheme="minorEastAsia" w:hAnsiTheme="minorEastAsia" w:eastAsiaTheme="minorEastAsia" w:cstheme="minorEastAsia"/>
          <w:b/>
          <w:sz w:val="72"/>
        </w:rPr>
        <w:tab/>
      </w:r>
      <w:r/>
    </w:p>
    <w:p>
      <w:pPr>
        <w:jc w:val="center"/>
        <w:rPr>
          <w:rFonts w:asciiTheme="minorEastAsia" w:hAnsiTheme="minorEastAsia" w:eastAsiaTheme="minorEastAsia" w:cstheme="minorEastAsia"/>
          <w:b/>
          <w:sz w:val="72"/>
        </w:rPr>
      </w:pPr>
      <w:r>
        <w:rPr>
          <w:rFonts w:asciiTheme="minorEastAsia" w:hAnsiTheme="minorEastAsia" w:eastAsiaTheme="minorEastAsia" w:cstheme="minorEastAsia"/>
          <w:b/>
          <w:sz w:val="72"/>
        </w:rPr>
      </w:r>
      <w:r/>
    </w:p>
    <w:p>
      <w:pPr>
        <w:jc w:val="center"/>
        <w:spacing w:line="360" w:lineRule="auto"/>
        <w:rPr>
          <w:rFonts w:asciiTheme="minorEastAsia" w:hAnsiTheme="minorEastAsia" w:eastAsiaTheme="minorEastAsia" w:cstheme="minorEastAsia"/>
          <w:b/>
          <w:spacing w:val="20"/>
          <w:sz w:val="72"/>
          <w:szCs w:val="72"/>
        </w:rPr>
      </w:pPr>
      <w:r>
        <w:rPr>
          <w:rFonts w:hint="eastAsia" w:asciiTheme="minorEastAsia" w:hAnsiTheme="minorEastAsia" w:eastAsiaTheme="minorEastAsia" w:cstheme="minorEastAsia"/>
          <w:b/>
          <w:spacing w:val="20"/>
          <w:sz w:val="72"/>
          <w:szCs w:val="72"/>
        </w:rPr>
        <w:t xml:space="preserve">泰州市政府采购</w:t>
      </w:r>
      <w:r/>
    </w:p>
    <w:p>
      <w:pPr>
        <w:jc w:val="center"/>
        <w:spacing w:line="360" w:lineRule="auto"/>
        <w:rPr>
          <w:rFonts w:asciiTheme="minorEastAsia" w:hAnsiTheme="minorEastAsia" w:eastAsiaTheme="minorEastAsia" w:cstheme="minorEastAsia"/>
          <w:b/>
          <w:spacing w:val="20"/>
          <w:sz w:val="52"/>
          <w:szCs w:val="52"/>
        </w:rPr>
      </w:pPr>
      <w:r>
        <w:rPr>
          <w:rFonts w:hint="eastAsia" w:asciiTheme="minorEastAsia" w:hAnsiTheme="minorEastAsia" w:eastAsiaTheme="minorEastAsia" w:cstheme="minorEastAsia"/>
          <w:b/>
          <w:spacing w:val="20"/>
          <w:sz w:val="52"/>
          <w:szCs w:val="52"/>
        </w:rPr>
        <w:t xml:space="preserve">磋 商 文 件</w:t>
      </w:r>
      <w:r/>
    </w:p>
    <w:p>
      <w:pPr>
        <w:jc w:val="center"/>
        <w:rPr>
          <w:rFonts w:asciiTheme="minorEastAsia" w:hAnsiTheme="minorEastAsia" w:eastAsiaTheme="minorEastAsia" w:cstheme="minorEastAsia"/>
          <w:b/>
          <w:sz w:val="72"/>
          <w:szCs w:val="72"/>
        </w:rPr>
      </w:pPr>
      <w:r>
        <w:rPr>
          <w:rFonts w:hint="eastAsia" w:asciiTheme="minorEastAsia" w:hAnsiTheme="minorEastAsia" w:eastAsiaTheme="minorEastAsia" w:cstheme="minorEastAsia"/>
          <w:b/>
          <w:sz w:val="30"/>
        </w:rPr>
        <w:t xml:space="preserve">（全流程电子化不见面开标）</w:t>
      </w:r>
      <w:r/>
    </w:p>
    <w:p>
      <w:pPr>
        <w:rPr>
          <w:rFonts w:asciiTheme="minorEastAsia" w:hAnsiTheme="minorEastAsia" w:eastAsiaTheme="minorEastAsia" w:cstheme="minorEastAsia"/>
          <w:b/>
          <w:sz w:val="72"/>
        </w:rPr>
      </w:pPr>
      <w:r>
        <w:rPr>
          <w:rFonts w:asciiTheme="minorEastAsia" w:hAnsiTheme="minorEastAsia" w:eastAsiaTheme="minorEastAsia" w:cstheme="minorEastAsia"/>
          <w:b/>
          <w:sz w:val="72"/>
        </w:rPr>
      </w:r>
      <w:r/>
    </w:p>
    <w:p>
      <w:pPr>
        <w:pStyle w:val="1048"/>
        <w:ind w:firstLine="568"/>
        <w:rPr>
          <w:rFonts w:asciiTheme="minorEastAsia" w:hAnsiTheme="minorEastAsia" w:eastAsiaTheme="minorEastAsia" w:cstheme="minorEastAsia"/>
          <w:b/>
        </w:rPr>
      </w:pPr>
      <w:r>
        <w:rPr>
          <w:rFonts w:asciiTheme="minorEastAsia" w:hAnsiTheme="minorEastAsia" w:eastAsiaTheme="minorEastAsia" w:cstheme="minorEastAsia"/>
          <w:b/>
        </w:rPr>
      </w:r>
      <w:r/>
    </w:p>
    <w:p>
      <w:pPr>
        <w:pStyle w:val="1048"/>
        <w:ind w:firstLine="568"/>
        <w:rPr>
          <w:rFonts w:asciiTheme="minorEastAsia" w:hAnsiTheme="minorEastAsia" w:eastAsiaTheme="minorEastAsia" w:cstheme="minorEastAsia"/>
          <w:b/>
        </w:rPr>
      </w:pPr>
      <w:r>
        <w:rPr>
          <w:rFonts w:asciiTheme="minorEastAsia" w:hAnsiTheme="minorEastAsia" w:eastAsiaTheme="minorEastAsia" w:cstheme="minorEastAsia"/>
          <w:b/>
        </w:rPr>
      </w:r>
      <w:r/>
    </w:p>
    <w:p>
      <w:pPr>
        <w:ind w:firstLine="301"/>
        <w:spacing w:line="360" w:lineRule="auto"/>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 xml:space="preserve">项目编号：</w:t>
      </w:r>
      <w:r>
        <w:rPr>
          <w:rFonts w:hint="eastAsia" w:asciiTheme="minorEastAsia" w:hAnsiTheme="minorEastAsia" w:eastAsiaTheme="minorEastAsia" w:cstheme="minorEastAsia"/>
          <w:b/>
          <w:bCs w:val="0"/>
          <w:sz w:val="30"/>
          <w:szCs w:val="30"/>
          <w:highlight w:val="none"/>
        </w:rPr>
        <w:t xml:space="preserve">JSZC-321204-ZXZJ-C2026-0002</w:t>
      </w:r>
      <w:r/>
    </w:p>
    <w:p>
      <w:pPr>
        <w:pStyle w:val="774"/>
        <w:rPr>
          <w:rFonts w:asciiTheme="minorEastAsia" w:hAnsiTheme="minorEastAsia" w:eastAsiaTheme="minorEastAsia" w:cstheme="minorEastAsia"/>
          <w:sz w:val="28"/>
          <w:szCs w:val="28"/>
        </w:rPr>
      </w:pPr>
      <w:r>
        <w:rPr>
          <w:rFonts w:asciiTheme="minorEastAsia" w:hAnsiTheme="minorEastAsia" w:eastAsiaTheme="minorEastAsia" w:cstheme="minorEastAsia"/>
          <w:sz w:val="28"/>
          <w:szCs w:val="28"/>
        </w:rPr>
      </w:r>
      <w:r/>
    </w:p>
    <w:p>
      <w:pPr>
        <w:spacing w:line="360" w:lineRule="auto"/>
        <w:rPr>
          <w:rFonts w:hint="eastAsia" w:asciiTheme="minorEastAsia" w:hAnsiTheme="minorEastAsia" w:eastAsiaTheme="minorEastAsia" w:cstheme="minorEastAsia"/>
          <w:b/>
          <w:sz w:val="28"/>
          <w:szCs w:val="28"/>
          <w:lang w:eastAsia="zh-CN"/>
        </w:rPr>
      </w:pPr>
      <w:r>
        <w:rPr>
          <w:rFonts w:hint="eastAsia" w:asciiTheme="minorEastAsia" w:hAnsiTheme="minorEastAsia" w:eastAsiaTheme="minorEastAsia" w:cstheme="minorEastAsia"/>
          <w:b/>
          <w:sz w:val="28"/>
          <w:szCs w:val="28"/>
        </w:rPr>
        <w:t xml:space="preserve">  项目名称：</w:t>
      </w:r>
      <w:r>
        <w:rPr>
          <w:rFonts w:hint="eastAsia" w:asciiTheme="minorEastAsia" w:hAnsiTheme="minorEastAsia" w:eastAsiaTheme="minorEastAsia" w:cstheme="minorEastAsia"/>
          <w:b/>
          <w:sz w:val="28"/>
          <w:szCs w:val="28"/>
          <w:lang w:eastAsia="zh-CN"/>
        </w:rPr>
        <w:t xml:space="preserve">张甸镇华杨村2025年度宜居宜业和美乡村建设（市级）</w:t>
      </w:r>
      <w:r/>
    </w:p>
    <w:p>
      <w:pPr>
        <w:ind w:firstLine="419"/>
        <w:spacing w:line="360" w:lineRule="auto"/>
        <w:rPr>
          <w:rFonts w:asciiTheme="minorEastAsia" w:hAnsiTheme="minorEastAsia" w:eastAsiaTheme="minorEastAsia" w:cstheme="minorEastAsia"/>
          <w:b/>
          <w:sz w:val="28"/>
          <w:szCs w:val="28"/>
        </w:rPr>
      </w:pPr>
      <w:r>
        <w:rPr>
          <w:rFonts w:asciiTheme="minorEastAsia" w:hAnsiTheme="minorEastAsia" w:eastAsiaTheme="minorEastAsia" w:cstheme="minorEastAsia"/>
          <w:b/>
          <w:sz w:val="28"/>
          <w:szCs w:val="28"/>
        </w:rPr>
      </w:r>
      <w:r/>
    </w:p>
    <w:p>
      <w:pPr>
        <w:ind w:firstLine="419"/>
        <w:spacing w:line="360" w:lineRule="auto"/>
        <w:rPr>
          <w:rFonts w:asciiTheme="minorEastAsia" w:hAnsiTheme="minorEastAsia" w:eastAsiaTheme="minorEastAsia" w:cstheme="minorEastAsia"/>
          <w:b/>
          <w:sz w:val="28"/>
          <w:szCs w:val="28"/>
        </w:rPr>
      </w:pPr>
      <w:r>
        <w:rPr>
          <w:rFonts w:asciiTheme="minorEastAsia" w:hAnsiTheme="minorEastAsia" w:eastAsiaTheme="minorEastAsia" w:cstheme="minorEastAsia"/>
          <w:b/>
          <w:sz w:val="28"/>
          <w:szCs w:val="28"/>
        </w:rPr>
      </w:r>
      <w:r/>
    </w:p>
    <w:p>
      <w:pPr>
        <w:ind w:firstLine="419"/>
        <w:spacing w:line="360" w:lineRule="auto"/>
        <w:rPr>
          <w:rFonts w:asciiTheme="minorEastAsia" w:hAnsiTheme="minorEastAsia" w:eastAsiaTheme="minorEastAsia" w:cstheme="minorEastAsia"/>
          <w:b/>
          <w:sz w:val="28"/>
          <w:szCs w:val="28"/>
        </w:rPr>
      </w:pPr>
      <w:r>
        <w:rPr>
          <w:rFonts w:asciiTheme="minorEastAsia" w:hAnsiTheme="minorEastAsia" w:eastAsiaTheme="minorEastAsia" w:cstheme="minorEastAsia"/>
          <w:b/>
          <w:sz w:val="28"/>
          <w:szCs w:val="28"/>
        </w:rPr>
      </w:r>
      <w:r/>
    </w:p>
    <w:p>
      <w:pPr>
        <w:ind w:firstLine="419"/>
        <w:spacing w:line="360" w:lineRule="auto"/>
        <w:rPr>
          <w:rFonts w:asciiTheme="minorEastAsia" w:hAnsiTheme="minorEastAsia" w:eastAsiaTheme="minorEastAsia" w:cstheme="minorEastAsia"/>
          <w:b/>
          <w:sz w:val="28"/>
          <w:szCs w:val="28"/>
        </w:rPr>
      </w:pPr>
      <w:r>
        <w:rPr>
          <w:rFonts w:asciiTheme="minorEastAsia" w:hAnsiTheme="minorEastAsia" w:eastAsiaTheme="minorEastAsia" w:cstheme="minorEastAsia"/>
          <w:b/>
          <w:sz w:val="28"/>
          <w:szCs w:val="28"/>
        </w:rPr>
      </w:r>
      <w:r/>
    </w:p>
    <w:p>
      <w:pPr>
        <w:ind w:firstLine="419"/>
        <w:spacing w:line="360" w:lineRule="auto"/>
        <w:rPr>
          <w:rFonts w:asciiTheme="minorEastAsia" w:hAnsiTheme="minorEastAsia" w:eastAsiaTheme="minorEastAsia" w:cstheme="minorEastAsia"/>
          <w:b/>
          <w:sz w:val="28"/>
          <w:szCs w:val="28"/>
        </w:rPr>
      </w:pPr>
      <w:r>
        <w:rPr>
          <w:rFonts w:asciiTheme="minorEastAsia" w:hAnsiTheme="minorEastAsia" w:eastAsiaTheme="minorEastAsia" w:cstheme="minorEastAsia"/>
          <w:b/>
          <w:sz w:val="28"/>
          <w:szCs w:val="28"/>
        </w:rPr>
      </w:r>
      <w:r/>
    </w:p>
    <w:p>
      <w:pPr>
        <w:ind w:firstLine="1644"/>
        <w:spacing w:line="360" w:lineRule="auto"/>
        <w:rPr>
          <w:rFonts w:asciiTheme="minorEastAsia" w:hAnsiTheme="minorEastAsia" w:eastAsiaTheme="minorEastAsia" w:cstheme="minorEastAsia"/>
          <w:b/>
          <w:sz w:val="30"/>
          <w:szCs w:val="30"/>
        </w:rPr>
      </w:pPr>
      <w:r>
        <w:rPr>
          <w:rFonts w:hint="eastAsia" w:asciiTheme="minorEastAsia" w:hAnsiTheme="minorEastAsia" w:eastAsiaTheme="minorEastAsia" w:cstheme="minorEastAsia"/>
          <w:b/>
          <w:sz w:val="30"/>
          <w:szCs w:val="30"/>
        </w:rPr>
        <w:t xml:space="preserve">采 购 人：泰州市姜堰区张甸镇人民政府</w:t>
      </w:r>
      <w:r/>
    </w:p>
    <w:p>
      <w:pPr>
        <w:spacing w:line="360" w:lineRule="auto"/>
        <w:rPr>
          <w:rFonts w:asciiTheme="minorEastAsia" w:hAnsiTheme="minorEastAsia" w:eastAsiaTheme="minorEastAsia" w:cstheme="minorEastAsia"/>
          <w:b/>
          <w:sz w:val="30"/>
          <w:szCs w:val="30"/>
        </w:rPr>
      </w:pPr>
      <w:r>
        <w:rPr>
          <w:rFonts w:asciiTheme="minorEastAsia" w:hAnsiTheme="minorEastAsia" w:eastAsiaTheme="minorEastAsia" w:cstheme="minorEastAsia"/>
          <w:b/>
          <w:sz w:val="30"/>
          <w:szCs w:val="30"/>
        </w:rPr>
      </w:r>
      <w:r/>
    </w:p>
    <w:p>
      <w:pPr>
        <w:ind w:firstLine="1343"/>
        <w:spacing w:line="360" w:lineRule="auto"/>
        <w:rPr>
          <w:rFonts w:hint="eastAsia" w:asciiTheme="minorEastAsia" w:hAnsiTheme="minorEastAsia" w:eastAsiaTheme="minorEastAsia" w:cstheme="minorEastAsia"/>
          <w:b/>
          <w:sz w:val="28"/>
          <w:szCs w:val="28"/>
          <w:lang w:eastAsia="zh-CN"/>
        </w:rPr>
      </w:pPr>
      <w:r>
        <w:rPr>
          <w:rFonts w:hint="eastAsia" w:asciiTheme="minorEastAsia" w:hAnsiTheme="minorEastAsia" w:eastAsiaTheme="minorEastAsia" w:cstheme="minorEastAsia"/>
          <w:b/>
          <w:sz w:val="30"/>
          <w:szCs w:val="30"/>
        </w:rPr>
        <w:t xml:space="preserve">采购代理机构：</w:t>
      </w:r>
      <w:r>
        <w:rPr>
          <w:rFonts w:hint="eastAsia" w:asciiTheme="minorEastAsia" w:hAnsiTheme="minorEastAsia" w:eastAsiaTheme="minorEastAsia" w:cstheme="minorEastAsia"/>
          <w:b/>
          <w:sz w:val="30"/>
          <w:szCs w:val="30"/>
          <w:lang w:eastAsia="zh-CN"/>
        </w:rPr>
        <w:t xml:space="preserve">江苏中和信工程咨询有限公司</w:t>
      </w:r>
      <w:r/>
    </w:p>
    <w:p>
      <w:pPr>
        <w:jc w:val="center"/>
        <w:rPr>
          <w:rFonts w:asciiTheme="minorEastAsia" w:hAnsiTheme="minorEastAsia" w:eastAsiaTheme="minorEastAsia" w:cstheme="minorEastAsia"/>
          <w:b/>
          <w:sz w:val="28"/>
          <w:szCs w:val="28"/>
        </w:rPr>
      </w:pPr>
      <w:r>
        <w:rPr>
          <w:rFonts w:asciiTheme="minorEastAsia" w:hAnsiTheme="minorEastAsia" w:eastAsiaTheme="minorEastAsia" w:cstheme="minorEastAsia"/>
          <w:b/>
          <w:sz w:val="28"/>
          <w:szCs w:val="28"/>
        </w:rPr>
      </w:r>
      <w:r/>
    </w:p>
    <w:p>
      <w:pPr>
        <w:pStyle w:val="774"/>
        <w:rPr>
          <w:rFonts w:asciiTheme="minorEastAsia" w:hAnsiTheme="minorEastAsia" w:eastAsiaTheme="minorEastAsia" w:cstheme="minorEastAsia"/>
          <w:b/>
        </w:rPr>
      </w:pPr>
      <w:r>
        <w:rPr>
          <w:rFonts w:asciiTheme="minorEastAsia" w:hAnsiTheme="minorEastAsia" w:eastAsiaTheme="minorEastAsia" w:cstheme="minorEastAsia"/>
          <w:b/>
        </w:rPr>
      </w:r>
      <w:r/>
    </w:p>
    <w:p>
      <w:pPr>
        <w:jc w:val="center"/>
        <w:rPr>
          <w:rFonts w:asciiTheme="minorEastAsia" w:hAnsiTheme="minorEastAsia" w:eastAsiaTheme="minorEastAsia" w:cstheme="minorEastAsia"/>
          <w:b/>
          <w:sz w:val="32"/>
          <w:szCs w:val="32"/>
        </w:rPr>
      </w:pPr>
      <w:r>
        <w:rPr>
          <w:rFonts w:hint="eastAsia" w:asciiTheme="minorEastAsia" w:hAnsiTheme="minorEastAsia" w:eastAsiaTheme="minorEastAsia" w:cstheme="minorEastAsia"/>
          <w:b/>
          <w:color w:val="000000"/>
          <w:sz w:val="32"/>
          <w:szCs w:val="32"/>
        </w:rPr>
        <w:t xml:space="preserve">二○二六年七月</w:t>
      </w:r>
      <w:r/>
    </w:p>
    <w:p>
      <w:pPr>
        <w:jc w:val="center"/>
        <w:spacing w:line="520" w:lineRule="exact"/>
        <w:rPr>
          <w:rFonts w:asciiTheme="minorEastAsia" w:hAnsiTheme="minorEastAsia" w:eastAsiaTheme="minorEastAsia" w:cstheme="minorEastAsia"/>
          <w:b/>
          <w:bCs/>
          <w:spacing w:val="-3"/>
          <w:sz w:val="32"/>
          <w:szCs w:val="32"/>
        </w:rPr>
      </w:pPr>
      <w:r>
        <w:rPr>
          <w:rFonts w:hint="eastAsia" w:asciiTheme="minorEastAsia" w:hAnsiTheme="minorEastAsia" w:eastAsiaTheme="minorEastAsia" w:cstheme="minorEastAsia"/>
          <w:b/>
          <w:spacing w:val="20"/>
          <w:sz w:val="84"/>
        </w:rPr>
        <w:br w:type="page" w:clear="all"/>
      </w:r>
      <w:r>
        <w:rPr>
          <w:rFonts w:hint="eastAsia" w:asciiTheme="minorEastAsia" w:hAnsiTheme="minorEastAsia" w:eastAsiaTheme="minorEastAsia" w:cstheme="minorEastAsia"/>
          <w:b/>
          <w:bCs/>
          <w:sz w:val="32"/>
          <w:szCs w:val="32"/>
        </w:rPr>
        <w:t xml:space="preserve">政府采购线上合同信用融资功能告知提醒</w:t>
      </w:r>
      <w:r/>
    </w:p>
    <w:p>
      <w:pPr>
        <w:pStyle w:val="1050"/>
        <w:ind w:left="640"/>
        <w:jc w:val="both"/>
        <w:spacing w:before="0" w:beforeAutospacing="0" w:after="0" w:afterAutospacing="0" w:line="400" w:lineRule="exact"/>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一、政府采购线上合同信用融资功能告知提醒</w:t>
      </w:r>
      <w:r/>
    </w:p>
    <w:p>
      <w:pPr>
        <w:ind w:firstLine="564"/>
        <w:spacing w:line="400" w:lineRule="exact"/>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我区已正式启用“苏采云”系统，目前已全面开</w:t>
      </w:r>
      <w:r>
        <w:rPr>
          <w:rFonts w:hint="eastAsia" w:asciiTheme="minorEastAsia" w:hAnsiTheme="minorEastAsia" w:eastAsiaTheme="minorEastAsia" w:cstheme="minorEastAsia"/>
          <w:spacing w:val="11"/>
          <w:sz w:val="24"/>
        </w:rPr>
        <w:t xml:space="preserve">通</w:t>
      </w:r>
      <w:r>
        <w:rPr>
          <w:rFonts w:hint="eastAsia" w:asciiTheme="minorEastAsia" w:hAnsiTheme="minorEastAsia" w:eastAsiaTheme="minorEastAsia" w:cstheme="minorEastAsia"/>
          <w:spacing w:val="1"/>
          <w:sz w:val="24"/>
        </w:rPr>
        <w:t xml:space="preserve">政府采购线上合同信用融资（以下简称“政采贷”）功能。成交供应商可凭政府采购合同在中征平台发起贷款申请贷款。</w:t>
      </w:r>
      <w:r/>
    </w:p>
    <w:p>
      <w:pPr>
        <w:pStyle w:val="1050"/>
        <w:ind w:left="640"/>
        <w:jc w:val="both"/>
        <w:spacing w:before="0" w:beforeAutospacing="0" w:after="0" w:afterAutospacing="0" w:line="400" w:lineRule="exact"/>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1.“政采贷”业务流程</w:t>
      </w:r>
      <w:r/>
    </w:p>
    <w:p>
      <w:pPr>
        <w:pStyle w:val="1050"/>
        <w:jc w:val="both"/>
        <w:spacing w:before="0" w:beforeAutospacing="0" w:after="0" w:afterAutospacing="0" w:line="400" w:lineRule="exact"/>
        <w:rPr>
          <w:rFonts w:asciiTheme="minorEastAsia" w:hAnsiTheme="minorEastAsia" w:eastAsiaTheme="minorEastAsia" w:cstheme="minorEastAsia"/>
        </w:rPr>
      </w:pPr>
      <w:r>
        <w:rPr>
          <w:rFonts w:asciiTheme="minorEastAsia" w:hAnsiTheme="minorEastAsia" w:eastAsiaTheme="minorEastAsia" w:cs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251460</wp:posOffset>
                </wp:positionH>
                <wp:positionV relativeFrom="paragraph">
                  <wp:posOffset>8890</wp:posOffset>
                </wp:positionV>
                <wp:extent cx="5267960" cy="1553210"/>
                <wp:effectExtent l="0" t="0" r="8890" b="8890"/>
                <wp:wrapNone/>
                <wp:docPr id="3"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6"/>
                        <pic:cNvPicPr>
                          <a:picLocks noChangeAspect="1"/>
                        </pic:cNvPicPr>
                        <pic:nvPr/>
                      </pic:nvPicPr>
                      <pic:blipFill>
                        <a:blip r:embed="rId13"/>
                        <a:stretch/>
                      </pic:blipFill>
                      <pic:spPr bwMode="auto">
                        <a:xfrm>
                          <a:off x="0" y="0"/>
                          <a:ext cx="5267960" cy="15532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9.8pt;mso-position-horizontal:absolute;mso-position-vertical-relative:text;margin-top:0.7pt;mso-position-vertical:absolute;width:414.8pt;height:122.3pt;mso-wrap-distance-left:9.0pt;mso-wrap-distance-top:0.0pt;mso-wrap-distance-right:9.0pt;mso-wrap-distance-bottom:0.0pt;" stroked="f">
                <v:path textboxrect="0,0,0,0"/>
                <v:imagedata r:id="rId13" o:title=""/>
              </v:shape>
            </w:pict>
          </mc:Fallback>
        </mc:AlternateContent>
      </w:r>
      <w:r/>
    </w:p>
    <w:p>
      <w:pPr>
        <w:pStyle w:val="1050"/>
        <w:ind w:left="640"/>
        <w:jc w:val="both"/>
        <w:spacing w:before="0" w:beforeAutospacing="0" w:after="0" w:afterAutospacing="0" w:line="400" w:lineRule="exact"/>
        <w:rPr>
          <w:rFonts w:asciiTheme="minorEastAsia" w:hAnsiTheme="minorEastAsia" w:eastAsiaTheme="minorEastAsia" w:cstheme="minorEastAsia"/>
          <w:b/>
          <w:bCs/>
        </w:rPr>
      </w:pPr>
      <w:r>
        <w:rPr>
          <w:rFonts w:asciiTheme="minorEastAsia" w:hAnsiTheme="minorEastAsia" w:eastAsiaTheme="minorEastAsia" w:cstheme="minorEastAsia"/>
          <w:b/>
          <w:bCs/>
        </w:rPr>
      </w:r>
      <w:r/>
    </w:p>
    <w:p>
      <w:pPr>
        <w:pStyle w:val="1050"/>
        <w:ind w:left="640"/>
        <w:jc w:val="both"/>
        <w:spacing w:before="0" w:beforeAutospacing="0" w:after="0" w:afterAutospacing="0" w:line="400" w:lineRule="exact"/>
        <w:rPr>
          <w:rFonts w:asciiTheme="minorEastAsia" w:hAnsiTheme="minorEastAsia" w:eastAsiaTheme="minorEastAsia" w:cstheme="minorEastAsia"/>
          <w:b/>
          <w:bCs/>
        </w:rPr>
      </w:pPr>
      <w:r>
        <w:rPr>
          <w:rFonts w:asciiTheme="minorEastAsia" w:hAnsiTheme="minorEastAsia" w:eastAsiaTheme="minorEastAsia" w:cstheme="minorEastAsia"/>
          <w:b/>
          <w:bCs/>
        </w:rPr>
      </w:r>
      <w:r/>
    </w:p>
    <w:p>
      <w:pPr>
        <w:pStyle w:val="1050"/>
        <w:ind w:left="640"/>
        <w:jc w:val="both"/>
        <w:spacing w:before="0" w:beforeAutospacing="0" w:after="0" w:afterAutospacing="0" w:line="400" w:lineRule="exact"/>
        <w:rPr>
          <w:rFonts w:asciiTheme="minorEastAsia" w:hAnsiTheme="minorEastAsia" w:eastAsiaTheme="minorEastAsia" w:cstheme="minorEastAsia"/>
          <w:b/>
          <w:bCs/>
        </w:rPr>
      </w:pPr>
      <w:r>
        <w:rPr>
          <w:rFonts w:asciiTheme="minorEastAsia" w:hAnsiTheme="minorEastAsia" w:eastAsiaTheme="minorEastAsia" w:cstheme="minorEastAsia"/>
          <w:b/>
          <w:bCs/>
        </w:rPr>
      </w:r>
      <w:r/>
    </w:p>
    <w:p>
      <w:pPr>
        <w:pStyle w:val="1050"/>
        <w:ind w:left="640"/>
        <w:jc w:val="both"/>
        <w:spacing w:before="0" w:beforeAutospacing="0" w:after="0" w:afterAutospacing="0" w:line="400" w:lineRule="exact"/>
        <w:rPr>
          <w:rFonts w:asciiTheme="minorEastAsia" w:hAnsiTheme="minorEastAsia" w:eastAsiaTheme="minorEastAsia" w:cstheme="minorEastAsia"/>
          <w:b/>
          <w:bCs/>
        </w:rPr>
      </w:pPr>
      <w:r>
        <w:rPr>
          <w:rFonts w:asciiTheme="minorEastAsia" w:hAnsiTheme="minorEastAsia" w:eastAsiaTheme="minorEastAsia" w:cstheme="minorEastAsia"/>
          <w:b/>
          <w:bCs/>
        </w:rPr>
      </w:r>
      <w:r/>
    </w:p>
    <w:p>
      <w:pPr>
        <w:pStyle w:val="1050"/>
        <w:ind w:left="640"/>
        <w:jc w:val="both"/>
        <w:spacing w:before="0" w:beforeAutospacing="0" w:after="0" w:afterAutospacing="0" w:line="400" w:lineRule="exact"/>
        <w:rPr>
          <w:rFonts w:asciiTheme="minorEastAsia" w:hAnsiTheme="minorEastAsia" w:eastAsiaTheme="minorEastAsia" w:cstheme="minorEastAsia"/>
          <w:b/>
          <w:bCs/>
        </w:rPr>
      </w:pPr>
      <w:r>
        <w:rPr>
          <w:rFonts w:asciiTheme="minorEastAsia" w:hAnsiTheme="minorEastAsia" w:eastAsiaTheme="minorEastAsia" w:cstheme="minorEastAsia"/>
          <w:b/>
          <w:bCs/>
        </w:rPr>
      </w:r>
      <w:r/>
    </w:p>
    <w:p>
      <w:pPr>
        <w:pStyle w:val="1050"/>
        <w:ind w:left="640"/>
        <w:jc w:val="both"/>
        <w:spacing w:before="0" w:beforeAutospacing="0" w:after="0" w:afterAutospacing="0" w:line="350" w:lineRule="exact"/>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2.操作流程</w:t>
      </w:r>
      <w:r/>
    </w:p>
    <w:p>
      <w:pPr>
        <w:pStyle w:val="1050"/>
        <w:ind w:firstLine="480"/>
        <w:jc w:val="both"/>
        <w:spacing w:before="0" w:beforeAutospacing="0" w:after="0" w:afterAutospacing="0" w:line="35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1050"/>
        <w:ind w:left="640"/>
        <w:jc w:val="both"/>
        <w:spacing w:before="0" w:beforeAutospacing="0" w:after="0" w:afterAutospacing="0" w:line="350" w:lineRule="exact"/>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3.常见问题</w:t>
      </w:r>
      <w:r/>
    </w:p>
    <w:p>
      <w:pPr>
        <w:pStyle w:val="1050"/>
        <w:jc w:val="both"/>
        <w:spacing w:before="0" w:beforeAutospacing="0" w:after="0" w:afterAutospacing="0" w:line="35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Q1：哪些企业能申请“政采贷”？</w:t>
      </w:r>
      <w:r/>
    </w:p>
    <w:p>
      <w:pPr>
        <w:pStyle w:val="1050"/>
        <w:jc w:val="both"/>
        <w:spacing w:before="0" w:beforeAutospacing="0" w:after="0" w:afterAutospacing="0" w:line="35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答：江苏省内采用国库集中支付的政府采购项目的中标供应商，可凭政府采购合同申请"政采贷"。</w:t>
      </w:r>
      <w:r/>
    </w:p>
    <w:p>
      <w:pPr>
        <w:pStyle w:val="1050"/>
        <w:jc w:val="both"/>
        <w:spacing w:before="0" w:beforeAutospacing="0" w:after="0" w:afterAutospacing="0" w:line="35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Q2：供应商在哪里申请“政采贷”？</w:t>
      </w:r>
      <w:r/>
    </w:p>
    <w:p>
      <w:pPr>
        <w:pStyle w:val="1050"/>
        <w:jc w:val="both"/>
        <w:spacing w:before="0" w:beforeAutospacing="0" w:after="0" w:afterAutospacing="0" w:line="35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答：中标供应商在“中征应收账款融资服务平台”（简称“中征平台”）上向意向银行发起融资申请</w:t>
      </w:r>
      <w:r/>
    </w:p>
    <w:p>
      <w:pPr>
        <w:pStyle w:val="1050"/>
        <w:jc w:val="both"/>
        <w:spacing w:before="0" w:beforeAutospacing="0" w:after="0" w:afterAutospacing="0" w:line="35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Q3：中标供应商要注意什么？</w:t>
      </w:r>
      <w:r/>
    </w:p>
    <w:p>
      <w:pPr>
        <w:pStyle w:val="1050"/>
        <w:jc w:val="both"/>
        <w:spacing w:before="0" w:beforeAutospacing="0" w:after="0" w:afterAutospacing="0" w:line="35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答：中标供应商要加强和采购单位的沟通协调，尽早确定融资需求。需要“政采贷”融资的，政府采购合同付款账号应当空置。</w:t>
      </w:r>
      <w:r/>
    </w:p>
    <w:p>
      <w:pPr>
        <w:pStyle w:val="1050"/>
        <w:jc w:val="both"/>
        <w:spacing w:before="0" w:beforeAutospacing="0" w:after="0" w:afterAutospacing="0" w:line="35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Q4：采购单位要做什么？</w:t>
      </w:r>
      <w:r/>
    </w:p>
    <w:p>
      <w:pPr>
        <w:pStyle w:val="1050"/>
        <w:jc w:val="both"/>
        <w:spacing w:before="0" w:beforeAutospacing="0" w:after="0" w:afterAutospacing="0" w:line="35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答：采购单位在“苏采云”系统中公示政府采购合同时，要勾选融资标识，为中标供应商融资提供便利。如后续融资失败，采购单位要及时维护中标供应商相关账号信息，按时支付款项。</w:t>
      </w:r>
      <w:r/>
    </w:p>
    <w:p>
      <w:pPr>
        <w:pStyle w:val="1050"/>
        <w:jc w:val="both"/>
        <w:spacing w:before="0" w:beforeAutospacing="0" w:after="0" w:afterAutospacing="0" w:line="35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Q5：“政采贷”融资失败怎么办？</w:t>
      </w:r>
      <w:r/>
    </w:p>
    <w:p>
      <w:pPr>
        <w:pStyle w:val="1050"/>
        <w:jc w:val="both"/>
        <w:spacing w:before="0" w:beforeAutospacing="0" w:after="0" w:afterAutospacing="0" w:line="35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答：经合作银行审核后不予放款，或者贷款审核时间超过10个工作日的，视为融资失败，该项目回到财政预算管理一体化系统中支付资金。融资失败的，无法重新线上申请“政采贷”。</w:t>
      </w:r>
      <w:r/>
    </w:p>
    <w:p>
      <w:pPr>
        <w:pStyle w:val="1050"/>
        <w:ind w:left="640"/>
        <w:jc w:val="both"/>
        <w:spacing w:before="0" w:beforeAutospacing="0" w:after="0" w:afterAutospacing="0" w:line="350" w:lineRule="exact"/>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4.网址及联系方式</w:t>
      </w:r>
      <w:r/>
    </w:p>
    <w:p>
      <w:pPr>
        <w:jc w:val="left"/>
        <w:spacing w:line="350" w:lineRule="exact"/>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政采贷：</w:t>
      </w:r>
      <w:r>
        <w:fldChar w:fldCharType="begin"/>
      </w:r>
      <w:r>
        <w:instrText xml:space="preserve"> HYPERLINK "http://www.ccgp-jiangsu.gov.cn/jiangsu/paying.html" </w:instrText>
      </w:r>
      <w:r>
        <w:fldChar w:fldCharType="separate"/>
      </w:r>
      <w:r>
        <w:rPr>
          <w:rStyle w:val="966"/>
          <w:rFonts w:hint="eastAsia" w:asciiTheme="minorEastAsia" w:hAnsiTheme="minorEastAsia" w:eastAsiaTheme="minorEastAsia" w:cstheme="minorEastAsia"/>
          <w:spacing w:val="1"/>
          <w:sz w:val="24"/>
        </w:rPr>
        <w:t xml:space="preserve">http://www.ccgp-jiangsu.gov.cn/jiangsu/paying.html</w:t>
      </w:r>
      <w:r>
        <w:rPr>
          <w:rStyle w:val="966"/>
          <w:rFonts w:hint="eastAsia" w:asciiTheme="minorEastAsia" w:hAnsiTheme="minorEastAsia" w:eastAsiaTheme="minorEastAsia" w:cstheme="minorEastAsia"/>
          <w:spacing w:val="1"/>
          <w:sz w:val="24"/>
        </w:rPr>
        <w:fldChar w:fldCharType="end"/>
      </w:r>
      <w:r/>
    </w:p>
    <w:p>
      <w:pPr>
        <w:jc w:val="left"/>
        <w:spacing w:line="350" w:lineRule="exact"/>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中征平台：</w:t>
      </w:r>
      <w:r>
        <w:fldChar w:fldCharType="begin"/>
      </w:r>
      <w:r>
        <w:instrText xml:space="preserve"> HYPERLINK "https://www.crcrfsp.com/" </w:instrText>
      </w:r>
      <w:r>
        <w:fldChar w:fldCharType="separate"/>
      </w:r>
      <w:r>
        <w:rPr>
          <w:rStyle w:val="966"/>
          <w:rFonts w:hint="eastAsia" w:asciiTheme="minorEastAsia" w:hAnsiTheme="minorEastAsia" w:eastAsiaTheme="minorEastAsia" w:cstheme="minorEastAsia"/>
          <w:spacing w:val="1"/>
          <w:sz w:val="24"/>
        </w:rPr>
        <w:t xml:space="preserve">https://www.crcrfsp.com/</w:t>
      </w:r>
      <w:r>
        <w:rPr>
          <w:rStyle w:val="966"/>
          <w:rFonts w:hint="eastAsia" w:asciiTheme="minorEastAsia" w:hAnsiTheme="minorEastAsia" w:eastAsiaTheme="minorEastAsia" w:cstheme="minorEastAsia"/>
          <w:spacing w:val="1"/>
          <w:sz w:val="24"/>
        </w:rPr>
        <w:fldChar w:fldCharType="end"/>
      </w:r>
      <w:r/>
    </w:p>
    <w:p>
      <w:pPr>
        <w:jc w:val="left"/>
        <w:spacing w:line="350" w:lineRule="exact"/>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联系人：翟先生           联系电话：0523-88816349</w:t>
      </w:r>
      <w:r/>
    </w:p>
    <w:p>
      <w:pPr>
        <w:jc w:val="left"/>
        <w:spacing w:line="520" w:lineRule="exact"/>
        <w:rPr>
          <w:rFonts w:asciiTheme="minorEastAsia" w:hAnsiTheme="minorEastAsia" w:eastAsiaTheme="minorEastAsia" w:cstheme="minorEastAsia"/>
          <w:sz w:val="24"/>
          <w:shd w:val="clear" w:color="auto" w:fill="ffffff"/>
        </w:rPr>
      </w:pPr>
      <w:r>
        <w:rPr>
          <w:rFonts w:asciiTheme="minorEastAsia" w:hAnsiTheme="minorEastAsia" w:eastAsiaTheme="minorEastAsia" w:cstheme="minorEastAsia"/>
          <w:sz w:val="24"/>
          <w:shd w:val="clear" w:color="auto" w:fill="ffffff"/>
        </w:rPr>
      </w:r>
      <w:r/>
    </w:p>
    <w:p>
      <w:pPr>
        <w:ind w:firstLine="520"/>
        <w:spacing w:line="520" w:lineRule="exact"/>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二、竞争性谈判、磋商不见面交易注意事项</w:t>
      </w:r>
      <w:r/>
    </w:p>
    <w:p>
      <w:pPr>
        <w:ind w:firstLine="520"/>
        <w:jc w:val="left"/>
        <w:spacing w:line="520" w:lineRule="exact"/>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1.安装调试音视频设备。</w:t>
      </w:r>
      <w:r>
        <w:rPr>
          <w:rFonts w:hint="eastAsia" w:asciiTheme="minorEastAsia" w:hAnsiTheme="minorEastAsia" w:eastAsiaTheme="minorEastAsia" w:cstheme="minorEastAsia"/>
          <w:sz w:val="24"/>
          <w:shd w:val="clear" w:color="auto" w:fill="ffffff"/>
        </w:rPr>
        <w:t xml:space="preserve">各供应商在投标前按照要求装好耳麦、摄像头等通讯工具。</w:t>
      </w:r>
      <w:r/>
    </w:p>
    <w:p>
      <w:pPr>
        <w:ind w:firstLine="520"/>
        <w:jc w:val="left"/>
        <w:spacing w:line="520" w:lineRule="exact"/>
        <w:rPr>
          <w:rFonts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b/>
          <w:bCs/>
          <w:sz w:val="24"/>
        </w:rPr>
        <w:t xml:space="preserve">2.确保音视频畅通。</w:t>
      </w:r>
      <w:r>
        <w:rPr>
          <w:rFonts w:hint="eastAsia" w:asciiTheme="minorEastAsia" w:hAnsiTheme="minorEastAsia" w:eastAsiaTheme="minorEastAsia" w:cstheme="minorEastAsia"/>
          <w:sz w:val="24"/>
          <w:shd w:val="clear" w:color="auto" w:fill="ffffff"/>
        </w:rPr>
        <w:t xml:space="preserve">竞争性谈判、磋商项目需要进行谈判、磋商程序，请各供应商在投标前按照要求对耳麦、摄像头等通讯工具进行最终调试，可以利用微信或qq等相关软件进行测试，确保在谈判、磋商过程可以正常进行。</w:t>
      </w:r>
      <w:r/>
    </w:p>
    <w:p>
      <w:pPr>
        <w:ind w:firstLine="520"/>
        <w:jc w:val="left"/>
        <w:spacing w:line="520" w:lineRule="exact"/>
        <w:rPr>
          <w:rFonts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b/>
          <w:bCs/>
          <w:sz w:val="24"/>
        </w:rPr>
        <w:t xml:space="preserve">3.及时完成最终报价。</w:t>
      </w:r>
      <w:r>
        <w:rPr>
          <w:rFonts w:hint="eastAsia" w:asciiTheme="minorEastAsia" w:hAnsiTheme="minorEastAsia" w:eastAsiaTheme="minorEastAsia" w:cstheme="minorEastAsia"/>
          <w:sz w:val="24"/>
          <w:shd w:val="clear" w:color="auto" w:fill="ffffff"/>
        </w:rPr>
        <w:t xml:space="preserve">竞争性谈判、磋商项目需要供应商进行最终报价，请各供应商在项目评标结束之前不要擅自离开“苏采云”交易系统开标大厅，待评审专家开启最终报价程序后，及时准确完成最终报价。</w:t>
      </w:r>
      <w:r/>
    </w:p>
    <w:p>
      <w:pPr>
        <w:ind w:firstLine="520"/>
        <w:spacing w:line="520" w:lineRule="exact"/>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三、供应商相关法律责任提醒</w:t>
      </w:r>
      <w:r/>
    </w:p>
    <w:p>
      <w:pPr>
        <w:ind w:firstLine="518"/>
        <w:spacing w:line="5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政府采购不见面交易实现了供应商在线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518"/>
        <w:spacing w:line="5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相关法律法规：</w:t>
      </w:r>
      <w:r/>
    </w:p>
    <w:p>
      <w:pPr>
        <w:ind w:firstLine="520"/>
        <w:spacing w:line="5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b/>
          <w:bCs/>
          <w:sz w:val="24"/>
        </w:rPr>
        <w:t xml:space="preserve">《政府采购法》</w:t>
      </w:r>
      <w:r>
        <w:rPr>
          <w:rFonts w:hint="eastAsia" w:asciiTheme="minorEastAsia" w:hAnsiTheme="minorEastAsia" w:eastAsiaTheme="minorEastAsia" w:cstheme="minorEastAsia"/>
          <w:sz w:val="24"/>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18"/>
        <w:spacing w:line="5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（一）提供虚假材料谋取中标、成交的；</w:t>
      </w:r>
      <w:r/>
    </w:p>
    <w:p>
      <w:pPr>
        <w:ind w:firstLine="518"/>
        <w:spacing w:line="5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（二）采取不正当手段诋毁、排挤其他供应商的；</w:t>
      </w:r>
      <w:r/>
    </w:p>
    <w:p>
      <w:pPr>
        <w:ind w:firstLine="518"/>
        <w:spacing w:line="5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（三）与采购人、其他供应商或者采购代理机构恶意串通的；</w:t>
      </w:r>
      <w:r/>
    </w:p>
    <w:p>
      <w:pPr>
        <w:ind w:firstLine="518"/>
        <w:spacing w:line="5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（四）向采购人、采购代理机构行贿或者提供其他不正当利益的；</w:t>
      </w:r>
      <w:r/>
    </w:p>
    <w:p>
      <w:pPr>
        <w:ind w:firstLine="518"/>
        <w:spacing w:line="5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（五）在招标采购过程中与采购人进行协商谈判的；</w:t>
      </w:r>
      <w:r/>
    </w:p>
    <w:p>
      <w:pPr>
        <w:ind w:firstLine="518"/>
        <w:spacing w:line="5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（六）拒绝有关部门监督检查或者提供虚假情况的。</w:t>
      </w:r>
      <w:r/>
    </w:p>
    <w:p>
      <w:pPr>
        <w:ind w:firstLine="518"/>
        <w:spacing w:line="5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供应商有前款第（一）至（五）项情形之一的，中标、成交无效。</w:t>
      </w:r>
      <w:r/>
    </w:p>
    <w:p>
      <w:pPr>
        <w:ind w:firstLine="520"/>
        <w:spacing w:line="5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b/>
          <w:bCs/>
          <w:sz w:val="24"/>
        </w:rPr>
        <w:t xml:space="preserve">《政府采购法实施条例》</w:t>
      </w:r>
      <w:r>
        <w:rPr>
          <w:rFonts w:hint="eastAsia" w:asciiTheme="minorEastAsia" w:hAnsiTheme="minorEastAsia" w:eastAsiaTheme="minorEastAsia" w:cstheme="minorEastAsia"/>
          <w:sz w:val="24"/>
        </w:rPr>
        <w:t xml:space="preserve">第七十二条　供应商有下列情形之一的，依照政府采购法第七十七条第一款的规定追究法律责任：</w:t>
      </w:r>
      <w:r/>
    </w:p>
    <w:p>
      <w:pPr>
        <w:ind w:firstLine="518"/>
        <w:spacing w:line="5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（一）向评标委员会、竞争性谈判小组或者询价小组成员行贿或者提供其他不正当利益；</w:t>
      </w:r>
      <w:r/>
    </w:p>
    <w:p>
      <w:pPr>
        <w:ind w:firstLine="518"/>
        <w:spacing w:line="5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（二）中标或者成交后无正当理由拒不与采购人签订政府采购合同；</w:t>
      </w:r>
      <w:r/>
    </w:p>
    <w:p>
      <w:pPr>
        <w:ind w:firstLine="518"/>
        <w:spacing w:line="5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（三）未按照采购文件确定的事项签订政府采购合同；</w:t>
      </w:r>
      <w:r/>
    </w:p>
    <w:p>
      <w:pPr>
        <w:ind w:firstLine="518"/>
        <w:spacing w:line="5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（四）将政府采购合同转包；</w:t>
      </w:r>
      <w:r/>
    </w:p>
    <w:p>
      <w:pPr>
        <w:ind w:firstLine="518"/>
        <w:spacing w:line="5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（五）提供假冒伪劣产品；</w:t>
      </w:r>
      <w:r/>
    </w:p>
    <w:p>
      <w:pPr>
        <w:ind w:firstLine="518"/>
        <w:spacing w:line="5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（六）擅自变更、中止或者终止政府采购合同。</w:t>
      </w:r>
      <w:r/>
    </w:p>
    <w:p>
      <w:pPr>
        <w:ind w:firstLine="518"/>
        <w:spacing w:line="5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jc w:val="left"/>
        <w:spacing w:line="350" w:lineRule="exact"/>
        <w:rPr>
          <w:rFonts w:asciiTheme="minorEastAsia" w:hAnsiTheme="minorEastAsia" w:eastAsiaTheme="minorEastAsia" w:cstheme="minorEastAsia"/>
          <w:spacing w:val="1"/>
          <w:sz w:val="24"/>
        </w:rPr>
      </w:pPr>
      <w:r>
        <w:rPr>
          <w:rFonts w:asciiTheme="minorEastAsia" w:hAnsiTheme="minorEastAsia" w:eastAsiaTheme="minorEastAsia" w:cstheme="minorEastAsia"/>
          <w:spacing w:val="1"/>
          <w:sz w:val="24"/>
        </w:rPr>
      </w:r>
      <w:r/>
    </w:p>
    <w:p>
      <w:pPr>
        <w:jc w:val="center"/>
        <w:spacing w:line="500" w:lineRule="exact"/>
        <w:rPr>
          <w:rFonts w:asciiTheme="minorEastAsia" w:hAnsiTheme="minorEastAsia" w:eastAsiaTheme="minorEastAsia" w:cstheme="minorEastAsia"/>
          <w:bCs/>
          <w:sz w:val="44"/>
          <w:szCs w:val="44"/>
        </w:rPr>
      </w:pPr>
      <w:r>
        <w:rPr>
          <w:rFonts w:hint="eastAsia" w:asciiTheme="minorEastAsia" w:hAnsiTheme="minorEastAsia" w:eastAsiaTheme="minorEastAsia" w:cstheme="minorEastAsia"/>
          <w:b/>
          <w:sz w:val="44"/>
          <w:szCs w:val="44"/>
        </w:rPr>
        <w:br w:type="page" w:clear="all"/>
      </w:r>
      <w:r>
        <w:rPr>
          <w:rFonts w:hint="eastAsia" w:asciiTheme="minorEastAsia" w:hAnsiTheme="minorEastAsia" w:eastAsiaTheme="minorEastAsia" w:cstheme="minorEastAsia"/>
          <w:bCs/>
          <w:sz w:val="44"/>
          <w:szCs w:val="44"/>
        </w:rPr>
        <w:t xml:space="preserve">目    录</w:t>
      </w:r>
      <w:r/>
    </w:p>
    <w:p>
      <w:pPr>
        <w:jc w:val="center"/>
        <w:spacing w:line="500" w:lineRule="exact"/>
        <w:rPr>
          <w:rFonts w:asciiTheme="minorEastAsia" w:hAnsiTheme="minorEastAsia" w:eastAsiaTheme="minorEastAsia" w:cstheme="minorEastAsia"/>
          <w:b/>
          <w:sz w:val="44"/>
          <w:szCs w:val="44"/>
        </w:rPr>
      </w:pPr>
      <w:r>
        <w:rPr>
          <w:rFonts w:asciiTheme="minorEastAsia" w:hAnsiTheme="minorEastAsia" w:eastAsiaTheme="minorEastAsia" w:cstheme="minorEastAsia"/>
          <w:b/>
          <w:sz w:val="44"/>
          <w:szCs w:val="44"/>
        </w:rPr>
      </w:r>
      <w:r/>
    </w:p>
    <w:p>
      <w:pPr>
        <w:pStyle w:val="759"/>
        <w:spacing w:line="360" w:lineRule="auto"/>
        <w:tabs>
          <w:tab w:val="right" w:pos="9525" w:leader="dot"/>
        </w:tabs>
        <w:rPr>
          <w:rFonts w:asciiTheme="minorEastAsia" w:hAnsiTheme="minorEastAsia" w:eastAsiaTheme="minorEastAsia" w:cstheme="minorEastAsia"/>
          <w:b w:val="0"/>
          <w:sz w:val="28"/>
          <w:szCs w:val="28"/>
        </w:rPr>
      </w:pPr>
      <w:r/>
      <w:bookmarkStart w:id="0" w:name="OLE_LINK1"/>
      <w:r/>
      <w:bookmarkStart w:id="1" w:name="OLE_LINK2"/>
      <w:r>
        <w:rPr>
          <w:rFonts w:hint="eastAsia" w:asciiTheme="minorEastAsia" w:hAnsiTheme="minorEastAsia" w:eastAsiaTheme="minorEastAsia" w:cstheme="minorEastAsia"/>
          <w:b w:val="0"/>
          <w:sz w:val="32"/>
          <w:szCs w:val="32"/>
        </w:rPr>
        <w:fldChar w:fldCharType="begin"/>
      </w:r>
      <w:r>
        <w:rPr>
          <w:rFonts w:hint="eastAsia" w:asciiTheme="minorEastAsia" w:hAnsiTheme="minorEastAsia" w:eastAsiaTheme="minorEastAsia" w:cstheme="minorEastAsia"/>
          <w:b w:val="0"/>
          <w:sz w:val="32"/>
          <w:szCs w:val="32"/>
        </w:rPr>
        <w:instrText xml:space="preserve">TOC \o "1-1" \h \u </w:instrText>
      </w:r>
      <w:r>
        <w:rPr>
          <w:rFonts w:hint="eastAsia" w:asciiTheme="minorEastAsia" w:hAnsiTheme="minorEastAsia" w:eastAsiaTheme="minorEastAsia" w:cstheme="minorEastAsia"/>
          <w:b w:val="0"/>
          <w:sz w:val="32"/>
          <w:szCs w:val="32"/>
        </w:rPr>
        <w:fldChar w:fldCharType="separate"/>
      </w:r>
      <w:r>
        <w:fldChar w:fldCharType="begin"/>
      </w:r>
      <w:r>
        <w:instrText xml:space="preserve"> HYPERLINK \l "_Toc27062" </w:instrText>
      </w:r>
      <w:r>
        <w:fldChar w:fldCharType="separate"/>
      </w:r>
      <w:r>
        <w:rPr>
          <w:rFonts w:hint="eastAsia" w:asciiTheme="minorEastAsia" w:hAnsiTheme="minorEastAsia" w:eastAsiaTheme="minorEastAsia" w:cstheme="minorEastAsia"/>
          <w:b w:val="0"/>
          <w:sz w:val="28"/>
          <w:szCs w:val="28"/>
        </w:rPr>
        <w:t xml:space="preserve">第一章 竞争性磋商公告</w:t>
      </w:r>
      <w:r>
        <w:rPr>
          <w:rFonts w:hint="eastAsia" w:asciiTheme="minorEastAsia" w:hAnsiTheme="minorEastAsia" w:eastAsiaTheme="minorEastAsia" w:cstheme="minorEastAsia"/>
          <w:b w:val="0"/>
          <w:sz w:val="28"/>
          <w:szCs w:val="28"/>
        </w:rPr>
        <w:tab/>
      </w:r>
      <w:r>
        <w:rPr>
          <w:rFonts w:hint="eastAsia" w:asciiTheme="minorEastAsia" w:hAnsiTheme="minorEastAsia" w:eastAsiaTheme="minorEastAsia" w:cstheme="minorEastAsia"/>
          <w:b w:val="0"/>
          <w:sz w:val="28"/>
          <w:szCs w:val="28"/>
        </w:rPr>
        <w:fldChar w:fldCharType="begin"/>
      </w:r>
      <w:r>
        <w:rPr>
          <w:rFonts w:hint="eastAsia" w:asciiTheme="minorEastAsia" w:hAnsiTheme="minorEastAsia" w:eastAsiaTheme="minorEastAsia" w:cstheme="minorEastAsia"/>
          <w:b w:val="0"/>
          <w:sz w:val="28"/>
          <w:szCs w:val="28"/>
        </w:rPr>
        <w:instrText xml:space="preserve"> PAGEREF _Toc27062 \h </w:instrText>
      </w:r>
      <w:r>
        <w:rPr>
          <w:rFonts w:hint="eastAsia" w:asciiTheme="minorEastAsia" w:hAnsiTheme="minorEastAsia" w:eastAsiaTheme="minorEastAsia" w:cstheme="minorEastAsia"/>
          <w:b w:val="0"/>
          <w:sz w:val="28"/>
          <w:szCs w:val="28"/>
        </w:rPr>
        <w:fldChar w:fldCharType="separate"/>
      </w:r>
      <w:r>
        <w:rPr>
          <w:rFonts w:hint="eastAsia" w:asciiTheme="minorEastAsia" w:hAnsiTheme="minorEastAsia" w:eastAsiaTheme="minorEastAsia" w:cstheme="minorEastAsia"/>
          <w:b w:val="0"/>
          <w:sz w:val="28"/>
          <w:szCs w:val="28"/>
        </w:rPr>
        <w:t xml:space="preserve">1</w:t>
      </w:r>
      <w:r>
        <w:rPr>
          <w:rFonts w:hint="eastAsia" w:asciiTheme="minorEastAsia" w:hAnsiTheme="minorEastAsia" w:eastAsiaTheme="minorEastAsia" w:cstheme="minorEastAsia"/>
          <w:b w:val="0"/>
          <w:sz w:val="28"/>
          <w:szCs w:val="28"/>
        </w:rPr>
        <w:fldChar w:fldCharType="end"/>
      </w:r>
      <w:r>
        <w:rPr>
          <w:rFonts w:hint="eastAsia" w:asciiTheme="minorEastAsia" w:hAnsiTheme="minorEastAsia" w:eastAsiaTheme="minorEastAsia" w:cstheme="minorEastAsia"/>
          <w:b w:val="0"/>
          <w:sz w:val="28"/>
          <w:szCs w:val="28"/>
        </w:rPr>
        <w:fldChar w:fldCharType="end"/>
      </w:r>
      <w:r/>
    </w:p>
    <w:p>
      <w:pPr>
        <w:pStyle w:val="759"/>
        <w:spacing w:line="360" w:lineRule="auto"/>
        <w:tabs>
          <w:tab w:val="right" w:pos="9525" w:leader="dot"/>
        </w:tabs>
        <w:rPr>
          <w:rFonts w:asciiTheme="minorEastAsia" w:hAnsiTheme="minorEastAsia" w:eastAsiaTheme="minorEastAsia" w:cstheme="minorEastAsia"/>
          <w:b w:val="0"/>
          <w:sz w:val="28"/>
          <w:szCs w:val="28"/>
        </w:rPr>
      </w:pPr>
      <w:r>
        <w:fldChar w:fldCharType="begin"/>
      </w:r>
      <w:r>
        <w:instrText xml:space="preserve"> HYPERLINK \l "_Toc3410" </w:instrText>
      </w:r>
      <w:r>
        <w:fldChar w:fldCharType="separate"/>
      </w:r>
      <w:r>
        <w:rPr>
          <w:rFonts w:hint="eastAsia" w:asciiTheme="minorEastAsia" w:hAnsiTheme="minorEastAsia" w:eastAsiaTheme="minorEastAsia" w:cstheme="minorEastAsia"/>
          <w:b w:val="0"/>
          <w:sz w:val="28"/>
          <w:szCs w:val="28"/>
        </w:rPr>
        <w:t xml:space="preserve">第二章 参加磋商供应商须知</w:t>
      </w:r>
      <w:r>
        <w:rPr>
          <w:rFonts w:hint="eastAsia" w:asciiTheme="minorEastAsia" w:hAnsiTheme="minorEastAsia" w:eastAsiaTheme="minorEastAsia" w:cstheme="minorEastAsia"/>
          <w:b w:val="0"/>
          <w:sz w:val="28"/>
          <w:szCs w:val="28"/>
        </w:rPr>
        <w:tab/>
      </w:r>
      <w:r>
        <w:rPr>
          <w:rFonts w:hint="eastAsia" w:asciiTheme="minorEastAsia" w:hAnsiTheme="minorEastAsia" w:eastAsiaTheme="minorEastAsia" w:cstheme="minorEastAsia"/>
          <w:b w:val="0"/>
          <w:sz w:val="28"/>
          <w:szCs w:val="28"/>
        </w:rPr>
        <w:fldChar w:fldCharType="begin"/>
      </w:r>
      <w:r>
        <w:rPr>
          <w:rFonts w:hint="eastAsia" w:asciiTheme="minorEastAsia" w:hAnsiTheme="minorEastAsia" w:eastAsiaTheme="minorEastAsia" w:cstheme="minorEastAsia"/>
          <w:b w:val="0"/>
          <w:sz w:val="28"/>
          <w:szCs w:val="28"/>
        </w:rPr>
        <w:instrText xml:space="preserve"> PAGEREF _Toc3410 \h </w:instrText>
      </w:r>
      <w:r>
        <w:rPr>
          <w:rFonts w:hint="eastAsia" w:asciiTheme="minorEastAsia" w:hAnsiTheme="minorEastAsia" w:eastAsiaTheme="minorEastAsia" w:cstheme="minorEastAsia"/>
          <w:b w:val="0"/>
          <w:sz w:val="28"/>
          <w:szCs w:val="28"/>
        </w:rPr>
        <w:fldChar w:fldCharType="separate"/>
      </w:r>
      <w:r>
        <w:rPr>
          <w:rFonts w:hint="eastAsia" w:asciiTheme="minorEastAsia" w:hAnsiTheme="minorEastAsia" w:eastAsiaTheme="minorEastAsia" w:cstheme="minorEastAsia"/>
          <w:b w:val="0"/>
          <w:sz w:val="28"/>
          <w:szCs w:val="28"/>
        </w:rPr>
        <w:t xml:space="preserve">5</w:t>
      </w:r>
      <w:r>
        <w:rPr>
          <w:rFonts w:hint="eastAsia" w:asciiTheme="minorEastAsia" w:hAnsiTheme="minorEastAsia" w:eastAsiaTheme="minorEastAsia" w:cstheme="minorEastAsia"/>
          <w:b w:val="0"/>
          <w:sz w:val="28"/>
          <w:szCs w:val="28"/>
        </w:rPr>
        <w:fldChar w:fldCharType="end"/>
      </w:r>
      <w:r>
        <w:rPr>
          <w:rFonts w:hint="eastAsia" w:asciiTheme="minorEastAsia" w:hAnsiTheme="minorEastAsia" w:eastAsiaTheme="minorEastAsia" w:cstheme="minorEastAsia"/>
          <w:b w:val="0"/>
          <w:sz w:val="28"/>
          <w:szCs w:val="28"/>
        </w:rPr>
        <w:fldChar w:fldCharType="end"/>
      </w:r>
      <w:r/>
    </w:p>
    <w:p>
      <w:pPr>
        <w:pStyle w:val="759"/>
        <w:spacing w:line="360" w:lineRule="auto"/>
        <w:tabs>
          <w:tab w:val="right" w:pos="9525" w:leader="dot"/>
        </w:tabs>
        <w:rPr>
          <w:rFonts w:asciiTheme="minorEastAsia" w:hAnsiTheme="minorEastAsia" w:eastAsiaTheme="minorEastAsia" w:cstheme="minorEastAsia"/>
          <w:b w:val="0"/>
          <w:sz w:val="28"/>
          <w:szCs w:val="28"/>
        </w:rPr>
      </w:pPr>
      <w:r>
        <w:fldChar w:fldCharType="begin"/>
      </w:r>
      <w:r>
        <w:instrText xml:space="preserve"> HYPERLINK \l "_Toc14422" </w:instrText>
      </w:r>
      <w:r>
        <w:fldChar w:fldCharType="separate"/>
      </w:r>
      <w:r>
        <w:rPr>
          <w:rFonts w:hint="eastAsia" w:asciiTheme="minorEastAsia" w:hAnsiTheme="minorEastAsia" w:eastAsiaTheme="minorEastAsia" w:cstheme="minorEastAsia"/>
          <w:b w:val="0"/>
          <w:sz w:val="28"/>
          <w:szCs w:val="28"/>
        </w:rPr>
        <w:t xml:space="preserve">第三章 磋商响应要求</w:t>
      </w:r>
      <w:r>
        <w:rPr>
          <w:rFonts w:hint="eastAsia" w:asciiTheme="minorEastAsia" w:hAnsiTheme="minorEastAsia" w:eastAsiaTheme="minorEastAsia" w:cstheme="minorEastAsia"/>
          <w:b w:val="0"/>
          <w:sz w:val="28"/>
          <w:szCs w:val="28"/>
        </w:rPr>
        <w:tab/>
      </w:r>
      <w:r>
        <w:rPr>
          <w:rFonts w:hint="eastAsia" w:asciiTheme="minorEastAsia" w:hAnsiTheme="minorEastAsia" w:eastAsiaTheme="minorEastAsia" w:cstheme="minorEastAsia"/>
          <w:b w:val="0"/>
          <w:sz w:val="28"/>
          <w:szCs w:val="28"/>
        </w:rPr>
        <w:fldChar w:fldCharType="begin"/>
      </w:r>
      <w:r>
        <w:rPr>
          <w:rFonts w:hint="eastAsia" w:asciiTheme="minorEastAsia" w:hAnsiTheme="minorEastAsia" w:eastAsiaTheme="minorEastAsia" w:cstheme="minorEastAsia"/>
          <w:b w:val="0"/>
          <w:sz w:val="28"/>
          <w:szCs w:val="28"/>
        </w:rPr>
        <w:instrText xml:space="preserve"> PAGEREF _Toc14422 \h </w:instrText>
      </w:r>
      <w:r>
        <w:rPr>
          <w:rFonts w:hint="eastAsia" w:asciiTheme="minorEastAsia" w:hAnsiTheme="minorEastAsia" w:eastAsiaTheme="minorEastAsia" w:cstheme="minorEastAsia"/>
          <w:b w:val="0"/>
          <w:sz w:val="28"/>
          <w:szCs w:val="28"/>
        </w:rPr>
        <w:fldChar w:fldCharType="separate"/>
      </w:r>
      <w:r>
        <w:rPr>
          <w:rFonts w:hint="eastAsia" w:asciiTheme="minorEastAsia" w:hAnsiTheme="minorEastAsia" w:eastAsiaTheme="minorEastAsia" w:cstheme="minorEastAsia"/>
          <w:b w:val="0"/>
          <w:sz w:val="28"/>
          <w:szCs w:val="28"/>
        </w:rPr>
        <w:t xml:space="preserve">10</w:t>
      </w:r>
      <w:r>
        <w:rPr>
          <w:rFonts w:hint="eastAsia" w:asciiTheme="minorEastAsia" w:hAnsiTheme="minorEastAsia" w:eastAsiaTheme="minorEastAsia" w:cstheme="minorEastAsia"/>
          <w:b w:val="0"/>
          <w:sz w:val="28"/>
          <w:szCs w:val="28"/>
        </w:rPr>
        <w:fldChar w:fldCharType="end"/>
      </w:r>
      <w:r>
        <w:rPr>
          <w:rFonts w:hint="eastAsia" w:asciiTheme="minorEastAsia" w:hAnsiTheme="minorEastAsia" w:eastAsiaTheme="minorEastAsia" w:cstheme="minorEastAsia"/>
          <w:b w:val="0"/>
          <w:sz w:val="28"/>
          <w:szCs w:val="28"/>
        </w:rPr>
        <w:fldChar w:fldCharType="end"/>
      </w:r>
      <w:r/>
    </w:p>
    <w:p>
      <w:pPr>
        <w:pStyle w:val="759"/>
        <w:spacing w:line="360" w:lineRule="auto"/>
        <w:tabs>
          <w:tab w:val="right" w:pos="9525" w:leader="dot"/>
        </w:tabs>
        <w:rPr>
          <w:rFonts w:asciiTheme="minorEastAsia" w:hAnsiTheme="minorEastAsia" w:eastAsiaTheme="minorEastAsia" w:cstheme="minorEastAsia"/>
          <w:b w:val="0"/>
          <w:sz w:val="28"/>
          <w:szCs w:val="28"/>
        </w:rPr>
      </w:pPr>
      <w:r>
        <w:fldChar w:fldCharType="begin"/>
      </w:r>
      <w:r>
        <w:instrText xml:space="preserve"> HYPERLINK \l "_Toc23926" </w:instrText>
      </w:r>
      <w:r>
        <w:fldChar w:fldCharType="separate"/>
      </w:r>
      <w:r>
        <w:rPr>
          <w:rFonts w:hint="eastAsia" w:asciiTheme="minorEastAsia" w:hAnsiTheme="minorEastAsia" w:eastAsiaTheme="minorEastAsia" w:cstheme="minorEastAsia"/>
          <w:b w:val="0"/>
          <w:sz w:val="28"/>
          <w:szCs w:val="28"/>
        </w:rPr>
        <w:t xml:space="preserve">第四章 采购需求</w:t>
      </w:r>
      <w:r>
        <w:rPr>
          <w:rFonts w:hint="eastAsia" w:asciiTheme="minorEastAsia" w:hAnsiTheme="minorEastAsia" w:eastAsiaTheme="minorEastAsia" w:cstheme="minorEastAsia"/>
          <w:b w:val="0"/>
          <w:sz w:val="28"/>
          <w:szCs w:val="28"/>
        </w:rPr>
        <w:tab/>
      </w:r>
      <w:r>
        <w:rPr>
          <w:rFonts w:hint="eastAsia" w:asciiTheme="minorEastAsia" w:hAnsiTheme="minorEastAsia" w:eastAsiaTheme="minorEastAsia" w:cstheme="minorEastAsia"/>
          <w:b w:val="0"/>
          <w:sz w:val="28"/>
          <w:szCs w:val="28"/>
        </w:rPr>
        <w:fldChar w:fldCharType="begin"/>
      </w:r>
      <w:r>
        <w:rPr>
          <w:rFonts w:hint="eastAsia" w:asciiTheme="minorEastAsia" w:hAnsiTheme="minorEastAsia" w:eastAsiaTheme="minorEastAsia" w:cstheme="minorEastAsia"/>
          <w:b w:val="0"/>
          <w:sz w:val="28"/>
          <w:szCs w:val="28"/>
        </w:rPr>
        <w:instrText xml:space="preserve"> PAGEREF _Toc23926 \h </w:instrText>
      </w:r>
      <w:r>
        <w:rPr>
          <w:rFonts w:hint="eastAsia" w:asciiTheme="minorEastAsia" w:hAnsiTheme="minorEastAsia" w:eastAsiaTheme="minorEastAsia" w:cstheme="minorEastAsia"/>
          <w:b w:val="0"/>
          <w:sz w:val="28"/>
          <w:szCs w:val="28"/>
        </w:rPr>
        <w:fldChar w:fldCharType="separate"/>
      </w:r>
      <w:r>
        <w:rPr>
          <w:rFonts w:hint="eastAsia" w:asciiTheme="minorEastAsia" w:hAnsiTheme="minorEastAsia" w:eastAsiaTheme="minorEastAsia" w:cstheme="minorEastAsia"/>
          <w:b w:val="0"/>
          <w:sz w:val="28"/>
          <w:szCs w:val="28"/>
        </w:rPr>
        <w:t xml:space="preserve">18</w:t>
      </w:r>
      <w:r>
        <w:rPr>
          <w:rFonts w:hint="eastAsia" w:asciiTheme="minorEastAsia" w:hAnsiTheme="minorEastAsia" w:eastAsiaTheme="minorEastAsia" w:cstheme="minorEastAsia"/>
          <w:b w:val="0"/>
          <w:sz w:val="28"/>
          <w:szCs w:val="28"/>
        </w:rPr>
        <w:fldChar w:fldCharType="end"/>
      </w:r>
      <w:r>
        <w:rPr>
          <w:rFonts w:hint="eastAsia" w:asciiTheme="minorEastAsia" w:hAnsiTheme="minorEastAsia" w:eastAsiaTheme="minorEastAsia" w:cstheme="minorEastAsia"/>
          <w:b w:val="0"/>
          <w:sz w:val="28"/>
          <w:szCs w:val="28"/>
        </w:rPr>
        <w:fldChar w:fldCharType="end"/>
      </w:r>
      <w:r/>
    </w:p>
    <w:p>
      <w:pPr>
        <w:pStyle w:val="759"/>
        <w:spacing w:line="360" w:lineRule="auto"/>
        <w:tabs>
          <w:tab w:val="right" w:pos="9525" w:leader="dot"/>
        </w:tabs>
        <w:rPr>
          <w:rFonts w:asciiTheme="minorEastAsia" w:hAnsiTheme="minorEastAsia" w:eastAsiaTheme="minorEastAsia" w:cstheme="minorEastAsia"/>
          <w:b w:val="0"/>
          <w:sz w:val="28"/>
          <w:szCs w:val="28"/>
        </w:rPr>
      </w:pPr>
      <w:r>
        <w:fldChar w:fldCharType="begin"/>
      </w:r>
      <w:r>
        <w:instrText xml:space="preserve"> HYPERLINK \l "_Toc1148" </w:instrText>
      </w:r>
      <w:r>
        <w:fldChar w:fldCharType="separate"/>
      </w:r>
      <w:r>
        <w:rPr>
          <w:rFonts w:hint="eastAsia" w:asciiTheme="minorEastAsia" w:hAnsiTheme="minorEastAsia" w:eastAsiaTheme="minorEastAsia" w:cstheme="minorEastAsia"/>
          <w:b w:val="0"/>
          <w:sz w:val="28"/>
          <w:szCs w:val="28"/>
        </w:rPr>
        <w:t xml:space="preserve">第五章 磋 商</w:t>
      </w:r>
      <w:r>
        <w:rPr>
          <w:rFonts w:hint="eastAsia" w:asciiTheme="minorEastAsia" w:hAnsiTheme="minorEastAsia" w:eastAsiaTheme="minorEastAsia" w:cstheme="minorEastAsia"/>
          <w:b w:val="0"/>
          <w:sz w:val="28"/>
          <w:szCs w:val="28"/>
        </w:rPr>
        <w:tab/>
      </w:r>
      <w:r>
        <w:rPr>
          <w:rFonts w:hint="eastAsia" w:asciiTheme="minorEastAsia" w:hAnsiTheme="minorEastAsia" w:eastAsiaTheme="minorEastAsia" w:cstheme="minorEastAsia"/>
          <w:b w:val="0"/>
          <w:sz w:val="28"/>
          <w:szCs w:val="28"/>
        </w:rPr>
        <w:fldChar w:fldCharType="begin"/>
      </w:r>
      <w:r>
        <w:rPr>
          <w:rFonts w:hint="eastAsia" w:asciiTheme="minorEastAsia" w:hAnsiTheme="minorEastAsia" w:eastAsiaTheme="minorEastAsia" w:cstheme="minorEastAsia"/>
          <w:b w:val="0"/>
          <w:sz w:val="28"/>
          <w:szCs w:val="28"/>
        </w:rPr>
        <w:instrText xml:space="preserve"> PAGEREF _Toc1148 \h </w:instrText>
      </w:r>
      <w:r>
        <w:rPr>
          <w:rFonts w:hint="eastAsia" w:asciiTheme="minorEastAsia" w:hAnsiTheme="minorEastAsia" w:eastAsiaTheme="minorEastAsia" w:cstheme="minorEastAsia"/>
          <w:b w:val="0"/>
          <w:sz w:val="28"/>
          <w:szCs w:val="28"/>
        </w:rPr>
        <w:fldChar w:fldCharType="separate"/>
      </w:r>
      <w:r>
        <w:rPr>
          <w:rFonts w:hint="eastAsia" w:asciiTheme="minorEastAsia" w:hAnsiTheme="minorEastAsia" w:eastAsiaTheme="minorEastAsia" w:cstheme="minorEastAsia"/>
          <w:b w:val="0"/>
          <w:sz w:val="28"/>
          <w:szCs w:val="28"/>
        </w:rPr>
        <w:t xml:space="preserve">19</w:t>
      </w:r>
      <w:r>
        <w:rPr>
          <w:rFonts w:hint="eastAsia" w:asciiTheme="minorEastAsia" w:hAnsiTheme="minorEastAsia" w:eastAsiaTheme="minorEastAsia" w:cstheme="minorEastAsia"/>
          <w:b w:val="0"/>
          <w:sz w:val="28"/>
          <w:szCs w:val="28"/>
        </w:rPr>
        <w:fldChar w:fldCharType="end"/>
      </w:r>
      <w:r>
        <w:rPr>
          <w:rFonts w:hint="eastAsia" w:asciiTheme="minorEastAsia" w:hAnsiTheme="minorEastAsia" w:eastAsiaTheme="minorEastAsia" w:cstheme="minorEastAsia"/>
          <w:b w:val="0"/>
          <w:sz w:val="28"/>
          <w:szCs w:val="28"/>
        </w:rPr>
        <w:fldChar w:fldCharType="end"/>
      </w:r>
      <w:r/>
    </w:p>
    <w:p>
      <w:pPr>
        <w:pStyle w:val="759"/>
        <w:spacing w:line="360" w:lineRule="auto"/>
        <w:tabs>
          <w:tab w:val="right" w:pos="9525" w:leader="dot"/>
        </w:tabs>
        <w:rPr>
          <w:rFonts w:asciiTheme="minorEastAsia" w:hAnsiTheme="minorEastAsia" w:eastAsiaTheme="minorEastAsia" w:cstheme="minorEastAsia"/>
          <w:b w:val="0"/>
          <w:sz w:val="28"/>
          <w:szCs w:val="28"/>
        </w:rPr>
      </w:pPr>
      <w:r>
        <w:fldChar w:fldCharType="begin"/>
      </w:r>
      <w:r>
        <w:instrText xml:space="preserve"> HYPERLINK \l "_Toc29028" </w:instrText>
      </w:r>
      <w:r>
        <w:fldChar w:fldCharType="separate"/>
      </w:r>
      <w:r>
        <w:rPr>
          <w:rFonts w:hint="eastAsia" w:asciiTheme="minorEastAsia" w:hAnsiTheme="minorEastAsia" w:eastAsiaTheme="minorEastAsia" w:cstheme="minorEastAsia"/>
          <w:b w:val="0"/>
          <w:sz w:val="28"/>
          <w:szCs w:val="28"/>
        </w:rPr>
        <w:t xml:space="preserve">第六章 成交公告</w:t>
      </w:r>
      <w:r>
        <w:rPr>
          <w:rFonts w:hint="eastAsia" w:asciiTheme="minorEastAsia" w:hAnsiTheme="minorEastAsia" w:eastAsiaTheme="minorEastAsia" w:cstheme="minorEastAsia"/>
          <w:b w:val="0"/>
          <w:sz w:val="28"/>
          <w:szCs w:val="28"/>
        </w:rPr>
        <w:tab/>
      </w:r>
      <w:r>
        <w:rPr>
          <w:rFonts w:hint="eastAsia" w:asciiTheme="minorEastAsia" w:hAnsiTheme="minorEastAsia" w:eastAsiaTheme="minorEastAsia" w:cstheme="minorEastAsia"/>
          <w:b w:val="0"/>
          <w:sz w:val="28"/>
          <w:szCs w:val="28"/>
        </w:rPr>
        <w:fldChar w:fldCharType="begin"/>
      </w:r>
      <w:r>
        <w:rPr>
          <w:rFonts w:hint="eastAsia" w:asciiTheme="minorEastAsia" w:hAnsiTheme="minorEastAsia" w:eastAsiaTheme="minorEastAsia" w:cstheme="minorEastAsia"/>
          <w:b w:val="0"/>
          <w:sz w:val="28"/>
          <w:szCs w:val="28"/>
        </w:rPr>
        <w:instrText xml:space="preserve"> PAGEREF _Toc29028 \h </w:instrText>
      </w:r>
      <w:r>
        <w:rPr>
          <w:rFonts w:hint="eastAsia" w:asciiTheme="minorEastAsia" w:hAnsiTheme="minorEastAsia" w:eastAsiaTheme="minorEastAsia" w:cstheme="minorEastAsia"/>
          <w:b w:val="0"/>
          <w:sz w:val="28"/>
          <w:szCs w:val="28"/>
        </w:rPr>
        <w:fldChar w:fldCharType="separate"/>
      </w:r>
      <w:r>
        <w:rPr>
          <w:rFonts w:hint="eastAsia" w:asciiTheme="minorEastAsia" w:hAnsiTheme="minorEastAsia" w:eastAsiaTheme="minorEastAsia" w:cstheme="minorEastAsia"/>
          <w:b w:val="0"/>
          <w:sz w:val="28"/>
          <w:szCs w:val="28"/>
        </w:rPr>
        <w:t xml:space="preserve">23</w:t>
      </w:r>
      <w:r>
        <w:rPr>
          <w:rFonts w:hint="eastAsia" w:asciiTheme="minorEastAsia" w:hAnsiTheme="minorEastAsia" w:eastAsiaTheme="minorEastAsia" w:cstheme="minorEastAsia"/>
          <w:b w:val="0"/>
          <w:sz w:val="28"/>
          <w:szCs w:val="28"/>
        </w:rPr>
        <w:fldChar w:fldCharType="end"/>
      </w:r>
      <w:r>
        <w:rPr>
          <w:rFonts w:hint="eastAsia" w:asciiTheme="minorEastAsia" w:hAnsiTheme="minorEastAsia" w:eastAsiaTheme="minorEastAsia" w:cstheme="minorEastAsia"/>
          <w:b w:val="0"/>
          <w:sz w:val="28"/>
          <w:szCs w:val="28"/>
        </w:rPr>
        <w:fldChar w:fldCharType="end"/>
      </w:r>
      <w:r/>
    </w:p>
    <w:p>
      <w:pPr>
        <w:pStyle w:val="759"/>
        <w:spacing w:line="360" w:lineRule="auto"/>
        <w:tabs>
          <w:tab w:val="right" w:pos="9525" w:leader="dot"/>
        </w:tabs>
        <w:rPr>
          <w:rFonts w:asciiTheme="minorEastAsia" w:hAnsiTheme="minorEastAsia" w:eastAsiaTheme="minorEastAsia" w:cstheme="minorEastAsia"/>
          <w:b w:val="0"/>
          <w:sz w:val="28"/>
          <w:szCs w:val="28"/>
        </w:rPr>
      </w:pPr>
      <w:r>
        <w:fldChar w:fldCharType="begin"/>
      </w:r>
      <w:r>
        <w:instrText xml:space="preserve"> HYPERLINK \l "_Toc21810" </w:instrText>
      </w:r>
      <w:r>
        <w:fldChar w:fldCharType="separate"/>
      </w:r>
      <w:r>
        <w:rPr>
          <w:rFonts w:hint="eastAsia" w:asciiTheme="minorEastAsia" w:hAnsiTheme="minorEastAsia" w:eastAsiaTheme="minorEastAsia" w:cstheme="minorEastAsia"/>
          <w:b w:val="0"/>
          <w:sz w:val="28"/>
          <w:szCs w:val="28"/>
        </w:rPr>
        <w:t xml:space="preserve">第七章 合同签订</w:t>
      </w:r>
      <w:r>
        <w:rPr>
          <w:rFonts w:hint="eastAsia" w:asciiTheme="minorEastAsia" w:hAnsiTheme="minorEastAsia" w:eastAsiaTheme="minorEastAsia" w:cstheme="minorEastAsia"/>
          <w:b w:val="0"/>
          <w:sz w:val="28"/>
          <w:szCs w:val="28"/>
        </w:rPr>
        <w:tab/>
      </w:r>
      <w:r>
        <w:rPr>
          <w:rFonts w:hint="eastAsia" w:asciiTheme="minorEastAsia" w:hAnsiTheme="minorEastAsia" w:eastAsiaTheme="minorEastAsia" w:cstheme="minorEastAsia"/>
          <w:b w:val="0"/>
          <w:sz w:val="28"/>
          <w:szCs w:val="28"/>
        </w:rPr>
        <w:fldChar w:fldCharType="begin"/>
      </w:r>
      <w:r>
        <w:rPr>
          <w:rFonts w:hint="eastAsia" w:asciiTheme="minorEastAsia" w:hAnsiTheme="minorEastAsia" w:eastAsiaTheme="minorEastAsia" w:cstheme="minorEastAsia"/>
          <w:b w:val="0"/>
          <w:sz w:val="28"/>
          <w:szCs w:val="28"/>
        </w:rPr>
        <w:instrText xml:space="preserve"> PAGEREF _Toc21810 \h </w:instrText>
      </w:r>
      <w:r>
        <w:rPr>
          <w:rFonts w:hint="eastAsia" w:asciiTheme="minorEastAsia" w:hAnsiTheme="minorEastAsia" w:eastAsiaTheme="minorEastAsia" w:cstheme="minorEastAsia"/>
          <w:b w:val="0"/>
          <w:sz w:val="28"/>
          <w:szCs w:val="28"/>
        </w:rPr>
        <w:fldChar w:fldCharType="separate"/>
      </w:r>
      <w:r>
        <w:rPr>
          <w:rFonts w:hint="eastAsia" w:asciiTheme="minorEastAsia" w:hAnsiTheme="minorEastAsia" w:eastAsiaTheme="minorEastAsia" w:cstheme="minorEastAsia"/>
          <w:b w:val="0"/>
          <w:sz w:val="28"/>
          <w:szCs w:val="28"/>
        </w:rPr>
        <w:t xml:space="preserve">24</w:t>
      </w:r>
      <w:r>
        <w:rPr>
          <w:rFonts w:hint="eastAsia" w:asciiTheme="minorEastAsia" w:hAnsiTheme="minorEastAsia" w:eastAsiaTheme="minorEastAsia" w:cstheme="minorEastAsia"/>
          <w:b w:val="0"/>
          <w:sz w:val="28"/>
          <w:szCs w:val="28"/>
        </w:rPr>
        <w:fldChar w:fldCharType="end"/>
      </w:r>
      <w:r>
        <w:rPr>
          <w:rFonts w:hint="eastAsia" w:asciiTheme="minorEastAsia" w:hAnsiTheme="minorEastAsia" w:eastAsiaTheme="minorEastAsia" w:cstheme="minorEastAsia"/>
          <w:b w:val="0"/>
          <w:sz w:val="28"/>
          <w:szCs w:val="28"/>
        </w:rPr>
        <w:fldChar w:fldCharType="end"/>
      </w:r>
      <w:r/>
    </w:p>
    <w:p>
      <w:pPr>
        <w:pStyle w:val="759"/>
        <w:spacing w:line="360" w:lineRule="auto"/>
        <w:tabs>
          <w:tab w:val="right" w:pos="9525" w:leader="dot"/>
        </w:tabs>
        <w:rPr>
          <w:rFonts w:asciiTheme="minorEastAsia" w:hAnsiTheme="minorEastAsia" w:eastAsiaTheme="minorEastAsia" w:cstheme="minorEastAsia"/>
          <w:b w:val="0"/>
          <w:sz w:val="28"/>
          <w:szCs w:val="28"/>
        </w:rPr>
      </w:pPr>
      <w:r>
        <w:fldChar w:fldCharType="begin"/>
      </w:r>
      <w:r>
        <w:instrText xml:space="preserve"> HYPERLINK \l "_Toc30954" </w:instrText>
      </w:r>
      <w:r>
        <w:fldChar w:fldCharType="separate"/>
      </w:r>
      <w:r>
        <w:rPr>
          <w:rFonts w:hint="eastAsia" w:asciiTheme="minorEastAsia" w:hAnsiTheme="minorEastAsia" w:eastAsiaTheme="minorEastAsia" w:cstheme="minorEastAsia"/>
          <w:b w:val="0"/>
          <w:sz w:val="28"/>
          <w:szCs w:val="28"/>
        </w:rPr>
        <w:t xml:space="preserve">第八章 质疑投诉</w:t>
      </w:r>
      <w:r>
        <w:rPr>
          <w:rFonts w:hint="eastAsia" w:asciiTheme="minorEastAsia" w:hAnsiTheme="minorEastAsia" w:eastAsiaTheme="minorEastAsia" w:cstheme="minorEastAsia"/>
          <w:b w:val="0"/>
          <w:sz w:val="28"/>
          <w:szCs w:val="28"/>
        </w:rPr>
        <w:tab/>
      </w:r>
      <w:r>
        <w:rPr>
          <w:rFonts w:hint="eastAsia" w:asciiTheme="minorEastAsia" w:hAnsiTheme="minorEastAsia" w:eastAsiaTheme="minorEastAsia" w:cstheme="minorEastAsia"/>
          <w:b w:val="0"/>
          <w:sz w:val="28"/>
          <w:szCs w:val="28"/>
        </w:rPr>
        <w:fldChar w:fldCharType="begin"/>
      </w:r>
      <w:r>
        <w:rPr>
          <w:rFonts w:hint="eastAsia" w:asciiTheme="minorEastAsia" w:hAnsiTheme="minorEastAsia" w:eastAsiaTheme="minorEastAsia" w:cstheme="minorEastAsia"/>
          <w:b w:val="0"/>
          <w:sz w:val="28"/>
          <w:szCs w:val="28"/>
        </w:rPr>
        <w:instrText xml:space="preserve"> PAGEREF _Toc30954 \h </w:instrText>
      </w:r>
      <w:r>
        <w:rPr>
          <w:rFonts w:hint="eastAsia" w:asciiTheme="minorEastAsia" w:hAnsiTheme="minorEastAsia" w:eastAsiaTheme="minorEastAsia" w:cstheme="minorEastAsia"/>
          <w:b w:val="0"/>
          <w:sz w:val="28"/>
          <w:szCs w:val="28"/>
        </w:rPr>
        <w:fldChar w:fldCharType="separate"/>
      </w:r>
      <w:r>
        <w:rPr>
          <w:rFonts w:hint="eastAsia" w:asciiTheme="minorEastAsia" w:hAnsiTheme="minorEastAsia" w:eastAsiaTheme="minorEastAsia" w:cstheme="minorEastAsia"/>
          <w:b w:val="0"/>
          <w:sz w:val="28"/>
          <w:szCs w:val="28"/>
        </w:rPr>
        <w:t xml:space="preserve">24</w:t>
      </w:r>
      <w:r>
        <w:rPr>
          <w:rFonts w:hint="eastAsia" w:asciiTheme="minorEastAsia" w:hAnsiTheme="minorEastAsia" w:eastAsiaTheme="minorEastAsia" w:cstheme="minorEastAsia"/>
          <w:b w:val="0"/>
          <w:sz w:val="28"/>
          <w:szCs w:val="28"/>
        </w:rPr>
        <w:fldChar w:fldCharType="end"/>
      </w:r>
      <w:r>
        <w:rPr>
          <w:rFonts w:hint="eastAsia" w:asciiTheme="minorEastAsia" w:hAnsiTheme="minorEastAsia" w:eastAsiaTheme="minorEastAsia" w:cstheme="minorEastAsia"/>
          <w:b w:val="0"/>
          <w:sz w:val="28"/>
          <w:szCs w:val="28"/>
        </w:rPr>
        <w:fldChar w:fldCharType="end"/>
      </w:r>
      <w:r/>
    </w:p>
    <w:p>
      <w:pPr>
        <w:pStyle w:val="759"/>
        <w:spacing w:line="360" w:lineRule="auto"/>
        <w:tabs>
          <w:tab w:val="right" w:pos="9525" w:leader="dot"/>
        </w:tabs>
        <w:rPr>
          <w:rFonts w:asciiTheme="minorEastAsia" w:hAnsiTheme="minorEastAsia" w:eastAsiaTheme="minorEastAsia" w:cstheme="minorEastAsia"/>
          <w:b w:val="0"/>
          <w:sz w:val="28"/>
          <w:szCs w:val="28"/>
        </w:rPr>
      </w:pPr>
      <w:r>
        <w:fldChar w:fldCharType="begin"/>
      </w:r>
      <w:r>
        <w:instrText xml:space="preserve"> HYPERLINK \l "_Toc29765" </w:instrText>
      </w:r>
      <w:r>
        <w:fldChar w:fldCharType="separate"/>
      </w:r>
      <w:r>
        <w:rPr>
          <w:rFonts w:hint="eastAsia" w:asciiTheme="minorEastAsia" w:hAnsiTheme="minorEastAsia" w:eastAsiaTheme="minorEastAsia" w:cstheme="minorEastAsia"/>
          <w:b w:val="0"/>
          <w:sz w:val="28"/>
          <w:szCs w:val="28"/>
        </w:rPr>
        <w:t xml:space="preserve">第九章 工程量清单</w:t>
      </w:r>
      <w:r>
        <w:rPr>
          <w:rFonts w:hint="eastAsia" w:asciiTheme="minorEastAsia" w:hAnsiTheme="minorEastAsia" w:eastAsiaTheme="minorEastAsia" w:cstheme="minorEastAsia"/>
          <w:b w:val="0"/>
          <w:sz w:val="28"/>
          <w:szCs w:val="28"/>
        </w:rPr>
        <w:tab/>
      </w:r>
      <w:r>
        <w:rPr>
          <w:rFonts w:hint="eastAsia" w:asciiTheme="minorEastAsia" w:hAnsiTheme="minorEastAsia" w:eastAsiaTheme="minorEastAsia" w:cstheme="minorEastAsia"/>
          <w:b w:val="0"/>
          <w:sz w:val="28"/>
          <w:szCs w:val="28"/>
        </w:rPr>
        <w:fldChar w:fldCharType="begin"/>
      </w:r>
      <w:r>
        <w:rPr>
          <w:rFonts w:hint="eastAsia" w:asciiTheme="minorEastAsia" w:hAnsiTheme="minorEastAsia" w:eastAsiaTheme="minorEastAsia" w:cstheme="minorEastAsia"/>
          <w:b w:val="0"/>
          <w:sz w:val="28"/>
          <w:szCs w:val="28"/>
        </w:rPr>
        <w:instrText xml:space="preserve"> PAGEREF _Toc29765 \h </w:instrText>
      </w:r>
      <w:r>
        <w:rPr>
          <w:rFonts w:hint="eastAsia" w:asciiTheme="minorEastAsia" w:hAnsiTheme="minorEastAsia" w:eastAsiaTheme="minorEastAsia" w:cstheme="minorEastAsia"/>
          <w:b w:val="0"/>
          <w:sz w:val="28"/>
          <w:szCs w:val="28"/>
        </w:rPr>
        <w:fldChar w:fldCharType="separate"/>
      </w:r>
      <w:r>
        <w:rPr>
          <w:rFonts w:hint="eastAsia" w:asciiTheme="minorEastAsia" w:hAnsiTheme="minorEastAsia" w:eastAsiaTheme="minorEastAsia" w:cstheme="minorEastAsia"/>
          <w:b w:val="0"/>
          <w:sz w:val="28"/>
          <w:szCs w:val="28"/>
        </w:rPr>
        <w:t xml:space="preserve">26</w:t>
      </w:r>
      <w:r>
        <w:rPr>
          <w:rFonts w:hint="eastAsia" w:asciiTheme="minorEastAsia" w:hAnsiTheme="minorEastAsia" w:eastAsiaTheme="minorEastAsia" w:cstheme="minorEastAsia"/>
          <w:b w:val="0"/>
          <w:sz w:val="28"/>
          <w:szCs w:val="28"/>
        </w:rPr>
        <w:fldChar w:fldCharType="end"/>
      </w:r>
      <w:r>
        <w:rPr>
          <w:rFonts w:hint="eastAsia" w:asciiTheme="minorEastAsia" w:hAnsiTheme="minorEastAsia" w:eastAsiaTheme="minorEastAsia" w:cstheme="minorEastAsia"/>
          <w:b w:val="0"/>
          <w:sz w:val="28"/>
          <w:szCs w:val="28"/>
        </w:rPr>
        <w:fldChar w:fldCharType="end"/>
      </w:r>
      <w:r/>
    </w:p>
    <w:p>
      <w:pPr>
        <w:pStyle w:val="759"/>
        <w:spacing w:line="360" w:lineRule="auto"/>
        <w:tabs>
          <w:tab w:val="right" w:pos="9525" w:leader="dot"/>
        </w:tabs>
        <w:rPr>
          <w:rFonts w:asciiTheme="minorEastAsia" w:hAnsiTheme="minorEastAsia" w:eastAsiaTheme="minorEastAsia" w:cstheme="minorEastAsia"/>
          <w:b w:val="0"/>
          <w:sz w:val="28"/>
          <w:szCs w:val="28"/>
        </w:rPr>
      </w:pPr>
      <w:r>
        <w:fldChar w:fldCharType="begin"/>
      </w:r>
      <w:r>
        <w:instrText xml:space="preserve"> HYPERLINK \l "_Toc4828" </w:instrText>
      </w:r>
      <w:r>
        <w:fldChar w:fldCharType="separate"/>
      </w:r>
      <w:r>
        <w:rPr>
          <w:rFonts w:hint="eastAsia" w:asciiTheme="minorEastAsia" w:hAnsiTheme="minorEastAsia" w:eastAsiaTheme="minorEastAsia" w:cstheme="minorEastAsia"/>
          <w:b w:val="0"/>
          <w:sz w:val="28"/>
          <w:szCs w:val="28"/>
        </w:rPr>
        <w:t xml:space="preserve">第十章 政府采购合同（参考）</w:t>
      </w:r>
      <w:r>
        <w:rPr>
          <w:rFonts w:hint="eastAsia" w:asciiTheme="minorEastAsia" w:hAnsiTheme="minorEastAsia" w:eastAsiaTheme="minorEastAsia" w:cstheme="minorEastAsia"/>
          <w:b w:val="0"/>
          <w:sz w:val="28"/>
          <w:szCs w:val="28"/>
        </w:rPr>
        <w:tab/>
      </w:r>
      <w:r>
        <w:rPr>
          <w:rFonts w:hint="eastAsia" w:asciiTheme="minorEastAsia" w:hAnsiTheme="minorEastAsia" w:eastAsiaTheme="minorEastAsia" w:cstheme="minorEastAsia"/>
          <w:b w:val="0"/>
          <w:sz w:val="28"/>
          <w:szCs w:val="28"/>
        </w:rPr>
        <w:fldChar w:fldCharType="begin"/>
      </w:r>
      <w:r>
        <w:rPr>
          <w:rFonts w:hint="eastAsia" w:asciiTheme="minorEastAsia" w:hAnsiTheme="minorEastAsia" w:eastAsiaTheme="minorEastAsia" w:cstheme="minorEastAsia"/>
          <w:b w:val="0"/>
          <w:sz w:val="28"/>
          <w:szCs w:val="28"/>
        </w:rPr>
        <w:instrText xml:space="preserve"> PAGEREF _Toc4828 \h </w:instrText>
      </w:r>
      <w:r>
        <w:rPr>
          <w:rFonts w:hint="eastAsia" w:asciiTheme="minorEastAsia" w:hAnsiTheme="minorEastAsia" w:eastAsiaTheme="minorEastAsia" w:cstheme="minorEastAsia"/>
          <w:b w:val="0"/>
          <w:sz w:val="28"/>
          <w:szCs w:val="28"/>
        </w:rPr>
        <w:fldChar w:fldCharType="separate"/>
      </w:r>
      <w:r>
        <w:rPr>
          <w:rFonts w:hint="eastAsia" w:asciiTheme="minorEastAsia" w:hAnsiTheme="minorEastAsia" w:eastAsiaTheme="minorEastAsia" w:cstheme="minorEastAsia"/>
          <w:b w:val="0"/>
          <w:sz w:val="28"/>
          <w:szCs w:val="28"/>
        </w:rPr>
        <w:t xml:space="preserve">32</w:t>
      </w:r>
      <w:r>
        <w:rPr>
          <w:rFonts w:hint="eastAsia" w:asciiTheme="minorEastAsia" w:hAnsiTheme="minorEastAsia" w:eastAsiaTheme="minorEastAsia" w:cstheme="minorEastAsia"/>
          <w:b w:val="0"/>
          <w:sz w:val="28"/>
          <w:szCs w:val="28"/>
        </w:rPr>
        <w:fldChar w:fldCharType="end"/>
      </w:r>
      <w:r>
        <w:rPr>
          <w:rFonts w:hint="eastAsia" w:asciiTheme="minorEastAsia" w:hAnsiTheme="minorEastAsia" w:eastAsiaTheme="minorEastAsia" w:cstheme="minorEastAsia"/>
          <w:b w:val="0"/>
          <w:sz w:val="28"/>
          <w:szCs w:val="28"/>
        </w:rPr>
        <w:fldChar w:fldCharType="end"/>
      </w:r>
      <w:r/>
    </w:p>
    <w:p>
      <w:pPr>
        <w:pStyle w:val="759"/>
        <w:spacing w:line="360" w:lineRule="auto"/>
        <w:tabs>
          <w:tab w:val="right" w:pos="9525" w:leader="dot"/>
        </w:tabs>
        <w:rPr>
          <w:rFonts w:asciiTheme="minorEastAsia" w:hAnsiTheme="minorEastAsia" w:eastAsiaTheme="minorEastAsia" w:cstheme="minorEastAsia"/>
          <w:b w:val="0"/>
          <w:sz w:val="28"/>
          <w:szCs w:val="28"/>
        </w:rPr>
      </w:pPr>
      <w:r>
        <w:fldChar w:fldCharType="begin"/>
      </w:r>
      <w:r>
        <w:instrText xml:space="preserve"> HYPERLINK \l "_Toc30868" </w:instrText>
      </w:r>
      <w:r>
        <w:fldChar w:fldCharType="separate"/>
      </w:r>
      <w:r>
        <w:rPr>
          <w:rFonts w:hint="eastAsia" w:asciiTheme="minorEastAsia" w:hAnsiTheme="minorEastAsia" w:eastAsiaTheme="minorEastAsia" w:cstheme="minorEastAsia"/>
          <w:b w:val="0"/>
          <w:sz w:val="28"/>
          <w:szCs w:val="28"/>
        </w:rPr>
        <w:t xml:space="preserve">第十一章  响应文件格式</w:t>
      </w:r>
      <w:r>
        <w:rPr>
          <w:rFonts w:hint="eastAsia" w:asciiTheme="minorEastAsia" w:hAnsiTheme="minorEastAsia" w:eastAsiaTheme="minorEastAsia" w:cstheme="minorEastAsia"/>
          <w:b w:val="0"/>
          <w:sz w:val="28"/>
          <w:szCs w:val="28"/>
        </w:rPr>
        <w:tab/>
      </w:r>
      <w:r>
        <w:rPr>
          <w:rFonts w:hint="eastAsia" w:asciiTheme="minorEastAsia" w:hAnsiTheme="minorEastAsia" w:eastAsiaTheme="minorEastAsia" w:cstheme="minorEastAsia"/>
          <w:b w:val="0"/>
          <w:sz w:val="28"/>
          <w:szCs w:val="28"/>
        </w:rPr>
        <w:fldChar w:fldCharType="begin"/>
      </w:r>
      <w:r>
        <w:rPr>
          <w:rFonts w:hint="eastAsia" w:asciiTheme="minorEastAsia" w:hAnsiTheme="minorEastAsia" w:eastAsiaTheme="minorEastAsia" w:cstheme="minorEastAsia"/>
          <w:b w:val="0"/>
          <w:sz w:val="28"/>
          <w:szCs w:val="28"/>
        </w:rPr>
        <w:instrText xml:space="preserve"> PAGEREF _Toc30868 \h </w:instrText>
      </w:r>
      <w:r>
        <w:rPr>
          <w:rFonts w:hint="eastAsia" w:asciiTheme="minorEastAsia" w:hAnsiTheme="minorEastAsia" w:eastAsiaTheme="minorEastAsia" w:cstheme="minorEastAsia"/>
          <w:b w:val="0"/>
          <w:sz w:val="28"/>
          <w:szCs w:val="28"/>
        </w:rPr>
        <w:fldChar w:fldCharType="separate"/>
      </w:r>
      <w:r>
        <w:rPr>
          <w:rFonts w:hint="eastAsia" w:asciiTheme="minorEastAsia" w:hAnsiTheme="minorEastAsia" w:eastAsiaTheme="minorEastAsia" w:cstheme="minorEastAsia"/>
          <w:b w:val="0"/>
          <w:sz w:val="28"/>
          <w:szCs w:val="28"/>
        </w:rPr>
        <w:t xml:space="preserve">49</w:t>
      </w:r>
      <w:r>
        <w:rPr>
          <w:rFonts w:hint="eastAsia" w:asciiTheme="minorEastAsia" w:hAnsiTheme="minorEastAsia" w:eastAsiaTheme="minorEastAsia" w:cstheme="minorEastAsia"/>
          <w:b w:val="0"/>
          <w:sz w:val="28"/>
          <w:szCs w:val="28"/>
        </w:rPr>
        <w:fldChar w:fldCharType="end"/>
      </w:r>
      <w:r>
        <w:rPr>
          <w:rFonts w:hint="eastAsia" w:asciiTheme="minorEastAsia" w:hAnsiTheme="minorEastAsia" w:eastAsiaTheme="minorEastAsia" w:cstheme="minorEastAsia"/>
          <w:b w:val="0"/>
          <w:sz w:val="28"/>
          <w:szCs w:val="28"/>
        </w:rPr>
        <w:fldChar w:fldCharType="end"/>
      </w:r>
      <w:r/>
    </w:p>
    <w:p>
      <w:pPr>
        <w:pStyle w:val="759"/>
        <w:spacing w:line="360" w:lineRule="auto"/>
        <w:tabs>
          <w:tab w:val="right" w:pos="9525" w:leader="dot"/>
        </w:tabs>
        <w:rPr>
          <w:rFonts w:asciiTheme="minorEastAsia" w:hAnsiTheme="minorEastAsia" w:eastAsiaTheme="minorEastAsia" w:cstheme="minorEastAsia"/>
        </w:rPr>
      </w:pPr>
      <w:r>
        <w:rPr>
          <w:rFonts w:asciiTheme="minorEastAsia" w:hAnsiTheme="minorEastAsia" w:eastAsiaTheme="minorEastAsia" w:cstheme="minorEastAsia"/>
        </w:rPr>
      </w:r>
      <w:r/>
    </w:p>
    <w:p>
      <w:pPr>
        <w:spacing w:line="360" w:lineRule="auto"/>
        <w:rPr>
          <w:rFonts w:asciiTheme="minorEastAsia" w:hAnsiTheme="minorEastAsia" w:eastAsiaTheme="minorEastAsia" w:cstheme="minorEastAsia"/>
          <w:bCs/>
          <w:sz w:val="32"/>
          <w:szCs w:val="32"/>
        </w:rPr>
      </w:pPr>
      <w:r>
        <w:rPr>
          <w:rFonts w:hint="eastAsia" w:asciiTheme="minorEastAsia" w:hAnsiTheme="minorEastAsia" w:eastAsiaTheme="minorEastAsia" w:cstheme="minorEastAsia"/>
          <w:bCs/>
          <w:szCs w:val="32"/>
        </w:rPr>
        <w:fldChar w:fldCharType="end"/>
      </w:r>
      <w:r/>
    </w:p>
    <w:p>
      <w:pPr>
        <w:numPr>
          <w:ilvl w:val="0"/>
          <w:numId w:val="1"/>
        </w:numPr>
        <w:jc w:val="center"/>
        <w:spacing w:line="360" w:lineRule="auto"/>
        <w:tabs>
          <w:tab w:val="left" w:pos="2268" w:leader="none"/>
        </w:tabs>
        <w:rPr>
          <w:rFonts w:asciiTheme="minorEastAsia" w:hAnsiTheme="minorEastAsia" w:eastAsiaTheme="minorEastAsia" w:cstheme="minorEastAsia"/>
          <w:b/>
          <w:color w:val="000000"/>
          <w:sz w:val="32"/>
          <w:szCs w:val="32"/>
        </w:rPr>
        <w:sectPr>
          <w:footerReference w:type="default" r:id="rId9"/>
          <w:footnotePr/>
          <w:endnotePr/>
          <w:type w:val="nextPage"/>
          <w:pgSz w:w="11907" w:h="16840" w:orient="portrait"/>
          <w:pgMar w:top="1191" w:right="1191" w:bottom="1191" w:left="1191" w:header="851" w:footer="851" w:gutter="0"/>
          <w:pgNumType w:start="1"/>
          <w:cols w:num="1" w:sep="0" w:space="720" w:equalWidth="1"/>
          <w:docGrid w:linePitch="360"/>
        </w:sectPr>
      </w:pPr>
      <w:r/>
      <w:bookmarkStart w:id="2" w:name="_Toc27063"/>
      <w:r/>
      <w:bookmarkStart w:id="3" w:name="_Toc27062"/>
      <w:r/>
      <w:r/>
    </w:p>
    <w:p>
      <w:pPr>
        <w:numPr>
          <w:ilvl w:val="0"/>
          <w:numId w:val="1"/>
        </w:numPr>
        <w:jc w:val="center"/>
        <w:spacing w:line="360" w:lineRule="auto"/>
        <w:tabs>
          <w:tab w:val="left" w:pos="2268" w:leader="none"/>
        </w:tabs>
        <w:rPr>
          <w:rFonts w:asciiTheme="minorEastAsia" w:hAnsiTheme="minorEastAsia" w:eastAsiaTheme="minorEastAsia" w:cstheme="minorEastAsia"/>
          <w:b/>
          <w:color w:val="000000"/>
          <w:sz w:val="32"/>
          <w:szCs w:val="32"/>
        </w:rPr>
      </w:pPr>
      <w:r/>
      <w:bookmarkStart w:id="4" w:name="bookmark43"/>
      <w:r/>
      <w:bookmarkStart w:id="5" w:name="bookmark42"/>
      <w:r/>
      <w:bookmarkStart w:id="6" w:name="bookmark41"/>
      <w:r>
        <w:rPr>
          <w:rStyle w:val="951"/>
          <w:rFonts w:hint="eastAsia" w:asciiTheme="minorEastAsia" w:hAnsiTheme="minorEastAsia" w:eastAsiaTheme="minorEastAsia" w:cstheme="minorEastAsia"/>
        </w:rPr>
        <w:t xml:space="preserve">竞争性磋商公告</w:t>
      </w:r>
      <w:bookmarkEnd w:id="2"/>
      <w:r/>
      <w:bookmarkEnd w:id="3"/>
      <w:r/>
      <w:bookmarkEnd w:id="4"/>
      <w:r/>
      <w:bookmarkEnd w:id="5"/>
      <w:r/>
      <w:bookmarkEnd w:id="6"/>
      <w:r/>
      <w:r/>
    </w:p>
    <w:p>
      <w:pPr>
        <w:spacing w:line="360" w:lineRule="auto"/>
        <w:rPr>
          <w:rFonts w:asciiTheme="minorEastAsia" w:hAnsiTheme="minorEastAsia" w:eastAsiaTheme="minorEastAsia" w:cstheme="minorEastAsia"/>
          <w:sz w:val="24"/>
        </w:rPr>
        <w:pBdr>
          <w:top w:val="single" w:color="000000" w:sz="4" w:space="1"/>
          <w:left w:val="single" w:color="000000" w:sz="4" w:space="4"/>
          <w:bottom w:val="single" w:color="000000" w:sz="4" w:space="1"/>
          <w:right w:val="single" w:color="000000" w:sz="4" w:space="4"/>
        </w:pBdr>
      </w:pPr>
      <w:r>
        <w:rPr>
          <w:rFonts w:hint="eastAsia" w:asciiTheme="minorEastAsia" w:hAnsiTheme="minorEastAsia" w:eastAsiaTheme="minorEastAsia" w:cstheme="minorEastAsia"/>
          <w:sz w:val="24"/>
        </w:rPr>
        <w:t xml:space="preserve">项目概况</w:t>
      </w:r>
      <w:r/>
    </w:p>
    <w:p>
      <w:pPr>
        <w:ind w:firstLine="488"/>
        <w:spacing w:line="360" w:lineRule="auto"/>
        <w:rPr>
          <w:rFonts w:asciiTheme="minorEastAsia" w:hAnsiTheme="minorEastAsia" w:eastAsiaTheme="minorEastAsia" w:cstheme="minorEastAsia"/>
          <w:sz w:val="24"/>
        </w:rPr>
        <w:pBdr>
          <w:top w:val="single" w:color="000000" w:sz="4" w:space="1"/>
          <w:left w:val="single" w:color="000000" w:sz="4" w:space="4"/>
          <w:bottom w:val="single" w:color="000000" w:sz="4" w:space="1"/>
          <w:right w:val="single" w:color="000000" w:sz="4" w:space="4"/>
        </w:pBdr>
      </w:pPr>
      <w:r>
        <w:rPr>
          <w:rFonts w:hint="eastAsia" w:asciiTheme="minorEastAsia" w:hAnsiTheme="minorEastAsia" w:eastAsiaTheme="minorEastAsia" w:cstheme="minorEastAsia"/>
          <w:sz w:val="24"/>
          <w:u w:val="single"/>
          <w:lang w:eastAsia="zh-CN"/>
        </w:rPr>
        <w:t xml:space="preserve">张甸镇华杨村2025年度宜居宜业和美乡村建设（市级）</w:t>
      </w:r>
      <w:r>
        <w:rPr>
          <w:rFonts w:hint="eastAsia" w:asciiTheme="minorEastAsia" w:hAnsiTheme="minorEastAsia" w:eastAsiaTheme="minorEastAsia" w:cstheme="minorEastAsia"/>
          <w:sz w:val="24"/>
        </w:rPr>
        <w:t xml:space="preserve">的潜在投标人可在</w:t>
      </w:r>
      <w:r>
        <w:rPr>
          <w:rFonts w:hint="eastAsia" w:asciiTheme="minorEastAsia" w:hAnsiTheme="minorEastAsia" w:eastAsiaTheme="minorEastAsia" w:cstheme="minorEastAsia"/>
          <w:sz w:val="24"/>
          <w:u w:val="single"/>
        </w:rPr>
        <w:t xml:space="preserve">“江苏政府采购网-苏采云”系统</w:t>
      </w:r>
      <w:r>
        <w:rPr>
          <w:rFonts w:hint="eastAsia" w:asciiTheme="minorEastAsia" w:hAnsiTheme="minorEastAsia" w:eastAsiaTheme="minorEastAsia" w:cstheme="minorEastAsia"/>
          <w:sz w:val="24"/>
        </w:rPr>
        <w:t xml:space="preserve">自行下载招标文件 </w:t>
      </w:r>
      <w:r>
        <w:fldChar w:fldCharType="begin"/>
      </w:r>
      <w:r>
        <w:instrText xml:space="preserve"> HYPERLINK "http://jszfcg.jsczt.cn/）获取招标文件，并于2023年11月" \o "http://jszfcg.jsczt.cn/）获取招标文件，并于2023年11月" </w:instrText>
      </w:r>
      <w:r>
        <w:fldChar w:fldCharType="separate"/>
      </w:r>
      <w:r>
        <w:rPr>
          <w:rStyle w:val="785"/>
          <w:rFonts w:hint="eastAsia" w:asciiTheme="minorEastAsia" w:hAnsiTheme="minorEastAsia" w:eastAsiaTheme="minorEastAsia" w:cstheme="minorEastAsia"/>
          <w:color w:val="auto"/>
          <w:sz w:val="24"/>
        </w:rPr>
        <w:t xml:space="preserve">，并于2026年</w:t>
      </w:r>
      <w:r>
        <w:rPr>
          <w:rStyle w:val="785"/>
          <w:rFonts w:hint="eastAsia" w:asciiTheme="minorEastAsia" w:hAnsiTheme="minorEastAsia" w:eastAsiaTheme="minorEastAsia" w:cstheme="minorEastAsia"/>
          <w:color w:val="auto"/>
          <w:sz w:val="24"/>
          <w:lang w:val="en-US" w:eastAsia="zh-CN"/>
        </w:rPr>
        <w:t xml:space="preserve">8</w:t>
      </w:r>
      <w:r>
        <w:rPr>
          <w:rStyle w:val="785"/>
          <w:rFonts w:hint="eastAsia" w:asciiTheme="minorEastAsia" w:hAnsiTheme="minorEastAsia" w:eastAsiaTheme="minorEastAsia" w:cstheme="minorEastAsia"/>
          <w:color w:val="auto"/>
          <w:sz w:val="24"/>
        </w:rPr>
        <w:t xml:space="preserve">月</w:t>
      </w:r>
      <w:r>
        <w:rPr>
          <w:rStyle w:val="785"/>
          <w:rFonts w:hint="eastAsia" w:asciiTheme="minorEastAsia" w:hAnsiTheme="minorEastAsia" w:eastAsiaTheme="minorEastAsia" w:cstheme="minorEastAsia"/>
          <w:color w:val="auto"/>
          <w:sz w:val="24"/>
        </w:rPr>
        <w:fldChar w:fldCharType="end"/>
      </w:r>
      <w:r>
        <w:rPr>
          <w:rStyle w:val="785"/>
          <w:rFonts w:hint="eastAsia" w:asciiTheme="minorEastAsia" w:hAnsiTheme="minorEastAsia" w:eastAsiaTheme="minorEastAsia" w:cstheme="minorEastAsia"/>
          <w:color w:val="auto"/>
          <w:sz w:val="24"/>
          <w:lang w:val="en-US" w:eastAsia="zh-CN"/>
        </w:rPr>
        <w:t xml:space="preserve">6</w:t>
      </w:r>
      <w:r>
        <w:rPr>
          <w:rFonts w:hint="eastAsia" w:asciiTheme="minorEastAsia" w:hAnsiTheme="minorEastAsia" w:eastAsiaTheme="minorEastAsia" w:cstheme="minorEastAsia"/>
          <w:sz w:val="24"/>
        </w:rPr>
        <w:t xml:space="preserve">日</w:t>
      </w:r>
      <w:r>
        <w:rPr>
          <w:rFonts w:hint="eastAsia" w:asciiTheme="minorEastAsia" w:hAnsiTheme="minorEastAsia" w:eastAsiaTheme="minorEastAsia" w:cstheme="minorEastAsia"/>
          <w:sz w:val="24"/>
          <w:lang w:val="en-US" w:eastAsia="zh-CN"/>
        </w:rPr>
        <w:t xml:space="preserve">9</w:t>
      </w:r>
      <w:r>
        <w:rPr>
          <w:rFonts w:hint="eastAsia" w:asciiTheme="minorEastAsia" w:hAnsiTheme="minorEastAsia" w:eastAsiaTheme="minorEastAsia" w:cstheme="minorEastAsia"/>
          <w:sz w:val="24"/>
        </w:rPr>
        <w:t xml:space="preserve">时</w:t>
      </w:r>
      <w:r>
        <w:rPr>
          <w:rFonts w:hint="eastAsia" w:asciiTheme="minorEastAsia" w:hAnsiTheme="minorEastAsia" w:eastAsiaTheme="minorEastAsia" w:cstheme="minorEastAsia"/>
          <w:sz w:val="24"/>
          <w:lang w:val="en-US" w:eastAsia="zh-CN"/>
        </w:rPr>
        <w:t xml:space="preserve">0</w:t>
      </w:r>
      <w:r>
        <w:rPr>
          <w:rFonts w:hint="eastAsia" w:asciiTheme="minorEastAsia" w:hAnsiTheme="minorEastAsia" w:eastAsiaTheme="minorEastAsia" w:cstheme="minorEastAsia"/>
          <w:sz w:val="24"/>
        </w:rPr>
        <w:t xml:space="preserve">0分</w:t>
      </w:r>
      <w:r>
        <w:rPr>
          <w:rFonts w:hint="eastAsia" w:asciiTheme="minorEastAsia" w:hAnsiTheme="minorEastAsia" w:eastAsiaTheme="minorEastAsia" w:cstheme="minorEastAsia"/>
          <w:bCs/>
          <w:sz w:val="24"/>
        </w:rPr>
        <w:t xml:space="preserve">（北京时间）前上传投标文件</w:t>
      </w:r>
      <w:r>
        <w:rPr>
          <w:rFonts w:hint="eastAsia" w:asciiTheme="minorEastAsia" w:hAnsiTheme="minorEastAsia" w:eastAsiaTheme="minorEastAsia" w:cstheme="minorEastAsia"/>
          <w:sz w:val="24"/>
        </w:rPr>
        <w:t xml:space="preserve">。</w:t>
      </w:r>
      <w:r/>
    </w:p>
    <w:p>
      <w:pPr>
        <w:pStyle w:val="985"/>
        <w:ind w:left="0" w:firstLine="0"/>
        <w:spacing w:after="0" w:line="420" w:lineRule="exact"/>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color w:val="000000"/>
          <w:sz w:val="24"/>
          <w:szCs w:val="24"/>
        </w:rPr>
        <w:t xml:space="preserve">一、项目基本情况</w:t>
      </w:r>
      <w:r/>
    </w:p>
    <w:p>
      <w:pPr>
        <w:pStyle w:val="985"/>
        <w:ind w:left="0" w:firstLine="480"/>
        <w:spacing w:after="0" w:line="420" w:lineRule="exact"/>
        <w:rPr>
          <w:rFonts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1.</w:t>
      </w:r>
      <w:r>
        <w:rPr>
          <w:rFonts w:hint="eastAsia" w:asciiTheme="minorEastAsia" w:hAnsiTheme="minorEastAsia" w:eastAsiaTheme="minorEastAsia" w:cstheme="minorEastAsia"/>
          <w:color w:val="000000"/>
          <w:sz w:val="24"/>
          <w:szCs w:val="24"/>
        </w:rPr>
        <w:t xml:space="preserve">项目编号：JSZC-321204-ZXZJ-C2026-0002</w:t>
      </w:r>
      <w:r/>
    </w:p>
    <w:p>
      <w:pPr>
        <w:pStyle w:val="985"/>
        <w:ind w:left="0" w:firstLine="480"/>
        <w:spacing w:after="0" w:line="420" w:lineRule="exact"/>
        <w:rPr>
          <w:rFonts w:asciiTheme="minorEastAsia" w:hAnsiTheme="minorEastAsia" w:cstheme="minorEastAsia"/>
          <w:color w:val="000000"/>
          <w:sz w:val="24"/>
          <w:szCs w:val="24"/>
          <w:lang w:eastAsia="zh-CN"/>
        </w:rPr>
      </w:pPr>
      <w:r>
        <w:rPr>
          <w:rFonts w:hint="eastAsia" w:asciiTheme="minorEastAsia" w:hAnsiTheme="minorEastAsia" w:eastAsiaTheme="minorEastAsia" w:cstheme="minorEastAsia"/>
          <w:color w:val="000000"/>
          <w:sz w:val="24"/>
          <w:szCs w:val="24"/>
          <w:lang w:val="en-US" w:eastAsia="zh-CN"/>
        </w:rPr>
        <w:t xml:space="preserve">2.</w:t>
      </w:r>
      <w:r>
        <w:rPr>
          <w:rFonts w:hint="eastAsia" w:asciiTheme="minorEastAsia" w:hAnsiTheme="minorEastAsia" w:eastAsiaTheme="minorEastAsia" w:cstheme="minorEastAsia"/>
          <w:color w:val="000000"/>
          <w:sz w:val="24"/>
          <w:szCs w:val="24"/>
        </w:rPr>
        <w:t xml:space="preserve">项目名称：</w:t>
      </w:r>
      <w:r>
        <w:rPr>
          <w:rFonts w:hint="eastAsia" w:asciiTheme="minorEastAsia" w:hAnsiTheme="minorEastAsia" w:cstheme="minorEastAsia"/>
          <w:color w:val="000000"/>
          <w:sz w:val="24"/>
          <w:szCs w:val="24"/>
          <w:lang w:eastAsia="zh-CN"/>
        </w:rPr>
        <w:t xml:space="preserve">张甸镇华杨村2025年度宜居宜业和美乡村建设（市级）</w:t>
      </w:r>
      <w:r/>
    </w:p>
    <w:p>
      <w:pPr>
        <w:pStyle w:val="985"/>
        <w:ind w:left="0" w:firstLine="480"/>
        <w:spacing w:after="0" w:line="420" w:lineRule="exact"/>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color w:val="000000"/>
          <w:sz w:val="24"/>
          <w:szCs w:val="24"/>
          <w:lang w:val="en-US" w:eastAsia="zh-CN"/>
        </w:rPr>
        <w:t xml:space="preserve">3.</w:t>
      </w:r>
      <w:r>
        <w:rPr>
          <w:rFonts w:hint="eastAsia" w:asciiTheme="minorEastAsia" w:hAnsiTheme="minorEastAsia" w:eastAsiaTheme="minorEastAsia" w:cstheme="minorEastAsia"/>
          <w:color w:val="000000"/>
          <w:sz w:val="24"/>
          <w:szCs w:val="24"/>
        </w:rPr>
        <w:t xml:space="preserve">釆购方式：竞争性磋</w:t>
      </w:r>
      <w:r>
        <w:rPr>
          <w:rFonts w:hint="eastAsia" w:asciiTheme="minorEastAsia" w:hAnsiTheme="minorEastAsia" w:eastAsiaTheme="minorEastAsia" w:cstheme="minorEastAsia"/>
          <w:color w:val="000000"/>
          <w:sz w:val="24"/>
          <w:szCs w:val="24"/>
          <w:lang w:eastAsia="zh-CN"/>
        </w:rPr>
        <w:t xml:space="preserve">商</w:t>
      </w:r>
      <w:r/>
    </w:p>
    <w:p>
      <w:pPr>
        <w:pStyle w:val="1029"/>
        <w:ind w:firstLine="480"/>
        <w:spacing w:line="420" w:lineRule="exact"/>
        <w:rPr>
          <w:rFonts w:hint="eastAsia" w:asciiTheme="minorEastAsia" w:hAnsiTheme="minorEastAsia" w:cstheme="minorEastAsia"/>
          <w:color w:val="000000"/>
          <w:sz w:val="24"/>
        </w:rPr>
      </w:pPr>
      <w:r>
        <w:rPr>
          <w:rFonts w:hint="eastAsia" w:asciiTheme="minorEastAsia" w:hAnsiTheme="minorEastAsia" w:eastAsiaTheme="minorEastAsia" w:cstheme="minorEastAsia"/>
          <w:color w:val="000000"/>
          <w:sz w:val="24"/>
        </w:rPr>
        <w:t xml:space="preserve">4.预算金额：</w:t>
      </w:r>
      <w:r>
        <w:rPr>
          <w:rFonts w:hint="eastAsia" w:asciiTheme="minorEastAsia" w:hAnsiTheme="minorEastAsia" w:eastAsiaTheme="minorEastAsia" w:cstheme="minorEastAsia"/>
          <w:color w:val="000000"/>
          <w:sz w:val="24"/>
          <w:lang w:val="en-US" w:eastAsia="zh-CN"/>
        </w:rPr>
        <w:t xml:space="preserve">257.630303</w:t>
      </w:r>
      <w:r>
        <w:rPr>
          <w:rFonts w:hint="eastAsia" w:asciiTheme="minorEastAsia" w:hAnsiTheme="minorEastAsia" w:cstheme="minorEastAsia"/>
          <w:color w:val="000000"/>
          <w:sz w:val="24"/>
        </w:rPr>
        <w:t xml:space="preserve">万元</w:t>
      </w:r>
      <w:bookmarkStart w:id="612" w:name="_GoBack"/>
      <w:r/>
      <w:bookmarkEnd w:id="612"/>
      <w:r/>
      <w:r/>
    </w:p>
    <w:p>
      <w:pPr>
        <w:pStyle w:val="1029"/>
        <w:ind w:firstLine="480"/>
        <w:spacing w:line="420" w:lineRule="exac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5.最高限价：</w:t>
      </w:r>
      <w:r>
        <w:rPr>
          <w:rFonts w:hint="eastAsia" w:asciiTheme="minorEastAsia" w:hAnsiTheme="minorEastAsia" w:eastAsiaTheme="minorEastAsia" w:cstheme="minorEastAsia"/>
          <w:color w:val="000000"/>
          <w:sz w:val="24"/>
          <w:lang w:val="en-US" w:eastAsia="zh-CN"/>
        </w:rPr>
        <w:t xml:space="preserve">218.985757</w:t>
      </w:r>
      <w:r>
        <w:rPr>
          <w:rFonts w:hint="eastAsia" w:asciiTheme="minorEastAsia" w:hAnsiTheme="minorEastAsia" w:eastAsiaTheme="minorEastAsia" w:cstheme="minorEastAsia"/>
          <w:color w:val="000000"/>
          <w:sz w:val="24"/>
        </w:rPr>
        <w:t xml:space="preserve">万元</w:t>
      </w:r>
      <w:r>
        <w:rPr>
          <w:rFonts w:hint="eastAsia" w:asciiTheme="minorEastAsia" w:hAnsiTheme="minorEastAsia" w:eastAsiaTheme="minorEastAsia" w:cstheme="minorEastAsia"/>
          <w:sz w:val="24"/>
        </w:rPr>
        <w:t xml:space="preserve">（超过最高限价为无效报价，按照无效响应处理。）</w:t>
      </w:r>
      <w:r/>
    </w:p>
    <w:p>
      <w:pPr>
        <w:pStyle w:val="985"/>
        <w:ind w:left="0" w:firstLine="480"/>
        <w:spacing w:after="0" w:line="420" w:lineRule="exact"/>
        <w:rPr>
          <w:rFonts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6.</w:t>
      </w:r>
      <w:r>
        <w:rPr>
          <w:rFonts w:hint="eastAsia" w:asciiTheme="minorEastAsia" w:hAnsiTheme="minorEastAsia" w:eastAsiaTheme="minorEastAsia" w:cstheme="minorEastAsia"/>
          <w:color w:val="000000"/>
          <w:sz w:val="24"/>
          <w:szCs w:val="24"/>
        </w:rPr>
        <w:t xml:space="preserve">采购需求：</w:t>
      </w:r>
      <w:r>
        <w:rPr>
          <w:rFonts w:hint="eastAsia" w:asciiTheme="minorEastAsia" w:hAnsiTheme="minorEastAsia" w:cstheme="minorEastAsia"/>
          <w:color w:val="000000"/>
          <w:sz w:val="24"/>
          <w:szCs w:val="24"/>
          <w:lang w:eastAsia="zh-CN"/>
        </w:rPr>
        <w:t xml:space="preserve">张甸镇华杨村2025年度宜居宜业和美乡村建设（市级），主要建设内容：道路建设等，具体内容详见工程量清单及图纸</w:t>
      </w:r>
      <w:r>
        <w:rPr>
          <w:rFonts w:hint="eastAsia" w:asciiTheme="minorEastAsia" w:hAnsiTheme="minorEastAsia" w:eastAsiaTheme="minorEastAsia" w:cstheme="minorEastAsia"/>
          <w:color w:val="000000"/>
          <w:sz w:val="24"/>
          <w:szCs w:val="24"/>
          <w:lang w:val="en-US" w:eastAsia="zh-CN"/>
        </w:rPr>
        <w:t xml:space="preserve">。</w:t>
      </w:r>
      <w:r/>
    </w:p>
    <w:p>
      <w:pPr>
        <w:pStyle w:val="985"/>
        <w:ind w:left="0" w:firstLine="480"/>
        <w:spacing w:after="0" w:line="420" w:lineRule="exact"/>
        <w:rPr>
          <w:rFonts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7.合同履行期限：合同签订后60日历天；</w:t>
      </w:r>
      <w:r/>
    </w:p>
    <w:p>
      <w:pPr>
        <w:pStyle w:val="985"/>
        <w:ind w:left="0" w:firstLine="480"/>
        <w:spacing w:after="0" w:line="420" w:lineRule="exact"/>
        <w:rPr>
          <w:rFonts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8.本项目不接受联合体投标</w:t>
      </w:r>
      <w:r/>
    </w:p>
    <w:p>
      <w:pPr>
        <w:pStyle w:val="985"/>
        <w:ind w:left="0" w:firstLine="0"/>
        <w:spacing w:after="0" w:line="420" w:lineRule="exact"/>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color w:val="000000"/>
          <w:sz w:val="24"/>
          <w:szCs w:val="24"/>
        </w:rPr>
        <w:t xml:space="preserve">二</w:t>
      </w:r>
      <w:r>
        <w:rPr>
          <w:rFonts w:hint="eastAsia" w:asciiTheme="minorEastAsia" w:hAnsiTheme="minorEastAsia" w:eastAsiaTheme="minorEastAsia" w:cstheme="minorEastAsia"/>
          <w:b/>
          <w:bCs/>
          <w:color w:val="000000"/>
          <w:sz w:val="24"/>
          <w:szCs w:val="24"/>
          <w:lang w:eastAsia="zh-CN"/>
        </w:rPr>
        <w:t xml:space="preserve">、</w:t>
      </w:r>
      <w:r>
        <w:rPr>
          <w:rFonts w:hint="eastAsia" w:asciiTheme="minorEastAsia" w:hAnsiTheme="minorEastAsia" w:eastAsiaTheme="minorEastAsia" w:cstheme="minorEastAsia"/>
          <w:b/>
          <w:bCs/>
          <w:color w:val="000000"/>
          <w:sz w:val="24"/>
          <w:szCs w:val="24"/>
        </w:rPr>
        <w:t xml:space="preserve">申请人的资格要求：</w:t>
      </w:r>
      <w:r/>
    </w:p>
    <w:p>
      <w:pPr>
        <w:ind w:firstLine="480"/>
        <w:spacing w:line="420" w:lineRule="exact"/>
        <w:rPr>
          <w:rFonts w:asciiTheme="minorEastAsia" w:hAnsiTheme="minorEastAsia" w:eastAsiaTheme="minorEastAsia" w:cstheme="minorEastAsia"/>
          <w:sz w:val="24"/>
        </w:rPr>
      </w:pPr>
      <w:r/>
      <w:bookmarkStart w:id="7" w:name="bookmark44"/>
      <w:r/>
      <w:bookmarkEnd w:id="7"/>
      <w:r>
        <w:rPr>
          <w:rFonts w:hint="eastAsia" w:asciiTheme="minorEastAsia" w:hAnsiTheme="minorEastAsia" w:eastAsiaTheme="minorEastAsia" w:cstheme="minorEastAsia"/>
          <w:sz w:val="24"/>
        </w:rPr>
        <w:t xml:space="preserve">1.满足《中华人民共和国政府采购法》第二十二条规定：</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①具有独立承担民事责任的能力</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②具有良好的商业信誉和健全的财务会计制度</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③具有履行合同所必须的设备和专业技术能力</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④有依法缴纳税收和社会保障资金的良好记录</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⑤在参加政府采购活动前三年内,在经营活动中没有重大违法记录</w:t>
      </w:r>
      <w:r/>
    </w:p>
    <w:p>
      <w:pPr>
        <w:ind w:firstLine="480"/>
        <w:spacing w:line="420" w:lineRule="exact"/>
        <w:rPr>
          <w:rFonts w:asciiTheme="minorEastAsia" w:hAnsiTheme="minorEastAsia" w:eastAsiaTheme="minorEastAsia" w:cstheme="minorEastAsia"/>
          <w:sz w:val="24"/>
        </w:rPr>
      </w:pPr>
      <w:r/>
      <w:bookmarkStart w:id="8" w:name="bookmark45"/>
      <w:r/>
      <w:bookmarkEnd w:id="8"/>
      <w:r>
        <w:rPr>
          <w:rFonts w:hint="eastAsia" w:asciiTheme="minorEastAsia" w:hAnsiTheme="minorEastAsia" w:eastAsiaTheme="minorEastAsia" w:cstheme="minorEastAsia"/>
          <w:sz w:val="24"/>
        </w:rPr>
        <w:t xml:space="preserve">2.落实政府采购政策需满足的资格要求：</w:t>
      </w:r>
      <w:bookmarkStart w:id="9" w:name="bookmark46"/>
      <w:r/>
      <w:bookmarkEnd w:id="9"/>
      <w:r>
        <w:rPr>
          <w:rFonts w:hint="eastAsia" w:asciiTheme="minorEastAsia" w:hAnsiTheme="minorEastAsia" w:eastAsiaTheme="minorEastAsia" w:cstheme="minorEastAsia"/>
          <w:sz w:val="24"/>
        </w:rPr>
        <w:t xml:space="preserve">专门面向中小微企业,供应商应为中小微企业、监狱企业、残疾人福利性单位。</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3.本项目的特定资格要求：</w:t>
      </w:r>
      <w:bookmarkStart w:id="10" w:name="bookmark47"/>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3.1供应商须具备建设行政主管部门颁发的有效的</w:t>
      </w:r>
      <w:r>
        <w:rPr>
          <w:rFonts w:hint="eastAsia" w:asciiTheme="minorEastAsia" w:hAnsiTheme="minorEastAsia" w:eastAsiaTheme="minorEastAsia" w:cstheme="minorEastAsia"/>
          <w:sz w:val="24"/>
          <w:u w:val="single"/>
        </w:rPr>
        <w:t xml:space="preserve">市政公用工程施工总承包三级（及）以上</w:t>
      </w:r>
      <w:r>
        <w:rPr>
          <w:rFonts w:hint="eastAsia" w:asciiTheme="minorEastAsia" w:hAnsiTheme="minorEastAsia" w:eastAsiaTheme="minorEastAsia" w:cstheme="minorEastAsia"/>
          <w:sz w:val="24"/>
        </w:rPr>
        <w:t xml:space="preserve">资质并具备有效的建筑施工企业安全生产许可证。</w:t>
      </w:r>
      <w:r/>
    </w:p>
    <w:p>
      <w:pPr>
        <w:pStyle w:val="1029"/>
        <w:ind w:firstLine="480"/>
        <w:jc w:val="left"/>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3.2拟派项目负责人系已在供应商单位注册并具备建设行政主管部门颁发的</w:t>
      </w:r>
      <w:r>
        <w:rPr>
          <w:rFonts w:hint="eastAsia" w:asciiTheme="minorEastAsia" w:hAnsiTheme="minorEastAsia" w:eastAsiaTheme="minorEastAsia" w:cstheme="minorEastAsia"/>
          <w:sz w:val="24"/>
          <w:u w:val="single"/>
        </w:rPr>
        <w:t xml:space="preserve">市政工程专业二级(含)以上</w:t>
      </w:r>
      <w:r>
        <w:rPr>
          <w:rFonts w:hint="eastAsia" w:asciiTheme="minorEastAsia" w:hAnsiTheme="minorEastAsia" w:eastAsiaTheme="minorEastAsia" w:cstheme="minorEastAsia"/>
          <w:sz w:val="24"/>
        </w:rPr>
        <w:t xml:space="preserve">注册建造师证书且具有行政主管部门颁发的有效的建筑施工企业项目负责人安全生产考核合格证书B证。</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3.3本项目其他资格要求：</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(1)信誉要求：</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①未被“信用中国”网站(www.creditchina.gov.cn)、中国政府采购网(www.ccgp.gov.cn)列入失信被执行人、重大税收违法案件当事人名单、政府采购严重违法失信行为记录名单；</w:t>
      </w:r>
      <w:r/>
    </w:p>
    <w:p>
      <w:pPr>
        <w:pStyle w:val="773"/>
        <w:ind w:firstLine="480"/>
        <w:spacing w:after="0"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②企业因发生重大工程质量、安全生产事故，被有关部门暂停投标资格并在暂停期内的；</w:t>
      </w:r>
      <w:r/>
    </w:p>
    <w:p>
      <w:pPr>
        <w:ind w:firstLine="480"/>
        <w:spacing w:line="420" w:lineRule="exact"/>
        <w:rPr>
          <w:rFonts w:asciiTheme="minorEastAsia" w:hAnsiTheme="minorEastAsia" w:eastAsiaTheme="minorEastAsia" w:cstheme="minorEastAsia"/>
        </w:rPr>
      </w:pPr>
      <w:r>
        <w:rPr>
          <w:rFonts w:hint="eastAsia" w:asciiTheme="minorEastAsia" w:hAnsiTheme="minorEastAsia" w:eastAsiaTheme="minorEastAsia" w:cstheme="minorEastAsia"/>
          <w:sz w:val="24"/>
        </w:rPr>
        <w:t xml:space="preserve">③提供参加政府采购活动前 3 年内在经营活动中无重大违法记录的声明。</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（2）企业资质动态监管： </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①评标时，供应商投标所用资质核查结果为不达标的，视为供应商资质条件不符合国家有关规定，或不满足采购文件规定的资格条件。 </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②中标公示期间，成交候选人投标所用资质核查结果为不达标的，视为其资质条件不符合国家有关规定。</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动态监管不合格资质查询网址：</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https://entq.jsszfhcxjstzhfwpt.com:12443/ms/admin/#/open/dthc-list </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（3）项目负责人（即项目经理）无在建工程要求：</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①项目负责人是非变更后无在建工程。</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②项目负责人是变更后无在建工程（必须是原合同工期已满且自变更备案之日起已满6个月），或因非承包方原因致使工程项目停工或因故不能按期开工、且已办理了项目负责人解锁手续。</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③项目负责人有在建工程，但该在建工程与本次招标的工程属于同一工程项目、同一项目批文、同一施工地点分段发包或分期施工的情况且总的工程规模在项目负责人执业范围之内。</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注：以上在建工程是指在其他项目担任项目负责人职责。以供应商在响应文件中的《投标承诺书》为准。</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（4）项目负责人（即项目经理）不得同时在两个或者两个以上单位受聘或者执业，包含但不仅限于以下情形：</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①同时在两个及以上单位签订劳动合同或交纳社会保险；</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②将本人执（职）业资格证书同时注册在两个及以上单位；</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③在其他企业担任法定代表人。</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(5)单位负责人为同一人或者存在直接控股、管理关系的不同供应商，不得同时参加本项目的投标活动。</w:t>
      </w:r>
      <w:r/>
    </w:p>
    <w:p>
      <w:pPr>
        <w:pStyle w:val="985"/>
        <w:ind w:left="0" w:firstLine="0"/>
        <w:spacing w:after="0" w:line="420" w:lineRule="exact"/>
        <w:rPr>
          <w:rFonts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三</w:t>
      </w:r>
      <w:bookmarkEnd w:id="10"/>
      <w:r>
        <w:rPr>
          <w:rFonts w:hint="eastAsia" w:asciiTheme="minorEastAsia" w:hAnsiTheme="minorEastAsia" w:eastAsiaTheme="minorEastAsia" w:cstheme="minorEastAsia"/>
          <w:b/>
          <w:bCs/>
          <w:color w:val="000000"/>
          <w:sz w:val="24"/>
          <w:szCs w:val="24"/>
        </w:rPr>
        <w:t xml:space="preserve">、获取采购文件</w:t>
      </w:r>
      <w:r/>
    </w:p>
    <w:p>
      <w:pPr>
        <w:ind w:firstLine="480"/>
        <w:spacing w:line="420" w:lineRule="exact"/>
        <w:rPr>
          <w:rFonts w:asciiTheme="minorEastAsia" w:hAnsiTheme="minorEastAsia" w:eastAsiaTheme="minorEastAsia" w:cstheme="minorEastAsia"/>
          <w:sz w:val="24"/>
        </w:rPr>
      </w:pPr>
      <w:r/>
      <w:bookmarkStart w:id="11" w:name="bookmark48"/>
      <w:r>
        <w:rPr>
          <w:rFonts w:hint="eastAsia" w:asciiTheme="minorEastAsia" w:hAnsiTheme="minorEastAsia" w:eastAsiaTheme="minorEastAsia" w:cstheme="minorEastAsia"/>
          <w:sz w:val="24"/>
        </w:rPr>
        <w:t xml:space="preserve">（一）时间：自招标文件公告发布之日起5个工作日。</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（二）获取方式：</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1.地点：投标人完成注册并办理CA证书后登录“江苏政府采购‘苏采云’系统”下载本项目招标文件。</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2.获取方式：登录江苏政府采购“苏采云”系统免费下载。</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3.潜在投标人访问电子招标投标交易平台的网络地址和方法：</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潜在投标人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（2）潜在投标人访问“苏采云”系统的网络地址和方法：“苏采云”系统的网址：http://jszfcg.jsczt.cn/，点击“苏采云”进入系统。</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CA数字证书”的获取：供应商需办理CA锁，“苏采云”系统目前仅支持“苏采云”系统下的国信CA，省内各地区办理的“苏采云”系统下的国信CA全省通用。“CA数字证书”的办理方法详见“江苏省政府采购（财政厅）国信CA数字证书及电子签章办理指南”，网址：http://www.jsgxca.com/ManagementGuide46.html。</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采购文件（后缀名为“.kedt”）、供应商操作手册及政府采购客户端工具可通过“苏采云”系统--已报名项目--报名详情页面内相应链接进行下载；供应商操作手册及政府采购客户端工具可通过泰州政府采购网—服务指南--下载中心，点击进入“苏采云系统操作手册（供应商）”，进行下载。</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（5）招标代理机构（采购代理机构）将数据电文形式的招标文件加载至“苏采云”系统，供潜在投标人下载或者查阅。</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（6）苏采云系统优先使用谷歌浏览器参与不见面开标。</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（7）有关本次采购的事项若存在变动或修改，敬请及时关注“江苏政府采购网”发布的更正公告。</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如潜在供应商未按上述要求操作，将自行承担所产生的风险。</w:t>
      </w:r>
      <w:r/>
    </w:p>
    <w:p>
      <w:pPr>
        <w:spacing w:line="420" w:lineRule="exact"/>
        <w:rPr>
          <w:rFonts w:asciiTheme="minorEastAsia" w:hAnsiTheme="minorEastAsia" w:eastAsiaTheme="minorEastAsia" w:cstheme="minorEastAsia"/>
          <w:b/>
          <w:bCs/>
          <w:color w:val="000000"/>
          <w:sz w:val="24"/>
          <w:lang w:val="zh-TW" w:bidi="zh-TW"/>
        </w:rPr>
      </w:pPr>
      <w:r>
        <w:rPr>
          <w:rFonts w:hint="eastAsia" w:asciiTheme="minorEastAsia" w:hAnsiTheme="minorEastAsia" w:eastAsiaTheme="minorEastAsia" w:cstheme="minorEastAsia"/>
          <w:b/>
          <w:bCs/>
          <w:color w:val="000000"/>
          <w:sz w:val="24"/>
          <w:lang w:val="zh-TW" w:bidi="zh-TW"/>
        </w:rPr>
        <w:t xml:space="preserve">四</w:t>
      </w:r>
      <w:bookmarkEnd w:id="11"/>
      <w:r>
        <w:rPr>
          <w:rFonts w:hint="eastAsia" w:asciiTheme="minorEastAsia" w:hAnsiTheme="minorEastAsia" w:eastAsiaTheme="minorEastAsia" w:cstheme="minorEastAsia"/>
          <w:b/>
          <w:bCs/>
          <w:color w:val="000000"/>
          <w:sz w:val="24"/>
          <w:lang w:val="zh-TW" w:bidi="zh-TW"/>
        </w:rPr>
        <w:t xml:space="preserve">、响应文件提交</w:t>
      </w:r>
      <w:r/>
    </w:p>
    <w:p>
      <w:pPr>
        <w:ind w:firstLine="240"/>
        <w:jc w:val="left"/>
        <w:spacing w:line="420" w:lineRule="exac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截止时间：2026年</w:t>
      </w:r>
      <w:r>
        <w:rPr>
          <w:rFonts w:hint="eastAsia" w:asciiTheme="minorEastAsia" w:hAnsiTheme="minorEastAsia" w:eastAsiaTheme="minorEastAsia" w:cstheme="minorEastAsia"/>
          <w:sz w:val="24"/>
          <w:lang w:val="en-US" w:eastAsia="zh-CN"/>
        </w:rPr>
        <w:t xml:space="preserve">8</w:t>
      </w:r>
      <w:r>
        <w:rPr>
          <w:rFonts w:hint="eastAsia" w:asciiTheme="minorEastAsia" w:hAnsiTheme="minorEastAsia" w:eastAsiaTheme="minorEastAsia" w:cstheme="minorEastAsia"/>
          <w:sz w:val="24"/>
        </w:rPr>
        <w:t xml:space="preserve">月</w:t>
      </w:r>
      <w:r>
        <w:rPr>
          <w:rFonts w:hint="eastAsia" w:asciiTheme="minorEastAsia" w:hAnsiTheme="minorEastAsia" w:eastAsiaTheme="minorEastAsia" w:cstheme="minorEastAsia"/>
          <w:sz w:val="24"/>
          <w:lang w:val="en-US" w:eastAsia="zh-CN"/>
        </w:rPr>
        <w:t xml:space="preserve">6</w:t>
      </w:r>
      <w:r>
        <w:rPr>
          <w:rFonts w:hint="eastAsia" w:asciiTheme="minorEastAsia" w:hAnsiTheme="minorEastAsia" w:eastAsiaTheme="minorEastAsia" w:cstheme="minorEastAsia"/>
          <w:sz w:val="24"/>
        </w:rPr>
        <w:t xml:space="preserve"> 日</w:t>
      </w:r>
      <w:r>
        <w:rPr>
          <w:rFonts w:hint="eastAsia" w:asciiTheme="minorEastAsia" w:hAnsiTheme="minorEastAsia" w:eastAsiaTheme="minorEastAsia" w:cstheme="minorEastAsia"/>
          <w:sz w:val="24"/>
          <w:lang w:val="en-US" w:eastAsia="zh-CN"/>
        </w:rPr>
        <w:t xml:space="preserve">9</w:t>
      </w:r>
      <w:r>
        <w:rPr>
          <w:rFonts w:hint="eastAsia" w:asciiTheme="minorEastAsia" w:hAnsiTheme="minorEastAsia" w:eastAsiaTheme="minorEastAsia" w:cstheme="minorEastAsia"/>
          <w:sz w:val="24"/>
        </w:rPr>
        <w:t xml:space="preserve">时</w:t>
      </w:r>
      <w:r>
        <w:rPr>
          <w:rFonts w:hint="eastAsia" w:asciiTheme="minorEastAsia" w:hAnsiTheme="minorEastAsia" w:eastAsiaTheme="minorEastAsia" w:cstheme="minorEastAsia"/>
          <w:sz w:val="24"/>
          <w:lang w:val="en-US" w:eastAsia="zh-CN"/>
        </w:rPr>
        <w:t xml:space="preserve">0</w:t>
      </w:r>
      <w:r>
        <w:rPr>
          <w:rFonts w:hint="eastAsia" w:asciiTheme="minorEastAsia" w:hAnsiTheme="minorEastAsia" w:eastAsiaTheme="minorEastAsia" w:cstheme="minorEastAsia"/>
          <w:sz w:val="24"/>
        </w:rPr>
        <w:t xml:space="preserve">0分（北京时间）</w:t>
      </w:r>
      <w:r/>
    </w:p>
    <w:p>
      <w:pPr>
        <w:ind w:firstLine="240"/>
        <w:jc w:val="left"/>
        <w:spacing w:line="420" w:lineRule="exac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地    点：江苏政府采购“苏采云”系统不见面开标大厅</w:t>
      </w:r>
      <w:r/>
    </w:p>
    <w:p>
      <w:pPr>
        <w:spacing w:line="420" w:lineRule="exact"/>
        <w:rPr>
          <w:rFonts w:asciiTheme="minorEastAsia" w:hAnsiTheme="minorEastAsia" w:eastAsiaTheme="minorEastAsia" w:cstheme="minorEastAsia"/>
          <w:b/>
          <w:bCs/>
          <w:color w:val="000000"/>
          <w:sz w:val="24"/>
          <w:lang w:val="zh-TW" w:bidi="zh-TW"/>
        </w:rPr>
      </w:pPr>
      <w:r>
        <w:rPr>
          <w:rFonts w:hint="eastAsia" w:asciiTheme="minorEastAsia" w:hAnsiTheme="minorEastAsia" w:eastAsiaTheme="minorEastAsia" w:cstheme="minorEastAsia"/>
          <w:b/>
          <w:bCs/>
          <w:color w:val="000000"/>
          <w:sz w:val="24"/>
          <w:lang w:val="zh-TW" w:bidi="zh-TW"/>
        </w:rPr>
        <w:t xml:space="preserve">五、开启</w:t>
      </w:r>
      <w:r/>
    </w:p>
    <w:p>
      <w:pPr>
        <w:ind w:firstLine="240"/>
        <w:jc w:val="left"/>
        <w:spacing w:line="420" w:lineRule="exac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时    间：2026年</w:t>
      </w:r>
      <w:r>
        <w:rPr>
          <w:rFonts w:hint="eastAsia" w:asciiTheme="minorEastAsia" w:hAnsiTheme="minorEastAsia" w:eastAsiaTheme="minorEastAsia" w:cstheme="minorEastAsia"/>
          <w:sz w:val="24"/>
          <w:lang w:val="en-US" w:eastAsia="zh-CN"/>
        </w:rPr>
        <w:t xml:space="preserve">8</w:t>
      </w:r>
      <w:r>
        <w:rPr>
          <w:rFonts w:hint="eastAsia" w:asciiTheme="minorEastAsia" w:hAnsiTheme="minorEastAsia" w:eastAsiaTheme="minorEastAsia" w:cstheme="minorEastAsia"/>
          <w:sz w:val="24"/>
        </w:rPr>
        <w:t xml:space="preserve">月</w:t>
      </w:r>
      <w:r>
        <w:rPr>
          <w:rFonts w:hint="eastAsia" w:asciiTheme="minorEastAsia" w:hAnsiTheme="minorEastAsia" w:eastAsiaTheme="minorEastAsia" w:cstheme="minorEastAsia"/>
          <w:sz w:val="24"/>
          <w:lang w:val="en-US" w:eastAsia="zh-CN"/>
        </w:rPr>
        <w:t xml:space="preserve"> 6</w:t>
      </w:r>
      <w:r>
        <w:rPr>
          <w:rFonts w:hint="eastAsia" w:asciiTheme="minorEastAsia" w:hAnsiTheme="minorEastAsia" w:eastAsiaTheme="minorEastAsia" w:cstheme="minorEastAsia"/>
          <w:sz w:val="24"/>
        </w:rPr>
        <w:t xml:space="preserve">日</w:t>
      </w:r>
      <w:r>
        <w:rPr>
          <w:rFonts w:hint="eastAsia" w:asciiTheme="minorEastAsia" w:hAnsiTheme="minorEastAsia" w:eastAsiaTheme="minorEastAsia" w:cstheme="minorEastAsia"/>
          <w:sz w:val="24"/>
          <w:lang w:val="en-US" w:eastAsia="zh-CN"/>
        </w:rPr>
        <w:t xml:space="preserve">9</w:t>
      </w:r>
      <w:r>
        <w:rPr>
          <w:rFonts w:hint="eastAsia" w:asciiTheme="minorEastAsia" w:hAnsiTheme="minorEastAsia" w:eastAsiaTheme="minorEastAsia" w:cstheme="minorEastAsia"/>
          <w:sz w:val="24"/>
        </w:rPr>
        <w:t xml:space="preserve">时</w:t>
      </w:r>
      <w:r>
        <w:rPr>
          <w:rFonts w:hint="eastAsia" w:asciiTheme="minorEastAsia" w:hAnsiTheme="minorEastAsia" w:eastAsiaTheme="minorEastAsia" w:cstheme="minorEastAsia"/>
          <w:sz w:val="24"/>
          <w:lang w:val="en-US" w:eastAsia="zh-CN"/>
        </w:rPr>
        <w:t xml:space="preserve">0</w:t>
      </w:r>
      <w:r>
        <w:rPr>
          <w:rFonts w:hint="eastAsia" w:asciiTheme="minorEastAsia" w:hAnsiTheme="minorEastAsia" w:eastAsiaTheme="minorEastAsia" w:cstheme="minorEastAsia"/>
          <w:sz w:val="24"/>
        </w:rPr>
        <w:t xml:space="preserve">0分（北京时间）</w:t>
      </w:r>
      <w:r/>
    </w:p>
    <w:p>
      <w:pPr>
        <w:ind w:firstLine="240"/>
        <w:jc w:val="left"/>
        <w:spacing w:line="420" w:lineRule="exac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地    点：江苏政府采购“苏采云”系统不见面开标大厅</w:t>
      </w:r>
      <w:r/>
    </w:p>
    <w:p>
      <w:pPr>
        <w:spacing w:line="420" w:lineRule="exact"/>
        <w:rPr>
          <w:rFonts w:asciiTheme="minorEastAsia" w:hAnsiTheme="minorEastAsia" w:eastAsiaTheme="minorEastAsia" w:cstheme="minorEastAsia"/>
          <w:b/>
          <w:bCs/>
          <w:color w:val="000000"/>
          <w:sz w:val="24"/>
          <w:lang w:val="zh-TW" w:bidi="zh-TW"/>
        </w:rPr>
      </w:pPr>
      <w:r>
        <w:rPr>
          <w:rFonts w:hint="eastAsia" w:asciiTheme="minorEastAsia" w:hAnsiTheme="minorEastAsia" w:eastAsiaTheme="minorEastAsia" w:cstheme="minorEastAsia"/>
          <w:b/>
          <w:bCs/>
          <w:color w:val="000000"/>
          <w:sz w:val="24"/>
          <w:lang w:val="zh-TW" w:bidi="zh-TW"/>
        </w:rPr>
        <w:t xml:space="preserve">六、公告期限</w:t>
      </w:r>
      <w:r/>
    </w:p>
    <w:p>
      <w:pPr>
        <w:ind w:firstLine="240"/>
        <w:jc w:val="left"/>
        <w:spacing w:line="420" w:lineRule="exact"/>
        <w:widowControl/>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sz w:val="24"/>
        </w:rPr>
        <w:t xml:space="preserve">自本公告发布之</w:t>
      </w:r>
      <w:r>
        <w:rPr>
          <w:rFonts w:hint="eastAsia" w:asciiTheme="minorEastAsia" w:hAnsiTheme="minorEastAsia" w:eastAsiaTheme="minorEastAsia" w:cstheme="minorEastAsia"/>
          <w:color w:val="000000"/>
          <w:sz w:val="24"/>
        </w:rPr>
        <w:t xml:space="preserve">日起5个工作日。</w:t>
      </w:r>
      <w:r/>
    </w:p>
    <w:p>
      <w:pPr>
        <w:pStyle w:val="985"/>
        <w:ind w:left="0" w:firstLine="0"/>
        <w:spacing w:after="0" w:line="420" w:lineRule="exact"/>
        <w:rPr>
          <w:rFonts w:asciiTheme="minorEastAsia" w:hAnsiTheme="minorEastAsia" w:eastAsiaTheme="minorEastAsia" w:cstheme="minorEastAsia"/>
          <w:b/>
          <w:bCs/>
          <w:color w:val="000000"/>
          <w:sz w:val="24"/>
          <w:szCs w:val="24"/>
          <w:lang w:eastAsia="zh-CN"/>
        </w:rPr>
      </w:pPr>
      <w:r>
        <w:rPr>
          <w:rFonts w:hint="eastAsia" w:asciiTheme="minorEastAsia" w:hAnsiTheme="minorEastAsia" w:eastAsiaTheme="minorEastAsia" w:cstheme="minorEastAsia"/>
          <w:b/>
          <w:bCs/>
          <w:color w:val="000000"/>
          <w:sz w:val="24"/>
          <w:szCs w:val="24"/>
        </w:rPr>
        <w:t xml:space="preserve">七</w:t>
      </w:r>
      <w:r>
        <w:rPr>
          <w:rFonts w:hint="eastAsia" w:asciiTheme="minorEastAsia" w:hAnsiTheme="minorEastAsia" w:eastAsiaTheme="minorEastAsia" w:cstheme="minorEastAsia"/>
          <w:b/>
          <w:bCs/>
          <w:color w:val="000000"/>
          <w:sz w:val="24"/>
          <w:szCs w:val="24"/>
          <w:lang w:eastAsia="zh-CN"/>
        </w:rPr>
        <w:t xml:space="preserve">、</w:t>
      </w:r>
      <w:r>
        <w:rPr>
          <w:rFonts w:hint="eastAsia" w:asciiTheme="minorEastAsia" w:hAnsiTheme="minorEastAsia" w:eastAsiaTheme="minorEastAsia" w:cstheme="minorEastAsia"/>
          <w:b/>
          <w:bCs/>
          <w:color w:val="000000"/>
          <w:sz w:val="24"/>
          <w:szCs w:val="24"/>
        </w:rPr>
        <w:t xml:space="preserve">其他补充事宜</w:t>
      </w:r>
      <w:r/>
    </w:p>
    <w:p>
      <w:pPr>
        <w:ind w:firstLine="240"/>
        <w:spacing w:line="420" w:lineRule="exact"/>
        <w:tabs>
          <w:tab w:val="left" w:pos="2268"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（1）现场踏勘：供应商自行踏勘。（请各供应商对项目现场进行自主踏勘，未现场踏勘和未提出疑义的供应商将被视为已踏勘，认同采购项目要求的内容，由此造成的后果由供应商负责。）</w:t>
      </w:r>
      <w:r/>
    </w:p>
    <w:p>
      <w:pPr>
        <w:ind w:firstLine="240"/>
        <w:spacing w:line="420" w:lineRule="exact"/>
        <w:tabs>
          <w:tab w:val="left" w:pos="2268"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（2）在评标结束前，各投标人授权代表应保持手机畅通，以便及时澄清答疑。</w:t>
      </w:r>
      <w:r/>
    </w:p>
    <w:p>
      <w:pPr>
        <w:jc w:val="left"/>
        <w:spacing w:line="420" w:lineRule="exact"/>
        <w:widowControl/>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八、凡对本次采购提出询问，请按以下方式联系。</w:t>
      </w:r>
      <w:r/>
    </w:p>
    <w:p>
      <w:pPr>
        <w:ind w:firstLine="240"/>
        <w:spacing w:line="420" w:lineRule="exact"/>
        <w:tabs>
          <w:tab w:val="left" w:pos="2268" w:leader="none"/>
        </w:tabs>
        <w:rPr>
          <w:rFonts w:asciiTheme="minorEastAsia" w:hAnsiTheme="minorEastAsia" w:eastAsiaTheme="minorEastAsia" w:cstheme="minorEastAsia"/>
          <w:sz w:val="24"/>
        </w:rPr>
      </w:pPr>
      <w:r/>
      <w:bookmarkStart w:id="12" w:name="bookmark49"/>
      <w:r/>
      <w:bookmarkEnd w:id="12"/>
      <w:r>
        <w:rPr>
          <w:rFonts w:hint="eastAsia" w:asciiTheme="minorEastAsia" w:hAnsiTheme="minorEastAsia" w:eastAsiaTheme="minorEastAsia" w:cstheme="minorEastAsia"/>
          <w:sz w:val="24"/>
        </w:rPr>
        <w:t xml:space="preserve">1.采购人信息</w:t>
      </w:r>
      <w:r/>
    </w:p>
    <w:p>
      <w:pPr>
        <w:ind w:firstLine="240"/>
        <w:spacing w:line="420" w:lineRule="exact"/>
        <w:tabs>
          <w:tab w:val="left" w:pos="2268" w:leader="none"/>
        </w:tabs>
        <w:rPr>
          <w:rFonts w:asciiTheme="minorEastAsia" w:hAnsiTheme="minorEastAsia" w:cstheme="minorEastAsia"/>
          <w:sz w:val="24"/>
        </w:rPr>
      </w:pPr>
      <w:r>
        <w:rPr>
          <w:rFonts w:hint="eastAsia" w:asciiTheme="minorEastAsia" w:hAnsiTheme="minorEastAsia" w:eastAsiaTheme="minorEastAsia" w:cstheme="minorEastAsia"/>
          <w:sz w:val="24"/>
        </w:rPr>
        <w:t xml:space="preserve">名 称：</w:t>
      </w:r>
      <w:r>
        <w:rPr>
          <w:rFonts w:hint="eastAsia" w:asciiTheme="minorEastAsia" w:hAnsiTheme="minorEastAsia" w:cstheme="minorEastAsia"/>
          <w:sz w:val="24"/>
        </w:rPr>
        <w:t xml:space="preserve">泰州市姜堰区张甸镇人民政府</w:t>
      </w:r>
      <w:r/>
    </w:p>
    <w:p>
      <w:pPr>
        <w:ind w:firstLine="240"/>
        <w:spacing w:line="420" w:lineRule="exact"/>
        <w:tabs>
          <w:tab w:val="left" w:pos="2268"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地 址：泰州市姜堰区</w:t>
      </w:r>
      <w:r>
        <w:rPr>
          <w:rFonts w:hint="eastAsia" w:asciiTheme="minorEastAsia" w:hAnsiTheme="minorEastAsia" w:cstheme="minorEastAsia"/>
          <w:sz w:val="24"/>
        </w:rPr>
        <w:t xml:space="preserve">张甸</w:t>
      </w:r>
      <w:r>
        <w:rPr>
          <w:rFonts w:hint="eastAsia" w:asciiTheme="minorEastAsia" w:hAnsiTheme="minorEastAsia" w:eastAsiaTheme="minorEastAsia" w:cstheme="minorEastAsia"/>
          <w:sz w:val="24"/>
        </w:rPr>
        <w:t xml:space="preserve">镇</w:t>
      </w:r>
      <w:r/>
    </w:p>
    <w:p>
      <w:pPr>
        <w:ind w:firstLine="240"/>
        <w:spacing w:line="420" w:lineRule="exact"/>
        <w:tabs>
          <w:tab w:val="left" w:pos="2268" w:leader="none"/>
        </w:tabs>
        <w:rPr>
          <w:rFonts w:hint="default"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rPr>
        <w:t xml:space="preserve">联系方式：</w:t>
      </w:r>
      <w:r>
        <w:rPr>
          <w:rFonts w:hint="eastAsia" w:asciiTheme="minorEastAsia" w:hAnsiTheme="minorEastAsia" w:eastAsiaTheme="minorEastAsia" w:cstheme="minorEastAsia"/>
          <w:sz w:val="24"/>
          <w:lang w:val="en-US" w:eastAsia="zh-CN"/>
        </w:rPr>
        <w:t xml:space="preserve">董女士  15861019915</w:t>
      </w:r>
      <w:r/>
    </w:p>
    <w:p>
      <w:pPr>
        <w:ind w:firstLine="240"/>
        <w:spacing w:line="420" w:lineRule="exact"/>
        <w:tabs>
          <w:tab w:val="left" w:pos="2268"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2.采购代理机构信息</w:t>
      </w:r>
      <w:r/>
    </w:p>
    <w:p>
      <w:pPr>
        <w:ind w:firstLine="240"/>
        <w:spacing w:line="420" w:lineRule="exact"/>
        <w:tabs>
          <w:tab w:val="left" w:pos="2268" w:leader="none"/>
        </w:tabs>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 xml:space="preserve">名 称：</w:t>
      </w:r>
      <w:r>
        <w:rPr>
          <w:rFonts w:hint="eastAsia" w:asciiTheme="minorEastAsia" w:hAnsiTheme="minorEastAsia" w:eastAsiaTheme="minorEastAsia" w:cstheme="minorEastAsia"/>
          <w:sz w:val="24"/>
          <w:lang w:eastAsia="zh-CN"/>
        </w:rPr>
        <w:t xml:space="preserve">江苏中和信工程咨询有限公司</w:t>
      </w:r>
      <w:r/>
    </w:p>
    <w:p>
      <w:pPr>
        <w:ind w:firstLine="240"/>
        <w:keepLines w:val="0"/>
        <w:keepNext w:val="0"/>
        <w:pageBreakBefore w:val="0"/>
        <w:spacing w:line="420" w:lineRule="exact"/>
        <w:tabs>
          <w:tab w:val="left" w:pos="2268"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地 址：</w:t>
      </w:r>
      <w:r>
        <w:rPr>
          <w:rFonts w:hint="eastAsia" w:asciiTheme="minorEastAsia" w:hAnsiTheme="minorEastAsia" w:eastAsiaTheme="minorEastAsia" w:cstheme="minorEastAsia"/>
          <w:sz w:val="24"/>
          <w:szCs w:val="24"/>
          <w:highlight w:val="none"/>
        </w:rPr>
        <w:t xml:space="preserve">泰州市姜堰区紫星城31号楼3楼</w:t>
      </w:r>
      <w:r/>
    </w:p>
    <w:p>
      <w:pPr>
        <w:ind w:firstLine="240"/>
        <w:spacing w:line="420" w:lineRule="exact"/>
        <w:tabs>
          <w:tab w:val="left" w:pos="2268"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联系方式：李凯  18921701192</w:t>
      </w:r>
      <w:r/>
    </w:p>
    <w:p>
      <w:pPr>
        <w:ind w:firstLine="240"/>
        <w:spacing w:line="420" w:lineRule="exact"/>
        <w:tabs>
          <w:tab w:val="left" w:pos="2268"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3.项目公平竞争审查工作联系方式</w:t>
      </w:r>
      <w:r/>
    </w:p>
    <w:p>
      <w:pPr>
        <w:ind w:firstLine="240"/>
        <w:spacing w:line="420" w:lineRule="exact"/>
        <w:tabs>
          <w:tab w:val="left" w:pos="2268"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项目联系人：南京物浦大数据有限公司</w:t>
      </w:r>
      <w:r/>
    </w:p>
    <w:p>
      <w:pPr>
        <w:ind w:firstLine="240"/>
        <w:spacing w:line="420" w:lineRule="exact"/>
        <w:tabs>
          <w:tab w:val="left" w:pos="2268"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电　话：13305181842</w:t>
      </w:r>
      <w:bookmarkEnd w:id="0"/>
      <w:r/>
      <w:bookmarkEnd w:id="1"/>
      <w:r/>
      <w:r/>
    </w:p>
    <w:p>
      <w:pPr>
        <w:jc w:val="right"/>
        <w:spacing w:line="420" w:lineRule="exact"/>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jc w:val="center"/>
        <w:rPr>
          <w:rStyle w:val="951"/>
          <w:rFonts w:asciiTheme="minorEastAsia" w:hAnsiTheme="minorEastAsia" w:eastAsiaTheme="minorEastAsia" w:cstheme="minorEastAsia"/>
        </w:rPr>
      </w:pPr>
      <w:r>
        <w:rPr>
          <w:rFonts w:hint="eastAsia" w:asciiTheme="minorEastAsia" w:hAnsiTheme="minorEastAsia" w:eastAsiaTheme="minorEastAsia" w:cstheme="minorEastAsia"/>
          <w:b/>
          <w:sz w:val="32"/>
          <w:szCs w:val="32"/>
        </w:rPr>
        <w:br w:type="page" w:clear="all"/>
      </w:r>
      <w:bookmarkStart w:id="13" w:name="_Toc3410"/>
      <w:r/>
      <w:bookmarkStart w:id="14" w:name="_Toc24543"/>
      <w:r>
        <w:rPr>
          <w:rStyle w:val="951"/>
          <w:rFonts w:hint="eastAsia" w:asciiTheme="minorEastAsia" w:hAnsiTheme="minorEastAsia" w:eastAsiaTheme="minorEastAsia" w:cstheme="minorEastAsia"/>
        </w:rPr>
        <w:t xml:space="preserve">第二章 参加磋商供应商须知</w:t>
      </w:r>
      <w:bookmarkEnd w:id="13"/>
      <w:r/>
      <w:bookmarkEnd w:id="14"/>
      <w:r/>
      <w:r/>
    </w:p>
    <w:p>
      <w:pPr>
        <w:jc w:val="center"/>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（参加竞争性磋商的供应商以下简称“供应商”）</w:t>
      </w:r>
      <w:r/>
    </w:p>
    <w:p>
      <w:pPr>
        <w:ind w:right="840"/>
        <w:jc w:val="center"/>
        <w:spacing w:line="360" w:lineRule="auto"/>
        <w:widowControl/>
        <w:rPr>
          <w:rFonts w:asciiTheme="minorEastAsia" w:hAnsiTheme="minorEastAsia" w:eastAsiaTheme="minorEastAsia" w:cstheme="minorEastAsia"/>
          <w:b/>
          <w:szCs w:val="22"/>
        </w:rPr>
      </w:pPr>
      <w:r/>
      <w:bookmarkStart w:id="15" w:name="_Hlk121232993"/>
      <w:r>
        <w:rPr>
          <w:rFonts w:hint="eastAsia" w:asciiTheme="minorEastAsia" w:hAnsiTheme="minorEastAsia" w:eastAsiaTheme="minorEastAsia" w:cstheme="minorEastAsia"/>
          <w:b/>
          <w:szCs w:val="22"/>
        </w:rPr>
        <w:t xml:space="preserve">     供应商须知</w:t>
      </w:r>
      <w:bookmarkEnd w:id="15"/>
      <w:r>
        <w:rPr>
          <w:rFonts w:hint="eastAsia" w:asciiTheme="minorEastAsia" w:hAnsiTheme="minorEastAsia" w:eastAsiaTheme="minorEastAsia" w:cstheme="minorEastAsia"/>
          <w:b/>
          <w:szCs w:val="22"/>
        </w:rPr>
        <w:t xml:space="preserve">前附表</w:t>
      </w:r>
      <w:r/>
    </w:p>
    <w:tbl>
      <w:tblPr>
        <w:tblStyle w:val="733"/>
        <w:tblW w:w="102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5"/>
        <w:gridCol w:w="1389"/>
        <w:gridCol w:w="8202"/>
      </w:tblGrid>
      <w:tr>
        <w:trPr>
          <w:jc w:val="center"/>
          <w:trHeight w:val="90"/>
        </w:trPr>
        <w:tc>
          <w:tcPr>
            <w:tcW w:w="665"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序号</w:t>
            </w:r>
            <w:r/>
          </w:p>
        </w:tc>
        <w:tc>
          <w:tcPr>
            <w:tcW w:w="1389"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w:t>
            </w:r>
            <w:r/>
          </w:p>
        </w:tc>
        <w:tc>
          <w:tcPr>
            <w:tcW w:w="8202"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内容</w:t>
            </w:r>
            <w:r/>
          </w:p>
        </w:tc>
      </w:tr>
      <w:tr>
        <w:trPr>
          <w:jc w:val="center"/>
          <w:trHeight w:val="319"/>
        </w:trPr>
        <w:tc>
          <w:tcPr>
            <w:tcW w:w="665"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w:t>
            </w:r>
            <w:r/>
          </w:p>
        </w:tc>
        <w:tc>
          <w:tcPr>
            <w:tcW w:w="1389"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项目名称</w:t>
            </w:r>
            <w:r/>
          </w:p>
        </w:tc>
        <w:tc>
          <w:tcPr>
            <w:tcW w:w="8202" w:type="dxa"/>
            <w:vAlign w:val="center"/>
            <w:textDirection w:val="lrTb"/>
            <w:noWrap/>
          </w:tcPr>
          <w:p>
            <w:pPr>
              <w:jc w:val="left"/>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lang w:eastAsia="zh-CN"/>
              </w:rPr>
              <w:t xml:space="preserve">张甸镇华杨村2025年度宜居宜业和美乡村建设（市级）</w:t>
            </w:r>
            <w:r/>
          </w:p>
        </w:tc>
      </w:tr>
      <w:tr>
        <w:trPr>
          <w:jc w:val="center"/>
          <w:trHeight w:val="456"/>
        </w:trPr>
        <w:tc>
          <w:tcPr>
            <w:tcW w:w="665"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w:t>
            </w:r>
            <w:r/>
          </w:p>
        </w:tc>
        <w:tc>
          <w:tcPr>
            <w:tcW w:w="1389"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标段名称</w:t>
            </w:r>
            <w:r/>
          </w:p>
        </w:tc>
        <w:tc>
          <w:tcPr>
            <w:tcW w:w="8202" w:type="dxa"/>
            <w:vAlign w:val="center"/>
            <w:textDirection w:val="lrTb"/>
            <w:noWrap/>
          </w:tcPr>
          <w:p>
            <w:pPr>
              <w:jc w:val="left"/>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lang w:eastAsia="zh-CN"/>
              </w:rPr>
              <w:t xml:space="preserve">张甸镇华杨村2025年度宜居宜业和美乡村建设（市级）</w:t>
            </w:r>
            <w:r/>
          </w:p>
        </w:tc>
      </w:tr>
      <w:tr>
        <w:trPr>
          <w:jc w:val="center"/>
          <w:trHeight w:val="159"/>
        </w:trPr>
        <w:tc>
          <w:tcPr>
            <w:tcW w:w="665"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w:t>
            </w:r>
            <w:r/>
          </w:p>
        </w:tc>
        <w:tc>
          <w:tcPr>
            <w:tcW w:w="1389"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工期及服务地点</w:t>
            </w:r>
            <w:r/>
          </w:p>
        </w:tc>
        <w:tc>
          <w:tcPr>
            <w:tcW w:w="8202" w:type="dxa"/>
            <w:vAlign w:val="center"/>
            <w:textDirection w:val="lrTb"/>
            <w:noWrap/>
          </w:tcPr>
          <w:p>
            <w:pPr>
              <w:numPr>
                <w:ilvl w:val="0"/>
                <w:numId w:val="2"/>
              </w:num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工期：60日历天； </w:t>
            </w:r>
            <w:r/>
          </w:p>
          <w:p>
            <w:pPr>
              <w:numPr>
                <w:ilvl w:val="0"/>
                <w:numId w:val="2"/>
              </w:num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服务地点：甲方指定地点</w:t>
            </w:r>
            <w:r/>
          </w:p>
        </w:tc>
      </w:tr>
      <w:tr>
        <w:trPr>
          <w:jc w:val="center"/>
          <w:trHeight w:val="504"/>
        </w:trPr>
        <w:tc>
          <w:tcPr>
            <w:tcW w:w="665"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w:t>
            </w:r>
            <w:r/>
          </w:p>
        </w:tc>
        <w:tc>
          <w:tcPr>
            <w:tcW w:w="1389"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预算金额及最高限价</w:t>
            </w:r>
            <w:r/>
          </w:p>
        </w:tc>
        <w:tc>
          <w:tcPr>
            <w:tcW w:w="8202" w:type="dxa"/>
            <w:vAlign w:val="center"/>
            <w:textDirection w:val="lrTb"/>
            <w:noWrap/>
          </w:tcPr>
          <w:p>
            <w:pPr>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预算金额：</w:t>
            </w:r>
            <w:r>
              <w:rPr>
                <w:rFonts w:hint="eastAsia" w:asciiTheme="minorEastAsia" w:hAnsiTheme="minorEastAsia" w:eastAsiaTheme="minorEastAsia" w:cstheme="minorEastAsia"/>
                <w:szCs w:val="21"/>
                <w:lang w:val="en-US" w:eastAsia="zh-CN"/>
              </w:rPr>
              <w:t xml:space="preserve">257.630303</w:t>
            </w:r>
            <w:r>
              <w:rPr>
                <w:rFonts w:hint="eastAsia" w:asciiTheme="minorEastAsia" w:hAnsiTheme="minorEastAsia" w:cstheme="minorEastAsia"/>
                <w:szCs w:val="21"/>
              </w:rPr>
              <w:t xml:space="preserve">万</w:t>
            </w:r>
            <w:r>
              <w:rPr>
                <w:rFonts w:hint="eastAsia" w:asciiTheme="minorEastAsia" w:hAnsiTheme="minorEastAsia" w:eastAsiaTheme="minorEastAsia" w:cstheme="minorEastAsia"/>
                <w:szCs w:val="21"/>
              </w:rPr>
              <w:t xml:space="preserve">元</w:t>
            </w:r>
            <w:r/>
          </w:p>
          <w:p>
            <w:pPr>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最高限价：</w:t>
            </w:r>
            <w:r>
              <w:rPr>
                <w:rFonts w:hint="eastAsia" w:asciiTheme="minorEastAsia" w:hAnsiTheme="minorEastAsia" w:eastAsiaTheme="minorEastAsia" w:cstheme="minorEastAsia"/>
                <w:szCs w:val="21"/>
                <w:lang w:val="en-US" w:eastAsia="zh-CN"/>
              </w:rPr>
              <w:t xml:space="preserve">218.985757</w:t>
            </w:r>
            <w:r>
              <w:rPr>
                <w:rFonts w:hint="eastAsia" w:asciiTheme="minorEastAsia" w:hAnsiTheme="minorEastAsia" w:cstheme="minorEastAsia"/>
                <w:szCs w:val="21"/>
              </w:rPr>
              <w:t xml:space="preserve">万元</w:t>
            </w:r>
            <w:r>
              <w:rPr>
                <w:rFonts w:hint="eastAsia" w:asciiTheme="minorEastAsia" w:hAnsiTheme="minorEastAsia" w:eastAsiaTheme="minorEastAsia" w:cstheme="minorEastAsia"/>
                <w:szCs w:val="21"/>
              </w:rPr>
              <w:t xml:space="preserve">（超过最高限价为无效报价，按照无效响应处理。）</w:t>
            </w:r>
            <w:r/>
          </w:p>
        </w:tc>
      </w:tr>
      <w:tr>
        <w:trPr>
          <w:jc w:val="center"/>
          <w:trHeight w:val="387"/>
        </w:trPr>
        <w:tc>
          <w:tcPr>
            <w:tcW w:w="665"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w:t>
            </w:r>
            <w:r/>
          </w:p>
        </w:tc>
        <w:tc>
          <w:tcPr>
            <w:tcW w:w="1389" w:type="dxa"/>
            <w:vAlign w:val="center"/>
            <w:textDirection w:val="lrTb"/>
            <w:noWrap/>
          </w:tcPr>
          <w:p>
            <w:pPr>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合格供应商资格要求</w:t>
            </w:r>
            <w:r/>
          </w:p>
        </w:tc>
        <w:tc>
          <w:tcPr>
            <w:tcW w:w="8202" w:type="dxa"/>
            <w:vAlign w:val="center"/>
            <w:textDirection w:val="lrTb"/>
            <w:noWrap/>
          </w:tcPr>
          <w:p>
            <w:pPr>
              <w:jc w:val="lef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详见第一章磋商公告</w:t>
            </w:r>
            <w:r/>
          </w:p>
        </w:tc>
      </w:tr>
      <w:tr>
        <w:trPr>
          <w:jc w:val="center"/>
          <w:trHeight w:val="268"/>
        </w:trPr>
        <w:tc>
          <w:tcPr>
            <w:tcW w:w="665"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w:t>
            </w:r>
            <w:r/>
          </w:p>
        </w:tc>
        <w:tc>
          <w:tcPr>
            <w:tcW w:w="1389"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联合体投标</w:t>
            </w:r>
            <w:r/>
          </w:p>
        </w:tc>
        <w:tc>
          <w:tcPr>
            <w:tcW w:w="8202"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不接受，磋商文件中有关联合体的规定均不适用</w:t>
            </w:r>
            <w:r/>
          </w:p>
        </w:tc>
      </w:tr>
      <w:tr>
        <w:trPr>
          <w:jc w:val="center"/>
          <w:trHeight w:val="312"/>
        </w:trPr>
        <w:tc>
          <w:tcPr>
            <w:tcW w:w="665"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7</w:t>
            </w:r>
            <w:r/>
          </w:p>
        </w:tc>
        <w:tc>
          <w:tcPr>
            <w:tcW w:w="1389"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现场考察</w:t>
            </w:r>
            <w:r/>
          </w:p>
        </w:tc>
        <w:tc>
          <w:tcPr>
            <w:tcW w:w="8202"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不组织，自行考察;如供应商需自行考察,费用自理</w:t>
            </w:r>
            <w:r/>
          </w:p>
        </w:tc>
      </w:tr>
      <w:tr>
        <w:trPr>
          <w:jc w:val="center"/>
          <w:trHeight w:val="254"/>
        </w:trPr>
        <w:tc>
          <w:tcPr>
            <w:tcW w:w="665"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w:t>
            </w:r>
            <w:r/>
          </w:p>
        </w:tc>
        <w:tc>
          <w:tcPr>
            <w:tcW w:w="1389"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投标答疑会 </w:t>
            </w:r>
            <w:r/>
          </w:p>
        </w:tc>
        <w:tc>
          <w:tcPr>
            <w:tcW w:w="8202"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不召开</w:t>
            </w:r>
            <w:r/>
          </w:p>
        </w:tc>
      </w:tr>
      <w:tr>
        <w:trPr>
          <w:jc w:val="center"/>
          <w:trHeight w:val="599"/>
        </w:trPr>
        <w:tc>
          <w:tcPr>
            <w:tcW w:w="665"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9</w:t>
            </w:r>
            <w:r/>
          </w:p>
        </w:tc>
        <w:tc>
          <w:tcPr>
            <w:tcW w:w="1389"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供应商提出疑问截止时间</w:t>
            </w:r>
            <w:r/>
          </w:p>
        </w:tc>
        <w:tc>
          <w:tcPr>
            <w:tcW w:w="8202"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时间：磋商响应文件递交截止时间5天前</w:t>
            </w:r>
            <w:r/>
          </w:p>
          <w:p>
            <w:pPr>
              <w:rPr>
                <w:rFonts w:hint="default"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rPr>
              <w:t xml:space="preserve">代理机构联系人：</w:t>
            </w:r>
            <w:r>
              <w:rPr>
                <w:rFonts w:hint="eastAsia" w:asciiTheme="minorEastAsia" w:hAnsiTheme="minorEastAsia" w:eastAsiaTheme="minorEastAsia" w:cstheme="minorEastAsia"/>
                <w:szCs w:val="21"/>
                <w:lang w:val="en-US" w:eastAsia="zh-CN"/>
              </w:rPr>
              <w:t xml:space="preserve">李工</w:t>
            </w:r>
            <w:r>
              <w:rPr>
                <w:rFonts w:hint="eastAsia" w:asciiTheme="minorEastAsia" w:hAnsiTheme="minorEastAsia" w:eastAsiaTheme="minorEastAsia" w:cstheme="minorEastAsia"/>
                <w:szCs w:val="21"/>
              </w:rPr>
              <w:t xml:space="preserve">；联系电话：</w:t>
            </w:r>
            <w:r>
              <w:rPr>
                <w:rFonts w:hint="eastAsia" w:asciiTheme="minorEastAsia" w:hAnsiTheme="minorEastAsia" w:eastAsiaTheme="minorEastAsia" w:cstheme="minorEastAsia"/>
                <w:szCs w:val="21"/>
                <w:lang w:val="en-US" w:eastAsia="zh-CN"/>
              </w:rPr>
              <w:t xml:space="preserve">18921701192</w:t>
            </w:r>
            <w:r/>
          </w:p>
        </w:tc>
      </w:tr>
      <w:tr>
        <w:trPr>
          <w:jc w:val="center"/>
          <w:trHeight w:val="209"/>
        </w:trPr>
        <w:tc>
          <w:tcPr>
            <w:tcW w:w="665"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10</w:t>
            </w:r>
            <w:r/>
          </w:p>
        </w:tc>
        <w:tc>
          <w:tcPr>
            <w:tcW w:w="1389"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澄清、修改时间</w:t>
            </w:r>
            <w:r/>
          </w:p>
        </w:tc>
        <w:tc>
          <w:tcPr>
            <w:tcW w:w="8202"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磋商响应文件递交截止时间5天前，</w:t>
            </w:r>
            <w:r>
              <w:rPr>
                <w:rFonts w:hint="eastAsia" w:asciiTheme="minorEastAsia" w:hAnsiTheme="minorEastAsia" w:eastAsiaTheme="minorEastAsia" w:cstheme="minorEastAsia"/>
                <w:szCs w:val="21"/>
                <w:lang w:val="zh-CN"/>
              </w:rPr>
              <w:t xml:space="preserve">投标截止时间前</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lang w:val="zh-CN"/>
              </w:rPr>
              <w:t xml:space="preserve">供应商自行关注</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lang w:val="zh-CN"/>
              </w:rPr>
              <w:t xml:space="preserve">江苏政府采购网</w:t>
            </w:r>
            <w:r>
              <w:rPr>
                <w:rFonts w:hint="eastAsia" w:asciiTheme="minorEastAsia" w:hAnsiTheme="minorEastAsia" w:eastAsiaTheme="minorEastAsia" w:cstheme="minorEastAsia"/>
                <w:szCs w:val="21"/>
              </w:rPr>
              <w:t xml:space="preserve">（http://www.ccgp-jiangsu.gov.cn/）”</w:t>
            </w:r>
            <w:r/>
          </w:p>
        </w:tc>
      </w:tr>
      <w:tr>
        <w:trPr>
          <w:jc w:val="center"/>
          <w:trHeight w:val="350"/>
        </w:trPr>
        <w:tc>
          <w:tcPr>
            <w:tcW w:w="665"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11</w:t>
            </w:r>
            <w:r/>
          </w:p>
        </w:tc>
        <w:tc>
          <w:tcPr>
            <w:tcW w:w="1389" w:type="dxa"/>
            <w:vAlign w:val="center"/>
            <w:textDirection w:val="lrTb"/>
            <w:noWrap/>
          </w:tcPr>
          <w:p>
            <w:pPr>
              <w:jc w:val="center"/>
              <w:spacing w:line="36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val="zh-CN"/>
              </w:rPr>
              <w:t xml:space="preserve">是否允许递交备选投标方案</w:t>
            </w:r>
            <w:r/>
          </w:p>
        </w:tc>
        <w:tc>
          <w:tcPr>
            <w:tcW w:w="8202" w:type="dxa"/>
            <w:vAlign w:val="center"/>
            <w:textDirection w:val="lrTb"/>
            <w:noWrap/>
          </w:tcPr>
          <w:p>
            <w:pPr>
              <w:spacing w:line="360" w:lineRule="exac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 不允许</w:t>
            </w:r>
            <w:r/>
          </w:p>
          <w:p>
            <w:pPr>
              <w:spacing w:line="36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val="zh-CN"/>
              </w:rPr>
              <w:t xml:space="preserve">□ 允  许</w:t>
            </w:r>
            <w:r/>
          </w:p>
        </w:tc>
      </w:tr>
      <w:tr>
        <w:trPr>
          <w:jc w:val="center"/>
          <w:trHeight w:val="209"/>
        </w:trPr>
        <w:tc>
          <w:tcPr>
            <w:tcW w:w="665"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12</w:t>
            </w:r>
            <w:r/>
          </w:p>
        </w:tc>
        <w:tc>
          <w:tcPr>
            <w:tcW w:w="1389"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投标货币</w:t>
            </w:r>
            <w:r/>
          </w:p>
        </w:tc>
        <w:tc>
          <w:tcPr>
            <w:tcW w:w="8202"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人民币</w:t>
            </w:r>
            <w:r/>
          </w:p>
        </w:tc>
      </w:tr>
      <w:tr>
        <w:trPr>
          <w:jc w:val="center"/>
          <w:trHeight w:val="312"/>
        </w:trPr>
        <w:tc>
          <w:tcPr>
            <w:tcW w:w="665"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13</w:t>
            </w:r>
            <w:r/>
          </w:p>
        </w:tc>
        <w:tc>
          <w:tcPr>
            <w:tcW w:w="1389"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合同方式</w:t>
            </w:r>
            <w:r/>
          </w:p>
        </w:tc>
        <w:tc>
          <w:tcPr>
            <w:tcW w:w="8202"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固定单价合同，工程量按实结算    □固定总价合同   □其他：</w:t>
            </w:r>
            <w:r/>
          </w:p>
        </w:tc>
      </w:tr>
      <w:tr>
        <w:trPr>
          <w:jc w:val="center"/>
          <w:trHeight w:val="339"/>
        </w:trPr>
        <w:tc>
          <w:tcPr>
            <w:tcW w:w="665"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15</w:t>
            </w:r>
            <w:r/>
          </w:p>
        </w:tc>
        <w:tc>
          <w:tcPr>
            <w:tcW w:w="1389"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磋商保证金</w:t>
            </w:r>
            <w:r/>
          </w:p>
        </w:tc>
        <w:tc>
          <w:tcPr>
            <w:tcW w:w="8202"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依据苏财购【2020】52号文件精神，本项目免收磋商保证金。</w:t>
            </w:r>
            <w:r/>
          </w:p>
        </w:tc>
      </w:tr>
      <w:tr>
        <w:trPr>
          <w:jc w:val="center"/>
          <w:trHeight w:val="325"/>
        </w:trPr>
        <w:tc>
          <w:tcPr>
            <w:tcW w:w="665"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16</w:t>
            </w:r>
            <w:r/>
          </w:p>
        </w:tc>
        <w:tc>
          <w:tcPr>
            <w:tcW w:w="1389"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响应文件有效期</w:t>
            </w:r>
            <w:r/>
          </w:p>
        </w:tc>
        <w:tc>
          <w:tcPr>
            <w:tcW w:w="8202"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u w:val="single"/>
              </w:rPr>
              <w:t xml:space="preserve">60日历天</w:t>
            </w:r>
            <w:r>
              <w:rPr>
                <w:rFonts w:hint="eastAsia" w:asciiTheme="minorEastAsia" w:hAnsiTheme="minorEastAsia" w:eastAsiaTheme="minorEastAsia" w:cstheme="minorEastAsia"/>
                <w:szCs w:val="21"/>
              </w:rPr>
              <w:t xml:space="preserve">（从磋商响应文件递交截止之日算起）</w:t>
            </w:r>
            <w:r/>
          </w:p>
        </w:tc>
      </w:tr>
      <w:tr>
        <w:trPr>
          <w:jc w:val="center"/>
          <w:trHeight w:val="638"/>
        </w:trPr>
        <w:tc>
          <w:tcPr>
            <w:tcW w:w="665"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17</w:t>
            </w:r>
            <w:r/>
          </w:p>
        </w:tc>
        <w:tc>
          <w:tcPr>
            <w:tcW w:w="1389"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val="zh-CN"/>
              </w:rPr>
              <w:t xml:space="preserve">递交响应文件时间及地点</w:t>
            </w:r>
            <w:r/>
          </w:p>
        </w:tc>
        <w:tc>
          <w:tcPr>
            <w:tcW w:w="8202" w:type="dxa"/>
            <w:vAlign w:val="center"/>
            <w:textDirection w:val="lrTb"/>
            <w:noWrap/>
          </w:tcPr>
          <w:p>
            <w:pPr>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rPr>
              <w:t xml:space="preserve">1.</w:t>
            </w:r>
            <w:r>
              <w:rPr>
                <w:rFonts w:hint="eastAsia" w:asciiTheme="minorEastAsia" w:hAnsiTheme="minorEastAsia" w:eastAsiaTheme="minorEastAsia" w:cstheme="minorEastAsia"/>
                <w:szCs w:val="21"/>
                <w:lang w:val="zh-CN"/>
              </w:rPr>
              <w:t xml:space="preserve">本项目通过“苏采云”系统进行电子采购，即供应商响应文件从政府采购客户端工具制作并通过“苏采云”系统提交。</w:t>
            </w:r>
            <w:r/>
          </w:p>
          <w:p>
            <w:pPr>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供应商应当通过“苏采云”系统提交数据电文形式的响应文件（即电子投标）。未进行线上响应文件提交并解密(因“苏采云”系统导致解密失败的除外)的供应商，响应无效。</w:t>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“CA</w:t>
            </w:r>
            <w:r>
              <w:rPr>
                <w:rFonts w:hint="eastAsia" w:asciiTheme="minorEastAsia" w:hAnsiTheme="minorEastAsia" w:eastAsiaTheme="minorEastAsia" w:cstheme="minorEastAsia"/>
                <w:szCs w:val="21"/>
                <w:lang w:val="zh-CN"/>
              </w:rPr>
              <w:t xml:space="preserve">数字证书</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lang w:val="zh-CN"/>
              </w:rPr>
              <w:t xml:space="preserve">的获取</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lang w:val="zh-CN"/>
              </w:rPr>
              <w:t xml:space="preserve">供应商需办理</w:t>
            </w:r>
            <w:r>
              <w:rPr>
                <w:rFonts w:hint="eastAsia" w:asciiTheme="minorEastAsia" w:hAnsiTheme="minorEastAsia" w:eastAsiaTheme="minorEastAsia" w:cstheme="minorEastAsia"/>
                <w:szCs w:val="21"/>
              </w:rPr>
              <w:t xml:space="preserve">CA</w:t>
            </w:r>
            <w:r>
              <w:rPr>
                <w:rFonts w:hint="eastAsia" w:asciiTheme="minorEastAsia" w:hAnsiTheme="minorEastAsia" w:eastAsiaTheme="minorEastAsia" w:cstheme="minorEastAsia"/>
                <w:szCs w:val="21"/>
                <w:lang w:val="zh-CN"/>
              </w:rPr>
              <w:t xml:space="preserve">锁</w:t>
            </w:r>
            <w:r>
              <w:rPr>
                <w:rFonts w:hint="eastAsia" w:asciiTheme="minorEastAsia" w:hAnsiTheme="minorEastAsia" w:eastAsiaTheme="minorEastAsia" w:cstheme="minorEastAsia"/>
                <w:szCs w:val="21"/>
              </w:rPr>
              <w:t xml:space="preserve">，“CA</w:t>
            </w:r>
            <w:r>
              <w:rPr>
                <w:rFonts w:hint="eastAsia" w:asciiTheme="minorEastAsia" w:hAnsiTheme="minorEastAsia" w:eastAsiaTheme="minorEastAsia" w:cstheme="minorEastAsia"/>
                <w:szCs w:val="21"/>
                <w:lang w:val="zh-CN"/>
              </w:rPr>
              <w:t xml:space="preserve">数字证书</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lang w:val="zh-CN"/>
              </w:rPr>
              <w:t xml:space="preserve">的办理方法详见</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lang w:val="zh-CN"/>
              </w:rPr>
              <w:t xml:space="preserve">江苏省政府采购数字证书</w:t>
            </w:r>
            <w:r>
              <w:rPr>
                <w:rFonts w:hint="eastAsia" w:asciiTheme="minorEastAsia" w:hAnsiTheme="minorEastAsia" w:eastAsiaTheme="minorEastAsia" w:cstheme="minorEastAsia"/>
                <w:szCs w:val="21"/>
              </w:rPr>
              <w:t xml:space="preserve">CA</w:t>
            </w:r>
            <w:r>
              <w:rPr>
                <w:rFonts w:hint="eastAsia" w:asciiTheme="minorEastAsia" w:hAnsiTheme="minorEastAsia" w:eastAsiaTheme="minorEastAsia" w:cstheme="minorEastAsia"/>
                <w:szCs w:val="21"/>
                <w:lang w:val="zh-CN"/>
              </w:rPr>
              <w:t xml:space="preserve">及电子签章办理指南</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lang w:val="zh-CN"/>
              </w:rPr>
              <w:t xml:space="preserve">网址</w:t>
            </w:r>
            <w:r>
              <w:rPr>
                <w:rFonts w:hint="eastAsia" w:asciiTheme="minorEastAsia" w:hAnsiTheme="minorEastAsia" w:eastAsiaTheme="minorEastAsia" w:cstheme="minorEastAsia"/>
                <w:szCs w:val="21"/>
              </w:rPr>
              <w:t xml:space="preserve">：</w:t>
            </w:r>
            <w:r>
              <w:fldChar w:fldCharType="begin"/>
            </w:r>
            <w:r>
              <w:instrText xml:space="preserve"> HYPERLINK "http://jsxcmm." \o "http://jsxcmm." </w:instrText>
            </w:r>
            <w:r>
              <w:fldChar w:fldCharType="separate"/>
            </w:r>
            <w:r>
              <w:rPr>
                <w:rFonts w:hint="eastAsia" w:asciiTheme="minorEastAsia" w:hAnsiTheme="minorEastAsia" w:eastAsiaTheme="minorEastAsia" w:cstheme="minorEastAsia"/>
                <w:szCs w:val="21"/>
              </w:rPr>
              <w:t xml:space="preserve">http://jsxcmm.</w:t>
            </w:r>
            <w:r>
              <w:rPr>
                <w:rFonts w:hint="eastAsia" w:asciiTheme="minorEastAsia" w:hAnsiTheme="minorEastAsia" w:eastAsiaTheme="minorEastAsia" w:cstheme="minorEastAsia"/>
                <w:szCs w:val="21"/>
              </w:rPr>
              <w:fldChar w:fldCharType="end"/>
            </w:r>
            <w:r>
              <w:rPr>
                <w:rFonts w:hint="eastAsia" w:asciiTheme="minorEastAsia" w:hAnsiTheme="minorEastAsia" w:eastAsiaTheme="minorEastAsia" w:cstheme="minorEastAsia"/>
                <w:szCs w:val="21"/>
              </w:rPr>
              <w:t xml:space="preserve">com/help/ help.html</w:t>
            </w:r>
            <w:r>
              <w:rPr>
                <w:rFonts w:hint="eastAsia" w:asciiTheme="minorEastAsia" w:hAnsiTheme="minorEastAsia" w:eastAsiaTheme="minorEastAsia" w:cstheme="minorEastAsia"/>
                <w:szCs w:val="21"/>
                <w:lang w:val="zh-CN"/>
              </w:rPr>
              <w:t xml:space="preserve">。</w:t>
            </w:r>
            <w:r/>
          </w:p>
          <w:p>
            <w:pPr>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使用需要第三方认证的电子签名、数据电文，通过互联网方式提交首次响应文件。即：使用“电子签名认证证书（CA数字证书）”登录“苏采云”系统（网址：</w:t>
            </w:r>
            <w:r>
              <w:fldChar w:fldCharType="begin"/>
            </w:r>
            <w:r>
              <w:instrText xml:space="preserve"> HYPERLINK "http://jszfcg.jsczt.cn/" \o "http://jszfcg.jsczt.cn/" </w:instrText>
            </w:r>
            <w:r>
              <w:fldChar w:fldCharType="separate"/>
            </w:r>
            <w:r>
              <w:rPr>
                <w:rFonts w:hint="eastAsia" w:asciiTheme="minorEastAsia" w:hAnsiTheme="minorEastAsia" w:eastAsiaTheme="minorEastAsia" w:cstheme="minorEastAsia"/>
                <w:szCs w:val="21"/>
                <w:lang w:val="zh-CN"/>
              </w:rPr>
              <w:t xml:space="preserve">http://jszfcg.jsczt.cn/</w:t>
            </w:r>
            <w:r>
              <w:rPr>
                <w:rFonts w:hint="eastAsia" w:asciiTheme="minorEastAsia" w:hAnsiTheme="minorEastAsia" w:eastAsiaTheme="minorEastAsia" w:cstheme="minorEastAsia"/>
                <w:szCs w:val="21"/>
                <w:lang w:val="zh-CN"/>
              </w:rPr>
              <w:fldChar w:fldCharType="end"/>
            </w:r>
            <w:r>
              <w:rPr>
                <w:rFonts w:hint="eastAsia" w:asciiTheme="minorEastAsia" w:hAnsiTheme="minorEastAsia" w:eastAsiaTheme="minorEastAsia" w:cstheme="minorEastAsia"/>
                <w:szCs w:val="21"/>
                <w:lang w:val="zh-CN"/>
              </w:rPr>
              <w:t xml:space="preserve">），按照要求通过互联网方式提交</w:t>
            </w:r>
            <w:r>
              <w:rPr>
                <w:rFonts w:hint="eastAsia" w:asciiTheme="minorEastAsia" w:hAnsiTheme="minorEastAsia" w:eastAsiaTheme="minorEastAsia" w:cstheme="minorEastAsia"/>
                <w:szCs w:val="21"/>
              </w:rPr>
              <w:t xml:space="preserve">投标</w:t>
            </w:r>
            <w:r>
              <w:rPr>
                <w:rFonts w:hint="eastAsia" w:asciiTheme="minorEastAsia" w:hAnsiTheme="minorEastAsia" w:eastAsiaTheme="minorEastAsia" w:cstheme="minorEastAsia"/>
                <w:szCs w:val="21"/>
                <w:lang w:val="zh-CN"/>
              </w:rPr>
              <w:t xml:space="preserve">文件。</w:t>
            </w:r>
            <w:r/>
          </w:p>
          <w:p>
            <w:pPr>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“苏采云”系统使用要求：</w:t>
            </w:r>
            <w:r/>
          </w:p>
          <w:p>
            <w:pPr>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使用谷歌浏览器参与不见面开标及</w:t>
            </w:r>
            <w:r>
              <w:rPr>
                <w:rFonts w:hint="eastAsia" w:asciiTheme="minorEastAsia" w:hAnsiTheme="minorEastAsia" w:eastAsiaTheme="minorEastAsia" w:cstheme="minorEastAsia"/>
                <w:szCs w:val="21"/>
              </w:rPr>
              <w:t xml:space="preserve">开标</w:t>
            </w:r>
            <w:r>
              <w:rPr>
                <w:rFonts w:hint="eastAsia" w:asciiTheme="minorEastAsia" w:hAnsiTheme="minorEastAsia" w:eastAsiaTheme="minorEastAsia" w:cstheme="minorEastAsia"/>
                <w:szCs w:val="21"/>
                <w:lang w:val="zh-CN"/>
              </w:rPr>
              <w:t xml:space="preserve">环节。</w:t>
            </w:r>
            <w:r/>
          </w:p>
          <w:p>
            <w:pPr>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电脑需提前准备好麦克风、音响，摄像头，提前检查保证能够正常使用。</w:t>
            </w:r>
            <w:r/>
          </w:p>
          <w:p>
            <w:pPr>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操作系统至少win7以上，建议使用win10操作系统。</w:t>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val="zh-CN"/>
              </w:rPr>
              <w:t xml:space="preserve">开标时间：</w:t>
            </w:r>
            <w:r>
              <w:rPr>
                <w:rFonts w:hint="eastAsia" w:asciiTheme="minorEastAsia" w:hAnsiTheme="minorEastAsia" w:eastAsiaTheme="minorEastAsia" w:cstheme="minorEastAsia"/>
                <w:szCs w:val="21"/>
              </w:rPr>
              <w:t xml:space="preserve">详见竞争性磋商公告</w:t>
            </w:r>
            <w:r/>
          </w:p>
          <w:p>
            <w:pPr>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开标地点</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lang w:val="zh-CN"/>
              </w:rPr>
              <w:t xml:space="preserve">苏采云</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lang w:val="zh-CN"/>
              </w:rPr>
              <w:t xml:space="preserve">系统</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lang w:val="zh-CN"/>
              </w:rPr>
              <w:t xml:space="preserve">网址</w:t>
            </w:r>
            <w:r>
              <w:rPr>
                <w:rFonts w:hint="eastAsia" w:asciiTheme="minorEastAsia" w:hAnsiTheme="minorEastAsia" w:eastAsiaTheme="minorEastAsia" w:cstheme="minorEastAsia"/>
                <w:szCs w:val="21"/>
              </w:rPr>
              <w:t xml:space="preserve">：</w:t>
            </w:r>
            <w:r>
              <w:fldChar w:fldCharType="begin"/>
            </w:r>
            <w:r>
              <w:instrText xml:space="preserve"> HYPERLINK "http://jszfcg.jsczt.cn/）" \o "http://jszfcg.jsczt.cn/）" </w:instrText>
            </w:r>
            <w:r>
              <w:fldChar w:fldCharType="separate"/>
            </w:r>
            <w:r>
              <w:rPr>
                <w:rFonts w:hint="eastAsia" w:asciiTheme="minorEastAsia" w:hAnsiTheme="minorEastAsia" w:eastAsiaTheme="minorEastAsia" w:cstheme="minorEastAsia"/>
                <w:szCs w:val="21"/>
              </w:rPr>
              <w:t xml:space="preserve">http://jszfcg.jsczt.cn/）“</w:t>
            </w:r>
            <w:r>
              <w:rPr>
                <w:rFonts w:hint="eastAsia" w:asciiTheme="minorEastAsia" w:hAnsiTheme="minorEastAsia" w:eastAsiaTheme="minorEastAsia" w:cstheme="minorEastAsia"/>
                <w:szCs w:val="21"/>
                <w:lang w:val="zh-CN"/>
              </w:rPr>
              <w:t xml:space="preserve">开标大厅</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lang w:val="zh-CN"/>
              </w:rPr>
              <w:t xml:space="preserve">点击</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lang w:val="zh-CN"/>
              </w:rPr>
              <w:t xml:space="preserve">苏采云</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lang w:val="zh-CN"/>
              </w:rPr>
              <w:t xml:space="preserve">进入系统</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lang w:val="zh-CN"/>
              </w:rPr>
              <w:t xml:space="preserve">开标大厅</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lang w:val="zh-CN"/>
              </w:rPr>
              <w:t xml:space="preserve">。）</w:t>
            </w:r>
            <w:r>
              <w:rPr>
                <w:rFonts w:hint="eastAsia" w:asciiTheme="minorEastAsia" w:hAnsiTheme="minorEastAsia" w:eastAsiaTheme="minorEastAsia" w:cstheme="minorEastAsia"/>
                <w:szCs w:val="21"/>
                <w:lang w:val="zh-CN"/>
              </w:rPr>
              <w:fldChar w:fldCharType="end"/>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一次评审结束后，采购代理机构或采购人代表将通过苏彩云采购系统提示符合要求的投标供应商进行最后报价(二次报价)，一次评审的时长不确定，请投标供应商自行关注报价系统，在报价系统开启后的15分钟内提交最后报价(二次报价)。未能在规定时间内完成报价的供应商视为放弃投标；提交最后报价(二次报价)的供应商不得少于2家。</w:t>
            </w:r>
            <w:r/>
          </w:p>
        </w:tc>
      </w:tr>
      <w:tr>
        <w:trPr>
          <w:jc w:val="center"/>
          <w:trHeight w:val="252"/>
        </w:trPr>
        <w:tc>
          <w:tcPr>
            <w:tcW w:w="665"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18</w:t>
            </w:r>
            <w:r/>
          </w:p>
        </w:tc>
        <w:tc>
          <w:tcPr>
            <w:tcW w:w="1389" w:type="dxa"/>
            <w:vAlign w:val="center"/>
            <w:textDirection w:val="lrTb"/>
            <w:noWrap/>
          </w:tcPr>
          <w:p>
            <w:pPr>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开标时间</w:t>
            </w:r>
            <w:r/>
          </w:p>
          <w:p>
            <w:pPr>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和地点</w:t>
            </w:r>
            <w:r/>
          </w:p>
        </w:tc>
        <w:tc>
          <w:tcPr>
            <w:tcW w:w="8202" w:type="dxa"/>
            <w:vAlign w:val="center"/>
            <w:textDirection w:val="lrTb"/>
            <w:noWrap/>
          </w:tcPr>
          <w:p>
            <w:pPr>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开标时间：同投标文件递交截止时间</w:t>
            </w:r>
            <w:r/>
          </w:p>
          <w:p>
            <w:pPr>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地点：“苏采云”系统（网址：http://jszfcg.jsczt.cn/）“开标大厅”，点击“苏采云”进入系统“开标大厅”。</w:t>
            </w:r>
            <w:r/>
          </w:p>
        </w:tc>
      </w:tr>
      <w:tr>
        <w:trPr>
          <w:jc w:val="center"/>
          <w:trHeight w:val="159"/>
        </w:trPr>
        <w:tc>
          <w:tcPr>
            <w:tcW w:w="665"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19</w:t>
            </w:r>
            <w:r/>
          </w:p>
        </w:tc>
        <w:tc>
          <w:tcPr>
            <w:tcW w:w="1389"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评标办法</w:t>
            </w:r>
            <w:r/>
          </w:p>
        </w:tc>
        <w:tc>
          <w:tcPr>
            <w:tcW w:w="8202"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综合评估法 □最低评标价法  </w:t>
            </w:r>
            <w:r/>
          </w:p>
        </w:tc>
      </w:tr>
      <w:tr>
        <w:trPr>
          <w:jc w:val="center"/>
          <w:trHeight w:val="209"/>
        </w:trPr>
        <w:tc>
          <w:tcPr>
            <w:tcW w:w="665"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20</w:t>
            </w:r>
            <w:r/>
          </w:p>
        </w:tc>
        <w:tc>
          <w:tcPr>
            <w:tcW w:w="1389"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磋商小组</w:t>
            </w:r>
            <w:r/>
          </w:p>
        </w:tc>
        <w:tc>
          <w:tcPr>
            <w:tcW w:w="8202"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磋商</w:t>
            </w:r>
            <w:r>
              <w:rPr>
                <w:rFonts w:hint="eastAsia" w:asciiTheme="minorEastAsia" w:hAnsiTheme="minorEastAsia" w:eastAsiaTheme="minorEastAsia" w:cstheme="minorEastAsia"/>
                <w:szCs w:val="21"/>
                <w:lang w:val="zh-CN"/>
              </w:rPr>
              <w:t xml:space="preserve">小组人数：</w:t>
            </w:r>
            <w:r>
              <w:rPr>
                <w:rFonts w:hint="eastAsia" w:asciiTheme="minorEastAsia" w:hAnsiTheme="minorEastAsia" w:eastAsiaTheme="minorEastAsia" w:cstheme="minorEastAsia"/>
                <w:szCs w:val="21"/>
                <w:u w:val="single"/>
              </w:rPr>
              <w:t xml:space="preserve">3</w:t>
            </w:r>
            <w:r>
              <w:rPr>
                <w:rFonts w:hint="eastAsia" w:asciiTheme="minorEastAsia" w:hAnsiTheme="minorEastAsia" w:eastAsiaTheme="minorEastAsia" w:cstheme="minorEastAsia"/>
                <w:szCs w:val="21"/>
                <w:lang w:val="zh-CN"/>
              </w:rPr>
              <w:t xml:space="preserve">人</w:t>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磋商委员会构成：由采购人代表和政府采购专家组成</w:t>
            </w:r>
            <w:r/>
          </w:p>
          <w:p>
            <w:pPr>
              <w:pStyle w:val="751"/>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政府采购专家确定方式：从江苏政府采购评审专家库中随机抽取。</w:t>
            </w:r>
            <w:r/>
          </w:p>
        </w:tc>
      </w:tr>
      <w:tr>
        <w:trPr>
          <w:jc w:val="center"/>
          <w:trHeight w:val="90"/>
        </w:trPr>
        <w:tc>
          <w:tcPr>
            <w:tcW w:w="665"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21</w:t>
            </w:r>
            <w:r/>
          </w:p>
        </w:tc>
        <w:tc>
          <w:tcPr>
            <w:tcW w:w="1389"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定标办法</w:t>
            </w:r>
            <w:r/>
          </w:p>
        </w:tc>
        <w:tc>
          <w:tcPr>
            <w:tcW w:w="8202"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采购人根据磋商小组推荐的中标候选供应商顺序确定成交供应商。</w:t>
            </w:r>
            <w:r/>
          </w:p>
        </w:tc>
      </w:tr>
      <w:tr>
        <w:trPr>
          <w:jc w:val="center"/>
          <w:trHeight w:val="319"/>
        </w:trPr>
        <w:tc>
          <w:tcPr>
            <w:tcW w:w="665"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22</w:t>
            </w:r>
            <w:r/>
          </w:p>
        </w:tc>
        <w:tc>
          <w:tcPr>
            <w:tcW w:w="1389"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履约保证金</w:t>
            </w:r>
            <w:r/>
          </w:p>
        </w:tc>
        <w:tc>
          <w:tcPr>
            <w:tcW w:w="8202"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□不提交，竞争性磋商文件中有关履约保证金的规定均不适用</w:t>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☑提交</w:t>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金额：合同价的5% </w:t>
            </w:r>
            <w:r/>
          </w:p>
          <w:p>
            <w:pPr>
              <w:pStyle w:val="751"/>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szCs w:val="21"/>
              </w:rPr>
              <w:t xml:space="preserve">形式：</w:t>
            </w:r>
            <w:r>
              <w:rPr>
                <w:rFonts w:hint="eastAsia" w:asciiTheme="minorEastAsia" w:hAnsiTheme="minorEastAsia" w:eastAsiaTheme="minorEastAsia" w:cstheme="minorEastAsia"/>
                <w:color w:val="000000" w:themeColor="text1"/>
                <w:szCs w:val="21"/>
              </w:rPr>
              <w:t xml:space="preserve">银行转账、保单或保函</w:t>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color w:val="000000" w:themeColor="text1"/>
                <w:szCs w:val="21"/>
              </w:rPr>
              <w:t xml:space="preserve">提交时间：收到成交通知书后，并在签订合同前提交</w:t>
            </w:r>
            <w:r>
              <w:rPr>
                <w:rFonts w:hint="eastAsia" w:asciiTheme="minorEastAsia" w:hAnsiTheme="minorEastAsia" w:eastAsiaTheme="minorEastAsia" w:cstheme="minorEastAsia"/>
                <w:color w:val="000000" w:themeColor="text1"/>
                <w:szCs w:val="21"/>
              </w:rPr>
              <w:br/>
            </w:r>
            <w:r>
              <w:rPr>
                <w:rFonts w:hint="eastAsia" w:asciiTheme="minorEastAsia" w:hAnsiTheme="minorEastAsia" w:eastAsiaTheme="minorEastAsia" w:cstheme="minorEastAsia"/>
                <w:color w:val="000000" w:themeColor="text1"/>
                <w:szCs w:val="21"/>
              </w:rPr>
              <w:t xml:space="preserve">退还时间：在成交人按承诺的工期、质量标准、规范要求完成项目并经竣工验收合格后无息返还。</w:t>
            </w:r>
            <w:r/>
          </w:p>
        </w:tc>
      </w:tr>
      <w:tr>
        <w:trPr>
          <w:jc w:val="center"/>
          <w:trHeight w:val="763"/>
        </w:trPr>
        <w:tc>
          <w:tcPr>
            <w:tcW w:w="665"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23</w:t>
            </w:r>
            <w:r/>
          </w:p>
        </w:tc>
        <w:tc>
          <w:tcPr>
            <w:tcW w:w="1389"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签订合同</w:t>
            </w:r>
            <w:r/>
          </w:p>
        </w:tc>
        <w:tc>
          <w:tcPr>
            <w:tcW w:w="8202" w:type="dxa"/>
            <w:vAlign w:val="center"/>
            <w:textDirection w:val="lrTb"/>
            <w:noWrap/>
          </w:tcPr>
          <w:p>
            <w:pPr>
              <w:pStyle w:val="794"/>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依据苏财购【2020】52号文件精神，成交通知书发出之日起</w:t>
            </w:r>
            <w:r>
              <w:rPr>
                <w:rFonts w:hint="eastAsia" w:asciiTheme="minorEastAsia" w:hAnsiTheme="minorEastAsia" w:eastAsiaTheme="minorEastAsia" w:cstheme="minorEastAsia"/>
                <w:color w:val="auto"/>
                <w:sz w:val="21"/>
                <w:szCs w:val="21"/>
                <w:u w:val="single"/>
              </w:rPr>
              <w:t xml:space="preserve">30</w:t>
            </w:r>
            <w:r>
              <w:rPr>
                <w:rFonts w:hint="eastAsia" w:asciiTheme="minorEastAsia" w:hAnsiTheme="minorEastAsia" w:eastAsiaTheme="minorEastAsia" w:cstheme="minorEastAsia"/>
                <w:color w:val="auto"/>
                <w:sz w:val="21"/>
                <w:szCs w:val="21"/>
              </w:rPr>
              <w:t xml:space="preserve">日内</w:t>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签订合同地点：泰州市姜堰区张甸镇人民政府</w:t>
            </w:r>
            <w:r/>
          </w:p>
        </w:tc>
      </w:tr>
      <w:tr>
        <w:trPr>
          <w:jc w:val="center"/>
          <w:trHeight w:val="429"/>
        </w:trPr>
        <w:tc>
          <w:tcPr>
            <w:tcW w:w="665"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24</w:t>
            </w:r>
            <w:r/>
          </w:p>
        </w:tc>
        <w:tc>
          <w:tcPr>
            <w:tcW w:w="1389"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付款方式</w:t>
            </w:r>
            <w:r/>
          </w:p>
        </w:tc>
        <w:tc>
          <w:tcPr>
            <w:tcW w:w="8202" w:type="dxa"/>
            <w:vAlign w:val="center"/>
            <w:textDirection w:val="lrTb"/>
            <w:noWrap/>
          </w:tcPr>
          <w:p>
            <w:pPr>
              <w:rPr>
                <w:rFonts w:asciiTheme="minorEastAsia" w:hAnsiTheme="minorEastAsia" w:eastAsiaTheme="minorEastAsia" w:cstheme="minorEastAsia"/>
                <w:b/>
                <w:bCs/>
                <w:szCs w:val="21"/>
              </w:rPr>
            </w:pPr>
            <w:r>
              <w:rPr>
                <w:rFonts w:hint="eastAsia" w:asciiTheme="minorEastAsia" w:hAnsiTheme="minorEastAsia" w:eastAsiaTheme="minorEastAsia" w:cstheme="minorEastAsia"/>
                <w:szCs w:val="21"/>
              </w:rPr>
              <w:t xml:space="preserve">合同签订进场后付合同价的30%，工程竣工验收合格，经审计后付初审价的70%，复审后付至复审价的97%，余款保质期后付清。（此工程所涉及款项皆不计取利息）。</w:t>
            </w:r>
            <w:r/>
          </w:p>
        </w:tc>
      </w:tr>
      <w:tr>
        <w:trPr>
          <w:jc w:val="center"/>
          <w:trHeight w:val="611"/>
        </w:trPr>
        <w:tc>
          <w:tcPr>
            <w:tcW w:w="665"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25</w:t>
            </w:r>
            <w:r/>
          </w:p>
        </w:tc>
        <w:tc>
          <w:tcPr>
            <w:tcW w:w="1389" w:type="dxa"/>
            <w:vAlign w:val="center"/>
            <w:textDirection w:val="lrTb"/>
            <w:noWrap/>
          </w:tcPr>
          <w:p>
            <w:pPr>
              <w:spacing w:line="360" w:lineRule="auto"/>
              <w:rPr>
                <w:rFonts w:asciiTheme="minorEastAsia" w:hAnsiTheme="minorEastAsia" w:eastAsiaTheme="minorEastAsia" w:cstheme="minorEastAsia"/>
                <w:b/>
                <w:color w:val="000000"/>
                <w:szCs w:val="21"/>
              </w:rPr>
            </w:pPr>
            <w:r>
              <w:rPr>
                <w:rFonts w:hint="eastAsia" w:asciiTheme="minorEastAsia" w:hAnsiTheme="minorEastAsia" w:eastAsiaTheme="minorEastAsia" w:cstheme="minorEastAsia"/>
                <w:b/>
                <w:color w:val="000000"/>
                <w:szCs w:val="21"/>
              </w:rPr>
              <w:t xml:space="preserve">结算方式：</w:t>
            </w:r>
            <w:r/>
          </w:p>
          <w:p>
            <w:pPr>
              <w:jc w:val="center"/>
              <w:spacing w:line="360" w:lineRule="exact"/>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8202" w:type="dxa"/>
            <w:vAlign w:val="center"/>
            <w:textDirection w:val="lrTb"/>
            <w:noWrap/>
          </w:tcPr>
          <w:p>
            <w:pPr>
              <w:ind w:firstLine="42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结算依据：后期结算仅调整经采购人批准变更(包括增加施工内容或取消部分施工项目)的相应费用增减，具体调整方式为：</w:t>
            </w:r>
            <w:r/>
          </w:p>
          <w:p>
            <w:pPr>
              <w:ind w:firstLine="42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(1)涉及工程数量减少的，以实际减少数量为准，涉及工程数量增加的，以实际增加数量为准；</w:t>
            </w:r>
            <w:r/>
          </w:p>
          <w:p>
            <w:pPr>
              <w:ind w:firstLine="420"/>
              <w:rPr>
                <w:rFonts w:asciiTheme="minorEastAsia" w:hAnsiTheme="minorEastAsia" w:eastAsiaTheme="minorEastAsia" w:cstheme="minorEastAsia"/>
              </w:rPr>
            </w:pPr>
            <w:r>
              <w:rPr>
                <w:rFonts w:hint="eastAsia" w:asciiTheme="minorEastAsia" w:hAnsiTheme="minorEastAsia" w:eastAsiaTheme="minorEastAsia" w:cstheme="minorEastAsia"/>
                <w:szCs w:val="21"/>
              </w:rPr>
              <w:t xml:space="preserve">(2)凡涉及工程数量增减的，其价格按原清单报价进行费用的调增或调减，并按第二轮报价与第一轮报价的折扣比例结算。如有增项，工程清单未列入的内容需重新核定，按现行计价规范计算单价并按第二轮报价与招标控制价的折扣比例结算。</w:t>
            </w:r>
            <w:r/>
          </w:p>
        </w:tc>
      </w:tr>
      <w:tr>
        <w:trPr>
          <w:jc w:val="center"/>
          <w:trHeight w:val="2219"/>
        </w:trPr>
        <w:tc>
          <w:tcPr>
            <w:tcW w:w="665"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26</w:t>
            </w:r>
            <w:r/>
          </w:p>
        </w:tc>
        <w:tc>
          <w:tcPr>
            <w:tcW w:w="1389"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农民工工资</w:t>
            </w:r>
            <w:r/>
          </w:p>
        </w:tc>
        <w:tc>
          <w:tcPr>
            <w:tcW w:w="8202" w:type="dxa"/>
            <w:vAlign w:val="center"/>
            <w:textDirection w:val="lrTb"/>
            <w:noWrap/>
          </w:tcPr>
          <w:p>
            <w:pPr>
              <w:ind w:firstLine="42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成交供应商应严格按照《国务院办公厅关于全面治理拖欠农民工工资问题的意见》、《省政府办公厅关于全面治理拖欠农民工工资问题的实施意见》、《江苏省工程建设领域农民工工资支付管理办法》、苏人社规【2022】3号《江苏省工程建设领域农民工工资专用账户管理细则》、苏人社规【2022】4号《江苏省工程建设领域农民工工资保证金管理办法》、《泰州市交通运输局关于开展全面治理拖欠农民工工资问题的实施方案》的意见，不得拖欠农民工工资。</w:t>
            </w:r>
            <w:r/>
          </w:p>
          <w:p>
            <w:pPr>
              <w:ind w:firstLine="42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成交供应商须在合同签订前向采购人指定账户缴纳农民工工资保证金，农民工工资保证金金额缴存按《江苏省工程建设领域农民工工资支付管理办法》执行.</w:t>
            </w:r>
            <w:r/>
          </w:p>
          <w:p>
            <w:pPr>
              <w:ind w:firstLine="42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成交供应商签订采购合同后，一个月内向采购人提交与银行签订的农民工工资支付的账户协议。</w:t>
            </w:r>
            <w:r/>
          </w:p>
        </w:tc>
      </w:tr>
      <w:tr>
        <w:trPr>
          <w:jc w:val="center"/>
          <w:trHeight w:val="558"/>
        </w:trPr>
        <w:tc>
          <w:tcPr>
            <w:tcW w:w="665"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27</w:t>
            </w:r>
            <w:r/>
          </w:p>
        </w:tc>
        <w:tc>
          <w:tcPr>
            <w:tcW w:w="1389"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扬尘费</w:t>
            </w:r>
            <w:r/>
          </w:p>
        </w:tc>
        <w:tc>
          <w:tcPr>
            <w:tcW w:w="8202"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扬尘费按照《泰州市交通建设项目工地扬尘污染防治工作管理办法》（试行）要求执行。</w:t>
            </w:r>
            <w:r/>
          </w:p>
        </w:tc>
      </w:tr>
      <w:tr>
        <w:trPr>
          <w:jc w:val="center"/>
          <w:trHeight w:val="478"/>
        </w:trPr>
        <w:tc>
          <w:tcPr>
            <w:tcW w:w="665"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28</w:t>
            </w:r>
            <w:r/>
          </w:p>
        </w:tc>
        <w:tc>
          <w:tcPr>
            <w:tcW w:w="1389"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代理服务费</w:t>
            </w:r>
            <w:r/>
          </w:p>
        </w:tc>
        <w:tc>
          <w:tcPr>
            <w:tcW w:w="8202" w:type="dxa"/>
            <w:vAlign w:val="center"/>
            <w:textDirection w:val="lrTb"/>
            <w:noWrap/>
          </w:tcPr>
          <w:p>
            <w:pPr>
              <w:ind w:firstLine="210"/>
              <w:rPr>
                <w:rFonts w:asciiTheme="minorEastAsia" w:hAnsiTheme="minorEastAsia" w:eastAsiaTheme="minorEastAsia" w:cstheme="minorEastAsia"/>
                <w:szCs w:val="21"/>
              </w:rPr>
            </w:pPr>
            <w:r>
              <w:rPr>
                <w:rFonts w:hint="eastAsia" w:asciiTheme="minorEastAsia" w:hAnsiTheme="minorEastAsia" w:eastAsiaTheme="minorEastAsia" w:cstheme="minorEastAsia"/>
                <w:color w:val="000000" w:themeColor="text1"/>
                <w:szCs w:val="21"/>
              </w:rPr>
              <w:t xml:space="preserve">本次采购招标代理服务费由采购人支付，代理服务费以中标价为计算基数，按差额定率分档累进法计算，具体为100万元以下(含100万元)按0.45%收取，100万元-500万元(含500万元)按0.315%收取。</w:t>
            </w:r>
            <w:r/>
          </w:p>
        </w:tc>
      </w:tr>
      <w:tr>
        <w:trPr>
          <w:jc w:val="center"/>
          <w:trHeight w:val="409"/>
        </w:trPr>
        <w:tc>
          <w:tcPr>
            <w:tcW w:w="665"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29</w:t>
            </w:r>
            <w:r/>
          </w:p>
        </w:tc>
        <w:tc>
          <w:tcPr>
            <w:tcW w:w="1389"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行业类别</w:t>
            </w:r>
            <w:r/>
          </w:p>
        </w:tc>
        <w:tc>
          <w:tcPr>
            <w:tcW w:w="8202" w:type="dxa"/>
            <w:vAlign w:val="center"/>
            <w:textDirection w:val="lrTb"/>
            <w:noWrap/>
          </w:tcPr>
          <w:p>
            <w:pPr>
              <w:ind w:firstLine="210"/>
              <w:spacing w:line="32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参照《关于印发中小企业划型标准规定的通知》（工信部联企业〔2011〕300号）文件，本项目采购标的所属行业为</w:t>
            </w:r>
            <w:r>
              <w:rPr>
                <w:rFonts w:hint="eastAsia" w:asciiTheme="minorEastAsia" w:hAnsiTheme="minorEastAsia" w:eastAsiaTheme="minorEastAsia" w:cstheme="minorEastAsia"/>
                <w:szCs w:val="21"/>
                <w:u w:val="single"/>
              </w:rPr>
              <w:t xml:space="preserve">建筑业</w:t>
            </w:r>
            <w:r>
              <w:rPr>
                <w:rFonts w:hint="eastAsia" w:asciiTheme="minorEastAsia" w:hAnsiTheme="minorEastAsia" w:eastAsiaTheme="minorEastAsia" w:cstheme="minorEastAsia"/>
                <w:szCs w:val="21"/>
              </w:rPr>
              <w:t xml:space="preserve">。</w:t>
            </w:r>
            <w:r/>
          </w:p>
        </w:tc>
      </w:tr>
      <w:tr>
        <w:trPr>
          <w:jc w:val="center"/>
          <w:trHeight w:val="8768"/>
        </w:trPr>
        <w:tc>
          <w:tcPr>
            <w:tcW w:w="665"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30</w:t>
            </w:r>
            <w:r/>
          </w:p>
        </w:tc>
        <w:tc>
          <w:tcPr>
            <w:tcW w:w="1389" w:type="dxa"/>
            <w:vAlign w:val="center"/>
            <w:textDirection w:val="lrTb"/>
            <w:noWrap/>
          </w:tcPr>
          <w:p>
            <w:pPr>
              <w:spacing w:line="360" w:lineRule="atLeast"/>
              <w:rPr>
                <w:rFonts w:asciiTheme="minorEastAsia" w:hAnsiTheme="minorEastAsia" w:eastAsiaTheme="minorEastAsia" w:cstheme="minorEastAsia"/>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Cs w:val="21"/>
              </w:rPr>
              <w:t xml:space="preserve">政策功能</w:t>
            </w:r>
            <w:r/>
          </w:p>
        </w:tc>
        <w:tc>
          <w:tcPr>
            <w:tcW w:w="8202" w:type="dxa"/>
            <w:vAlign w:val="center"/>
            <w:textDirection w:val="lrTb"/>
            <w:noWrap/>
          </w:tcPr>
          <w:p>
            <w:pPr>
              <w:spacing w:line="360" w:lineRule="atLeast"/>
              <w:rPr>
                <w:rFonts w:asciiTheme="minorEastAsia" w:hAnsiTheme="minorEastAsia" w:eastAsiaTheme="minorEastAsia" w:cstheme="minorEastAsia"/>
                <w:color w:val="000000"/>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Cs w:val="21"/>
              </w:rPr>
              <w:t xml:space="preserve">1、小、微型企业：根据财政部工业和信息化部关于印发《政府采购促进中小企业发展管理办法》的通知（财库〔2020〕46号）的相关规定及江苏省财政厅《江苏省财政厅关于进一步加大政府采购支持中小企业力度的通知》（苏财购〔2022〕45号）执行。如供应商认定本企业为小型、微型企业，则需根据《中小企业划型标准规定》（工信部联企业〔2011〕300号）提交《中小企业声明函》并加盖公章，未提交则不享受相关小微企业价格扣除政策。</w:t>
            </w:r>
            <w:r/>
          </w:p>
          <w:p>
            <w:pPr>
              <w:spacing w:line="360" w:lineRule="atLeast"/>
              <w:rPr>
                <w:rFonts w:asciiTheme="minorEastAsia" w:hAnsiTheme="minorEastAsia" w:eastAsiaTheme="minorEastAsia" w:cstheme="minorEastAsia"/>
                <w:color w:val="000000"/>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Cs w:val="21"/>
              </w:rPr>
              <w:t xml:space="preserve">2、残疾人福利性单位：根据《三部门联合发布关于促进残疾人就业政府采购政策的通知》（财库〔2017〕141号）的相关规定执行。如供应商为残疾人福利性单位，则视同小型企业，享受评审中价格扣除政策。残疾人福利性单位属于小型、微型企业的，不重复享受政策。如供应商认定本企业为残疾人福利性单位，应提交《残疾人福利性单位声明函》并加盖公章，未提交则不享受相关价格扣除政策。</w:t>
            </w:r>
            <w:r/>
          </w:p>
          <w:p>
            <w:pPr>
              <w:spacing w:line="360" w:lineRule="atLeast"/>
              <w:rPr>
                <w:rFonts w:asciiTheme="minorEastAsia" w:hAnsiTheme="minorEastAsia" w:eastAsiaTheme="minorEastAsia" w:cstheme="minorEastAsia"/>
                <w:color w:val="000000"/>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Cs w:val="21"/>
              </w:rPr>
              <w:t xml:space="preserve">3、监狱企业:根据《财政部司法部关于政府采购支持监狱企业发展有关问题的通知》（财库〔2014〕68号）的相关规定执行。如供应商为监狱企业，应当提供由省级以上监狱管理局、戒毒管理局（含新疆生产建设兵团）出具的属于监狱企业的证明文件，则视同小型企业，享受评审中价格扣除政策，未提交则不享受相关价格扣除政策。监狱企业属于小型、微型企业的，不重复享受政策。</w:t>
            </w:r>
            <w:r/>
          </w:p>
          <w:p>
            <w:pPr>
              <w:spacing w:line="360" w:lineRule="atLeast"/>
              <w:rPr>
                <w:rFonts w:asciiTheme="minorEastAsia" w:hAnsiTheme="minorEastAsia" w:eastAsiaTheme="minorEastAsia" w:cstheme="minorEastAsia"/>
                <w:color w:val="000000"/>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Cs w:val="21"/>
              </w:rPr>
              <w:t xml:space="preserve">4、绿色采购：根据《关于调整优化节能产品、环境标志产品政府采购执行机制的通知》（财库〔2019〕9号）、《财政部、生态环境部关于印发环境标志产品政府采购品目清单的通知》（财库〔2019〕18号）、《江苏省财政厅关于加强政府绿色采购有关事项的通知》（苏财购〔2023〕65号）等相关文件的规定，对属于《节能产品政府采购品目清单》政府强制采购产品的，按文件执行。</w:t>
            </w:r>
            <w:r/>
          </w:p>
          <w:p>
            <w:pPr>
              <w:spacing w:line="360" w:lineRule="atLeast"/>
              <w:rPr>
                <w:rFonts w:asciiTheme="minorEastAsia" w:hAnsiTheme="minorEastAsia" w:eastAsiaTheme="minorEastAsia" w:cstheme="minorEastAsia"/>
                <w:color w:val="000000"/>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Cs w:val="21"/>
              </w:rPr>
              <w:t xml:space="preserve">5、若供应商提供的《中小企业声明函》、《残疾人福利性单位声明函》及监狱企业认定证明等材料为虚假材料，按《政府采购法》相关规定处理并报请政府采购监管部门给予行政处罚。</w:t>
            </w:r>
            <w:r/>
          </w:p>
          <w:p>
            <w:pPr>
              <w:spacing w:line="360" w:lineRule="atLeast"/>
              <w:rPr>
                <w:rFonts w:asciiTheme="minorEastAsia" w:hAnsiTheme="minorEastAsia" w:eastAsiaTheme="minorEastAsia" w:cstheme="minorEastAsia"/>
                <w:color w:val="000000"/>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Cs w:val="21"/>
              </w:rPr>
              <w:t xml:space="preserve">6、专门面向中小企业采购的项目，小微企业不再享受价格扣除优惠政策。</w:t>
            </w:r>
            <w:r/>
          </w:p>
          <w:p>
            <w:pPr>
              <w:spacing w:line="360" w:lineRule="atLeast"/>
              <w:rPr>
                <w:rFonts w:asciiTheme="minorEastAsia" w:hAnsiTheme="minorEastAsia" w:eastAsiaTheme="minorEastAsia" w:cstheme="minorEastAsia"/>
                <w:szCs w:val="21"/>
              </w:rPr>
            </w:pPr>
            <w:r>
              <w:rPr>
                <w:rFonts w:hint="eastAsia" w:asciiTheme="minorEastAsia" w:hAnsiTheme="minorEastAsia" w:eastAsiaTheme="minorEastAsia" w:cstheme="minorEastAsia"/>
                <w:color w:val="000000"/>
                <w:szCs w:val="21"/>
              </w:rPr>
              <w:t xml:space="preserve">7、未按要求提供相关材料的，不享受相关政策。</w:t>
            </w:r>
            <w:r/>
          </w:p>
        </w:tc>
      </w:tr>
      <w:tr>
        <w:trPr>
          <w:jc w:val="center"/>
          <w:trHeight w:val="244"/>
        </w:trPr>
        <w:tc>
          <w:tcPr>
            <w:tcW w:w="665"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31</w:t>
            </w:r>
            <w:r/>
          </w:p>
        </w:tc>
        <w:tc>
          <w:tcPr>
            <w:tcW w:w="1389" w:type="dxa"/>
            <w:vAlign w:val="center"/>
            <w:textDirection w:val="lrTb"/>
            <w:noWrap/>
          </w:tcPr>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bCs/>
                <w:color w:val="000000"/>
                <w:szCs w:val="21"/>
              </w:rPr>
              <w:t xml:space="preserve">友情提醒</w:t>
            </w:r>
            <w:r/>
          </w:p>
        </w:tc>
        <w:tc>
          <w:tcPr>
            <w:tcW w:w="8202" w:type="dxa"/>
            <w:vAlign w:val="center"/>
            <w:textDirection w:val="lrTb"/>
            <w:noWrap/>
          </w:tcPr>
          <w:p>
            <w:pPr>
              <w:spacing w:line="360" w:lineRule="atLeast"/>
              <w:rPr>
                <w:rFonts w:cs="宋体" w:asciiTheme="minorEastAsia" w:hAnsiTheme="minorEastAsia" w:eastAsiaTheme="minorEastAsia"/>
                <w:bCs/>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szCs w:val="21"/>
              </w:rPr>
              <w:t xml:space="preserve">1、请各投标单位认真阅读建办市【2021】40号文“住房和城乡建设部办公厅关于全面实行一级建造师电子注册证书的通知”。根据建办市【2021】40号文规定，自2022年1月1日起，一级建造师统一使用电子证书，纸质注册证书作废。超出使用时限的电子证书无效，需重新下载电子证书并再次确认使用时限。一级建造师打印电子证书后，应在个人签名处手写个人签名，未手写签名或与签名图像笔迹不一致的，该电子证书无效。请各投标单位引起高度重视。</w:t>
            </w:r>
            <w:r/>
          </w:p>
          <w:p>
            <w:pPr>
              <w:spacing w:line="360" w:lineRule="atLeast"/>
              <w:rPr>
                <w:rFonts w:cs="宋体" w:asciiTheme="minorEastAsia" w:hAnsiTheme="minorEastAsia" w:eastAsiaTheme="minorEastAsia"/>
                <w:bCs/>
                <w:color w:val="000000"/>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Cs w:val="21"/>
              </w:rPr>
              <w:t xml:space="preserve">2、</w:t>
            </w:r>
            <w:r>
              <w:rPr>
                <w:rFonts w:hint="eastAsia" w:cs="宋体" w:asciiTheme="minorEastAsia" w:hAnsiTheme="minorEastAsia" w:eastAsiaTheme="minorEastAsia"/>
                <w:bCs/>
                <w:color w:val="000000"/>
                <w:szCs w:val="21"/>
              </w:rPr>
              <w:t xml:space="preserve">根据《省住房和城乡建设厅关于我省二级建造师、二级造价工程师、二级注册建筑师、二级注册结构工程师注册证书电子证照换发的公告》(2023第26号)文件要求，2024年3月9日起，旧版电子证照停止使用，因拟派项目负责人二级建造师注册证书作废、无效引起的一切后果由投标人承担。</w:t>
            </w:r>
            <w:r/>
          </w:p>
          <w:p>
            <w:pPr>
              <w:spacing w:line="360" w:lineRule="atLeast"/>
              <w:rPr>
                <w:rFonts w:asciiTheme="minorEastAsia" w:hAnsiTheme="minorEastAsia" w:eastAsiaTheme="minorEastAsia" w:cs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szCs w:val="21"/>
              </w:rPr>
              <w:t xml:space="preserve">3、请各投标单位认真研读竞争性磋商文件和磋商控制价，如有疑问请书面答疑，否则不详尽之处视为让利。</w:t>
            </w:r>
            <w:r/>
          </w:p>
        </w:tc>
      </w:tr>
    </w:tbl>
    <w:p>
      <w:pPr>
        <w:pStyle w:val="751"/>
        <w:ind w:firstLine="482"/>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一、总则</w:t>
      </w:r>
      <w:r/>
    </w:p>
    <w:p>
      <w:pPr>
        <w:pStyle w:val="751"/>
        <w:ind w:firstLine="482"/>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（一）适用范围</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本竞争性磋商文件适用于</w:t>
      </w:r>
      <w:r>
        <w:rPr>
          <w:rFonts w:hint="eastAsia" w:asciiTheme="minorEastAsia" w:hAnsiTheme="minorEastAsia" w:eastAsiaTheme="minorEastAsia" w:cstheme="minorEastAsia"/>
          <w:bCs/>
          <w:sz w:val="24"/>
        </w:rPr>
        <w:t xml:space="preserve">本采购项目</w:t>
      </w:r>
      <w:r>
        <w:rPr>
          <w:rFonts w:hint="eastAsia" w:asciiTheme="minorEastAsia" w:hAnsiTheme="minorEastAsia" w:eastAsiaTheme="minorEastAsia" w:cstheme="minorEastAsia"/>
          <w:sz w:val="24"/>
        </w:rPr>
        <w:t xml:space="preserve">的磋商、评审、确定供应商、验收、合同履约、付款等（法律、法规另有规定的，从其规定）。</w:t>
      </w:r>
      <w:r/>
    </w:p>
    <w:p>
      <w:pPr>
        <w:pStyle w:val="751"/>
        <w:ind w:firstLine="482"/>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（二）定义</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1、“供应商”、“响应人”是指参加项目竞争，并符合磋商文件规定资格条件的法人、其他组织或者自然人。</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2、“法定代表人”是指响应人的营业执照或相关部门的登记证明文件中的“法定代表人”或“负责人”。</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3、“用户或使用单位”是指发包工程的单位。</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4、“★”是指实质性要求条款。</w:t>
      </w:r>
      <w:r/>
    </w:p>
    <w:p>
      <w:pPr>
        <w:pStyle w:val="751"/>
        <w:ind w:firstLine="482"/>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（三）采购方式</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本项目采用竞争性磋商方式进行。</w:t>
      </w:r>
      <w:r/>
    </w:p>
    <w:p>
      <w:pPr>
        <w:pStyle w:val="751"/>
        <w:ind w:firstLine="482"/>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（四）磋商费用</w:t>
      </w:r>
      <w:r/>
    </w:p>
    <w:p>
      <w:pPr>
        <w:pStyle w:val="1001"/>
        <w:spacing w:line="360" w:lineRule="auto"/>
        <w:rPr>
          <w:rFonts w:asciiTheme="minorEastAsia" w:hAnsiTheme="minorEastAsia" w:eastAsiaTheme="minorEastAsia" w:cstheme="minorEastAsia"/>
          <w:b/>
          <w:sz w:val="24"/>
          <w:szCs w:val="24"/>
          <w:lang w:eastAsia="zh-CN"/>
        </w:rPr>
      </w:pPr>
      <w:r>
        <w:rPr>
          <w:rFonts w:hint="eastAsia" w:asciiTheme="minorEastAsia" w:hAnsiTheme="minorEastAsia" w:eastAsiaTheme="minorEastAsia" w:cstheme="minorEastAsia"/>
          <w:sz w:val="24"/>
          <w:szCs w:val="24"/>
          <w:lang w:eastAsia="zh-CN"/>
        </w:rPr>
        <w:tab/>
      </w:r>
      <w:r>
        <w:rPr>
          <w:rFonts w:hint="eastAsia" w:asciiTheme="minorEastAsia" w:hAnsiTheme="minorEastAsia" w:eastAsiaTheme="minorEastAsia" w:cstheme="minorEastAsia"/>
          <w:sz w:val="24"/>
          <w:szCs w:val="24"/>
          <w:lang w:eastAsia="zh-CN"/>
        </w:rPr>
        <w:t xml:space="preserve">不论磋商结果如何，供应商均应自行承担所有与磋商有关的全部费用。磋商报价为含税全包价，投标报价包括完成该项工作所需的设计费、人工费、技术服务费、设备使用费、运输费、交通费、保险、安全、人身意外伤亡、利润、税金、中标服务费、评审费等政策性文件规定及合同包含的所有风险、责任等一切费用，响应单位在进行报价时应充分考虑到各环节成本因素，报价一经报定，不得更改，并作为中标后开展工作的收费标准。</w:t>
      </w:r>
      <w:r/>
    </w:p>
    <w:p>
      <w:pPr>
        <w:pStyle w:val="751"/>
        <w:ind w:firstLine="482"/>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（五）特别说明：</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供应商应仔细阅读本竞争性磋商文件的所有内容，按照竞争性磋商文件的要求提交响应文件。响应文件应对竞争性磋商文件的要求作出实质性响应，并对所提供的全部资料的真实性承担法律责任。</w:t>
      </w:r>
      <w:r/>
    </w:p>
    <w:p>
      <w:pPr>
        <w:pStyle w:val="1029"/>
        <w:ind w:firstLine="551"/>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b/>
          <w:sz w:val="24"/>
        </w:rPr>
        <w:t xml:space="preserve">二、供应商资格要求</w:t>
      </w:r>
      <w:r/>
    </w:p>
    <w:p>
      <w:pPr>
        <w:pStyle w:val="1029"/>
        <w:ind w:firstLine="482"/>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供应商应符合的基本资格条件：</w:t>
      </w:r>
      <w:r/>
    </w:p>
    <w:p>
      <w:pPr>
        <w:ind w:firstLine="54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（1）具有独立承担民事责任的能力；</w:t>
      </w:r>
      <w:r/>
    </w:p>
    <w:p>
      <w:pPr>
        <w:ind w:firstLine="54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（2）具有良好的商业信誉和健全的财务会计制度 ；</w:t>
      </w:r>
      <w:r/>
    </w:p>
    <w:p>
      <w:pPr>
        <w:ind w:firstLine="54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（3）具有履行合同所必须的设备和专业技术能力 ；</w:t>
      </w:r>
      <w:r/>
    </w:p>
    <w:p>
      <w:pPr>
        <w:ind w:firstLine="54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（4）有依法缴纳税收和社会保障资金的良好记录 ；</w:t>
      </w:r>
      <w:r/>
    </w:p>
    <w:p>
      <w:pPr>
        <w:ind w:firstLine="54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（5）在参加政府采购活动前三年内,在经营活动中没有重大违法记录 ；</w:t>
      </w:r>
      <w:r/>
    </w:p>
    <w:p>
      <w:pPr>
        <w:pStyle w:val="1029"/>
        <w:ind w:firstLine="482"/>
        <w:jc w:val="left"/>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b/>
          <w:sz w:val="24"/>
        </w:rPr>
        <w:t xml:space="preserve">供应商须符合的特定资格条件：</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（1）供应商须具备建设行政主管部门颁发的有效的市政公用工程施工总承包三级（及）以上资质并具备有效的建筑施工企业安全生产许可证。</w:t>
      </w:r>
      <w:r/>
    </w:p>
    <w:p>
      <w:pPr>
        <w:pStyle w:val="1029"/>
        <w:ind w:firstLine="480"/>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（2）拟派项目负责人系已在供应商单位注册并具备建设行政主管部门颁发的市政工程专业二级(含)以上注册建造师证书且具有行政主管部门颁发的有效的建筑施工企业项目负责人安全生产考核合格证书B证；</w:t>
      </w:r>
      <w:r/>
    </w:p>
    <w:p>
      <w:pPr>
        <w:pStyle w:val="1029"/>
        <w:ind w:firstLine="480"/>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（3）本项目其他资格要求：</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信誉要求：</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①未被“信用中国”网站(www.creditchina.gov.cn)、中国政府采购网(www.ccgp.gov.cn)列入失信被执行人、重大税收违法案件当事人名单、政府采购严重违法失信行为记录名单；</w:t>
      </w:r>
      <w:r/>
    </w:p>
    <w:p>
      <w:pPr>
        <w:pStyle w:val="773"/>
        <w:ind w:firstLine="480"/>
        <w:spacing w:after="0"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②企业因发生重大工程质量、安全生产事故，被有关部门暂停投标资格并在暂停期内的；</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③提供参加政府采购活动前 3 年内在经营活动中无重大违法记录的声明。</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企业资质动态监管： </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①评标时，供应商投标所用资质核查结果为不达标的，视为供应商资质条件不符合国家有关规定，或不满足采购文件规定的资格条件。 </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②中标公示期间，成交候选人投标所用资质核查结果为不达标的，视为其资质条件不符合国家有关规定。</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动态监管不合格资质查询网址：</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https://entq.jsszfhcxjstzhfwpt.com:12443/ms/admin/#/open/dthc-list </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项目负责人（即项目经理）无在建工程要求：</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①项目负责人是非变更后无在建工程。</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②项目负责人是变更后无在建工程（必须是原合同工期已满且自变更备案之日起已满6个月），或因非承包方原因致使工程项目停工或因故不能按期开工、且已办理了项目负责人解锁手续。</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③项目负责人有在建工程，但该在建工程与本次招标的工程属于同一工程项目、同一项目批文、同一施工地点分段发包或分期施工的情况，且该在建工程与本次招标项目的规模总和在项目负责人资格执业范围内。</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注：以上在建工程是指在其他项目担任项目负责人职责。以供应商在响应文件中的《投标承诺书》为准。</w:t>
      </w:r>
      <w:r/>
    </w:p>
    <w:p>
      <w:pPr>
        <w:pStyle w:val="1029"/>
        <w:ind w:firstLine="54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（4）本项目不接受供应商以联合体的身份参与，采用资格后审方式</w:t>
      </w:r>
      <w:r>
        <w:rPr>
          <w:rFonts w:hint="eastAsia" w:asciiTheme="minorEastAsia" w:hAnsiTheme="minorEastAsia" w:eastAsiaTheme="minorEastAsia" w:cstheme="minorEastAsia"/>
          <w:bCs/>
          <w:sz w:val="24"/>
        </w:rPr>
        <w:t xml:space="preserve">。</w:t>
      </w:r>
      <w:r/>
    </w:p>
    <w:p>
      <w:pPr>
        <w:pStyle w:val="1029"/>
        <w:ind w:firstLine="562"/>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三、供应商不得存在下列情形之一</w:t>
      </w:r>
      <w:r/>
    </w:p>
    <w:p>
      <w:pPr>
        <w:pStyle w:val="1029"/>
        <w:ind w:firstLine="56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（1）与采购人、采购代理机构存在隶属关系或者其他利害关系。</w:t>
      </w:r>
      <w:r/>
    </w:p>
    <w:p>
      <w:pPr>
        <w:pStyle w:val="1029"/>
        <w:ind w:firstLine="56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（2）与其他供应商的法定代表人（或者单位负责人）为同一人，或者与其他供应商存在直接控股、管理关系。</w:t>
      </w:r>
      <w:r/>
    </w:p>
    <w:p>
      <w:pPr>
        <w:pStyle w:val="1029"/>
        <w:ind w:firstLine="56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（3）受到刑事处罚，或者责令停产停业、在一至三年内禁止参加政府采购活动、暂扣或者吊销许可证、暂扣或者吊销执照等情形之一的行政处罚，或者存在财政部门认定的其他重大违法记录。</w:t>
      </w:r>
      <w:r/>
    </w:p>
    <w:p>
      <w:pPr>
        <w:pStyle w:val="1029"/>
        <w:ind w:firstLine="56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（4）为本采购项目提供整体设计、规范编制或者项目管理、监理、检测等服务的供应商，不得再参加本采购项目的其他采购活动。</w:t>
      </w:r>
      <w:r/>
    </w:p>
    <w:p>
      <w:pPr>
        <w:pStyle w:val="792"/>
        <w:rPr>
          <w:rFonts w:asciiTheme="minorEastAsia" w:hAnsiTheme="minorEastAsia" w:eastAsiaTheme="minorEastAsia" w:cstheme="minorEastAsia"/>
        </w:rPr>
      </w:pPr>
      <w:r/>
      <w:bookmarkStart w:id="16" w:name="_Toc8067"/>
      <w:r/>
      <w:bookmarkStart w:id="17" w:name="_Toc4989"/>
      <w:r/>
      <w:bookmarkStart w:id="18" w:name="_Toc14422"/>
      <w:r>
        <w:rPr>
          <w:rFonts w:hint="eastAsia" w:asciiTheme="minorEastAsia" w:hAnsiTheme="minorEastAsia" w:eastAsiaTheme="minorEastAsia" w:cstheme="minorEastAsia"/>
        </w:rPr>
        <w:br w:type="page" w:clear="all"/>
      </w:r>
      <w:r>
        <w:rPr>
          <w:rFonts w:hint="eastAsia" w:asciiTheme="minorEastAsia" w:hAnsiTheme="minorEastAsia" w:eastAsiaTheme="minorEastAsia" w:cstheme="minorEastAsia"/>
        </w:rPr>
        <w:t xml:space="preserve">第三章 磋商响应要求</w:t>
      </w:r>
      <w:bookmarkEnd w:id="16"/>
      <w:r/>
      <w:bookmarkEnd w:id="17"/>
      <w:r/>
      <w:bookmarkEnd w:id="18"/>
      <w:r/>
      <w:r/>
    </w:p>
    <w:p>
      <w:pPr>
        <w:pStyle w:val="1029"/>
        <w:ind w:firstLine="562"/>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bCs/>
          <w:sz w:val="24"/>
        </w:rPr>
        <w:t xml:space="preserve">1、磋商文件</w:t>
      </w:r>
      <w:r/>
    </w:p>
    <w:p>
      <w:pPr>
        <w:pStyle w:val="1029"/>
        <w:ind w:firstLine="56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（1）磋商文件的组成，为采购公告、本文件及所有按规定发出的补充变更通知。</w:t>
      </w:r>
      <w:r/>
    </w:p>
    <w:p>
      <w:pPr>
        <w:pStyle w:val="1029"/>
        <w:ind w:firstLine="56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（2）磋商文件的澄清及修改：</w:t>
      </w:r>
      <w:r/>
    </w:p>
    <w:p>
      <w:pPr>
        <w:pStyle w:val="1029"/>
        <w:ind w:firstLine="56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①供应商在下载磋商文件后，如有疑问需要澄清，应按磋商须知第9项内容中规定的时间前以书面形式向采购人或本公司提出。</w:t>
      </w:r>
      <w:r/>
    </w:p>
    <w:p>
      <w:pPr>
        <w:pStyle w:val="1029"/>
        <w:ind w:firstLine="56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②在磋商截止日前，本公司可根据采购人的要求或在解答供应商提出的澄清问题时对磋商文件进行修改。</w:t>
      </w:r>
      <w:r/>
    </w:p>
    <w:p>
      <w:pPr>
        <w:pStyle w:val="1029"/>
        <w:ind w:firstLine="56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③磋商文件的修改将在“江苏政府采购网”上发布，作为磋商文件的组成部分。</w:t>
      </w:r>
      <w:r/>
    </w:p>
    <w:p>
      <w:pPr>
        <w:pStyle w:val="1029"/>
        <w:ind w:firstLine="56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④为使供应商编写磋商响应文件有充分的时间对磋商文件的修改部分进行分析、研究，本公司将根据有关规定在“江苏政府采购网”上发布延期采购公告，请供应商主动登陆查询。</w:t>
      </w:r>
      <w:r/>
    </w:p>
    <w:p>
      <w:pPr>
        <w:pStyle w:val="1029"/>
        <w:ind w:firstLine="56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⑤供应商对磋商文件所做出的推论、解释和结论，本公司概不负责。</w:t>
      </w:r>
      <w:r/>
    </w:p>
    <w:p>
      <w:pPr>
        <w:pStyle w:val="1029"/>
        <w:ind w:firstLine="562"/>
        <w:spacing w:line="360" w:lineRule="auto"/>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2、磋商响应费用</w:t>
      </w:r>
      <w:r/>
    </w:p>
    <w:p>
      <w:pPr>
        <w:pStyle w:val="1029"/>
        <w:ind w:firstLine="56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（1）供应商无论成交与否，都须自行承担编制磋商响应文件以及递交磋商响应文件所涉及的一切费用。</w:t>
      </w:r>
      <w:r/>
    </w:p>
    <w:p>
      <w:pPr>
        <w:pStyle w:val="1029"/>
        <w:ind w:firstLine="56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（2）该项目的报价应包括完成该项目服务所需的一切相关费用、招标代理服务费及其它应付的费用等。</w:t>
      </w:r>
      <w:r/>
    </w:p>
    <w:p>
      <w:pPr>
        <w:pStyle w:val="1029"/>
        <w:ind w:firstLine="56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（3）磋商文件：免费。</w:t>
      </w:r>
      <w:r/>
    </w:p>
    <w:p>
      <w:pPr>
        <w:pStyle w:val="1029"/>
        <w:ind w:firstLine="56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w:t>
      </w:r>
      <w:r>
        <w:rPr>
          <w:rFonts w:hint="eastAsia" w:asciiTheme="minorEastAsia" w:hAnsiTheme="minorEastAsia" w:cstheme="minorEastAsia"/>
          <w:sz w:val="24"/>
        </w:rPr>
        <w:t xml:space="preserve">4</w:t>
      </w:r>
      <w:r>
        <w:rPr>
          <w:rFonts w:hint="eastAsia" w:asciiTheme="minorEastAsia" w:hAnsiTheme="minorEastAsia" w:eastAsiaTheme="minorEastAsia" w:cstheme="minorEastAsia"/>
          <w:sz w:val="24"/>
        </w:rPr>
        <w:t xml:space="preserve">）最终投标总报价是指上述费用的总和。</w:t>
      </w:r>
      <w:r/>
    </w:p>
    <w:p>
      <w:pPr>
        <w:pStyle w:val="1027"/>
        <w:ind w:firstLine="480"/>
        <w:spacing w:line="360" w:lineRule="auto"/>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3、提交响应文件要求</w:t>
      </w:r>
      <w:r/>
    </w:p>
    <w:p>
      <w:pPr>
        <w:pStyle w:val="1027"/>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（一）本项目通过“苏采云”系统进行电子采购采购，即供应商响应文件从政府采购客户端工具制作并通过“苏采云”系统提交外。</w:t>
      </w:r>
      <w:r/>
    </w:p>
    <w:p>
      <w:pPr>
        <w:pStyle w:val="1027"/>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供应商应当通过“苏采云”系统提交数据电文形式的响应文件（即电子投标）。未进行线上响应文件提交并解密(因“苏采云”系统导致解密失败的除外)的供应商，响应无效。其线下提交的（纸质）响应文件，采购代理机构退回拒收。</w:t>
      </w:r>
      <w:r/>
    </w:p>
    <w:p>
      <w:pPr>
        <w:pStyle w:val="1027"/>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“CA数字证书”的获取：供应商需办理CA锁，“CA数字证书”的办理方法详见“江苏省政府采购数字证书CA及电子签章办理指南”，网址：http://jsxcmm.com/help/help.html。</w:t>
      </w:r>
      <w:r/>
    </w:p>
    <w:p>
      <w:pPr>
        <w:pStyle w:val="1027"/>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使用需要第三方认证的电子签名、数据电文，通过互联网方式提交首次响应文件。即：使用“电子签名认证证书（CA数字证书）”登录“苏采云”系统（网址：</w:t>
      </w:r>
      <w:r>
        <w:fldChar w:fldCharType="begin"/>
      </w:r>
      <w:r>
        <w:instrText xml:space="preserve"> HYPERLINK "http://jszfcg.jsczt.cn/" \o "http://jszfcg.jsczt.cn/" </w:instrText>
      </w:r>
      <w:r>
        <w:fldChar w:fldCharType="separate"/>
      </w:r>
      <w:r>
        <w:rPr>
          <w:rFonts w:hint="eastAsia" w:asciiTheme="minorEastAsia" w:hAnsiTheme="minorEastAsia" w:eastAsiaTheme="minorEastAsia" w:cstheme="minorEastAsia"/>
          <w:sz w:val="24"/>
          <w:szCs w:val="24"/>
        </w:rPr>
        <w:t xml:space="preserve">http://jszfcg.jsczt.cn/</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sz w:val="24"/>
          <w:szCs w:val="24"/>
        </w:rPr>
        <w:t xml:space="preserve">，点击“苏采云”进入系统），按照要求通过互联网方式提交首次响应文件。</w:t>
      </w:r>
      <w:r/>
    </w:p>
    <w:p>
      <w:pPr>
        <w:pStyle w:val="1027"/>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“苏采云”系统使用要求：</w:t>
      </w:r>
      <w:r/>
    </w:p>
    <w:p>
      <w:pPr>
        <w:pStyle w:val="1027"/>
        <w:numPr>
          <w:ilvl w:val="0"/>
          <w:numId w:val="3"/>
        </w:numPr>
        <w:ind w:firstLine="480"/>
        <w:jc w:val="both"/>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使用谷歌浏览器参与不见面开标及磋商环节。</w:t>
      </w:r>
      <w:r/>
    </w:p>
    <w:p>
      <w:pPr>
        <w:pStyle w:val="1027"/>
        <w:numPr>
          <w:ilvl w:val="0"/>
          <w:numId w:val="3"/>
        </w:numPr>
        <w:ind w:firstLine="480"/>
        <w:jc w:val="both"/>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电脑需提前准备好麦克风、音响，摄像头，提前检查保证能够正常使用。</w:t>
      </w:r>
      <w:r/>
    </w:p>
    <w:p>
      <w:pPr>
        <w:pStyle w:val="1027"/>
        <w:numPr>
          <w:ilvl w:val="0"/>
          <w:numId w:val="3"/>
        </w:numPr>
        <w:ind w:firstLine="480"/>
        <w:jc w:val="both"/>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操作系统至少win7以上，建议使用win10操作系统。</w:t>
      </w:r>
      <w:r/>
    </w:p>
    <w:p>
      <w:pPr>
        <w:pStyle w:val="1027"/>
        <w:ind w:firstLine="480"/>
        <w:spacing w:line="360" w:lineRule="auto"/>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bCs/>
          <w:sz w:val="24"/>
          <w:szCs w:val="24"/>
        </w:rPr>
        <w:t xml:space="preserve">（二）首次响应文件提交的截止时间：详见竞争性磋商公告，在截止时间后提交的首次响应文件为无效文件，将被拒收。</w:t>
      </w:r>
      <w:r/>
    </w:p>
    <w:p>
      <w:pPr>
        <w:pStyle w:val="1027"/>
        <w:ind w:firstLine="480"/>
        <w:spacing w:line="360" w:lineRule="auto"/>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（三）首次响应文件提交时间、地点：</w:t>
      </w:r>
      <w:r/>
    </w:p>
    <w:p>
      <w:pPr>
        <w:pStyle w:val="1027"/>
        <w:ind w:firstLine="480"/>
        <w:spacing w:line="360" w:lineRule="auto"/>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1.提交时间：详见竞争性磋商公告。</w:t>
      </w:r>
      <w:r/>
    </w:p>
    <w:p>
      <w:pPr>
        <w:pStyle w:val="1027"/>
        <w:ind w:firstLine="480"/>
        <w:spacing w:line="360" w:lineRule="auto"/>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2.提交地点：</w:t>
      </w:r>
      <w:r/>
    </w:p>
    <w:p>
      <w:pPr>
        <w:pStyle w:val="1027"/>
        <w:ind w:firstLine="480"/>
        <w:spacing w:line="360" w:lineRule="auto"/>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“苏采云”系统（网址：http://jszfcg.jsczt.cn/）“开标大厅”，点击“苏采云”进入系统“开标大厅”。 </w:t>
      </w:r>
      <w:r/>
    </w:p>
    <w:p>
      <w:pPr>
        <w:pStyle w:val="1027"/>
        <w:ind w:firstLine="480"/>
        <w:spacing w:line="360" w:lineRule="auto"/>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（四）首次响应文件开启时间：详见竞争性磋商公告。</w:t>
      </w:r>
      <w:r/>
    </w:p>
    <w:p>
      <w:pPr>
        <w:pStyle w:val="1027"/>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（五）首次响应文件开启地点：</w:t>
      </w:r>
      <w:r/>
    </w:p>
    <w:p>
      <w:pPr>
        <w:pStyle w:val="1027"/>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“苏采云”系统（网址：http://jszfcg.jsczt.cn/）“开标大厅”，点击“苏采云”进入系统“开标大厅”。</w:t>
      </w:r>
      <w:r/>
    </w:p>
    <w:p>
      <w:pPr>
        <w:pStyle w:val="1027"/>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027"/>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（七）不接受不按要求加盖公章（电子签章）的首次响应文件。电子签章相关要求见“苏采云”系统。</w:t>
      </w:r>
      <w:r/>
    </w:p>
    <w:p>
      <w:pPr>
        <w:pStyle w:val="1027"/>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（八）首次响应文件解密：到达开启时间，</w:t>
      </w:r>
      <w:r>
        <w:rPr>
          <w:rFonts w:hint="eastAsia" w:asciiTheme="minorEastAsia" w:hAnsiTheme="minorEastAsia" w:eastAsiaTheme="minorEastAsia" w:cstheme="minorEastAsia"/>
          <w:sz w:val="24"/>
          <w:szCs w:val="24"/>
        </w:rPr>
        <w:t xml:space="preserve">“苏采云”系统自动提取所有响应文件，供应商按采购文件规定方式按时在线解密。本项目采购文件规定的供应商按时在线解密方式：开启时间后30分钟内，通过“苏采云”系统（使用“CA数字证书”）解密。</w:t>
      </w:r>
      <w:r/>
    </w:p>
    <w:p>
      <w:pPr>
        <w:pStyle w:val="1027"/>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（九）采购文件（后缀名为“.kedt”）、供应商操作手册及政府采购客户端工具可通过“苏采云”系统（网址：</w:t>
      </w:r>
      <w:r>
        <w:fldChar w:fldCharType="begin"/>
      </w:r>
      <w:r>
        <w:instrText xml:space="preserve"> HYPERLINK "http://jszfcg.jsczt.cn/" \o "http://jszfcg.jsczt.cn/" </w:instrText>
      </w:r>
      <w:r>
        <w:fldChar w:fldCharType="separate"/>
      </w:r>
      <w:r>
        <w:rPr>
          <w:rFonts w:hint="eastAsia" w:asciiTheme="minorEastAsia" w:hAnsiTheme="minorEastAsia" w:eastAsiaTheme="minorEastAsia" w:cstheme="minorEastAsia"/>
          <w:sz w:val="24"/>
          <w:szCs w:val="24"/>
        </w:rPr>
        <w:t xml:space="preserve">http://jszfcg.jsczt.cn/</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sz w:val="24"/>
          <w:szCs w:val="24"/>
        </w:rPr>
        <w:t xml:space="preserve">）--已报名项目--报名详情页面内相应链接进行下载；供应商操作手册及政府采购客户端工具可通过泰州政府采购网—服务指南--下载中心，点击进入“</w:t>
      </w:r>
      <w:r>
        <w:fldChar w:fldCharType="begin"/>
      </w:r>
      <w:r>
        <w:instrText xml:space="preserve"> HYPERLINK "http://czj.taizhou.gov.cn/art/2022/12/9/art_61762_3436049.html" \o "苏采云系统操作手册（供应商）" </w:instrText>
      </w:r>
      <w:r>
        <w:fldChar w:fldCharType="separate"/>
      </w:r>
      <w:r>
        <w:rPr>
          <w:rFonts w:hint="eastAsia" w:asciiTheme="minorEastAsia" w:hAnsiTheme="minorEastAsia" w:eastAsiaTheme="minorEastAsia" w:cstheme="minorEastAsia"/>
          <w:sz w:val="24"/>
          <w:szCs w:val="24"/>
        </w:rPr>
        <w:t xml:space="preserve">苏采云系统操作手册（供应商）</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sz w:val="24"/>
          <w:szCs w:val="24"/>
        </w:rPr>
        <w:t xml:space="preserve">”，进行下载。</w:t>
      </w:r>
      <w:r/>
    </w:p>
    <w:p>
      <w:pPr>
        <w:pStyle w:val="1027"/>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（十）相关说明: 供应商在“苏采云”系统中提交首次响应文件的时间即为数据电文（响应文件，下同）的发送时间和接收时间。</w:t>
      </w:r>
      <w:r/>
    </w:p>
    <w:p>
      <w:pPr>
        <w:pStyle w:val="1027"/>
        <w:ind w:firstLine="480"/>
        <w:spacing w:line="360" w:lineRule="auto"/>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4、响应文件编制要求</w:t>
      </w:r>
      <w:r/>
    </w:p>
    <w:p>
      <w:pPr>
        <w:pStyle w:val="1027"/>
        <w:ind w:firstLine="480"/>
        <w:spacing w:line="360" w:lineRule="auto"/>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请按照以下要求（包括但不限于以下要求）制作：</w:t>
      </w:r>
      <w:r/>
    </w:p>
    <w:p>
      <w:pPr>
        <w:pStyle w:val="1027"/>
        <w:ind w:firstLine="425"/>
        <w:spacing w:line="360" w:lineRule="auto"/>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（一）基本目录</w:t>
      </w:r>
      <w:r/>
    </w:p>
    <w:p>
      <w:pPr>
        <w:pStyle w:val="1027"/>
        <w:ind w:firstLine="480"/>
        <w:spacing w:line="360" w:lineRule="auto"/>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1.</w:t>
      </w:r>
      <w:r>
        <w:rPr>
          <w:rFonts w:hint="eastAsia" w:asciiTheme="minorEastAsia" w:hAnsiTheme="minorEastAsia" w:eastAsiaTheme="minorEastAsia" w:cstheme="minorEastAsia"/>
          <w:sz w:val="24"/>
          <w:szCs w:val="24"/>
        </w:rPr>
        <w:t xml:space="preserve">《磋商报价表》（加盖电子签章，格式见《磋商文件》附件。</w:t>
      </w:r>
      <w:r>
        <w:rPr>
          <w:rFonts w:hint="eastAsia" w:asciiTheme="minorEastAsia" w:hAnsiTheme="minorEastAsia" w:eastAsiaTheme="minorEastAsia" w:cstheme="minorEastAsia"/>
          <w:bCs/>
          <w:sz w:val="24"/>
          <w:szCs w:val="24"/>
        </w:rPr>
        <w:t xml:space="preserve">政府采购客户端工具输入报价自动生成）；</w:t>
      </w:r>
      <w:r/>
    </w:p>
    <w:p>
      <w:pPr>
        <w:pStyle w:val="1027"/>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2.《授权委托书》（提供原件的扫描件，格式见《磋商文件》附件）</w:t>
      </w:r>
      <w:r>
        <w:rPr>
          <w:rFonts w:hint="eastAsia" w:asciiTheme="minorEastAsia" w:hAnsiTheme="minorEastAsia" w:eastAsiaTheme="minorEastAsia" w:cstheme="minorEastAsia"/>
          <w:sz w:val="24"/>
          <w:szCs w:val="24"/>
        </w:rPr>
        <w:t xml:space="preserve">；</w:t>
      </w:r>
      <w:r/>
    </w:p>
    <w:p>
      <w:pPr>
        <w:pStyle w:val="1027"/>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3.授权委托书中受托人身份证原件的扫描件；</w:t>
      </w:r>
      <w:r/>
    </w:p>
    <w:p>
      <w:pPr>
        <w:pStyle w:val="1027"/>
        <w:ind w:firstLine="425"/>
        <w:spacing w:line="360" w:lineRule="auto"/>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
          <w:sz w:val="24"/>
          <w:szCs w:val="24"/>
        </w:rPr>
        <w:t xml:space="preserve">（二）资格条件（1～8项必须提供，否则响应无效）</w:t>
      </w:r>
      <w:r/>
    </w:p>
    <w:p>
      <w:pPr>
        <w:pStyle w:val="1027"/>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1.供应商合法有效的营业执照扫描件；</w:t>
      </w:r>
      <w:r/>
    </w:p>
    <w:p>
      <w:pPr>
        <w:pStyle w:val="1027"/>
        <w:ind w:right="26"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2.财务状况报告，至少提供：</w:t>
      </w:r>
      <w:r/>
    </w:p>
    <w:p>
      <w:pPr>
        <w:pStyle w:val="1027"/>
        <w:ind w:right="26"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供应商提交首次响应文件时间前6个月内（不含磋商当月）任何一个月的资产负债表和利润表月报表扫描件；或经会计师事务所出具的近两年中任意一个年度的审计报告扫描件；或供应商的本项目开标时间前6个月内（不含磋商当月）银行出具的资信证明扫描件；或财政部门认可的政府采购专业担保机构出具的投标担保函扫描件。</w:t>
      </w:r>
      <w:r/>
    </w:p>
    <w:p>
      <w:pPr>
        <w:pStyle w:val="1027"/>
        <w:ind w:right="26"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供应商提交首次响应文件时间前6个月内（不含磋商当月）任何一个月的依法缴纳税收和社会保障资金的相关材料扫描件；依法免税或不需要缴纳社会保障资金的供应商应提供相应其依法免税或不需要缴纳社会保障资金的证明文件扫描件。</w:t>
      </w:r>
      <w:r/>
    </w:p>
    <w:p>
      <w:pPr>
        <w:pStyle w:val="1027"/>
        <w:ind w:right="26"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4.具备履行合同所必需的专业技术能力的证明材料扫描件。</w:t>
      </w:r>
      <w:r/>
    </w:p>
    <w:p>
      <w:pPr>
        <w:pStyle w:val="1027"/>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5.供应商参加政府采购活动前3年内在经营活动中没有重大违法记录的书面声明。（加盖电子签章，格式见《磋商文件》附件）</w:t>
      </w:r>
      <w:r/>
    </w:p>
    <w:p>
      <w:pPr>
        <w:pStyle w:val="1027"/>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6.未被“信用中国”网站（www.creditchina.gov.cn）列入失信被执行人、重大税收违法失信主体、政府采购严重失信行为记录名单。（提供网页查询截图）</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 磋商文件中规定的资格特定条件证明材料：</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（1）有效的市政公用工程施工总承包三级（及）以上资质；</w:t>
      </w:r>
      <w:r/>
    </w:p>
    <w:p>
      <w:pPr>
        <w:numPr>
          <w:ilvl w:val="0"/>
          <w:numId w:val="4"/>
        </w:num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有效的行政主管部门颁发的安全生产许可证；</w:t>
      </w:r>
      <w:r/>
    </w:p>
    <w:p>
      <w:pPr>
        <w:pStyle w:val="1052"/>
        <w:ind w:firstLine="480"/>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（3）拟派项目负责人系已在供应商单位注册并具备市政工程专业二级(含)以上注册建造师证书且具有行政主管部门颁发的有效的建筑施工企业项目负责人安全生产考核合格证书B证。（提供有效的证书扫描件）</w:t>
      </w:r>
      <w:r/>
    </w:p>
    <w:p>
      <w:pPr>
        <w:ind w:right="26" w:firstLine="480"/>
        <w:spacing w:line="360" w:lineRule="auto"/>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8.本项目为专门面向中小微企业的项目，工程的施工单位全部为符合政策要求的中小微企业。提供《中小企业声明函》</w:t>
      </w:r>
      <w:r>
        <w:rPr>
          <w:rFonts w:hint="eastAsia" w:asciiTheme="minorEastAsia" w:hAnsiTheme="minorEastAsia" w:eastAsiaTheme="minorEastAsia" w:cstheme="minorEastAsia"/>
          <w:b/>
          <w:sz w:val="24"/>
        </w:rPr>
        <w:t xml:space="preserve">（填写完整，加盖电子签章格式见《磋商文件》附件）如不填写完整，视为无效）。</w:t>
      </w:r>
      <w:r>
        <w:rPr>
          <w:rFonts w:hint="eastAsia" w:asciiTheme="minorEastAsia" w:hAnsiTheme="minorEastAsia" w:eastAsiaTheme="minorEastAsia" w:cstheme="minorEastAsia"/>
          <w:sz w:val="24"/>
        </w:rPr>
        <w:t xml:space="preserve">《中小企业声明函》查询渠道参考工业和信息化部发布的中小企业规模自测小程序。</w:t>
      </w:r>
      <w:r/>
    </w:p>
    <w:p>
      <w:pPr>
        <w:pStyle w:val="1027"/>
        <w:ind w:right="26"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注：具体以《政府采购促进中小企业发展管理办法》（财库[2020]46号）和《关于印发中小企业划型标准规定的通知》（工信部联企业[2011]300号）的规定为准。</w:t>
      </w:r>
      <w:r/>
    </w:p>
    <w:p>
      <w:pPr>
        <w:pStyle w:val="1027"/>
        <w:ind w:right="26"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注：监狱企业和残疾人福利性单位等同于小微企业。</w:t>
      </w:r>
      <w:r/>
    </w:p>
    <w:p>
      <w:pPr>
        <w:pStyle w:val="1027"/>
        <w:ind w:right="26"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供应商为监狱企业的，提供省级以上监狱管理局、戒毒管理局（含新疆生产建设兵团）出具的属于监狱企业的证明文件原件的扫描件。</w:t>
      </w:r>
      <w:r/>
    </w:p>
    <w:p>
      <w:pPr>
        <w:pStyle w:val="1027"/>
        <w:ind w:right="26"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具体以《财政部 司法部关于政府采购支持监狱企业发展有关问题的通知》（财库〔2014〕68号）的规定为准。</w:t>
      </w:r>
      <w:r/>
    </w:p>
    <w:p>
      <w:pPr>
        <w:pStyle w:val="1027"/>
        <w:ind w:right="26"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供应商为享受政府采购支持政策的残疾人福利性单位的，提供《残疾人福利性单位声明函》（加盖电子签章，格式见《磋商文件》附件）。</w:t>
      </w:r>
      <w:r/>
    </w:p>
    <w:p>
      <w:pPr>
        <w:pStyle w:val="1027"/>
        <w:ind w:right="26"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享受政府采购支持政策的残疾人福利性单位应当同时满足以下条件：</w:t>
      </w:r>
      <w:r/>
    </w:p>
    <w:p>
      <w:pPr>
        <w:pStyle w:val="1027"/>
        <w:ind w:right="26"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①安置的残疾人占本单位在职职工人数的比例不低于25%（含25%），并且安置的残疾人人数不少于10人（含10人）；</w:t>
      </w:r>
      <w:r/>
    </w:p>
    <w:p>
      <w:pPr>
        <w:pStyle w:val="1027"/>
        <w:ind w:right="26"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②依法与安置的每位残疾人签订了一年以上（含一年）的劳动合同或服务协议；</w:t>
      </w:r>
      <w:r/>
    </w:p>
    <w:p>
      <w:pPr>
        <w:pStyle w:val="1027"/>
        <w:ind w:right="26"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③为安置的每位残疾人按月足额缴纳了基本养老保险、基本医疗保险、失业保险、工伤保险和生育保险等社会保险费；</w:t>
      </w:r>
      <w:r/>
    </w:p>
    <w:p>
      <w:pPr>
        <w:pStyle w:val="1027"/>
        <w:ind w:right="26"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④通过银行等金融机构向安置的每位残疾人，按月支付了不低于单位所在区县适用的经省级人民政府批准的月最低工资标准的工资；</w:t>
      </w:r>
      <w:r/>
    </w:p>
    <w:p>
      <w:pPr>
        <w:pStyle w:val="1027"/>
        <w:ind w:right="26"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⑤提供本单位制造的货物、承担的工程或者服务（以下简称产品），或者提供其他残疾人福利性单位制造的货物（不包括使用非残疾人福利性单位注册商标的货物）。</w:t>
      </w:r>
      <w:r/>
    </w:p>
    <w:p>
      <w:pPr>
        <w:pStyle w:val="1027"/>
        <w:ind w:right="26"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27"/>
        <w:ind w:right="26"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具体以《三部门联合发布关于促进残疾人就业政府采购政策的通知》（财库〔2017〕141号）规定为准。</w:t>
      </w:r>
      <w:r/>
    </w:p>
    <w:p>
      <w:pPr>
        <w:pStyle w:val="1027"/>
        <w:ind w:firstLine="480"/>
        <w:spacing w:line="360" w:lineRule="auto"/>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（三）符合条件（必须提供，否则响应无效）</w:t>
      </w:r>
      <w:r/>
    </w:p>
    <w:p>
      <w:pPr>
        <w:pStyle w:val="1027"/>
        <w:ind w:firstLine="480"/>
        <w:spacing w:line="360" w:lineRule="auto"/>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1.</w:t>
      </w:r>
      <w:r>
        <w:rPr>
          <w:rFonts w:hint="eastAsia" w:asciiTheme="minorEastAsia" w:hAnsiTheme="minorEastAsia" w:eastAsiaTheme="minorEastAsia" w:cstheme="minorEastAsia"/>
          <w:sz w:val="24"/>
          <w:szCs w:val="24"/>
        </w:rPr>
        <w:t xml:space="preserve">《已标价工程量清单》（加盖电子签章）；</w:t>
      </w:r>
      <w:r/>
    </w:p>
    <w:p>
      <w:pPr>
        <w:pStyle w:val="1027"/>
        <w:ind w:firstLine="480"/>
        <w:spacing w:line="360" w:lineRule="auto"/>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w:t>
      </w:r>
      <w:r>
        <w:rPr>
          <w:rFonts w:hint="eastAsia" w:asciiTheme="minorEastAsia" w:hAnsiTheme="minorEastAsia" w:eastAsiaTheme="minorEastAsia" w:cstheme="minorEastAsia"/>
          <w:sz w:val="24"/>
          <w:szCs w:val="24"/>
        </w:rPr>
        <w:t xml:space="preserve">《承诺书》（加盖电子签章，格式见《磋商文件》附件）；</w:t>
      </w:r>
      <w:r/>
    </w:p>
    <w:p>
      <w:pPr>
        <w:pStyle w:val="1027"/>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3.《偏离表》</w:t>
      </w:r>
      <w:r>
        <w:rPr>
          <w:rFonts w:hint="eastAsia" w:asciiTheme="minorEastAsia" w:hAnsiTheme="minorEastAsia" w:eastAsiaTheme="minorEastAsia" w:cstheme="minorEastAsia"/>
          <w:sz w:val="24"/>
          <w:szCs w:val="24"/>
        </w:rPr>
        <w:t xml:space="preserve">（加盖电子签章，格式见《磋商文件》附件）。</w:t>
      </w:r>
      <w:r/>
    </w:p>
    <w:p>
      <w:pPr>
        <w:pStyle w:val="1027"/>
        <w:ind w:firstLine="480"/>
        <w:spacing w:line="360" w:lineRule="auto"/>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（四）综合评审评分项</w:t>
      </w:r>
      <w:r/>
    </w:p>
    <w:p>
      <w:pPr>
        <w:pStyle w:val="1027"/>
        <w:ind w:firstLine="36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根据项目需求和评标内容及标准，供应商为使自身处于有利评审地位，应当提交的其他文件和证明资料。</w:t>
      </w:r>
      <w:r/>
    </w:p>
    <w:p>
      <w:pPr>
        <w:pStyle w:val="1027"/>
        <w:ind w:firstLine="36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（五）提交的首次响应文件的密封、签署、盖章要求：</w:t>
      </w:r>
      <w:r/>
    </w:p>
    <w:p>
      <w:pPr>
        <w:pStyle w:val="1027"/>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1.密封（加密）要求：</w:t>
      </w:r>
      <w:r/>
    </w:p>
    <w:p>
      <w:pPr>
        <w:pStyle w:val="1027"/>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027"/>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2.签署要求：见《磋商文件》附件中相关格式要求。</w:t>
      </w:r>
      <w:r/>
    </w:p>
    <w:p>
      <w:pPr>
        <w:pStyle w:val="1027"/>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3.盖章要求：见《磋商文件》附件中相关格式要求。供应商须通过“苏采云”系统提供的政府采购客户端工具（使用“CA数字证书”）加盖电子签章。</w:t>
      </w:r>
      <w:r/>
    </w:p>
    <w:p>
      <w:pPr>
        <w:pStyle w:val="1027"/>
        <w:ind w:firstLine="480"/>
        <w:spacing w:line="360" w:lineRule="auto"/>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特别提醒：竞争性磋商文件中如需“被授权代表签字或盖章”，供应商可打印成文档，签字或盖章后再扫描上传，最后再电子签章。</w:t>
      </w:r>
      <w:r/>
    </w:p>
    <w:p>
      <w:pPr>
        <w:pStyle w:val="1027"/>
        <w:ind w:firstLine="497"/>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（六）通过“苏采云”系统提交政府采购客户端工具导出加密的响应文件（后缀名为zip）。响应文件不得超过350M！ </w:t>
      </w:r>
      <w:r/>
    </w:p>
    <w:p>
      <w:pPr>
        <w:pStyle w:val="1027"/>
        <w:ind w:firstLine="497"/>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注：</w:t>
      </w:r>
      <w:r/>
    </w:p>
    <w:p>
      <w:pPr>
        <w:pStyle w:val="1027"/>
        <w:ind w:firstLine="497"/>
        <w:spacing w:line="360" w:lineRule="auto"/>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sz w:val="24"/>
          <w:szCs w:val="24"/>
        </w:rPr>
        <w:t xml:space="preserve">供应</w:t>
      </w:r>
      <w:r>
        <w:rPr>
          <w:rFonts w:hint="eastAsia" w:asciiTheme="minorEastAsia" w:hAnsiTheme="minorEastAsia" w:eastAsiaTheme="minorEastAsia" w:cstheme="minorEastAsia"/>
          <w:color w:val="000000" w:themeColor="text1"/>
          <w:sz w:val="24"/>
          <w:szCs w:val="24"/>
        </w:rPr>
        <w:t xml:space="preserve">商应当按照《磋商文件》的要求编制响应文件，并对其提交的响应文件的真实性、合法性承担法律责任。</w:t>
      </w:r>
      <w:r/>
    </w:p>
    <w:p>
      <w:pPr>
        <w:pStyle w:val="1054"/>
        <w:ind w:firstLine="562"/>
        <w:spacing w:before="0" w:after="0" w:line="360" w:lineRule="auto"/>
        <w:rPr>
          <w:rFonts w:asciiTheme="minorEastAsia" w:hAnsiTheme="minorEastAsia" w:eastAsiaTheme="minorEastAsia" w:cstheme="minorEastAsia"/>
          <w:b/>
          <w:bCs/>
          <w:color w:val="000000" w:themeColor="text1"/>
          <w:sz w:val="24"/>
        </w:rPr>
      </w:pPr>
      <w:r>
        <w:rPr>
          <w:rFonts w:hint="eastAsia" w:asciiTheme="minorEastAsia" w:hAnsiTheme="minorEastAsia" w:eastAsiaTheme="minorEastAsia" w:cstheme="minorEastAsia"/>
          <w:b/>
          <w:bCs/>
          <w:color w:val="000000" w:themeColor="text1"/>
          <w:sz w:val="24"/>
        </w:rPr>
        <w:t xml:space="preserve">5、无效磋商响应文件</w:t>
      </w:r>
      <w:r/>
    </w:p>
    <w:p>
      <w:pPr>
        <w:pStyle w:val="1054"/>
        <w:ind w:firstLine="560"/>
        <w:spacing w:before="0" w:after="0" w:line="360" w:lineRule="auto"/>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磋商响应文件出现下列情形之一的，将作为无效磋商响应文件处理：</w:t>
      </w:r>
      <w:r/>
    </w:p>
    <w:p>
      <w:pPr>
        <w:pStyle w:val="1055"/>
        <w:ind w:firstLine="689"/>
        <w:spacing w:before="0" w:beforeAutospacing="0" w:after="0" w:afterAutospacing="0" w:line="360" w:lineRule="auto"/>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1、供应商未按照磋商文件要求上传电子响应文件或未在苏采云系统规定的时间内成功解密电子响应文件的；</w:t>
      </w:r>
      <w:r/>
    </w:p>
    <w:p>
      <w:pPr>
        <w:pStyle w:val="1055"/>
        <w:ind w:firstLine="689"/>
        <w:spacing w:before="0" w:beforeAutospacing="0" w:after="0" w:afterAutospacing="0" w:line="360" w:lineRule="auto"/>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2、不具备磋商文件中规定的资格要求的，资信证明文件不全或无效导致资格审查时无法评判的；</w:t>
      </w:r>
      <w:r/>
    </w:p>
    <w:p>
      <w:pPr>
        <w:pStyle w:val="1055"/>
        <w:ind w:firstLine="689"/>
        <w:spacing w:before="0" w:beforeAutospacing="0" w:after="0" w:afterAutospacing="0" w:line="360" w:lineRule="auto"/>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3、被“信用中国”网站（www.creditchina.gov.cn）、中国政府采购网(www.ccgp.gov.cn)列入失信被执行人、重大税收违法案件当事人名单、政府采购严重违法失信行为记录名单的；</w:t>
      </w:r>
      <w:r/>
    </w:p>
    <w:p>
      <w:pPr>
        <w:pStyle w:val="1055"/>
        <w:ind w:firstLine="689"/>
        <w:spacing w:before="0" w:beforeAutospacing="0" w:after="0" w:afterAutospacing="0" w:line="360" w:lineRule="auto"/>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4、动态考核：评标当日，投标人投标所用资质核查结果为不达标的，视为投标人资质条件不符合国家有关规定，或不满足招标文件规定的资格条件。中标公示期间，中标候选人投标所用资质核查结果为不达标的，视为其资质条件不符合国家有关规定。动态监管不合格资质查询网址：</w:t>
      </w:r>
      <w:r/>
    </w:p>
    <w:p>
      <w:pPr>
        <w:pStyle w:val="1055"/>
        <w:ind w:firstLine="689"/>
        <w:spacing w:before="0" w:beforeAutospacing="0" w:after="0" w:afterAutospacing="0" w:line="360" w:lineRule="auto"/>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https://entq.jsszfhcxjstzhfwpt.com:12443/ms/admin/#/open/dthc-list</w:t>
      </w:r>
      <w:r/>
    </w:p>
    <w:p>
      <w:pPr>
        <w:pStyle w:val="1055"/>
        <w:ind w:firstLine="689"/>
        <w:spacing w:before="0" w:beforeAutospacing="0" w:after="0" w:afterAutospacing="0" w:line="360" w:lineRule="auto"/>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5、最终磋商报价超过磋商文件中规定的预算金额或者最高限价的；</w:t>
      </w:r>
      <w:r/>
    </w:p>
    <w:p>
      <w:pPr>
        <w:pStyle w:val="1055"/>
        <w:ind w:firstLine="689"/>
        <w:spacing w:before="0" w:beforeAutospacing="0" w:after="0" w:afterAutospacing="0" w:line="360" w:lineRule="auto"/>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6、响应文件含有采购人不能接受的附加条件的；</w:t>
      </w:r>
      <w:r/>
    </w:p>
    <w:p>
      <w:pPr>
        <w:pStyle w:val="1055"/>
        <w:ind w:firstLine="689"/>
        <w:spacing w:before="0" w:beforeAutospacing="0" w:after="0" w:afterAutospacing="0" w:line="360" w:lineRule="auto"/>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7、响应文件标明的响应或偏离与事实不符或虚假响应的；</w:t>
      </w:r>
      <w:r/>
    </w:p>
    <w:p>
      <w:pPr>
        <w:pStyle w:val="1055"/>
        <w:ind w:firstLine="689"/>
        <w:spacing w:before="0" w:beforeAutospacing="0" w:after="0" w:afterAutospacing="0" w:line="360" w:lineRule="auto"/>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8、未实质性响应磋商文件要求和条件或未通过符合性检查的；</w:t>
      </w:r>
      <w:r/>
    </w:p>
    <w:p>
      <w:pPr>
        <w:pStyle w:val="1055"/>
        <w:ind w:firstLine="689"/>
        <w:spacing w:before="0" w:beforeAutospacing="0" w:after="0" w:afterAutospacing="0" w:line="360" w:lineRule="auto"/>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9、磋商有效期、项目完成时间、质保期不能满足磋商文件要求的；</w:t>
      </w:r>
      <w:r/>
    </w:p>
    <w:p>
      <w:pPr>
        <w:pStyle w:val="1055"/>
        <w:ind w:firstLine="689"/>
        <w:spacing w:before="0" w:beforeAutospacing="0" w:after="0" w:afterAutospacing="0" w:line="360" w:lineRule="auto"/>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10、响应文件未按磋商文件规定的内容和要求填写、制作的；</w:t>
      </w:r>
      <w:r/>
    </w:p>
    <w:p>
      <w:pPr>
        <w:pStyle w:val="1055"/>
        <w:ind w:firstLine="689"/>
        <w:spacing w:before="0" w:beforeAutospacing="0" w:after="0" w:afterAutospacing="0" w:line="360" w:lineRule="auto"/>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11、响应文件未按照磋商文件要求加盖CA电子公章的；</w:t>
      </w:r>
      <w:r/>
    </w:p>
    <w:p>
      <w:pPr>
        <w:pStyle w:val="1055"/>
        <w:ind w:firstLine="689"/>
        <w:spacing w:before="0" w:beforeAutospacing="0" w:after="0" w:afterAutospacing="0" w:line="360" w:lineRule="auto"/>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12、提供虚假材料的；</w:t>
      </w:r>
      <w:r/>
    </w:p>
    <w:p>
      <w:pPr>
        <w:pStyle w:val="1055"/>
        <w:ind w:firstLine="689"/>
        <w:spacing w:before="0" w:beforeAutospacing="0" w:after="0" w:afterAutospacing="0" w:line="360" w:lineRule="auto"/>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13、响应文件中有磋商文件未允许提供的选择性内容的；</w:t>
      </w:r>
      <w:r/>
    </w:p>
    <w:p>
      <w:pPr>
        <w:pStyle w:val="1055"/>
        <w:ind w:firstLine="689"/>
        <w:spacing w:before="0" w:beforeAutospacing="0" w:after="0" w:afterAutospacing="0" w:line="360" w:lineRule="auto"/>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14、磋商小组认定响应人的报价明显低于其他通过符合性审查响应人的报价，有可能影响工程质量或者不能诚信履约，且响应人不能应磋商小组要求在磋商现场合理的时间内提供书面说明（必要时磋商小组可要求响应人提交相关证明材料）证明其报价合理性的；</w:t>
      </w:r>
      <w:r/>
    </w:p>
    <w:p>
      <w:pPr>
        <w:pStyle w:val="1055"/>
        <w:ind w:firstLine="689"/>
        <w:spacing w:before="0" w:beforeAutospacing="0" w:after="0" w:afterAutospacing="0" w:line="360" w:lineRule="auto"/>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15、为采购项目提供整体设计、规范编制或者项目管理、监理、检测等服务的供应商，参加该采购项目其他采购活动的；</w:t>
      </w:r>
      <w:r/>
    </w:p>
    <w:p>
      <w:pPr>
        <w:pStyle w:val="1055"/>
        <w:ind w:firstLine="689"/>
        <w:spacing w:before="0" w:beforeAutospacing="0" w:after="0" w:afterAutospacing="0" w:line="360" w:lineRule="auto"/>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16、不同响应人的响应文件由同一单位或者个人编制的；</w:t>
      </w:r>
      <w:r/>
    </w:p>
    <w:p>
      <w:pPr>
        <w:pStyle w:val="1055"/>
        <w:ind w:firstLine="689"/>
        <w:spacing w:before="0" w:beforeAutospacing="0" w:after="0" w:afterAutospacing="0" w:line="360" w:lineRule="auto"/>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17、不同响应人委托同一单位或者个人办理磋商事宜的；</w:t>
      </w:r>
      <w:r/>
    </w:p>
    <w:p>
      <w:pPr>
        <w:pStyle w:val="1055"/>
        <w:ind w:firstLine="689"/>
        <w:spacing w:before="0" w:beforeAutospacing="0" w:after="0" w:afterAutospacing="0" w:line="360" w:lineRule="auto"/>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18、不同响应人的响应文件载明的项目管理成员或者联系人员为同一人的；</w:t>
      </w:r>
      <w:r/>
    </w:p>
    <w:p>
      <w:pPr>
        <w:pStyle w:val="1055"/>
        <w:ind w:firstLine="689"/>
        <w:spacing w:before="0" w:beforeAutospacing="0" w:after="0" w:afterAutospacing="0" w:line="360" w:lineRule="auto"/>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19、不同响应人的响应文件异常一致或者响应报价出现规律性差异的；</w:t>
      </w:r>
      <w:r/>
    </w:p>
    <w:p>
      <w:pPr>
        <w:pStyle w:val="1055"/>
        <w:ind w:firstLine="689"/>
        <w:spacing w:before="0" w:beforeAutospacing="0" w:after="0" w:afterAutospacing="0" w:line="360" w:lineRule="auto"/>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20、不同供应商磋商响应文件中内容出现非正常一致的；</w:t>
      </w:r>
      <w:r/>
    </w:p>
    <w:p>
      <w:pPr>
        <w:pStyle w:val="1055"/>
        <w:ind w:firstLine="689"/>
        <w:spacing w:before="0" w:beforeAutospacing="0" w:after="0" w:afterAutospacing="0" w:line="360" w:lineRule="auto"/>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21、不同供应商的负责人为同一人或者存在控股、管理关系的；</w:t>
      </w:r>
      <w:r/>
    </w:p>
    <w:p>
      <w:pPr>
        <w:pStyle w:val="1055"/>
        <w:ind w:firstLine="689"/>
        <w:spacing w:before="0" w:beforeAutospacing="0" w:after="0" w:afterAutospacing="0" w:line="360" w:lineRule="auto"/>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22、法律、法规和磋商文件规定的其他无效情形。</w:t>
      </w:r>
      <w:r/>
    </w:p>
    <w:p>
      <w:pPr>
        <w:pStyle w:val="1055"/>
        <w:ind w:firstLine="689"/>
        <w:spacing w:before="0" w:beforeAutospacing="0" w:after="0" w:afterAutospacing="0" w:line="360" w:lineRule="auto"/>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23、改变招标文件规定的暂定价格或降低不可竞争费用标准的；</w:t>
      </w:r>
      <w:r/>
    </w:p>
    <w:p>
      <w:pPr>
        <w:pStyle w:val="1055"/>
        <w:ind w:firstLine="689"/>
        <w:spacing w:before="0" w:beforeAutospacing="0" w:after="0" w:afterAutospacing="0" w:line="360" w:lineRule="auto"/>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24、响应文件改变或实质性遗漏磋商文件（含工程量清单、招标控制价）中规定的暂列金额、暂估价、采购人自行采购材料单价或数量的；</w:t>
      </w:r>
      <w:r/>
    </w:p>
    <w:p>
      <w:pPr>
        <w:pStyle w:val="1055"/>
        <w:ind w:firstLine="689"/>
        <w:spacing w:before="0" w:beforeAutospacing="0" w:after="0" w:afterAutospacing="0" w:line="360" w:lineRule="auto"/>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25、改变随同磋商文件提供的工程量清单中的项目编码、项目名称、项目特征、计量单位、工程量的；</w:t>
      </w:r>
      <w:r/>
    </w:p>
    <w:p>
      <w:pPr>
        <w:pStyle w:val="1055"/>
        <w:ind w:firstLine="689"/>
        <w:spacing w:before="0" w:beforeAutospacing="0" w:after="0" w:afterAutospacing="0" w:line="360" w:lineRule="auto"/>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26、首次响应报价表、最终报价表中的暂列金额、专业工程暂估价金额与已标价工程量清单报价表中的暂列金额、专业工程暂估价金额不一致的；</w:t>
      </w:r>
      <w:r/>
    </w:p>
    <w:p>
      <w:pPr>
        <w:pStyle w:val="1055"/>
        <w:ind w:firstLine="689"/>
        <w:spacing w:before="0" w:beforeAutospacing="0" w:after="0" w:afterAutospacing="0" w:line="360" w:lineRule="auto"/>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27、其他不满足法律法规、磋商文件规定或经磋商小组讨论通过确定为无效响应文件的情形。</w:t>
      </w:r>
      <w:r/>
    </w:p>
    <w:p>
      <w:pPr>
        <w:pStyle w:val="1055"/>
        <w:ind w:firstLine="689"/>
        <w:spacing w:before="0" w:beforeAutospacing="0" w:after="0" w:afterAutospacing="0" w:line="360" w:lineRule="auto"/>
        <w:rPr>
          <w:rFonts w:asciiTheme="minorEastAsia" w:hAnsiTheme="minorEastAsia" w:eastAsiaTheme="minorEastAsia" w:cstheme="minorEastAsia"/>
          <w:b/>
          <w:color w:val="000000" w:themeColor="text1"/>
        </w:rPr>
      </w:pPr>
      <w:r>
        <w:rPr>
          <w:rFonts w:hint="eastAsia" w:asciiTheme="minorEastAsia" w:hAnsiTheme="minorEastAsia" w:eastAsiaTheme="minorEastAsia" w:cstheme="minorEastAsia"/>
          <w:b/>
          <w:color w:val="000000" w:themeColor="text1"/>
        </w:rPr>
        <w:t xml:space="preserve">6、恶意串通行为的认定</w:t>
      </w:r>
      <w:r/>
    </w:p>
    <w:p>
      <w:pPr>
        <w:pStyle w:val="1054"/>
        <w:ind w:firstLine="560"/>
        <w:spacing w:before="0" w:after="0" w:line="360" w:lineRule="auto"/>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根据江苏省财政厅发布的苏财购〔2026〕2 号文件要求，在评标过程中，出现下列情形之一的，评审委员会应当启动异常低价(响应)审查程序： </w:t>
      </w:r>
      <w:r/>
    </w:p>
    <w:p>
      <w:pPr>
        <w:pStyle w:val="1054"/>
        <w:ind w:firstLine="560"/>
        <w:spacing w:before="0" w:after="0" w:line="360" w:lineRule="auto"/>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①投标（响应）报价低于全部通过符合性审查供应商投标（响应）报价平均值50%的，即投标（响应）报价&lt;全部通过符合性审查供应商投标（响应）报价平均值×50% ； </w:t>
      </w:r>
      <w:r/>
    </w:p>
    <w:p>
      <w:pPr>
        <w:pStyle w:val="1054"/>
        <w:ind w:firstLine="560"/>
        <w:spacing w:before="0" w:after="0" w:line="360" w:lineRule="auto"/>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②投标（响应）报价低于通过符合性审查的次低报价供应商投标（响应）报价50%的，即投标（响应）报价&lt;通过符合性审查的次低报价供应商投标（响应）报价×50% ； </w:t>
      </w:r>
      <w:r/>
    </w:p>
    <w:p>
      <w:pPr>
        <w:pStyle w:val="1054"/>
        <w:ind w:firstLine="560"/>
        <w:spacing w:before="0" w:after="0" w:line="360" w:lineRule="auto"/>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③投标（响应）报价低于采购项目最高限价45%的，即投标（响应）报价&lt;采购项目最高×45%；</w:t>
      </w:r>
      <w:r/>
    </w:p>
    <w:p>
      <w:pPr>
        <w:pStyle w:val="1054"/>
        <w:ind w:firstLine="560"/>
        <w:spacing w:before="0" w:after="0" w:line="360" w:lineRule="auto"/>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④评标委员会基于专业判断，认为供应商报价过低，可能影响产品质量或者不能诚信履约的其他情形。</w:t>
      </w:r>
      <w:r/>
    </w:p>
    <w:p>
      <w:pPr>
        <w:pStyle w:val="1054"/>
        <w:ind w:firstLine="560"/>
        <w:spacing w:before="0" w:after="0" w:line="360" w:lineRule="auto"/>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054"/>
        <w:ind w:firstLine="560"/>
        <w:spacing w:before="0" w:after="0" w:line="360" w:lineRule="auto"/>
        <w:rPr>
          <w:rFonts w:asciiTheme="minorEastAsia" w:hAnsiTheme="minorEastAsia" w:eastAsiaTheme="minorEastAsia" w:cstheme="minorEastAsia"/>
          <w:b/>
          <w:color w:val="000000" w:themeColor="text1"/>
        </w:rPr>
      </w:pPr>
      <w:r>
        <w:rPr>
          <w:rFonts w:hint="eastAsia" w:asciiTheme="minorEastAsia" w:hAnsiTheme="minorEastAsia" w:eastAsiaTheme="minorEastAsia" w:cstheme="minorEastAsia"/>
          <w:color w:val="000000" w:themeColor="text1"/>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55"/>
        <w:ind w:firstLine="689"/>
        <w:spacing w:before="0" w:beforeAutospacing="0" w:after="0" w:afterAutospacing="0" w:line="360" w:lineRule="auto"/>
        <w:rPr>
          <w:rFonts w:asciiTheme="minorEastAsia" w:hAnsiTheme="minorEastAsia" w:eastAsiaTheme="minorEastAsia" w:cstheme="minorEastAsia"/>
          <w:b/>
          <w:color w:val="000000" w:themeColor="text1"/>
        </w:rPr>
      </w:pPr>
      <w:r/>
      <w:bookmarkStart w:id="19" w:name="_Toc9899"/>
      <w:r>
        <w:rPr>
          <w:rFonts w:hint="eastAsia" w:asciiTheme="minorEastAsia" w:hAnsiTheme="minorEastAsia" w:eastAsiaTheme="minorEastAsia" w:cstheme="minorEastAsia"/>
          <w:b/>
          <w:color w:val="000000" w:themeColor="text1"/>
        </w:rPr>
        <w:t xml:space="preserve">7、磋商活动终止</w:t>
      </w:r>
      <w:r/>
    </w:p>
    <w:p>
      <w:pPr>
        <w:pStyle w:val="1055"/>
        <w:ind w:firstLine="686"/>
        <w:spacing w:before="0" w:beforeAutospacing="0" w:after="0" w:afterAutospacing="0"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磋商活动中出现下列情形之一的，磋商活动终止：</w:t>
      </w:r>
      <w:r/>
    </w:p>
    <w:p>
      <w:pPr>
        <w:pStyle w:val="1055"/>
        <w:ind w:firstLine="686"/>
        <w:spacing w:before="0" w:beforeAutospacing="0" w:after="0" w:afterAutospacing="0"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（1）因情况变化，不再符合规定的竞争性磋商采购方式适用情形的；</w:t>
      </w:r>
      <w:r/>
    </w:p>
    <w:p>
      <w:pPr>
        <w:pStyle w:val="1055"/>
        <w:ind w:firstLine="686"/>
        <w:spacing w:before="0" w:beforeAutospacing="0" w:after="0" w:afterAutospacing="0"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（2）出现影响采购公正的违法、违规行为的；</w:t>
      </w:r>
      <w:r/>
    </w:p>
    <w:p>
      <w:pPr>
        <w:pStyle w:val="1055"/>
        <w:ind w:firstLine="686"/>
        <w:spacing w:before="0" w:beforeAutospacing="0" w:after="0" w:afterAutospacing="0"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（3）在采购过程中符合竞争要求的供应商或者报价未超过采购预算的供应商不足3家的（财库〔2014〕214号文第二十一条第三款规定的情形外）；</w:t>
      </w:r>
      <w:r/>
    </w:p>
    <w:p>
      <w:pPr>
        <w:pStyle w:val="1055"/>
        <w:ind w:firstLine="686"/>
        <w:spacing w:before="0" w:beforeAutospacing="0" w:after="0" w:afterAutospacing="0"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（4）因重大变故，采购任务取消的。</w:t>
      </w:r>
      <w:r/>
    </w:p>
    <w:p>
      <w:pPr>
        <w:pStyle w:val="1055"/>
        <w:ind w:firstLine="689"/>
        <w:spacing w:before="0" w:beforeAutospacing="0" w:after="0" w:afterAutospacing="0" w:line="360" w:lineRule="auto"/>
        <w:rPr>
          <w:rFonts w:asciiTheme="minorEastAsia" w:hAnsiTheme="minorEastAsia" w:eastAsiaTheme="minorEastAsia" w:cstheme="minorEastAsia"/>
          <w:b/>
        </w:rPr>
      </w:pPr>
      <w:r>
        <w:rPr>
          <w:rFonts w:hint="eastAsia" w:asciiTheme="minorEastAsia" w:hAnsiTheme="minorEastAsia" w:eastAsiaTheme="minorEastAsia" w:cstheme="minorEastAsia"/>
          <w:b/>
        </w:rPr>
        <w:t xml:space="preserve">8、投诉</w:t>
      </w:r>
      <w:r/>
    </w:p>
    <w:p>
      <w:pPr>
        <w:pStyle w:val="1055"/>
        <w:ind w:firstLine="686"/>
        <w:spacing w:before="0" w:beforeAutospacing="0" w:after="0" w:afterAutospacing="0"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供应商和其他利害关系人认为本次招标活动违反法律、法规和规章规定的，有权向财政部门投诉。</w:t>
      </w:r>
      <w:r/>
    </w:p>
    <w:p>
      <w:pPr>
        <w:pStyle w:val="1055"/>
        <w:ind w:firstLine="689"/>
        <w:spacing w:before="0" w:beforeAutospacing="0" w:after="0" w:afterAutospacing="0" w:line="360" w:lineRule="auto"/>
        <w:rPr>
          <w:rFonts w:asciiTheme="minorEastAsia" w:hAnsiTheme="minorEastAsia" w:eastAsiaTheme="minorEastAsia" w:cstheme="minorEastAsia"/>
          <w:b/>
        </w:rPr>
      </w:pPr>
      <w:r>
        <w:rPr>
          <w:rFonts w:hint="eastAsia" w:asciiTheme="minorEastAsia" w:hAnsiTheme="minorEastAsia" w:eastAsiaTheme="minorEastAsia" w:cstheme="minorEastAsia"/>
          <w:b/>
        </w:rPr>
        <w:t xml:space="preserve">9、需要补充的其他内容</w:t>
      </w:r>
      <w:r/>
    </w:p>
    <w:p>
      <w:pPr>
        <w:pStyle w:val="1055"/>
        <w:ind w:firstLine="686"/>
        <w:spacing w:before="0" w:beforeAutospacing="0" w:after="0" w:afterAutospacing="0"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需要补充的其他内容：见供应商须知前附表。</w:t>
      </w:r>
      <w:r/>
    </w:p>
    <w:p>
      <w:pPr>
        <w:pStyle w:val="1055"/>
        <w:ind w:firstLine="689"/>
        <w:spacing w:before="0" w:beforeAutospacing="0" w:after="0" w:afterAutospacing="0" w:line="360" w:lineRule="auto"/>
        <w:rPr>
          <w:rFonts w:asciiTheme="minorEastAsia" w:hAnsiTheme="minorEastAsia" w:eastAsiaTheme="minorEastAsia" w:cstheme="minorEastAsia"/>
          <w:b/>
        </w:rPr>
      </w:pPr>
      <w:r>
        <w:rPr>
          <w:rFonts w:hint="eastAsia" w:asciiTheme="minorEastAsia" w:hAnsiTheme="minorEastAsia" w:eastAsiaTheme="minorEastAsia" w:cstheme="minorEastAsia"/>
          <w:b/>
        </w:rPr>
        <w:t xml:space="preserve">10、竞争性磋商文件的解释</w:t>
      </w:r>
      <w:r/>
    </w:p>
    <w:p>
      <w:pPr>
        <w:pStyle w:val="1055"/>
        <w:ind w:firstLine="686"/>
        <w:spacing w:before="0" w:beforeAutospacing="0" w:after="0" w:afterAutospacing="0"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本竞争性磋商文件的解释权属于采购人。</w:t>
      </w:r>
      <w:r/>
    </w:p>
    <w:p>
      <w:pPr>
        <w:pStyle w:val="792"/>
        <w:rPr>
          <w:rFonts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br w:type="page" w:clear="all"/>
      </w:r>
      <w:bookmarkStart w:id="20" w:name="_Toc29720"/>
      <w:r/>
      <w:bookmarkStart w:id="21" w:name="_Toc23926"/>
      <w:r>
        <w:rPr>
          <w:rFonts w:hint="eastAsia" w:asciiTheme="minorEastAsia" w:hAnsiTheme="minorEastAsia" w:eastAsiaTheme="minorEastAsia" w:cstheme="minorEastAsia"/>
          <w:sz w:val="32"/>
          <w:szCs w:val="32"/>
        </w:rPr>
        <w:t xml:space="preserve">第四章 采购需求</w:t>
      </w:r>
      <w:bookmarkEnd w:id="19"/>
      <w:r/>
      <w:bookmarkEnd w:id="20"/>
      <w:r/>
      <w:bookmarkEnd w:id="21"/>
      <w:r/>
      <w:r/>
    </w:p>
    <w:p>
      <w:pPr>
        <w:spacing w:line="360" w:lineRule="auto"/>
        <w:rPr>
          <w:rFonts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sz w:val="24"/>
        </w:rPr>
        <w:t xml:space="preserve">1．项目概况</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1）包号名称：</w:t>
      </w:r>
      <w:r>
        <w:rPr>
          <w:rFonts w:hint="eastAsia" w:asciiTheme="minorEastAsia" w:hAnsiTheme="minorEastAsia" w:eastAsiaTheme="minorEastAsia" w:cstheme="minorEastAsia"/>
          <w:sz w:val="24"/>
          <w:lang w:eastAsia="zh-CN"/>
        </w:rPr>
        <w:t xml:space="preserve">张甸镇华杨村2025年度宜居宜业和美乡村建设（市级）</w:t>
      </w:r>
      <w:r>
        <w:rPr>
          <w:rFonts w:hint="eastAsia" w:asciiTheme="minorEastAsia" w:hAnsiTheme="minorEastAsia" w:eastAsiaTheme="minorEastAsia" w:cstheme="minorEastAsia"/>
          <w:color w:val="000000"/>
          <w:sz w:val="24"/>
        </w:rPr>
        <w:t xml:space="preserve">；</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2）采购内容：</w:t>
      </w:r>
      <w:r>
        <w:rPr>
          <w:rFonts w:hint="eastAsia" w:asciiTheme="minorEastAsia" w:hAnsiTheme="minorEastAsia" w:eastAsiaTheme="minorEastAsia" w:cstheme="minorEastAsia"/>
          <w:color w:val="000000"/>
          <w:sz w:val="24"/>
          <w:lang w:val="en-US" w:eastAsia="zh-CN"/>
        </w:rPr>
        <w:t xml:space="preserve">道路建设</w:t>
      </w:r>
      <w:r>
        <w:rPr>
          <w:rFonts w:hint="eastAsia" w:asciiTheme="minorEastAsia" w:hAnsiTheme="minorEastAsia" w:eastAsiaTheme="minorEastAsia" w:cstheme="minorEastAsia"/>
          <w:color w:val="000000"/>
          <w:sz w:val="24"/>
        </w:rPr>
        <w:t xml:space="preserve">等；具体内容详见工程量清单及图纸。</w:t>
      </w:r>
      <w:r/>
    </w:p>
    <w:p>
      <w:pPr>
        <w:ind w:firstLine="480"/>
        <w:spacing w:line="360" w:lineRule="auto"/>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rPr>
        <w:t xml:space="preserve">3）供应商应自行踏勘现场，以充分了解项目位置、交通状况以及工作范围等任何足以影响其报价的情况。任何忽视或误解项目基本情况，而使采购人在项目实施过程中蒙受的损失，将</w:t>
      </w:r>
      <w:r>
        <w:rPr>
          <w:rFonts w:hint="eastAsia" w:asciiTheme="minorEastAsia" w:hAnsiTheme="minorEastAsia" w:eastAsiaTheme="minorEastAsia" w:cstheme="minorEastAsia"/>
          <w:color w:val="000000" w:themeColor="text1"/>
          <w:sz w:val="24"/>
        </w:rPr>
        <w:t xml:space="preserve">由供应商进行赔偿。施工现场实际情况：现状道路通畅；交通便利，有道路通入施工现场；环境保护要求：必须符合当地环保部门对噪音、粉尘、污水、垃圾的限制或处理要求。</w:t>
      </w:r>
      <w:r/>
    </w:p>
    <w:p>
      <w:pPr>
        <w:ind w:firstLine="480"/>
        <w:spacing w:line="360" w:lineRule="auto"/>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4）本项目承包范围为采购文件、附件范围相关的内容。供应商应根据附件内容以现场踏勘为准仔细核对工程量清单，核对内容包括清单数量、清单特征、计量单位等。</w:t>
      </w:r>
      <w:r/>
    </w:p>
    <w:p>
      <w:pPr>
        <w:ind w:firstLine="480"/>
        <w:spacing w:line="360" w:lineRule="auto"/>
        <w:rPr>
          <w:rFonts w:asciiTheme="minorEastAsia" w:hAnsiTheme="minorEastAsia" w:eastAsiaTheme="minorEastAsia" w:cstheme="minorEastAsia"/>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highlight w:val="none"/>
        </w:rPr>
        <w:t xml:space="preserve">5）工期：60日历天；施工质量要求：合格；本工程缺陷责任期2年</w:t>
      </w:r>
      <w:r>
        <w:rPr>
          <w:rFonts w:hint="eastAsia" w:asciiTheme="minorEastAsia" w:hAnsiTheme="minorEastAsia" w:cstheme="minorEastAsia"/>
          <w:color w:val="000000" w:themeColor="text1"/>
          <w:sz w:val="24"/>
          <w:highlight w:val="none"/>
        </w:rPr>
        <w:t xml:space="preserve">，</w:t>
      </w:r>
      <w:r>
        <w:rPr>
          <w:rFonts w:hint="eastAsia" w:asciiTheme="minorEastAsia" w:hAnsiTheme="minorEastAsia" w:eastAsiaTheme="minorEastAsia" w:cstheme="minorEastAsia"/>
          <w:color w:val="000000" w:themeColor="text1"/>
          <w:sz w:val="24"/>
          <w:highlight w:val="none"/>
        </w:rPr>
        <w:t xml:space="preserve">自工程竣工验收合格之日起算。</w:t>
      </w:r>
      <w:r/>
    </w:p>
    <w:p>
      <w:pPr>
        <w:ind w:firstLine="480"/>
        <w:spacing w:line="360" w:lineRule="auto"/>
        <w:rPr>
          <w:rFonts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6）成交供应商在项目施工中必须严格</w:t>
      </w:r>
      <w:r>
        <w:rPr>
          <w:rFonts w:hint="eastAsia" w:asciiTheme="minorEastAsia" w:hAnsiTheme="minorEastAsia" w:eastAsiaTheme="minorEastAsia" w:cstheme="minorEastAsia"/>
          <w:color w:val="000000"/>
          <w:sz w:val="24"/>
        </w:rPr>
        <w:t xml:space="preserve">遵守相关的法规、规范和现场采购人的规定，督促现场施工人员规范操作，采取严格有力的安全防护措施，做好安全防护工作（包括施工现场防护等），确保施工安装的人身安全，相关专业技术岗位必须持证上岗，一切安全责任均由成交人自负。</w:t>
      </w:r>
      <w:r/>
    </w:p>
    <w:p>
      <w:pPr>
        <w:ind w:firstLine="480"/>
        <w:spacing w:line="360" w:lineRule="auto"/>
        <w:rPr>
          <w:rFonts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rPr>
        <w:t xml:space="preserve">7）成交单位应做到文明施工，不得扰民，做到施工现场整洁，施工垃圾及时清运，清运手续、费用由施工方自行解决。</w:t>
      </w:r>
      <w:r/>
    </w:p>
    <w:p>
      <w:pPr>
        <w:ind w:firstLine="480"/>
        <w:spacing w:line="360" w:lineRule="auto"/>
        <w:rPr>
          <w:rFonts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rPr>
        <w:t xml:space="preserve">8）本工程所有项目在施工前都必须认真对照设计图纸结合清单描述，在得到业主和设计方确认后方可施工，否则造成的返工损失自行承担。成品必须先提交样品，得到业主和设计方确认后方可进行批量采购。</w:t>
      </w:r>
      <w:r/>
    </w:p>
    <w:p>
      <w:pPr>
        <w:ind w:firstLine="480"/>
        <w:spacing w:line="360" w:lineRule="auto"/>
        <w:rPr>
          <w:rFonts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rPr>
        <w:t xml:space="preserve">9）成交单位需积极主动地配合采购人进行相关检测及验收，原材料及配件必须符合国家环保及国家质量标准（材料进场前提供检测报告），确保通过检测和验收，若出现检测不合格或验收不合格的情况成交单位需要返工直至检测通过并且验收合格，由此导致的返工费等相关其他费用，由成交单位自行承担，并且采购人有权从工程款中扣除。</w:t>
      </w:r>
      <w:r/>
    </w:p>
    <w:p>
      <w:pPr>
        <w:ind w:firstLine="480"/>
        <w:spacing w:line="360" w:lineRule="auto"/>
        <w:rPr>
          <w:rFonts w:asciiTheme="minorEastAsia" w:hAnsiTheme="minorEastAsia" w:eastAsiaTheme="minorEastAsia" w:cstheme="minorEastAsia"/>
          <w:color w:val="000000"/>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rPr>
        <w:t xml:space="preserve">10）施工过程中，成交单位需采取措施保护现场及周边相关物品、设施等，因成交单位的不规范操作、误操作等原因造成相关设施的损坏、设备的停用等后果均由成交单位承担，由成交单位原样修复并自行承担相关费用。</w:t>
      </w:r>
      <w:r/>
    </w:p>
    <w:p>
      <w:pPr>
        <w:spacing w:line="360" w:lineRule="auto"/>
        <w:rPr>
          <w:rFonts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sz w:val="24"/>
        </w:rPr>
        <w:t xml:space="preserve">2．采购标的的所属行业：</w:t>
      </w:r>
      <w:r/>
    </w:p>
    <w:p>
      <w:pPr>
        <w:ind w:firstLine="480"/>
        <w:spacing w:line="360" w:lineRule="auto"/>
        <w:rPr>
          <w:rFonts w:asciiTheme="minorEastAsia" w:hAnsiTheme="minorEastAsia" w:eastAsiaTheme="minorEastAsia" w:cstheme="minorEastAsia"/>
          <w:color w:val="000000"/>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rPr>
        <w:t xml:space="preserve">参照《关于印发中小企业划型标准规定的通知》（工信部联企业[2011]300号）文件，本项目采购标的所属行业为</w:t>
      </w:r>
      <w:r>
        <w:rPr>
          <w:rFonts w:hint="eastAsia" w:asciiTheme="minorEastAsia" w:hAnsiTheme="minorEastAsia" w:eastAsiaTheme="minorEastAsia" w:cstheme="minorEastAsia"/>
          <w:color w:val="000000"/>
          <w:sz w:val="24"/>
          <w:u w:val="single"/>
        </w:rPr>
        <w:t xml:space="preserve">建筑业</w:t>
      </w:r>
      <w:r>
        <w:rPr>
          <w:rFonts w:hint="eastAsia" w:asciiTheme="minorEastAsia" w:hAnsiTheme="minorEastAsia" w:eastAsiaTheme="minorEastAsia" w:cstheme="minorEastAsia"/>
          <w:color w:val="000000"/>
          <w:sz w:val="24"/>
        </w:rPr>
        <w:t xml:space="preserve">。 </w:t>
      </w:r>
      <w:r/>
    </w:p>
    <w:p>
      <w:pPr>
        <w:spacing w:line="360" w:lineRule="auto"/>
        <w:rPr>
          <w:rFonts w:asciiTheme="minorEastAsia" w:hAnsiTheme="minorEastAsia" w:eastAsiaTheme="minorEastAsia" w:cstheme="minorEastAsia"/>
          <w:b/>
          <w:color w:val="000000"/>
          <w:sz w:val="24"/>
        </w:rPr>
      </w:pPr>
      <w:r>
        <w:rPr>
          <w:rFonts w:hint="eastAsia" w:asciiTheme="minorEastAsia" w:hAnsiTheme="minorEastAsia" w:eastAsiaTheme="minorEastAsia" w:cstheme="minorEastAsia"/>
          <w:b/>
          <w:color w:val="000000"/>
          <w:sz w:val="24"/>
        </w:rPr>
        <w:t xml:space="preserve">3. 结算方式：</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结算依据：后期结算仅调整经采购人批准变更(包括增加施工内容或取消部分施工项目)的相应费用增减，具体调整方式为：</w:t>
      </w:r>
      <w:r/>
    </w:p>
    <w:p>
      <w:pPr>
        <w:ind w:firstLine="480"/>
        <w:spacing w:line="360" w:lineRule="auto"/>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sz w:val="24"/>
        </w:rPr>
        <w:t xml:space="preserve">(1)涉及工程数</w:t>
      </w:r>
      <w:r>
        <w:rPr>
          <w:rFonts w:hint="eastAsia" w:asciiTheme="minorEastAsia" w:hAnsiTheme="minorEastAsia" w:eastAsiaTheme="minorEastAsia" w:cstheme="minorEastAsia"/>
          <w:color w:val="000000" w:themeColor="text1"/>
          <w:sz w:val="24"/>
        </w:rPr>
        <w:t xml:space="preserve">量减少的，以实际减少数量为准，涉及工程数量增加的，以实际增加数量为准；</w:t>
      </w:r>
      <w:r/>
    </w:p>
    <w:p>
      <w:pPr>
        <w:ind w:firstLine="480"/>
        <w:spacing w:line="360" w:lineRule="auto"/>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(2)凡涉及工程数量增减的，其价格按原清单报价进行费用的调增或调减，并按第二轮报价与第一轮报价的折扣比例结算。如有增项，工程清单未列入的内容需重新核定，按现行计价规范计算单价并按第二轮报价与招标控制价的折扣比例结算。</w:t>
      </w:r>
      <w:r/>
    </w:p>
    <w:p>
      <w:pPr>
        <w:spacing w:line="360" w:lineRule="auto"/>
        <w:rPr>
          <w:rFonts w:asciiTheme="minorEastAsia" w:hAnsiTheme="minorEastAsia" w:eastAsiaTheme="minorEastAsia" w:cstheme="minorEastAsia"/>
          <w:b/>
          <w:color w:val="000000" w:themeColor="text1"/>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z w:val="24"/>
        </w:rPr>
        <w:t xml:space="preserve">4．付款方式：</w:t>
      </w:r>
      <w:bookmarkStart w:id="22" w:name="_Toc1148"/>
      <w:r/>
      <w:bookmarkStart w:id="23" w:name="_Toc26328"/>
      <w:r/>
      <w:bookmarkStart w:id="24" w:name="_Toc25169"/>
      <w:r/>
      <w:r/>
    </w:p>
    <w:p>
      <w:pPr>
        <w:ind w:firstLine="480"/>
        <w:spacing w:line="360" w:lineRule="auto"/>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合同签订进场后付合同价的30%，工程竣工验收合格，经审计后付初审价的70%，复审后付至复审价的97%，余款保质期后付清。（此工程所涉及款项皆不计取利息）。</w:t>
      </w:r>
      <w:r/>
    </w:p>
    <w:p>
      <w:pPr>
        <w:ind w:firstLine="480"/>
        <w:spacing w:line="360" w:lineRule="auto"/>
        <w:rPr>
          <w:rFonts w:asciiTheme="minorEastAsia" w:hAnsiTheme="minorEastAsia" w:eastAsiaTheme="minorEastAsia" w:cs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成交人收款前必须提供正式发票。</w:t>
      </w:r>
      <w:r/>
    </w:p>
    <w:p>
      <w:pPr>
        <w:ind w:firstLine="480"/>
        <w:spacing w:line="360" w:lineRule="auto"/>
        <w:rPr>
          <w:rFonts w:asciiTheme="minorEastAsia" w:hAnsiTheme="minorEastAsia" w:eastAsiaTheme="minorEastAsia" w:cstheme="minorEastAsia"/>
          <w:color w:val="000000" w:themeColor="text1"/>
          <w:sz w:val="24"/>
        </w:rPr>
      </w:pPr>
      <w:r>
        <w:rPr>
          <w:rFonts w:asciiTheme="minorEastAsia" w:hAnsiTheme="minorEastAsia" w:eastAsiaTheme="minorEastAsia" w:cstheme="minorEastAsia"/>
          <w:color w:val="000000" w:themeColor="text1"/>
          <w:sz w:val="24"/>
        </w:rPr>
      </w:r>
      <w:r/>
    </w:p>
    <w:p>
      <w:pPr>
        <w:pStyle w:val="792"/>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第五章 磋 商</w:t>
      </w:r>
      <w:bookmarkEnd w:id="22"/>
      <w:r/>
      <w:bookmarkEnd w:id="23"/>
      <w:r/>
      <w:bookmarkEnd w:id="24"/>
      <w:r/>
      <w:r/>
    </w:p>
    <w:p>
      <w:pPr>
        <w:pStyle w:val="1027"/>
        <w:ind w:firstLine="480"/>
        <w:spacing w:before="0" w:after="0" w:line="360" w:lineRule="auto"/>
        <w:rPr>
          <w:rFonts w:asciiTheme="minorEastAsia" w:hAnsiTheme="minorEastAsia" w:eastAsiaTheme="minorEastAsia" w:cstheme="minorEastAsia"/>
          <w:b/>
          <w:color w:val="000000" w:themeColor="text1"/>
          <w:sz w:val="24"/>
          <w:szCs w:val="24"/>
        </w:rPr>
      </w:pPr>
      <w:r>
        <w:rPr>
          <w:rFonts w:hint="eastAsia" w:asciiTheme="minorEastAsia" w:hAnsiTheme="minorEastAsia" w:eastAsiaTheme="minorEastAsia" w:cstheme="minorEastAsia"/>
          <w:b/>
          <w:color w:val="000000" w:themeColor="text1"/>
          <w:sz w:val="24"/>
          <w:szCs w:val="24"/>
        </w:rPr>
        <w:t xml:space="preserve">1、磋商相关说明</w:t>
      </w:r>
      <w:r/>
    </w:p>
    <w:p>
      <w:pPr>
        <w:pStyle w:val="1027"/>
        <w:ind w:firstLine="480"/>
        <w:spacing w:before="0" w:after="0" w:line="360" w:lineRule="auto"/>
        <w:rPr>
          <w:rFonts w:asciiTheme="minorEastAsia" w:hAnsiTheme="minorEastAsia" w:eastAsiaTheme="minorEastAsia" w:cstheme="minorEastAsia"/>
          <w:bCs/>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(一)</w:t>
      </w:r>
      <w:r>
        <w:rPr>
          <w:rFonts w:hint="eastAsia" w:asciiTheme="minorEastAsia" w:hAnsiTheme="minorEastAsia" w:eastAsiaTheme="minorEastAsia" w:cstheme="minorEastAsia"/>
          <w:bCs/>
          <w:color w:val="000000" w:themeColor="text1"/>
          <w:sz w:val="24"/>
          <w:szCs w:val="24"/>
        </w:rPr>
        <w:t xml:space="preserve">磋商要求</w:t>
      </w:r>
      <w:r/>
    </w:p>
    <w:p>
      <w:pPr>
        <w:pStyle w:val="1027"/>
        <w:ind w:firstLine="480"/>
        <w:spacing w:before="0" w:after="0" w:line="360" w:lineRule="auto"/>
        <w:rPr>
          <w:rFonts w:asciiTheme="minorEastAsia" w:hAnsiTheme="minorEastAsia" w:eastAsiaTheme="minorEastAsia" w:cstheme="minorEastAsia"/>
          <w:bCs/>
          <w:color w:val="000000" w:themeColor="text1"/>
          <w:sz w:val="24"/>
          <w:szCs w:val="24"/>
        </w:rPr>
      </w:pPr>
      <w:r>
        <w:rPr>
          <w:rFonts w:hint="eastAsia" w:asciiTheme="minorEastAsia" w:hAnsiTheme="minorEastAsia" w:eastAsiaTheme="minorEastAsia" w:cstheme="minorEastAsia"/>
          <w:bCs/>
          <w:color w:val="000000" w:themeColor="text1"/>
          <w:sz w:val="24"/>
          <w:szCs w:val="24"/>
        </w:rPr>
        <w:t xml:space="preserve">1.被邀请参与磋商的供应商需按本竞争性磋商文件要求的截止时间、方式（地点）提交首次响应文件，同时派人通过“苏采云”系统在“开标大厅”等待磋商。</w:t>
      </w:r>
      <w:r/>
    </w:p>
    <w:p>
      <w:pPr>
        <w:pStyle w:val="1027"/>
        <w:ind w:firstLine="480"/>
        <w:spacing w:before="0" w:after="0" w:line="360" w:lineRule="auto"/>
        <w:rPr>
          <w:rFonts w:asciiTheme="minorEastAsia" w:hAnsiTheme="minorEastAsia" w:eastAsiaTheme="minorEastAsia" w:cstheme="minorEastAsia"/>
          <w:bCs/>
          <w:color w:val="000000" w:themeColor="text1"/>
          <w:sz w:val="24"/>
          <w:szCs w:val="24"/>
        </w:rPr>
      </w:pPr>
      <w:r>
        <w:rPr>
          <w:rFonts w:hint="eastAsia" w:asciiTheme="minorEastAsia" w:hAnsiTheme="minorEastAsia" w:eastAsiaTheme="minorEastAsia" w:cstheme="minorEastAsia"/>
          <w:bCs/>
          <w:color w:val="000000" w:themeColor="text1"/>
          <w:sz w:val="24"/>
          <w:szCs w:val="24"/>
        </w:rPr>
        <w:t xml:space="preserve">2.供应商可通过CA数字证书，在首次响应文件开启时间后，使用CA数字证书在规定时间内解密各自响应文件。</w:t>
      </w:r>
      <w:r/>
    </w:p>
    <w:p>
      <w:pPr>
        <w:pStyle w:val="1027"/>
        <w:ind w:firstLine="480"/>
        <w:spacing w:before="0" w:after="0" w:line="360" w:lineRule="auto"/>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3.磋商顺序按照电子标书解密先后时间进行，解密时间相同的，不分先后顺序。</w:t>
      </w:r>
      <w:r/>
    </w:p>
    <w:p>
      <w:pPr>
        <w:pStyle w:val="1027"/>
        <w:ind w:firstLine="480"/>
        <w:spacing w:before="0" w:after="0" w:line="360" w:lineRule="auto"/>
        <w:rPr>
          <w:rFonts w:asciiTheme="minorEastAsia" w:hAnsiTheme="minorEastAsia" w:eastAsiaTheme="minorEastAsia" w:cstheme="minorEastAsia"/>
          <w:bCs/>
          <w:color w:val="000000" w:themeColor="text1"/>
          <w:sz w:val="24"/>
          <w:szCs w:val="24"/>
        </w:rPr>
      </w:pPr>
      <w:r>
        <w:rPr>
          <w:rFonts w:hint="eastAsia" w:asciiTheme="minorEastAsia" w:hAnsiTheme="minorEastAsia" w:eastAsiaTheme="minorEastAsia" w:cstheme="minorEastAsia"/>
          <w:bCs/>
          <w:color w:val="000000" w:themeColor="text1"/>
          <w:sz w:val="24"/>
          <w:szCs w:val="24"/>
        </w:rPr>
        <w:t xml:space="preserve">4.未在规定时间内进行答疑澄清的，视同放弃澄清。</w:t>
      </w:r>
      <w:r/>
    </w:p>
    <w:p>
      <w:pPr>
        <w:pStyle w:val="1027"/>
        <w:ind w:firstLine="480"/>
        <w:spacing w:before="0" w:after="0" w:line="360" w:lineRule="auto"/>
        <w:rPr>
          <w:rFonts w:asciiTheme="minorEastAsia" w:hAnsiTheme="minorEastAsia" w:eastAsiaTheme="minorEastAsia" w:cstheme="minorEastAsia"/>
          <w:bCs/>
          <w:color w:val="000000" w:themeColor="text1"/>
          <w:sz w:val="24"/>
          <w:szCs w:val="24"/>
        </w:rPr>
      </w:pPr>
      <w:r>
        <w:rPr>
          <w:rFonts w:hint="eastAsia" w:asciiTheme="minorEastAsia" w:hAnsiTheme="minorEastAsia" w:eastAsiaTheme="minorEastAsia" w:cstheme="minorEastAsia"/>
          <w:bCs/>
          <w:color w:val="000000" w:themeColor="text1"/>
          <w:sz w:val="24"/>
          <w:szCs w:val="24"/>
        </w:rPr>
        <w:t xml:space="preserve">5.未在规定时间内进行报价的，视为响应无效。</w:t>
      </w:r>
      <w:r/>
    </w:p>
    <w:p>
      <w:pPr>
        <w:pStyle w:val="1027"/>
        <w:ind w:firstLine="480"/>
        <w:spacing w:before="0" w:after="0" w:line="360" w:lineRule="auto"/>
        <w:rPr>
          <w:rFonts w:asciiTheme="minorEastAsia" w:hAnsiTheme="minorEastAsia" w:eastAsiaTheme="minorEastAsia" w:cstheme="minorEastAsia"/>
          <w:bCs/>
          <w:color w:val="000000" w:themeColor="text1"/>
          <w:sz w:val="24"/>
          <w:szCs w:val="24"/>
        </w:rPr>
      </w:pPr>
      <w:r>
        <w:rPr>
          <w:rFonts w:hint="eastAsia" w:asciiTheme="minorEastAsia" w:hAnsiTheme="minorEastAsia" w:eastAsiaTheme="minorEastAsia" w:cstheme="minorEastAsia"/>
          <w:bCs/>
          <w:color w:val="000000" w:themeColor="text1"/>
          <w:sz w:val="24"/>
          <w:szCs w:val="24"/>
        </w:rPr>
        <w:t xml:space="preserve">6.被邀请参与磋商的供应商如未按上述磋商要求执行，视同放弃磋商的权利。</w:t>
      </w:r>
      <w:r/>
    </w:p>
    <w:p>
      <w:pPr>
        <w:pStyle w:val="1027"/>
        <w:ind w:firstLine="480"/>
        <w:spacing w:before="0" w:after="0" w:line="360" w:lineRule="auto"/>
        <w:rPr>
          <w:rFonts w:asciiTheme="minorEastAsia" w:hAnsiTheme="minorEastAsia" w:eastAsiaTheme="minorEastAsia" w:cstheme="minorEastAsia"/>
          <w:bCs/>
          <w:color w:val="000000" w:themeColor="text1"/>
          <w:sz w:val="24"/>
          <w:szCs w:val="24"/>
        </w:rPr>
      </w:pPr>
      <w:r>
        <w:rPr>
          <w:rFonts w:hint="eastAsia" w:asciiTheme="minorEastAsia" w:hAnsiTheme="minorEastAsia" w:eastAsiaTheme="minorEastAsia" w:cstheme="minorEastAsia"/>
          <w:b/>
          <w:color w:val="000000" w:themeColor="text1"/>
          <w:sz w:val="24"/>
          <w:szCs w:val="24"/>
        </w:rPr>
        <w:t xml:space="preserve">7.一次评审结束后，采购代理机构或采购人代表将通过苏彩云采购系统提示符合要求的投标供应商进行最后报价(二次报价)，一次评审的时长不确定，请投标供应商自行关注报价系统，在报价系统开启后的15分钟内提交最后报价(二次报价)。未能在规定时间内完成报价的供应商视为放弃投标；提交最后报价(二次报价)的供应商不得少于2家。</w:t>
      </w:r>
      <w:r/>
    </w:p>
    <w:p>
      <w:pPr>
        <w:pStyle w:val="1027"/>
        <w:ind w:firstLine="480"/>
        <w:spacing w:before="0" w:after="0" w:line="360" w:lineRule="auto"/>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（二）评审程序</w:t>
      </w:r>
      <w:r/>
    </w:p>
    <w:p>
      <w:pPr>
        <w:pStyle w:val="1027"/>
        <w:ind w:firstLine="480"/>
        <w:spacing w:before="0" w:after="0" w:line="360" w:lineRule="auto"/>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经磋商确定最终采购需求和提交最后报价的供应商后，由磋商小组采用综合评分法对提交最后报价的供应商的响应文件和最后报价进行综合评分。</w:t>
      </w:r>
      <w:r/>
    </w:p>
    <w:p>
      <w:pPr>
        <w:pStyle w:val="1027"/>
        <w:ind w:firstLine="480"/>
        <w:spacing w:before="0" w:after="0" w:line="360" w:lineRule="auto"/>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磋商小组应当根据综合评分情况，按照评审得分由高到低顺序推荐成交候选供应商，并编写评审报告。评审得分相同的，按照最后报价由低到高的顺序推荐。评审得分且最后报价相同的，按照技术方案优劣（得分）顺序推荐1名成交供应商。</w:t>
      </w:r>
      <w:r/>
    </w:p>
    <w:p>
      <w:pPr>
        <w:pStyle w:val="1027"/>
        <w:ind w:firstLine="480"/>
        <w:spacing w:before="0" w:after="0"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themeColor="text1"/>
          <w:sz w:val="24"/>
          <w:szCs w:val="24"/>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w:t>
      </w:r>
      <w:r>
        <w:rPr>
          <w:rFonts w:hint="eastAsia" w:asciiTheme="minorEastAsia" w:hAnsiTheme="minorEastAsia" w:eastAsiaTheme="minorEastAsia" w:cstheme="minorEastAsia"/>
          <w:sz w:val="24"/>
          <w:szCs w:val="24"/>
        </w:rPr>
        <w:t xml:space="preserve">其按响应无效处理。</w:t>
      </w:r>
      <w:r/>
    </w:p>
    <w:p>
      <w:pPr>
        <w:pStyle w:val="1027"/>
        <w:ind w:firstLine="480"/>
        <w:spacing w:before="0" w:after="0"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采用竞争性</w:t>
      </w:r>
      <w:r>
        <w:rPr>
          <w:rFonts w:hint="eastAsia" w:asciiTheme="minorEastAsia" w:hAnsiTheme="minorEastAsia" w:eastAsiaTheme="minorEastAsia" w:cstheme="minorEastAsia"/>
          <w:sz w:val="24"/>
          <w:szCs w:val="24"/>
        </w:rPr>
        <w:t xml:space="preserve">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pStyle w:val="1027"/>
        <w:ind w:firstLine="480"/>
        <w:spacing w:before="0" w:after="0"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1027"/>
        <w:ind w:firstLine="240"/>
        <w:spacing w:before="0" w:after="0"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(三) 查询及使用供应商信用记录</w:t>
      </w:r>
      <w:r/>
    </w:p>
    <w:p>
      <w:pPr>
        <w:pStyle w:val="1027"/>
        <w:ind w:firstLine="480"/>
        <w:spacing w:before="0" w:after="0"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1.由采购人查询信用信息。</w:t>
      </w:r>
      <w:r/>
    </w:p>
    <w:p>
      <w:pPr>
        <w:pStyle w:val="1027"/>
        <w:ind w:firstLine="480"/>
        <w:spacing w:before="0" w:after="0"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2.查询渠道：“信用中国”网（</w:t>
      </w:r>
      <w:r>
        <w:fldChar w:fldCharType="begin"/>
      </w:r>
      <w:r>
        <w:instrText xml:space="preserve"> HYPERLINK "http://www.creditchina.gov.cn/" \o "http://www.creditchina.gov.cn/" </w:instrText>
      </w:r>
      <w:r>
        <w:fldChar w:fldCharType="separate"/>
      </w:r>
      <w:r>
        <w:rPr>
          <w:rFonts w:hint="eastAsia" w:asciiTheme="minorEastAsia" w:hAnsiTheme="minorEastAsia" w:eastAsiaTheme="minorEastAsia" w:cstheme="minorEastAsia"/>
          <w:sz w:val="24"/>
          <w:szCs w:val="24"/>
        </w:rPr>
        <w:t xml:space="preserve">www.creditchina.gov.cn</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sz w:val="24"/>
          <w:szCs w:val="24"/>
        </w:rPr>
        <w:t xml:space="preserve">）；</w:t>
      </w:r>
      <w:r/>
    </w:p>
    <w:p>
      <w:pPr>
        <w:pStyle w:val="1027"/>
        <w:ind w:firstLine="480"/>
        <w:spacing w:before="0" w:after="0"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3.截止时点（查询环节）：首次响应文件开启后资格审查结束前。</w:t>
      </w:r>
      <w:r/>
    </w:p>
    <w:p>
      <w:pPr>
        <w:pStyle w:val="1027"/>
        <w:ind w:firstLine="480"/>
        <w:spacing w:before="0" w:after="0"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4.信用信息的使用规则：</w:t>
      </w:r>
      <w:r/>
    </w:p>
    <w:p>
      <w:pPr>
        <w:pStyle w:val="1027"/>
        <w:ind w:firstLine="480"/>
        <w:spacing w:before="0" w:after="0"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采购人对供应商信用记录进行甄别，对列入失信被执行人、重大税收违法失信主体、政府采购严重违法失信行为记录名单及其他不符合《中华人民共和国政府采购法》第二十二条规定条件的供应商，拒绝其参与政府采购活动。</w:t>
      </w:r>
      <w:r/>
    </w:p>
    <w:p>
      <w:pPr>
        <w:pStyle w:val="1027"/>
        <w:ind w:firstLine="478"/>
        <w:spacing w:before="0" w:after="0" w:line="360" w:lineRule="auto"/>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2、评审方法和评审标准</w:t>
      </w:r>
      <w:r/>
    </w:p>
    <w:p>
      <w:pPr>
        <w:pStyle w:val="1027"/>
        <w:ind w:firstLine="478"/>
        <w:spacing w:before="0" w:after="0"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1.评审方法：综合评分法</w:t>
      </w:r>
      <w:r/>
    </w:p>
    <w:p>
      <w:pPr>
        <w:pStyle w:val="1027"/>
        <w:ind w:left="2" w:right="29" w:firstLine="480"/>
        <w:spacing w:before="0" w:after="0"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2.评审标准：详见附表</w:t>
      </w:r>
      <w:r/>
    </w:p>
    <w:p>
      <w:pPr>
        <w:pStyle w:val="1027"/>
        <w:ind w:right="25" w:firstLine="480"/>
        <w:spacing w:before="0" w:after="0"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pStyle w:val="1027"/>
        <w:ind w:right="25" w:firstLine="480"/>
        <w:spacing w:before="0" w:after="0"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多家供应商提供的核心产品品牌相同的作为一个供应商计算，以质量和服务均能满足采购文件实质性响应要求且报价最低的供应商作为该品牌的供应商。</w:t>
      </w:r>
      <w:r/>
    </w:p>
    <w:p>
      <w:pPr>
        <w:pStyle w:val="1027"/>
        <w:ind w:left="2" w:right="29" w:firstLine="480"/>
        <w:spacing w:before="0" w:after="0"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4.磋商过程中可能实质性变动的内容：在磋商过程中，磋商小组可以根据《磋商文件》和磋商情况实质性变动采购需求中的技术、服务要求以及合同草案条款。</w:t>
      </w:r>
      <w:r/>
    </w:p>
    <w:p>
      <w:pPr>
        <w:pStyle w:val="1027"/>
        <w:ind w:left="2" w:right="29" w:firstLine="480"/>
        <w:spacing w:before="0" w:after="0"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1027"/>
        <w:ind w:left="2" w:right="29" w:firstLine="480"/>
        <w:spacing w:before="0" w:after="0"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1029"/>
        <w:jc w:val="center"/>
        <w:spacing w:line="400" w:lineRule="exact"/>
        <w:rPr>
          <w:rFonts w:asciiTheme="minorEastAsia" w:hAnsiTheme="minorEastAsia" w:eastAsiaTheme="minorEastAsia" w:cstheme="minorEastAsia"/>
          <w:b/>
          <w:bCs/>
          <w:sz w:val="28"/>
          <w:szCs w:val="28"/>
          <w:lang w:val="zh-CN"/>
        </w:rPr>
      </w:pPr>
      <w:r>
        <w:rPr>
          <w:rFonts w:hint="eastAsia" w:asciiTheme="minorEastAsia" w:hAnsiTheme="minorEastAsia" w:eastAsiaTheme="minorEastAsia" w:cstheme="minorEastAsia"/>
          <w:b/>
          <w:bCs/>
          <w:sz w:val="28"/>
          <w:szCs w:val="28"/>
          <w:lang w:val="zh-CN"/>
        </w:rPr>
        <w:br w:type="page" w:clear="all"/>
      </w:r>
      <w:r>
        <w:rPr>
          <w:rFonts w:hint="eastAsia" w:asciiTheme="minorEastAsia" w:hAnsiTheme="minorEastAsia" w:eastAsiaTheme="minorEastAsia" w:cstheme="minorEastAsia"/>
          <w:b/>
          <w:bCs/>
          <w:sz w:val="28"/>
          <w:szCs w:val="28"/>
          <w:lang w:val="zh-CN"/>
        </w:rPr>
        <w:t xml:space="preserve">评标内容及标准</w:t>
      </w:r>
      <w:r/>
    </w:p>
    <w:tbl>
      <w:tblPr>
        <w:tblStyle w:val="733"/>
        <w:tblW w:w="525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588"/>
        <w:gridCol w:w="1219"/>
        <w:gridCol w:w="7643"/>
        <w:gridCol w:w="588"/>
      </w:tblGrid>
      <w:tr>
        <w:trPr>
          <w:jc w:val="center"/>
          <w:trHeight w:val="337"/>
        </w:trPr>
        <w:tc>
          <w:tcPr>
            <w:tcW w:w="293" w:type="pct"/>
            <w:textDirection w:val="lrTb"/>
            <w:noWrap/>
          </w:tcPr>
          <w:p>
            <w:pPr>
              <w:jc w:val="center"/>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b/>
                <w:bCs/>
                <w:szCs w:val="21"/>
                <w:lang w:val="zh-CN"/>
              </w:rPr>
              <w:t xml:space="preserve">序号</w:t>
            </w:r>
            <w:r/>
          </w:p>
        </w:tc>
        <w:tc>
          <w:tcPr>
            <w:tcW w:w="607" w:type="pct"/>
            <w:textDirection w:val="lrTb"/>
            <w:noWrap/>
          </w:tcPr>
          <w:p>
            <w:pPr>
              <w:jc w:val="center"/>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b/>
                <w:bCs/>
                <w:szCs w:val="21"/>
                <w:lang w:val="zh-CN"/>
              </w:rPr>
              <w:t xml:space="preserve">评分因素</w:t>
            </w:r>
            <w:r/>
          </w:p>
        </w:tc>
        <w:tc>
          <w:tcPr>
            <w:tcW w:w="3806" w:type="pct"/>
            <w:textDirection w:val="lrTb"/>
            <w:noWrap/>
          </w:tcPr>
          <w:p>
            <w:pPr>
              <w:jc w:val="center"/>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b/>
                <w:bCs/>
                <w:szCs w:val="21"/>
                <w:lang w:val="zh-CN"/>
              </w:rPr>
              <w:t xml:space="preserve">评审标准</w:t>
            </w:r>
            <w:r/>
          </w:p>
        </w:tc>
        <w:tc>
          <w:tcPr>
            <w:tcW w:w="293" w:type="pct"/>
            <w:textDirection w:val="lrTb"/>
            <w:noWrap/>
          </w:tcPr>
          <w:p>
            <w:pPr>
              <w:jc w:val="center"/>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b/>
                <w:bCs/>
                <w:szCs w:val="21"/>
                <w:lang w:val="zh-CN"/>
              </w:rPr>
              <w:t xml:space="preserve">分值</w:t>
            </w:r>
            <w:r/>
          </w:p>
        </w:tc>
      </w:tr>
      <w:tr>
        <w:trPr>
          <w:jc w:val="center"/>
          <w:trHeight w:val="1553"/>
        </w:trPr>
        <w:tc>
          <w:tcPr>
            <w:tcW w:w="293" w:type="pct"/>
            <w:vAlign w:val="center"/>
            <w:textDirection w:val="lrTb"/>
            <w:noWrap/>
          </w:tcPr>
          <w:p>
            <w:pPr>
              <w:pStyle w:val="1028"/>
              <w:jc w:val="center"/>
              <w:spacing w:line="32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w:t>
            </w:r>
            <w:r/>
          </w:p>
        </w:tc>
        <w:tc>
          <w:tcPr>
            <w:tcW w:w="607" w:type="pct"/>
            <w:vAlign w:val="center"/>
            <w:textDirection w:val="lrTb"/>
            <w:noWrap/>
          </w:tcPr>
          <w:p>
            <w:pPr>
              <w:pStyle w:val="1028"/>
              <w:ind w:right="110"/>
              <w:jc w:val="center"/>
              <w:spacing w:line="32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价格分</w:t>
            </w:r>
            <w:r/>
          </w:p>
        </w:tc>
        <w:tc>
          <w:tcPr>
            <w:tcW w:w="3806" w:type="pct"/>
            <w:vAlign w:val="center"/>
            <w:textDirection w:val="lrTb"/>
            <w:noWrap/>
          </w:tcPr>
          <w:p>
            <w:pPr>
              <w:jc w:val="left"/>
              <w:spacing w:line="3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价格分统一采用低价优先法计算，即满足磋商文件要求且最后报价最低的供应商的价格为磋商基准价，其价格分为满分。</w:t>
            </w:r>
            <w:r/>
          </w:p>
          <w:p>
            <w:pPr>
              <w:jc w:val="left"/>
              <w:spacing w:line="3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其他供应商的价格分统一按照下列公式计算：磋商报价得分=（磋商基准价/最后磋商报价）×40。</w:t>
            </w:r>
            <w:r/>
          </w:p>
          <w:p>
            <w:pPr>
              <w:pStyle w:val="774"/>
              <w:ind w:left="0" w:firstLine="0"/>
              <w:spacing w:after="0" w:line="3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b/>
                <w:szCs w:val="21"/>
              </w:rPr>
              <w:t xml:space="preserve">本项目专门面向中小企业，不再执行价格评审优惠的扶持政策。</w:t>
            </w:r>
            <w:r/>
          </w:p>
        </w:tc>
        <w:tc>
          <w:tcPr>
            <w:tcW w:w="293" w:type="pct"/>
            <w:vAlign w:val="center"/>
            <w:textDirection w:val="lrTb"/>
            <w:noWrap/>
          </w:tcPr>
          <w:p>
            <w:pPr>
              <w:jc w:val="cente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zh-CN"/>
              </w:rPr>
              <w:t xml:space="preserve">40</w:t>
            </w:r>
            <w:r/>
          </w:p>
        </w:tc>
      </w:tr>
      <w:tr>
        <w:trPr>
          <w:jc w:val="center"/>
          <w:trHeight w:val="1252"/>
        </w:trPr>
        <w:tc>
          <w:tcPr>
            <w:tcW w:w="293" w:type="pct"/>
            <w:vAlign w:val="center"/>
            <w:textDirection w:val="lrTb"/>
            <w:noWrap/>
          </w:tcPr>
          <w:p>
            <w:pPr>
              <w:pStyle w:val="1028"/>
              <w:jc w:val="center"/>
              <w:spacing w:line="32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w:t>
            </w:r>
            <w:r/>
          </w:p>
        </w:tc>
        <w:tc>
          <w:tcPr>
            <w:tcW w:w="607" w:type="pct"/>
            <w:vAlign w:val="center"/>
            <w:textDirection w:val="lrTb"/>
            <w:noWrap/>
          </w:tcPr>
          <w:p>
            <w:pPr>
              <w:pStyle w:val="1028"/>
              <w:ind w:right="110"/>
              <w:jc w:val="center"/>
              <w:spacing w:line="32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供应商业绩</w:t>
            </w:r>
            <w:r/>
          </w:p>
        </w:tc>
        <w:tc>
          <w:tcPr>
            <w:tcW w:w="3806" w:type="pct"/>
            <w:vAlign w:val="center"/>
            <w:textDirection w:val="lrTb"/>
            <w:noWrap/>
          </w:tcPr>
          <w:p>
            <w:pPr>
              <w:spacing w:line="300" w:lineRule="exact"/>
              <w:rPr>
                <w:szCs w:val="21"/>
              </w:rPr>
            </w:pPr>
            <w:r>
              <w:rPr>
                <w:rFonts w:hint="eastAsia"/>
                <w:szCs w:val="21"/>
              </w:rPr>
              <w:t xml:space="preserve">供应商自2022年1月1日以来承担过类似工程的业绩，业绩时间以竣工验收证明上的验收时间为准，且竣工验收证明至少加盖建设单位、设计单位、监理单位和施工单位四方单位公章。</w:t>
            </w:r>
            <w:r/>
          </w:p>
          <w:p>
            <w:pPr>
              <w:spacing w:line="300" w:lineRule="exact"/>
              <w:rPr>
                <w:szCs w:val="21"/>
              </w:rPr>
            </w:pPr>
            <w:r>
              <w:rPr>
                <w:rFonts w:hint="eastAsia"/>
                <w:szCs w:val="21"/>
              </w:rPr>
              <w:t xml:space="preserve">每有一个业绩得2分，本项最高得10分。</w:t>
            </w:r>
            <w:r/>
          </w:p>
          <w:p>
            <w:pPr>
              <w:spacing w:line="300" w:lineRule="exact"/>
              <w:rPr>
                <w:rFonts w:asciiTheme="minorEastAsia" w:hAnsiTheme="minorEastAsia" w:eastAsiaTheme="minorEastAsia" w:cstheme="minorEastAsia"/>
                <w:szCs w:val="21"/>
              </w:rPr>
            </w:pPr>
            <w:r>
              <w:rPr>
                <w:rFonts w:hint="eastAsia"/>
                <w:szCs w:val="21"/>
              </w:rPr>
              <w:t xml:space="preserve">注：投标人须同时提供中标通知书、合同及竣工验收证明，以上资料的复印件加盖公章。提供的证明材料必须能够有效反映相关数据，否则视作未提供，未提供或提供不全不得分。</w:t>
            </w:r>
            <w:r/>
          </w:p>
        </w:tc>
        <w:tc>
          <w:tcPr>
            <w:tcW w:w="293" w:type="pct"/>
            <w:vAlign w:val="center"/>
            <w:textDirection w:val="lrTb"/>
            <w:noWrap/>
          </w:tcPr>
          <w:p>
            <w:pPr>
              <w:jc w:val="cente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zh-CN"/>
              </w:rPr>
              <w:t xml:space="preserve">10</w:t>
            </w:r>
            <w:r/>
          </w:p>
        </w:tc>
      </w:tr>
      <w:tr>
        <w:trPr>
          <w:jc w:val="center"/>
          <w:trHeight w:val="1449"/>
        </w:trPr>
        <w:tc>
          <w:tcPr>
            <w:shd w:val="clear" w:color="auto" w:fill="auto"/>
            <w:tcW w:w="293" w:type="pct"/>
            <w:vAlign w:val="center"/>
            <w:textDirection w:val="lrTb"/>
            <w:noWrap/>
          </w:tcPr>
          <w:p>
            <w:pPr>
              <w:pStyle w:val="1028"/>
              <w:jc w:val="center"/>
              <w:spacing w:line="32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w:t>
            </w:r>
            <w:r/>
          </w:p>
        </w:tc>
        <w:tc>
          <w:tcPr>
            <w:shd w:val="clear" w:color="auto" w:fill="auto"/>
            <w:tcW w:w="607" w:type="pct"/>
            <w:vAlign w:val="center"/>
            <w:textDirection w:val="lrTb"/>
            <w:noWrap/>
          </w:tcPr>
          <w:p>
            <w:pPr>
              <w:pStyle w:val="1028"/>
              <w:ind w:right="110"/>
              <w:jc w:val="center"/>
              <w:spacing w:line="320" w:lineRule="exact"/>
              <w:rPr>
                <w:rFonts w:asciiTheme="minorEastAsia" w:hAnsiTheme="minorEastAsia" w:eastAsiaTheme="minorEastAsia" w:cstheme="minorEastAsia"/>
                <w:szCs w:val="21"/>
                <w:lang w:val="en-US"/>
              </w:rPr>
            </w:pPr>
            <w:r>
              <w:rPr>
                <w:rFonts w:hint="eastAsia" w:asciiTheme="minorEastAsia" w:hAnsiTheme="minorEastAsia" w:eastAsiaTheme="minorEastAsia" w:cstheme="minorEastAsia"/>
                <w:szCs w:val="21"/>
                <w:lang w:val="en-US"/>
              </w:rPr>
              <w:t xml:space="preserve">企业综合实力</w:t>
            </w:r>
            <w:r/>
          </w:p>
        </w:tc>
        <w:tc>
          <w:tcPr>
            <w:shd w:val="clear" w:color="auto" w:fill="auto"/>
            <w:tcW w:w="3806" w:type="pct"/>
            <w:vAlign w:val="center"/>
            <w:textDirection w:val="lrTb"/>
            <w:noWrap/>
          </w:tcPr>
          <w:p>
            <w:pPr>
              <w:spacing w:line="3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企业具有质量管理体系认证证书，得1分；具有环境管理体系认证证书的，得1分；具有职业健康安全管理体系认证证书的，得1分。所有证书均在有效期内。</w:t>
            </w:r>
            <w:r/>
          </w:p>
          <w:p>
            <w:pPr>
              <w:spacing w:line="300" w:lineRule="exact"/>
              <w:rPr>
                <w:rFonts w:asciiTheme="minorEastAsia" w:hAnsiTheme="minorEastAsia" w:eastAsiaTheme="minorEastAsia" w:cstheme="minorEastAsia"/>
                <w:b/>
                <w:bCs/>
                <w:szCs w:val="21"/>
              </w:rPr>
            </w:pPr>
            <w:r>
              <w:rPr>
                <w:rFonts w:hint="eastAsia" w:asciiTheme="minorEastAsia" w:hAnsiTheme="minorEastAsia" w:eastAsiaTheme="minorEastAsia" w:cstheme="minorEastAsia"/>
                <w:szCs w:val="21"/>
              </w:rPr>
              <w:t xml:space="preserve">提供相应证书复印件加盖公章扫描上传，未提供不得分。</w:t>
            </w:r>
            <w:r/>
          </w:p>
        </w:tc>
        <w:tc>
          <w:tcPr>
            <w:shd w:val="clear" w:color="auto" w:fill="auto"/>
            <w:tcW w:w="293" w:type="pct"/>
            <w:vAlign w:val="center"/>
            <w:textDirection w:val="lrTb"/>
            <w:noWrap/>
          </w:tcPr>
          <w:p>
            <w:pPr>
              <w:jc w:val="center"/>
              <w:spacing w:line="360" w:lineRule="auto"/>
              <w:rPr>
                <w:rFonts w:asciiTheme="minorEastAsia" w:hAnsiTheme="minorEastAsia" w:eastAsiaTheme="minorEastAsia" w:cstheme="minorEastAsia"/>
                <w:szCs w:val="21"/>
                <w:lang w:bidi="zh-CN"/>
              </w:rPr>
            </w:pPr>
            <w:r>
              <w:rPr>
                <w:rFonts w:hint="eastAsia" w:asciiTheme="minorEastAsia" w:hAnsiTheme="minorEastAsia" w:eastAsiaTheme="minorEastAsia" w:cstheme="minorEastAsia"/>
                <w:szCs w:val="21"/>
                <w:lang w:bidi="zh-CN"/>
              </w:rPr>
              <w:t xml:space="preserve">3</w:t>
            </w:r>
            <w:r/>
          </w:p>
        </w:tc>
      </w:tr>
      <w:tr>
        <w:trPr>
          <w:jc w:val="center"/>
          <w:trHeight w:val="2469"/>
        </w:trPr>
        <w:tc>
          <w:tcPr>
            <w:tcW w:w="293" w:type="pct"/>
            <w:vAlign w:val="center"/>
            <w:textDirection w:val="lrTb"/>
            <w:noWrap/>
          </w:tcPr>
          <w:p>
            <w:pPr>
              <w:pStyle w:val="1028"/>
              <w:jc w:val="center"/>
              <w:spacing w:before="1" w:line="32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val="en-US"/>
              </w:rPr>
              <w:t xml:space="preserve">4</w:t>
            </w:r>
            <w:r/>
          </w:p>
        </w:tc>
        <w:tc>
          <w:tcPr>
            <w:tcW w:w="607" w:type="pct"/>
            <w:vAlign w:val="center"/>
            <w:textDirection w:val="lrTb"/>
            <w:noWrap/>
          </w:tcPr>
          <w:p>
            <w:pPr>
              <w:pStyle w:val="1028"/>
              <w:ind w:right="110"/>
              <w:jc w:val="center"/>
              <w:spacing w:line="320" w:lineRule="exact"/>
              <w:rPr>
                <w:rFonts w:asciiTheme="minorEastAsia" w:hAnsiTheme="minorEastAsia" w:eastAsiaTheme="minorEastAsia" w:cstheme="minorEastAsia"/>
                <w:szCs w:val="21"/>
                <w:lang w:val="en-US"/>
              </w:rPr>
            </w:pPr>
            <w:r>
              <w:rPr>
                <w:rFonts w:hint="eastAsia" w:asciiTheme="minorEastAsia" w:hAnsiTheme="minorEastAsia" w:eastAsiaTheme="minorEastAsia" w:cstheme="minorEastAsia"/>
                <w:szCs w:val="21"/>
                <w:lang w:val="en-US"/>
              </w:rPr>
              <w:t xml:space="preserve">项目管理机构</w:t>
            </w:r>
            <w:r/>
          </w:p>
        </w:tc>
        <w:tc>
          <w:tcPr>
            <w:tcW w:w="3806" w:type="pct"/>
            <w:vAlign w:val="center"/>
            <w:textDirection w:val="lrTb"/>
            <w:noWrap/>
          </w:tcPr>
          <w:p>
            <w:pPr>
              <w:pStyle w:val="774"/>
              <w:ind w:left="0" w:firstLine="0"/>
              <w:spacing w:after="0" w:line="3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供应商拟派项目负责人具备工程类相关专业中级工程师及以上职称的得2分，没有不得分；</w:t>
            </w:r>
            <w:r/>
          </w:p>
          <w:p>
            <w:pPr>
              <w:pStyle w:val="774"/>
              <w:ind w:left="0" w:firstLine="0"/>
              <w:spacing w:after="0" w:line="3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供应商拟派项目技术负责人具备工程类相关专业高级工程师及以上职称的得3分，没有不得分。</w:t>
            </w:r>
            <w:r/>
          </w:p>
          <w:p>
            <w:pPr>
              <w:pStyle w:val="774"/>
              <w:ind w:left="0" w:firstLine="0"/>
              <w:spacing w:after="0" w:line="3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注：1.项目负责人与技术负责人不可为同一人。2.提供供应商为上述人员缴纳近3个月任意一个月社保缴纳凭证或缴款证明及职称证书复印件并加盖供应商公章，未提供不得分。</w:t>
            </w:r>
            <w:r/>
          </w:p>
        </w:tc>
        <w:tc>
          <w:tcPr>
            <w:tcW w:w="293" w:type="pct"/>
            <w:vAlign w:val="center"/>
            <w:textDirection w:val="lrTb"/>
            <w:noWrap/>
          </w:tcPr>
          <w:p>
            <w:pPr>
              <w:jc w:val="cente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zh-CN"/>
              </w:rPr>
              <w:t xml:space="preserve">5</w:t>
            </w:r>
            <w:r/>
          </w:p>
        </w:tc>
      </w:tr>
      <w:tr>
        <w:trPr>
          <w:jc w:val="center"/>
          <w:trHeight w:val="2469"/>
        </w:trPr>
        <w:tc>
          <w:tcPr>
            <w:tcW w:w="293" w:type="pct"/>
            <w:vAlign w:val="center"/>
            <w:textDirection w:val="lrTb"/>
            <w:noWrap/>
          </w:tcPr>
          <w:p>
            <w:pPr>
              <w:pStyle w:val="1028"/>
              <w:jc w:val="center"/>
              <w:spacing w:before="1" w:line="320" w:lineRule="exact"/>
              <w:rPr>
                <w:rFonts w:asciiTheme="minorEastAsia" w:hAnsiTheme="minorEastAsia" w:eastAsiaTheme="minorEastAsia" w:cstheme="minorEastAsia"/>
                <w:szCs w:val="21"/>
                <w:lang w:val="en-US"/>
              </w:rPr>
            </w:pPr>
            <w:r>
              <w:rPr>
                <w:rFonts w:hint="eastAsia" w:asciiTheme="minorEastAsia" w:hAnsiTheme="minorEastAsia" w:eastAsiaTheme="minorEastAsia" w:cstheme="minorEastAsia"/>
                <w:szCs w:val="21"/>
                <w:lang w:val="en-US"/>
              </w:rPr>
              <w:t xml:space="preserve">5</w:t>
            </w:r>
            <w:r/>
          </w:p>
        </w:tc>
        <w:tc>
          <w:tcPr>
            <w:tcW w:w="1219" w:type="dxa"/>
            <w:vAlign w:val="center"/>
            <w:textDirection w:val="lrTb"/>
            <w:noWrap/>
          </w:tcPr>
          <w:p>
            <w:pPr>
              <w:pStyle w:val="1028"/>
              <w:ind w:right="110"/>
              <w:jc w:val="center"/>
              <w:spacing w:line="320" w:lineRule="exact"/>
              <w:rPr>
                <w:rFonts w:asciiTheme="minorEastAsia" w:hAnsiTheme="minorEastAsia" w:eastAsiaTheme="minorEastAsia" w:cstheme="minorEastAsia"/>
                <w:szCs w:val="21"/>
                <w:lang w:val="en-US"/>
              </w:rPr>
            </w:pPr>
            <w:r>
              <w:rPr>
                <w:rFonts w:hint="eastAsia" w:asciiTheme="minorEastAsia" w:hAnsiTheme="minorEastAsia" w:eastAsiaTheme="minorEastAsia" w:cstheme="minorEastAsia"/>
                <w:szCs w:val="21"/>
                <w:lang w:val="en-US"/>
              </w:rPr>
              <w:t xml:space="preserve">总体概述：包括但不限于针对本工程的概述、总体安排及施工段划分等的评定</w:t>
            </w:r>
            <w:r/>
          </w:p>
        </w:tc>
        <w:tc>
          <w:tcPr>
            <w:tcW w:w="7641" w:type="dxa"/>
            <w:vAlign w:val="center"/>
            <w:textDirection w:val="lrTb"/>
            <w:noWrap/>
          </w:tcPr>
          <w:p>
            <w:pPr>
              <w:spacing w:line="3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总体概述：包括但不限于针对本工程的概述、总体安排及施工段划分等的评定。</w:t>
            </w:r>
            <w:r/>
          </w:p>
          <w:p>
            <w:pPr>
              <w:spacing w:line="3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概述详细，组织机构健全，总体安排科学，方案考虑周全，有合理化建议等的得7分；</w:t>
            </w:r>
            <w:r/>
          </w:p>
          <w:p>
            <w:pPr>
              <w:spacing w:line="3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概述较为详细，总体安排可行，方案考虑比较细致，能满足项目实施需要的得5分；</w:t>
            </w:r>
            <w:r/>
          </w:p>
          <w:p>
            <w:pPr>
              <w:spacing w:line="3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整体概述（方案）总体安排较可行，方案考虑一般，但能满足项目实施需要的得3分；</w:t>
            </w:r>
            <w:r/>
          </w:p>
          <w:p>
            <w:pPr>
              <w:spacing w:line="3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整体概述（方案）没有针对性，对于项目实施可操作性较弱的得1分；</w:t>
            </w:r>
            <w:r/>
          </w:p>
          <w:p>
            <w:pPr>
              <w:spacing w:line="300" w:lineRule="exact"/>
              <w:rPr>
                <w:rFonts w:asciiTheme="minorEastAsia" w:hAnsiTheme="minorEastAsia" w:eastAsiaTheme="minorEastAsia" w:cstheme="minorEastAsia"/>
                <w:b/>
                <w:bCs/>
                <w:szCs w:val="21"/>
              </w:rPr>
            </w:pPr>
            <w:r>
              <w:rPr>
                <w:rFonts w:hint="eastAsia" w:asciiTheme="minorEastAsia" w:hAnsiTheme="minorEastAsia" w:eastAsiaTheme="minorEastAsia" w:cstheme="minorEastAsia"/>
                <w:szCs w:val="21"/>
              </w:rPr>
              <w:t xml:space="preserve">未有相应内容描述的不得分。</w:t>
            </w:r>
            <w:r/>
          </w:p>
        </w:tc>
        <w:tc>
          <w:tcPr>
            <w:tcW w:w="589" w:type="dxa"/>
            <w:vAlign w:val="center"/>
            <w:textDirection w:val="lrTb"/>
            <w:noWrap/>
          </w:tcPr>
          <w:p>
            <w:pPr>
              <w:jc w:val="center"/>
              <w:spacing w:line="360" w:lineRule="auto"/>
              <w:rPr>
                <w:rFonts w:asciiTheme="minorEastAsia" w:hAnsiTheme="minorEastAsia" w:eastAsiaTheme="minorEastAsia" w:cstheme="minorEastAsia"/>
                <w:szCs w:val="21"/>
                <w:lang w:bidi="zh-CN"/>
              </w:rPr>
            </w:pPr>
            <w:r>
              <w:rPr>
                <w:rFonts w:hint="eastAsia" w:asciiTheme="minorEastAsia" w:hAnsiTheme="minorEastAsia" w:eastAsiaTheme="minorEastAsia" w:cstheme="minorEastAsia"/>
                <w:color w:val="000000" w:themeColor="text1"/>
                <w:szCs w:val="21"/>
                <w:lang w:bidi="zh-CN"/>
              </w:rPr>
              <w:t xml:space="preserve">7</w:t>
            </w:r>
            <w:r/>
          </w:p>
        </w:tc>
      </w:tr>
      <w:tr>
        <w:trPr>
          <w:jc w:val="center"/>
          <w:trHeight w:val="646"/>
        </w:trPr>
        <w:tc>
          <w:tcPr>
            <w:tcW w:w="293" w:type="pct"/>
            <w:vAlign w:val="center"/>
            <w:textDirection w:val="lrTb"/>
            <w:noWrap/>
          </w:tcPr>
          <w:p>
            <w:pPr>
              <w:pStyle w:val="1028"/>
              <w:jc w:val="center"/>
              <w:spacing w:before="1" w:line="320" w:lineRule="exact"/>
              <w:rPr>
                <w:rFonts w:asciiTheme="minorEastAsia" w:hAnsiTheme="minorEastAsia" w:eastAsiaTheme="minorEastAsia" w:cstheme="minorEastAsia"/>
                <w:szCs w:val="21"/>
                <w:lang w:val="en-US"/>
              </w:rPr>
            </w:pPr>
            <w:r>
              <w:rPr>
                <w:rFonts w:hint="eastAsia" w:asciiTheme="minorEastAsia" w:hAnsiTheme="minorEastAsia" w:eastAsiaTheme="minorEastAsia" w:cstheme="minorEastAsia"/>
                <w:szCs w:val="21"/>
                <w:lang w:val="en-US"/>
              </w:rPr>
              <w:t xml:space="preserve">6</w:t>
            </w:r>
            <w:r/>
          </w:p>
        </w:tc>
        <w:tc>
          <w:tcPr>
            <w:tcW w:w="1219"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施工质量保证措施</w:t>
            </w:r>
            <w:r/>
          </w:p>
        </w:tc>
        <w:tc>
          <w:tcPr>
            <w:tcW w:w="7641" w:type="dxa"/>
            <w:vAlign w:val="center"/>
            <w:textDirection w:val="lrTb"/>
            <w:noWrap/>
          </w:tcPr>
          <w:p>
            <w:pPr>
              <w:spacing w:line="3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施工质量控制措施、质量保证体系及分部分项工程施工过程质量控制措施内容详细合理、保证措施完整可靠、操作性强的得10分；</w:t>
            </w:r>
            <w:r/>
          </w:p>
          <w:p>
            <w:pPr>
              <w:spacing w:line="3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施工质量控制措施、质量保证体系及分部分项工程施工过程质量控制措施内容较详细合理、保证措施较完整可靠、操作性较强的得7分；</w:t>
            </w:r>
            <w:r/>
          </w:p>
          <w:p>
            <w:pPr>
              <w:spacing w:line="3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施工质量控制措施、质量保证体系及分部分项工程施工过程质量控制措施内容一般、保证措施一般、操作性一般的得4分；</w:t>
            </w:r>
            <w:r/>
          </w:p>
          <w:p>
            <w:pPr>
              <w:spacing w:line="3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施工质量控制措施、质量保证体系及分部分项工程施工过程质量控制措施内容不详细、保证措施不可靠、操作性不强的得1分；</w:t>
            </w:r>
            <w:r/>
          </w:p>
          <w:p>
            <w:pPr>
              <w:spacing w:line="300" w:lineRule="exact"/>
              <w:rPr>
                <w:rFonts w:asciiTheme="minorEastAsia" w:hAnsiTheme="minorEastAsia" w:eastAsiaTheme="minorEastAsia" w:cstheme="minorEastAsia"/>
                <w:b/>
                <w:bCs/>
                <w:szCs w:val="21"/>
              </w:rPr>
            </w:pPr>
            <w:r>
              <w:rPr>
                <w:rFonts w:hint="eastAsia" w:asciiTheme="minorEastAsia" w:hAnsiTheme="minorEastAsia" w:eastAsiaTheme="minorEastAsia" w:cstheme="minorEastAsia"/>
                <w:szCs w:val="21"/>
              </w:rPr>
              <w:t xml:space="preserve">未提供不得分。</w:t>
            </w:r>
            <w:r/>
          </w:p>
        </w:tc>
        <w:tc>
          <w:tcPr>
            <w:tcW w:w="589" w:type="dxa"/>
            <w:vAlign w:val="center"/>
            <w:textDirection w:val="lrTb"/>
            <w:noWrap/>
          </w:tcPr>
          <w:p>
            <w:pPr>
              <w:jc w:val="center"/>
              <w:spacing w:line="360" w:lineRule="auto"/>
              <w:rPr>
                <w:rFonts w:asciiTheme="minorEastAsia" w:hAnsiTheme="minorEastAsia" w:eastAsiaTheme="minorEastAsia" w:cstheme="minorEastAsia"/>
                <w:szCs w:val="21"/>
                <w:lang w:bidi="zh-CN"/>
              </w:rPr>
            </w:pPr>
            <w:r>
              <w:rPr>
                <w:rFonts w:hint="eastAsia" w:asciiTheme="minorEastAsia" w:hAnsiTheme="minorEastAsia" w:eastAsiaTheme="minorEastAsia" w:cstheme="minorEastAsia"/>
                <w:color w:val="000000" w:themeColor="text1"/>
                <w:szCs w:val="21"/>
                <w:lang w:bidi="zh-CN"/>
              </w:rPr>
              <w:t xml:space="preserve">10</w:t>
            </w:r>
            <w:r/>
          </w:p>
        </w:tc>
      </w:tr>
      <w:tr>
        <w:trPr>
          <w:jc w:val="center"/>
          <w:trHeight w:val="2469"/>
        </w:trPr>
        <w:tc>
          <w:tcPr>
            <w:tcW w:w="293" w:type="pct"/>
            <w:vAlign w:val="center"/>
            <w:textDirection w:val="lrTb"/>
            <w:noWrap/>
          </w:tcPr>
          <w:p>
            <w:pPr>
              <w:pStyle w:val="1028"/>
              <w:jc w:val="center"/>
              <w:spacing w:before="1" w:line="320" w:lineRule="exact"/>
              <w:rPr>
                <w:rFonts w:asciiTheme="minorEastAsia" w:hAnsiTheme="minorEastAsia" w:eastAsiaTheme="minorEastAsia" w:cstheme="minorEastAsia"/>
                <w:szCs w:val="21"/>
                <w:lang w:val="en-US"/>
              </w:rPr>
            </w:pPr>
            <w:r>
              <w:rPr>
                <w:rFonts w:hint="eastAsia" w:asciiTheme="minorEastAsia" w:hAnsiTheme="minorEastAsia" w:eastAsiaTheme="minorEastAsia" w:cstheme="minorEastAsia"/>
                <w:szCs w:val="21"/>
                <w:lang w:val="en-US"/>
              </w:rPr>
              <w:t xml:space="preserve">7</w:t>
            </w:r>
            <w:r/>
          </w:p>
        </w:tc>
        <w:tc>
          <w:tcPr>
            <w:tcW w:w="1219"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安全文明施工和环境保护措施</w:t>
            </w:r>
            <w:r/>
          </w:p>
        </w:tc>
        <w:tc>
          <w:tcPr>
            <w:tcW w:w="7641" w:type="dxa"/>
            <w:vAlign w:val="center"/>
            <w:textDirection w:val="lrTb"/>
            <w:noWrap/>
          </w:tcPr>
          <w:p>
            <w:pPr>
              <w:spacing w:line="300" w:lineRule="exact"/>
              <w:rPr>
                <w:rFonts w:asciiTheme="minorEastAsia" w:hAnsiTheme="minorEastAsia" w:eastAsiaTheme="minorEastAsia" w:cstheme="minorEastAsia"/>
                <w:b/>
                <w:bCs/>
                <w:szCs w:val="21"/>
              </w:rPr>
            </w:pPr>
            <w:r>
              <w:rPr>
                <w:rFonts w:hint="eastAsia" w:asciiTheme="minorEastAsia" w:hAnsiTheme="minorEastAsia" w:eastAsiaTheme="minorEastAsia" w:cstheme="minorEastAsia"/>
                <w:szCs w:val="21"/>
              </w:rPr>
              <w:t xml:space="preserve">安全承诺和管理的保障措施完整，明确有力，可操作性强，得10分；安全承诺和管理的保障措施较完整，明确有力，可操作性较强得7分；安全承诺和管理的保障措施不全，可操作性一般得4分；保障措施有所欠缺，可操作性差得1分；未提供或不满足工程需要，得0分。</w:t>
            </w:r>
            <w:r/>
          </w:p>
        </w:tc>
        <w:tc>
          <w:tcPr>
            <w:tcW w:w="589" w:type="dxa"/>
            <w:vAlign w:val="center"/>
            <w:textDirection w:val="lrTb"/>
            <w:noWrap/>
          </w:tcPr>
          <w:p>
            <w:pPr>
              <w:jc w:val="center"/>
              <w:spacing w:line="360" w:lineRule="auto"/>
              <w:rPr>
                <w:rFonts w:asciiTheme="minorEastAsia" w:hAnsiTheme="minorEastAsia" w:eastAsiaTheme="minorEastAsia" w:cstheme="minorEastAsia"/>
                <w:szCs w:val="21"/>
                <w:lang w:bidi="zh-CN"/>
              </w:rPr>
            </w:pPr>
            <w:r>
              <w:rPr>
                <w:rFonts w:hint="eastAsia" w:asciiTheme="minorEastAsia" w:hAnsiTheme="minorEastAsia" w:eastAsiaTheme="minorEastAsia" w:cstheme="minorEastAsia"/>
                <w:color w:val="000000" w:themeColor="text1"/>
                <w:szCs w:val="21"/>
                <w:lang w:bidi="zh-CN"/>
              </w:rPr>
              <w:t xml:space="preserve">10</w:t>
            </w:r>
            <w:r/>
          </w:p>
        </w:tc>
      </w:tr>
      <w:tr>
        <w:trPr>
          <w:jc w:val="center"/>
          <w:trHeight w:val="1969"/>
        </w:trPr>
        <w:tc>
          <w:tcPr>
            <w:tcW w:w="293" w:type="pct"/>
            <w:vAlign w:val="center"/>
            <w:textDirection w:val="lrTb"/>
            <w:noWrap/>
          </w:tcPr>
          <w:p>
            <w:pPr>
              <w:pStyle w:val="1028"/>
              <w:jc w:val="center"/>
              <w:spacing w:before="1" w:line="320" w:lineRule="exact"/>
              <w:rPr>
                <w:rFonts w:asciiTheme="minorEastAsia" w:hAnsiTheme="minorEastAsia" w:eastAsiaTheme="minorEastAsia" w:cstheme="minorEastAsia"/>
                <w:szCs w:val="21"/>
                <w:lang w:val="en-US"/>
              </w:rPr>
            </w:pPr>
            <w:r>
              <w:rPr>
                <w:rFonts w:hint="eastAsia" w:asciiTheme="minorEastAsia" w:hAnsiTheme="minorEastAsia" w:eastAsiaTheme="minorEastAsia" w:cstheme="minorEastAsia"/>
                <w:szCs w:val="21"/>
                <w:lang w:val="en-US"/>
              </w:rPr>
              <w:t xml:space="preserve">8</w:t>
            </w:r>
            <w:r/>
          </w:p>
        </w:tc>
        <w:tc>
          <w:tcPr>
            <w:tcW w:w="1219"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施工进度计划和各阶段进度的保证措施</w:t>
            </w:r>
            <w:r/>
          </w:p>
        </w:tc>
        <w:tc>
          <w:tcPr>
            <w:tcW w:w="7641" w:type="dxa"/>
            <w:vAlign w:val="center"/>
            <w:textDirection w:val="lrTb"/>
            <w:noWrap/>
          </w:tcPr>
          <w:p>
            <w:pPr>
              <w:spacing w:line="300" w:lineRule="exact"/>
              <w:rPr>
                <w:rFonts w:asciiTheme="minorEastAsia" w:hAnsiTheme="minorEastAsia" w:eastAsiaTheme="minorEastAsia" w:cstheme="minorEastAsia"/>
                <w:b/>
                <w:bCs/>
                <w:szCs w:val="21"/>
              </w:rPr>
            </w:pPr>
            <w:r>
              <w:rPr>
                <w:rFonts w:hint="eastAsia" w:asciiTheme="minorEastAsia" w:hAnsiTheme="minorEastAsia" w:eastAsiaTheme="minorEastAsia" w:cstheme="minorEastAsia"/>
                <w:szCs w:val="21"/>
              </w:rPr>
              <w:t xml:space="preserve">施工总进度计划工期保障措施明确合理，计划全面、可操作性强，得8分；施工总进度计划工期保障措施较合理，计划较全面、可操作性较强，得5分；施工总进度计划工期保障措施明确一般，计划一般、可操作性一般，得3分施工总进度计划工期保障措施有所欠缺，可操作性一般得1分；未提供或不满足工程需要，得0分。</w:t>
            </w:r>
            <w:r/>
          </w:p>
        </w:tc>
        <w:tc>
          <w:tcPr>
            <w:tcW w:w="589" w:type="dxa"/>
            <w:vAlign w:val="center"/>
            <w:textDirection w:val="lrTb"/>
            <w:noWrap/>
          </w:tcPr>
          <w:p>
            <w:pPr>
              <w:jc w:val="center"/>
              <w:spacing w:line="360" w:lineRule="auto"/>
              <w:rPr>
                <w:rFonts w:asciiTheme="minorEastAsia" w:hAnsiTheme="minorEastAsia" w:eastAsiaTheme="minorEastAsia" w:cstheme="minorEastAsia"/>
                <w:szCs w:val="21"/>
                <w:lang w:bidi="zh-CN"/>
              </w:rPr>
            </w:pPr>
            <w:r>
              <w:rPr>
                <w:rFonts w:hint="eastAsia" w:asciiTheme="minorEastAsia" w:hAnsiTheme="minorEastAsia" w:eastAsiaTheme="minorEastAsia" w:cstheme="minorEastAsia"/>
                <w:color w:val="000000" w:themeColor="text1"/>
                <w:szCs w:val="21"/>
                <w:lang w:bidi="zh-CN"/>
              </w:rPr>
              <w:t xml:space="preserve">8</w:t>
            </w:r>
            <w:r/>
          </w:p>
        </w:tc>
      </w:tr>
      <w:tr>
        <w:trPr>
          <w:jc w:val="center"/>
          <w:trHeight w:val="1949"/>
        </w:trPr>
        <w:tc>
          <w:tcPr>
            <w:tcW w:w="293" w:type="pct"/>
            <w:vAlign w:val="center"/>
            <w:textDirection w:val="lrTb"/>
            <w:noWrap/>
          </w:tcPr>
          <w:p>
            <w:pPr>
              <w:pStyle w:val="1028"/>
              <w:jc w:val="center"/>
              <w:spacing w:before="1" w:line="320" w:lineRule="exact"/>
              <w:rPr>
                <w:rFonts w:asciiTheme="minorEastAsia" w:hAnsiTheme="minorEastAsia" w:eastAsiaTheme="minorEastAsia" w:cstheme="minorEastAsia"/>
                <w:szCs w:val="21"/>
                <w:lang w:val="en-US"/>
              </w:rPr>
            </w:pPr>
            <w:r>
              <w:rPr>
                <w:rFonts w:hint="eastAsia" w:asciiTheme="minorEastAsia" w:hAnsiTheme="minorEastAsia" w:eastAsiaTheme="minorEastAsia" w:cstheme="minorEastAsia"/>
                <w:szCs w:val="21"/>
                <w:lang w:val="en-US"/>
              </w:rPr>
              <w:t xml:space="preserve">9</w:t>
            </w:r>
            <w:r/>
          </w:p>
        </w:tc>
        <w:tc>
          <w:tcPr>
            <w:tcW w:w="1219"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施工现场平面布置和临时设施设置方案</w:t>
            </w:r>
            <w:r/>
          </w:p>
        </w:tc>
        <w:tc>
          <w:tcPr>
            <w:tcW w:w="7641" w:type="dxa"/>
            <w:vAlign w:val="center"/>
            <w:textDirection w:val="lrTb"/>
            <w:noWrap/>
          </w:tcPr>
          <w:p>
            <w:pPr>
              <w:jc w:val="center"/>
              <w:rPr>
                <w:rFonts w:asciiTheme="minorEastAsia" w:hAnsiTheme="minorEastAsia" w:eastAsiaTheme="minorEastAsia" w:cstheme="minorEastAsia"/>
                <w:b/>
                <w:bCs/>
                <w:szCs w:val="21"/>
              </w:rPr>
            </w:pPr>
            <w:r>
              <w:rPr>
                <w:rFonts w:hint="eastAsia" w:asciiTheme="minorEastAsia" w:hAnsiTheme="minorEastAsia" w:eastAsiaTheme="minorEastAsia" w:cstheme="minorEastAsia"/>
                <w:szCs w:val="21"/>
              </w:rPr>
              <w:t xml:space="preserve">方案内容科学、全面、合理、有针对性的得7分；方案内容一般，基本符合现场实际的得5分；方案简陋、与现场不符的得3分；差得1分，未提供的不得分。</w:t>
            </w:r>
            <w:r/>
          </w:p>
        </w:tc>
        <w:tc>
          <w:tcPr>
            <w:tcW w:w="589" w:type="dxa"/>
            <w:vAlign w:val="center"/>
            <w:textDirection w:val="lrTb"/>
            <w:noWrap/>
          </w:tcPr>
          <w:p>
            <w:pPr>
              <w:jc w:val="center"/>
              <w:spacing w:line="360" w:lineRule="auto"/>
              <w:rPr>
                <w:rFonts w:asciiTheme="minorEastAsia" w:hAnsiTheme="minorEastAsia" w:eastAsiaTheme="minorEastAsia" w:cstheme="minorEastAsia"/>
                <w:szCs w:val="21"/>
                <w:lang w:bidi="zh-CN"/>
              </w:rPr>
            </w:pPr>
            <w:r>
              <w:rPr>
                <w:rFonts w:hint="eastAsia" w:asciiTheme="minorEastAsia" w:hAnsiTheme="minorEastAsia" w:eastAsiaTheme="minorEastAsia" w:cstheme="minorEastAsia"/>
                <w:color w:val="000000" w:themeColor="text1"/>
                <w:szCs w:val="21"/>
                <w:lang w:bidi="zh-CN"/>
              </w:rPr>
              <w:t xml:space="preserve">7</w:t>
            </w:r>
            <w:r/>
          </w:p>
        </w:tc>
      </w:tr>
    </w:tbl>
    <w:p>
      <w:pPr>
        <w:pStyle w:val="1029"/>
        <w:jc w:val="center"/>
        <w:spacing w:line="400" w:lineRule="exact"/>
        <w:rPr>
          <w:rFonts w:asciiTheme="minorEastAsia" w:hAnsiTheme="minorEastAsia" w:eastAsiaTheme="minorEastAsia" w:cstheme="minorEastAsia"/>
        </w:rPr>
      </w:pPr>
      <w:r>
        <w:rPr>
          <w:rFonts w:asciiTheme="minorEastAsia" w:hAnsiTheme="minorEastAsia" w:eastAsiaTheme="minorEastAsia" w:cstheme="minorEastAsia"/>
        </w:rPr>
      </w:r>
      <w:r/>
    </w:p>
    <w:p>
      <w:pPr>
        <w:ind w:firstLine="527"/>
        <w:spacing w:before="36" w:after="36"/>
        <w:rPr>
          <w:rFonts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bookmarkStart w:id="25" w:name="_Toc29028"/>
      <w:r/>
      <w:bookmarkStart w:id="26" w:name="_Toc4874"/>
      <w:r/>
      <w:bookmarkStart w:id="27" w:name="_Toc31764"/>
      <w:r>
        <w:rPr>
          <w:rFonts w:hint="eastAsia" w:asciiTheme="minorEastAsia" w:hAnsiTheme="minorEastAsia" w:eastAsiaTheme="minorEastAsia" w:cstheme="minorEastAsia"/>
          <w:b/>
          <w:color w:val="000000"/>
          <w:sz w:val="22"/>
        </w:rPr>
        <w:t xml:space="preserve">注：1、针对评分标准中评分的每一条，供应商均应提供相关资料并作出相应说明供评委评判，不提供相关资料的视为不具备该项得分的条件。</w:t>
      </w:r>
      <w:r/>
    </w:p>
    <w:p>
      <w:pPr>
        <w:numPr>
          <w:ilvl w:val="0"/>
          <w:numId w:val="5"/>
        </w:numPr>
        <w:ind w:firstLine="883"/>
        <w:spacing w:line="240" w:lineRule="exact"/>
        <w:rPr>
          <w:rFonts w:asciiTheme="minorEastAsia" w:hAnsiTheme="minorEastAsia" w:eastAsiaTheme="minorEastAsia" w:cstheme="minorEastAsia"/>
          <w:b/>
          <w:color w:val="000000"/>
          <w:sz w:val="2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sz w:val="22"/>
        </w:rPr>
        <w:t xml:space="preserve">若发现有提供虚假的证明材料，视为无效投标并追究相关责任。</w:t>
      </w:r>
      <w:r/>
    </w:p>
    <w:p>
      <w:pPr>
        <w:rPr>
          <w:rFonts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br w:type="page" w:clear="all"/>
      </w:r>
      <w:r/>
    </w:p>
    <w:p>
      <w:pPr>
        <w:pStyle w:val="792"/>
        <w:rPr>
          <w:rFonts w:asciiTheme="minorEastAsia" w:hAnsiTheme="minorEastAsia" w:eastAsiaTheme="minorEastAsia" w:cstheme="minorEastAsia"/>
        </w:rPr>
      </w:pPr>
      <w:r>
        <w:rPr>
          <w:rFonts w:hint="eastAsia" w:asciiTheme="minorEastAsia" w:hAnsiTheme="minorEastAsia" w:eastAsiaTheme="minorEastAsia" w:cstheme="minorEastAsia"/>
          <w:sz w:val="32"/>
          <w:szCs w:val="32"/>
        </w:rPr>
        <w:t xml:space="preserve">第六章 成交公告</w:t>
      </w:r>
      <w:bookmarkEnd w:id="25"/>
      <w:r/>
      <w:bookmarkEnd w:id="26"/>
      <w:r/>
      <w:bookmarkEnd w:id="27"/>
      <w:r/>
      <w:r/>
    </w:p>
    <w:p>
      <w:pPr>
        <w:pStyle w:val="1029"/>
        <w:ind w:firstLine="550"/>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sz w:val="24"/>
        </w:rPr>
        <w:t xml:space="preserve">本公司将对经采购人确定的成交供应商在江苏政府采购网上发布成交结果公告，公告期限为1个工作日，不能保证被公告的成交供应商为最终成交供应商！</w:t>
      </w:r>
      <w:r/>
    </w:p>
    <w:p>
      <w:pPr>
        <w:pStyle w:val="792"/>
        <w:rPr>
          <w:rFonts w:asciiTheme="minorEastAsia" w:hAnsiTheme="minorEastAsia" w:eastAsiaTheme="minorEastAsia" w:cstheme="minorEastAsia"/>
        </w:rPr>
      </w:pPr>
      <w:r/>
      <w:bookmarkStart w:id="28" w:name="_Toc21810"/>
      <w:r/>
      <w:bookmarkStart w:id="29" w:name="_Toc2131"/>
      <w:r/>
      <w:bookmarkStart w:id="30" w:name="_Toc12888"/>
      <w:r>
        <w:rPr>
          <w:rFonts w:hint="eastAsia" w:asciiTheme="minorEastAsia" w:hAnsiTheme="minorEastAsia" w:eastAsiaTheme="minorEastAsia" w:cstheme="minorEastAsia"/>
        </w:rPr>
        <w:t xml:space="preserve">第七章 合同签订</w:t>
      </w:r>
      <w:bookmarkEnd w:id="28"/>
      <w:r/>
      <w:bookmarkEnd w:id="29"/>
      <w:r/>
      <w:bookmarkEnd w:id="30"/>
      <w:r/>
      <w:r/>
    </w:p>
    <w:p>
      <w:pPr>
        <w:pStyle w:val="1029"/>
        <w:ind w:firstLine="55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供应商领取《成交通知书》后，应在《成交通知书》规定的日期内，按照采购文件确定的合同文本以及采购标的、规格型号、采购金额、采购数量、技术和服务要求等事项与采购人签订政府采购合同。合同主要条款与格式（参考）见第十章。</w:t>
      </w:r>
      <w:r/>
    </w:p>
    <w:p>
      <w:pPr>
        <w:pStyle w:val="1029"/>
        <w:ind w:firstLine="55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pStyle w:val="1029"/>
        <w:ind w:firstLine="55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3、如果供应商有欺诈或隐瞒自身违规问题或损害国家和采购人利益以及主动放弃签订合同的，成交资格无效，采购人可以按照“财库〔2014〕214号” 文的有关规定，确定其他供应商作为成交供应商并签订政府采购合同，也可以重新开展采购活动；拒绝签订政府采购合同的成交供应商不得参加对该项目重新开展的采购活动；已签订合同，采购人可以中止合同，并保留依照相关法律、法规追究其法律责任的权利。</w:t>
      </w:r>
      <w:r/>
    </w:p>
    <w:p>
      <w:pPr>
        <w:pStyle w:val="792"/>
        <w:rPr>
          <w:rFonts w:asciiTheme="minorEastAsia" w:hAnsiTheme="minorEastAsia" w:eastAsiaTheme="minorEastAsia" w:cstheme="minorEastAsia"/>
        </w:rPr>
      </w:pPr>
      <w:r/>
      <w:bookmarkStart w:id="31" w:name="_Toc30954"/>
      <w:r/>
      <w:bookmarkStart w:id="32" w:name="_Toc12880"/>
      <w:r/>
      <w:bookmarkStart w:id="33" w:name="_Toc15057"/>
      <w:r>
        <w:rPr>
          <w:rFonts w:hint="eastAsia" w:asciiTheme="minorEastAsia" w:hAnsiTheme="minorEastAsia" w:eastAsiaTheme="minorEastAsia" w:cstheme="minorEastAsia"/>
        </w:rPr>
        <w:t xml:space="preserve">第八章 质疑投诉</w:t>
      </w:r>
      <w:bookmarkEnd w:id="31"/>
      <w:r/>
      <w:bookmarkEnd w:id="32"/>
      <w:r/>
      <w:bookmarkEnd w:id="33"/>
      <w:r/>
      <w:r/>
    </w:p>
    <w:p>
      <w:pPr>
        <w:pStyle w:val="1029"/>
        <w:ind w:firstLine="546"/>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提出质疑和投诉的供应商必须是参加本项目采购活动的供应商，不得捏造事实或者提供虚假材料进行恶意质疑和投诉，未参加磋商活动的供应商或在磋商活动中自身权益未受到损害的供应商所提出的质疑投诉不予受理。</w:t>
      </w:r>
      <w:r/>
    </w:p>
    <w:p>
      <w:pPr>
        <w:pStyle w:val="1029"/>
        <w:ind w:firstLine="54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参加磋商的供应商认为磋商文件、采购过程和中标结果使自己的权益受到损害的，可以在知道或应知其权益受到损害之日起七个工作日内，以书面形式向采购人或采购代理机构一次性提出针对同一采购程序环节的质疑。上述应知其权益受到损害之日，是指：对可以质疑的磋商文件提出质疑的，为收到磋商文件之日或者磋商文件公告期限届满之日；对采购过程提出质疑的，为各采购程序环节结束之日；对成交结果提出质疑的，为成交结果公告期限届满之日。</w:t>
      </w:r>
      <w:r/>
    </w:p>
    <w:p>
      <w:pPr>
        <w:pStyle w:val="1029"/>
        <w:ind w:firstLine="54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3、供应商质疑和投诉实行实名制，其质疑和投诉应当有具体的质疑和投诉事项及事实根据，并配合采购人、采购代理机构和政府采购监督管理部门处理质疑和投诉。</w:t>
      </w:r>
      <w:r/>
    </w:p>
    <w:p>
      <w:pPr>
        <w:pStyle w:val="1029"/>
        <w:ind w:firstLine="54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4、供应商提出质疑，必须以参加磋商供应商法定代表人或授权委托人（被授权人）（响应文件中所确定的）原件送达的方式，向采购人或者采购代理机构提交质疑函，质疑函应当包括下列内容：</w:t>
      </w:r>
      <w:r/>
    </w:p>
    <w:p>
      <w:pPr>
        <w:pStyle w:val="1029"/>
        <w:ind w:firstLine="54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（一）质疑供应商的姓名或名称、地址、邮编、联系人及联系电话；</w:t>
      </w:r>
      <w:r/>
    </w:p>
    <w:p>
      <w:pPr>
        <w:pStyle w:val="1029"/>
        <w:ind w:firstLine="54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（二）质疑项目的名称、编号；</w:t>
      </w:r>
      <w:r/>
    </w:p>
    <w:p>
      <w:pPr>
        <w:pStyle w:val="1029"/>
        <w:ind w:firstLine="54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（三）具体、明确的质疑事项和与质疑事项相关的请求；</w:t>
      </w:r>
      <w:r/>
    </w:p>
    <w:p>
      <w:pPr>
        <w:pStyle w:val="1029"/>
        <w:ind w:firstLine="54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（四）事实依据；</w:t>
      </w:r>
      <w:r/>
    </w:p>
    <w:p>
      <w:pPr>
        <w:pStyle w:val="1029"/>
        <w:ind w:firstLine="54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（五）必要的法律依据；</w:t>
      </w:r>
      <w:r/>
    </w:p>
    <w:p>
      <w:pPr>
        <w:pStyle w:val="1029"/>
        <w:ind w:firstLine="54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（六）提出质疑的日期；</w:t>
      </w:r>
      <w:r/>
    </w:p>
    <w:p>
      <w:pPr>
        <w:pStyle w:val="1029"/>
        <w:ind w:firstLine="54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（七）质疑函应当署名。质疑供应商为自然人的，应当由本人签字并附有效身份证明；质疑供应商为法人或其他组织的，应当由法定代表人、主要负责人或其授权代表签字并加盖单位公章。</w:t>
      </w:r>
      <w:r/>
    </w:p>
    <w:p>
      <w:pPr>
        <w:pStyle w:val="1029"/>
        <w:ind w:firstLine="54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质疑供应商委托代理质疑的，应当向采购人或采购代理机构提交授权委托书及委托代理人的有效身份证明，同时授权委托书应载明委托代理的具体权限和事项。</w:t>
      </w:r>
      <w:r/>
    </w:p>
    <w:p>
      <w:pPr>
        <w:pStyle w:val="1029"/>
        <w:ind w:firstLine="54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采购人和采购代理机构收到供应商质疑函后，应当进行审查，认为质疑函内容、格式不符合本办法规定的，应当及时告知质疑供应商进行补正。质疑供应商应当在法定质疑期限内进行补正并重新提交质疑函，拒不补正或者超过法定期限后未重新提交质疑函的，为无效质疑，采购人或采购代理机构有权不予受理。</w:t>
      </w:r>
      <w:r/>
    </w:p>
    <w:p>
      <w:pPr>
        <w:pStyle w:val="1029"/>
        <w:ind w:firstLine="546"/>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6、对内容、格式符合要求的供应商质疑，采购人或采购代理机构应当在收到供应商的书面质疑后七个工作日内作出答复，并以书面形式通知质疑供应商和其他有关供应商，但答复的内容不得涉及商业秘密。</w:t>
      </w:r>
      <w:r/>
    </w:p>
    <w:p>
      <w:pPr>
        <w:pStyle w:val="1029"/>
        <w:ind w:firstLine="54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7、采购人或采购代理机构答复供应商质疑应当采用书面方式并依法送达。质疑供应商或其委托代理人拒绝签收的视为已经送达。</w:t>
      </w:r>
      <w:r/>
    </w:p>
    <w:p>
      <w:pPr>
        <w:pStyle w:val="1029"/>
        <w:ind w:firstLine="54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8、质疑供应商提出书面质疑必须有理、有据，不得恶意质疑或提交虚假质疑。否则，一经查实，采购人或采购代理机构有权依据政府采购的有关规定，报请政府采购监督管理部门对该供应商进行相应的行政处罚，并扣减其诚信记录分。</w:t>
      </w:r>
      <w:r/>
    </w:p>
    <w:p>
      <w:pPr>
        <w:pStyle w:val="1029"/>
        <w:ind w:firstLine="54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9、质疑供应商对质疑答复不满意的，或者采购人、采购代理机构未在规定时间内作出答复的，可在答复期满后15个工作日内向政府采购监督管理部门投诉。逾期将不再受理。</w:t>
      </w:r>
      <w:r/>
    </w:p>
    <w:p>
      <w:pPr>
        <w:pStyle w:val="792"/>
        <w:rPr>
          <w:rFonts w:asciiTheme="minorEastAsia" w:hAnsiTheme="minorEastAsia" w:eastAsiaTheme="minorEastAsia" w:cstheme="minorEastAsia"/>
        </w:rPr>
      </w:pPr>
      <w:r>
        <w:rPr>
          <w:rFonts w:hint="eastAsia" w:asciiTheme="minorEastAsia" w:hAnsiTheme="minorEastAsia" w:eastAsiaTheme="minorEastAsia" w:cstheme="minorEastAsia"/>
        </w:rPr>
        <w:br w:type="page" w:clear="all"/>
      </w:r>
      <w:bookmarkStart w:id="34" w:name="_Toc29765"/>
      <w:r/>
      <w:bookmarkStart w:id="35" w:name="_Toc31758"/>
      <w:r>
        <w:rPr>
          <w:rFonts w:hint="eastAsia" w:asciiTheme="minorEastAsia" w:hAnsiTheme="minorEastAsia" w:eastAsiaTheme="minorEastAsia" w:cstheme="minorEastAsia"/>
        </w:rPr>
        <w:t xml:space="preserve">第九章 工程量清单</w:t>
      </w:r>
      <w:bookmarkEnd w:id="34"/>
      <w:r/>
      <w:bookmarkEnd w:id="35"/>
      <w:r/>
      <w:r/>
    </w:p>
    <w:p>
      <w:pPr>
        <w:spacing w:line="360" w:lineRule="auto"/>
        <w:rPr>
          <w:rFonts w:asciiTheme="minorEastAsia" w:hAnsiTheme="minorEastAsia" w:eastAsiaTheme="minorEastAsia" w:cstheme="minorEastAsia"/>
          <w:color w:val="000000"/>
          <w:sz w:val="24"/>
        </w:rPr>
      </w:pPr>
      <w:r/>
      <w:bookmarkStart w:id="36" w:name="_Toc162409184"/>
      <w:r/>
      <w:bookmarkStart w:id="37" w:name="_Toc241459760"/>
      <w:r/>
      <w:bookmarkStart w:id="38" w:name="_Toc362252985"/>
      <w:r/>
      <w:bookmarkStart w:id="39" w:name="_Toc342296519"/>
      <w:r>
        <w:rPr>
          <w:rFonts w:hint="eastAsia" w:asciiTheme="minorEastAsia" w:hAnsiTheme="minorEastAsia" w:eastAsiaTheme="minorEastAsia" w:cstheme="minorEastAsia"/>
          <w:color w:val="000000"/>
          <w:sz w:val="24"/>
        </w:rPr>
        <w:t xml:space="preserve">1</w:t>
      </w:r>
      <w:bookmarkEnd w:id="36"/>
      <w:r>
        <w:rPr>
          <w:rFonts w:hint="eastAsia" w:asciiTheme="minorEastAsia" w:hAnsiTheme="minorEastAsia" w:eastAsiaTheme="minorEastAsia" w:cstheme="minorEastAsia"/>
          <w:color w:val="000000"/>
          <w:sz w:val="24"/>
        </w:rPr>
        <w:t xml:space="preserve">.工程量清单说明</w:t>
      </w:r>
      <w:bookmarkEnd w:id="37"/>
      <w:r/>
      <w:bookmarkEnd w:id="38"/>
      <w:r/>
      <w:bookmarkEnd w:id="39"/>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1.1本工程量清单是依据现行中华人民共和国国家标准《建设工程工程量清单计价规范》（GB50500—2024）（以下简称“2024版计价规范”）及《房屋建筑与装饰工程工程量计算规范》（GB50854-2024）等9本工程量计算规范（以下简称“2024版计算规范”）以及采购文件中包括的图纸等编制。计量采用中华人民共和国法定的基本计量单位。</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1.2本工程量清单仅是投标报价的共同基础，竣工结算的工程量按合同约定确定。合同价格的确定以及价款支付应遵循合同条款（包括通用合同条款和专用合同条款）、技术标准和要求以及本章的有关约定。</w:t>
      </w:r>
      <w:r/>
    </w:p>
    <w:p>
      <w:pPr>
        <w:ind w:firstLine="480"/>
        <w:spacing w:line="360" w:lineRule="auto"/>
        <w:rPr>
          <w:rFonts w:asciiTheme="minorEastAsia" w:hAnsiTheme="minorEastAsia" w:eastAsiaTheme="minorEastAsia" w:cstheme="minorEastAsia"/>
          <w:i/>
          <w:iCs/>
          <w:color w:val="000000"/>
          <w:sz w:val="24"/>
        </w:rPr>
      </w:pPr>
      <w:r>
        <w:rPr>
          <w:rFonts w:hint="eastAsia" w:asciiTheme="minorEastAsia" w:hAnsiTheme="minorEastAsia" w:eastAsiaTheme="minorEastAsia" w:cstheme="minorEastAsia"/>
          <w:color w:val="000000"/>
          <w:sz w:val="24"/>
        </w:rPr>
        <w:t xml:space="preserve">1.3对2024版计算规范中未列的措施项目，采购人可根据建设工程实际情况进行补充。对采购人所列的措施项目，供应商可根据工程实际与施工组织设计进行增补，但不应更改采购人已列措施项目。结算时，除工程变更引起施工方案改变外，供应商不得以招标工程措施项目清单缺项为由要求新增措施项目。</w:t>
      </w:r>
      <w:bookmarkStart w:id="40" w:name="_Toc362252986"/>
      <w:r/>
      <w:bookmarkStart w:id="41" w:name="_Toc241459761"/>
      <w:r/>
      <w:bookmarkStart w:id="42" w:name="_Toc342296520"/>
      <w:r/>
      <w:r/>
    </w:p>
    <w:p>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2.投标报价说明</w:t>
      </w:r>
      <w:bookmarkEnd w:id="40"/>
      <w:r/>
      <w:bookmarkEnd w:id="41"/>
      <w:r/>
      <w:bookmarkEnd w:id="42"/>
      <w:r/>
      <w:r/>
    </w:p>
    <w:p>
      <w:pPr>
        <w:ind w:firstLine="36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2.1投标报价应根据采购文件中的有关计价要求，并按照下列依据自主报价:</w:t>
      </w:r>
      <w:r/>
    </w:p>
    <w:p>
      <w:pPr>
        <w:ind w:firstLine="36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（1）本磋商文件；</w:t>
      </w:r>
      <w:r/>
    </w:p>
    <w:p>
      <w:pPr>
        <w:ind w:firstLine="36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（2）《建设工程工程量清单计价标准》（GB/T50500-2024）及《房屋建筑与装饰工程工程量计算规范》（GB50854-2024）等9本工程量计算规范；</w:t>
      </w:r>
      <w:r/>
    </w:p>
    <w:p>
      <w:pPr>
        <w:ind w:firstLine="36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（3）国家或省级、行业建设主管部门颁发的计价办法；</w:t>
      </w:r>
      <w:r/>
    </w:p>
    <w:p>
      <w:pPr>
        <w:ind w:firstLine="36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（4）企业定额，国家或省级、行业建设主管部门颁发的计价定额；</w:t>
      </w:r>
      <w:r/>
    </w:p>
    <w:p>
      <w:pPr>
        <w:ind w:firstLine="36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（5）磋商文件（包括工程量清单）的澄清、补充和修改文件；</w:t>
      </w:r>
      <w:r/>
    </w:p>
    <w:p>
      <w:pPr>
        <w:ind w:firstLine="36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（6）建设工程设计文件及相关资料；</w:t>
      </w:r>
      <w:r/>
    </w:p>
    <w:p>
      <w:pPr>
        <w:ind w:firstLine="36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（7）施工现场情况、工程特点及拟定的投标施工组织设计或施工方案；</w:t>
      </w:r>
      <w:r/>
    </w:p>
    <w:p>
      <w:pPr>
        <w:ind w:firstLine="36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（8）与建设项目相关的标准、规定等技术资料；</w:t>
      </w:r>
      <w:r/>
    </w:p>
    <w:p>
      <w:pPr>
        <w:ind w:firstLine="36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（9）市场价格信息或工程造价管理机构发布的工程造价信息；</w:t>
      </w:r>
      <w:r/>
    </w:p>
    <w:p>
      <w:pPr>
        <w:ind w:firstLine="36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（10）其他的相关资料。</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2.2 供应商应按招标工程量清单填报价格。</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2.3 综合单价中应包含采购文件中划分的应由供应商承担的风险范围及其费用。</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2.4 分部分项工程项目和专业措施项目，应根据采购文件和招标工程量清单项目中的特征描述确定综合单价及合价计算。如出现招标工程量清单特征描述与设计图纸不符时，供应商应以招标工程量清单的项目特征描述为准，确定投标报价的综合单价及合价。</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2.5 措施项目的金额应根据采购文件及投标时拟定的施工组织设计或施工方案，按计价规范的规定自主确定。但安全生产、文明施工、环境保护费应按照招标工程量清单所列的费率和计算基础确定。</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2.6 其他项目费应按下列规定报价：</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（1）暂列金额应按招标工程量清单中列出的金额填写；</w:t>
      </w:r>
      <w:r/>
    </w:p>
    <w:p>
      <w:pPr>
        <w:pStyle w:val="1039"/>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（2）材料、工程设备暂估价应按招标工程量清单中列出的单价计入综合单价；</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（3）专业工程暂估价应按招标工程量清单中列出的金额填写；</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（4）计日工应按招标工程量清单中列出的项目和数量，自主确定综合单价并计算计日工总额；</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（5）总承包服务费应根据招标工程量清单中列出的内容和供应材料、设备情况，按照采购人提出的协调、配合与服务要求和施工现场管理需要自主确定。</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2.7 税金应按招标工程量清单所列的费率和计算基础确定。</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2.8 招标工程量清单与计价表中列明的所有需要填写的单价和合价的项目，供应商均应填写且只允许有一个报价。未填写单价和合价的项目，视为此项费用已包含在已标价工程量清单中其他项目的单价和合价之中。竣工结算时，此项目不得重新组价予以调整。</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2.9 投标总价应当与分部分项工程费、措施项目费、其他项目费和税金的合计金额一致。</w:t>
      </w:r>
      <w:r/>
    </w:p>
    <w:p>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3.最高投标限价</w:t>
      </w:r>
      <w:r/>
    </w:p>
    <w:p>
      <w:pPr>
        <w:ind w:firstLine="36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3.1一般规定</w:t>
      </w:r>
      <w:r/>
    </w:p>
    <w:p>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3.1.1　最高投标限价应根据下列依据编制与复核：</w:t>
      </w:r>
      <w:r/>
    </w:p>
    <w:p>
      <w:pPr>
        <w:ind w:firstLine="24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（1）《建设工程工程量清单计价标准》（GB/T50500-2024）及《房屋建筑与装饰工程工程量计算规范》（GB50854-2024）等9本工程量计算规范；</w:t>
      </w:r>
      <w:r/>
    </w:p>
    <w:p>
      <w:pPr>
        <w:ind w:firstLine="24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（2）国家或省级、行业建设主管部门颁发的计价定额和计价办法；</w:t>
      </w:r>
      <w:r/>
    </w:p>
    <w:p>
      <w:pPr>
        <w:ind w:firstLine="24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（3）建设工程设计文件及相关资料；</w:t>
      </w:r>
      <w:r/>
    </w:p>
    <w:p>
      <w:pPr>
        <w:ind w:firstLine="24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（4）拟定的采购文件及招标工程量清单；</w:t>
      </w:r>
      <w:r/>
    </w:p>
    <w:p>
      <w:pPr>
        <w:ind w:firstLine="24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（5）与建设项目相关的标准、规范、技术资料；</w:t>
      </w:r>
      <w:r/>
    </w:p>
    <w:p>
      <w:pPr>
        <w:ind w:firstLine="24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（6）施工现场情况、工程特点及常规施工方案；</w:t>
      </w:r>
      <w:r/>
    </w:p>
    <w:p>
      <w:pPr>
        <w:ind w:firstLine="24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（7）工程造价管理机构发布的工程造价信息，当工程造价信息没有发布时，参照市场价；</w:t>
      </w:r>
      <w:r/>
    </w:p>
    <w:p>
      <w:pPr>
        <w:ind w:firstLine="24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（8）其他相关资料</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3.1.2 当招标控制价超过批准的概算时，采购人应将其报原概算审批部门审核。</w:t>
      </w:r>
      <w:r/>
    </w:p>
    <w:p>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3.1.3 同一单位工程的项目编码不得有重复，不强制要求同一招标工程的项目编码不得重复。最高投标限价的清单编码排序必须与工程量清单编码排序一致，同一标段内多个单位工程的清单编码按单位工程排序。</w:t>
      </w:r>
      <w:r/>
    </w:p>
    <w:p>
      <w:pPr>
        <w:pStyle w:val="1040"/>
        <w:spacing w:line="360" w:lineRule="auto"/>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4.合同价款调整</w:t>
      </w:r>
      <w:r/>
    </w:p>
    <w:p>
      <w:pPr>
        <w:ind w:firstLine="36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4.1下列事项（但不限于）发生，发承包双方应当调整合同价款：</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1)法律法规变化；</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2)工程变更；</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3)项目特征不符；</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4)工程量清单缺项；</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5)工程量偏差；</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6)计日工；</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7)物价变化；</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8)暂估价；</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9)不可抗力；</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10)提前竣工（赶工补偿）；</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11)误期赔偿；</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12)索赔；</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13)现场签证；</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14)暂列金额；</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15)发承包双方约定的其他调整事项。</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4.2工程量必须以承包人完成合同工程应予计量的工程量确定。</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4.3除合同另有约定外，施工中进行工程计量，当发现招标工程量清单中出现缺项、工程量偏差，或因工程变更引起工程量增减时，按承包人在履行合同义务中完成的工程量计算。</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4.4工程变更</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4.4.1因工程变更引起的已标价工程量清单项目发生变化时，应按照下列规定调整：</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1)已标价工程量清单中有适用于变更工程项目的，采用该项目的单价。</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2)已标价工程量清单中没有适用但有类似于变更工程项目的，参照类似项目的单价。</w:t>
      </w:r>
      <w:r/>
    </w:p>
    <w:p>
      <w:pPr>
        <w:ind w:firstLine="480"/>
        <w:jc w:val="left"/>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3)已标价工程量清单中没有适用也没有类似于变更工程项目的，由承包人按照本项目招标控制价编制方法计算出该工程量清单的综合单价，然后乘以K值下浮，并报发包人确认后调整。</w:t>
      </w:r>
      <w:r/>
    </w:p>
    <w:p>
      <w:pPr>
        <w:ind w:firstLine="24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K值= [中标价-暂列金额-暂估价-甲供材]／[招标控制价-暂列金额-暂估价-甲供材]</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4.4.2工程变更引起施工方案改变并使措施项目发生变化时，承包人提出调整措施项目费的，应事先将拟实施的方案提交发包人确认，并详细说明与原方案措施项目相比的变化情况。拟实施的方案经发承包双方确认后执行，并按下列规定调整措施项目费：</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1)专用措施项目变更原则同分部分项工程，按照实际发生变化的措施项目，确定单价及合价；</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2)通用措施项目中以费率报价的，费率不变；</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3)总价项目中以费用报价的，按投标时口径折算成费率调整；</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4)原措施费中没有的措施项目，由承包人按第4.4.1条规定提出适当的措施费变更要求，经发包人确认后调整。</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如果承包人未事先将拟实施的方案提交给发包人确认，则视为工程变更不引起措施项目费的调整或承包人放弃调整措施项目费的权利。</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4.5工程量清单缺项、项目特征不符的，按规定调整合同价款。</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4.6计日工</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4.6.1发包人通知承包人以计日工方式实施的零星工作，承包人应予执行。</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4.6.2采用计日工计价的任何一项变更工作，在该项变更的实施过程中，承包人应按合同约定提交下列报表和有关凭证送发包人复核：</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1)工作名称、内容和数量；</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2)投入该工作所有人员的姓名、工种、级别和耗用工时；</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3)投入该工作的材料名称、类别和数量；</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4)投入该工作的施工设备型号、台数和耗用台时；</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5)发包人要求提交的其他资料和凭证。</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4.6.3任一计日工项目持续进行时，承包人应在该项工作实施结束后的24小时内向发包人提交有计日工记录汇总的现场签证报告一式三份。发包人在收到承包人提交现场签证报告后的2天内予以确认并将其中一份返还给承包人，作为计日工计价和支付的依据。</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4.6.4任一计日工项目实施结束后，承包人应按照确认的计日工现场签证报告核实该类项目的工程数量，并应根据核实的工程数量和承包人已标价工程量清单中的计日工单价计算，提出应付价款；已标价工程量清单中没有该类计日工单价的，由发承包双方按第4.4条的规定商定计日工单价计算。</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4.7发包人与承包人对合同价款调整的不同意见不能达成一致的，只要对发承包双方履约不产生实质影响，双方应继续履行合同义务，直到其按照合同约定的争议解决方式得到处理。</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4.8经发承包双方确认调整的合同价款，作为追加（减）合同价款，与工程进度款或结算款同期支付。</w:t>
      </w:r>
      <w:r/>
    </w:p>
    <w:p>
      <w:pPr>
        <w:pStyle w:val="1040"/>
        <w:spacing w:line="360" w:lineRule="auto"/>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5.竣工结算</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5.1当发承包双方或一方对工程造价咨询人出具的竣工结算文件有异议时，可向工程造价管理机构投诉，申请对其进行执业质量鉴定。</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5.2竣工结算办理完毕，发包人应将竣工结算文件报送工程所在地或有该工程管辖权的行业管理部门的工程造价管理机构备案，竣工结算文件作为工程竣工验收备案、交付使用的必备文件。</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5.3工程竣工结算应根据下列依据编制和复核：</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1)《建设工程工程量清单计价规范》（GB50500—2024）及《房屋建筑与装饰工程工程量计算规范》（GB50854-2024）等9本工程量计算规范；</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2)工程合同；</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3)发承包双方实施过程中已确认的工程量及其结算的合同价款；</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4)发承包双方实施过程中已确认调整后追加（减）的合同价款；</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5)建设工程设计文件及相关资料；</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6)响应文件；</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7)其他依据。</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5.4除合同另有约定外，甲供材料价款扣除的方式如下：</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1)结算时甲供材料应按发包人采购材料的加权平均价格（含采购保管费）计入相应项目的综合单价中。承包人退还甲供材料价款时，应按甲供材料实际采购价格（含采购保管费）除以1.01，退给发包人（1%作为承包人的现场保管费）。</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2)领料量超出承包人在响应文件中所报数量时，超出部分的甲供材料由承包人按照发包人采购材料的加权平均价格支付给发包人；领料量少于承包人在响应文件中所报数量时，节余部分的甲供材料归承包人。</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5.5分部分项工程和措施项目中的单价项目应依据发承包双方确认的工程量与已标价工程量清单的综合单价计算；发生调整的，应以发承包双方确认调整的综合单价计算。</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5.6措施项目中的总价项目应依据已标价工程量清单的项目和金额计算；发生调整的，应以发承包双方确认调整的金额计算。</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5.7其他项目应按下列规定计价：</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1)计日工应按发包人实际签证确认的事项计算；</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2)暂估价应按合同约定方式计算；</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3)总承包服务费应依据已标价工程量清单的金额计算；发生调整的，应以发承包双方确认调整的金额计算；</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4)索赔费用应依据发承包双方确认的索赔事项和金额计算；</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5)现场签证费用应依据发承包双方签证资料确认的金额计算；</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6)暂列金额应减去合同价款（包括索赔、现场签证）金额计算，如有余额归发包人。</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5.8按质论价费不计入招标控制价、投标报价，由施工企业在实现采购文件或合同中约定的创建目标后，凭相关证明文件依据合同约定与建设单位结算价款。</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5.9施工中实际发生排污费的，竣工结算时按实际缴纳的排污费计入建设工程造价。工程施工违反环境保护相关规定，受到环保部门处罚的罚款，不属于工程排污费，应由施工单位自行承担。</w:t>
      </w:r>
      <w:r/>
    </w:p>
    <w:p>
      <w:pPr>
        <w:ind w:firstLine="480"/>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5.10发承包双方在合同工程实施过程中已经确认的工程计量结果和合同价款，在竣工结算办理中应直接进入结算。</w:t>
      </w:r>
      <w:r/>
    </w:p>
    <w:p>
      <w:pPr>
        <w:pStyle w:val="742"/>
        <w:spacing w:before="94" w:line="360" w:lineRule="auto"/>
        <w:tabs>
          <w:tab w:val="left" w:pos="3229" w:leader="none"/>
          <w:tab w:val="left" w:pos="4909" w:leader="none"/>
          <w:tab w:val="left" w:pos="5329" w:leader="none"/>
          <w:tab w:val="left" w:pos="5751" w:leader="none"/>
        </w:tabs>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pStyle w:val="1029"/>
        <w:spacing w:line="520" w:lineRule="exact"/>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pStyle w:val="1029"/>
        <w:spacing w:line="520" w:lineRule="exact"/>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pStyle w:val="1030"/>
        <w:rPr>
          <w:rFonts w:asciiTheme="minorEastAsia" w:hAnsiTheme="minorEastAsia" w:eastAsiaTheme="minorEastAsia" w:cstheme="minorEastAsia"/>
        </w:rPr>
      </w:pPr>
      <w:r>
        <w:rPr>
          <w:rFonts w:asciiTheme="minorEastAsia" w:hAnsiTheme="minorEastAsia" w:eastAsiaTheme="minorEastAsia" w:cstheme="minorEastAsia"/>
        </w:rPr>
      </w:r>
      <w:r/>
    </w:p>
    <w:p>
      <w:pPr>
        <w:pStyle w:val="1030"/>
        <w:rPr>
          <w:rFonts w:asciiTheme="minorEastAsia" w:hAnsiTheme="minorEastAsia" w:eastAsiaTheme="minorEastAsia" w:cstheme="minorEastAsia"/>
          <w:szCs w:val="24"/>
        </w:rPr>
      </w:pPr>
      <w:r>
        <w:rPr>
          <w:rFonts w:asciiTheme="minorEastAsia" w:hAnsiTheme="minorEastAsia" w:eastAsiaTheme="minorEastAsia" w:cstheme="minorEastAsia"/>
          <w:szCs w:val="24"/>
        </w:rPr>
      </w:r>
      <w:r/>
    </w:p>
    <w:p>
      <w:pPr>
        <w:pStyle w:val="792"/>
        <w:rPr>
          <w:rFonts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br w:type="page" w:clear="all"/>
      </w:r>
      <w:bookmarkStart w:id="43" w:name="_Toc4828"/>
      <w:r/>
      <w:bookmarkStart w:id="44" w:name="_Toc27670"/>
      <w:r>
        <w:rPr>
          <w:rFonts w:hint="eastAsia" w:asciiTheme="minorEastAsia" w:hAnsiTheme="minorEastAsia" w:eastAsiaTheme="minorEastAsia" w:cstheme="minorEastAsia"/>
          <w:sz w:val="32"/>
          <w:szCs w:val="32"/>
        </w:rPr>
        <w:t xml:space="preserve">第十章 政府采购合同（参考）</w:t>
      </w:r>
      <w:bookmarkEnd w:id="43"/>
      <w:r/>
      <w:bookmarkEnd w:id="44"/>
      <w:r/>
      <w:r/>
    </w:p>
    <w:p>
      <w:pPr>
        <w:pStyle w:val="1041"/>
        <w:jc w:val="center"/>
        <w:rPr>
          <w:rFonts w:asciiTheme="minorEastAsia" w:hAnsiTheme="minorEastAsia" w:eastAsiaTheme="minorEastAsia" w:cstheme="minorEastAsia"/>
          <w:b/>
          <w:sz w:val="72"/>
          <w:szCs w:val="52"/>
        </w:rPr>
      </w:pPr>
      <w:r>
        <w:rPr>
          <w:rFonts w:hint="eastAsia" w:asciiTheme="minorEastAsia" w:hAnsiTheme="minorEastAsia" w:eastAsiaTheme="minorEastAsia" w:cstheme="minorEastAsia"/>
          <w:b/>
          <w:sz w:val="72"/>
          <w:szCs w:val="52"/>
        </w:rPr>
        <w:t xml:space="preserve">建设工程施工合同</w:t>
      </w:r>
      <w:r/>
    </w:p>
    <w:p>
      <w:pPr>
        <w:pStyle w:val="1041"/>
        <w:jc w:val="center"/>
        <w:rPr>
          <w:rFonts w:asciiTheme="minorEastAsia" w:hAnsiTheme="minorEastAsia" w:eastAsiaTheme="minorEastAsia" w:cstheme="minorEastAsia"/>
          <w:b/>
          <w:sz w:val="52"/>
          <w:szCs w:val="52"/>
        </w:rPr>
      </w:pPr>
      <w:r>
        <w:rPr>
          <w:rFonts w:hint="eastAsia" w:asciiTheme="minorEastAsia" w:hAnsiTheme="minorEastAsia" w:eastAsiaTheme="minorEastAsia" w:cstheme="minorEastAsia"/>
          <w:b/>
          <w:sz w:val="52"/>
          <w:szCs w:val="52"/>
        </w:rPr>
        <w:t xml:space="preserve">（示范文本）</w:t>
      </w:r>
      <w:r/>
    </w:p>
    <w:p>
      <w:pPr>
        <w:pStyle w:val="1041"/>
        <w:jc w:val="center"/>
        <w:rPr>
          <w:rFonts w:asciiTheme="minorEastAsia" w:hAnsiTheme="minorEastAsia" w:eastAsiaTheme="minorEastAsia" w:cstheme="minorEastAsia"/>
          <w:bCs/>
          <w:sz w:val="32"/>
          <w:szCs w:val="32"/>
        </w:rPr>
      </w:pPr>
      <w:r>
        <w:rPr>
          <w:rFonts w:hint="eastAsia" w:asciiTheme="minorEastAsia" w:hAnsiTheme="minorEastAsia" w:eastAsiaTheme="minorEastAsia" w:cstheme="minorEastAsia"/>
          <w:bCs/>
          <w:sz w:val="32"/>
          <w:szCs w:val="32"/>
        </w:rPr>
        <w:t xml:space="preserve">（GF—2017—0201）</w:t>
      </w:r>
      <w:r/>
    </w:p>
    <w:p>
      <w:pPr>
        <w:pStyle w:val="1041"/>
        <w:jc w:val="center"/>
        <w:rPr>
          <w:rFonts w:asciiTheme="minorEastAsia" w:hAnsiTheme="minorEastAsia" w:eastAsiaTheme="minorEastAsia" w:cstheme="minorEastAsia"/>
          <w:b/>
          <w:sz w:val="52"/>
          <w:szCs w:val="52"/>
        </w:rPr>
      </w:pPr>
      <w:r>
        <w:rPr>
          <w:rFonts w:asciiTheme="minorEastAsia" w:hAnsiTheme="minorEastAsia" w:eastAsiaTheme="minorEastAsia" w:cstheme="minorEastAsia"/>
          <w:b/>
          <w:sz w:val="52"/>
          <w:szCs w:val="52"/>
        </w:rPr>
      </w:r>
      <w:r/>
    </w:p>
    <w:p>
      <w:pPr>
        <w:pStyle w:val="794"/>
        <w:ind w:left="0" w:firstLine="0"/>
        <w:jc w:val="center"/>
        <w:rPr>
          <w:rFonts w:asciiTheme="minorEastAsia" w:hAnsiTheme="minorEastAsia" w:eastAsiaTheme="minorEastAsia" w:cstheme="minorEastAsia"/>
          <w:b w:val="0"/>
          <w:szCs w:val="28"/>
        </w:rPr>
      </w:pPr>
      <w:r/>
      <w:bookmarkStart w:id="45" w:name="_Toc498006744"/>
      <w:r/>
      <w:bookmarkStart w:id="46" w:name="_Toc13260"/>
      <w:r>
        <w:rPr>
          <w:rFonts w:hint="eastAsia" w:asciiTheme="minorEastAsia" w:hAnsiTheme="minorEastAsia" w:eastAsiaTheme="minorEastAsia" w:cstheme="minorEastAsia"/>
          <w:szCs w:val="28"/>
        </w:rPr>
        <w:t xml:space="preserve">第一部分 合同协议书</w:t>
      </w:r>
      <w:bookmarkEnd w:id="45"/>
      <w:r/>
      <w:bookmarkEnd w:id="46"/>
      <w:r/>
      <w:r/>
    </w:p>
    <w:p>
      <w:pPr>
        <w:spacing w:line="332" w:lineRule="auto"/>
        <w:rPr>
          <w:rFonts w:asciiTheme="minorEastAsia" w:hAnsiTheme="minorEastAsia" w:eastAsiaTheme="minorEastAsia" w:cstheme="minorEastAsia"/>
          <w:bCs/>
          <w:szCs w:val="30"/>
        </w:rPr>
      </w:pPr>
      <w:r>
        <w:rPr>
          <w:rFonts w:asciiTheme="minorEastAsia" w:hAnsiTheme="minorEastAsia" w:eastAsiaTheme="minorEastAsia" w:cstheme="minorEastAsia"/>
          <w:bCs/>
          <w:szCs w:val="30"/>
        </w:rPr>
      </w:r>
      <w:r/>
    </w:p>
    <w:p>
      <w:pPr>
        <w:spacing w:line="332" w:lineRule="auto"/>
        <w:rPr>
          <w:rFonts w:asciiTheme="minorEastAsia" w:hAnsiTheme="minorEastAsia" w:eastAsiaTheme="minorEastAsia" w:cstheme="minorEastAsia"/>
          <w:bCs/>
          <w:szCs w:val="30"/>
          <w:u w:val="single"/>
        </w:rPr>
      </w:pPr>
      <w:r>
        <w:rPr>
          <w:rFonts w:hint="eastAsia" w:asciiTheme="minorEastAsia" w:hAnsiTheme="minorEastAsia" w:eastAsiaTheme="minorEastAsia" w:cstheme="minorEastAsia"/>
          <w:bCs/>
          <w:szCs w:val="30"/>
        </w:rPr>
        <w:t xml:space="preserve">发包人（全称）：</w:t>
      </w:r>
      <w:r>
        <w:rPr>
          <w:rFonts w:hint="eastAsia" w:asciiTheme="minorEastAsia" w:hAnsiTheme="minorEastAsia" w:eastAsiaTheme="minorEastAsia" w:cstheme="minorEastAsia"/>
          <w:bCs/>
          <w:szCs w:val="30"/>
          <w:u w:val="single"/>
        </w:rPr>
        <w:t xml:space="preserve">泰州市姜堰区张甸镇人民政府</w:t>
      </w:r>
      <w:r/>
    </w:p>
    <w:p>
      <w:pPr>
        <w:spacing w:line="332" w:lineRule="auto"/>
        <w:rPr>
          <w:rFonts w:asciiTheme="minorEastAsia" w:hAnsiTheme="minorEastAsia" w:eastAsiaTheme="minorEastAsia" w:cstheme="minorEastAsia"/>
          <w:b/>
          <w:szCs w:val="30"/>
          <w:u w:val="single"/>
        </w:rPr>
      </w:pPr>
      <w:r>
        <w:rPr>
          <w:rFonts w:hint="eastAsia" w:asciiTheme="minorEastAsia" w:hAnsiTheme="minorEastAsia" w:eastAsiaTheme="minorEastAsia" w:cstheme="minorEastAsia"/>
          <w:bCs/>
          <w:szCs w:val="30"/>
        </w:rPr>
        <w:t xml:space="preserve">承包人（全称）：</w:t>
      </w:r>
      <w:r>
        <w:rPr>
          <w:rFonts w:hint="eastAsia" w:asciiTheme="minorEastAsia" w:hAnsiTheme="minorEastAsia" w:eastAsiaTheme="minorEastAsia" w:cstheme="minorEastAsia"/>
          <w:b/>
          <w:szCs w:val="30"/>
          <w:u w:val="single"/>
        </w:rPr>
        <w:t xml:space="preserve">                      </w:t>
      </w:r>
      <w:r/>
    </w:p>
    <w:p>
      <w:pPr>
        <w:ind w:firstLine="420"/>
        <w:spacing w:line="332" w:lineRule="auto"/>
        <w:rPr>
          <w:rFonts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根据《中华人民共和国民法典》、《中华人民共和国建筑法》及有关法律规定，遵循平等、自愿、公平和诚实信用的原则，双方就工程施工及有关事项协商一致，共同达成如下协议：</w:t>
      </w:r>
      <w:r/>
    </w:p>
    <w:p>
      <w:pPr>
        <w:pStyle w:val="795"/>
        <w:spacing w:before="0" w:after="0" w:line="360" w:lineRule="auto"/>
        <w:rPr>
          <w:rFonts w:asciiTheme="minorEastAsia" w:hAnsiTheme="minorEastAsia" w:eastAsiaTheme="minorEastAsia" w:cstheme="minorEastAsia"/>
          <w:bCs w:val="0"/>
          <w:szCs w:val="32"/>
        </w:rPr>
      </w:pPr>
      <w:r/>
      <w:bookmarkStart w:id="47" w:name="_Toc351203481"/>
      <w:r>
        <w:rPr>
          <w:rFonts w:hint="eastAsia" w:asciiTheme="minorEastAsia" w:hAnsiTheme="minorEastAsia" w:eastAsiaTheme="minorEastAsia" w:cstheme="minorEastAsia"/>
          <w:bCs w:val="0"/>
          <w:szCs w:val="32"/>
        </w:rPr>
        <w:t xml:space="preserve">一、工程概况</w:t>
      </w:r>
      <w:bookmarkEnd w:id="47"/>
      <w:r/>
      <w:r/>
    </w:p>
    <w:p>
      <w:pPr>
        <w:ind w:firstLine="411"/>
        <w:spacing w:line="332" w:lineRule="auto"/>
        <w:rPr>
          <w:rFonts w:asciiTheme="minorEastAsia" w:hAnsiTheme="minorEastAsia" w:eastAsiaTheme="minorEastAsia" w:cstheme="minorEastAsia"/>
          <w:szCs w:val="30"/>
          <w:u w:val="single"/>
        </w:rPr>
      </w:pPr>
      <w:r>
        <w:rPr>
          <w:rFonts w:hint="eastAsia" w:asciiTheme="minorEastAsia" w:hAnsiTheme="minorEastAsia" w:eastAsiaTheme="minorEastAsia" w:cstheme="minorEastAsia"/>
          <w:bCs/>
          <w:szCs w:val="30"/>
        </w:rPr>
        <w:t xml:space="preserve">1.工程名称</w:t>
      </w:r>
      <w:r>
        <w:rPr>
          <w:rFonts w:hint="eastAsia" w:asciiTheme="minorEastAsia" w:hAnsiTheme="minorEastAsia" w:eastAsiaTheme="minorEastAsia" w:cstheme="minorEastAsia"/>
          <w:szCs w:val="30"/>
        </w:rPr>
        <w:t xml:space="preserve">：。</w:t>
      </w:r>
      <w:r/>
    </w:p>
    <w:p>
      <w:pPr>
        <w:ind w:firstLine="411"/>
        <w:spacing w:line="332" w:lineRule="auto"/>
        <w:rPr>
          <w:rFonts w:asciiTheme="minorEastAsia" w:hAnsiTheme="minorEastAsia" w:eastAsiaTheme="minorEastAsia" w:cstheme="minorEastAsia"/>
          <w:bCs/>
          <w:szCs w:val="30"/>
        </w:rPr>
      </w:pPr>
      <w:r>
        <w:rPr>
          <w:rFonts w:hint="eastAsia" w:asciiTheme="minorEastAsia" w:hAnsiTheme="minorEastAsia" w:eastAsiaTheme="minorEastAsia" w:cstheme="minorEastAsia"/>
          <w:bCs/>
          <w:szCs w:val="30"/>
        </w:rPr>
        <w:t xml:space="preserve">2.工程地点：</w:t>
      </w:r>
      <w:r>
        <w:rPr>
          <w:rFonts w:hint="eastAsia" w:asciiTheme="minorEastAsia" w:hAnsiTheme="minorEastAsia" w:eastAsiaTheme="minorEastAsia" w:cstheme="minorEastAsia"/>
          <w:szCs w:val="30"/>
        </w:rPr>
        <w:t xml:space="preserve">。</w:t>
      </w:r>
      <w:r/>
    </w:p>
    <w:p>
      <w:pPr>
        <w:ind w:firstLine="411"/>
        <w:spacing w:line="332" w:lineRule="auto"/>
        <w:rPr>
          <w:rFonts w:asciiTheme="minorEastAsia" w:hAnsiTheme="minorEastAsia" w:eastAsiaTheme="minorEastAsia" w:cstheme="minorEastAsia"/>
          <w:bCs/>
          <w:szCs w:val="30"/>
        </w:rPr>
      </w:pPr>
      <w:r>
        <w:rPr>
          <w:rFonts w:hint="eastAsia" w:asciiTheme="minorEastAsia" w:hAnsiTheme="minorEastAsia" w:eastAsiaTheme="minorEastAsia" w:cstheme="minorEastAsia"/>
          <w:bCs/>
          <w:szCs w:val="30"/>
        </w:rPr>
        <w:t xml:space="preserve">3.工程立项批准文号：。</w:t>
      </w:r>
      <w:r/>
    </w:p>
    <w:p>
      <w:pPr>
        <w:ind w:firstLine="411"/>
        <w:spacing w:line="332" w:lineRule="auto"/>
        <w:rPr>
          <w:rFonts w:asciiTheme="minorEastAsia" w:hAnsiTheme="minorEastAsia" w:eastAsiaTheme="minorEastAsia" w:cstheme="minorEastAsia"/>
          <w:bCs/>
          <w:szCs w:val="30"/>
        </w:rPr>
      </w:pPr>
      <w:r>
        <w:rPr>
          <w:rFonts w:hint="eastAsia" w:asciiTheme="minorEastAsia" w:hAnsiTheme="minorEastAsia" w:eastAsiaTheme="minorEastAsia" w:cstheme="minorEastAsia"/>
          <w:bCs/>
          <w:szCs w:val="30"/>
        </w:rPr>
        <w:t xml:space="preserve">4.资金来源：</w:t>
      </w:r>
      <w:r>
        <w:rPr>
          <w:rFonts w:hint="eastAsia" w:asciiTheme="minorEastAsia" w:hAnsiTheme="minorEastAsia" w:eastAsiaTheme="minorEastAsia" w:cstheme="minorEastAsia"/>
          <w:szCs w:val="30"/>
          <w:u w:val="single"/>
        </w:rPr>
        <w:t xml:space="preserve">                          </w:t>
      </w:r>
      <w:r>
        <w:rPr>
          <w:rFonts w:hint="eastAsia" w:asciiTheme="minorEastAsia" w:hAnsiTheme="minorEastAsia" w:eastAsiaTheme="minorEastAsia" w:cstheme="minorEastAsia"/>
          <w:bCs/>
          <w:szCs w:val="30"/>
        </w:rPr>
        <w:t xml:space="preserve">。</w:t>
      </w:r>
      <w:r/>
    </w:p>
    <w:p>
      <w:pPr>
        <w:ind w:firstLine="411"/>
        <w:spacing w:line="332" w:lineRule="auto"/>
        <w:rPr>
          <w:rFonts w:asciiTheme="minorEastAsia" w:hAnsiTheme="minorEastAsia" w:eastAsiaTheme="minorEastAsia" w:cstheme="minorEastAsia"/>
          <w:bCs/>
          <w:szCs w:val="30"/>
        </w:rPr>
      </w:pPr>
      <w:r>
        <w:rPr>
          <w:rFonts w:hint="eastAsia" w:asciiTheme="minorEastAsia" w:hAnsiTheme="minorEastAsia" w:eastAsiaTheme="minorEastAsia" w:cstheme="minorEastAsia"/>
          <w:bCs/>
          <w:szCs w:val="30"/>
        </w:rPr>
        <w:t xml:space="preserve">5.工程内容：</w:t>
      </w:r>
      <w:r>
        <w:rPr>
          <w:rFonts w:hint="eastAsia" w:asciiTheme="minorEastAsia" w:hAnsiTheme="minorEastAsia" w:eastAsiaTheme="minorEastAsia" w:cstheme="minorEastAsia"/>
          <w:szCs w:val="30"/>
          <w:u w:val="single"/>
        </w:rPr>
        <w:t xml:space="preserve">                          </w:t>
      </w:r>
      <w:r>
        <w:rPr>
          <w:rFonts w:hint="eastAsia" w:asciiTheme="minorEastAsia" w:hAnsiTheme="minorEastAsia" w:eastAsiaTheme="minorEastAsia" w:cstheme="minorEastAsia"/>
          <w:bCs/>
          <w:szCs w:val="30"/>
        </w:rPr>
        <w:t xml:space="preserve">。</w:t>
      </w:r>
      <w:r/>
    </w:p>
    <w:p>
      <w:pPr>
        <w:ind w:firstLine="411"/>
        <w:spacing w:line="332" w:lineRule="auto"/>
        <w:rPr>
          <w:rFonts w:asciiTheme="minorEastAsia" w:hAnsiTheme="minorEastAsia" w:eastAsiaTheme="minorEastAsia" w:cstheme="minorEastAsia"/>
          <w:bCs/>
          <w:szCs w:val="30"/>
        </w:rPr>
      </w:pPr>
      <w:r>
        <w:rPr>
          <w:rFonts w:hint="eastAsia" w:asciiTheme="minorEastAsia" w:hAnsiTheme="minorEastAsia" w:eastAsiaTheme="minorEastAsia" w:cstheme="minorEastAsia"/>
          <w:szCs w:val="32"/>
        </w:rPr>
        <w:t xml:space="preserve">群体工程应附《承包人承揽工程项目一览表》（附件1）。</w:t>
      </w:r>
      <w:r/>
    </w:p>
    <w:p>
      <w:pPr>
        <w:ind w:firstLine="411"/>
        <w:spacing w:line="332" w:lineRule="auto"/>
        <w:rPr>
          <w:rFonts w:asciiTheme="minorEastAsia" w:hAnsiTheme="minorEastAsia" w:eastAsiaTheme="minorEastAsia" w:cstheme="minorEastAsia"/>
          <w:bCs/>
          <w:szCs w:val="30"/>
        </w:rPr>
      </w:pPr>
      <w:r>
        <w:rPr>
          <w:rFonts w:hint="eastAsia" w:asciiTheme="minorEastAsia" w:hAnsiTheme="minorEastAsia" w:eastAsiaTheme="minorEastAsia" w:cstheme="minorEastAsia"/>
          <w:bCs/>
          <w:szCs w:val="30"/>
        </w:rPr>
        <w:t xml:space="preserve">6.工程承包范围：</w:t>
      </w:r>
      <w:r/>
    </w:p>
    <w:p>
      <w:pPr>
        <w:ind w:firstLine="420"/>
        <w:spacing w:line="332" w:lineRule="auto"/>
        <w:rPr>
          <w:rFonts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w:t>
      </w:r>
      <w:r/>
    </w:p>
    <w:p>
      <w:pPr>
        <w:pStyle w:val="795"/>
        <w:spacing w:before="0" w:after="0" w:line="360" w:lineRule="auto"/>
        <w:rPr>
          <w:rFonts w:asciiTheme="minorEastAsia" w:hAnsiTheme="minorEastAsia" w:eastAsiaTheme="minorEastAsia" w:cstheme="minorEastAsia"/>
          <w:bCs w:val="0"/>
          <w:szCs w:val="32"/>
        </w:rPr>
      </w:pPr>
      <w:r/>
      <w:bookmarkStart w:id="48" w:name="_Toc351203482"/>
      <w:r>
        <w:rPr>
          <w:rFonts w:hint="eastAsia" w:asciiTheme="minorEastAsia" w:hAnsiTheme="minorEastAsia" w:eastAsiaTheme="minorEastAsia" w:cstheme="minorEastAsia"/>
          <w:bCs w:val="0"/>
          <w:szCs w:val="32"/>
        </w:rPr>
        <w:t xml:space="preserve">二、合同工期</w:t>
      </w:r>
      <w:bookmarkEnd w:id="48"/>
      <w:r/>
      <w:r/>
    </w:p>
    <w:p>
      <w:pPr>
        <w:ind w:firstLine="459"/>
        <w:spacing w:line="332" w:lineRule="auto"/>
        <w:rPr>
          <w:rFonts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计划开工日期：年月日。</w:t>
      </w:r>
      <w:r/>
    </w:p>
    <w:p>
      <w:pPr>
        <w:ind w:firstLine="459"/>
        <w:spacing w:line="332" w:lineRule="auto"/>
        <w:rPr>
          <w:rFonts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计划竣工日期：年月日。</w:t>
      </w:r>
      <w:r/>
    </w:p>
    <w:p>
      <w:pPr>
        <w:ind w:firstLine="459"/>
        <w:spacing w:line="332" w:lineRule="auto"/>
        <w:rPr>
          <w:rFonts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工期总日历天数：天。工期总日历天数与根据前述计划开竣工日期计算的工期天数不一致的，以工期总日历天数为准。</w:t>
      </w:r>
      <w:r/>
    </w:p>
    <w:p>
      <w:pPr>
        <w:pStyle w:val="795"/>
        <w:spacing w:before="0" w:after="0" w:line="360" w:lineRule="auto"/>
        <w:rPr>
          <w:rFonts w:asciiTheme="minorEastAsia" w:hAnsiTheme="minorEastAsia" w:eastAsiaTheme="minorEastAsia" w:cstheme="minorEastAsia"/>
          <w:bCs w:val="0"/>
          <w:szCs w:val="32"/>
        </w:rPr>
      </w:pPr>
      <w:r/>
      <w:bookmarkStart w:id="49" w:name="_Toc351203483"/>
      <w:r>
        <w:rPr>
          <w:rFonts w:hint="eastAsia" w:asciiTheme="minorEastAsia" w:hAnsiTheme="minorEastAsia" w:eastAsiaTheme="minorEastAsia" w:cstheme="minorEastAsia"/>
          <w:bCs w:val="0"/>
          <w:szCs w:val="32"/>
        </w:rPr>
        <w:t xml:space="preserve">三、质量标准</w:t>
      </w:r>
      <w:bookmarkEnd w:id="49"/>
      <w:r/>
      <w:r/>
    </w:p>
    <w:p>
      <w:pPr>
        <w:ind w:firstLine="459"/>
        <w:spacing w:line="332" w:lineRule="auto"/>
        <w:rPr>
          <w:rFonts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工程质量符合</w:t>
      </w:r>
      <w:r>
        <w:rPr>
          <w:rFonts w:hint="eastAsia" w:asciiTheme="minorEastAsia" w:hAnsiTheme="minorEastAsia" w:eastAsiaTheme="minorEastAsia" w:cstheme="minorEastAsia"/>
          <w:szCs w:val="30"/>
          <w:u w:val="single"/>
        </w:rPr>
        <w:t xml:space="preserve">                         </w:t>
      </w:r>
      <w:r>
        <w:rPr>
          <w:rFonts w:hint="eastAsia" w:asciiTheme="minorEastAsia" w:hAnsiTheme="minorEastAsia" w:eastAsiaTheme="minorEastAsia" w:cstheme="minorEastAsia"/>
          <w:szCs w:val="30"/>
        </w:rPr>
        <w:t xml:space="preserve">标准。</w:t>
      </w:r>
      <w:r/>
    </w:p>
    <w:p>
      <w:pPr>
        <w:pStyle w:val="795"/>
        <w:spacing w:before="0" w:after="0" w:line="360" w:lineRule="auto"/>
        <w:rPr>
          <w:rFonts w:asciiTheme="minorEastAsia" w:hAnsiTheme="minorEastAsia" w:eastAsiaTheme="minorEastAsia" w:cstheme="minorEastAsia"/>
          <w:bCs w:val="0"/>
          <w:szCs w:val="32"/>
        </w:rPr>
      </w:pPr>
      <w:r/>
      <w:bookmarkStart w:id="50" w:name="_Toc351203484"/>
      <w:r>
        <w:rPr>
          <w:rFonts w:hint="eastAsia" w:asciiTheme="minorEastAsia" w:hAnsiTheme="minorEastAsia" w:eastAsiaTheme="minorEastAsia" w:cstheme="minorEastAsia"/>
          <w:bCs w:val="0"/>
          <w:szCs w:val="32"/>
        </w:rPr>
        <w:t xml:space="preserve">四、签约合同价与合同价格形式</w:t>
      </w:r>
      <w:bookmarkEnd w:id="50"/>
      <w:r>
        <w:rPr>
          <w:rFonts w:hint="eastAsia" w:asciiTheme="minorEastAsia" w:hAnsiTheme="minorEastAsia" w:eastAsiaTheme="minorEastAsia" w:cstheme="minorEastAsia"/>
          <w:b w:val="0"/>
          <w:szCs w:val="32"/>
        </w:rPr>
        <w:tab/>
      </w:r>
      <w:r/>
    </w:p>
    <w:p>
      <w:pPr>
        <w:ind w:firstLine="420"/>
        <w:spacing w:line="332" w:lineRule="auto"/>
        <w:rPr>
          <w:rFonts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1.签约合同价为：</w:t>
      </w:r>
      <w:r/>
    </w:p>
    <w:p>
      <w:pPr>
        <w:ind w:firstLine="525"/>
        <w:spacing w:line="332" w:lineRule="auto"/>
        <w:rPr>
          <w:rFonts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人民币（大写）(¥元)；</w:t>
      </w:r>
      <w:r/>
    </w:p>
    <w:p>
      <w:pPr>
        <w:ind w:firstLine="420"/>
        <w:spacing w:line="332" w:lineRule="auto"/>
        <w:rPr>
          <w:rFonts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其中：</w:t>
      </w:r>
      <w:r/>
    </w:p>
    <w:p>
      <w:pPr>
        <w:ind w:firstLine="420"/>
        <w:spacing w:line="332" w:lineRule="auto"/>
        <w:rPr>
          <w:rFonts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（1）安全文明施工费：</w:t>
      </w:r>
      <w:r/>
    </w:p>
    <w:p>
      <w:pPr>
        <w:ind w:firstLine="945"/>
        <w:spacing w:line="332" w:lineRule="auto"/>
        <w:rPr>
          <w:rFonts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人民币（大写） (¥元)；</w:t>
      </w:r>
      <w:r/>
    </w:p>
    <w:p>
      <w:pPr>
        <w:ind w:firstLine="420"/>
        <w:spacing w:line="332" w:lineRule="auto"/>
        <w:rPr>
          <w:rFonts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（2）材料和工程设备暂估价金额：</w:t>
      </w:r>
      <w:r/>
    </w:p>
    <w:p>
      <w:pPr>
        <w:ind w:firstLine="945"/>
        <w:spacing w:line="332" w:lineRule="auto"/>
        <w:rPr>
          <w:rFonts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人民币（大写） (¥元)；</w:t>
      </w:r>
      <w:r/>
    </w:p>
    <w:p>
      <w:pPr>
        <w:ind w:firstLine="420"/>
        <w:spacing w:line="332" w:lineRule="auto"/>
        <w:rPr>
          <w:rFonts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（3）专业工程暂估价金额：</w:t>
      </w:r>
      <w:r/>
    </w:p>
    <w:p>
      <w:pPr>
        <w:ind w:firstLine="945"/>
        <w:spacing w:line="332" w:lineRule="auto"/>
        <w:rPr>
          <w:rFonts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人民币（大写） (¥元)；</w:t>
      </w:r>
      <w:r/>
    </w:p>
    <w:p>
      <w:pPr>
        <w:ind w:firstLine="420"/>
        <w:spacing w:line="332" w:lineRule="auto"/>
        <w:rPr>
          <w:rFonts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（4）暂列金额：</w:t>
      </w:r>
      <w:r/>
    </w:p>
    <w:p>
      <w:pPr>
        <w:ind w:firstLine="945"/>
        <w:spacing w:line="332" w:lineRule="auto"/>
        <w:rPr>
          <w:rFonts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人民币（大写） (¥元)。</w:t>
      </w:r>
      <w:r/>
    </w:p>
    <w:p>
      <w:pPr>
        <w:ind w:firstLine="420"/>
        <w:spacing w:line="332" w:lineRule="auto"/>
        <w:rPr>
          <w:rFonts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2.合同价格形式：</w:t>
      </w:r>
      <w:r>
        <w:rPr>
          <w:rFonts w:hint="eastAsia" w:asciiTheme="minorEastAsia" w:hAnsiTheme="minorEastAsia" w:eastAsiaTheme="minorEastAsia" w:cstheme="minorEastAsia"/>
          <w:szCs w:val="30"/>
          <w:u w:val="single"/>
        </w:rPr>
        <w:t xml:space="preserve">                      </w:t>
      </w:r>
      <w:r>
        <w:rPr>
          <w:rFonts w:hint="eastAsia" w:asciiTheme="minorEastAsia" w:hAnsiTheme="minorEastAsia" w:eastAsiaTheme="minorEastAsia" w:cstheme="minorEastAsia"/>
          <w:szCs w:val="30"/>
        </w:rPr>
        <w:t xml:space="preserve">。</w:t>
      </w:r>
      <w:r/>
    </w:p>
    <w:p>
      <w:pPr>
        <w:pStyle w:val="795"/>
        <w:spacing w:before="0" w:after="0" w:line="360" w:lineRule="auto"/>
        <w:rPr>
          <w:rFonts w:asciiTheme="minorEastAsia" w:hAnsiTheme="minorEastAsia" w:eastAsiaTheme="minorEastAsia" w:cstheme="minorEastAsia"/>
          <w:bCs w:val="0"/>
          <w:szCs w:val="32"/>
        </w:rPr>
      </w:pPr>
      <w:r/>
      <w:bookmarkStart w:id="51" w:name="_Toc351203485"/>
      <w:r>
        <w:rPr>
          <w:rFonts w:hint="eastAsia" w:asciiTheme="minorEastAsia" w:hAnsiTheme="minorEastAsia" w:eastAsiaTheme="minorEastAsia" w:cstheme="minorEastAsia"/>
          <w:bCs w:val="0"/>
          <w:szCs w:val="32"/>
        </w:rPr>
        <w:t xml:space="preserve">五、</w:t>
      </w:r>
      <w:bookmarkEnd w:id="51"/>
      <w:r>
        <w:rPr>
          <w:rFonts w:hint="eastAsia" w:asciiTheme="minorEastAsia" w:hAnsiTheme="minorEastAsia" w:eastAsiaTheme="minorEastAsia" w:cstheme="minorEastAsia"/>
          <w:bCs w:val="0"/>
          <w:szCs w:val="32"/>
        </w:rPr>
        <w:t xml:space="preserve">项目经理</w:t>
      </w:r>
      <w:r/>
    </w:p>
    <w:p>
      <w:pPr>
        <w:ind w:firstLine="420"/>
        <w:spacing w:line="332" w:lineRule="auto"/>
        <w:rPr>
          <w:rFonts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承包人项目经理：</w:t>
      </w:r>
      <w:r>
        <w:rPr>
          <w:rFonts w:hint="eastAsia" w:asciiTheme="minorEastAsia" w:hAnsiTheme="minorEastAsia" w:eastAsiaTheme="minorEastAsia" w:cstheme="minorEastAsia"/>
          <w:szCs w:val="30"/>
          <w:u w:val="single"/>
        </w:rPr>
        <w:t xml:space="preserve">                     </w:t>
      </w:r>
      <w:r>
        <w:rPr>
          <w:rFonts w:hint="eastAsia" w:asciiTheme="minorEastAsia" w:hAnsiTheme="minorEastAsia" w:eastAsiaTheme="minorEastAsia" w:cstheme="minorEastAsia"/>
          <w:szCs w:val="30"/>
        </w:rPr>
        <w:t xml:space="preserve">。</w:t>
      </w:r>
      <w:r/>
    </w:p>
    <w:p>
      <w:pPr>
        <w:pStyle w:val="795"/>
        <w:spacing w:before="0" w:after="0" w:line="360" w:lineRule="auto"/>
        <w:rPr>
          <w:rFonts w:asciiTheme="minorEastAsia" w:hAnsiTheme="minorEastAsia" w:eastAsiaTheme="minorEastAsia" w:cstheme="minorEastAsia"/>
          <w:bCs w:val="0"/>
          <w:szCs w:val="32"/>
        </w:rPr>
      </w:pPr>
      <w:r/>
      <w:bookmarkStart w:id="52" w:name="_Toc351203486"/>
      <w:r>
        <w:rPr>
          <w:rFonts w:hint="eastAsia" w:asciiTheme="minorEastAsia" w:hAnsiTheme="minorEastAsia" w:eastAsiaTheme="minorEastAsia" w:cstheme="minorEastAsia"/>
          <w:bCs w:val="0"/>
          <w:szCs w:val="32"/>
        </w:rPr>
        <w:t xml:space="preserve">六、合同文件构成</w:t>
      </w:r>
      <w:bookmarkEnd w:id="52"/>
      <w:r/>
      <w:r/>
    </w:p>
    <w:p>
      <w:pPr>
        <w:ind w:firstLine="420"/>
        <w:spacing w:line="332" w:lineRule="auto"/>
        <w:rPr>
          <w:rFonts w:asciiTheme="minorEastAsia" w:hAnsiTheme="minorEastAsia" w:eastAsiaTheme="minorEastAsia" w:cstheme="minorEastAsia"/>
          <w:bCs/>
          <w:szCs w:val="30"/>
        </w:rPr>
      </w:pPr>
      <w:r>
        <w:rPr>
          <w:rFonts w:hint="eastAsia" w:asciiTheme="minorEastAsia" w:hAnsiTheme="minorEastAsia" w:eastAsiaTheme="minorEastAsia" w:cstheme="minorEastAsia"/>
          <w:bCs/>
          <w:szCs w:val="30"/>
        </w:rPr>
        <w:t xml:space="preserve">本协议书与下列文件一起构成合同文件：</w:t>
      </w:r>
      <w:r/>
    </w:p>
    <w:p>
      <w:pPr>
        <w:ind w:firstLine="420"/>
        <w:jc w:val="left"/>
        <w:spacing w:line="332" w:lineRule="auto"/>
        <w:rPr>
          <w:rFonts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（1）中标通知书（如果有）；</w:t>
      </w:r>
      <w:r/>
    </w:p>
    <w:p>
      <w:pPr>
        <w:ind w:firstLine="420"/>
        <w:jc w:val="left"/>
        <w:spacing w:line="332" w:lineRule="auto"/>
        <w:rPr>
          <w:rFonts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（2）投标函及投标函附录； </w:t>
      </w:r>
      <w:r/>
    </w:p>
    <w:p>
      <w:pPr>
        <w:ind w:firstLine="420"/>
        <w:jc w:val="left"/>
        <w:spacing w:line="332" w:lineRule="auto"/>
        <w:rPr>
          <w:rFonts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（3）专用合同条款及其附件；</w:t>
      </w:r>
      <w:r/>
    </w:p>
    <w:p>
      <w:pPr>
        <w:ind w:firstLine="420"/>
        <w:jc w:val="left"/>
        <w:spacing w:line="332" w:lineRule="auto"/>
        <w:rPr>
          <w:rFonts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（4）通用合同条款；</w:t>
      </w:r>
      <w:r/>
    </w:p>
    <w:p>
      <w:pPr>
        <w:ind w:firstLine="420"/>
        <w:jc w:val="left"/>
        <w:spacing w:line="332" w:lineRule="auto"/>
        <w:rPr>
          <w:rFonts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（5）技术标准和要求；</w:t>
      </w:r>
      <w:r/>
    </w:p>
    <w:p>
      <w:pPr>
        <w:ind w:firstLine="420"/>
        <w:jc w:val="left"/>
        <w:spacing w:line="332" w:lineRule="auto"/>
        <w:rPr>
          <w:rFonts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（6）图纸；</w:t>
      </w:r>
      <w:r/>
    </w:p>
    <w:p>
      <w:pPr>
        <w:ind w:firstLine="420"/>
        <w:jc w:val="left"/>
        <w:spacing w:line="332" w:lineRule="auto"/>
        <w:rPr>
          <w:rFonts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（7）已标价工程量清单或预算书；</w:t>
      </w:r>
      <w:r/>
    </w:p>
    <w:p>
      <w:pPr>
        <w:ind w:firstLine="420"/>
        <w:jc w:val="left"/>
        <w:spacing w:line="332" w:lineRule="auto"/>
        <w:rPr>
          <w:rFonts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（8）其他合同文件。</w:t>
      </w:r>
      <w:r/>
    </w:p>
    <w:p>
      <w:pPr>
        <w:ind w:firstLine="420"/>
        <w:jc w:val="left"/>
        <w:spacing w:line="332" w:lineRule="auto"/>
        <w:rPr>
          <w:rFonts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在合同订立及履行过程中形成的与合同有关的文件均构成合同文件组成部分。</w:t>
      </w:r>
      <w:r/>
    </w:p>
    <w:p>
      <w:pPr>
        <w:ind w:firstLine="420"/>
        <w:jc w:val="left"/>
        <w:spacing w:line="332" w:lineRule="auto"/>
        <w:rPr>
          <w:rFonts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上述各项合同文件包括合同当事人就该项合同文件所作出的补充和修改，属于同一类内容的文件，应以最新签署的为准。专用合同条款及其附件须经合同当事人签字或盖章。</w:t>
      </w:r>
      <w:r/>
    </w:p>
    <w:p>
      <w:pPr>
        <w:pStyle w:val="795"/>
        <w:spacing w:before="0" w:after="0" w:line="360" w:lineRule="auto"/>
        <w:rPr>
          <w:rFonts w:asciiTheme="minorEastAsia" w:hAnsiTheme="minorEastAsia" w:eastAsiaTheme="minorEastAsia" w:cstheme="minorEastAsia"/>
          <w:bCs w:val="0"/>
          <w:szCs w:val="32"/>
        </w:rPr>
      </w:pPr>
      <w:r/>
      <w:bookmarkStart w:id="53" w:name="_Toc351203487"/>
      <w:r>
        <w:rPr>
          <w:rFonts w:hint="eastAsia" w:asciiTheme="minorEastAsia" w:hAnsiTheme="minorEastAsia" w:eastAsiaTheme="minorEastAsia" w:cstheme="minorEastAsia"/>
          <w:bCs w:val="0"/>
          <w:szCs w:val="32"/>
        </w:rPr>
        <w:t xml:space="preserve">七、承诺</w:t>
      </w:r>
      <w:bookmarkEnd w:id="53"/>
      <w:r/>
      <w:r/>
    </w:p>
    <w:p>
      <w:pPr>
        <w:ind w:firstLine="420"/>
        <w:spacing w:line="332" w:lineRule="auto"/>
        <w:rPr>
          <w:rFonts w:asciiTheme="minorEastAsia" w:hAnsiTheme="minorEastAsia" w:eastAsiaTheme="minorEastAsia" w:cstheme="minorEastAsia"/>
          <w:bCs/>
          <w:szCs w:val="30"/>
        </w:rPr>
      </w:pPr>
      <w:r>
        <w:rPr>
          <w:rFonts w:hint="eastAsia" w:asciiTheme="minorEastAsia" w:hAnsiTheme="minorEastAsia" w:eastAsiaTheme="minorEastAsia" w:cstheme="minorEastAsia"/>
          <w:bCs/>
          <w:szCs w:val="30"/>
        </w:rPr>
        <w:t xml:space="preserve">1.发包人承诺按照法律规定履行项目审批手续、筹集工程建设资金并按照合同约定的期限和方式支付合同价款。</w:t>
      </w:r>
      <w:r/>
    </w:p>
    <w:p>
      <w:pPr>
        <w:ind w:firstLine="420"/>
        <w:spacing w:line="332" w:lineRule="auto"/>
        <w:rPr>
          <w:rFonts w:asciiTheme="minorEastAsia" w:hAnsiTheme="minorEastAsia" w:eastAsiaTheme="minorEastAsia" w:cstheme="minorEastAsia"/>
          <w:bCs/>
          <w:szCs w:val="30"/>
        </w:rPr>
      </w:pPr>
      <w:r>
        <w:rPr>
          <w:rFonts w:hint="eastAsia" w:asciiTheme="minorEastAsia" w:hAnsiTheme="minorEastAsia" w:eastAsiaTheme="minorEastAsia" w:cstheme="minorEastAsia"/>
          <w:bCs/>
          <w:szCs w:val="30"/>
        </w:rPr>
        <w:t xml:space="preserve">2.承包人承诺按照法律规定及合同约定组织完成工程施工，确保工程质量和安全，不进行转包及违法分包，并在缺陷责任期及保修期内承担相应的工程维修责任。</w:t>
      </w:r>
      <w:r/>
    </w:p>
    <w:p>
      <w:pPr>
        <w:ind w:firstLine="420"/>
        <w:spacing w:line="332" w:lineRule="auto"/>
        <w:rPr>
          <w:rFonts w:asciiTheme="minorEastAsia" w:hAnsiTheme="minorEastAsia" w:eastAsiaTheme="minorEastAsia" w:cstheme="minorEastAsia"/>
          <w:bCs/>
          <w:szCs w:val="30"/>
        </w:rPr>
      </w:pPr>
      <w:r>
        <w:rPr>
          <w:rFonts w:hint="eastAsia" w:asciiTheme="minorEastAsia" w:hAnsiTheme="minorEastAsia" w:eastAsiaTheme="minorEastAsia" w:cstheme="minorEastAsia"/>
          <w:bCs/>
          <w:szCs w:val="30"/>
        </w:rPr>
        <w:t xml:space="preserve">3.发包人和承包人通过招投标形式签订合同的，双方理解并承诺不再就同一工程另行签订与合同实质性内容相背离的协议。</w:t>
      </w:r>
      <w:r/>
    </w:p>
    <w:p>
      <w:pPr>
        <w:pStyle w:val="795"/>
        <w:spacing w:before="0" w:after="0" w:line="360" w:lineRule="auto"/>
        <w:rPr>
          <w:rFonts w:asciiTheme="minorEastAsia" w:hAnsiTheme="minorEastAsia" w:eastAsiaTheme="minorEastAsia" w:cstheme="minorEastAsia"/>
          <w:szCs w:val="32"/>
        </w:rPr>
      </w:pPr>
      <w:r/>
      <w:bookmarkStart w:id="54" w:name="_Toc351203488"/>
      <w:r>
        <w:rPr>
          <w:rFonts w:hint="eastAsia" w:asciiTheme="minorEastAsia" w:hAnsiTheme="minorEastAsia" w:eastAsiaTheme="minorEastAsia" w:cstheme="minorEastAsia"/>
          <w:szCs w:val="32"/>
        </w:rPr>
        <w:t xml:space="preserve">八、词语含义</w:t>
      </w:r>
      <w:bookmarkEnd w:id="54"/>
      <w:r/>
      <w:r/>
    </w:p>
    <w:p>
      <w:pPr>
        <w:ind w:firstLine="420"/>
        <w:spacing w:line="332" w:lineRule="auto"/>
        <w:rPr>
          <w:rFonts w:asciiTheme="minorEastAsia" w:hAnsiTheme="minorEastAsia" w:eastAsiaTheme="minorEastAsia" w:cstheme="minorEastAsia"/>
          <w:bCs/>
          <w:szCs w:val="30"/>
        </w:rPr>
      </w:pPr>
      <w:r>
        <w:rPr>
          <w:rFonts w:hint="eastAsia" w:asciiTheme="minorEastAsia" w:hAnsiTheme="minorEastAsia" w:eastAsiaTheme="minorEastAsia" w:cstheme="minorEastAsia"/>
          <w:bCs/>
          <w:szCs w:val="30"/>
        </w:rPr>
        <w:t xml:space="preserve">本协议书中词语含义与第二部分通用合同条款中赋予的含义相同。</w:t>
      </w:r>
      <w:r/>
    </w:p>
    <w:p>
      <w:pPr>
        <w:pStyle w:val="795"/>
        <w:spacing w:before="0" w:after="0" w:line="360" w:lineRule="auto"/>
        <w:rPr>
          <w:rFonts w:asciiTheme="minorEastAsia" w:hAnsiTheme="minorEastAsia" w:eastAsiaTheme="minorEastAsia" w:cstheme="minorEastAsia"/>
          <w:szCs w:val="32"/>
        </w:rPr>
      </w:pPr>
      <w:r/>
      <w:bookmarkStart w:id="55" w:name="_Toc351203489"/>
      <w:r>
        <w:rPr>
          <w:rFonts w:hint="eastAsia" w:asciiTheme="minorEastAsia" w:hAnsiTheme="minorEastAsia" w:eastAsiaTheme="minorEastAsia" w:cstheme="minorEastAsia"/>
          <w:szCs w:val="32"/>
        </w:rPr>
        <w:t xml:space="preserve">九、签订时间</w:t>
      </w:r>
      <w:bookmarkEnd w:id="55"/>
      <w:r/>
      <w:r/>
    </w:p>
    <w:p>
      <w:pPr>
        <w:ind w:firstLine="420"/>
        <w:spacing w:line="332" w:lineRule="auto"/>
        <w:rPr>
          <w:rFonts w:asciiTheme="minorEastAsia" w:hAnsiTheme="minorEastAsia" w:eastAsiaTheme="minorEastAsia" w:cstheme="minorEastAsia"/>
          <w:bCs/>
          <w:szCs w:val="30"/>
        </w:rPr>
      </w:pPr>
      <w:r>
        <w:rPr>
          <w:rFonts w:hint="eastAsia" w:asciiTheme="minorEastAsia" w:hAnsiTheme="minorEastAsia" w:eastAsiaTheme="minorEastAsia" w:cstheme="minorEastAsia"/>
          <w:bCs/>
          <w:szCs w:val="30"/>
        </w:rPr>
        <w:t xml:space="preserve">本合同于年月日签订。</w:t>
      </w:r>
      <w:r/>
    </w:p>
    <w:p>
      <w:pPr>
        <w:pStyle w:val="795"/>
        <w:spacing w:before="0" w:after="0" w:line="360" w:lineRule="auto"/>
        <w:rPr>
          <w:rFonts w:asciiTheme="minorEastAsia" w:hAnsiTheme="minorEastAsia" w:eastAsiaTheme="minorEastAsia" w:cstheme="minorEastAsia"/>
          <w:bCs w:val="0"/>
          <w:szCs w:val="32"/>
        </w:rPr>
      </w:pPr>
      <w:r/>
      <w:bookmarkStart w:id="56" w:name="_Toc351203490"/>
      <w:r>
        <w:rPr>
          <w:rFonts w:hint="eastAsia" w:asciiTheme="minorEastAsia" w:hAnsiTheme="minorEastAsia" w:eastAsiaTheme="minorEastAsia" w:cstheme="minorEastAsia"/>
          <w:bCs w:val="0"/>
          <w:szCs w:val="32"/>
        </w:rPr>
        <w:t xml:space="preserve">十、签订地点</w:t>
      </w:r>
      <w:bookmarkEnd w:id="56"/>
      <w:r/>
      <w:r/>
    </w:p>
    <w:p>
      <w:pPr>
        <w:ind w:firstLine="420"/>
        <w:spacing w:line="332" w:lineRule="auto"/>
        <w:rPr>
          <w:rFonts w:asciiTheme="minorEastAsia" w:hAnsiTheme="minorEastAsia" w:eastAsiaTheme="minorEastAsia" w:cstheme="minorEastAsia"/>
          <w:bCs/>
          <w:szCs w:val="30"/>
        </w:rPr>
      </w:pPr>
      <w:r>
        <w:rPr>
          <w:rFonts w:hint="eastAsia" w:asciiTheme="minorEastAsia" w:hAnsiTheme="minorEastAsia" w:eastAsiaTheme="minorEastAsia" w:cstheme="minorEastAsia"/>
          <w:bCs/>
          <w:szCs w:val="30"/>
        </w:rPr>
        <w:t xml:space="preserve">本合同在签订。</w:t>
      </w:r>
      <w:r/>
    </w:p>
    <w:p>
      <w:pPr>
        <w:pStyle w:val="795"/>
        <w:spacing w:before="0" w:after="0" w:line="360" w:lineRule="auto"/>
        <w:rPr>
          <w:rFonts w:asciiTheme="minorEastAsia" w:hAnsiTheme="minorEastAsia" w:eastAsiaTheme="minorEastAsia" w:cstheme="minorEastAsia"/>
          <w:bCs w:val="0"/>
          <w:szCs w:val="32"/>
        </w:rPr>
      </w:pPr>
      <w:r/>
      <w:bookmarkStart w:id="57" w:name="_Toc351203491"/>
      <w:r>
        <w:rPr>
          <w:rFonts w:hint="eastAsia" w:asciiTheme="minorEastAsia" w:hAnsiTheme="minorEastAsia" w:eastAsiaTheme="minorEastAsia" w:cstheme="minorEastAsia"/>
          <w:bCs w:val="0"/>
          <w:szCs w:val="32"/>
        </w:rPr>
        <w:t xml:space="preserve">十一、补充协议</w:t>
      </w:r>
      <w:bookmarkEnd w:id="57"/>
      <w:r/>
      <w:r/>
    </w:p>
    <w:p>
      <w:pPr>
        <w:ind w:firstLine="420"/>
        <w:spacing w:line="332" w:lineRule="auto"/>
        <w:rPr>
          <w:rFonts w:asciiTheme="minorEastAsia" w:hAnsiTheme="minorEastAsia" w:eastAsiaTheme="minorEastAsia" w:cstheme="minorEastAsia"/>
          <w:b/>
          <w:bCs/>
          <w:szCs w:val="30"/>
        </w:rPr>
      </w:pPr>
      <w:r>
        <w:rPr>
          <w:rFonts w:hint="eastAsia" w:asciiTheme="minorEastAsia" w:hAnsiTheme="minorEastAsia" w:eastAsiaTheme="minorEastAsia" w:cstheme="minorEastAsia"/>
          <w:bCs/>
          <w:szCs w:val="30"/>
        </w:rPr>
        <w:t xml:space="preserve">合同未尽事宜，合同当事人另行签订补充协议，补充协议是合同的组成部分。</w:t>
      </w:r>
      <w:r/>
    </w:p>
    <w:p>
      <w:pPr>
        <w:pStyle w:val="795"/>
        <w:spacing w:before="0" w:after="0" w:line="360" w:lineRule="auto"/>
        <w:rPr>
          <w:rFonts w:asciiTheme="minorEastAsia" w:hAnsiTheme="minorEastAsia" w:eastAsiaTheme="minorEastAsia" w:cstheme="minorEastAsia"/>
          <w:bCs w:val="0"/>
          <w:szCs w:val="32"/>
        </w:rPr>
      </w:pPr>
      <w:r/>
      <w:bookmarkStart w:id="58" w:name="_Toc351203492"/>
      <w:r>
        <w:rPr>
          <w:rFonts w:hint="eastAsia" w:asciiTheme="minorEastAsia" w:hAnsiTheme="minorEastAsia" w:eastAsiaTheme="minorEastAsia" w:cstheme="minorEastAsia"/>
          <w:bCs w:val="0"/>
          <w:szCs w:val="32"/>
        </w:rPr>
        <w:t xml:space="preserve">十二、合同生效</w:t>
      </w:r>
      <w:bookmarkEnd w:id="58"/>
      <w:r/>
      <w:r/>
    </w:p>
    <w:p>
      <w:pPr>
        <w:ind w:firstLine="420"/>
        <w:spacing w:line="332" w:lineRule="auto"/>
        <w:rPr>
          <w:rFonts w:asciiTheme="minorEastAsia" w:hAnsiTheme="minorEastAsia" w:eastAsiaTheme="minorEastAsia" w:cstheme="minorEastAsia"/>
          <w:bCs/>
          <w:szCs w:val="30"/>
        </w:rPr>
      </w:pPr>
      <w:r>
        <w:rPr>
          <w:rFonts w:hint="eastAsia" w:asciiTheme="minorEastAsia" w:hAnsiTheme="minorEastAsia" w:eastAsiaTheme="minorEastAsia" w:cstheme="minorEastAsia"/>
          <w:bCs/>
          <w:szCs w:val="30"/>
        </w:rPr>
        <w:t xml:space="preserve">本合同自生效。</w:t>
      </w:r>
      <w:r/>
    </w:p>
    <w:p>
      <w:pPr>
        <w:pStyle w:val="795"/>
        <w:spacing w:before="0" w:after="0" w:line="360" w:lineRule="auto"/>
        <w:rPr>
          <w:rFonts w:asciiTheme="minorEastAsia" w:hAnsiTheme="minorEastAsia" w:eastAsiaTheme="minorEastAsia" w:cstheme="minorEastAsia"/>
          <w:bCs w:val="0"/>
          <w:szCs w:val="32"/>
        </w:rPr>
      </w:pPr>
      <w:r/>
      <w:bookmarkStart w:id="59" w:name="_Toc351203493"/>
      <w:r>
        <w:rPr>
          <w:rFonts w:hint="eastAsia" w:asciiTheme="minorEastAsia" w:hAnsiTheme="minorEastAsia" w:eastAsiaTheme="minorEastAsia" w:cstheme="minorEastAsia"/>
          <w:bCs w:val="0"/>
          <w:szCs w:val="32"/>
        </w:rPr>
        <w:t xml:space="preserve">十三、合同份数</w:t>
      </w:r>
      <w:bookmarkEnd w:id="59"/>
      <w:r/>
      <w:r/>
    </w:p>
    <w:p>
      <w:pPr>
        <w:ind w:firstLine="420"/>
        <w:spacing w:line="332" w:lineRule="auto"/>
        <w:rPr>
          <w:rFonts w:asciiTheme="minorEastAsia" w:hAnsiTheme="minorEastAsia" w:eastAsiaTheme="minorEastAsia" w:cstheme="minorEastAsia"/>
          <w:bCs/>
          <w:szCs w:val="30"/>
        </w:rPr>
      </w:pPr>
      <w:r>
        <w:rPr>
          <w:rFonts w:hint="eastAsia" w:asciiTheme="minorEastAsia" w:hAnsiTheme="minorEastAsia" w:eastAsiaTheme="minorEastAsia" w:cstheme="minorEastAsia"/>
          <w:bCs/>
          <w:szCs w:val="30"/>
        </w:rPr>
        <w:t xml:space="preserve">本合同一式份，均具有同等法律效力，发包人执份，承包人执份。</w:t>
      </w:r>
      <w:r/>
    </w:p>
    <w:p>
      <w:pPr>
        <w:ind w:firstLine="420"/>
        <w:spacing w:line="332" w:lineRule="auto"/>
        <w:rPr>
          <w:rFonts w:asciiTheme="minorEastAsia" w:hAnsiTheme="minorEastAsia" w:eastAsiaTheme="minorEastAsia" w:cstheme="minorEastAsia"/>
          <w:bCs/>
          <w:szCs w:val="30"/>
        </w:rPr>
      </w:pPr>
      <w:r>
        <w:rPr>
          <w:rFonts w:asciiTheme="minorEastAsia" w:hAnsiTheme="minorEastAsia" w:eastAsiaTheme="minorEastAsia" w:cstheme="minorEastAsia"/>
          <w:bCs/>
          <w:szCs w:val="30"/>
        </w:rPr>
      </w:r>
      <w:r/>
    </w:p>
    <w:p>
      <w:pPr>
        <w:jc w:val="left"/>
        <w:widowControl/>
        <w:rPr>
          <w:rFonts w:cs="宋体" w:asciiTheme="minorEastAsia" w:hAnsiTheme="minorEastAsia" w:eastAsiaTheme="minorEastAsia"/>
          <w:szCs w:val="21"/>
        </w:rPr>
      </w:pPr>
      <w:r>
        <w:rPr>
          <w:rFonts w:cs="宋体" w:asciiTheme="minorEastAsia" w:hAnsiTheme="minorEastAsia" w:eastAsiaTheme="minorEastAsia"/>
          <w:bCs/>
          <w:szCs w:val="21"/>
        </w:rPr>
        <w:t xml:space="preserve">发包人：</w:t>
      </w:r>
      <w:r>
        <w:rPr>
          <w:rFonts w:hint="eastAsia" w:hAnsi="MS Mincho" w:eastAsia="MS Mincho" w:cs="MS Mincho" w:asciiTheme="minorEastAsia"/>
          <w:szCs w:val="21"/>
        </w:rPr>
        <w:t xml:space="preserve">​</w:t>
      </w:r>
      <w:r>
        <w:rPr>
          <w:rFonts w:cs="宋体" w:asciiTheme="minorEastAsia" w:hAnsiTheme="minorEastAsia" w:eastAsiaTheme="minorEastAsia"/>
          <w:szCs w:val="21"/>
        </w:rPr>
        <w:t xml:space="preserve"> （公章）　　　　　　　　　　</w:t>
      </w:r>
      <w:r>
        <w:rPr>
          <w:rFonts w:cs="宋体" w:asciiTheme="minorEastAsia" w:hAnsiTheme="minorEastAsia" w:eastAsiaTheme="minorEastAsia"/>
          <w:bCs/>
          <w:szCs w:val="21"/>
        </w:rPr>
        <w:t xml:space="preserve">承包人：</w:t>
      </w:r>
      <w:r>
        <w:rPr>
          <w:rFonts w:hint="eastAsia" w:hAnsi="MS Mincho" w:eastAsia="MS Mincho" w:cs="MS Mincho" w:asciiTheme="minorEastAsia"/>
          <w:szCs w:val="21"/>
        </w:rPr>
        <w:t xml:space="preserve">​</w:t>
      </w:r>
      <w:r>
        <w:rPr>
          <w:rFonts w:cs="宋体" w:asciiTheme="minorEastAsia" w:hAnsiTheme="minorEastAsia" w:eastAsiaTheme="minorEastAsia"/>
          <w:szCs w:val="21"/>
        </w:rPr>
        <w:t xml:space="preserve"> （公章）</w:t>
      </w:r>
      <w:r/>
    </w:p>
    <w:p>
      <w:pPr>
        <w:jc w:val="left"/>
        <w:widowControl/>
        <w:rPr>
          <w:rFonts w:cs="宋体" w:asciiTheme="minorEastAsia" w:hAnsiTheme="minorEastAsia" w:eastAsiaTheme="minorEastAsia"/>
          <w:szCs w:val="21"/>
        </w:rPr>
      </w:pPr>
      <w:r>
        <w:rPr>
          <w:rFonts w:cs="宋体" w:asciiTheme="minorEastAsia" w:hAnsiTheme="minorEastAsia" w:eastAsiaTheme="minorEastAsia"/>
          <w:bCs/>
          <w:szCs w:val="21"/>
        </w:rPr>
        <w:t xml:space="preserve">法定代表人或其委托代理人：</w:t>
      </w:r>
      <w:r>
        <w:rPr>
          <w:rFonts w:hint="eastAsia" w:hAnsi="MS Mincho" w:eastAsia="MS Mincho" w:cs="MS Mincho" w:asciiTheme="minorEastAsia"/>
          <w:szCs w:val="21"/>
        </w:rPr>
        <w:t xml:space="preserve">​</w:t>
      </w:r>
      <w:r>
        <w:rPr>
          <w:rFonts w:cs="宋体" w:asciiTheme="minorEastAsia" w:hAnsiTheme="minorEastAsia" w:eastAsiaTheme="minorEastAsia"/>
          <w:szCs w:val="21"/>
        </w:rPr>
        <w:t xml:space="preserve"> （签字）　　</w:t>
      </w:r>
      <w:r>
        <w:rPr>
          <w:rFonts w:cs="宋体" w:asciiTheme="minorEastAsia" w:hAnsiTheme="minorEastAsia" w:eastAsiaTheme="minorEastAsia"/>
          <w:bCs/>
          <w:szCs w:val="21"/>
        </w:rPr>
        <w:t xml:space="preserve">法定代表人或其委托代理人：</w:t>
      </w:r>
      <w:r>
        <w:rPr>
          <w:rFonts w:hint="eastAsia" w:hAnsi="MS Mincho" w:eastAsia="MS Mincho" w:cs="MS Mincho" w:asciiTheme="minorEastAsia"/>
          <w:szCs w:val="21"/>
        </w:rPr>
        <w:t xml:space="preserve">​</w:t>
      </w:r>
      <w:r>
        <w:rPr>
          <w:rFonts w:cs="宋体" w:asciiTheme="minorEastAsia" w:hAnsiTheme="minorEastAsia" w:eastAsiaTheme="minorEastAsia"/>
          <w:szCs w:val="21"/>
        </w:rPr>
        <w:t xml:space="preserve"> （签字）</w:t>
      </w:r>
      <w:r/>
    </w:p>
    <w:p>
      <w:pPr>
        <w:jc w:val="left"/>
        <w:widowControl/>
        <w:rPr>
          <w:rFonts w:cs="宋体" w:asciiTheme="minorEastAsia" w:hAnsiTheme="minorEastAsia" w:eastAsiaTheme="minorEastAsia"/>
          <w:szCs w:val="21"/>
        </w:rPr>
      </w:pPr>
      <w:r>
        <w:rPr>
          <w:rFonts w:cs="宋体" w:asciiTheme="minorEastAsia" w:hAnsiTheme="minorEastAsia" w:eastAsiaTheme="minorEastAsia"/>
          <w:bCs/>
          <w:szCs w:val="21"/>
        </w:rPr>
        <w:t xml:space="preserve">组织机构代码：</w:t>
      </w:r>
      <w:r>
        <w:rPr>
          <w:rFonts w:hint="eastAsia" w:hAnsi="MS Mincho" w:eastAsia="MS Mincho" w:cs="MS Mincho" w:asciiTheme="minorEastAsia"/>
          <w:szCs w:val="21"/>
        </w:rPr>
        <w:t xml:space="preserve">​</w:t>
      </w:r>
      <w:r>
        <w:rPr>
          <w:rFonts w:cs="宋体" w:asciiTheme="minorEastAsia" w:hAnsiTheme="minorEastAsia" w:eastAsiaTheme="minorEastAsia"/>
          <w:szCs w:val="21"/>
        </w:rPr>
        <w:t xml:space="preserve"> 　　　　　　　　　　　</w:t>
      </w:r>
      <w:r>
        <w:rPr>
          <w:rFonts w:cs="宋体" w:asciiTheme="minorEastAsia" w:hAnsiTheme="minorEastAsia" w:eastAsiaTheme="minorEastAsia"/>
          <w:bCs/>
          <w:szCs w:val="21"/>
        </w:rPr>
        <w:t xml:space="preserve">组织机构代码：</w:t>
      </w:r>
      <w:r/>
    </w:p>
    <w:p>
      <w:pPr>
        <w:jc w:val="left"/>
        <w:widowControl/>
        <w:rPr>
          <w:rFonts w:cs="宋体" w:asciiTheme="minorEastAsia" w:hAnsiTheme="minorEastAsia" w:eastAsiaTheme="minorEastAsia"/>
          <w:szCs w:val="21"/>
        </w:rPr>
      </w:pPr>
      <w:r>
        <w:rPr>
          <w:rFonts w:cs="宋体" w:asciiTheme="minorEastAsia" w:hAnsiTheme="minorEastAsia" w:eastAsiaTheme="minorEastAsia"/>
          <w:bCs/>
          <w:szCs w:val="21"/>
        </w:rPr>
        <w:t xml:space="preserve">地址：</w:t>
      </w:r>
      <w:r>
        <w:rPr>
          <w:rFonts w:hint="eastAsia" w:hAnsi="MS Mincho" w:eastAsia="MS Mincho" w:cs="MS Mincho" w:asciiTheme="minorEastAsia"/>
          <w:szCs w:val="21"/>
        </w:rPr>
        <w:t xml:space="preserve">​</w:t>
      </w:r>
      <w:r>
        <w:rPr>
          <w:rFonts w:cs="宋体" w:asciiTheme="minorEastAsia" w:hAnsiTheme="minorEastAsia" w:eastAsiaTheme="minorEastAsia"/>
          <w:szCs w:val="21"/>
        </w:rPr>
        <w:t xml:space="preserve"> 　　　　　　　　　　　　　　　</w:t>
      </w:r>
      <w:r>
        <w:rPr>
          <w:rFonts w:cs="宋体" w:asciiTheme="minorEastAsia" w:hAnsiTheme="minorEastAsia" w:eastAsiaTheme="minorEastAsia"/>
          <w:bCs/>
          <w:szCs w:val="21"/>
        </w:rPr>
        <w:t xml:space="preserve">地址：</w:t>
      </w:r>
      <w:r/>
    </w:p>
    <w:p>
      <w:pPr>
        <w:jc w:val="left"/>
        <w:widowControl/>
        <w:rPr>
          <w:rFonts w:cs="宋体" w:asciiTheme="minorEastAsia" w:hAnsiTheme="minorEastAsia" w:eastAsiaTheme="minorEastAsia"/>
          <w:szCs w:val="21"/>
        </w:rPr>
      </w:pPr>
      <w:r>
        <w:rPr>
          <w:rFonts w:cs="宋体" w:asciiTheme="minorEastAsia" w:hAnsiTheme="minorEastAsia" w:eastAsiaTheme="minorEastAsia"/>
          <w:bCs/>
          <w:szCs w:val="21"/>
        </w:rPr>
        <w:t xml:space="preserve">邮政编码：</w:t>
      </w:r>
      <w:r>
        <w:rPr>
          <w:rFonts w:hint="eastAsia" w:hAnsi="MS Mincho" w:eastAsia="MS Mincho" w:cs="MS Mincho" w:asciiTheme="minorEastAsia"/>
          <w:szCs w:val="21"/>
        </w:rPr>
        <w:t xml:space="preserve">​</w:t>
      </w:r>
      <w:r>
        <w:rPr>
          <w:rFonts w:cs="宋体" w:asciiTheme="minorEastAsia" w:hAnsiTheme="minorEastAsia" w:eastAsiaTheme="minorEastAsia"/>
          <w:szCs w:val="21"/>
        </w:rPr>
        <w:t xml:space="preserve"> 　　　　　　　　　　　　　</w:t>
      </w:r>
      <w:r>
        <w:rPr>
          <w:rFonts w:cs="宋体" w:asciiTheme="minorEastAsia" w:hAnsiTheme="minorEastAsia" w:eastAsiaTheme="minorEastAsia"/>
          <w:bCs/>
          <w:szCs w:val="21"/>
        </w:rPr>
        <w:t xml:space="preserve">邮政编码：</w:t>
      </w:r>
      <w:r/>
    </w:p>
    <w:p>
      <w:pPr>
        <w:jc w:val="left"/>
        <w:widowControl/>
        <w:rPr>
          <w:rFonts w:cs="宋体" w:asciiTheme="minorEastAsia" w:hAnsiTheme="minorEastAsia" w:eastAsiaTheme="minorEastAsia"/>
          <w:szCs w:val="21"/>
        </w:rPr>
      </w:pPr>
      <w:r>
        <w:rPr>
          <w:rFonts w:cs="宋体" w:asciiTheme="minorEastAsia" w:hAnsiTheme="minorEastAsia" w:eastAsiaTheme="minorEastAsia"/>
          <w:bCs/>
          <w:szCs w:val="21"/>
        </w:rPr>
        <w:t xml:space="preserve">法定代表人：</w:t>
      </w:r>
      <w:r>
        <w:rPr>
          <w:rFonts w:hint="eastAsia" w:hAnsi="MS Mincho" w:eastAsia="MS Mincho" w:cs="MS Mincho" w:asciiTheme="minorEastAsia"/>
          <w:szCs w:val="21"/>
        </w:rPr>
        <w:t xml:space="preserve">​</w:t>
      </w:r>
      <w:r>
        <w:rPr>
          <w:rFonts w:cs="宋体" w:asciiTheme="minorEastAsia" w:hAnsiTheme="minorEastAsia" w:eastAsiaTheme="minorEastAsia"/>
          <w:szCs w:val="21"/>
        </w:rPr>
        <w:t xml:space="preserve"> 　　　　　　　　　　　　</w:t>
      </w:r>
      <w:r>
        <w:rPr>
          <w:rFonts w:cs="宋体" w:asciiTheme="minorEastAsia" w:hAnsiTheme="minorEastAsia" w:eastAsiaTheme="minorEastAsia"/>
          <w:bCs/>
          <w:szCs w:val="21"/>
        </w:rPr>
        <w:t xml:space="preserve">法定代表人：</w:t>
      </w:r>
      <w:r/>
    </w:p>
    <w:p>
      <w:pPr>
        <w:jc w:val="left"/>
        <w:widowControl/>
        <w:rPr>
          <w:rFonts w:cs="宋体" w:asciiTheme="minorEastAsia" w:hAnsiTheme="minorEastAsia" w:eastAsiaTheme="minorEastAsia"/>
          <w:szCs w:val="21"/>
        </w:rPr>
      </w:pPr>
      <w:r>
        <w:rPr>
          <w:rFonts w:cs="宋体" w:asciiTheme="minorEastAsia" w:hAnsiTheme="minorEastAsia" w:eastAsiaTheme="minorEastAsia"/>
          <w:bCs/>
          <w:szCs w:val="21"/>
        </w:rPr>
        <w:t xml:space="preserve">委托代理人：</w:t>
      </w:r>
      <w:r>
        <w:rPr>
          <w:rFonts w:hint="eastAsia" w:hAnsi="MS Mincho" w:eastAsia="MS Mincho" w:cs="MS Mincho" w:asciiTheme="minorEastAsia"/>
          <w:szCs w:val="21"/>
        </w:rPr>
        <w:t xml:space="preserve">​</w:t>
      </w:r>
      <w:r>
        <w:rPr>
          <w:rFonts w:cs="宋体" w:asciiTheme="minorEastAsia" w:hAnsiTheme="minorEastAsia" w:eastAsiaTheme="minorEastAsia"/>
          <w:szCs w:val="21"/>
        </w:rPr>
        <w:t xml:space="preserve"> 　　　　　　　　　　　　</w:t>
      </w:r>
      <w:r>
        <w:rPr>
          <w:rFonts w:cs="宋体" w:asciiTheme="minorEastAsia" w:hAnsiTheme="minorEastAsia" w:eastAsiaTheme="minorEastAsia"/>
          <w:bCs/>
          <w:szCs w:val="21"/>
        </w:rPr>
        <w:t xml:space="preserve">委托代理人：</w:t>
      </w:r>
      <w:r/>
    </w:p>
    <w:p>
      <w:pPr>
        <w:jc w:val="left"/>
        <w:widowControl/>
        <w:rPr>
          <w:rFonts w:cs="宋体" w:asciiTheme="minorEastAsia" w:hAnsiTheme="minorEastAsia" w:eastAsiaTheme="minorEastAsia"/>
          <w:szCs w:val="21"/>
        </w:rPr>
      </w:pPr>
      <w:r>
        <w:rPr>
          <w:rFonts w:cs="宋体" w:asciiTheme="minorEastAsia" w:hAnsiTheme="minorEastAsia" w:eastAsiaTheme="minorEastAsia"/>
          <w:bCs/>
          <w:szCs w:val="21"/>
        </w:rPr>
        <w:t xml:space="preserve">电话：</w:t>
      </w:r>
      <w:r>
        <w:rPr>
          <w:rFonts w:hint="eastAsia" w:hAnsi="MS Mincho" w:eastAsia="MS Mincho" w:cs="MS Mincho" w:asciiTheme="minorEastAsia"/>
          <w:szCs w:val="21"/>
        </w:rPr>
        <w:t xml:space="preserve">​</w:t>
      </w:r>
      <w:r>
        <w:rPr>
          <w:rFonts w:cs="宋体" w:asciiTheme="minorEastAsia" w:hAnsiTheme="minorEastAsia" w:eastAsiaTheme="minorEastAsia"/>
          <w:szCs w:val="21"/>
        </w:rPr>
        <w:t xml:space="preserve"> 　　　　　　　　　　　　　　　</w:t>
      </w:r>
      <w:r>
        <w:rPr>
          <w:rFonts w:cs="宋体" w:asciiTheme="minorEastAsia" w:hAnsiTheme="minorEastAsia" w:eastAsiaTheme="minorEastAsia"/>
          <w:bCs/>
          <w:szCs w:val="21"/>
        </w:rPr>
        <w:t xml:space="preserve">电话：</w:t>
      </w:r>
      <w:r/>
    </w:p>
    <w:p>
      <w:pPr>
        <w:jc w:val="left"/>
        <w:widowControl/>
        <w:rPr>
          <w:rFonts w:cs="宋体" w:asciiTheme="minorEastAsia" w:hAnsiTheme="minorEastAsia" w:eastAsiaTheme="minorEastAsia"/>
          <w:szCs w:val="21"/>
        </w:rPr>
      </w:pPr>
      <w:r>
        <w:rPr>
          <w:rFonts w:cs="宋体" w:asciiTheme="minorEastAsia" w:hAnsiTheme="minorEastAsia" w:eastAsiaTheme="minorEastAsia"/>
          <w:bCs/>
          <w:szCs w:val="21"/>
        </w:rPr>
        <w:t xml:space="preserve">传真：</w:t>
      </w:r>
      <w:r>
        <w:rPr>
          <w:rFonts w:hint="eastAsia" w:hAnsi="MS Mincho" w:eastAsia="MS Mincho" w:cs="MS Mincho" w:asciiTheme="minorEastAsia"/>
          <w:szCs w:val="21"/>
        </w:rPr>
        <w:t xml:space="preserve">​</w:t>
      </w:r>
      <w:r>
        <w:rPr>
          <w:rFonts w:cs="宋体" w:asciiTheme="minorEastAsia" w:hAnsiTheme="minorEastAsia" w:eastAsiaTheme="minorEastAsia"/>
          <w:szCs w:val="21"/>
        </w:rPr>
        <w:t xml:space="preserve"> 　　　　　　　　　　　　　　　</w:t>
      </w:r>
      <w:r>
        <w:rPr>
          <w:rFonts w:cs="宋体" w:asciiTheme="minorEastAsia" w:hAnsiTheme="minorEastAsia" w:eastAsiaTheme="minorEastAsia"/>
          <w:bCs/>
          <w:szCs w:val="21"/>
        </w:rPr>
        <w:t xml:space="preserve">传真：</w:t>
      </w:r>
      <w:r/>
    </w:p>
    <w:p>
      <w:pPr>
        <w:jc w:val="left"/>
        <w:widowControl/>
        <w:rPr>
          <w:rFonts w:cs="宋体" w:asciiTheme="minorEastAsia" w:hAnsiTheme="minorEastAsia" w:eastAsiaTheme="minorEastAsia"/>
          <w:szCs w:val="21"/>
        </w:rPr>
      </w:pPr>
      <w:r>
        <w:rPr>
          <w:rFonts w:cs="宋体" w:asciiTheme="minorEastAsia" w:hAnsiTheme="minorEastAsia" w:eastAsiaTheme="minorEastAsia"/>
          <w:bCs/>
          <w:szCs w:val="21"/>
        </w:rPr>
        <w:t xml:space="preserve">电子信箱：</w:t>
      </w:r>
      <w:r>
        <w:rPr>
          <w:rFonts w:hint="eastAsia" w:hAnsi="MS Mincho" w:eastAsia="MS Mincho" w:cs="MS Mincho" w:asciiTheme="minorEastAsia"/>
          <w:szCs w:val="21"/>
        </w:rPr>
        <w:t xml:space="preserve">​</w:t>
      </w:r>
      <w:r>
        <w:rPr>
          <w:rFonts w:cs="宋体" w:asciiTheme="minorEastAsia" w:hAnsiTheme="minorEastAsia" w:eastAsiaTheme="minorEastAsia"/>
          <w:szCs w:val="21"/>
        </w:rPr>
        <w:t xml:space="preserve"> 　　　　　　　　　　　　　</w:t>
      </w:r>
      <w:r>
        <w:rPr>
          <w:rFonts w:cs="宋体" w:asciiTheme="minorEastAsia" w:hAnsiTheme="minorEastAsia" w:eastAsiaTheme="minorEastAsia"/>
          <w:bCs/>
          <w:szCs w:val="21"/>
        </w:rPr>
        <w:t xml:space="preserve">电子信箱：</w:t>
      </w:r>
      <w:r/>
    </w:p>
    <w:p>
      <w:pPr>
        <w:jc w:val="left"/>
        <w:widowControl/>
        <w:rPr>
          <w:rFonts w:cs="宋体" w:asciiTheme="minorEastAsia" w:hAnsiTheme="minorEastAsia" w:eastAsiaTheme="minorEastAsia"/>
          <w:szCs w:val="21"/>
        </w:rPr>
      </w:pPr>
      <w:r>
        <w:rPr>
          <w:rFonts w:cs="宋体" w:asciiTheme="minorEastAsia" w:hAnsiTheme="minorEastAsia" w:eastAsiaTheme="minorEastAsia"/>
          <w:bCs/>
          <w:szCs w:val="21"/>
        </w:rPr>
        <w:t xml:space="preserve">开户银行：</w:t>
      </w:r>
      <w:r>
        <w:rPr>
          <w:rFonts w:hint="eastAsia" w:hAnsi="MS Mincho" w:eastAsia="MS Mincho" w:cs="MS Mincho" w:asciiTheme="minorEastAsia"/>
          <w:szCs w:val="21"/>
        </w:rPr>
        <w:t xml:space="preserve">​</w:t>
      </w:r>
      <w:r>
        <w:rPr>
          <w:rFonts w:cs="宋体" w:asciiTheme="minorEastAsia" w:hAnsiTheme="minorEastAsia" w:eastAsiaTheme="minorEastAsia"/>
          <w:szCs w:val="21"/>
        </w:rPr>
        <w:t xml:space="preserve"> 　　　　　　　　　　　　　</w:t>
      </w:r>
      <w:r>
        <w:rPr>
          <w:rFonts w:cs="宋体" w:asciiTheme="minorEastAsia" w:hAnsiTheme="minorEastAsia" w:eastAsiaTheme="minorEastAsia"/>
          <w:bCs/>
          <w:szCs w:val="21"/>
        </w:rPr>
        <w:t xml:space="preserve">开户银行：</w:t>
      </w:r>
      <w:r/>
    </w:p>
    <w:p>
      <w:pPr>
        <w:jc w:val="left"/>
        <w:widowControl/>
        <w:rPr>
          <w:rFonts w:cs="宋体" w:asciiTheme="minorEastAsia" w:hAnsiTheme="minorEastAsia" w:eastAsiaTheme="minorEastAsia"/>
          <w:szCs w:val="21"/>
        </w:rPr>
      </w:pPr>
      <w:r>
        <w:rPr>
          <w:rFonts w:cs="宋体" w:asciiTheme="minorEastAsia" w:hAnsiTheme="minorEastAsia" w:eastAsiaTheme="minorEastAsia"/>
          <w:bCs/>
          <w:szCs w:val="21"/>
        </w:rPr>
        <w:t xml:space="preserve">账号：</w:t>
      </w:r>
      <w:r>
        <w:rPr>
          <w:rFonts w:hint="eastAsia" w:hAnsi="MS Mincho" w:eastAsia="MS Mincho" w:cs="MS Mincho" w:asciiTheme="minorEastAsia"/>
          <w:szCs w:val="21"/>
        </w:rPr>
        <w:t xml:space="preserve">​</w:t>
      </w:r>
      <w:r>
        <w:rPr>
          <w:rFonts w:cs="宋体" w:asciiTheme="minorEastAsia" w:hAnsiTheme="minorEastAsia" w:eastAsiaTheme="minorEastAsia"/>
          <w:szCs w:val="21"/>
        </w:rPr>
        <w:t xml:space="preserve"> 　　　　　　　　　　　　　　　</w:t>
      </w:r>
      <w:r>
        <w:rPr>
          <w:rFonts w:cs="宋体" w:asciiTheme="minorEastAsia" w:hAnsiTheme="minorEastAsia" w:eastAsiaTheme="minorEastAsia"/>
          <w:bCs/>
          <w:szCs w:val="21"/>
        </w:rPr>
        <w:t xml:space="preserve">账号：</w:t>
      </w:r>
      <w:r/>
    </w:p>
    <w:p>
      <w:pPr>
        <w:spacing w:line="332" w:lineRule="auto"/>
        <w:rPr>
          <w:rFonts w:asciiTheme="minorEastAsia" w:hAnsiTheme="minorEastAsia" w:eastAsiaTheme="minorEastAsia" w:cstheme="minorEastAsia"/>
          <w:szCs w:val="30"/>
        </w:rPr>
      </w:pPr>
      <w:r>
        <w:rPr>
          <w:rFonts w:asciiTheme="minorEastAsia" w:hAnsiTheme="minorEastAsia" w:eastAsiaTheme="minorEastAsia" w:cstheme="minorEastAsia"/>
          <w:szCs w:val="30"/>
        </w:rPr>
      </w:r>
      <w:r/>
    </w:p>
    <w:p>
      <w:pPr>
        <w:spacing w:line="332" w:lineRule="auto"/>
        <w:rPr>
          <w:rFonts w:asciiTheme="minorEastAsia" w:hAnsiTheme="minorEastAsia" w:eastAsiaTheme="minorEastAsia" w:cstheme="minorEastAsia"/>
          <w:szCs w:val="30"/>
        </w:rPr>
      </w:pPr>
      <w:r>
        <w:rPr>
          <w:rFonts w:asciiTheme="minorEastAsia" w:hAnsiTheme="minorEastAsia" w:eastAsiaTheme="minorEastAsia" w:cstheme="minorEastAsia"/>
          <w:szCs w:val="30"/>
        </w:rPr>
      </w:r>
      <w:r/>
    </w:p>
    <w:p>
      <w:pPr>
        <w:spacing w:line="332" w:lineRule="auto"/>
        <w:rPr>
          <w:rFonts w:asciiTheme="minorEastAsia" w:hAnsiTheme="minorEastAsia" w:eastAsiaTheme="minorEastAsia" w:cstheme="minorEastAsia"/>
          <w:szCs w:val="30"/>
          <w:u w:val="single"/>
        </w:rPr>
      </w:pPr>
      <w:r>
        <w:rPr>
          <w:rFonts w:asciiTheme="minorEastAsia" w:hAnsiTheme="minorEastAsia" w:eastAsiaTheme="minorEastAsia" w:cstheme="minorEastAsia"/>
          <w:szCs w:val="30"/>
          <w:u w:val="single"/>
        </w:rPr>
      </w:r>
      <w:r/>
    </w:p>
    <w:p>
      <w:pPr>
        <w:spacing w:line="332" w:lineRule="auto"/>
        <w:rPr>
          <w:rFonts w:asciiTheme="minorEastAsia" w:hAnsiTheme="minorEastAsia" w:eastAsiaTheme="minorEastAsia" w:cstheme="minorEastAsia"/>
          <w:szCs w:val="30"/>
        </w:rPr>
      </w:pPr>
      <w:r>
        <w:rPr>
          <w:rFonts w:asciiTheme="minorEastAsia" w:hAnsiTheme="minorEastAsia" w:eastAsiaTheme="minorEastAsia" w:cstheme="minorEastAsia"/>
          <w:szCs w:val="30"/>
        </w:rPr>
      </w:r>
      <w:r/>
    </w:p>
    <w:p>
      <w:pPr>
        <w:spacing w:line="332" w:lineRule="auto"/>
        <w:tabs>
          <w:tab w:val="left" w:pos="4410" w:leader="none"/>
        </w:tabs>
        <w:rPr>
          <w:rFonts w:asciiTheme="minorEastAsia" w:hAnsiTheme="minorEastAsia" w:eastAsiaTheme="minorEastAsia" w:cstheme="minorEastAsia"/>
          <w:szCs w:val="30"/>
        </w:rPr>
      </w:pPr>
      <w:r>
        <w:rPr>
          <w:rFonts w:asciiTheme="minorEastAsia" w:hAnsiTheme="minorEastAsia" w:eastAsiaTheme="minorEastAsia" w:cstheme="minorEastAsia"/>
          <w:szCs w:val="30"/>
        </w:rPr>
      </w:r>
      <w:r/>
    </w:p>
    <w:p>
      <w:pPr>
        <w:spacing w:line="332" w:lineRule="auto"/>
        <w:rPr>
          <w:rFonts w:asciiTheme="minorEastAsia" w:hAnsiTheme="minorEastAsia" w:eastAsiaTheme="minorEastAsia" w:cstheme="minorEastAsia"/>
          <w:szCs w:val="30"/>
        </w:rPr>
      </w:pPr>
      <w:r>
        <w:rPr>
          <w:rFonts w:asciiTheme="minorEastAsia" w:hAnsiTheme="minorEastAsia" w:eastAsiaTheme="minorEastAsia" w:cstheme="minorEastAsia"/>
          <w:szCs w:val="30"/>
        </w:rPr>
      </w:r>
      <w:r/>
    </w:p>
    <w:p>
      <w:pPr>
        <w:spacing w:line="332" w:lineRule="auto"/>
        <w:rPr>
          <w:rFonts w:asciiTheme="minorEastAsia" w:hAnsiTheme="minorEastAsia" w:eastAsiaTheme="minorEastAsia" w:cstheme="minorEastAsia"/>
          <w:szCs w:val="30"/>
        </w:rPr>
      </w:pPr>
      <w:r>
        <w:rPr>
          <w:rFonts w:asciiTheme="minorEastAsia" w:hAnsiTheme="minorEastAsia" w:eastAsiaTheme="minorEastAsia" w:cstheme="minorEastAsia"/>
          <w:szCs w:val="30"/>
        </w:rPr>
      </w:r>
      <w:r/>
    </w:p>
    <w:p>
      <w:pPr>
        <w:spacing w:line="332" w:lineRule="auto"/>
        <w:rPr>
          <w:rFonts w:asciiTheme="minorEastAsia" w:hAnsiTheme="minorEastAsia" w:eastAsiaTheme="minorEastAsia" w:cstheme="minorEastAsia"/>
          <w:szCs w:val="30"/>
        </w:rPr>
      </w:pPr>
      <w:r>
        <w:rPr>
          <w:rFonts w:asciiTheme="minorEastAsia" w:hAnsiTheme="minorEastAsia" w:eastAsiaTheme="minorEastAsia" w:cstheme="minorEastAsia"/>
          <w:szCs w:val="30"/>
        </w:rPr>
      </w:r>
      <w:r/>
    </w:p>
    <w:p>
      <w:pPr>
        <w:spacing w:line="332" w:lineRule="auto"/>
        <w:rPr>
          <w:rFonts w:asciiTheme="minorEastAsia" w:hAnsiTheme="minorEastAsia" w:eastAsiaTheme="minorEastAsia" w:cstheme="minorEastAsia"/>
          <w:szCs w:val="30"/>
        </w:rPr>
      </w:pPr>
      <w:r>
        <w:rPr>
          <w:rFonts w:asciiTheme="minorEastAsia" w:hAnsiTheme="minorEastAsia" w:eastAsiaTheme="minorEastAsia" w:cstheme="minorEastAsia"/>
          <w:szCs w:val="30"/>
        </w:rPr>
      </w:r>
      <w:r/>
    </w:p>
    <w:p>
      <w:pPr>
        <w:spacing w:line="332" w:lineRule="auto"/>
        <w:rPr>
          <w:rFonts w:asciiTheme="minorEastAsia" w:hAnsiTheme="minorEastAsia" w:eastAsiaTheme="minorEastAsia" w:cstheme="minorEastAsia"/>
          <w:szCs w:val="30"/>
        </w:rPr>
      </w:pPr>
      <w:r>
        <w:rPr>
          <w:rFonts w:asciiTheme="minorEastAsia" w:hAnsiTheme="minorEastAsia" w:eastAsiaTheme="minorEastAsia" w:cstheme="minorEastAsia"/>
          <w:szCs w:val="30"/>
        </w:rPr>
      </w:r>
      <w:r/>
    </w:p>
    <w:p>
      <w:pPr>
        <w:ind w:right="-36" w:firstLine="529"/>
        <w:spacing w:line="332" w:lineRule="auto"/>
        <w:tabs>
          <w:tab w:val="left" w:pos="0" w:leader="none"/>
        </w:tabs>
        <w:rPr>
          <w:rFonts w:asciiTheme="minorEastAsia" w:hAnsiTheme="minorEastAsia" w:eastAsiaTheme="minorEastAsia" w:cstheme="minorEastAsia"/>
        </w:rPr>
      </w:pPr>
      <w:r>
        <w:rPr>
          <w:rFonts w:asciiTheme="minorEastAsia" w:hAnsiTheme="minorEastAsia" w:eastAsiaTheme="minorEastAsia" w:cstheme="minorEastAsia"/>
        </w:rPr>
      </w:r>
      <w:r/>
    </w:p>
    <w:p>
      <w:pPr>
        <w:pStyle w:val="794"/>
        <w:jc w:val="center"/>
        <w:spacing w:line="320" w:lineRule="exact"/>
        <w:rPr>
          <w:rFonts w:asciiTheme="minorEastAsia" w:hAnsiTheme="minorEastAsia" w:eastAsiaTheme="minorEastAsia" w:cstheme="minorEastAsia"/>
        </w:rPr>
      </w:pPr>
      <w:r>
        <w:rPr>
          <w:rFonts w:hint="eastAsia" w:asciiTheme="minorEastAsia" w:hAnsiTheme="minorEastAsia" w:eastAsiaTheme="minorEastAsia" w:cstheme="minorEastAsia"/>
        </w:rPr>
        <w:br w:type="page" w:clear="all"/>
      </w:r>
      <w:bookmarkStart w:id="60" w:name="_Toc498006745"/>
      <w:r/>
      <w:bookmarkStart w:id="61" w:name="_Toc7799"/>
      <w:r/>
      <w:r/>
    </w:p>
    <w:p>
      <w:pPr>
        <w:pStyle w:val="794"/>
        <w:jc w:val="center"/>
        <w:spacing w:line="320" w:lineRule="exact"/>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 xml:space="preserve">第二部分 通用合同条款</w:t>
      </w:r>
      <w:bookmarkEnd w:id="60"/>
      <w:r/>
      <w:bookmarkEnd w:id="61"/>
      <w:r/>
      <w:r/>
    </w:p>
    <w:p>
      <w:pPr>
        <w:ind w:firstLine="420"/>
        <w:spacing w:line="320" w:lineRule="exact"/>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ind w:firstLine="422"/>
        <w:spacing w:line="32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 xml:space="preserve"> 采用《建设工程施工合同（示范文本）》（GF—2017—0201）</w:t>
      </w:r>
      <w:r>
        <w:rPr>
          <w:rFonts w:hint="eastAsia" w:asciiTheme="minorEastAsia" w:hAnsiTheme="minorEastAsia" w:eastAsiaTheme="minorEastAsia" w:cstheme="minorEastAsia"/>
          <w:b/>
          <w:szCs w:val="21"/>
        </w:rPr>
        <w:t xml:space="preserve">。</w:t>
      </w:r>
      <w:r/>
    </w:p>
    <w:p>
      <w:pPr>
        <w:pStyle w:val="794"/>
        <w:ind w:left="0" w:firstLine="0"/>
        <w:spacing w:line="320" w:lineRule="exact"/>
        <w:rPr>
          <w:rFonts w:asciiTheme="minorEastAsia" w:hAnsiTheme="minorEastAsia" w:eastAsiaTheme="minorEastAsia" w:cstheme="minorEastAsia"/>
        </w:rPr>
      </w:pPr>
      <w:r/>
      <w:bookmarkStart w:id="62" w:name="_Toc498006746"/>
      <w:r/>
      <w:bookmarkEnd w:id="62"/>
      <w:r/>
      <w:bookmarkStart w:id="63" w:name="_Toc24191"/>
      <w:r/>
      <w:bookmarkEnd w:id="63"/>
      <w:r/>
      <w:r/>
    </w:p>
    <w:p>
      <w:pPr>
        <w:pStyle w:val="794"/>
        <w:jc w:val="center"/>
        <w:spacing w:line="320" w:lineRule="exact"/>
        <w:rPr>
          <w:rFonts w:asciiTheme="minorEastAsia" w:hAnsiTheme="minorEastAsia" w:eastAsiaTheme="minorEastAsia" w:cstheme="minorEastAsia"/>
          <w:szCs w:val="44"/>
        </w:rPr>
      </w:pPr>
      <w:r>
        <w:rPr>
          <w:rFonts w:hint="eastAsia" w:asciiTheme="minorEastAsia" w:hAnsiTheme="minorEastAsia" w:eastAsiaTheme="minorEastAsia" w:cstheme="minorEastAsia"/>
          <w:szCs w:val="44"/>
        </w:rPr>
        <w:t xml:space="preserve">第三部分 专用合同条款</w:t>
      </w:r>
      <w:r/>
    </w:p>
    <w:p>
      <w:pPr>
        <w:pStyle w:val="795"/>
        <w:spacing w:before="0" w:after="0" w:line="332" w:lineRule="auto"/>
        <w:rPr>
          <w:rFonts w:asciiTheme="minorEastAsia" w:hAnsiTheme="minorEastAsia" w:eastAsiaTheme="minorEastAsia" w:cstheme="minorEastAsia"/>
          <w:bCs w:val="0"/>
          <w:szCs w:val="32"/>
        </w:rPr>
      </w:pPr>
      <w:r/>
      <w:bookmarkStart w:id="64" w:name="_Toc351203633"/>
      <w:r/>
      <w:r/>
    </w:p>
    <w:p>
      <w:pPr>
        <w:pStyle w:val="795"/>
        <w:spacing w:before="0" w:after="0" w:line="332" w:lineRule="auto"/>
        <w:rPr>
          <w:rFonts w:asciiTheme="minorEastAsia" w:hAnsiTheme="minorEastAsia" w:eastAsiaTheme="minorEastAsia" w:cstheme="minorEastAsia"/>
          <w:bCs w:val="0"/>
          <w:szCs w:val="32"/>
        </w:rPr>
      </w:pPr>
      <w:r>
        <w:rPr>
          <w:rFonts w:hint="eastAsia" w:asciiTheme="minorEastAsia" w:hAnsiTheme="minorEastAsia" w:eastAsiaTheme="minorEastAsia" w:cstheme="minorEastAsia"/>
          <w:bCs w:val="0"/>
          <w:szCs w:val="32"/>
        </w:rPr>
        <w:t xml:space="preserve">1</w:t>
      </w:r>
      <w:bookmarkStart w:id="65" w:name="_Toc297048342"/>
      <w:r/>
      <w:bookmarkStart w:id="66" w:name="_Toc297120456"/>
      <w:r/>
      <w:bookmarkStart w:id="67" w:name="_Toc296347155"/>
      <w:r/>
      <w:bookmarkStart w:id="68" w:name="_Toc296891196"/>
      <w:r/>
      <w:bookmarkStart w:id="69" w:name="_Toc292559361"/>
      <w:r/>
      <w:bookmarkStart w:id="70" w:name="_Toc292559866"/>
      <w:r/>
      <w:bookmarkStart w:id="71" w:name="_Toc296346657"/>
      <w:r/>
      <w:bookmarkStart w:id="72" w:name="_Toc296503156"/>
      <w:r/>
      <w:bookmarkStart w:id="73" w:name="_Toc296944495"/>
      <w:r/>
      <w:bookmarkStart w:id="74" w:name="_Toc296890984"/>
      <w:r>
        <w:rPr>
          <w:rFonts w:hint="eastAsia" w:asciiTheme="minorEastAsia" w:hAnsiTheme="minorEastAsia" w:eastAsiaTheme="minorEastAsia" w:cstheme="minorEastAsia"/>
          <w:bCs w:val="0"/>
          <w:szCs w:val="32"/>
        </w:rPr>
        <w:t xml:space="preserve">. 一般约定</w:t>
      </w:r>
      <w:bookmarkEnd w:id="64"/>
      <w:r/>
      <w:bookmarkEnd w:id="65"/>
      <w:r/>
      <w:bookmarkEnd w:id="66"/>
      <w:r/>
      <w:bookmarkEnd w:id="67"/>
      <w:r/>
      <w:bookmarkEnd w:id="68"/>
      <w:r/>
      <w:bookmarkEnd w:id="69"/>
      <w:r/>
      <w:bookmarkEnd w:id="70"/>
      <w:r/>
      <w:bookmarkEnd w:id="71"/>
      <w:r/>
      <w:bookmarkEnd w:id="72"/>
      <w:r/>
      <w:bookmarkEnd w:id="73"/>
      <w:r/>
      <w:bookmarkEnd w:id="74"/>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1.1 词语定义</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1.1.1合同</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1.1.1.10其他合同文件包括：</w:t>
      </w:r>
      <w:r>
        <w:rPr>
          <w:rFonts w:hint="eastAsia" w:asciiTheme="minorEastAsia" w:hAnsiTheme="minorEastAsia" w:eastAsiaTheme="minorEastAsia" w:cstheme="minorEastAsia"/>
          <w:szCs w:val="32"/>
          <w:u w:val="single"/>
        </w:rPr>
        <w:t xml:space="preserve"> （1）本合同协议书（2）成交（中标）通知书（3）本合同专用条款（4）本合同通用条款（5）投标书及其附件（6）标准、规范及有关技术文件（7）图纸（8）工程量清单（9）工程报价单或预算书；合同履行中，发包人承包人有关工程的洽商、变更等书面协议或文件视为本合同的组成部分</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1.1.2 合同当事人及其他相关方</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1.1.2.4监理人：</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名    称：；</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资质类别和等级：；</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联系电话：；</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电子信箱：；</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通信地址：。</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1.1.2.5 设计人：</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名    称：；</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资质类别和等级：；</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联系电话：；</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电子信箱：；</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通信地址：。</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1.1.3 工程和设备</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1.1.3.7 作为施工现场组成部分的其他场所包括：。</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1.1.3.9 永久占地包括：。</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1.1.3.10 临时占地包括：。</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1.3法律 </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适用于合同的其他规范性文件：</w:t>
      </w:r>
      <w:r>
        <w:rPr>
          <w:rFonts w:hint="eastAsia" w:asciiTheme="minorEastAsia" w:hAnsiTheme="minorEastAsia" w:eastAsiaTheme="minorEastAsia" w:cstheme="minorEastAsia"/>
          <w:szCs w:val="32"/>
          <w:u w:val="single"/>
        </w:rPr>
        <w:t xml:space="preserve"> 《中华人民共和国民法典》、《中华人民共和国建筑法》、《中华人民共和国招标投标法》、《中华人民共和国招标投标法实施条列》、《中华人民共和国担保法》、《中华人民共和国政府采购法》、《建设工程质量管理条列》、《建设工程安全生产管理条列》及其他相关国家和地方法律、法规、规章</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1.4 标准和规范</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1.4.1适用于工程的标准规范包括：</w:t>
      </w:r>
      <w:r>
        <w:rPr>
          <w:rFonts w:hint="eastAsia" w:asciiTheme="minorEastAsia" w:hAnsiTheme="minorEastAsia" w:eastAsiaTheme="minorEastAsia" w:cstheme="minorEastAsia"/>
          <w:szCs w:val="32"/>
          <w:u w:val="single"/>
        </w:rPr>
        <w:t xml:space="preserve">现行有关房屋建筑和市政工程的标准和规范、规程；建筑质量验收评定标准，施工图纸以及设计文件所载明的标准、规范、规程等</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1.4.2 发包人提供国外标准、规范的名称：。</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发包人提供国外标准、规范的份数：；</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发包人提供国外标准、规范的名称：。</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1.4.3发包人对工程的技术标准和功能要求的特殊要求：。</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1.5 合同文件的优先顺序</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合同文件组成及优先顺序为：</w:t>
      </w:r>
      <w:r>
        <w:rPr>
          <w:rFonts w:hint="eastAsia" w:asciiTheme="minorEastAsia" w:hAnsiTheme="minorEastAsia" w:eastAsiaTheme="minorEastAsia" w:cstheme="minorEastAsia"/>
          <w:szCs w:val="32"/>
          <w:u w:val="single"/>
        </w:rPr>
        <w:t xml:space="preserve">按规定执行</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1.6 图纸和承包人文件</w:t>
      </w:r>
      <w:r>
        <w:rPr>
          <w:rFonts w:hint="eastAsia" w:asciiTheme="minorEastAsia" w:hAnsiTheme="minorEastAsia" w:eastAsiaTheme="minorEastAsia" w:cstheme="minorEastAsia"/>
          <w:szCs w:val="32"/>
        </w:rPr>
        <w:tab/>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1.6.1 图纸的提供</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发包人向承包人提供图纸的期限：</w:t>
      </w:r>
      <w:r>
        <w:rPr>
          <w:rFonts w:hint="eastAsia" w:asciiTheme="minorEastAsia" w:hAnsiTheme="minorEastAsia" w:eastAsiaTheme="minorEastAsia" w:cstheme="minorEastAsia"/>
          <w:szCs w:val="32"/>
          <w:u w:val="single"/>
        </w:rPr>
        <w:t xml:space="preserve">      开工前         </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发包人向承包人提供图纸的数量：</w:t>
      </w:r>
      <w:r>
        <w:rPr>
          <w:rFonts w:hint="eastAsia" w:asciiTheme="minorEastAsia" w:hAnsiTheme="minorEastAsia" w:eastAsiaTheme="minorEastAsia" w:cstheme="minorEastAsia"/>
          <w:szCs w:val="32"/>
          <w:u w:val="single"/>
        </w:rPr>
        <w:t xml:space="preserve">       两套                 </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发包人向承包人提供图纸的内容：</w:t>
      </w:r>
      <w:r>
        <w:rPr>
          <w:rFonts w:hint="eastAsia" w:asciiTheme="minorEastAsia" w:hAnsiTheme="minorEastAsia" w:eastAsiaTheme="minorEastAsia" w:cstheme="minorEastAsia"/>
          <w:szCs w:val="32"/>
          <w:u w:val="single"/>
        </w:rPr>
        <w:t xml:space="preserve"> 全套图纸（含图纸会审纪要和设计交底等）  </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1.6.4 承包人文件</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需要由承包人提供的文件，包括：</w:t>
      </w:r>
      <w:r>
        <w:rPr>
          <w:rFonts w:hint="eastAsia" w:asciiTheme="minorEastAsia" w:hAnsiTheme="minorEastAsia" w:eastAsiaTheme="minorEastAsia" w:cstheme="minorEastAsia"/>
          <w:szCs w:val="32"/>
          <w:u w:val="single"/>
        </w:rPr>
        <w:t xml:space="preserve">项目人员表、投标文件、施工组织设计方案（包括但不限于质量控制、进度控制、施工安全管理、文明施工管理、施工测量控制、施工人员安排及管理架构、施工材料设备进场计划、成品保护措施等） </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承包人提供的文件的期限为：</w:t>
      </w:r>
      <w:r>
        <w:rPr>
          <w:rFonts w:hint="eastAsia" w:asciiTheme="minorEastAsia" w:hAnsiTheme="minorEastAsia" w:eastAsiaTheme="minorEastAsia" w:cstheme="minorEastAsia"/>
          <w:szCs w:val="32"/>
          <w:u w:val="single"/>
        </w:rPr>
        <w:t xml:space="preserve">签订合同后10日历天内提供       </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承包人提供的文件的数量为：</w:t>
      </w:r>
      <w:r>
        <w:rPr>
          <w:rFonts w:hint="eastAsia" w:asciiTheme="minorEastAsia" w:hAnsiTheme="minorEastAsia" w:eastAsiaTheme="minorEastAsia" w:cstheme="minorEastAsia"/>
          <w:szCs w:val="32"/>
          <w:u w:val="single"/>
        </w:rPr>
        <w:t xml:space="preserve">             叁套                    </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承包人提供的文件的形式为：</w:t>
      </w:r>
      <w:r>
        <w:rPr>
          <w:rFonts w:hint="eastAsia" w:asciiTheme="minorEastAsia" w:hAnsiTheme="minorEastAsia" w:eastAsiaTheme="minorEastAsia" w:cstheme="minorEastAsia"/>
          <w:szCs w:val="32"/>
          <w:u w:val="single"/>
        </w:rPr>
        <w:t xml:space="preserve">    纸质书面材料并签字盖章         </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发包人审批承包人文件的期限：</w:t>
      </w:r>
      <w:r>
        <w:rPr>
          <w:rFonts w:hint="eastAsia" w:asciiTheme="minorEastAsia" w:hAnsiTheme="minorEastAsia" w:eastAsiaTheme="minorEastAsia" w:cstheme="minorEastAsia"/>
          <w:szCs w:val="32"/>
          <w:u w:val="single"/>
        </w:rPr>
        <w:t xml:space="preserve">7天</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1.6.5 现场图纸准备</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关于现场图纸准备的约定：</w:t>
      </w:r>
      <w:r>
        <w:rPr>
          <w:rFonts w:hint="eastAsia" w:asciiTheme="minorEastAsia" w:hAnsiTheme="minorEastAsia" w:eastAsiaTheme="minorEastAsia" w:cstheme="minorEastAsia"/>
          <w:szCs w:val="32"/>
          <w:u w:val="single"/>
        </w:rPr>
        <w:t xml:space="preserve">承包人应在施工现场另外保存一套完整的图纸和承包人文件，供发包人、监理人及有关人员进行工程检查时使用</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1.7 联络</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1.7.1发包人和承包人应当在</w:t>
      </w:r>
      <w:r>
        <w:rPr>
          <w:rFonts w:hint="eastAsia" w:asciiTheme="minorEastAsia" w:hAnsiTheme="minorEastAsia" w:eastAsiaTheme="minorEastAsia" w:cstheme="minorEastAsia"/>
          <w:szCs w:val="32"/>
          <w:u w:val="single"/>
        </w:rPr>
        <w:t xml:space="preserve">5</w:t>
      </w:r>
      <w:r>
        <w:rPr>
          <w:rFonts w:hint="eastAsia" w:asciiTheme="minorEastAsia" w:hAnsiTheme="minorEastAsia" w:eastAsiaTheme="minorEastAsia" w:cstheme="minorEastAsia"/>
          <w:szCs w:val="32"/>
        </w:rPr>
        <w:t xml:space="preserve">天内将与合同有关的通知、批准、证明、证书、指示、指令、要求、请求、同意、意见、确定和决定等书面函件送达对方当事人。</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1.7.2 发包人接收文件的地点：</w:t>
      </w:r>
      <w:r>
        <w:rPr>
          <w:rFonts w:hint="eastAsia" w:asciiTheme="minorEastAsia" w:hAnsiTheme="minorEastAsia" w:eastAsiaTheme="minorEastAsia" w:cstheme="minorEastAsia"/>
          <w:szCs w:val="32"/>
          <w:u w:val="single"/>
        </w:rPr>
        <w:t xml:space="preserve">施工现场</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发包人指定的接收人为：。</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承包人接收文件的地点：</w:t>
      </w:r>
      <w:r>
        <w:rPr>
          <w:rFonts w:hint="eastAsia" w:asciiTheme="minorEastAsia" w:hAnsiTheme="minorEastAsia" w:eastAsiaTheme="minorEastAsia" w:cstheme="minorEastAsia"/>
          <w:szCs w:val="32"/>
          <w:u w:val="single"/>
        </w:rPr>
        <w:t xml:space="preserve">施工现场</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承包人指定的接收人为：。</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监理人接收文件的地点：</w:t>
      </w:r>
      <w:r>
        <w:rPr>
          <w:rFonts w:hint="eastAsia" w:asciiTheme="minorEastAsia" w:hAnsiTheme="minorEastAsia" w:eastAsiaTheme="minorEastAsia" w:cstheme="minorEastAsia"/>
          <w:szCs w:val="32"/>
          <w:u w:val="single"/>
        </w:rPr>
        <w:t xml:space="preserve">施工现场</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监理人指定的接收人为：。</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1.10 交通运输</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w:t>
      </w:r>
      <w:bookmarkStart w:id="75" w:name="_Toc303539100"/>
      <w:r/>
      <w:bookmarkStart w:id="76" w:name="_Toc312677986"/>
      <w:r/>
      <w:bookmarkStart w:id="77" w:name="_Toc300934943"/>
      <w:r/>
      <w:bookmarkStart w:id="78" w:name="_Toc318581155"/>
      <w:r/>
      <w:bookmarkStart w:id="79" w:name="_Toc304295521"/>
      <w:r>
        <w:rPr>
          <w:rFonts w:hint="eastAsia" w:asciiTheme="minorEastAsia" w:hAnsiTheme="minorEastAsia" w:eastAsiaTheme="minorEastAsia" w:cstheme="minorEastAsia"/>
          <w:szCs w:val="32"/>
        </w:rPr>
        <w:t xml:space="preserve">.10.1 出入现场的权利</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关于出入现场的权利的约定：</w:t>
      </w:r>
      <w:r>
        <w:rPr>
          <w:rFonts w:hint="eastAsia" w:asciiTheme="minorEastAsia" w:hAnsiTheme="minorEastAsia" w:eastAsiaTheme="minorEastAsia" w:cstheme="minorEastAsia"/>
          <w:szCs w:val="32"/>
          <w:u w:val="single"/>
        </w:rPr>
        <w:t xml:space="preserve">承包人与管理部门联系并承担费用，其他执行通用条款</w:t>
      </w:r>
      <w:r>
        <w:rPr>
          <w:rFonts w:hint="eastAsia" w:asciiTheme="minorEastAsia" w:hAnsiTheme="minorEastAsia" w:eastAsiaTheme="minorEastAsia" w:cstheme="minorEastAsia"/>
          <w:szCs w:val="32"/>
        </w:rPr>
        <w:t xml:space="preserve">。</w:t>
      </w:r>
      <w:bookmarkEnd w:id="75"/>
      <w:r/>
      <w:bookmarkEnd w:id="76"/>
      <w:r/>
      <w:bookmarkEnd w:id="77"/>
      <w:r/>
      <w:bookmarkEnd w:id="78"/>
      <w:r/>
      <w:bookmarkEnd w:id="79"/>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w:t>
      </w:r>
      <w:bookmarkStart w:id="80" w:name="_Toc303539101"/>
      <w:r/>
      <w:bookmarkStart w:id="81" w:name="_Toc312677987"/>
      <w:r/>
      <w:bookmarkStart w:id="82" w:name="_Toc318581156"/>
      <w:r/>
      <w:bookmarkStart w:id="83" w:name="_Toc300934944"/>
      <w:r/>
      <w:bookmarkStart w:id="84" w:name="_Toc304295522"/>
      <w:r>
        <w:rPr>
          <w:rFonts w:hint="eastAsia" w:asciiTheme="minorEastAsia" w:hAnsiTheme="minorEastAsia" w:eastAsiaTheme="minorEastAsia" w:cstheme="minorEastAsia"/>
          <w:szCs w:val="32"/>
        </w:rPr>
        <w:t xml:space="preserve">.10.3 场内交通</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关于场外交通和场内交通的边界的约定：</w:t>
      </w:r>
      <w:r>
        <w:rPr>
          <w:rFonts w:hint="eastAsia" w:asciiTheme="minorEastAsia" w:hAnsiTheme="minorEastAsia" w:eastAsiaTheme="minorEastAsia" w:cstheme="minorEastAsia"/>
          <w:szCs w:val="32"/>
          <w:u w:val="single"/>
        </w:rPr>
        <w:t xml:space="preserve">施工便道、场内道路及交通设施均由承包人负责施工、维修、养护，并承担施工、维修、养护费用。承包人必须服从发包人的安排和管理。承包人必须精心组织场内外交通，并承担相关费用，承包人必须指派专人做好交通管理。保证交通安全，严防交通事故的发生</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关于发包人向承包人免费提供满足工程施工需要的场内道路和交通设施的约定：。</w:t>
      </w:r>
      <w:bookmarkEnd w:id="80"/>
      <w:r/>
      <w:bookmarkEnd w:id="81"/>
      <w:r/>
      <w:bookmarkEnd w:id="82"/>
      <w:r/>
      <w:bookmarkEnd w:id="83"/>
      <w:r/>
      <w:bookmarkEnd w:id="84"/>
      <w:r/>
      <w:bookmarkStart w:id="85" w:name="_Toc318581157"/>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1.10.4超大件和超重件的运输</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运输超大件或超重件所需的道路和桥梁临时加固改造费用和其他有关费用由</w:t>
      </w:r>
      <w:r>
        <w:rPr>
          <w:rFonts w:hint="eastAsia" w:asciiTheme="minorEastAsia" w:hAnsiTheme="minorEastAsia" w:eastAsiaTheme="minorEastAsia" w:cstheme="minorEastAsia"/>
          <w:szCs w:val="32"/>
          <w:u w:val="single"/>
        </w:rPr>
        <w:t xml:space="preserve">承包人</w:t>
      </w:r>
      <w:r>
        <w:rPr>
          <w:rFonts w:hint="eastAsia" w:asciiTheme="minorEastAsia" w:hAnsiTheme="minorEastAsia" w:eastAsiaTheme="minorEastAsia" w:cstheme="minorEastAsia"/>
          <w:szCs w:val="32"/>
        </w:rPr>
        <w:t xml:space="preserve">承担。</w:t>
      </w:r>
      <w:bookmarkEnd w:id="85"/>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1.11 知识产权</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1.11.1关于发包人提供给承包人的图纸、发包人为实施工程自行编制或委托编制的技术规范以及反映发包人关于合同要求或其他类似性质的文件的著作权的归属：</w:t>
      </w:r>
      <w:r>
        <w:rPr>
          <w:rFonts w:hint="eastAsia" w:asciiTheme="minorEastAsia" w:hAnsiTheme="minorEastAsia" w:eastAsiaTheme="minorEastAsia" w:cstheme="minorEastAsia"/>
          <w:szCs w:val="32"/>
          <w:u w:val="single"/>
        </w:rPr>
        <w:t xml:space="preserve">发包人</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关于发包人提供的上述文件的使用限制的要求：</w:t>
      </w:r>
      <w:r>
        <w:rPr>
          <w:rFonts w:hint="eastAsia" w:asciiTheme="minorEastAsia" w:hAnsiTheme="minorEastAsia" w:eastAsiaTheme="minorEastAsia" w:cstheme="minorEastAsia"/>
          <w:szCs w:val="32"/>
          <w:u w:val="single"/>
        </w:rPr>
        <w:t xml:space="preserve">承包人可以为实现合同目的而复制、使用此类文件，但不能用于与合同无关的其他事项。未经发包人同意，承包人不得为了合同以外的目的而复制、使用上述文件或将之提供给任何第三方</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1.11.2 关于承包人为实施工程所编制文件的著作权的归属：</w:t>
      </w:r>
      <w:r>
        <w:rPr>
          <w:rFonts w:hint="eastAsia" w:asciiTheme="minorEastAsia" w:hAnsiTheme="minorEastAsia" w:eastAsiaTheme="minorEastAsia" w:cstheme="minorEastAsia"/>
          <w:szCs w:val="32"/>
          <w:u w:val="single"/>
        </w:rPr>
        <w:t xml:space="preserve">发包人</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关于承包人提供的上述文件的使用限制的要求：</w:t>
      </w:r>
      <w:r>
        <w:rPr>
          <w:rFonts w:hint="eastAsia" w:asciiTheme="minorEastAsia" w:hAnsiTheme="minorEastAsia" w:eastAsiaTheme="minorEastAsia" w:cstheme="minorEastAsia"/>
          <w:szCs w:val="32"/>
          <w:u w:val="single"/>
        </w:rPr>
        <w:t xml:space="preserve">承包人可以为实现合同目的而复制、使用此类文件，但不能用于与合同无关的其他事项。未经发包人同意，承包人不得为了合同以外的目的而复制、使用上述文件或将之提供给任何第三方</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1.11.4 承包人在施工过程中所采用的专利、专有技术、技术秘密的使用费的承担方式：</w:t>
      </w:r>
      <w:r>
        <w:rPr>
          <w:rFonts w:hint="eastAsia" w:asciiTheme="minorEastAsia" w:hAnsiTheme="minorEastAsia" w:eastAsiaTheme="minorEastAsia" w:cstheme="minorEastAsia"/>
          <w:szCs w:val="32"/>
          <w:u w:val="single"/>
        </w:rPr>
        <w:t xml:space="preserve">按通用条款执行</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1.13工程量清单错误的修正</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出现工程量清单错误时，是否调整合同价格：</w:t>
      </w:r>
      <w:r>
        <w:rPr>
          <w:rFonts w:hint="eastAsia" w:asciiTheme="minorEastAsia" w:hAnsiTheme="minorEastAsia" w:eastAsiaTheme="minorEastAsia" w:cstheme="minorEastAsia"/>
          <w:szCs w:val="32"/>
          <w:u w:val="single"/>
        </w:rPr>
        <w:t xml:space="preserve">是</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允许调整合同价格的工程量偏差范围：</w:t>
      </w:r>
      <w:r>
        <w:rPr>
          <w:rFonts w:hint="eastAsia" w:asciiTheme="minorEastAsia" w:hAnsiTheme="minorEastAsia" w:eastAsiaTheme="minorEastAsia" w:cstheme="minorEastAsia"/>
          <w:szCs w:val="32"/>
          <w:u w:val="single"/>
        </w:rPr>
        <w:t xml:space="preserve">  按实调整   </w:t>
      </w:r>
      <w:r>
        <w:rPr>
          <w:rFonts w:hint="eastAsia" w:asciiTheme="minorEastAsia" w:hAnsiTheme="minorEastAsia" w:eastAsiaTheme="minorEastAsia" w:cstheme="minorEastAsia"/>
          <w:szCs w:val="32"/>
        </w:rPr>
        <w:t xml:space="preserve">。</w:t>
      </w:r>
      <w:r/>
    </w:p>
    <w:p>
      <w:pPr>
        <w:pStyle w:val="795"/>
        <w:spacing w:before="0" w:after="0" w:line="332" w:lineRule="auto"/>
        <w:rPr>
          <w:rFonts w:asciiTheme="minorEastAsia" w:hAnsiTheme="minorEastAsia" w:eastAsiaTheme="minorEastAsia" w:cstheme="minorEastAsia"/>
          <w:bCs w:val="0"/>
          <w:szCs w:val="32"/>
        </w:rPr>
      </w:pPr>
      <w:r/>
      <w:bookmarkStart w:id="86" w:name="_Toc351203634"/>
      <w:r>
        <w:rPr>
          <w:rFonts w:hint="eastAsia" w:asciiTheme="minorEastAsia" w:hAnsiTheme="minorEastAsia" w:eastAsiaTheme="minorEastAsia" w:cstheme="minorEastAsia"/>
          <w:bCs w:val="0"/>
          <w:szCs w:val="32"/>
        </w:rPr>
        <w:t xml:space="preserve">2</w:t>
      </w:r>
      <w:bookmarkStart w:id="87" w:name="_Toc297120457"/>
      <w:r/>
      <w:bookmarkStart w:id="88" w:name="_Toc296347156"/>
      <w:r/>
      <w:bookmarkStart w:id="89" w:name="_Toc296890985"/>
      <w:r/>
      <w:bookmarkStart w:id="90" w:name="_Toc297048343"/>
      <w:r/>
      <w:bookmarkStart w:id="91" w:name="_Toc296944496"/>
      <w:r/>
      <w:bookmarkStart w:id="92" w:name="_Toc296891197"/>
      <w:r/>
      <w:bookmarkStart w:id="93" w:name="_Toc292559362"/>
      <w:r/>
      <w:bookmarkStart w:id="94" w:name="_Toc296503157"/>
      <w:r/>
      <w:bookmarkStart w:id="95" w:name="_Toc296346658"/>
      <w:r/>
      <w:bookmarkStart w:id="96" w:name="_Toc292559867"/>
      <w:r>
        <w:rPr>
          <w:rFonts w:hint="eastAsia" w:asciiTheme="minorEastAsia" w:hAnsiTheme="minorEastAsia" w:eastAsiaTheme="minorEastAsia" w:cstheme="minorEastAsia"/>
          <w:bCs w:val="0"/>
          <w:szCs w:val="32"/>
        </w:rPr>
        <w:t xml:space="preserve">. 发包人</w:t>
      </w:r>
      <w:bookmarkEnd w:id="86"/>
      <w:r/>
      <w:bookmarkEnd w:id="87"/>
      <w:r/>
      <w:bookmarkEnd w:id="88"/>
      <w:r/>
      <w:bookmarkEnd w:id="89"/>
      <w:r/>
      <w:bookmarkEnd w:id="90"/>
      <w:r/>
      <w:bookmarkEnd w:id="91"/>
      <w:r/>
      <w:bookmarkEnd w:id="92"/>
      <w:r/>
      <w:bookmarkEnd w:id="93"/>
      <w:r/>
      <w:bookmarkEnd w:id="94"/>
      <w:r/>
      <w:bookmarkEnd w:id="95"/>
      <w:r/>
      <w:bookmarkEnd w:id="96"/>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2.2 发包人代表</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发包人代表：</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姓    名：；</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身份证号：；</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职    务：；</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联系电话：；</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电子信箱：；</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通信地址：。</w:t>
      </w:r>
      <w:r/>
    </w:p>
    <w:p>
      <w:pPr>
        <w:ind w:firstLine="420"/>
        <w:spacing w:line="332" w:lineRule="auto"/>
        <w:rPr>
          <w:rFonts w:asciiTheme="minorEastAsia" w:hAnsiTheme="minorEastAsia" w:eastAsiaTheme="minorEastAsia" w:cstheme="minorEastAsia"/>
          <w:b/>
          <w:szCs w:val="32"/>
        </w:rPr>
      </w:pPr>
      <w:r>
        <w:rPr>
          <w:rFonts w:hint="eastAsia" w:asciiTheme="minorEastAsia" w:hAnsiTheme="minorEastAsia" w:eastAsiaTheme="minorEastAsia" w:cstheme="minorEastAsia"/>
          <w:szCs w:val="32"/>
        </w:rPr>
        <w:t xml:space="preserve">发包人对发包人代表的授权范围如下：</w:t>
      </w:r>
      <w:r>
        <w:rPr>
          <w:rFonts w:hint="eastAsia" w:asciiTheme="minorEastAsia" w:hAnsiTheme="minorEastAsia" w:eastAsiaTheme="minorEastAsia" w:cstheme="minorEastAsia"/>
          <w:szCs w:val="32"/>
          <w:u w:val="single"/>
        </w:rPr>
        <w:t xml:space="preserve">负责处理与协调工程施工中的重大问题，协调外部工作联系。确认有关工期延误、设计变更、现场签证、工程量、进度款支付、验收检验、竣工验收、竣工结算文件、索赔材料，及发包人另行批准的其它职权</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2.4 施工现场、施工条件和基础资料的提供</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2.4.1 提供施工现场</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关于发包人移交施工现场的期限要求：</w:t>
      </w:r>
      <w:r>
        <w:rPr>
          <w:rFonts w:hint="eastAsia" w:asciiTheme="minorEastAsia" w:hAnsiTheme="minorEastAsia" w:eastAsiaTheme="minorEastAsia" w:cstheme="minorEastAsia"/>
          <w:szCs w:val="32"/>
          <w:u w:val="single"/>
        </w:rPr>
        <w:t xml:space="preserve">  开工前壹周内  </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2.4.2 提供施工条件</w:t>
      </w:r>
      <w:r/>
    </w:p>
    <w:p>
      <w:pPr>
        <w:ind w:firstLine="420"/>
        <w:spacing w:line="332" w:lineRule="auto"/>
        <w:rPr>
          <w:rFonts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关于发包人应负责提供施工所需要的条件，包括：</w:t>
      </w:r>
      <w:r>
        <w:rPr>
          <w:rFonts w:hint="eastAsia" w:asciiTheme="minorEastAsia" w:hAnsiTheme="minorEastAsia" w:eastAsiaTheme="minorEastAsia" w:cstheme="minorEastAsia"/>
          <w:szCs w:val="32"/>
          <w:u w:val="single"/>
        </w:rPr>
        <w:t xml:space="preserve">现场临时设施及材料堆放等场地承包人自行解决，发包人不参与协调或提供。发包人不提供水、电接入点，施工用水、用电接入费或自发电增加费由施工方承担，其他按采购文件执行</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2.5 资金来源证明及支付担保</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发包人提供资金来源证明的期限要求：</w:t>
      </w:r>
      <w:r>
        <w:rPr>
          <w:rFonts w:hint="eastAsia" w:asciiTheme="minorEastAsia" w:hAnsiTheme="minorEastAsia" w:eastAsiaTheme="minorEastAsia" w:cstheme="minorEastAsia"/>
          <w:szCs w:val="32"/>
          <w:u w:val="single"/>
        </w:rPr>
        <w:t xml:space="preserve">    /      </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发包人是否提供支付担保：</w:t>
      </w:r>
      <w:r>
        <w:rPr>
          <w:rFonts w:hint="eastAsia" w:asciiTheme="minorEastAsia" w:hAnsiTheme="minorEastAsia" w:eastAsiaTheme="minorEastAsia" w:cstheme="minorEastAsia"/>
          <w:szCs w:val="32"/>
          <w:u w:val="single"/>
        </w:rPr>
        <w:t xml:space="preserve">    否       </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发包人提供支付担保的形式：</w:t>
      </w:r>
      <w:r>
        <w:rPr>
          <w:rFonts w:hint="eastAsia" w:asciiTheme="minorEastAsia" w:hAnsiTheme="minorEastAsia" w:eastAsiaTheme="minorEastAsia" w:cstheme="minorEastAsia"/>
          <w:szCs w:val="32"/>
          <w:u w:val="single"/>
        </w:rPr>
        <w:t xml:space="preserve">   /   </w:t>
      </w:r>
      <w:r>
        <w:rPr>
          <w:rFonts w:hint="eastAsia" w:asciiTheme="minorEastAsia" w:hAnsiTheme="minorEastAsia" w:eastAsiaTheme="minorEastAsia" w:cstheme="minorEastAsia"/>
          <w:szCs w:val="32"/>
        </w:rPr>
        <w:t xml:space="preserve">。</w:t>
      </w:r>
      <w:r/>
    </w:p>
    <w:p>
      <w:pPr>
        <w:pStyle w:val="795"/>
        <w:spacing w:before="0" w:after="0" w:line="332" w:lineRule="auto"/>
        <w:rPr>
          <w:rFonts w:asciiTheme="minorEastAsia" w:hAnsiTheme="minorEastAsia" w:eastAsiaTheme="minorEastAsia" w:cstheme="minorEastAsia"/>
          <w:bCs w:val="0"/>
          <w:szCs w:val="32"/>
        </w:rPr>
      </w:pPr>
      <w:r/>
      <w:bookmarkStart w:id="97" w:name="_Toc351203635"/>
      <w:r>
        <w:rPr>
          <w:rFonts w:hint="eastAsia" w:asciiTheme="minorEastAsia" w:hAnsiTheme="minorEastAsia" w:eastAsiaTheme="minorEastAsia" w:cstheme="minorEastAsia"/>
          <w:bCs w:val="0"/>
          <w:szCs w:val="32"/>
        </w:rPr>
        <w:t xml:space="preserve">3</w:t>
      </w:r>
      <w:bookmarkStart w:id="98" w:name="_Toc292559868"/>
      <w:r/>
      <w:bookmarkStart w:id="99" w:name="_Toc296944497"/>
      <w:r/>
      <w:bookmarkStart w:id="100" w:name="_Toc297048344"/>
      <w:r/>
      <w:bookmarkStart w:id="101" w:name="_Toc296503158"/>
      <w:r/>
      <w:bookmarkStart w:id="102" w:name="_Toc296890986"/>
      <w:r/>
      <w:bookmarkStart w:id="103" w:name="_Toc296346659"/>
      <w:r/>
      <w:bookmarkStart w:id="104" w:name="_Toc292559363"/>
      <w:r/>
      <w:bookmarkStart w:id="105" w:name="_Toc296891198"/>
      <w:r/>
      <w:bookmarkStart w:id="106" w:name="_Toc296347157"/>
      <w:r/>
      <w:bookmarkStart w:id="107" w:name="_Toc297120458"/>
      <w:r>
        <w:rPr>
          <w:rFonts w:hint="eastAsia" w:asciiTheme="minorEastAsia" w:hAnsiTheme="minorEastAsia" w:eastAsiaTheme="minorEastAsia" w:cstheme="minorEastAsia"/>
          <w:bCs w:val="0"/>
          <w:szCs w:val="32"/>
        </w:rPr>
        <w:t xml:space="preserve">. 承包人</w:t>
      </w:r>
      <w:bookmarkEnd w:id="97"/>
      <w:r/>
      <w:bookmarkEnd w:id="98"/>
      <w:r/>
      <w:bookmarkEnd w:id="99"/>
      <w:r/>
      <w:bookmarkEnd w:id="100"/>
      <w:r/>
      <w:bookmarkEnd w:id="101"/>
      <w:r/>
      <w:bookmarkEnd w:id="102"/>
      <w:r/>
      <w:bookmarkEnd w:id="103"/>
      <w:r/>
      <w:bookmarkEnd w:id="104"/>
      <w:r/>
      <w:bookmarkEnd w:id="105"/>
      <w:r/>
      <w:bookmarkEnd w:id="106"/>
      <w:r/>
      <w:bookmarkEnd w:id="107"/>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3.1 承包人的一般义务</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（9）承包人提交的竣工资料的内容：</w:t>
      </w:r>
      <w:r>
        <w:rPr>
          <w:rFonts w:hint="eastAsia" w:asciiTheme="minorEastAsia" w:hAnsiTheme="minorEastAsia" w:eastAsiaTheme="minorEastAsia" w:cstheme="minorEastAsia"/>
          <w:szCs w:val="32"/>
          <w:u w:val="single"/>
        </w:rPr>
        <w:t xml:space="preserve">工程具备竣工验收条件，承包人按国家工程竣工验收有关规定的验收要求，提前 15 天向监理单位提供完整竣工资料（含声像、影像资料），竣工报告及工程质量保修书，同时向城建档案馆报送完整的竣工资料及竣工图（壹套）壹份（需档案馆审核合格，承包人承担扫描等相关费用），同时向发包人报送完整的竣工资料及竣工图（壹套）壹份和相应的电子档案资料。属于发包人应提供的资料由发包人负责及时提供给承包人，由承包人汇总整理后统一归档</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承包人需要提交的竣工资料套数：</w:t>
      </w:r>
      <w:r>
        <w:rPr>
          <w:rFonts w:hint="eastAsia" w:asciiTheme="minorEastAsia" w:hAnsiTheme="minorEastAsia" w:eastAsiaTheme="minorEastAsia" w:cstheme="minorEastAsia"/>
          <w:szCs w:val="32"/>
          <w:u w:val="single"/>
        </w:rPr>
        <w:t xml:space="preserve">     肆套     </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承包人提交的竣工资料的费用承担：</w:t>
      </w:r>
      <w:r>
        <w:rPr>
          <w:rFonts w:hint="eastAsia" w:asciiTheme="minorEastAsia" w:hAnsiTheme="minorEastAsia" w:eastAsiaTheme="minorEastAsia" w:cstheme="minorEastAsia"/>
          <w:szCs w:val="32"/>
          <w:u w:val="single"/>
        </w:rPr>
        <w:t xml:space="preserve">  由承包人自行承担  </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承包人提交的竣工资料移交时间：</w:t>
      </w:r>
      <w:r>
        <w:rPr>
          <w:rFonts w:hint="eastAsia" w:asciiTheme="minorEastAsia" w:hAnsiTheme="minorEastAsia" w:eastAsiaTheme="minorEastAsia" w:cstheme="minorEastAsia"/>
          <w:szCs w:val="32"/>
          <w:u w:val="single"/>
        </w:rPr>
        <w:t xml:space="preserve"> 按照法律法规和当地竣工验收备案部门的有关规定 </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承包人提交的竣工资料形式要求：</w:t>
      </w:r>
      <w:r>
        <w:rPr>
          <w:rFonts w:hint="eastAsia" w:asciiTheme="minorEastAsia" w:hAnsiTheme="minorEastAsia" w:eastAsiaTheme="minorEastAsia" w:cstheme="minorEastAsia"/>
          <w:szCs w:val="32"/>
          <w:u w:val="single"/>
        </w:rPr>
        <w:t xml:space="preserve">    书面资料     </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（10）承包人应履行的其他义务：</w:t>
      </w:r>
      <w:r>
        <w:rPr>
          <w:rFonts w:hint="eastAsia" w:asciiTheme="minorEastAsia" w:hAnsiTheme="minorEastAsia" w:eastAsiaTheme="minorEastAsia" w:cstheme="minorEastAsia"/>
          <w:szCs w:val="32"/>
          <w:u w:val="single"/>
        </w:rPr>
        <w:t xml:space="preserve"> 建设单位按约定拨付工程款，并按中</w:t>
      </w:r>
      <w:r>
        <w:rPr>
          <w:rFonts w:hint="eastAsia" w:asciiTheme="minorEastAsia" w:hAnsiTheme="minorEastAsia" w:eastAsiaTheme="minorEastAsia" w:cstheme="minorEastAsia"/>
          <w:szCs w:val="32"/>
          <w:u w:val="single"/>
        </w:rPr>
        <w:t xml:space="preserve">华人民共和国国务院令第 724 号《保障农民工工资支付条例》有关规定将人工费用直接拨付至农民工工资专用帐户。中标人应按照中华人民共和国国务院令第 724 号《保障农民工工资支付条例》有关规定开设农民工工资专用帐户，专项用于支付本工程建设项目农民工工资。承包人必须按国家规定及时支付工人工资，招标人将对中标人履行前述付款的情况进行监督。招标人有权使用履约保证金支付拖欠的工人工资。如因承包人未能及时发放农民工工资引发农民工群体性上访事件，每发生一次群体性上访事件扣罚中标人10万元，由承包人承担由此产生的一切后果 </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3.2 项目经理</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3.2.1 项目经理：</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姓    名：；</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身份证号：；</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建造师执业资格等级：；</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建造师注册证书号：；</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建造师执业印章号：；</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安全生产考核合格证书号：；</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联系电话：；</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电子信箱：；</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通信地址：；</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承包人对项目经理的授权范围如下：</w:t>
      </w:r>
      <w:r>
        <w:rPr>
          <w:rFonts w:hint="eastAsia" w:asciiTheme="minorEastAsia" w:hAnsiTheme="minorEastAsia" w:eastAsiaTheme="minorEastAsia" w:cstheme="minorEastAsia"/>
          <w:szCs w:val="32"/>
          <w:u w:val="single"/>
        </w:rPr>
        <w:t xml:space="preserve">代表承包商履行合同所必需的一切权力</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关于项目经理每月在施工现场的时间要求：</w:t>
      </w:r>
      <w:r>
        <w:rPr>
          <w:rFonts w:hint="eastAsia" w:asciiTheme="minorEastAsia" w:hAnsiTheme="minorEastAsia" w:eastAsiaTheme="minorEastAsia" w:cstheme="minorEastAsia"/>
          <w:szCs w:val="32"/>
          <w:u w:val="single"/>
        </w:rPr>
        <w:t xml:space="preserve">开工之日起到竣工结束，在保证工程质量、安全、进度的情况下， 项目经理每周至少 5 日，每天不少于 8 小时在现场组织施工</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承包人未提交劳动合同，以及没有为项目经理缴纳社会保险证明的违约责任：</w:t>
      </w:r>
      <w:r>
        <w:rPr>
          <w:rFonts w:hint="eastAsia" w:asciiTheme="minorEastAsia" w:hAnsiTheme="minorEastAsia" w:eastAsiaTheme="minorEastAsia" w:cstheme="minorEastAsia"/>
          <w:szCs w:val="32"/>
          <w:u w:val="single"/>
        </w:rPr>
        <w:t xml:space="preserve">由承包人承担违约责任，责令限期提交劳动合同并补缴社会保险，并扣除履约保证金的 10%</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项目经理未经批准，擅自离开施工现场的违约责任：</w:t>
      </w:r>
      <w:r>
        <w:rPr>
          <w:rFonts w:hint="eastAsia" w:asciiTheme="minorEastAsia" w:hAnsiTheme="minorEastAsia" w:eastAsiaTheme="minorEastAsia" w:cstheme="minorEastAsia"/>
          <w:szCs w:val="32"/>
          <w:u w:val="single"/>
        </w:rPr>
        <w:t xml:space="preserve">由承包人承担违约责任，发包人有权处违约金 2000 元/人•次(人民币)</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3.2.3 承包人擅自更换项目经理的违约责任：</w:t>
      </w:r>
      <w:r>
        <w:rPr>
          <w:rFonts w:hint="eastAsia" w:asciiTheme="minorEastAsia" w:hAnsiTheme="minorEastAsia" w:eastAsiaTheme="minorEastAsia" w:cstheme="minorEastAsia"/>
          <w:szCs w:val="32"/>
          <w:u w:val="single"/>
        </w:rPr>
        <w:t xml:space="preserve">由承包人承担违约责任，并扣除履约保证金的50%</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3.2.4 承包人无正当理由拒绝更换项目经理的违约责任：</w:t>
      </w:r>
      <w:r>
        <w:rPr>
          <w:rFonts w:hint="eastAsia" w:asciiTheme="minorEastAsia" w:hAnsiTheme="minorEastAsia" w:eastAsiaTheme="minorEastAsia" w:cstheme="minorEastAsia"/>
          <w:szCs w:val="32"/>
          <w:u w:val="single"/>
        </w:rPr>
        <w:t xml:space="preserve">由承包人承担违约责任，并扣除履约保证金的50%</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3.3 承包人人员</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3.3.1 承包人提交项目管理机构及施工现场管理人员安排报告的期限：</w:t>
      </w:r>
      <w:r>
        <w:rPr>
          <w:rFonts w:hint="eastAsia" w:asciiTheme="minorEastAsia" w:hAnsiTheme="minorEastAsia" w:eastAsiaTheme="minorEastAsia" w:cstheme="minorEastAsia"/>
          <w:szCs w:val="32"/>
          <w:u w:val="single"/>
        </w:rPr>
        <w:t xml:space="preserve">承包人应在接到开工通知后7天内，向监理人提交承包人项目管理机构及施工现场人员安排的报告</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3.3.3 承包人无正当理由拒绝撤换主要施工管理人员的违约责任：</w:t>
      </w:r>
      <w:r>
        <w:rPr>
          <w:rFonts w:hint="eastAsia" w:asciiTheme="minorEastAsia" w:hAnsiTheme="minorEastAsia" w:eastAsiaTheme="minorEastAsia" w:cstheme="minorEastAsia"/>
          <w:szCs w:val="32"/>
          <w:u w:val="single"/>
        </w:rPr>
        <w:t xml:space="preserve">由承包人承担违约责任，并扣除履约保证金的20%</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3.3.4 承包人主要施工管理人员离开施工现场的批准要求：</w:t>
      </w:r>
      <w:r>
        <w:rPr>
          <w:rFonts w:hint="eastAsia" w:asciiTheme="minorEastAsia" w:hAnsiTheme="minorEastAsia" w:eastAsiaTheme="minorEastAsia" w:cstheme="minorEastAsia"/>
          <w:szCs w:val="32"/>
          <w:u w:val="single"/>
        </w:rPr>
        <w:t xml:space="preserve">应事先通知监理人，并取得发包人的书面同意，书面请假手续同时报招标人或监理备案，其它按通用条款执行</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3.3.5承包人擅自更换主要施工管理人员的违约责任：</w:t>
      </w:r>
      <w:r>
        <w:rPr>
          <w:rFonts w:hint="eastAsia" w:asciiTheme="minorEastAsia" w:hAnsiTheme="minorEastAsia" w:eastAsiaTheme="minorEastAsia" w:cstheme="minorEastAsia"/>
          <w:szCs w:val="32"/>
          <w:u w:val="single"/>
        </w:rPr>
        <w:t xml:space="preserve">由承包人承担违约责任，并扣除履约保证金的20%</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承包人主要施工管理人员擅自离开施工现场的违约责任：</w:t>
      </w:r>
      <w:r>
        <w:rPr>
          <w:rFonts w:hint="eastAsia" w:asciiTheme="minorEastAsia" w:hAnsiTheme="minorEastAsia" w:eastAsiaTheme="minorEastAsia" w:cstheme="minorEastAsia"/>
          <w:szCs w:val="32"/>
          <w:u w:val="single"/>
        </w:rPr>
        <w:t xml:space="preserve">由承包人承担违约责任，发包人有权处违约金 500 元/人•次(人民币)</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3</w:t>
      </w:r>
      <w:bookmarkStart w:id="108" w:name="_Toc297048345"/>
      <w:r/>
      <w:bookmarkStart w:id="109" w:name="_Toc296346660"/>
      <w:r/>
      <w:bookmarkStart w:id="110" w:name="_Toc296891199"/>
      <w:r/>
      <w:bookmarkStart w:id="111" w:name="_Toc296944498"/>
      <w:r/>
      <w:bookmarkStart w:id="112" w:name="_Toc312677988"/>
      <w:r/>
      <w:bookmarkStart w:id="113" w:name="_Toc303539102"/>
      <w:r/>
      <w:bookmarkStart w:id="114" w:name="_Toc296503159"/>
      <w:r/>
      <w:bookmarkStart w:id="115" w:name="_Toc304295523"/>
      <w:r/>
      <w:bookmarkStart w:id="116" w:name="_Toc296347158"/>
      <w:r/>
      <w:bookmarkStart w:id="117" w:name="_Toc292559364"/>
      <w:r/>
      <w:bookmarkStart w:id="118" w:name="_Toc300934945"/>
      <w:r/>
      <w:bookmarkStart w:id="119" w:name="_Toc297120459"/>
      <w:r/>
      <w:bookmarkStart w:id="120" w:name="_Toc292559869"/>
      <w:r/>
      <w:bookmarkStart w:id="121" w:name="_Toc297123492"/>
      <w:r/>
      <w:bookmarkStart w:id="122" w:name="_Toc296890987"/>
      <w:r/>
      <w:bookmarkStart w:id="123" w:name="_Toc297216151"/>
      <w:r>
        <w:rPr>
          <w:rFonts w:hint="eastAsia" w:asciiTheme="minorEastAsia" w:hAnsiTheme="minorEastAsia" w:eastAsiaTheme="minorEastAsia" w:cstheme="minorEastAsia"/>
          <w:szCs w:val="32"/>
        </w:rPr>
        <w:t xml:space="preserve">.5 分包</w:t>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3</w:t>
      </w:r>
      <w:bookmarkStart w:id="124" w:name="_Toc296503160"/>
      <w:r/>
      <w:bookmarkStart w:id="125" w:name="_Toc297216152"/>
      <w:r/>
      <w:bookmarkStart w:id="126" w:name="_Toc296346661"/>
      <w:r/>
      <w:bookmarkStart w:id="127" w:name="_Toc304295524"/>
      <w:r/>
      <w:bookmarkStart w:id="128" w:name="_Toc300934946"/>
      <w:r/>
      <w:bookmarkStart w:id="129" w:name="_Toc312677989"/>
      <w:r/>
      <w:bookmarkStart w:id="130" w:name="_Toc297123493"/>
      <w:r/>
      <w:bookmarkStart w:id="131" w:name="_Toc303539103"/>
      <w:r/>
      <w:bookmarkStart w:id="132" w:name="_Toc296347159"/>
      <w:r/>
      <w:bookmarkStart w:id="133" w:name="_Toc296891200"/>
      <w:r/>
      <w:bookmarkStart w:id="134" w:name="_Toc297120460"/>
      <w:r/>
      <w:bookmarkStart w:id="135" w:name="_Toc296890988"/>
      <w:r/>
      <w:bookmarkStart w:id="136" w:name="_Toc318581158"/>
      <w:r/>
      <w:bookmarkStart w:id="137" w:name="_Toc292559365"/>
      <w:r/>
      <w:bookmarkStart w:id="138" w:name="_Toc292559870"/>
      <w:r/>
      <w:bookmarkStart w:id="139" w:name="_Toc296944499"/>
      <w:r/>
      <w:bookmarkStart w:id="140" w:name="_Toc297048346"/>
      <w:r>
        <w:rPr>
          <w:rFonts w:hint="eastAsia" w:asciiTheme="minorEastAsia" w:hAnsiTheme="minorEastAsia" w:eastAsiaTheme="minorEastAsia" w:cstheme="minorEastAsia"/>
          <w:szCs w:val="32"/>
        </w:rPr>
        <w:t xml:space="preserve">.5.1 分包的一般约定</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禁止分包的工程包括：法律法规禁止分包的工程。</w:t>
      </w:r>
      <w:r/>
    </w:p>
    <w:p>
      <w:pPr>
        <w:ind w:firstLine="420"/>
        <w:jc w:val="left"/>
        <w:spacing w:line="332" w:lineRule="auto"/>
        <w:rPr>
          <w:rFonts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主体结构、关键性工作的范围：</w:t>
      </w:r>
      <w:r>
        <w:rPr>
          <w:rFonts w:hint="eastAsia" w:asciiTheme="minorEastAsia" w:hAnsiTheme="minorEastAsia" w:eastAsiaTheme="minorEastAsia" w:cstheme="minorEastAsia"/>
          <w:szCs w:val="32"/>
          <w:u w:val="single"/>
        </w:rPr>
        <w:t xml:space="preserve">       /       </w:t>
      </w:r>
      <w:r>
        <w:rPr>
          <w:rFonts w:hint="eastAsia" w:asciiTheme="minorEastAsia" w:hAnsiTheme="minorEastAsia" w:eastAsiaTheme="minorEastAsia" w:cstheme="minorEastAsia"/>
          <w:szCs w:val="32"/>
        </w:rPr>
        <w:t xml:space="preserve">。</w:t>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r/>
    </w:p>
    <w:p>
      <w:pPr>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    3</w:t>
      </w:r>
      <w:bookmarkStart w:id="141" w:name="_Toc318581159"/>
      <w:r/>
      <w:bookmarkStart w:id="142" w:name="_Toc312677990"/>
      <w:r>
        <w:rPr>
          <w:rFonts w:hint="eastAsia" w:asciiTheme="minorEastAsia" w:hAnsiTheme="minorEastAsia" w:eastAsiaTheme="minorEastAsia" w:cstheme="minorEastAsia"/>
          <w:szCs w:val="32"/>
        </w:rPr>
        <w:t xml:space="preserve">.5.2分包的确定</w:t>
      </w:r>
      <w:r/>
    </w:p>
    <w:p>
      <w:pPr>
        <w:ind w:firstLine="420"/>
        <w:spacing w:line="332" w:lineRule="auto"/>
        <w:rPr>
          <w:rFonts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允许分包的专业工程包括：</w:t>
      </w:r>
      <w:r>
        <w:rPr>
          <w:rFonts w:hint="eastAsia" w:asciiTheme="minorEastAsia" w:hAnsiTheme="minorEastAsia" w:eastAsiaTheme="minorEastAsia" w:cstheme="minorEastAsia"/>
          <w:szCs w:val="32"/>
          <w:u w:val="single"/>
        </w:rPr>
        <w:t xml:space="preserve">   /     </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其他关于分包的约定：</w:t>
      </w:r>
      <w:r>
        <w:rPr>
          <w:rFonts w:hint="eastAsia" w:asciiTheme="minorEastAsia" w:hAnsiTheme="minorEastAsia" w:eastAsiaTheme="minorEastAsia" w:cstheme="minorEastAsia"/>
          <w:szCs w:val="32"/>
          <w:u w:val="single"/>
        </w:rPr>
        <w:t xml:space="preserve">非主体、非关键性工程可以分包，分包单位须具有相关资质且得到招标人认可 </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3.5.4 分包合同价款</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关于分包合同价款支付的约定：</w:t>
      </w:r>
      <w:r>
        <w:rPr>
          <w:rFonts w:hint="eastAsia" w:asciiTheme="minorEastAsia" w:hAnsiTheme="minorEastAsia" w:eastAsiaTheme="minorEastAsia" w:cstheme="minorEastAsia"/>
          <w:szCs w:val="32"/>
          <w:u w:val="single"/>
        </w:rPr>
        <w:t xml:space="preserve">  /    </w:t>
      </w:r>
      <w:r>
        <w:rPr>
          <w:rFonts w:hint="eastAsia" w:asciiTheme="minorEastAsia" w:hAnsiTheme="minorEastAsia" w:eastAsiaTheme="minorEastAsia" w:cstheme="minorEastAsia"/>
          <w:szCs w:val="32"/>
        </w:rPr>
        <w:t xml:space="preserve">。</w:t>
      </w:r>
      <w:bookmarkEnd w:id="141"/>
      <w:r/>
      <w:bookmarkEnd w:id="142"/>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3.6 工程照管与成品、半成品保护</w:t>
      </w:r>
      <w:r/>
    </w:p>
    <w:p>
      <w:pPr>
        <w:ind w:firstLine="420"/>
        <w:spacing w:line="332" w:lineRule="auto"/>
        <w:rPr>
          <w:rFonts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承包人负责照管工程及工程相关的材料、工程设备的起始时间：</w:t>
      </w:r>
      <w:r>
        <w:rPr>
          <w:rFonts w:hint="eastAsia" w:asciiTheme="minorEastAsia" w:hAnsiTheme="minorEastAsia" w:eastAsiaTheme="minorEastAsia" w:cstheme="minorEastAsia"/>
          <w:szCs w:val="32"/>
          <w:u w:val="single"/>
        </w:rPr>
        <w:t xml:space="preserve">发包人向承包人移交施工现场之日起</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3.7 履约担保</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承包人是否提供履约担保：</w:t>
      </w:r>
      <w:r>
        <w:rPr>
          <w:rFonts w:hint="eastAsia" w:asciiTheme="minorEastAsia" w:hAnsiTheme="minorEastAsia" w:eastAsiaTheme="minorEastAsia" w:cstheme="minorEastAsia"/>
          <w:szCs w:val="32"/>
          <w:u w:val="single"/>
        </w:rPr>
        <w:t xml:space="preserve">是</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承包人提供履约担保的形式、金额及期限的：</w:t>
      </w:r>
      <w:r>
        <w:rPr>
          <w:rFonts w:hint="eastAsia" w:asciiTheme="minorEastAsia" w:hAnsiTheme="minorEastAsia" w:eastAsiaTheme="minorEastAsia" w:cstheme="minorEastAsia"/>
          <w:szCs w:val="32"/>
          <w:u w:val="single"/>
        </w:rPr>
        <w:t xml:space="preserve">详见本文件第三章供应商须知前附表</w:t>
      </w:r>
      <w:r>
        <w:rPr>
          <w:rFonts w:hint="eastAsia" w:asciiTheme="minorEastAsia" w:hAnsiTheme="minorEastAsia" w:eastAsiaTheme="minorEastAsia" w:cstheme="minorEastAsia"/>
          <w:szCs w:val="32"/>
        </w:rPr>
        <w:t xml:space="preserve">。</w:t>
      </w:r>
      <w:r/>
    </w:p>
    <w:p>
      <w:pPr>
        <w:pStyle w:val="795"/>
        <w:spacing w:before="0" w:after="0" w:line="332" w:lineRule="auto"/>
        <w:rPr>
          <w:rFonts w:asciiTheme="minorEastAsia" w:hAnsiTheme="minorEastAsia" w:eastAsiaTheme="minorEastAsia" w:cstheme="minorEastAsia"/>
          <w:bCs w:val="0"/>
          <w:szCs w:val="32"/>
        </w:rPr>
      </w:pPr>
      <w:r/>
      <w:bookmarkStart w:id="143" w:name="_Toc351203636"/>
      <w:r>
        <w:rPr>
          <w:rFonts w:hint="eastAsia" w:asciiTheme="minorEastAsia" w:hAnsiTheme="minorEastAsia" w:eastAsiaTheme="minorEastAsia" w:cstheme="minorEastAsia"/>
          <w:bCs w:val="0"/>
          <w:szCs w:val="32"/>
        </w:rPr>
        <w:t xml:space="preserve">4</w:t>
      </w:r>
      <w:bookmarkStart w:id="144" w:name="_Toc296944501"/>
      <w:r/>
      <w:bookmarkStart w:id="145" w:name="_Toc296347161"/>
      <w:r/>
      <w:bookmarkStart w:id="146" w:name="_Toc296346663"/>
      <w:r/>
      <w:bookmarkStart w:id="147" w:name="_Toc296890990"/>
      <w:r/>
      <w:bookmarkStart w:id="148" w:name="_Toc297048348"/>
      <w:r/>
      <w:bookmarkStart w:id="149" w:name="_Toc267251413"/>
      <w:r/>
      <w:bookmarkStart w:id="150" w:name="_Toc292559366"/>
      <w:r/>
      <w:bookmarkStart w:id="151" w:name="_Toc296891202"/>
      <w:r/>
      <w:bookmarkStart w:id="152" w:name="_Toc292559871"/>
      <w:r/>
      <w:bookmarkStart w:id="153" w:name="_Toc296503162"/>
      <w:r/>
      <w:bookmarkStart w:id="154" w:name="_Toc297120462"/>
      <w:r>
        <w:rPr>
          <w:rFonts w:hint="eastAsia" w:asciiTheme="minorEastAsia" w:hAnsiTheme="minorEastAsia" w:eastAsiaTheme="minorEastAsia" w:cstheme="minorEastAsia"/>
          <w:bCs w:val="0"/>
          <w:szCs w:val="32"/>
        </w:rPr>
        <w:t xml:space="preserve">. 监</w:t>
      </w:r>
      <w:bookmarkEnd w:id="144"/>
      <w:r/>
      <w:bookmarkEnd w:id="145"/>
      <w:r/>
      <w:bookmarkEnd w:id="146"/>
      <w:r/>
      <w:bookmarkEnd w:id="147"/>
      <w:r/>
      <w:bookmarkEnd w:id="148"/>
      <w:r/>
      <w:bookmarkEnd w:id="149"/>
      <w:r/>
      <w:bookmarkEnd w:id="150"/>
      <w:r/>
      <w:bookmarkEnd w:id="151"/>
      <w:r/>
      <w:bookmarkEnd w:id="152"/>
      <w:r/>
      <w:bookmarkEnd w:id="153"/>
      <w:r/>
      <w:bookmarkEnd w:id="154"/>
      <w:r>
        <w:rPr>
          <w:rFonts w:hint="eastAsia" w:asciiTheme="minorEastAsia" w:hAnsiTheme="minorEastAsia" w:eastAsiaTheme="minorEastAsia" w:cstheme="minorEastAsia"/>
          <w:bCs w:val="0"/>
          <w:szCs w:val="32"/>
        </w:rPr>
        <w:t xml:space="preserve">理人</w:t>
      </w:r>
      <w:bookmarkEnd w:id="143"/>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4.1监理人的一般规定</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关于监理人的监理内容：</w:t>
      </w:r>
      <w:r>
        <w:rPr>
          <w:rFonts w:hint="eastAsia" w:asciiTheme="minorEastAsia" w:hAnsiTheme="minorEastAsia" w:eastAsiaTheme="minorEastAsia" w:cstheme="minorEastAsia"/>
          <w:szCs w:val="32"/>
          <w:u w:val="single"/>
        </w:rPr>
        <w:t xml:space="preserve">  见监理合同 </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关于监理人的监理权限：</w:t>
      </w:r>
      <w:r>
        <w:rPr>
          <w:rFonts w:hint="eastAsia" w:asciiTheme="minorEastAsia" w:hAnsiTheme="minorEastAsia" w:eastAsiaTheme="minorEastAsia" w:cstheme="minorEastAsia"/>
          <w:szCs w:val="32"/>
          <w:u w:val="single"/>
        </w:rPr>
        <w:t xml:space="preserve">对本工程施工阶段的质量、进度、造价进行控制，以及对合同、安全、信息和现场进行管理，涉及工期、质量标准、造价变更的需发包人书面确认</w:t>
      </w:r>
      <w:r>
        <w:rPr>
          <w:rFonts w:hint="eastAsia" w:asciiTheme="minorEastAsia" w:hAnsiTheme="minorEastAsia" w:eastAsiaTheme="minorEastAsia" w:cstheme="minorEastAsia"/>
          <w:szCs w:val="32"/>
        </w:rPr>
        <w:t xml:space="preserve">。 </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关于监理人在施工现场的办公场所、生活场所的提供和费用承担的约定：</w:t>
      </w:r>
      <w:r>
        <w:rPr>
          <w:rFonts w:hint="eastAsia" w:asciiTheme="minorEastAsia" w:hAnsiTheme="minorEastAsia" w:eastAsiaTheme="minorEastAsia" w:cstheme="minorEastAsia"/>
          <w:szCs w:val="32"/>
          <w:u w:val="single"/>
        </w:rPr>
        <w:t xml:space="preserve"> 由承包人提供  </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4.2 监理人员</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总监理工程师：</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姓    名：；</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职    务：；</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监理工程师执业资格证书号：；</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联系电话：；</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电子信箱：；</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通信地址：；</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关于监理人的其他约定：。</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4.4 商定或确定</w:t>
      </w:r>
      <w:r/>
    </w:p>
    <w:p>
      <w:pPr>
        <w:ind w:firstLine="420"/>
        <w:spacing w:line="332" w:lineRule="auto"/>
        <w:rPr>
          <w:rFonts w:asciiTheme="minorEastAsia" w:hAnsiTheme="minorEastAsia" w:eastAsiaTheme="minorEastAsia" w:cstheme="minorEastAsia"/>
          <w:szCs w:val="32"/>
        </w:rPr>
      </w:pPr>
      <w:r/>
      <w:bookmarkStart w:id="155" w:name="_Toc267251418"/>
      <w:r>
        <w:rPr>
          <w:rFonts w:hint="eastAsia" w:asciiTheme="minorEastAsia" w:hAnsiTheme="minorEastAsia" w:eastAsiaTheme="minorEastAsia" w:cstheme="minorEastAsia"/>
          <w:szCs w:val="32"/>
        </w:rPr>
        <w:t xml:space="preserve">在发包人和承包人不能通过协商达成一致意见时，发包人授权监理人对以下事项进行确定：</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（2）；</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（3）。</w:t>
      </w:r>
      <w:r/>
    </w:p>
    <w:p>
      <w:pPr>
        <w:pStyle w:val="795"/>
        <w:spacing w:before="0" w:after="0" w:line="332" w:lineRule="auto"/>
        <w:rPr>
          <w:rFonts w:asciiTheme="minorEastAsia" w:hAnsiTheme="minorEastAsia" w:eastAsiaTheme="minorEastAsia" w:cstheme="minorEastAsia"/>
          <w:bCs w:val="0"/>
          <w:szCs w:val="32"/>
        </w:rPr>
      </w:pPr>
      <w:r/>
      <w:bookmarkStart w:id="156" w:name="_Toc351203637"/>
      <w:r>
        <w:rPr>
          <w:rFonts w:hint="eastAsia" w:asciiTheme="minorEastAsia" w:hAnsiTheme="minorEastAsia" w:eastAsiaTheme="minorEastAsia" w:cstheme="minorEastAsia"/>
          <w:bCs w:val="0"/>
          <w:szCs w:val="32"/>
        </w:rPr>
        <w:t xml:space="preserve">5</w:t>
      </w:r>
      <w:bookmarkEnd w:id="155"/>
      <w:r/>
      <w:bookmarkStart w:id="157" w:name="_Toc296346664"/>
      <w:r/>
      <w:bookmarkStart w:id="158" w:name="_Toc297120463"/>
      <w:r/>
      <w:bookmarkStart w:id="159" w:name="_Toc296944502"/>
      <w:r/>
      <w:bookmarkStart w:id="160" w:name="_Toc296503163"/>
      <w:r/>
      <w:bookmarkStart w:id="161" w:name="_Toc297048349"/>
      <w:r/>
      <w:bookmarkStart w:id="162" w:name="_Toc296347162"/>
      <w:r/>
      <w:bookmarkStart w:id="163" w:name="_Toc296890991"/>
      <w:r/>
      <w:bookmarkStart w:id="164" w:name="_Toc292559367"/>
      <w:r/>
      <w:bookmarkStart w:id="165" w:name="_Toc292559872"/>
      <w:r/>
      <w:bookmarkStart w:id="166" w:name="_Toc296891203"/>
      <w:r>
        <w:rPr>
          <w:rFonts w:hint="eastAsia" w:asciiTheme="minorEastAsia" w:hAnsiTheme="minorEastAsia" w:eastAsiaTheme="minorEastAsia" w:cstheme="minorEastAsia"/>
          <w:bCs w:val="0"/>
          <w:szCs w:val="32"/>
        </w:rPr>
        <w:t xml:space="preserve">. 工程质量</w:t>
      </w:r>
      <w:bookmarkEnd w:id="156"/>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5.1 质量要求：</w:t>
      </w:r>
      <w:r>
        <w:rPr>
          <w:rFonts w:hint="eastAsia" w:asciiTheme="minorEastAsia" w:hAnsiTheme="minorEastAsia" w:eastAsiaTheme="minorEastAsia" w:cstheme="minorEastAsia"/>
          <w:szCs w:val="32"/>
          <w:u w:val="single"/>
        </w:rPr>
        <w:t xml:space="preserve">合格  </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5</w:t>
      </w:r>
      <w:bookmarkStart w:id="167" w:name="_Toc300934949"/>
      <w:r/>
      <w:bookmarkStart w:id="168" w:name="_Toc297216155"/>
      <w:r/>
      <w:bookmarkStart w:id="169" w:name="_Toc297123496"/>
      <w:r/>
      <w:bookmarkStart w:id="170" w:name="_Toc318581164"/>
      <w:r/>
      <w:bookmarkStart w:id="171" w:name="_Toc304295527"/>
      <w:r/>
      <w:bookmarkStart w:id="172" w:name="_Toc312677997"/>
      <w:r/>
      <w:bookmarkStart w:id="173" w:name="_Toc303539106"/>
      <w:r>
        <w:rPr>
          <w:rFonts w:hint="eastAsia" w:asciiTheme="minorEastAsia" w:hAnsiTheme="minorEastAsia" w:eastAsiaTheme="minorEastAsia" w:cstheme="minorEastAsia"/>
          <w:szCs w:val="32"/>
        </w:rPr>
        <w:t xml:space="preserve">.1.1 特殊质量标准和要求：。</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关于工程奖项的约定：。</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5.3 隐蔽工程检查</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5.3.2承包人提前通知监理人隐蔽工程检查的期限的约定：</w:t>
      </w:r>
      <w:r>
        <w:rPr>
          <w:rFonts w:hint="eastAsia" w:asciiTheme="minorEastAsia" w:hAnsiTheme="minorEastAsia" w:eastAsiaTheme="minorEastAsia" w:cstheme="minorEastAsia"/>
          <w:szCs w:val="32"/>
          <w:u w:val="single"/>
        </w:rPr>
        <w:t xml:space="preserve">提前24小时通知</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监理人不能按时进行检查时，应提前</w:t>
      </w:r>
      <w:r>
        <w:rPr>
          <w:rFonts w:hint="eastAsia" w:asciiTheme="minorEastAsia" w:hAnsiTheme="minorEastAsia" w:eastAsiaTheme="minorEastAsia" w:cstheme="minorEastAsia"/>
          <w:szCs w:val="32"/>
          <w:u w:val="single"/>
        </w:rPr>
        <w:t xml:space="preserve">12</w:t>
      </w:r>
      <w:r>
        <w:rPr>
          <w:rFonts w:hint="eastAsia" w:asciiTheme="minorEastAsia" w:hAnsiTheme="minorEastAsia" w:eastAsiaTheme="minorEastAsia" w:cstheme="minorEastAsia"/>
          <w:szCs w:val="32"/>
        </w:rPr>
        <w:t xml:space="preserve">小时提交书面延期要求。</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关于延期最长不得超过：</w:t>
      </w:r>
      <w:r>
        <w:rPr>
          <w:rFonts w:hint="eastAsia" w:asciiTheme="minorEastAsia" w:hAnsiTheme="minorEastAsia" w:eastAsiaTheme="minorEastAsia" w:cstheme="minorEastAsia"/>
          <w:szCs w:val="32"/>
          <w:u w:val="single"/>
        </w:rPr>
        <w:t xml:space="preserve">48</w:t>
      </w:r>
      <w:r>
        <w:rPr>
          <w:rFonts w:hint="eastAsia" w:asciiTheme="minorEastAsia" w:hAnsiTheme="minorEastAsia" w:eastAsiaTheme="minorEastAsia" w:cstheme="minorEastAsia"/>
          <w:szCs w:val="32"/>
        </w:rPr>
        <w:t xml:space="preserve">小时。</w:t>
      </w:r>
      <w:r/>
    </w:p>
    <w:p>
      <w:pPr>
        <w:pStyle w:val="795"/>
        <w:spacing w:before="0" w:after="0" w:line="332" w:lineRule="auto"/>
        <w:rPr>
          <w:rFonts w:asciiTheme="minorEastAsia" w:hAnsiTheme="minorEastAsia" w:eastAsiaTheme="minorEastAsia" w:cstheme="minorEastAsia"/>
          <w:bCs w:val="0"/>
          <w:szCs w:val="32"/>
        </w:rPr>
      </w:pPr>
      <w:r/>
      <w:bookmarkStart w:id="174" w:name="_Toc351203638"/>
      <w:r>
        <w:rPr>
          <w:rFonts w:hint="eastAsia" w:asciiTheme="minorEastAsia" w:hAnsiTheme="minorEastAsia" w:eastAsiaTheme="minorEastAsia" w:cstheme="minorEastAsia"/>
          <w:bCs w:val="0"/>
          <w:szCs w:val="32"/>
        </w:rPr>
        <w:t xml:space="preserve">6. 安全文明施工与环境保护</w:t>
      </w:r>
      <w:bookmarkEnd w:id="174"/>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6.1安全文明施工</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6.1.1 项目安全生产的达标目标及相应事项的约定：</w:t>
      </w:r>
      <w:r>
        <w:rPr>
          <w:rFonts w:hint="eastAsia" w:asciiTheme="minorEastAsia" w:hAnsiTheme="minorEastAsia" w:eastAsiaTheme="minorEastAsia" w:cstheme="minorEastAsia"/>
          <w:szCs w:val="32"/>
          <w:u w:val="single"/>
        </w:rPr>
        <w:t xml:space="preserve">无安全事故</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u w:val="single"/>
        </w:rPr>
        <w:t xml:space="preserve">1)本工程承包人应遵守工程建设安全生产有关管理规定，严格按安全标准组织施工，并随时接受行业安全检查人员依法实施的监督检查，采取必要的安全防护措施，消除事故隐患。由于承包人安全措施不力造成事故的责任和因此发生的费用，由承包人承担。</w:t>
      </w:r>
      <w:r/>
    </w:p>
    <w:p>
      <w:pPr>
        <w:ind w:firstLine="420"/>
        <w:jc w:val="left"/>
        <w:spacing w:line="332" w:lineRule="auto"/>
        <w:rPr>
          <w:rFonts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u w:val="single"/>
        </w:rPr>
        <w:t xml:space="preserve">2）承包人必须成立项目安全管理小组，所有全部工程施工过程均必须有安全管理人员在施工现场，实施安全监督。</w:t>
      </w:r>
      <w:r/>
    </w:p>
    <w:p>
      <w:pPr>
        <w:ind w:firstLine="420"/>
        <w:jc w:val="left"/>
        <w:spacing w:line="332" w:lineRule="auto"/>
        <w:rPr>
          <w:rFonts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u w:val="single"/>
        </w:rPr>
        <w:t xml:space="preserve">3）承包人在施工组织安排时，要充分考虑施工条件的影响。施工现场内、外的设置临时交通安全设施等。</w:t>
      </w:r>
      <w:r/>
    </w:p>
    <w:p>
      <w:pPr>
        <w:ind w:firstLine="420"/>
        <w:jc w:val="left"/>
        <w:spacing w:line="332" w:lineRule="auto"/>
        <w:rPr>
          <w:rFonts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u w:val="single"/>
        </w:rPr>
        <w:t xml:space="preserve">4）承包人对本工程的质量安全负全责。</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6.1.4 关于治安保卫的特别约定：</w:t>
      </w:r>
      <w:r>
        <w:rPr>
          <w:rFonts w:hint="eastAsia" w:asciiTheme="minorEastAsia" w:hAnsiTheme="minorEastAsia" w:eastAsiaTheme="minorEastAsia" w:cstheme="minorEastAsia"/>
          <w:szCs w:val="32"/>
          <w:u w:val="single"/>
        </w:rPr>
        <w:t xml:space="preserve">承包人按照规定负责施工现场的治安保卫工作及施工照明，负责施工人员的治安教育和管理工作，承包人对治安防护工作负责，禁止外单位车辆、人员出入工地。施工期间的承包人设置的供电设施由承包人负责管理和保护。上述事项的费用由承包人承担。其它按通用条款执行</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关于编制施工场地治安管理计划的约定：</w:t>
      </w:r>
      <w:r>
        <w:rPr>
          <w:rFonts w:hint="eastAsia" w:asciiTheme="minorEastAsia" w:hAnsiTheme="minorEastAsia" w:eastAsiaTheme="minorEastAsia" w:cstheme="minorEastAsia"/>
          <w:szCs w:val="32"/>
          <w:u w:val="single"/>
        </w:rPr>
        <w:t xml:space="preserve">承包人须编制施工场地治安管理计划，建立健全施工现场治安保卫制度及管理责任制，并制定应对突发治安事件的应急预案</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6.1.5 文明施工</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合同当事人对文明施工的要求：</w:t>
      </w:r>
      <w:r>
        <w:rPr>
          <w:rFonts w:hint="eastAsia" w:asciiTheme="minorEastAsia" w:hAnsiTheme="minorEastAsia" w:eastAsiaTheme="minorEastAsia" w:cstheme="minorEastAsia"/>
          <w:szCs w:val="32"/>
          <w:u w:val="single"/>
        </w:rPr>
        <w:t xml:space="preserve">承包人应根据创建文明施工现场的要求，保证工地周围工程及设施完好。施工期间乙方必须服从招标人派出的工程管理人员和监理人员的指导、监督，工程竣工结束，中标人负责清运自身生活、改造拆除等建筑垃圾，保证场地整洁、符合要求</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6.1.6 关于安全文明施工费支付比例和支付期限的约定：</w:t>
      </w:r>
      <w:r>
        <w:rPr>
          <w:rFonts w:hint="eastAsia" w:asciiTheme="minorEastAsia" w:hAnsiTheme="minorEastAsia" w:eastAsiaTheme="minorEastAsia" w:cstheme="minorEastAsia"/>
          <w:szCs w:val="32"/>
          <w:u w:val="single"/>
        </w:rPr>
        <w:t xml:space="preserve">按国家规定比例，该费用包含在首次付款中</w:t>
      </w:r>
      <w:r>
        <w:rPr>
          <w:rFonts w:hint="eastAsia" w:asciiTheme="minorEastAsia" w:hAnsiTheme="minorEastAsia" w:eastAsiaTheme="minorEastAsia" w:cstheme="minorEastAsia"/>
          <w:szCs w:val="32"/>
        </w:rPr>
        <w:t xml:space="preserve">。</w:t>
      </w:r>
      <w:bookmarkEnd w:id="167"/>
      <w:r/>
      <w:bookmarkEnd w:id="168"/>
      <w:r/>
      <w:bookmarkEnd w:id="169"/>
      <w:r/>
      <w:bookmarkEnd w:id="170"/>
      <w:r/>
      <w:bookmarkEnd w:id="171"/>
      <w:r/>
      <w:bookmarkEnd w:id="172"/>
      <w:r/>
      <w:bookmarkEnd w:id="173"/>
      <w:r/>
      <w:r/>
    </w:p>
    <w:p>
      <w:pPr>
        <w:pStyle w:val="795"/>
        <w:spacing w:before="0" w:after="0" w:line="332" w:lineRule="auto"/>
        <w:rPr>
          <w:rFonts w:asciiTheme="minorEastAsia" w:hAnsiTheme="minorEastAsia" w:eastAsiaTheme="minorEastAsia" w:cstheme="minorEastAsia"/>
          <w:bCs w:val="0"/>
          <w:szCs w:val="32"/>
        </w:rPr>
      </w:pPr>
      <w:r/>
      <w:bookmarkStart w:id="175" w:name="_Toc351203639"/>
      <w:r>
        <w:rPr>
          <w:rFonts w:hint="eastAsia" w:asciiTheme="minorEastAsia" w:hAnsiTheme="minorEastAsia" w:eastAsiaTheme="minorEastAsia" w:cstheme="minorEastAsia"/>
          <w:bCs w:val="0"/>
          <w:szCs w:val="32"/>
        </w:rPr>
        <w:t xml:space="preserve">7. 工期和进度</w:t>
      </w:r>
      <w:bookmarkEnd w:id="175"/>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7.1 施工组织设计</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7.1.1 合同当事人约定的施工组织设计应包括的其他内容：</w:t>
      </w:r>
      <w:r>
        <w:rPr>
          <w:rFonts w:hint="eastAsia" w:asciiTheme="minorEastAsia" w:hAnsiTheme="minorEastAsia" w:eastAsiaTheme="minorEastAsia" w:cstheme="minorEastAsia"/>
          <w:szCs w:val="32"/>
          <w:u w:val="single"/>
        </w:rPr>
        <w:t xml:space="preserve">1、施工期间交通组织及交通安全的保证措施；2、根据合同的要求编写详细的《施工进度计划》（此计划应包括但不仅限于：分部分项工程施工进度安排、精确到以“周”为单位的施工进度时间段），周报、月报、月完成形象化进度、进度计划表各两份，发包人、监理单位各一份；承包人未按时提交上述内容，视为承包人违约一次，每违约一次承包人赔偿发包人伍仟元整，并按监理单位指定要求提交上述内容及整改措施</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7.1.2 施工组织设计的提交和修改</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承包人提交详细施工组织设计的期限的约定：</w:t>
      </w:r>
      <w:r>
        <w:rPr>
          <w:rFonts w:hint="eastAsia" w:asciiTheme="minorEastAsia" w:hAnsiTheme="minorEastAsia" w:eastAsiaTheme="minorEastAsia" w:cstheme="minorEastAsia"/>
          <w:szCs w:val="32"/>
          <w:u w:val="single"/>
        </w:rPr>
        <w:t xml:space="preserve"> 按通用条款执行  </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发包人和监理人在收到详细的施工组织设计后确认或提出修改意见的期限：</w:t>
      </w:r>
      <w:r>
        <w:rPr>
          <w:rFonts w:hint="eastAsia" w:asciiTheme="minorEastAsia" w:hAnsiTheme="minorEastAsia" w:eastAsiaTheme="minorEastAsia" w:cstheme="minorEastAsia"/>
          <w:szCs w:val="32"/>
          <w:u w:val="single"/>
        </w:rPr>
        <w:t xml:space="preserve">按通用条款执行</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w:t>
      </w:r>
      <w:bookmarkStart w:id="176" w:name="_Toc304295541"/>
      <w:r/>
      <w:bookmarkStart w:id="177" w:name="_Toc312677479"/>
      <w:r/>
      <w:bookmarkStart w:id="178" w:name="_Toc312678005"/>
      <w:r/>
      <w:bookmarkStart w:id="179" w:name="_Toc303539123"/>
      <w:r/>
      <w:bookmarkStart w:id="180" w:name="_Toc300934966"/>
      <w:r/>
      <w:bookmarkStart w:id="181" w:name="_Toc297123514"/>
      <w:r/>
      <w:bookmarkStart w:id="182" w:name="_Toc297216173"/>
      <w:r>
        <w:rPr>
          <w:rFonts w:hint="eastAsia" w:asciiTheme="minorEastAsia" w:hAnsiTheme="minorEastAsia" w:eastAsiaTheme="minorEastAsia" w:cstheme="minorEastAsia"/>
          <w:szCs w:val="32"/>
        </w:rPr>
        <w:t xml:space="preserve">.2 施工进度计划</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7.2.2 施工进度计划的修订</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发包人和监理人在收到修订的施工进度计划后确认或提出修改意见的期限：</w:t>
      </w:r>
      <w:r>
        <w:rPr>
          <w:rFonts w:hint="eastAsia" w:asciiTheme="minorEastAsia" w:hAnsiTheme="minorEastAsia" w:eastAsiaTheme="minorEastAsia" w:cstheme="minorEastAsia"/>
          <w:szCs w:val="32"/>
          <w:u w:val="single"/>
        </w:rPr>
        <w:t xml:space="preserve">无另有约定，按通用条款执行</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7.3 开工</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7.3.1 开工准备</w:t>
      </w:r>
      <w:r/>
    </w:p>
    <w:p>
      <w:pPr>
        <w:ind w:firstLine="420"/>
        <w:jc w:val="left"/>
        <w:spacing w:line="332" w:lineRule="auto"/>
        <w:rPr>
          <w:rFonts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关于承包人提交工程开工报审表的期限：</w:t>
      </w:r>
      <w:r>
        <w:rPr>
          <w:rFonts w:hint="eastAsia" w:asciiTheme="minorEastAsia" w:hAnsiTheme="minorEastAsia" w:eastAsiaTheme="minorEastAsia" w:cstheme="minorEastAsia"/>
          <w:szCs w:val="32"/>
          <w:u w:val="single"/>
        </w:rPr>
        <w:t xml:space="preserve"> 无另有约定，按通用条款执行  </w:t>
      </w:r>
      <w:r>
        <w:rPr>
          <w:rFonts w:hint="eastAsia" w:asciiTheme="minorEastAsia" w:hAnsiTheme="minorEastAsia" w:eastAsiaTheme="minorEastAsia" w:cstheme="minorEastAsia"/>
          <w:szCs w:val="32"/>
        </w:rPr>
        <w:t xml:space="preserve">。</w:t>
      </w:r>
      <w:r/>
    </w:p>
    <w:p>
      <w:pPr>
        <w:ind w:firstLine="420"/>
        <w:jc w:val="left"/>
        <w:spacing w:line="332" w:lineRule="auto"/>
        <w:tabs>
          <w:tab w:val="left" w:pos="623" w:leader="none"/>
        </w:tabs>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关于发包人应完成的其他开工准备工作及期限：</w:t>
      </w:r>
      <w:r>
        <w:rPr>
          <w:rFonts w:hint="eastAsia" w:asciiTheme="minorEastAsia" w:hAnsiTheme="minorEastAsia" w:eastAsiaTheme="minorEastAsia" w:cstheme="minorEastAsia"/>
          <w:szCs w:val="32"/>
          <w:u w:val="single"/>
        </w:rPr>
        <w:t xml:space="preserve">  无另有约定，按通用条款执行  </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关于承包人应完成的其他开工准备工作及期限：</w:t>
      </w:r>
      <w:r>
        <w:rPr>
          <w:rFonts w:hint="eastAsia" w:asciiTheme="minorEastAsia" w:hAnsiTheme="minorEastAsia" w:eastAsiaTheme="minorEastAsia" w:cstheme="minorEastAsia"/>
          <w:szCs w:val="32"/>
          <w:u w:val="single"/>
        </w:rPr>
        <w:t xml:space="preserve">  无另有约定，按通用条款执行  </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7.3.2开工通知</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因发包人原因造成监理人未能在计划开工日期之日起</w:t>
      </w:r>
      <w:r>
        <w:rPr>
          <w:rFonts w:hint="eastAsia" w:asciiTheme="minorEastAsia" w:hAnsiTheme="minorEastAsia" w:eastAsiaTheme="minorEastAsia" w:cstheme="minorEastAsia"/>
          <w:szCs w:val="32"/>
          <w:u w:val="single"/>
        </w:rPr>
        <w:t xml:space="preserve">90</w:t>
      </w:r>
      <w:r>
        <w:rPr>
          <w:rFonts w:hint="eastAsia" w:asciiTheme="minorEastAsia" w:hAnsiTheme="minorEastAsia" w:eastAsiaTheme="minorEastAsia" w:cstheme="minorEastAsia"/>
          <w:szCs w:val="32"/>
        </w:rPr>
        <w:t xml:space="preserve">天内发出开工通知的，承包人有权提出价格调整要求，或者解除合同。</w:t>
      </w:r>
      <w:bookmarkEnd w:id="176"/>
      <w:r/>
      <w:bookmarkEnd w:id="177"/>
      <w:r/>
      <w:bookmarkEnd w:id="178"/>
      <w:r/>
      <w:bookmarkEnd w:id="179"/>
      <w:r/>
      <w:bookmarkEnd w:id="180"/>
      <w:r/>
      <w:bookmarkEnd w:id="181"/>
      <w:r/>
      <w:bookmarkEnd w:id="182"/>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7.4 测量放线</w:t>
      </w:r>
      <w:r/>
    </w:p>
    <w:p>
      <w:pPr>
        <w:ind w:firstLine="420"/>
        <w:jc w:val="left"/>
        <w:spacing w:line="332" w:lineRule="auto"/>
        <w:rPr>
          <w:rFonts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7.4.1发包人通过监理人向承包人提供测量基准点、基准线和水准点及其书面资料的期限：</w:t>
      </w:r>
      <w:r>
        <w:rPr>
          <w:rFonts w:hint="eastAsia" w:asciiTheme="minorEastAsia" w:hAnsiTheme="minorEastAsia" w:eastAsiaTheme="minorEastAsia" w:cstheme="minorEastAsia"/>
          <w:szCs w:val="32"/>
          <w:u w:val="single"/>
        </w:rPr>
        <w:t xml:space="preserve">无另有约定，按通用条款执行</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w:t>
      </w:r>
      <w:bookmarkStart w:id="183" w:name="_Toc312677484"/>
      <w:r/>
      <w:bookmarkStart w:id="184" w:name="_Toc297123516"/>
      <w:r/>
      <w:bookmarkStart w:id="185" w:name="_Toc303539125"/>
      <w:r/>
      <w:bookmarkStart w:id="186" w:name="_Toc300934968"/>
      <w:r/>
      <w:bookmarkStart w:id="187" w:name="_Toc312678010"/>
      <w:r/>
      <w:bookmarkStart w:id="188" w:name="_Toc304295546"/>
      <w:r/>
      <w:bookmarkStart w:id="189" w:name="_Toc297216175"/>
      <w:r>
        <w:rPr>
          <w:rFonts w:hint="eastAsia" w:asciiTheme="minorEastAsia" w:hAnsiTheme="minorEastAsia" w:eastAsiaTheme="minorEastAsia" w:cstheme="minorEastAsia"/>
          <w:szCs w:val="32"/>
        </w:rPr>
        <w:t xml:space="preserve">.5 工期延误</w:t>
      </w:r>
      <w:bookmarkEnd w:id="183"/>
      <w:r/>
      <w:bookmarkEnd w:id="184"/>
      <w:r/>
      <w:bookmarkEnd w:id="185"/>
      <w:r/>
      <w:bookmarkEnd w:id="186"/>
      <w:r/>
      <w:bookmarkEnd w:id="187"/>
      <w:r/>
      <w:bookmarkEnd w:id="188"/>
      <w:r/>
      <w:bookmarkEnd w:id="189"/>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7.5.1 因发包人原因导致工期延误</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（7）因发包人原因导致工期延误的其他情形：</w:t>
      </w:r>
      <w:r>
        <w:rPr>
          <w:rFonts w:hint="eastAsia" w:asciiTheme="minorEastAsia" w:hAnsiTheme="minorEastAsia" w:eastAsiaTheme="minorEastAsia" w:cstheme="minorEastAsia"/>
          <w:szCs w:val="32"/>
          <w:u w:val="single"/>
        </w:rPr>
        <w:t xml:space="preserve"> 工期顺延  </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w:t>
      </w:r>
      <w:bookmarkStart w:id="190" w:name="_Toc312678012"/>
      <w:r/>
      <w:bookmarkStart w:id="191" w:name="_Toc312677486"/>
      <w:r/>
      <w:bookmarkStart w:id="192" w:name="_Toc318581169"/>
      <w:r/>
      <w:bookmarkStart w:id="193" w:name="_Toc297123518"/>
      <w:r/>
      <w:bookmarkStart w:id="194" w:name="_Toc303539127"/>
      <w:r/>
      <w:bookmarkStart w:id="195" w:name="_Toc297216177"/>
      <w:r/>
      <w:bookmarkStart w:id="196" w:name="_Toc300934970"/>
      <w:r/>
      <w:bookmarkStart w:id="197" w:name="_Toc304295548"/>
      <w:r>
        <w:rPr>
          <w:rFonts w:hint="eastAsia" w:asciiTheme="minorEastAsia" w:hAnsiTheme="minorEastAsia" w:eastAsiaTheme="minorEastAsia" w:cstheme="minorEastAsia"/>
          <w:szCs w:val="32"/>
        </w:rPr>
        <w:t xml:space="preserve">.5.2 因承包人原因导致工期延误</w:t>
      </w:r>
      <w:bookmarkEnd w:id="190"/>
      <w:r/>
      <w:bookmarkEnd w:id="191"/>
      <w:r/>
      <w:bookmarkEnd w:id="192"/>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因</w:t>
      </w:r>
      <w:bookmarkStart w:id="198" w:name="_Toc312677487"/>
      <w:r/>
      <w:bookmarkStart w:id="199" w:name="_Toc318581170"/>
      <w:r/>
      <w:bookmarkStart w:id="200" w:name="_Toc312678013"/>
      <w:r>
        <w:rPr>
          <w:rFonts w:hint="eastAsia" w:asciiTheme="minorEastAsia" w:hAnsiTheme="minorEastAsia" w:eastAsiaTheme="minorEastAsia" w:cstheme="minorEastAsia"/>
          <w:szCs w:val="32"/>
        </w:rPr>
        <w:t xml:space="preserve">承包人原因造成工期延误，逾期竣工违约金的计算方法为：</w:t>
      </w:r>
      <w:r>
        <w:rPr>
          <w:rFonts w:hint="eastAsia" w:asciiTheme="minorEastAsia" w:hAnsiTheme="minorEastAsia" w:eastAsiaTheme="minorEastAsia" w:cstheme="minorEastAsia"/>
          <w:szCs w:val="32"/>
          <w:u w:val="single"/>
        </w:rPr>
        <w:t xml:space="preserve"> 每天赔偿金额为0.5万元 </w:t>
      </w:r>
      <w:r>
        <w:rPr>
          <w:rFonts w:hint="eastAsia" w:asciiTheme="minorEastAsia" w:hAnsiTheme="minorEastAsia" w:eastAsiaTheme="minorEastAsia" w:cstheme="minorEastAsia"/>
          <w:szCs w:val="32"/>
        </w:rPr>
        <w:t xml:space="preserve">。</w:t>
      </w:r>
      <w:bookmarkEnd w:id="193"/>
      <w:r/>
      <w:bookmarkEnd w:id="194"/>
      <w:r/>
      <w:bookmarkEnd w:id="195"/>
      <w:r/>
      <w:bookmarkEnd w:id="196"/>
      <w:r/>
      <w:bookmarkEnd w:id="197"/>
      <w:r/>
      <w:bookmarkEnd w:id="198"/>
      <w:r/>
      <w:bookmarkEnd w:id="199"/>
      <w:r/>
      <w:bookmarkEnd w:id="200"/>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因承包人原因造成工期延误，逾</w:t>
      </w:r>
      <w:bookmarkStart w:id="201" w:name="_Toc312678014"/>
      <w:r/>
      <w:bookmarkStart w:id="202" w:name="_Toc318581171"/>
      <w:r>
        <w:rPr>
          <w:rFonts w:hint="eastAsia" w:asciiTheme="minorEastAsia" w:hAnsiTheme="minorEastAsia" w:eastAsiaTheme="minorEastAsia" w:cstheme="minorEastAsia"/>
          <w:szCs w:val="32"/>
        </w:rPr>
        <w:t xml:space="preserve">期竣工违约金的上限：</w:t>
      </w:r>
      <w:r>
        <w:rPr>
          <w:rFonts w:hint="eastAsia" w:asciiTheme="minorEastAsia" w:hAnsiTheme="minorEastAsia" w:eastAsiaTheme="minorEastAsia" w:cstheme="minorEastAsia"/>
          <w:szCs w:val="32"/>
          <w:u w:val="single"/>
        </w:rPr>
        <w:t xml:space="preserve"> 全部的履约保证金 </w:t>
      </w:r>
      <w:r>
        <w:rPr>
          <w:rFonts w:hint="eastAsia" w:asciiTheme="minorEastAsia" w:hAnsiTheme="minorEastAsia" w:eastAsiaTheme="minorEastAsia" w:cstheme="minorEastAsia"/>
          <w:szCs w:val="32"/>
        </w:rPr>
        <w:t xml:space="preserve">。</w:t>
      </w:r>
      <w:bookmarkEnd w:id="201"/>
      <w:r/>
      <w:bookmarkEnd w:id="202"/>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w:t>
      </w:r>
      <w:bookmarkStart w:id="203" w:name="_Toc304295549"/>
      <w:r/>
      <w:bookmarkStart w:id="204" w:name="_Toc297216178"/>
      <w:r/>
      <w:bookmarkStart w:id="205" w:name="_Toc312678015"/>
      <w:r/>
      <w:bookmarkStart w:id="206" w:name="_Toc300934971"/>
      <w:r/>
      <w:bookmarkStart w:id="207" w:name="_Toc297123519"/>
      <w:r/>
      <w:bookmarkStart w:id="208" w:name="_Toc303539128"/>
      <w:r>
        <w:rPr>
          <w:rFonts w:hint="eastAsia" w:asciiTheme="minorEastAsia" w:hAnsiTheme="minorEastAsia" w:eastAsiaTheme="minorEastAsia" w:cstheme="minorEastAsia"/>
          <w:szCs w:val="32"/>
        </w:rPr>
        <w:t xml:space="preserve">.6 不</w:t>
      </w:r>
      <w:bookmarkEnd w:id="203"/>
      <w:r/>
      <w:bookmarkEnd w:id="204"/>
      <w:r/>
      <w:bookmarkEnd w:id="205"/>
      <w:r/>
      <w:bookmarkEnd w:id="206"/>
      <w:r/>
      <w:bookmarkEnd w:id="207"/>
      <w:r/>
      <w:bookmarkEnd w:id="208"/>
      <w:r>
        <w:rPr>
          <w:rFonts w:hint="eastAsia" w:asciiTheme="minorEastAsia" w:hAnsiTheme="minorEastAsia" w:eastAsiaTheme="minorEastAsia" w:cstheme="minorEastAsia"/>
          <w:szCs w:val="32"/>
        </w:rPr>
        <w:t xml:space="preserve">利物质条件</w:t>
      </w:r>
      <w:r/>
    </w:p>
    <w:p>
      <w:pPr>
        <w:ind w:firstLine="420"/>
        <w:jc w:val="left"/>
        <w:spacing w:line="332" w:lineRule="auto"/>
        <w:rPr>
          <w:rFonts w:asciiTheme="minorEastAsia" w:hAnsiTheme="minorEastAsia" w:eastAsiaTheme="minorEastAsia" w:cstheme="minorEastAsia"/>
          <w:szCs w:val="32"/>
        </w:rPr>
      </w:pPr>
      <w:r/>
      <w:bookmarkStart w:id="209" w:name="_Toc312678016"/>
      <w:r/>
      <w:bookmarkStart w:id="210" w:name="_Toc297123520"/>
      <w:r/>
      <w:bookmarkStart w:id="211" w:name="_Toc304295550"/>
      <w:r/>
      <w:bookmarkStart w:id="212" w:name="_Toc303539129"/>
      <w:r/>
      <w:bookmarkStart w:id="213" w:name="_Toc297216179"/>
      <w:r/>
      <w:bookmarkStart w:id="214" w:name="_Toc300934972"/>
      <w:r/>
      <w:bookmarkStart w:id="215" w:name="_Toc318581172"/>
      <w:r>
        <w:rPr>
          <w:rFonts w:hint="eastAsia" w:asciiTheme="minorEastAsia" w:hAnsiTheme="minorEastAsia" w:eastAsiaTheme="minorEastAsia" w:cstheme="minorEastAsia"/>
          <w:szCs w:val="32"/>
        </w:rPr>
        <w:t xml:space="preserve">不利物质条件的其他情形和有关约定：</w:t>
      </w:r>
      <w:r>
        <w:rPr>
          <w:rFonts w:hint="eastAsia" w:asciiTheme="minorEastAsia" w:hAnsiTheme="minorEastAsia" w:eastAsiaTheme="minorEastAsia" w:cstheme="minorEastAsia"/>
          <w:szCs w:val="32"/>
          <w:u w:val="single"/>
        </w:rPr>
        <w:t xml:space="preserve">无另有约定，按通用条款执行</w:t>
      </w:r>
      <w:r>
        <w:rPr>
          <w:rFonts w:hint="eastAsia" w:asciiTheme="minorEastAsia" w:hAnsiTheme="minorEastAsia" w:eastAsiaTheme="minorEastAsia" w:cstheme="minorEastAsia"/>
          <w:szCs w:val="32"/>
        </w:rPr>
        <w:t xml:space="preserve">。</w:t>
      </w:r>
      <w:bookmarkEnd w:id="209"/>
      <w:r/>
      <w:bookmarkEnd w:id="210"/>
      <w:r/>
      <w:bookmarkEnd w:id="211"/>
      <w:r/>
      <w:bookmarkEnd w:id="212"/>
      <w:r/>
      <w:bookmarkEnd w:id="213"/>
      <w:r/>
      <w:bookmarkEnd w:id="214"/>
      <w:r/>
      <w:bookmarkEnd w:id="215"/>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w:t>
      </w:r>
      <w:bookmarkStart w:id="216" w:name="_Toc303539130"/>
      <w:r/>
      <w:bookmarkStart w:id="217" w:name="_Toc304295551"/>
      <w:r/>
      <w:bookmarkStart w:id="218" w:name="_Toc312678017"/>
      <w:r/>
      <w:bookmarkStart w:id="219" w:name="_Toc297216180"/>
      <w:r/>
      <w:bookmarkStart w:id="220" w:name="_Toc297123521"/>
      <w:r/>
      <w:bookmarkStart w:id="221" w:name="_Toc300934973"/>
      <w:r>
        <w:rPr>
          <w:rFonts w:hint="eastAsia" w:asciiTheme="minorEastAsia" w:hAnsiTheme="minorEastAsia" w:eastAsiaTheme="minorEastAsia" w:cstheme="minorEastAsia"/>
          <w:szCs w:val="32"/>
        </w:rPr>
        <w:t xml:space="preserve">.7异常恶劣的气候条件</w:t>
      </w:r>
      <w:bookmarkEnd w:id="216"/>
      <w:r/>
      <w:bookmarkEnd w:id="217"/>
      <w:r/>
      <w:bookmarkEnd w:id="218"/>
      <w:r/>
      <w:bookmarkEnd w:id="219"/>
      <w:r/>
      <w:bookmarkEnd w:id="220"/>
      <w:r/>
      <w:bookmarkEnd w:id="221"/>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发包人和承包人同意以下情形视为异常恶劣的气候条件：</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w:t>
      </w:r>
      <w:r>
        <w:rPr>
          <w:rFonts w:hint="eastAsia" w:asciiTheme="minorEastAsia" w:hAnsiTheme="minorEastAsia" w:eastAsiaTheme="minorEastAsia" w:cstheme="minorEastAsia"/>
          <w:szCs w:val="32"/>
          <w:u w:val="single"/>
        </w:rPr>
        <w:t xml:space="preserve">日降雨量大于50mm的雨日超1天；风速大于12 m/s的8级以上台风灾害；日气温超过 38℃的高温大于10天；日气温低于-20℃的严寒大于3天</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（2）</w:t>
      </w:r>
      <w:r>
        <w:rPr>
          <w:rFonts w:hint="eastAsia" w:asciiTheme="minorEastAsia" w:hAnsiTheme="minorEastAsia" w:eastAsiaTheme="minorEastAsia" w:cstheme="minorEastAsia"/>
          <w:szCs w:val="32"/>
          <w:u w:val="single"/>
        </w:rPr>
        <w:t xml:space="preserve">造成工程损坏的冰雹和大雪灾害：日降雪量10mm及以上</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（3）</w:t>
      </w:r>
      <w:r>
        <w:rPr>
          <w:rFonts w:hint="eastAsia" w:asciiTheme="minorEastAsia" w:hAnsiTheme="minorEastAsia" w:eastAsiaTheme="minorEastAsia" w:cstheme="minorEastAsia"/>
          <w:szCs w:val="32"/>
          <w:u w:val="single"/>
        </w:rPr>
        <w:t xml:space="preserve">其它：异常恶劣气候灾害</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7.9 提前竣工的奖励</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7.9.2提前竣工的奖励：</w:t>
      </w:r>
      <w:r>
        <w:rPr>
          <w:rFonts w:hint="eastAsia" w:asciiTheme="minorEastAsia" w:hAnsiTheme="minorEastAsia" w:eastAsiaTheme="minorEastAsia" w:cstheme="minorEastAsia"/>
          <w:szCs w:val="32"/>
          <w:u w:val="single"/>
        </w:rPr>
        <w:t xml:space="preserve">/</w:t>
      </w:r>
      <w:r>
        <w:rPr>
          <w:rFonts w:hint="eastAsia" w:asciiTheme="minorEastAsia" w:hAnsiTheme="minorEastAsia" w:eastAsiaTheme="minorEastAsia" w:cstheme="minorEastAsia"/>
          <w:szCs w:val="32"/>
        </w:rPr>
        <w:t xml:space="preserve">。</w:t>
      </w:r>
      <w:r/>
    </w:p>
    <w:p>
      <w:pPr>
        <w:pStyle w:val="795"/>
        <w:spacing w:before="0" w:after="0" w:line="332" w:lineRule="auto"/>
        <w:rPr>
          <w:rFonts w:asciiTheme="minorEastAsia" w:hAnsiTheme="minorEastAsia" w:eastAsiaTheme="minorEastAsia" w:cstheme="minorEastAsia"/>
          <w:bCs w:val="0"/>
          <w:szCs w:val="32"/>
        </w:rPr>
      </w:pPr>
      <w:r/>
      <w:bookmarkStart w:id="222" w:name="_Toc351203640"/>
      <w:r>
        <w:rPr>
          <w:rFonts w:hint="eastAsia" w:asciiTheme="minorEastAsia" w:hAnsiTheme="minorEastAsia" w:eastAsiaTheme="minorEastAsia" w:cstheme="minorEastAsia"/>
          <w:bCs w:val="0"/>
          <w:szCs w:val="32"/>
        </w:rPr>
        <w:t xml:space="preserve">8. 材料与设备</w:t>
      </w:r>
      <w:bookmarkEnd w:id="157"/>
      <w:r/>
      <w:bookmarkEnd w:id="158"/>
      <w:r/>
      <w:bookmarkEnd w:id="159"/>
      <w:r/>
      <w:bookmarkEnd w:id="160"/>
      <w:r/>
      <w:bookmarkEnd w:id="161"/>
      <w:r/>
      <w:bookmarkEnd w:id="162"/>
      <w:r/>
      <w:bookmarkEnd w:id="163"/>
      <w:r/>
      <w:bookmarkEnd w:id="164"/>
      <w:r/>
      <w:bookmarkEnd w:id="165"/>
      <w:r/>
      <w:bookmarkEnd w:id="166"/>
      <w:r/>
      <w:bookmarkEnd w:id="222"/>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8</w:t>
      </w:r>
      <w:bookmarkStart w:id="223" w:name="_Toc312677493"/>
      <w:r/>
      <w:bookmarkStart w:id="224" w:name="_Toc297048353"/>
      <w:r/>
      <w:bookmarkStart w:id="225" w:name="_Toc292559372"/>
      <w:r/>
      <w:bookmarkStart w:id="226" w:name="_Toc292559877"/>
      <w:r/>
      <w:bookmarkStart w:id="227" w:name="_Toc296346668"/>
      <w:r/>
      <w:bookmarkStart w:id="228" w:name="_Toc296890995"/>
      <w:r/>
      <w:bookmarkStart w:id="229" w:name="_Toc304295556"/>
      <w:r/>
      <w:bookmarkStart w:id="230" w:name="_Toc296891207"/>
      <w:r/>
      <w:bookmarkStart w:id="231" w:name="_Toc297120467"/>
      <w:r/>
      <w:bookmarkStart w:id="232" w:name="_Toc303539136"/>
      <w:r/>
      <w:bookmarkStart w:id="233" w:name="_Toc297216186"/>
      <w:r/>
      <w:bookmarkStart w:id="234" w:name="_Toc296503167"/>
      <w:r/>
      <w:bookmarkStart w:id="235" w:name="_Toc297123527"/>
      <w:r/>
      <w:bookmarkStart w:id="236" w:name="_Toc296347166"/>
      <w:r/>
      <w:bookmarkStart w:id="237" w:name="_Toc312678019"/>
      <w:r/>
      <w:bookmarkStart w:id="238" w:name="_Toc296944506"/>
      <w:r/>
      <w:bookmarkStart w:id="239" w:name="_Toc300934979"/>
      <w:r/>
      <w:bookmarkStart w:id="240" w:name="_Toc280868654"/>
      <w:r/>
      <w:bookmarkStart w:id="241" w:name="_Toc267251424"/>
      <w:r/>
      <w:bookmarkStart w:id="242" w:name="_Toc280868656"/>
      <w:r/>
      <w:bookmarkStart w:id="243" w:name="_Toc280868655"/>
      <w:r>
        <w:rPr>
          <w:rFonts w:hint="eastAsia" w:asciiTheme="minorEastAsia" w:hAnsiTheme="minorEastAsia" w:eastAsiaTheme="minorEastAsia" w:cstheme="minorEastAsia"/>
          <w:szCs w:val="32"/>
        </w:rPr>
        <w:t xml:space="preserve">.4材料与工程设备的保管与使用</w:t>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8</w:t>
      </w:r>
      <w:bookmarkStart w:id="244" w:name="_Toc292559878"/>
      <w:r/>
      <w:bookmarkStart w:id="245" w:name="_Toc292559373"/>
      <w:r/>
      <w:bookmarkStart w:id="246" w:name="_Toc297216187"/>
      <w:r/>
      <w:bookmarkStart w:id="247" w:name="_Toc318581173"/>
      <w:r/>
      <w:bookmarkStart w:id="248" w:name="_Toc296890996"/>
      <w:r/>
      <w:bookmarkStart w:id="249" w:name="_Toc300934980"/>
      <w:r/>
      <w:bookmarkStart w:id="250" w:name="_Toc296944507"/>
      <w:r/>
      <w:bookmarkStart w:id="251" w:name="_Toc296891208"/>
      <w:r/>
      <w:bookmarkStart w:id="252" w:name="_Toc312677494"/>
      <w:r/>
      <w:bookmarkStart w:id="253" w:name="_Toc296503168"/>
      <w:r/>
      <w:bookmarkStart w:id="254" w:name="_Toc297048354"/>
      <w:r/>
      <w:bookmarkStart w:id="255" w:name="_Toc296347167"/>
      <w:r/>
      <w:bookmarkStart w:id="256" w:name="_Toc297120468"/>
      <w:r/>
      <w:bookmarkStart w:id="257" w:name="_Toc303539137"/>
      <w:r/>
      <w:bookmarkStart w:id="258" w:name="_Toc297123528"/>
      <w:r/>
      <w:bookmarkStart w:id="259" w:name="_Toc296346669"/>
      <w:r/>
      <w:bookmarkStart w:id="260" w:name="_Toc304295557"/>
      <w:r/>
      <w:bookmarkStart w:id="261" w:name="_Toc312678020"/>
      <w:r>
        <w:rPr>
          <w:rFonts w:hint="eastAsia" w:asciiTheme="minorEastAsia" w:hAnsiTheme="minorEastAsia" w:eastAsiaTheme="minorEastAsia" w:cstheme="minorEastAsia"/>
          <w:szCs w:val="32"/>
        </w:rPr>
        <w:t xml:space="preserve">.4.1发包人供应的材料设备的保管费用的承担：</w:t>
      </w:r>
      <w:r>
        <w:rPr>
          <w:rFonts w:hint="eastAsia" w:asciiTheme="minorEastAsia" w:hAnsiTheme="minorEastAsia" w:eastAsiaTheme="minorEastAsia" w:cstheme="minorEastAsia"/>
          <w:szCs w:val="32"/>
          <w:u w:val="single"/>
        </w:rPr>
        <w:t xml:space="preserve">发包人供应的材料和工程设备，承包人清点后由承包人妥善保管，保管费用由承包人承担</w:t>
      </w:r>
      <w:r>
        <w:rPr>
          <w:rFonts w:hint="eastAsia" w:asciiTheme="minorEastAsia" w:hAnsiTheme="minorEastAsia" w:eastAsiaTheme="minorEastAsia" w:cstheme="minorEastAsia"/>
          <w:szCs w:val="32"/>
        </w:rPr>
        <w:t xml:space="preserve">。</w:t>
      </w:r>
      <w:bookmarkEnd w:id="244"/>
      <w:r/>
      <w:bookmarkEnd w:id="245"/>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8.6 样品</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8.6.1</w:t>
      </w:r>
      <w:r>
        <w:rPr>
          <w:rFonts w:hint="eastAsia" w:asciiTheme="minorEastAsia" w:hAnsiTheme="minorEastAsia" w:eastAsiaTheme="minorEastAsia" w:cstheme="minorEastAsia"/>
          <w:szCs w:val="32"/>
        </w:rPr>
        <w:tab/>
      </w:r>
      <w:r>
        <w:rPr>
          <w:rFonts w:hint="eastAsia" w:asciiTheme="minorEastAsia" w:hAnsiTheme="minorEastAsia" w:eastAsiaTheme="minorEastAsia" w:cstheme="minorEastAsia"/>
          <w:szCs w:val="32"/>
        </w:rPr>
        <w:t xml:space="preserve">样品的报送与封存</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需要承包人报送样品的材料或工程设备，样品的种类、名称、规格、数量要求：</w:t>
      </w:r>
      <w:r>
        <w:rPr>
          <w:rFonts w:hint="eastAsia" w:asciiTheme="minorEastAsia" w:hAnsiTheme="minorEastAsia" w:eastAsiaTheme="minorEastAsia" w:cstheme="minorEastAsia"/>
          <w:szCs w:val="32"/>
          <w:u w:val="single"/>
        </w:rPr>
        <w:t xml:space="preserve">工程使用的所有的材料和设备其规格、数量、品牌必须经建设单位、监理单位、设计单位认可后方可进场使用，如不经建设单位、监理单位、设计单位认可，承包人擅自进场使用的，建设单位有权没收其履约保证金并终止合同，同时承包人须赔偿建设单位实际损失。规格、数量按国家、江苏省和泰州市的相关要求，品牌按采购文件要求</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8.8 施工设备和临时设施</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8.8.1 承包人提供的施工设备和临时设施</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关于修建临时设施费用承担的约定：</w:t>
      </w:r>
      <w:r>
        <w:rPr>
          <w:rFonts w:hint="eastAsia" w:asciiTheme="minorEastAsia" w:hAnsiTheme="minorEastAsia" w:eastAsiaTheme="minorEastAsia" w:cstheme="minorEastAsia"/>
          <w:szCs w:val="32"/>
          <w:u w:val="single"/>
        </w:rPr>
        <w:t xml:space="preserve">承包人自行承担修建临时设施的费用，需要临时占地的，发包人可以帮助承包人进行协调，但费用由承包人承担</w:t>
      </w:r>
      <w:r>
        <w:rPr>
          <w:rFonts w:hint="eastAsia" w:asciiTheme="minorEastAsia" w:hAnsiTheme="minorEastAsia" w:eastAsiaTheme="minorEastAsia" w:cstheme="minorEastAsia"/>
          <w:szCs w:val="32"/>
        </w:rPr>
        <w:t xml:space="preserve">。</w:t>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r/>
    </w:p>
    <w:p>
      <w:pPr>
        <w:pStyle w:val="795"/>
        <w:spacing w:before="0" w:after="0" w:line="332" w:lineRule="auto"/>
        <w:rPr>
          <w:rFonts w:asciiTheme="minorEastAsia" w:hAnsiTheme="minorEastAsia" w:eastAsiaTheme="minorEastAsia" w:cstheme="minorEastAsia"/>
          <w:bCs w:val="0"/>
          <w:szCs w:val="32"/>
        </w:rPr>
      </w:pPr>
      <w:r/>
      <w:bookmarkStart w:id="262" w:name="_Toc351203641"/>
      <w:r>
        <w:rPr>
          <w:rFonts w:hint="eastAsia" w:asciiTheme="minorEastAsia" w:hAnsiTheme="minorEastAsia" w:eastAsiaTheme="minorEastAsia" w:cstheme="minorEastAsia"/>
          <w:bCs w:val="0"/>
          <w:szCs w:val="32"/>
        </w:rPr>
        <w:t xml:space="preserve">9</w:t>
      </w:r>
      <w:bookmarkEnd w:id="241"/>
      <w:r/>
      <w:bookmarkEnd w:id="242"/>
      <w:r/>
      <w:bookmarkEnd w:id="243"/>
      <w:r/>
      <w:bookmarkStart w:id="263" w:name="_Toc297216192"/>
      <w:r/>
      <w:bookmarkStart w:id="264" w:name="_Toc304295559"/>
      <w:r/>
      <w:bookmarkStart w:id="265" w:name="_Toc312677495"/>
      <w:r/>
      <w:bookmarkStart w:id="266" w:name="_Toc300934982"/>
      <w:r/>
      <w:bookmarkStart w:id="267" w:name="_Toc303539139"/>
      <w:r/>
      <w:bookmarkStart w:id="268" w:name="_Toc312678021"/>
      <w:r/>
      <w:bookmarkStart w:id="269" w:name="_Toc297123533"/>
      <w:r/>
      <w:bookmarkStart w:id="270" w:name="_Toc296891001"/>
      <w:r/>
      <w:bookmarkStart w:id="271" w:name="_Toc267251427"/>
      <w:r/>
      <w:bookmarkStart w:id="272" w:name="_Toc296347172"/>
      <w:r/>
      <w:bookmarkStart w:id="273" w:name="_Toc267251428"/>
      <w:r/>
      <w:bookmarkStart w:id="274" w:name="_Toc292559378"/>
      <w:r/>
      <w:bookmarkStart w:id="275" w:name="_Toc296944512"/>
      <w:r/>
      <w:bookmarkStart w:id="276" w:name="_Toc297048359"/>
      <w:r/>
      <w:bookmarkStart w:id="277" w:name="_Toc296891213"/>
      <w:r/>
      <w:bookmarkStart w:id="278" w:name="_Toc296346674"/>
      <w:r/>
      <w:bookmarkStart w:id="279" w:name="_Toc296503173"/>
      <w:r/>
      <w:bookmarkStart w:id="280" w:name="_Toc297120473"/>
      <w:r/>
      <w:bookmarkStart w:id="281" w:name="_Toc292559883"/>
      <w:r>
        <w:rPr>
          <w:rFonts w:hint="eastAsia" w:asciiTheme="minorEastAsia" w:hAnsiTheme="minorEastAsia" w:eastAsiaTheme="minorEastAsia" w:cstheme="minorEastAsia"/>
          <w:bCs w:val="0"/>
          <w:szCs w:val="32"/>
        </w:rPr>
        <w:t xml:space="preserve">. 试验与检验</w:t>
      </w:r>
      <w:bookmarkEnd w:id="262"/>
      <w:r/>
      <w:bookmarkEnd w:id="263"/>
      <w:r/>
      <w:bookmarkEnd w:id="264"/>
      <w:r/>
      <w:bookmarkEnd w:id="265"/>
      <w:r/>
      <w:bookmarkEnd w:id="266"/>
      <w:r/>
      <w:bookmarkEnd w:id="267"/>
      <w:r/>
      <w:bookmarkEnd w:id="268"/>
      <w:r/>
      <w:bookmarkEnd w:id="269"/>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9</w:t>
      </w:r>
      <w:bookmarkStart w:id="282" w:name="_Toc304295560"/>
      <w:r/>
      <w:bookmarkStart w:id="283" w:name="_Toc297216193"/>
      <w:r/>
      <w:bookmarkStart w:id="284" w:name="_Toc312678022"/>
      <w:r/>
      <w:bookmarkStart w:id="285" w:name="_Toc297123534"/>
      <w:r/>
      <w:bookmarkStart w:id="286" w:name="_Toc312677496"/>
      <w:r/>
      <w:bookmarkStart w:id="287" w:name="_Toc300934983"/>
      <w:r/>
      <w:bookmarkStart w:id="288" w:name="_Toc303539140"/>
      <w:r>
        <w:rPr>
          <w:rFonts w:hint="eastAsia" w:asciiTheme="minorEastAsia" w:hAnsiTheme="minorEastAsia" w:eastAsiaTheme="minorEastAsia" w:cstheme="minorEastAsia"/>
          <w:szCs w:val="32"/>
        </w:rPr>
        <w:t xml:space="preserve">.1试验设备与试验人员</w:t>
      </w:r>
      <w:bookmarkEnd w:id="282"/>
      <w:r/>
      <w:bookmarkEnd w:id="283"/>
      <w:r/>
      <w:bookmarkEnd w:id="284"/>
      <w:r/>
      <w:bookmarkEnd w:id="285"/>
      <w:r/>
      <w:bookmarkEnd w:id="286"/>
      <w:r/>
      <w:bookmarkEnd w:id="287"/>
      <w:r/>
      <w:bookmarkEnd w:id="288"/>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9</w:t>
      </w:r>
      <w:bookmarkStart w:id="289" w:name="_Toc304295561"/>
      <w:r/>
      <w:bookmarkStart w:id="290" w:name="_Toc300934984"/>
      <w:r/>
      <w:bookmarkStart w:id="291" w:name="_Toc297123535"/>
      <w:r/>
      <w:bookmarkStart w:id="292" w:name="_Toc297216194"/>
      <w:r/>
      <w:bookmarkStart w:id="293" w:name="_Toc312677497"/>
      <w:r/>
      <w:bookmarkStart w:id="294" w:name="_Toc312678023"/>
      <w:r/>
      <w:bookmarkStart w:id="295" w:name="_Toc303539141"/>
      <w:r/>
      <w:bookmarkStart w:id="296" w:name="_Toc318581174"/>
      <w:r>
        <w:rPr>
          <w:rFonts w:hint="eastAsia" w:asciiTheme="minorEastAsia" w:hAnsiTheme="minorEastAsia" w:eastAsiaTheme="minorEastAsia" w:cstheme="minorEastAsia"/>
          <w:szCs w:val="32"/>
        </w:rPr>
        <w:t xml:space="preserve">.1.2 试验设备</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施工现场需要配置的试验场所：</w:t>
      </w:r>
      <w:bookmarkEnd w:id="289"/>
      <w:r/>
      <w:bookmarkEnd w:id="290"/>
      <w:r/>
      <w:bookmarkEnd w:id="291"/>
      <w:r/>
      <w:bookmarkEnd w:id="292"/>
      <w:r/>
      <w:bookmarkEnd w:id="293"/>
      <w:r/>
      <w:bookmarkEnd w:id="294"/>
      <w:r/>
      <w:bookmarkEnd w:id="295"/>
      <w:r/>
      <w:bookmarkStart w:id="297" w:name="_Toc303539142"/>
      <w:r/>
      <w:bookmarkStart w:id="298" w:name="_Toc297216195"/>
      <w:r/>
      <w:bookmarkStart w:id="299" w:name="_Toc312678024"/>
      <w:r/>
      <w:bookmarkStart w:id="300" w:name="_Toc312677498"/>
      <w:r/>
      <w:bookmarkStart w:id="301" w:name="_Toc300934985"/>
      <w:r/>
      <w:bookmarkStart w:id="302" w:name="_Toc304295562"/>
      <w:r/>
      <w:bookmarkStart w:id="303" w:name="_Toc297123536"/>
      <w:r>
        <w:rPr>
          <w:rFonts w:hint="eastAsia" w:asciiTheme="minorEastAsia" w:hAnsiTheme="minorEastAsia" w:eastAsiaTheme="minorEastAsia" w:cstheme="minorEastAsia"/>
          <w:szCs w:val="32"/>
        </w:rPr>
        <w:t xml:space="preserve">。 </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施工现场需要配备的试验设备：。</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施工现场需要具备的其他试验条件：。</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9.4 现场工艺试验 </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现场工艺试验的有关约定：。</w:t>
      </w:r>
      <w:bookmarkEnd w:id="296"/>
      <w:r/>
      <w:bookmarkEnd w:id="297"/>
      <w:r/>
      <w:bookmarkEnd w:id="298"/>
      <w:r/>
      <w:bookmarkEnd w:id="299"/>
      <w:r/>
      <w:bookmarkEnd w:id="300"/>
      <w:r/>
      <w:bookmarkEnd w:id="301"/>
      <w:r/>
      <w:bookmarkEnd w:id="302"/>
      <w:r/>
      <w:bookmarkEnd w:id="303"/>
      <w:r/>
      <w:r/>
    </w:p>
    <w:p>
      <w:pPr>
        <w:pStyle w:val="795"/>
        <w:spacing w:before="0" w:after="0" w:line="332" w:lineRule="auto"/>
        <w:rPr>
          <w:rFonts w:asciiTheme="minorEastAsia" w:hAnsiTheme="minorEastAsia" w:eastAsiaTheme="minorEastAsia" w:cstheme="minorEastAsia"/>
          <w:bCs w:val="0"/>
          <w:szCs w:val="32"/>
        </w:rPr>
      </w:pPr>
      <w:r/>
      <w:bookmarkStart w:id="304" w:name="_Toc351203642"/>
      <w:r>
        <w:rPr>
          <w:rFonts w:hint="eastAsia" w:asciiTheme="minorEastAsia" w:hAnsiTheme="minorEastAsia" w:eastAsiaTheme="minorEastAsia" w:cstheme="minorEastAsia"/>
          <w:bCs w:val="0"/>
          <w:szCs w:val="32"/>
        </w:rPr>
        <w:t xml:space="preserve">1</w:t>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Start w:id="305" w:name="_Toc296346694"/>
      <w:r/>
      <w:bookmarkStart w:id="306" w:name="_Toc297216199"/>
      <w:r/>
      <w:bookmarkStart w:id="307" w:name="_Toc300934989"/>
      <w:r/>
      <w:bookmarkStart w:id="308" w:name="_Toc312677499"/>
      <w:r/>
      <w:bookmarkStart w:id="309" w:name="_Toc297048379"/>
      <w:r/>
      <w:bookmarkStart w:id="310" w:name="_Toc296347192"/>
      <w:r/>
      <w:bookmarkStart w:id="311" w:name="_Toc292559398"/>
      <w:r/>
      <w:bookmarkStart w:id="312" w:name="_Toc296944532"/>
      <w:r/>
      <w:bookmarkStart w:id="313" w:name="_Toc297123540"/>
      <w:r/>
      <w:bookmarkStart w:id="314" w:name="_Toc303539146"/>
      <w:r/>
      <w:bookmarkStart w:id="315" w:name="_Toc297120493"/>
      <w:r/>
      <w:bookmarkStart w:id="316" w:name="_Toc296891233"/>
      <w:r/>
      <w:bookmarkStart w:id="317" w:name="_Toc292559903"/>
      <w:r/>
      <w:bookmarkStart w:id="318" w:name="_Toc296503193"/>
      <w:r/>
      <w:bookmarkStart w:id="319" w:name="_Toc296891021"/>
      <w:r/>
      <w:bookmarkStart w:id="320" w:name="_Toc312678025"/>
      <w:r/>
      <w:bookmarkStart w:id="321" w:name="_Toc304295566"/>
      <w:r/>
      <w:bookmarkStart w:id="322" w:name="_Toc267251441"/>
      <w:r/>
      <w:bookmarkStart w:id="323" w:name="_Toc267251440"/>
      <w:r/>
      <w:bookmarkStart w:id="324" w:name="_Toc267251437"/>
      <w:r/>
      <w:bookmarkStart w:id="325" w:name="_Toc267251439"/>
      <w:r/>
      <w:bookmarkStart w:id="326" w:name="_Toc267251435"/>
      <w:r/>
      <w:bookmarkStart w:id="327" w:name="_Toc267251433"/>
      <w:r/>
      <w:bookmarkStart w:id="328" w:name="_Toc267251442"/>
      <w:r>
        <w:rPr>
          <w:rFonts w:hint="eastAsia" w:asciiTheme="minorEastAsia" w:hAnsiTheme="minorEastAsia" w:eastAsiaTheme="minorEastAsia" w:cstheme="minorEastAsia"/>
          <w:bCs w:val="0"/>
          <w:szCs w:val="32"/>
        </w:rPr>
        <w:t xml:space="preserve">0. 变更</w:t>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w:t>
      </w:r>
      <w:bookmarkStart w:id="329" w:name="_Toc296944533"/>
      <w:r/>
      <w:bookmarkStart w:id="330" w:name="_Toc297216200"/>
      <w:r/>
      <w:bookmarkStart w:id="331" w:name="_Toc296891022"/>
      <w:r/>
      <w:bookmarkStart w:id="332" w:name="_Toc296346695"/>
      <w:r/>
      <w:bookmarkStart w:id="333" w:name="_Toc300934990"/>
      <w:r/>
      <w:bookmarkStart w:id="334" w:name="_Toc296503194"/>
      <w:r/>
      <w:bookmarkStart w:id="335" w:name="_Toc304295567"/>
      <w:r/>
      <w:bookmarkStart w:id="336" w:name="_Toc297123541"/>
      <w:r/>
      <w:bookmarkStart w:id="337" w:name="_Toc297120494"/>
      <w:r/>
      <w:bookmarkStart w:id="338" w:name="_Toc296891234"/>
      <w:r/>
      <w:bookmarkStart w:id="339" w:name="_Toc292559399"/>
      <w:r/>
      <w:bookmarkStart w:id="340" w:name="_Toc292559904"/>
      <w:r/>
      <w:bookmarkStart w:id="341" w:name="_Toc303539147"/>
      <w:r/>
      <w:bookmarkStart w:id="342" w:name="_Toc312677500"/>
      <w:r/>
      <w:bookmarkStart w:id="343" w:name="_Toc296347193"/>
      <w:r/>
      <w:bookmarkStart w:id="344" w:name="_Toc297048380"/>
      <w:r/>
      <w:bookmarkStart w:id="345" w:name="_Toc312678026"/>
      <w:r>
        <w:rPr>
          <w:rFonts w:hint="eastAsia" w:asciiTheme="minorEastAsia" w:hAnsiTheme="minorEastAsia" w:eastAsiaTheme="minorEastAsia" w:cstheme="minorEastAsia"/>
          <w:szCs w:val="32"/>
        </w:rPr>
        <w:t xml:space="preserve">0.1变更的范围</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关于变更的范围的约定：</w:t>
      </w:r>
      <w:r>
        <w:rPr>
          <w:rFonts w:hint="eastAsia" w:asciiTheme="minorEastAsia" w:hAnsiTheme="minorEastAsia" w:eastAsiaTheme="minorEastAsia" w:cstheme="minorEastAsia"/>
          <w:szCs w:val="32"/>
          <w:u w:val="single"/>
        </w:rPr>
        <w:t xml:space="preserve">因工程建设的需要，发包人提出的设计变更要求，承包人必须执行。否则视为违约。其他执行合同通用条款</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10.4 变更估价</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10.4.1 变更估价原则</w:t>
      </w:r>
      <w:r/>
    </w:p>
    <w:p>
      <w:pPr>
        <w:ind w:firstLine="420"/>
        <w:jc w:val="left"/>
        <w:spacing w:line="332" w:lineRule="auto"/>
        <w:rPr>
          <w:rFonts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关于变更估价的约定: </w:t>
      </w:r>
      <w:r>
        <w:rPr>
          <w:rFonts w:hint="eastAsia" w:asciiTheme="minorEastAsia" w:hAnsiTheme="minorEastAsia" w:eastAsiaTheme="minorEastAsia" w:cstheme="minorEastAsia"/>
          <w:szCs w:val="32"/>
          <w:u w:val="single"/>
        </w:rPr>
        <w:t xml:space="preserve">   按采购文件执行  </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w:t>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Start w:id="346" w:name="_Toc297120497"/>
      <w:r/>
      <w:bookmarkStart w:id="347" w:name="_Toc296346698"/>
      <w:r/>
      <w:bookmarkStart w:id="348" w:name="_Toc297216203"/>
      <w:r/>
      <w:bookmarkStart w:id="349" w:name="_Toc303539150"/>
      <w:r/>
      <w:bookmarkStart w:id="350" w:name="_Toc292559907"/>
      <w:r/>
      <w:bookmarkStart w:id="351" w:name="_Toc296347196"/>
      <w:r/>
      <w:bookmarkStart w:id="352" w:name="_Toc297123544"/>
      <w:r/>
      <w:bookmarkStart w:id="353" w:name="_Toc300934993"/>
      <w:r/>
      <w:bookmarkStart w:id="354" w:name="_Toc292559402"/>
      <w:r/>
      <w:bookmarkStart w:id="355" w:name="_Toc296944536"/>
      <w:r/>
      <w:bookmarkStart w:id="356" w:name="_Toc296503197"/>
      <w:r/>
      <w:bookmarkStart w:id="357" w:name="_Toc296891237"/>
      <w:r/>
      <w:bookmarkStart w:id="358" w:name="_Toc296891025"/>
      <w:r/>
      <w:bookmarkStart w:id="359" w:name="_Toc297048383"/>
      <w:r/>
      <w:bookmarkStart w:id="360" w:name="_Toc312678029"/>
      <w:r/>
      <w:bookmarkStart w:id="361" w:name="_Toc304295570"/>
      <w:r/>
      <w:bookmarkStart w:id="362" w:name="_Toc312677503"/>
      <w:r>
        <w:rPr>
          <w:rFonts w:hint="eastAsia" w:asciiTheme="minorEastAsia" w:hAnsiTheme="minorEastAsia" w:eastAsiaTheme="minorEastAsia" w:cstheme="minorEastAsia"/>
          <w:szCs w:val="32"/>
        </w:rPr>
        <w:t xml:space="preserve">0.5承</w:t>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Start w:id="363" w:name="_Toc297216204"/>
      <w:r/>
      <w:bookmarkStart w:id="364" w:name="_Toc296891031"/>
      <w:r/>
      <w:bookmarkStart w:id="365" w:name="_Toc296503203"/>
      <w:r/>
      <w:bookmarkStart w:id="366" w:name="_Toc292559913"/>
      <w:r/>
      <w:bookmarkStart w:id="367" w:name="_Toc296346704"/>
      <w:r/>
      <w:bookmarkStart w:id="368" w:name="_Toc297048389"/>
      <w:r/>
      <w:bookmarkStart w:id="369" w:name="_Toc296944542"/>
      <w:r/>
      <w:bookmarkStart w:id="370" w:name="_Toc297120503"/>
      <w:r/>
      <w:bookmarkStart w:id="371" w:name="_Toc297123545"/>
      <w:r/>
      <w:bookmarkStart w:id="372" w:name="_Toc303539151"/>
      <w:r/>
      <w:bookmarkStart w:id="373" w:name="_Toc300934994"/>
      <w:r/>
      <w:bookmarkStart w:id="374" w:name="_Toc296347202"/>
      <w:r/>
      <w:bookmarkStart w:id="375" w:name="_Toc296891243"/>
      <w:r/>
      <w:bookmarkStart w:id="376" w:name="_Toc292559408"/>
      <w:r>
        <w:rPr>
          <w:rFonts w:hint="eastAsia" w:asciiTheme="minorEastAsia" w:hAnsiTheme="minorEastAsia" w:eastAsiaTheme="minorEastAsia" w:cstheme="minorEastAsia"/>
          <w:szCs w:val="32"/>
        </w:rPr>
        <w:t xml:space="preserve">包人的合理化建议</w:t>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监理人审查承包人合理化建议的期限：。</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发包人审批承包人合理化建议的期限：。</w:t>
      </w:r>
      <w:r/>
    </w:p>
    <w:p>
      <w:pPr>
        <w:ind w:firstLine="420"/>
        <w:jc w:val="left"/>
        <w:spacing w:line="332" w:lineRule="auto"/>
        <w:rPr>
          <w:rFonts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承</w:t>
      </w:r>
      <w:bookmarkStart w:id="377" w:name="_Toc296346705"/>
      <w:r/>
      <w:bookmarkStart w:id="378" w:name="_Toc296503204"/>
      <w:r/>
      <w:bookmarkStart w:id="379" w:name="_Toc300934995"/>
      <w:r/>
      <w:bookmarkStart w:id="380" w:name="_Toc304295571"/>
      <w:r/>
      <w:bookmarkStart w:id="381" w:name="_Toc296891244"/>
      <w:r/>
      <w:bookmarkStart w:id="382" w:name="_Toc296347203"/>
      <w:r/>
      <w:bookmarkStart w:id="383" w:name="_Toc312678030"/>
      <w:r/>
      <w:bookmarkStart w:id="384" w:name="_Toc296891032"/>
      <w:r/>
      <w:bookmarkStart w:id="385" w:name="_Toc297216205"/>
      <w:r/>
      <w:bookmarkStart w:id="386" w:name="_Toc297123546"/>
      <w:r/>
      <w:bookmarkStart w:id="387" w:name="_Toc297120504"/>
      <w:r/>
      <w:bookmarkStart w:id="388" w:name="_Toc296944543"/>
      <w:r/>
      <w:bookmarkStart w:id="389" w:name="_Toc318581175"/>
      <w:r/>
      <w:bookmarkStart w:id="390" w:name="_Toc297048390"/>
      <w:r/>
      <w:bookmarkStart w:id="391" w:name="_Toc312677504"/>
      <w:r/>
      <w:bookmarkStart w:id="392" w:name="_Toc303539152"/>
      <w:r/>
      <w:bookmarkStart w:id="393" w:name="_Toc292559409"/>
      <w:r/>
      <w:bookmarkStart w:id="394" w:name="_Toc292559914"/>
      <w:r>
        <w:rPr>
          <w:rFonts w:hint="eastAsia" w:asciiTheme="minorEastAsia" w:hAnsiTheme="minorEastAsia" w:eastAsiaTheme="minorEastAsia" w:cstheme="minorEastAsia"/>
          <w:szCs w:val="32"/>
        </w:rPr>
        <w:t xml:space="preserve">包人提出的合理化建议降低了合同价格或者提高了工程经济效益的奖励的方法和金额为：</w:t>
      </w:r>
      <w:r/>
    </w:p>
    <w:p>
      <w:pPr>
        <w:jc w:val="left"/>
        <w:spacing w:line="332" w:lineRule="auto"/>
        <w:rPr>
          <w:rFonts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w:t>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w:t>
      </w:r>
      <w:bookmarkStart w:id="395" w:name="_Toc296944538"/>
      <w:r/>
      <w:bookmarkStart w:id="396" w:name="_Toc296503199"/>
      <w:r/>
      <w:bookmarkStart w:id="397" w:name="_Toc292559909"/>
      <w:r/>
      <w:bookmarkStart w:id="398" w:name="_Toc296347198"/>
      <w:r/>
      <w:bookmarkStart w:id="399" w:name="_Toc297123548"/>
      <w:r/>
      <w:bookmarkStart w:id="400" w:name="_Toc297120499"/>
      <w:r/>
      <w:bookmarkStart w:id="401" w:name="_Toc296891027"/>
      <w:r/>
      <w:bookmarkStart w:id="402" w:name="_Toc297048385"/>
      <w:r/>
      <w:bookmarkStart w:id="403" w:name="_Toc304295574"/>
      <w:r/>
      <w:bookmarkStart w:id="404" w:name="_Toc292559404"/>
      <w:r/>
      <w:bookmarkStart w:id="405" w:name="_Toc303539154"/>
      <w:r/>
      <w:bookmarkStart w:id="406" w:name="_Toc312678033"/>
      <w:r/>
      <w:bookmarkStart w:id="407" w:name="_Toc296346700"/>
      <w:r/>
      <w:bookmarkStart w:id="408" w:name="_Toc296891239"/>
      <w:r/>
      <w:bookmarkStart w:id="409" w:name="_Toc297216207"/>
      <w:r/>
      <w:bookmarkStart w:id="410" w:name="_Toc312677507"/>
      <w:r/>
      <w:bookmarkStart w:id="411" w:name="_Toc300934997"/>
      <w:r>
        <w:rPr>
          <w:rFonts w:hint="eastAsia" w:asciiTheme="minorEastAsia" w:hAnsiTheme="minorEastAsia" w:eastAsiaTheme="minorEastAsia" w:cstheme="minorEastAsia"/>
          <w:szCs w:val="32"/>
        </w:rPr>
        <w:t xml:space="preserve">0.7 暂估价</w:t>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暂</w:t>
      </w:r>
      <w:bookmarkStart w:id="412" w:name="_Toc318581176"/>
      <w:r/>
      <w:bookmarkStart w:id="413" w:name="_Toc312678034"/>
      <w:r/>
      <w:bookmarkStart w:id="414" w:name="_Toc312677508"/>
      <w:r>
        <w:rPr>
          <w:rFonts w:hint="eastAsia" w:asciiTheme="minorEastAsia" w:hAnsiTheme="minorEastAsia" w:eastAsiaTheme="minorEastAsia" w:cstheme="minorEastAsia"/>
          <w:szCs w:val="32"/>
        </w:rPr>
        <w:t xml:space="preserve">估价材料和工程设备的明细详见附件11：《暂估价一览表》。</w:t>
      </w:r>
      <w:bookmarkEnd w:id="412"/>
      <w:r/>
      <w:bookmarkEnd w:id="413"/>
      <w:r/>
      <w:bookmarkEnd w:id="414"/>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w:t>
      </w:r>
      <w:bookmarkStart w:id="415" w:name="_Toc312677509"/>
      <w:r/>
      <w:bookmarkStart w:id="416" w:name="_Toc318581177"/>
      <w:r/>
      <w:bookmarkStart w:id="417" w:name="_Toc312678035"/>
      <w:r>
        <w:rPr>
          <w:rFonts w:hint="eastAsia" w:asciiTheme="minorEastAsia" w:hAnsiTheme="minorEastAsia" w:eastAsiaTheme="minorEastAsia" w:cstheme="minorEastAsia"/>
          <w:szCs w:val="32"/>
        </w:rPr>
        <w:t xml:space="preserve">0.7.1 依法必须招标的暂估价项目</w:t>
      </w:r>
      <w:bookmarkEnd w:id="415"/>
      <w:r/>
      <w:bookmarkEnd w:id="416"/>
      <w:r/>
      <w:bookmarkEnd w:id="417"/>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对于依法必须招标的暂估价项目的确认和批准采取第</w:t>
      </w:r>
      <w:r>
        <w:rPr>
          <w:rFonts w:hint="eastAsia" w:asciiTheme="minorEastAsia" w:hAnsiTheme="minorEastAsia" w:eastAsiaTheme="minorEastAsia" w:cstheme="minorEastAsia"/>
          <w:szCs w:val="32"/>
          <w:u w:val="single"/>
        </w:rPr>
        <w:t xml:space="preserve"> 2 </w:t>
      </w:r>
      <w:r>
        <w:rPr>
          <w:rFonts w:hint="eastAsia" w:asciiTheme="minorEastAsia" w:hAnsiTheme="minorEastAsia" w:eastAsiaTheme="minorEastAsia" w:cstheme="minorEastAsia"/>
          <w:szCs w:val="32"/>
        </w:rPr>
        <w:t xml:space="preserve">种方式确定。</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（1）通用条款第1种方式：由承包人单独招标；</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（2）通用条款第2种方式：由发包人和承包人共同招标。</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10.7.2 不属于依法必须招标的暂估价项目</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对于不属于依法必须招标的暂估价项目的确认和批准采取第</w:t>
      </w:r>
      <w:r>
        <w:rPr>
          <w:rFonts w:hint="eastAsia" w:asciiTheme="minorEastAsia" w:hAnsiTheme="minorEastAsia" w:eastAsiaTheme="minorEastAsia" w:cstheme="minorEastAsia"/>
          <w:szCs w:val="32"/>
          <w:u w:val="single"/>
        </w:rPr>
        <w:t xml:space="preserve">2</w:t>
      </w:r>
      <w:r>
        <w:rPr>
          <w:rFonts w:hint="eastAsia" w:asciiTheme="minorEastAsia" w:hAnsiTheme="minorEastAsia" w:eastAsiaTheme="minorEastAsia" w:cstheme="minorEastAsia"/>
          <w:szCs w:val="32"/>
        </w:rPr>
        <w:t xml:space="preserve">种方式确定。</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（1）通用条款第1种方式；</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（2）通用条款第2种方式：承包人按照第 10.7.1 项[依法必须招标的暂估价项目]约定的</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第1种方式确定暂估价项目；</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（3）通用条款第3种方式：承包人直接实施的暂估价项目。</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承包人直接实施的暂估价项目的约定：</w:t>
      </w:r>
      <w:r>
        <w:rPr>
          <w:rFonts w:hint="eastAsia" w:asciiTheme="minorEastAsia" w:hAnsiTheme="minorEastAsia" w:eastAsiaTheme="minorEastAsia" w:cstheme="minorEastAsia"/>
          <w:szCs w:val="32"/>
          <w:u w:val="single"/>
        </w:rPr>
        <w:t xml:space="preserve">/</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10.8 暂列金额</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合同当事人关于暂列金额使用的约定：</w:t>
      </w:r>
      <w:r>
        <w:rPr>
          <w:rFonts w:hint="eastAsia" w:asciiTheme="minorEastAsia" w:hAnsiTheme="minorEastAsia" w:eastAsiaTheme="minorEastAsia" w:cstheme="minorEastAsia"/>
          <w:szCs w:val="32"/>
          <w:u w:val="single"/>
        </w:rPr>
        <w:t xml:space="preserve">无另有约定，执行合同通用条款</w:t>
      </w:r>
      <w:r>
        <w:rPr>
          <w:rFonts w:hint="eastAsia" w:asciiTheme="minorEastAsia" w:hAnsiTheme="minorEastAsia" w:eastAsiaTheme="minorEastAsia" w:cstheme="minorEastAsia"/>
          <w:szCs w:val="32"/>
        </w:rPr>
        <w:t xml:space="preserve">。</w:t>
      </w:r>
      <w:r/>
    </w:p>
    <w:p>
      <w:pPr>
        <w:pStyle w:val="795"/>
        <w:spacing w:before="0" w:after="0" w:line="332" w:lineRule="auto"/>
        <w:rPr>
          <w:rFonts w:asciiTheme="minorEastAsia" w:hAnsiTheme="minorEastAsia" w:eastAsiaTheme="minorEastAsia" w:cstheme="minorEastAsia"/>
          <w:bCs w:val="0"/>
          <w:szCs w:val="32"/>
        </w:rPr>
      </w:pPr>
      <w:r/>
      <w:bookmarkStart w:id="418" w:name="_Toc351203643"/>
      <w:r>
        <w:rPr>
          <w:rFonts w:hint="eastAsia" w:asciiTheme="minorEastAsia" w:hAnsiTheme="minorEastAsia" w:eastAsiaTheme="minorEastAsia" w:cstheme="minorEastAsia"/>
          <w:bCs w:val="0"/>
          <w:szCs w:val="32"/>
        </w:rPr>
        <w:t xml:space="preserve">11. 价格调整</w:t>
      </w:r>
      <w:bookmarkEnd w:id="418"/>
      <w:r/>
      <w:r/>
    </w:p>
    <w:p>
      <w:pPr>
        <w:ind w:firstLine="420"/>
        <w:spacing w:line="332" w:lineRule="auto"/>
        <w:rPr>
          <w:rFonts w:asciiTheme="minorEastAsia" w:hAnsiTheme="minorEastAsia" w:eastAsiaTheme="minorEastAsia" w:cstheme="minorEastAsia"/>
          <w:szCs w:val="32"/>
        </w:rPr>
      </w:pPr>
      <w:r/>
      <w:bookmarkStart w:id="419" w:name="_Toc297120501"/>
      <w:r/>
      <w:bookmarkStart w:id="420" w:name="_Toc296346702"/>
      <w:r/>
      <w:bookmarkStart w:id="421" w:name="_Toc297216209"/>
      <w:r/>
      <w:bookmarkStart w:id="422" w:name="_Toc296944540"/>
      <w:r/>
      <w:bookmarkStart w:id="423" w:name="_Toc300935000"/>
      <w:r/>
      <w:bookmarkStart w:id="424" w:name="_Toc296503201"/>
      <w:r/>
      <w:bookmarkStart w:id="425" w:name="_Toc296891029"/>
      <w:r/>
      <w:bookmarkStart w:id="426" w:name="_Toc303539157"/>
      <w:r/>
      <w:bookmarkStart w:id="427" w:name="_Toc292559911"/>
      <w:r/>
      <w:bookmarkStart w:id="428" w:name="_Toc296347200"/>
      <w:r/>
      <w:bookmarkStart w:id="429" w:name="_Toc297048387"/>
      <w:r/>
      <w:bookmarkStart w:id="430" w:name="_Toc292559406"/>
      <w:r/>
      <w:bookmarkStart w:id="431" w:name="_Toc296891241"/>
      <w:r/>
      <w:bookmarkStart w:id="432" w:name="_Toc304295577"/>
      <w:r/>
      <w:bookmarkStart w:id="433" w:name="_Toc312678039"/>
      <w:r/>
      <w:bookmarkStart w:id="434" w:name="_Toc297123550"/>
      <w:r>
        <w:rPr>
          <w:rFonts w:hint="eastAsia" w:asciiTheme="minorEastAsia" w:hAnsiTheme="minorEastAsia" w:eastAsiaTheme="minorEastAsia" w:cstheme="minorEastAsia"/>
          <w:szCs w:val="32"/>
        </w:rPr>
        <w:t xml:space="preserve">11.1 市场价格波动引起的调整</w:t>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市场价格波动是否调整合同价格的约定：</w:t>
      </w:r>
      <w:r>
        <w:rPr>
          <w:rFonts w:hint="eastAsia" w:asciiTheme="minorEastAsia" w:hAnsiTheme="minorEastAsia" w:eastAsiaTheme="minorEastAsia" w:cstheme="minorEastAsia"/>
          <w:szCs w:val="32"/>
          <w:u w:val="single"/>
        </w:rPr>
        <w:t xml:space="preserve">   否    </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因市场价格波动调整合同价格，采用以下第种方式对合同价格进行调整：</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第1种方式：采用价格指数进行价格调整。</w:t>
      </w:r>
      <w:r/>
    </w:p>
    <w:p>
      <w:pPr>
        <w:ind w:firstLine="420"/>
        <w:jc w:val="left"/>
        <w:spacing w:line="332" w:lineRule="auto"/>
        <w:rPr>
          <w:rFonts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关于各可调因子、定值和变值权重，以及基本价格指数及其来源的约定：</w:t>
      </w:r>
      <w:r>
        <w:rPr>
          <w:rFonts w:hint="eastAsia" w:asciiTheme="minorEastAsia" w:hAnsiTheme="minorEastAsia" w:eastAsiaTheme="minorEastAsia" w:cstheme="minorEastAsia"/>
          <w:szCs w:val="32"/>
          <w:u w:val="single"/>
        </w:rPr>
        <w:t xml:space="preserve">/</w:t>
      </w:r>
      <w:r>
        <w:rPr>
          <w:rFonts w:hint="eastAsia" w:asciiTheme="minorEastAsia" w:hAnsiTheme="minorEastAsia" w:eastAsiaTheme="minorEastAsia" w:cstheme="minorEastAsia"/>
          <w:szCs w:val="32"/>
        </w:rPr>
        <w:t xml:space="preserve">；  </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第2种方式：采用造价信息进行价格调整。</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（2）关于基准价格的约定：</w:t>
      </w:r>
      <w:r>
        <w:rPr>
          <w:rFonts w:hint="eastAsia" w:asciiTheme="minorEastAsia" w:hAnsiTheme="minorEastAsia" w:eastAsiaTheme="minorEastAsia" w:cstheme="minorEastAsia"/>
          <w:szCs w:val="32"/>
          <w:u w:val="single"/>
        </w:rPr>
        <w:t xml:space="preserve">/</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专用合同条款①承包人在已标价工程量清单或预算书中载明的材料单价低于基准价格的：专用合同条款合同履行期间材料单价涨幅以基准价格为基础超过%时，或材料单价跌幅以已标价工程量清单或预算书中载明材料单价为基础超过%时，其超过部分据实调整。</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②承包人在已标价工程量清单或预算书中载明的材料单价高于基准价格的：专用合同条款合同履行期间材料单价跌幅以基准价格为基础超过%时，材料单价涨幅以已标价工程量清单或预算书中载明材料单价为基础超过%时，其超过部分据实调整。</w:t>
      </w:r>
      <w:r/>
    </w:p>
    <w:p>
      <w:pPr>
        <w:ind w:firstLine="645"/>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③承包人在已标价工程量清单或预算书中载明的材料单价等于基准单价的：专用合同条款合同履行期间材料单价涨跌幅以基准单价为基础超过±%时，其超过部分据实调整。</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第3种方式：其他价格调整方式：。</w:t>
      </w:r>
      <w:bookmarkEnd w:id="322"/>
      <w:r/>
      <w:bookmarkEnd w:id="323"/>
      <w:r/>
      <w:bookmarkEnd w:id="324"/>
      <w:r/>
      <w:bookmarkEnd w:id="325"/>
      <w:r/>
      <w:bookmarkEnd w:id="326"/>
      <w:r/>
      <w:bookmarkEnd w:id="327"/>
      <w:r/>
      <w:r/>
    </w:p>
    <w:p>
      <w:pPr>
        <w:pStyle w:val="795"/>
        <w:spacing w:before="0" w:after="0" w:line="332" w:lineRule="auto"/>
        <w:rPr>
          <w:rFonts w:asciiTheme="minorEastAsia" w:hAnsiTheme="minorEastAsia" w:eastAsiaTheme="minorEastAsia" w:cstheme="minorEastAsia"/>
          <w:bCs w:val="0"/>
          <w:szCs w:val="32"/>
        </w:rPr>
      </w:pPr>
      <w:r/>
      <w:bookmarkStart w:id="435" w:name="_Toc292559410"/>
      <w:r/>
      <w:bookmarkStart w:id="436" w:name="_Toc297120505"/>
      <w:r/>
      <w:bookmarkStart w:id="437" w:name="_Toc296503205"/>
      <w:r/>
      <w:bookmarkStart w:id="438" w:name="_Toc296347204"/>
      <w:r/>
      <w:bookmarkStart w:id="439" w:name="_Toc296891033"/>
      <w:r/>
      <w:bookmarkStart w:id="440" w:name="_Toc292559915"/>
      <w:r/>
      <w:bookmarkStart w:id="441" w:name="_Toc296944544"/>
      <w:r/>
      <w:bookmarkStart w:id="442" w:name="_Toc296346706"/>
      <w:r/>
      <w:bookmarkStart w:id="443" w:name="_Toc296891245"/>
      <w:r/>
      <w:bookmarkStart w:id="444" w:name="_Toc297048391"/>
      <w:r/>
      <w:bookmarkStart w:id="445" w:name="_Toc312678040"/>
      <w:r/>
      <w:bookmarkStart w:id="446" w:name="_Toc297216211"/>
      <w:r/>
      <w:bookmarkStart w:id="447" w:name="_Toc351203644"/>
      <w:r/>
      <w:bookmarkStart w:id="448" w:name="_Toc300935002"/>
      <w:r/>
      <w:bookmarkStart w:id="449" w:name="_Toc303539159"/>
      <w:r/>
      <w:bookmarkStart w:id="450" w:name="_Toc304295579"/>
      <w:r/>
      <w:bookmarkStart w:id="451" w:name="_Toc297123552"/>
      <w:r>
        <w:rPr>
          <w:rFonts w:hint="eastAsia" w:asciiTheme="minorEastAsia" w:hAnsiTheme="minorEastAsia" w:eastAsiaTheme="minorEastAsia" w:cstheme="minorEastAsia"/>
          <w:bCs w:val="0"/>
          <w:szCs w:val="32"/>
        </w:rPr>
        <w:t xml:space="preserve">12. </w:t>
      </w:r>
      <w:bookmarkEnd w:id="435"/>
      <w:r/>
      <w:bookmarkEnd w:id="436"/>
      <w:r/>
      <w:bookmarkEnd w:id="437"/>
      <w:r/>
      <w:bookmarkEnd w:id="438"/>
      <w:r/>
      <w:bookmarkEnd w:id="439"/>
      <w:r/>
      <w:bookmarkEnd w:id="440"/>
      <w:r/>
      <w:bookmarkEnd w:id="441"/>
      <w:r/>
      <w:bookmarkEnd w:id="442"/>
      <w:r/>
      <w:bookmarkEnd w:id="443"/>
      <w:r/>
      <w:bookmarkEnd w:id="444"/>
      <w:r>
        <w:rPr>
          <w:rFonts w:hint="eastAsia" w:asciiTheme="minorEastAsia" w:hAnsiTheme="minorEastAsia" w:eastAsiaTheme="minorEastAsia" w:cstheme="minorEastAsia"/>
          <w:bCs w:val="0"/>
          <w:szCs w:val="32"/>
        </w:rPr>
        <w:t xml:space="preserve">合同价格、计量与支付</w:t>
      </w:r>
      <w:bookmarkEnd w:id="445"/>
      <w:r/>
      <w:bookmarkEnd w:id="446"/>
      <w:r/>
      <w:bookmarkEnd w:id="447"/>
      <w:r/>
      <w:bookmarkEnd w:id="448"/>
      <w:r/>
      <w:bookmarkEnd w:id="449"/>
      <w:r/>
      <w:bookmarkEnd w:id="450"/>
      <w:r/>
      <w:bookmarkEnd w:id="451"/>
      <w:r/>
      <w:r/>
    </w:p>
    <w:p>
      <w:pPr>
        <w:ind w:firstLine="420"/>
        <w:spacing w:line="332" w:lineRule="auto"/>
        <w:rPr>
          <w:rFonts w:asciiTheme="minorEastAsia" w:hAnsiTheme="minorEastAsia" w:eastAsiaTheme="minorEastAsia" w:cstheme="minorEastAsia"/>
          <w:szCs w:val="32"/>
        </w:rPr>
      </w:pPr>
      <w:r/>
      <w:bookmarkStart w:id="452" w:name="_Toc292559916"/>
      <w:r/>
      <w:bookmarkStart w:id="453" w:name="_Toc267251461"/>
      <w:r/>
      <w:bookmarkStart w:id="454" w:name="_Toc292559411"/>
      <w:r/>
      <w:bookmarkStart w:id="455" w:name="_Toc296944545"/>
      <w:r/>
      <w:bookmarkStart w:id="456" w:name="_Toc296891246"/>
      <w:r/>
      <w:bookmarkStart w:id="457" w:name="_Toc296346707"/>
      <w:r/>
      <w:bookmarkStart w:id="458" w:name="_Toc296347205"/>
      <w:r/>
      <w:bookmarkStart w:id="459" w:name="_Toc297048392"/>
      <w:r/>
      <w:bookmarkStart w:id="460" w:name="_Toc296503206"/>
      <w:r/>
      <w:bookmarkStart w:id="461" w:name="_Toc296891034"/>
      <w:r/>
      <w:bookmarkStart w:id="462" w:name="_Toc297120506"/>
      <w:r/>
      <w:bookmarkStart w:id="463" w:name="_Toc303539160"/>
      <w:r/>
      <w:bookmarkStart w:id="464" w:name="_Toc304295580"/>
      <w:r/>
      <w:bookmarkStart w:id="465" w:name="_Toc297123553"/>
      <w:r/>
      <w:bookmarkStart w:id="466" w:name="_Toc312678041"/>
      <w:r/>
      <w:bookmarkStart w:id="467" w:name="_Toc300935003"/>
      <w:r/>
      <w:bookmarkStart w:id="468" w:name="_Toc297216212"/>
      <w:r>
        <w:rPr>
          <w:rFonts w:hint="eastAsia" w:asciiTheme="minorEastAsia" w:hAnsiTheme="minorEastAsia" w:eastAsiaTheme="minorEastAsia" w:cstheme="minorEastAsia"/>
          <w:szCs w:val="32"/>
        </w:rPr>
        <w:t xml:space="preserve">12.1 合</w:t>
      </w:r>
      <w:bookmarkEnd w:id="452"/>
      <w:r/>
      <w:bookmarkEnd w:id="453"/>
      <w:r/>
      <w:bookmarkEnd w:id="454"/>
      <w:r>
        <w:rPr>
          <w:rFonts w:hint="eastAsia" w:asciiTheme="minorEastAsia" w:hAnsiTheme="minorEastAsia" w:eastAsiaTheme="minorEastAsia" w:cstheme="minorEastAsia"/>
          <w:szCs w:val="32"/>
        </w:rPr>
        <w:t xml:space="preserve">同价</w:t>
      </w:r>
      <w:bookmarkEnd w:id="455"/>
      <w:r/>
      <w:bookmarkEnd w:id="456"/>
      <w:r/>
      <w:bookmarkEnd w:id="457"/>
      <w:r/>
      <w:bookmarkEnd w:id="458"/>
      <w:r/>
      <w:bookmarkEnd w:id="459"/>
      <w:r/>
      <w:bookmarkEnd w:id="460"/>
      <w:r/>
      <w:bookmarkEnd w:id="461"/>
      <w:r/>
      <w:bookmarkEnd w:id="462"/>
      <w:r>
        <w:rPr>
          <w:rFonts w:hint="eastAsia" w:asciiTheme="minorEastAsia" w:hAnsiTheme="minorEastAsia" w:eastAsiaTheme="minorEastAsia" w:cstheme="minorEastAsia"/>
          <w:szCs w:val="32"/>
        </w:rPr>
        <w:t xml:space="preserve">格形式</w:t>
      </w:r>
      <w:bookmarkEnd w:id="463"/>
      <w:r/>
      <w:bookmarkEnd w:id="464"/>
      <w:r/>
      <w:bookmarkEnd w:id="465"/>
      <w:r/>
      <w:bookmarkEnd w:id="466"/>
      <w:r/>
      <w:bookmarkEnd w:id="467"/>
      <w:r/>
      <w:bookmarkEnd w:id="468"/>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1、单价合同。</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综合单价包含的风险范围：</w:t>
      </w:r>
      <w:r>
        <w:rPr>
          <w:rFonts w:hint="eastAsia" w:asciiTheme="minorEastAsia" w:hAnsiTheme="minorEastAsia" w:eastAsiaTheme="minorEastAsia" w:cstheme="minorEastAsia"/>
          <w:szCs w:val="32"/>
          <w:u w:val="single"/>
        </w:rPr>
        <w:t xml:space="preserve">除采购文件约定工程价款调整以外的全部风险</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风险费用的计算方法：</w:t>
      </w:r>
      <w:r>
        <w:rPr>
          <w:rFonts w:hint="eastAsia" w:asciiTheme="minorEastAsia" w:hAnsiTheme="minorEastAsia" w:eastAsiaTheme="minorEastAsia" w:cstheme="minorEastAsia"/>
          <w:szCs w:val="32"/>
          <w:u w:val="single"/>
        </w:rPr>
        <w:t xml:space="preserve">除采购文件约定工程价款调整以外的全部风险</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风险范围以外合同价格的调整方法：</w:t>
      </w:r>
      <w:r>
        <w:rPr>
          <w:rFonts w:hint="eastAsia" w:asciiTheme="minorEastAsia" w:hAnsiTheme="minorEastAsia" w:eastAsiaTheme="minorEastAsia" w:cstheme="minorEastAsia"/>
          <w:szCs w:val="32"/>
          <w:u w:val="single"/>
        </w:rPr>
        <w:t xml:space="preserve">除采购文件约定工程价款调整以外的全部风险</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2、总价合同。</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总价包含的风险范围：</w:t>
      </w:r>
      <w:r>
        <w:rPr>
          <w:rFonts w:hint="eastAsia" w:asciiTheme="minorEastAsia" w:hAnsiTheme="minorEastAsia" w:eastAsiaTheme="minorEastAsia" w:cstheme="minorEastAsia"/>
          <w:szCs w:val="32"/>
          <w:u w:val="single"/>
        </w:rPr>
        <w:t xml:space="preserve">/</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风险费用的计算方法：</w:t>
      </w:r>
      <w:r>
        <w:rPr>
          <w:rFonts w:hint="eastAsia" w:asciiTheme="minorEastAsia" w:hAnsiTheme="minorEastAsia" w:eastAsiaTheme="minorEastAsia" w:cstheme="minorEastAsia"/>
          <w:szCs w:val="32"/>
          <w:u w:val="single"/>
        </w:rPr>
        <w:t xml:space="preserve">/</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风险范围以外合同价格的调整方法：</w:t>
      </w:r>
      <w:r>
        <w:rPr>
          <w:rFonts w:hint="eastAsia" w:asciiTheme="minorEastAsia" w:hAnsiTheme="minorEastAsia" w:eastAsiaTheme="minorEastAsia" w:cstheme="minorEastAsia"/>
          <w:szCs w:val="32"/>
          <w:u w:val="single"/>
        </w:rPr>
        <w:t xml:space="preserve">/</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3、其他价格方式：</w:t>
      </w:r>
      <w:r>
        <w:rPr>
          <w:rFonts w:hint="eastAsia" w:asciiTheme="minorEastAsia" w:hAnsiTheme="minorEastAsia" w:eastAsiaTheme="minorEastAsia" w:cstheme="minorEastAsia"/>
          <w:szCs w:val="32"/>
          <w:u w:val="single"/>
        </w:rPr>
        <w:t xml:space="preserve">/</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bookmarkStart w:id="469" w:name="_Toc297216213"/>
      <w:r/>
      <w:bookmarkStart w:id="470" w:name="_Toc297123554"/>
      <w:r/>
      <w:bookmarkStart w:id="471" w:name="_Toc303539161"/>
      <w:r/>
      <w:bookmarkStart w:id="472" w:name="_Toc300935004"/>
      <w:r/>
      <w:bookmarkStart w:id="473" w:name="_Toc312678042"/>
      <w:r/>
      <w:bookmarkStart w:id="474" w:name="_Toc304295581"/>
      <w:r/>
      <w:bookmarkStart w:id="475" w:name="_Toc292559917"/>
      <w:r/>
      <w:bookmarkStart w:id="476" w:name="_Toc297120507"/>
      <w:r/>
      <w:bookmarkStart w:id="477" w:name="_Toc296503207"/>
      <w:r/>
      <w:bookmarkStart w:id="478" w:name="_Toc296891247"/>
      <w:r/>
      <w:bookmarkStart w:id="479" w:name="_Toc296346708"/>
      <w:r/>
      <w:bookmarkStart w:id="480" w:name="_Toc296347206"/>
      <w:r/>
      <w:bookmarkStart w:id="481" w:name="_Toc292559412"/>
      <w:r/>
      <w:bookmarkStart w:id="482" w:name="_Toc296944546"/>
      <w:r/>
      <w:bookmarkStart w:id="483" w:name="_Toc297048393"/>
      <w:r/>
      <w:bookmarkStart w:id="484" w:name="_Toc296891035"/>
      <w:r>
        <w:rPr>
          <w:rFonts w:hint="eastAsia" w:asciiTheme="minorEastAsia" w:hAnsiTheme="minorEastAsia" w:eastAsiaTheme="minorEastAsia" w:cstheme="minorEastAsia"/>
          <w:szCs w:val="32"/>
        </w:rPr>
        <w:t xml:space="preserve">12.2 预付款</w:t>
      </w:r>
      <w:bookmarkEnd w:id="469"/>
      <w:r/>
      <w:bookmarkEnd w:id="470"/>
      <w:r/>
      <w:bookmarkEnd w:id="471"/>
      <w:r/>
      <w:bookmarkEnd w:id="472"/>
      <w:r/>
      <w:bookmarkEnd w:id="473"/>
      <w:r/>
      <w:bookmarkEnd w:id="474"/>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12.2.1 预付款的支付</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预付款支付比例或金额：</w:t>
      </w:r>
      <w:r>
        <w:rPr>
          <w:rFonts w:hint="eastAsia" w:asciiTheme="minorEastAsia" w:hAnsiTheme="minorEastAsia" w:eastAsiaTheme="minorEastAsia" w:cstheme="minorEastAsia"/>
          <w:szCs w:val="32"/>
          <w:u w:val="single"/>
        </w:rPr>
        <w:t xml:space="preserve">按照采购文件付款方式约定 </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预付款支付期限：</w:t>
      </w:r>
      <w:r>
        <w:rPr>
          <w:rFonts w:hint="eastAsia" w:asciiTheme="minorEastAsia" w:hAnsiTheme="minorEastAsia" w:eastAsiaTheme="minorEastAsia" w:cstheme="minorEastAsia"/>
          <w:szCs w:val="32"/>
          <w:u w:val="single"/>
        </w:rPr>
        <w:t xml:space="preserve"> 按照采购文件付款方式约定  </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预付款扣回的方式：</w:t>
      </w:r>
      <w:r>
        <w:rPr>
          <w:rFonts w:hint="eastAsia" w:asciiTheme="minorEastAsia" w:hAnsiTheme="minorEastAsia" w:eastAsiaTheme="minorEastAsia" w:cstheme="minorEastAsia"/>
          <w:szCs w:val="32"/>
          <w:u w:val="single"/>
        </w:rPr>
        <w:t xml:space="preserve"> 按照采购文件付款方式约定  </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12.2.2 预付款担保</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承包人提交预付款担保的期限：</w:t>
      </w:r>
      <w:r>
        <w:rPr>
          <w:rFonts w:hint="eastAsia" w:asciiTheme="minorEastAsia" w:hAnsiTheme="minorEastAsia" w:eastAsiaTheme="minorEastAsia" w:cstheme="minorEastAsia"/>
          <w:szCs w:val="32"/>
          <w:u w:val="single"/>
        </w:rPr>
        <w:t xml:space="preserve">/</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预付款担保的形式为：</w:t>
      </w:r>
      <w:r>
        <w:rPr>
          <w:rFonts w:hint="eastAsia" w:asciiTheme="minorEastAsia" w:hAnsiTheme="minorEastAsia" w:eastAsiaTheme="minorEastAsia" w:cstheme="minorEastAsia"/>
          <w:szCs w:val="32"/>
          <w:u w:val="single"/>
        </w:rPr>
        <w:t xml:space="preserve">/</w:t>
      </w:r>
      <w:r>
        <w:rPr>
          <w:rFonts w:hint="eastAsia" w:asciiTheme="minorEastAsia" w:hAnsiTheme="minorEastAsia" w:eastAsiaTheme="minorEastAsia" w:cstheme="minorEastAsia"/>
          <w:szCs w:val="32"/>
        </w:rPr>
        <w:t xml:space="preserve">。</w:t>
      </w:r>
      <w:bookmarkEnd w:id="475"/>
      <w:r/>
      <w:bookmarkEnd w:id="476"/>
      <w:r/>
      <w:bookmarkEnd w:id="477"/>
      <w:r/>
      <w:bookmarkEnd w:id="478"/>
      <w:r/>
      <w:bookmarkEnd w:id="479"/>
      <w:r/>
      <w:bookmarkEnd w:id="480"/>
      <w:r/>
      <w:bookmarkEnd w:id="481"/>
      <w:r/>
      <w:bookmarkEnd w:id="482"/>
      <w:r/>
      <w:bookmarkEnd w:id="483"/>
      <w:r/>
      <w:bookmarkEnd w:id="484"/>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12.3 计量</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12.3.1 计量原则</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工程量计算规则：</w:t>
      </w:r>
      <w:r>
        <w:rPr>
          <w:rFonts w:hint="eastAsia" w:asciiTheme="minorEastAsia" w:hAnsiTheme="minorEastAsia" w:eastAsiaTheme="minorEastAsia" w:cstheme="minorEastAsia"/>
          <w:szCs w:val="32"/>
          <w:u w:val="single"/>
        </w:rPr>
        <w:t xml:space="preserve">《建设工程工程量清单计价标准》（GB/T50500-2024）及《房屋建筑与装饰工程工程量计算规范》（GB50854-2024）等9本工程量计算规范</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12.3.2 计量周期</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关于计量周期的约定：</w:t>
      </w:r>
      <w:r>
        <w:rPr>
          <w:rFonts w:hint="eastAsia" w:asciiTheme="minorEastAsia" w:hAnsiTheme="minorEastAsia" w:eastAsiaTheme="minorEastAsia" w:cstheme="minorEastAsia"/>
          <w:szCs w:val="32"/>
          <w:u w:val="single"/>
        </w:rPr>
        <w:t xml:space="preserve">    按月计量   </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12.3.3 单价合同的计量</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关于单价合同计量的约定：。</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12.3.4 总价合同的计量</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关于总价合同计量的约定：。</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12.3.5总价合同采用支付分解表计量支付的，是否适用第12.3.4 项〔总价合同的计量〕约定进行计量：。</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12.3.6 其他价格形式合同的计量</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其他价格形式的计量方式和程序：。</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12.4 工程进度款支付</w:t>
      </w:r>
      <w:r/>
    </w:p>
    <w:p>
      <w:pPr>
        <w:ind w:firstLine="420"/>
        <w:jc w:val="left"/>
        <w:spacing w:line="332" w:lineRule="auto"/>
        <w:rPr>
          <w:rFonts w:asciiTheme="minorEastAsia" w:hAnsiTheme="minorEastAsia" w:eastAsiaTheme="minorEastAsia" w:cstheme="minorEastAsia"/>
          <w:szCs w:val="32"/>
        </w:rPr>
      </w:pPr>
      <w:r/>
      <w:bookmarkStart w:id="485" w:name="_Toc297216215"/>
      <w:r/>
      <w:bookmarkStart w:id="486" w:name="_Toc297120511"/>
      <w:r/>
      <w:bookmarkStart w:id="487" w:name="_Toc296944550"/>
      <w:r/>
      <w:bookmarkStart w:id="488" w:name="_Toc292559921"/>
      <w:r/>
      <w:bookmarkStart w:id="489" w:name="_Toc300935006"/>
      <w:r/>
      <w:bookmarkStart w:id="490" w:name="_Toc296347210"/>
      <w:r/>
      <w:bookmarkStart w:id="491" w:name="_Toc296891039"/>
      <w:r/>
      <w:bookmarkStart w:id="492" w:name="_Toc296891251"/>
      <w:r/>
      <w:bookmarkStart w:id="493" w:name="_Toc292559416"/>
      <w:r/>
      <w:bookmarkStart w:id="494" w:name="_Toc296346712"/>
      <w:r/>
      <w:bookmarkStart w:id="495" w:name="_Toc303539163"/>
      <w:r/>
      <w:bookmarkStart w:id="496" w:name="_Toc297123556"/>
      <w:r/>
      <w:bookmarkStart w:id="497" w:name="_Toc297048397"/>
      <w:r/>
      <w:bookmarkStart w:id="498" w:name="_Toc296503211"/>
      <w:r>
        <w:rPr>
          <w:rFonts w:hint="eastAsia" w:asciiTheme="minorEastAsia" w:hAnsiTheme="minorEastAsia" w:eastAsiaTheme="minorEastAsia" w:cstheme="minorEastAsia"/>
          <w:szCs w:val="32"/>
        </w:rPr>
        <w:t xml:space="preserve">12.4.1 付款周期</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关于付款周期的约定：</w:t>
      </w:r>
      <w:r>
        <w:rPr>
          <w:rFonts w:hint="eastAsia" w:asciiTheme="minorEastAsia" w:hAnsiTheme="minorEastAsia" w:eastAsiaTheme="minorEastAsia" w:cstheme="minorEastAsia"/>
          <w:szCs w:val="32"/>
          <w:u w:val="single"/>
        </w:rPr>
        <w:t xml:space="preserve"> 详见采购文件付款方式约定  </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12.4.2 进度付款申请单的编制</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关于进度付款申请单编制的约定：</w:t>
      </w:r>
      <w:r>
        <w:rPr>
          <w:rFonts w:hint="eastAsia" w:asciiTheme="minorEastAsia" w:hAnsiTheme="minorEastAsia" w:eastAsiaTheme="minorEastAsia" w:cstheme="minorEastAsia"/>
          <w:szCs w:val="32"/>
          <w:u w:val="single"/>
        </w:rPr>
        <w:t xml:space="preserve"> 按通用条款执行 </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w:t>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rPr>
          <w:rFonts w:hint="eastAsia" w:asciiTheme="minorEastAsia" w:hAnsiTheme="minorEastAsia" w:eastAsiaTheme="minorEastAsia" w:cstheme="minorEastAsia"/>
          <w:szCs w:val="32"/>
        </w:rPr>
        <w:t xml:space="preserve">2.4.3 进度付款申请单的提交</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（1）单价合同进度付款申请单提交的约定：</w:t>
      </w:r>
      <w:r>
        <w:rPr>
          <w:rFonts w:hint="eastAsia" w:asciiTheme="minorEastAsia" w:hAnsiTheme="minorEastAsia" w:eastAsiaTheme="minorEastAsia" w:cstheme="minorEastAsia"/>
          <w:szCs w:val="32"/>
          <w:u w:val="single"/>
        </w:rPr>
        <w:t xml:space="preserve"> 无另有约定，按通用条款执行 </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（2）总价合同进度付款申请单提交的约定：</w:t>
      </w:r>
      <w:r>
        <w:rPr>
          <w:rFonts w:hint="eastAsia" w:asciiTheme="minorEastAsia" w:hAnsiTheme="minorEastAsia" w:eastAsiaTheme="minorEastAsia" w:cstheme="minorEastAsia"/>
          <w:szCs w:val="32"/>
          <w:u w:val="single"/>
        </w:rPr>
        <w:t xml:space="preserve">/</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（3）其他价格形式合同进度付款申请单提交的约定：</w:t>
      </w:r>
      <w:r>
        <w:rPr>
          <w:rFonts w:hint="eastAsia" w:asciiTheme="minorEastAsia" w:hAnsiTheme="minorEastAsia" w:eastAsiaTheme="minorEastAsia" w:cstheme="minorEastAsia"/>
          <w:szCs w:val="32"/>
          <w:u w:val="single"/>
        </w:rPr>
        <w:t xml:space="preserve">/</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12.4.4 进度款审核和支付</w:t>
      </w:r>
      <w:r/>
    </w:p>
    <w:p>
      <w:pPr>
        <w:ind w:firstLine="420"/>
        <w:jc w:val="left"/>
        <w:spacing w:line="332" w:lineRule="auto"/>
        <w:rPr>
          <w:rFonts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（1）监理人审查并报送发包人的期限：</w:t>
      </w:r>
      <w:r>
        <w:rPr>
          <w:rFonts w:hint="eastAsia" w:asciiTheme="minorEastAsia" w:hAnsiTheme="minorEastAsia" w:eastAsiaTheme="minorEastAsia" w:cstheme="minorEastAsia"/>
          <w:szCs w:val="32"/>
          <w:u w:val="single"/>
        </w:rPr>
        <w:t xml:space="preserve">无另有约定，按通用条款执行</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发包人完成审批并签发进度款支付证书的期限：</w:t>
      </w:r>
      <w:r>
        <w:rPr>
          <w:rFonts w:hint="eastAsia" w:asciiTheme="minorEastAsia" w:hAnsiTheme="minorEastAsia" w:eastAsiaTheme="minorEastAsia" w:cstheme="minorEastAsia"/>
          <w:szCs w:val="32"/>
          <w:u w:val="single"/>
        </w:rPr>
        <w:t xml:space="preserve">无另有约定，按通用条款执行</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（2）发包人支付进度款的期限：</w:t>
      </w:r>
      <w:r>
        <w:rPr>
          <w:rFonts w:hint="eastAsia" w:asciiTheme="minorEastAsia" w:hAnsiTheme="minorEastAsia" w:eastAsiaTheme="minorEastAsia" w:cstheme="minorEastAsia"/>
          <w:szCs w:val="32"/>
          <w:u w:val="single"/>
        </w:rPr>
        <w:t xml:space="preserve"> 按通用条款执行 </w:t>
      </w:r>
      <w:r>
        <w:rPr>
          <w:rFonts w:hint="eastAsia" w:asciiTheme="minorEastAsia" w:hAnsiTheme="minorEastAsia" w:eastAsiaTheme="minorEastAsia" w:cstheme="minorEastAsia"/>
          <w:szCs w:val="32"/>
        </w:rPr>
        <w:t xml:space="preserve">。</w:t>
      </w:r>
      <w:r/>
    </w:p>
    <w:p>
      <w:pPr>
        <w:ind w:firstLine="525"/>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发包人逾期支付进度款的违约金的计算方式：</w:t>
      </w:r>
      <w:r>
        <w:rPr>
          <w:rFonts w:hint="eastAsia" w:asciiTheme="minorEastAsia" w:hAnsiTheme="minorEastAsia" w:eastAsiaTheme="minorEastAsia" w:cstheme="minorEastAsia"/>
          <w:szCs w:val="32"/>
          <w:u w:val="single"/>
        </w:rPr>
        <w:t xml:space="preserve"> 无另有约定，按通用条款执行 </w:t>
      </w:r>
      <w:r>
        <w:rPr>
          <w:rFonts w:hint="eastAsia" w:asciiTheme="minorEastAsia" w:hAnsiTheme="minorEastAsia" w:eastAsiaTheme="minorEastAsia" w:cstheme="minorEastAsia"/>
          <w:szCs w:val="32"/>
        </w:rPr>
        <w:t xml:space="preserve">。</w:t>
      </w:r>
      <w:r/>
    </w:p>
    <w:p>
      <w:pPr>
        <w:ind w:firstLine="525"/>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12.4.6 支付分解表的编制</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2、总价合同支付分解表的编制与审批：</w:t>
      </w:r>
      <w:r>
        <w:rPr>
          <w:rFonts w:hint="eastAsia" w:asciiTheme="minorEastAsia" w:hAnsiTheme="minorEastAsia" w:eastAsiaTheme="minorEastAsia" w:cstheme="minorEastAsia"/>
          <w:szCs w:val="32"/>
          <w:u w:val="single"/>
        </w:rPr>
        <w:t xml:space="preserve">/</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3、单价合同的总价项目支付分解表的编制与审批：</w:t>
      </w:r>
      <w:r>
        <w:rPr>
          <w:rFonts w:hint="eastAsia" w:asciiTheme="minorEastAsia" w:hAnsiTheme="minorEastAsia" w:eastAsiaTheme="minorEastAsia" w:cstheme="minorEastAsia"/>
          <w:szCs w:val="32"/>
          <w:u w:val="single"/>
        </w:rPr>
        <w:t xml:space="preserve"> / </w:t>
      </w:r>
      <w:r>
        <w:rPr>
          <w:rFonts w:hint="eastAsia" w:asciiTheme="minorEastAsia" w:hAnsiTheme="minorEastAsia" w:eastAsiaTheme="minorEastAsia" w:cstheme="minorEastAsia"/>
          <w:szCs w:val="32"/>
        </w:rPr>
        <w:t xml:space="preserve">。</w:t>
      </w:r>
      <w:bookmarkEnd w:id="328"/>
      <w:r/>
      <w:r/>
    </w:p>
    <w:p>
      <w:pPr>
        <w:pStyle w:val="795"/>
        <w:spacing w:before="0" w:after="0" w:line="332" w:lineRule="auto"/>
        <w:rPr>
          <w:rFonts w:asciiTheme="minorEastAsia" w:hAnsiTheme="minorEastAsia" w:eastAsiaTheme="minorEastAsia" w:cstheme="minorEastAsia"/>
          <w:bCs w:val="0"/>
          <w:szCs w:val="32"/>
        </w:rPr>
      </w:pPr>
      <w:r/>
      <w:bookmarkStart w:id="499" w:name="_Toc296891047"/>
      <w:r/>
      <w:bookmarkStart w:id="500" w:name="_Toc292559424"/>
      <w:r/>
      <w:bookmarkStart w:id="501" w:name="_Toc296503219"/>
      <w:r/>
      <w:bookmarkStart w:id="502" w:name="_Toc297123564"/>
      <w:r/>
      <w:bookmarkStart w:id="503" w:name="_Toc304295593"/>
      <w:r/>
      <w:bookmarkStart w:id="504" w:name="_Toc300935015"/>
      <w:r/>
      <w:bookmarkStart w:id="505" w:name="_Toc312678053"/>
      <w:r/>
      <w:bookmarkStart w:id="506" w:name="_Toc297120519"/>
      <w:r/>
      <w:bookmarkStart w:id="507" w:name="_Toc296347218"/>
      <w:r/>
      <w:bookmarkStart w:id="508" w:name="_Toc303539172"/>
      <w:r/>
      <w:bookmarkStart w:id="509" w:name="_Toc296944558"/>
      <w:r/>
      <w:bookmarkStart w:id="510" w:name="_Toc296346720"/>
      <w:r/>
      <w:bookmarkStart w:id="511" w:name="_Toc297048405"/>
      <w:r/>
      <w:bookmarkStart w:id="512" w:name="_Toc297216223"/>
      <w:r/>
      <w:bookmarkStart w:id="513" w:name="_Toc296891259"/>
      <w:r/>
      <w:bookmarkStart w:id="514" w:name="_Toc292559929"/>
      <w:r/>
      <w:bookmarkStart w:id="515" w:name="_Toc351203645"/>
      <w:r>
        <w:rPr>
          <w:rFonts w:hint="eastAsia" w:asciiTheme="minorEastAsia" w:hAnsiTheme="minorEastAsia" w:eastAsiaTheme="minorEastAsia" w:cstheme="minorEastAsia"/>
          <w:bCs w:val="0"/>
          <w:szCs w:val="32"/>
        </w:rPr>
        <w:t xml:space="preserve">13. 验收和工程试车</w:t>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13.1 分部分项工程验收</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13.1.2监理人不能按时进行验收时，应提前</w:t>
      </w:r>
      <w:r>
        <w:rPr>
          <w:rFonts w:hint="eastAsia" w:asciiTheme="minorEastAsia" w:hAnsiTheme="minorEastAsia" w:eastAsiaTheme="minorEastAsia" w:cstheme="minorEastAsia"/>
          <w:szCs w:val="32"/>
          <w:u w:val="single"/>
        </w:rPr>
        <w:t xml:space="preserve">12</w:t>
      </w:r>
      <w:r>
        <w:rPr>
          <w:rFonts w:hint="eastAsia" w:asciiTheme="minorEastAsia" w:hAnsiTheme="minorEastAsia" w:eastAsiaTheme="minorEastAsia" w:cstheme="minorEastAsia"/>
          <w:szCs w:val="32"/>
        </w:rPr>
        <w:t xml:space="preserve">小时提交书面延期要求。</w:t>
      </w:r>
      <w:r/>
    </w:p>
    <w:p>
      <w:pPr>
        <w:ind w:firstLine="420"/>
        <w:jc w:val="left"/>
        <w:spacing w:line="332" w:lineRule="auto"/>
        <w:rPr>
          <w:rFonts w:asciiTheme="minorEastAsia" w:hAnsiTheme="minorEastAsia" w:eastAsiaTheme="minorEastAsia" w:cstheme="minorEastAsia"/>
          <w:b/>
          <w:szCs w:val="32"/>
        </w:rPr>
      </w:pPr>
      <w:r>
        <w:rPr>
          <w:rFonts w:hint="eastAsia" w:asciiTheme="minorEastAsia" w:hAnsiTheme="minorEastAsia" w:eastAsiaTheme="minorEastAsia" w:cstheme="minorEastAsia"/>
          <w:szCs w:val="32"/>
        </w:rPr>
        <w:t xml:space="preserve">关于延期最长不得超过：</w:t>
      </w:r>
      <w:r>
        <w:rPr>
          <w:rFonts w:hint="eastAsia" w:asciiTheme="minorEastAsia" w:hAnsiTheme="minorEastAsia" w:eastAsiaTheme="minorEastAsia" w:cstheme="minorEastAsia"/>
          <w:szCs w:val="32"/>
          <w:u w:val="single"/>
        </w:rPr>
        <w:t xml:space="preserve">48</w:t>
      </w:r>
      <w:r>
        <w:rPr>
          <w:rFonts w:hint="eastAsia" w:asciiTheme="minorEastAsia" w:hAnsiTheme="minorEastAsia" w:eastAsiaTheme="minorEastAsia" w:cstheme="minorEastAsia"/>
          <w:szCs w:val="32"/>
        </w:rPr>
        <w:t xml:space="preserve">小时。</w:t>
      </w:r>
      <w:r/>
    </w:p>
    <w:p>
      <w:pPr>
        <w:ind w:firstLine="420"/>
        <w:spacing w:line="332" w:lineRule="auto"/>
        <w:rPr>
          <w:rFonts w:asciiTheme="minorEastAsia" w:hAnsiTheme="minorEastAsia" w:eastAsiaTheme="minorEastAsia" w:cstheme="minorEastAsia"/>
          <w:szCs w:val="32"/>
        </w:rPr>
      </w:pPr>
      <w:r/>
      <w:bookmarkStart w:id="516" w:name="_Toc296347222"/>
      <w:r/>
      <w:bookmarkStart w:id="517" w:name="_Toc304295596"/>
      <w:r/>
      <w:bookmarkStart w:id="518" w:name="_Toc300935016"/>
      <w:r/>
      <w:bookmarkStart w:id="519" w:name="_Toc312678056"/>
      <w:r/>
      <w:bookmarkStart w:id="520" w:name="_Toc296944562"/>
      <w:r/>
      <w:bookmarkStart w:id="521" w:name="_Toc296503223"/>
      <w:r/>
      <w:bookmarkStart w:id="522" w:name="_Toc297123565"/>
      <w:r/>
      <w:bookmarkStart w:id="523" w:name="_Toc292559428"/>
      <w:r/>
      <w:bookmarkStart w:id="524" w:name="_Toc297120523"/>
      <w:r/>
      <w:bookmarkStart w:id="525" w:name="_Toc303539173"/>
      <w:r/>
      <w:bookmarkStart w:id="526" w:name="_Toc292559933"/>
      <w:r/>
      <w:bookmarkStart w:id="527" w:name="_Toc297216224"/>
      <w:r/>
      <w:bookmarkStart w:id="528" w:name="_Toc296891263"/>
      <w:r/>
      <w:bookmarkStart w:id="529" w:name="_Toc296891051"/>
      <w:r/>
      <w:bookmarkStart w:id="530" w:name="_Toc296346724"/>
      <w:r/>
      <w:bookmarkStart w:id="531" w:name="_Toc297048409"/>
      <w:r/>
      <w:bookmarkStart w:id="532" w:name="_Toc267251475"/>
      <w:r/>
      <w:bookmarkStart w:id="533" w:name="_Toc267251474"/>
      <w:r/>
      <w:bookmarkStart w:id="534" w:name="_Toc267251470"/>
      <w:r/>
      <w:bookmarkStart w:id="535" w:name="_Toc267251471"/>
      <w:r/>
      <w:bookmarkStart w:id="536" w:name="_Toc267251472"/>
      <w:r/>
      <w:bookmarkStart w:id="537" w:name="_Toc267251473"/>
      <w:r/>
      <w:bookmarkStart w:id="538" w:name="_Toc267251476"/>
      <w:r>
        <w:rPr>
          <w:rFonts w:hint="eastAsia" w:asciiTheme="minorEastAsia" w:hAnsiTheme="minorEastAsia" w:eastAsiaTheme="minorEastAsia" w:cstheme="minorEastAsia"/>
          <w:szCs w:val="32"/>
        </w:rPr>
        <w:t xml:space="preserve">13.2 竣工验收</w:t>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
    </w:p>
    <w:p>
      <w:pPr>
        <w:ind w:firstLine="420"/>
        <w:jc w:val="left"/>
        <w:spacing w:line="332" w:lineRule="auto"/>
        <w:rPr>
          <w:rFonts w:asciiTheme="minorEastAsia" w:hAnsiTheme="minorEastAsia" w:eastAsiaTheme="minorEastAsia" w:cstheme="minorEastAsia"/>
          <w:szCs w:val="32"/>
        </w:rPr>
      </w:pPr>
      <w:r/>
      <w:bookmarkStart w:id="539" w:name="_Toc280868704"/>
      <w:r/>
      <w:bookmarkStart w:id="540" w:name="_Toc280868705"/>
      <w:r/>
      <w:bookmarkStart w:id="541" w:name="_Toc280868706"/>
      <w:r/>
      <w:bookmarkStart w:id="542" w:name="_Toc280868707"/>
      <w:r/>
      <w:bookmarkStart w:id="543" w:name="_Toc280868708"/>
      <w:r/>
      <w:bookmarkStart w:id="544" w:name="_Toc280868709"/>
      <w:r>
        <w:rPr>
          <w:rFonts w:hint="eastAsia" w:asciiTheme="minorEastAsia" w:hAnsiTheme="minorEastAsia" w:eastAsiaTheme="minorEastAsia" w:cstheme="minorEastAsia"/>
          <w:szCs w:val="32"/>
        </w:rPr>
        <w:t xml:space="preserve">13.2.2竣工验收程序</w:t>
      </w:r>
      <w:bookmarkEnd w:id="539"/>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关于竣工验收程序的约定：</w:t>
      </w:r>
      <w:r>
        <w:rPr>
          <w:rFonts w:hint="eastAsia" w:asciiTheme="minorEastAsia" w:hAnsiTheme="minorEastAsia" w:eastAsiaTheme="minorEastAsia" w:cstheme="minorEastAsia"/>
          <w:szCs w:val="32"/>
          <w:u w:val="single"/>
        </w:rPr>
        <w:t xml:space="preserve"> 无另有约定，按通用条款执行 </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发包人不按照本项约定组织竣工验收、颁发工程接收证书的违约金的计算方法：</w:t>
      </w:r>
      <w:r>
        <w:rPr>
          <w:rFonts w:hint="eastAsia" w:asciiTheme="minorEastAsia" w:hAnsiTheme="minorEastAsia" w:eastAsiaTheme="minorEastAsia" w:cstheme="minorEastAsia"/>
          <w:szCs w:val="32"/>
          <w:u w:val="single"/>
        </w:rPr>
        <w:t xml:space="preserve">颁发工程接</w:t>
      </w:r>
      <w:r/>
    </w:p>
    <w:p>
      <w:pPr>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u w:val="single"/>
        </w:rPr>
        <w:t xml:space="preserve">受证书后 7 天内完成工程的移交 </w:t>
      </w:r>
      <w:r>
        <w:rPr>
          <w:rFonts w:hint="eastAsia" w:asciiTheme="minorEastAsia" w:hAnsiTheme="minorEastAsia" w:eastAsiaTheme="minorEastAsia" w:cstheme="minorEastAsia"/>
          <w:szCs w:val="32"/>
        </w:rPr>
        <w:t xml:space="preserve">。</w:t>
      </w:r>
      <w:bookmarkEnd w:id="540"/>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13.2.5移交、接收全部与部分工程</w:t>
      </w:r>
      <w:bookmarkEnd w:id="541"/>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承包人向发包人移交工程的期限：</w:t>
      </w:r>
      <w:r>
        <w:rPr>
          <w:rFonts w:hint="eastAsia" w:asciiTheme="minorEastAsia" w:hAnsiTheme="minorEastAsia" w:eastAsiaTheme="minorEastAsia" w:cstheme="minorEastAsia"/>
          <w:szCs w:val="32"/>
          <w:u w:val="single"/>
        </w:rPr>
        <w:t xml:space="preserve">颁发工程接受证书后 7 天内完成工程的移交</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发包人未按本合同约定接收全部或部分工程的，违约金的计算方法为：</w:t>
      </w:r>
      <w:r>
        <w:rPr>
          <w:rFonts w:hint="eastAsia" w:asciiTheme="minorEastAsia" w:hAnsiTheme="minorEastAsia" w:eastAsiaTheme="minorEastAsia" w:cstheme="minorEastAsia"/>
          <w:szCs w:val="32"/>
          <w:u w:val="single"/>
        </w:rPr>
        <w:t xml:space="preserve">如有，双方另行约定</w:t>
      </w:r>
      <w:r>
        <w:rPr>
          <w:rFonts w:hint="eastAsia" w:asciiTheme="minorEastAsia" w:hAnsiTheme="minorEastAsia" w:eastAsiaTheme="minorEastAsia" w:cstheme="minorEastAsia"/>
          <w:szCs w:val="32"/>
        </w:rPr>
        <w:t xml:space="preserve">。</w:t>
      </w:r>
      <w:bookmarkEnd w:id="542"/>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承包人未按时移交工程的，违约金的计算方法为：</w:t>
      </w:r>
      <w:r>
        <w:rPr>
          <w:rFonts w:hint="eastAsia" w:asciiTheme="minorEastAsia" w:hAnsiTheme="minorEastAsia" w:eastAsiaTheme="minorEastAsia" w:cstheme="minorEastAsia"/>
          <w:szCs w:val="32"/>
          <w:u w:val="single"/>
        </w:rPr>
        <w:t xml:space="preserve">每天赔偿金额为0.5万元 </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13.3 工程试车</w:t>
      </w:r>
      <w:bookmarkEnd w:id="543"/>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13.3.1 试车程序</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工程试车内容：</w:t>
      </w:r>
      <w:r>
        <w:rPr>
          <w:rFonts w:hint="eastAsia" w:asciiTheme="minorEastAsia" w:hAnsiTheme="minorEastAsia" w:eastAsiaTheme="minorEastAsia" w:cstheme="minorEastAsia"/>
          <w:szCs w:val="32"/>
          <w:u w:val="single"/>
        </w:rPr>
        <w:t xml:space="preserve">无另有约定，按通用条款执行</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（1）单机无负荷试车费用由</w:t>
      </w:r>
      <w:r>
        <w:rPr>
          <w:rFonts w:hint="eastAsia" w:asciiTheme="minorEastAsia" w:hAnsiTheme="minorEastAsia" w:eastAsiaTheme="minorEastAsia" w:cstheme="minorEastAsia"/>
          <w:szCs w:val="32"/>
          <w:u w:val="single"/>
        </w:rPr>
        <w:t xml:space="preserve">承包人</w:t>
      </w:r>
      <w:r>
        <w:rPr>
          <w:rFonts w:hint="eastAsia" w:asciiTheme="minorEastAsia" w:hAnsiTheme="minorEastAsia" w:eastAsiaTheme="minorEastAsia" w:cstheme="minorEastAsia"/>
          <w:szCs w:val="32"/>
        </w:rPr>
        <w:t xml:space="preserve">承担；</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（2）无负荷联动试车费用由</w:t>
      </w:r>
      <w:r>
        <w:rPr>
          <w:rFonts w:hint="eastAsia" w:asciiTheme="minorEastAsia" w:hAnsiTheme="minorEastAsia" w:eastAsiaTheme="minorEastAsia" w:cstheme="minorEastAsia"/>
          <w:szCs w:val="32"/>
          <w:u w:val="single"/>
        </w:rPr>
        <w:t xml:space="preserve">承包人</w:t>
      </w:r>
      <w:r>
        <w:rPr>
          <w:rFonts w:hint="eastAsia" w:asciiTheme="minorEastAsia" w:hAnsiTheme="minorEastAsia" w:eastAsiaTheme="minorEastAsia" w:cstheme="minorEastAsia"/>
          <w:szCs w:val="32"/>
        </w:rPr>
        <w:t xml:space="preserve">承担。</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13.3.3 投料试车</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关于投料试车相关事项的约定：</w:t>
      </w:r>
      <w:r>
        <w:rPr>
          <w:rFonts w:hint="eastAsia" w:asciiTheme="minorEastAsia" w:hAnsiTheme="minorEastAsia" w:eastAsiaTheme="minorEastAsia" w:cstheme="minorEastAsia"/>
          <w:szCs w:val="32"/>
          <w:u w:val="single"/>
        </w:rPr>
        <w:t xml:space="preserve"> 无另有约定，按通用条款执行 </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13.6 竣工退场</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13.6.1 竣工退场</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承包人完成竣工退场的期限：</w:t>
      </w:r>
      <w:r>
        <w:rPr>
          <w:rFonts w:hint="eastAsia" w:asciiTheme="minorEastAsia" w:hAnsiTheme="minorEastAsia" w:eastAsiaTheme="minorEastAsia" w:cstheme="minorEastAsia"/>
          <w:szCs w:val="32"/>
          <w:u w:val="single"/>
        </w:rPr>
        <w:t xml:space="preserve"> 工程竣工验收合格一周内 </w:t>
      </w:r>
      <w:r>
        <w:rPr>
          <w:rFonts w:hint="eastAsia" w:asciiTheme="minorEastAsia" w:hAnsiTheme="minorEastAsia" w:eastAsiaTheme="minorEastAsia" w:cstheme="minorEastAsia"/>
          <w:szCs w:val="32"/>
        </w:rPr>
        <w:t xml:space="preserve">。</w:t>
      </w:r>
      <w:r/>
    </w:p>
    <w:p>
      <w:pPr>
        <w:pStyle w:val="795"/>
        <w:spacing w:before="0" w:after="0" w:line="332" w:lineRule="auto"/>
        <w:rPr>
          <w:rFonts w:asciiTheme="minorEastAsia" w:hAnsiTheme="minorEastAsia" w:eastAsiaTheme="minorEastAsia" w:cstheme="minorEastAsia"/>
          <w:bCs w:val="0"/>
          <w:szCs w:val="32"/>
        </w:rPr>
      </w:pPr>
      <w:r/>
      <w:bookmarkStart w:id="545" w:name="_Toc351203646"/>
      <w:r>
        <w:rPr>
          <w:rFonts w:hint="eastAsia" w:asciiTheme="minorEastAsia" w:hAnsiTheme="minorEastAsia" w:eastAsiaTheme="minorEastAsia" w:cstheme="minorEastAsia"/>
          <w:bCs w:val="0"/>
          <w:szCs w:val="32"/>
        </w:rPr>
        <w:t xml:space="preserve">14. 竣工结算</w:t>
      </w:r>
      <w:bookmarkEnd w:id="545"/>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14.1 竣工结算申请</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承包人提交竣工结算申请单的期限：</w:t>
      </w:r>
      <w:r>
        <w:rPr>
          <w:rFonts w:hint="eastAsia" w:asciiTheme="minorEastAsia" w:hAnsiTheme="minorEastAsia" w:eastAsiaTheme="minorEastAsia" w:cstheme="minorEastAsia"/>
          <w:szCs w:val="32"/>
          <w:u w:val="single"/>
        </w:rPr>
        <w:t xml:space="preserve">无另有约定，按通用条款执行</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竣工结算申请单应包括的内容：</w:t>
      </w:r>
      <w:r>
        <w:rPr>
          <w:rFonts w:hint="eastAsia" w:asciiTheme="minorEastAsia" w:hAnsiTheme="minorEastAsia" w:eastAsiaTheme="minorEastAsia" w:cstheme="minorEastAsia"/>
          <w:szCs w:val="32"/>
          <w:u w:val="single"/>
        </w:rPr>
        <w:t xml:space="preserve">无另有约定，按通用条款执行 </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14.2 竣工结算审核</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发包人审批竣工付款申请单的期限：</w:t>
      </w:r>
      <w:r>
        <w:rPr>
          <w:rFonts w:hint="eastAsia" w:asciiTheme="minorEastAsia" w:hAnsiTheme="minorEastAsia" w:eastAsiaTheme="minorEastAsia" w:cstheme="minorEastAsia"/>
          <w:szCs w:val="32"/>
          <w:u w:val="single"/>
        </w:rPr>
        <w:t xml:space="preserve"> 按照采购文件付款方式约定 </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发包人完成竣工付款的期限：</w:t>
      </w:r>
      <w:r>
        <w:rPr>
          <w:rFonts w:hint="eastAsia" w:asciiTheme="minorEastAsia" w:hAnsiTheme="minorEastAsia" w:eastAsiaTheme="minorEastAsia" w:cstheme="minorEastAsia"/>
          <w:szCs w:val="32"/>
          <w:u w:val="single"/>
        </w:rPr>
        <w:t xml:space="preserve">  按照采购文件付款方式约定 </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关于竣工付款证书异议部分复核的方式和程序：</w:t>
      </w:r>
      <w:r>
        <w:rPr>
          <w:rFonts w:hint="eastAsia" w:asciiTheme="minorEastAsia" w:hAnsiTheme="minorEastAsia" w:eastAsiaTheme="minorEastAsia" w:cstheme="minorEastAsia"/>
          <w:szCs w:val="32"/>
          <w:u w:val="single"/>
        </w:rPr>
        <w:t xml:space="preserve">/</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14.4 最终结清</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14.4.1 最终结清申请单</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承包人提交最终结清申请单的份数：</w:t>
      </w:r>
      <w:r>
        <w:rPr>
          <w:rFonts w:hint="eastAsia" w:asciiTheme="minorEastAsia" w:hAnsiTheme="minorEastAsia" w:eastAsiaTheme="minorEastAsia" w:cstheme="minorEastAsia"/>
          <w:szCs w:val="32"/>
          <w:u w:val="single"/>
        </w:rPr>
        <w:t xml:space="preserve"> 无另有约定，按通用条款执行 </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承包人提交最终结算申请单的期限：</w:t>
      </w:r>
      <w:r>
        <w:rPr>
          <w:rFonts w:hint="eastAsia" w:asciiTheme="minorEastAsia" w:hAnsiTheme="minorEastAsia" w:eastAsiaTheme="minorEastAsia" w:cstheme="minorEastAsia"/>
          <w:szCs w:val="32"/>
          <w:u w:val="single"/>
        </w:rPr>
        <w:t xml:space="preserve"> 无另有约定，按通用条款执行  </w:t>
      </w:r>
      <w:r>
        <w:rPr>
          <w:rFonts w:hint="eastAsia" w:asciiTheme="minorEastAsia" w:hAnsiTheme="minorEastAsia" w:eastAsiaTheme="minorEastAsia" w:cstheme="minorEastAsia"/>
          <w:szCs w:val="32"/>
        </w:rPr>
        <w:t xml:space="preserve">。 </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14.4.2 最终结清证书和支付</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（1）发包人完成最终结清申请单的审批并颁发最终结清证书的期限：</w:t>
      </w:r>
      <w:r>
        <w:rPr>
          <w:rFonts w:hint="eastAsia" w:asciiTheme="minorEastAsia" w:hAnsiTheme="minorEastAsia" w:eastAsiaTheme="minorEastAsia" w:cstheme="minorEastAsia"/>
          <w:szCs w:val="32"/>
          <w:u w:val="single"/>
        </w:rPr>
        <w:t xml:space="preserve">发包人在收到承包人最终结清申请单后完成审批</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（2）发包人完成支付的期限：</w:t>
      </w:r>
      <w:r>
        <w:rPr>
          <w:rFonts w:hint="eastAsia" w:asciiTheme="minorEastAsia" w:hAnsiTheme="minorEastAsia" w:eastAsiaTheme="minorEastAsia" w:cstheme="minorEastAsia"/>
          <w:szCs w:val="32"/>
          <w:u w:val="single"/>
        </w:rPr>
        <w:t xml:space="preserve">无另有约定，按通用条款执行</w:t>
      </w:r>
      <w:r>
        <w:rPr>
          <w:rFonts w:hint="eastAsia" w:asciiTheme="minorEastAsia" w:hAnsiTheme="minorEastAsia" w:eastAsiaTheme="minorEastAsia" w:cstheme="minorEastAsia"/>
          <w:szCs w:val="32"/>
        </w:rPr>
        <w:t xml:space="preserve">。</w:t>
      </w:r>
      <w:bookmarkEnd w:id="532"/>
      <w:r/>
      <w:bookmarkEnd w:id="533"/>
      <w:r/>
      <w:bookmarkEnd w:id="534"/>
      <w:r/>
      <w:bookmarkEnd w:id="535"/>
      <w:r/>
      <w:bookmarkEnd w:id="536"/>
      <w:r/>
      <w:bookmarkEnd w:id="537"/>
      <w:r/>
      <w:bookmarkEnd w:id="538"/>
      <w:r/>
      <w:bookmarkEnd w:id="544"/>
      <w:r/>
      <w:r/>
    </w:p>
    <w:p>
      <w:pPr>
        <w:pStyle w:val="795"/>
        <w:spacing w:before="0" w:after="0" w:line="332" w:lineRule="auto"/>
        <w:rPr>
          <w:rFonts w:asciiTheme="minorEastAsia" w:hAnsiTheme="minorEastAsia" w:eastAsiaTheme="minorEastAsia" w:cstheme="minorEastAsia"/>
          <w:bCs w:val="0"/>
          <w:szCs w:val="32"/>
        </w:rPr>
      </w:pPr>
      <w:r/>
      <w:bookmarkStart w:id="546" w:name="_Toc351203647"/>
      <w:r/>
      <w:bookmarkStart w:id="547" w:name="_Toc267251483"/>
      <w:r/>
      <w:bookmarkStart w:id="548" w:name="_Toc267251482"/>
      <w:r/>
      <w:bookmarkStart w:id="549" w:name="_Toc267251484"/>
      <w:r/>
      <w:bookmarkStart w:id="550" w:name="_Toc267251485"/>
      <w:r/>
      <w:bookmarkStart w:id="551" w:name="_Toc267251489"/>
      <w:r/>
      <w:bookmarkStart w:id="552" w:name="_Toc267251488"/>
      <w:r/>
      <w:bookmarkStart w:id="553" w:name="_Toc267251490"/>
      <w:r/>
      <w:bookmarkStart w:id="554" w:name="_Toc267251486"/>
      <w:r/>
      <w:bookmarkStart w:id="555" w:name="_Toc267251492"/>
      <w:r/>
      <w:bookmarkStart w:id="556" w:name="_Toc267251499"/>
      <w:r/>
      <w:bookmarkStart w:id="557" w:name="_Toc267251495"/>
      <w:r/>
      <w:bookmarkStart w:id="558" w:name="_Toc267251491"/>
      <w:r/>
      <w:bookmarkStart w:id="559" w:name="_Toc267251496"/>
      <w:r/>
      <w:bookmarkStart w:id="560" w:name="_Toc267251497"/>
      <w:r/>
      <w:bookmarkStart w:id="561" w:name="_Toc267251494"/>
      <w:r/>
      <w:bookmarkStart w:id="562" w:name="_Toc267251502"/>
      <w:r/>
      <w:bookmarkStart w:id="563" w:name="_Toc267251501"/>
      <w:r/>
      <w:bookmarkStart w:id="564" w:name="_Toc267251503"/>
      <w:r/>
      <w:bookmarkStart w:id="565" w:name="_Toc267251493"/>
      <w:r/>
      <w:bookmarkStart w:id="566" w:name="_Toc267251498"/>
      <w:r/>
      <w:bookmarkStart w:id="567" w:name="_Toc267251506"/>
      <w:r/>
      <w:bookmarkStart w:id="568" w:name="_Toc267251504"/>
      <w:r/>
      <w:bookmarkStart w:id="569" w:name="_Toc267251507"/>
      <w:r/>
      <w:bookmarkStart w:id="570" w:name="_Toc267251508"/>
      <w:r/>
      <w:bookmarkStart w:id="571" w:name="_Toc267251509"/>
      <w:r/>
      <w:bookmarkStart w:id="572" w:name="_Toc267251511"/>
      <w:r/>
      <w:bookmarkStart w:id="573" w:name="_Toc267251514"/>
      <w:r/>
      <w:bookmarkStart w:id="574" w:name="_Toc267251510"/>
      <w:r/>
      <w:bookmarkStart w:id="575" w:name="_Toc267251515"/>
      <w:r/>
      <w:bookmarkStart w:id="576" w:name="_Toc267251513"/>
      <w:r>
        <w:rPr>
          <w:rFonts w:hint="eastAsia" w:asciiTheme="minorEastAsia" w:hAnsiTheme="minorEastAsia" w:eastAsiaTheme="minorEastAsia" w:cstheme="minorEastAsia"/>
          <w:bCs w:val="0"/>
          <w:szCs w:val="32"/>
        </w:rPr>
        <w:t xml:space="preserve">15. 缺陷责任期与保修</w:t>
      </w:r>
      <w:bookmarkEnd w:id="546"/>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15.2缺陷责任期</w:t>
      </w:r>
      <w:bookmarkEnd w:id="547"/>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缺陷责任期的具体期限：</w:t>
      </w:r>
      <w:r>
        <w:rPr>
          <w:rFonts w:hint="eastAsia" w:asciiTheme="minorEastAsia" w:hAnsiTheme="minorEastAsia" w:eastAsiaTheme="minorEastAsia" w:cstheme="minorEastAsia"/>
          <w:szCs w:val="32"/>
          <w:u w:val="single"/>
        </w:rPr>
        <w:t xml:space="preserve"> 按照采购文件约定   </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15.3 质量保证金</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关于是否扣留质量保证金的约定：</w:t>
      </w:r>
      <w:r>
        <w:rPr>
          <w:rFonts w:hint="eastAsia" w:asciiTheme="minorEastAsia" w:hAnsiTheme="minorEastAsia" w:eastAsiaTheme="minorEastAsia" w:cstheme="minorEastAsia"/>
          <w:szCs w:val="32"/>
          <w:u w:val="single"/>
        </w:rPr>
        <w:t xml:space="preserve">是</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15.3.1 承包人提供质量保证金的方式</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质量保证金采用以下第</w:t>
      </w:r>
      <w:r>
        <w:rPr>
          <w:rFonts w:hint="eastAsia" w:asciiTheme="minorEastAsia" w:hAnsiTheme="minorEastAsia" w:eastAsiaTheme="minorEastAsia" w:cstheme="minorEastAsia"/>
          <w:szCs w:val="32"/>
          <w:u w:val="single"/>
        </w:rPr>
        <w:t xml:space="preserve"> （</w:t>
      </w:r>
      <w:r>
        <w:rPr>
          <w:rFonts w:hint="eastAsia" w:asciiTheme="minorEastAsia" w:hAnsiTheme="minorEastAsia" w:cstheme="minorEastAsia"/>
          <w:szCs w:val="32"/>
          <w:u w:val="single"/>
        </w:rPr>
        <w:t xml:space="preserve">2</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种方式：</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（1）质量保证金保函，保证金额为：</w:t>
      </w:r>
      <w:r>
        <w:rPr>
          <w:rFonts w:hint="eastAsia" w:asciiTheme="minorEastAsia" w:hAnsiTheme="minorEastAsia" w:eastAsiaTheme="minorEastAsia" w:cstheme="minorEastAsia"/>
          <w:szCs w:val="32"/>
          <w:u w:val="single"/>
        </w:rPr>
        <w:t xml:space="preserve">/</w:t>
      </w:r>
      <w:r>
        <w:rPr>
          <w:rFonts w:hint="eastAsia" w:asciiTheme="minorEastAsia" w:hAnsiTheme="minorEastAsia" w:eastAsiaTheme="minorEastAsia" w:cstheme="minorEastAsia"/>
          <w:szCs w:val="32"/>
        </w:rPr>
        <w:t xml:space="preserve">； </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（2）</w:t>
      </w:r>
      <w:r>
        <w:rPr>
          <w:rFonts w:hint="eastAsia" w:asciiTheme="minorEastAsia" w:hAnsiTheme="minorEastAsia" w:cstheme="minorEastAsia"/>
          <w:szCs w:val="32"/>
          <w:u w:val="single"/>
        </w:rPr>
        <w:t xml:space="preserve">3 </w:t>
      </w:r>
      <w:r>
        <w:rPr>
          <w:rFonts w:hint="eastAsia" w:asciiTheme="minorEastAsia" w:hAnsiTheme="minorEastAsia" w:eastAsiaTheme="minorEastAsia" w:cstheme="minorEastAsia"/>
          <w:szCs w:val="32"/>
        </w:rPr>
        <w:t xml:space="preserve">%的工程款；</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（3）其他方式:</w:t>
      </w:r>
      <w:r>
        <w:rPr>
          <w:rFonts w:hint="eastAsia" w:asciiTheme="minorEastAsia" w:hAnsiTheme="minorEastAsia" w:eastAsiaTheme="minorEastAsia" w:cstheme="minorEastAsia"/>
          <w:u w:val="single"/>
        </w:rPr>
        <w:t xml:space="preserve">详见招标文件</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15.3.2 质量保证金的扣留 </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质量保证金的扣留采取以下第</w:t>
      </w:r>
      <w:r>
        <w:rPr>
          <w:rFonts w:hint="eastAsia" w:asciiTheme="minorEastAsia" w:hAnsiTheme="minorEastAsia" w:eastAsiaTheme="minorEastAsia" w:cstheme="minorEastAsia"/>
          <w:szCs w:val="32"/>
          <w:u w:val="single"/>
        </w:rPr>
        <w:t xml:space="preserve"> （2） </w:t>
      </w:r>
      <w:r>
        <w:rPr>
          <w:rFonts w:hint="eastAsia" w:asciiTheme="minorEastAsia" w:hAnsiTheme="minorEastAsia" w:eastAsiaTheme="minorEastAsia" w:cstheme="minorEastAsia"/>
          <w:szCs w:val="32"/>
        </w:rPr>
        <w:t xml:space="preserve">种方式：</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（1）在支付工程进度款时逐次扣留，在此情形下，质量保证金的计算基数不包括预付款的支付、扣回以及价格调整的金额；</w:t>
      </w:r>
      <w:r/>
    </w:p>
    <w:p>
      <w:pPr>
        <w:ind w:firstLine="424"/>
        <w:spacing w:line="332"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（2）工程竣工结算时一次性扣留质量保证金</w:t>
      </w:r>
      <w:r>
        <w:rPr>
          <w:rFonts w:hint="eastAsia" w:asciiTheme="minorEastAsia" w:hAnsiTheme="minorEastAsia" w:cstheme="minorEastAsia"/>
        </w:rPr>
        <w:t xml:space="preserve">（履约保证金</w:t>
      </w:r>
      <w:r>
        <w:rPr>
          <w:rFonts w:hint="eastAsia" w:asciiTheme="minorEastAsia" w:hAnsiTheme="minorEastAsia" w:eastAsiaTheme="minorEastAsia" w:cstheme="minorEastAsia"/>
          <w:color w:val="000000" w:themeColor="text1"/>
          <w:szCs w:val="21"/>
        </w:rPr>
        <w:t xml:space="preserve">在成交人按承诺的工期、质量标准、规范要求完成项目并经竣工验收合格后无息返还。</w:t>
      </w:r>
      <w:r>
        <w:rPr>
          <w:rFonts w:hint="eastAsia" w:asciiTheme="minorEastAsia" w:hAnsiTheme="minorEastAsia" w:cstheme="minorEastAsia"/>
        </w:rPr>
        <w:t xml:space="preserve">）</w:t>
      </w:r>
      <w:r>
        <w:rPr>
          <w:rFonts w:hint="eastAsia" w:asciiTheme="minorEastAsia" w:hAnsiTheme="minorEastAsia" w:eastAsiaTheme="minorEastAsia" w:cstheme="minorEastAsia"/>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（3）其他扣留方式:</w:t>
      </w:r>
      <w:r>
        <w:rPr>
          <w:rFonts w:hint="eastAsia" w:asciiTheme="minorEastAsia" w:hAnsiTheme="minorEastAsia" w:eastAsiaTheme="minorEastAsia" w:cstheme="minorEastAsia"/>
          <w:szCs w:val="32"/>
          <w:u w:val="single"/>
        </w:rPr>
        <w:t xml:space="preserve">/</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关于质量保证金的补充约定：。</w:t>
      </w:r>
      <w:bookmarkEnd w:id="548"/>
      <w:r/>
      <w:bookmarkEnd w:id="549"/>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15.4保修</w:t>
      </w:r>
      <w:bookmarkEnd w:id="550"/>
      <w:r/>
      <w:r/>
    </w:p>
    <w:p>
      <w:pPr>
        <w:ind w:firstLine="409"/>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15.4.1 保修责任</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工程保修期为：</w:t>
      </w:r>
      <w:r>
        <w:rPr>
          <w:rFonts w:hint="eastAsia" w:asciiTheme="minorEastAsia" w:hAnsiTheme="minorEastAsia" w:eastAsiaTheme="minorEastAsia" w:cstheme="minorEastAsia"/>
          <w:szCs w:val="32"/>
          <w:u w:val="single"/>
        </w:rPr>
        <w:t xml:space="preserve">（1）本合同工程保修期年，自工程竣工验收合格之日起计。（2）保修期内本合同出现任何质量、缺陷等问题，由承包方承担维修、更换、退货等所发生的的一切实际费用，因工程质量问题造成第三方人身伤害、财产损失的，乙方还应予以赔偿</w:t>
      </w:r>
      <w:r>
        <w:rPr>
          <w:rFonts w:hint="eastAsia" w:asciiTheme="minorEastAsia" w:hAnsiTheme="minorEastAsia" w:eastAsiaTheme="minorEastAsia" w:cstheme="minorEastAsia"/>
          <w:szCs w:val="32"/>
        </w:rPr>
        <w:t xml:space="preserve">。</w:t>
      </w:r>
      <w:r/>
    </w:p>
    <w:p>
      <w:pPr>
        <w:ind w:firstLine="409"/>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15.4.3 修复通知</w:t>
      </w:r>
      <w:r/>
    </w:p>
    <w:p>
      <w:pPr>
        <w:ind w:firstLine="409"/>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承包人收到保修通知并到达工程现场的合理时间：</w:t>
      </w:r>
      <w:r>
        <w:rPr>
          <w:rFonts w:hint="eastAsia" w:asciiTheme="minorEastAsia" w:hAnsiTheme="minorEastAsia" w:eastAsiaTheme="minorEastAsia" w:cstheme="minorEastAsia"/>
          <w:szCs w:val="32"/>
          <w:u w:val="single"/>
        </w:rPr>
        <w:t xml:space="preserve">12小时内  </w:t>
      </w:r>
      <w:r>
        <w:rPr>
          <w:rFonts w:hint="eastAsia" w:asciiTheme="minorEastAsia" w:hAnsiTheme="minorEastAsia" w:eastAsiaTheme="minorEastAsia" w:cstheme="minorEastAsia"/>
          <w:szCs w:val="32"/>
        </w:rPr>
        <w:t xml:space="preserve">。</w:t>
      </w:r>
      <w:bookmarkEnd w:id="551"/>
      <w:r/>
      <w:bookmarkEnd w:id="552"/>
      <w:r/>
      <w:bookmarkEnd w:id="553"/>
      <w:r/>
      <w:bookmarkEnd w:id="554"/>
      <w:r/>
      <w:r/>
    </w:p>
    <w:p>
      <w:pPr>
        <w:pStyle w:val="795"/>
        <w:spacing w:before="0" w:after="0" w:line="332" w:lineRule="auto"/>
        <w:rPr>
          <w:rFonts w:asciiTheme="minorEastAsia" w:hAnsiTheme="minorEastAsia" w:eastAsiaTheme="minorEastAsia" w:cstheme="minorEastAsia"/>
          <w:bCs w:val="0"/>
          <w:szCs w:val="32"/>
        </w:rPr>
      </w:pPr>
      <w:r/>
      <w:bookmarkStart w:id="577" w:name="_Toc351203648"/>
      <w:r/>
      <w:bookmarkStart w:id="578" w:name="_Toc280868717"/>
      <w:r/>
      <w:bookmarkStart w:id="579" w:name="_Toc280868718"/>
      <w:r>
        <w:rPr>
          <w:rFonts w:hint="eastAsia" w:asciiTheme="minorEastAsia" w:hAnsiTheme="minorEastAsia" w:eastAsiaTheme="minorEastAsia" w:cstheme="minorEastAsia"/>
          <w:bCs w:val="0"/>
          <w:szCs w:val="32"/>
        </w:rPr>
        <w:t xml:space="preserve">16. 违约</w:t>
      </w:r>
      <w:bookmarkEnd w:id="577"/>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16.1 发包人违约</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16.1.1发包人违约的情形</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发包人违约的其他情形：</w:t>
      </w:r>
      <w:r>
        <w:rPr>
          <w:rFonts w:hint="eastAsia" w:asciiTheme="minorEastAsia" w:hAnsiTheme="minorEastAsia" w:eastAsiaTheme="minorEastAsia" w:cstheme="minorEastAsia"/>
          <w:szCs w:val="32"/>
          <w:u w:val="single"/>
        </w:rPr>
        <w:t xml:space="preserve">    无     </w:t>
      </w:r>
      <w:r>
        <w:rPr>
          <w:rFonts w:hint="eastAsia" w:asciiTheme="minorEastAsia" w:hAnsiTheme="minorEastAsia" w:eastAsiaTheme="minorEastAsia" w:cstheme="minorEastAsia"/>
          <w:szCs w:val="32"/>
        </w:rPr>
        <w:t xml:space="preserve">。</w:t>
      </w:r>
      <w:r/>
    </w:p>
    <w:p>
      <w:pPr>
        <w:ind w:left="1050" w:hanging="105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    16.1.2 发包人违约的责任</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发包人违约责任的承担方式和计算方法：</w:t>
      </w:r>
      <w:r/>
    </w:p>
    <w:p>
      <w:pPr>
        <w:ind w:firstLine="420"/>
        <w:jc w:val="left"/>
        <w:spacing w:line="332" w:lineRule="auto"/>
        <w:rPr>
          <w:rFonts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（1）因发包人原因未能在计划开工日期前7天内下达开工通知的违约责任：</w:t>
      </w:r>
      <w:r>
        <w:rPr>
          <w:rFonts w:hint="eastAsia" w:asciiTheme="minorEastAsia" w:hAnsiTheme="minorEastAsia" w:eastAsiaTheme="minorEastAsia" w:cstheme="minorEastAsia"/>
          <w:szCs w:val="32"/>
          <w:u w:val="single"/>
        </w:rPr>
        <w:t xml:space="preserve">工期顺延</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（2）因发包人原因未能按合同约定支付合同价款的违约责任：</w:t>
      </w:r>
      <w:r>
        <w:rPr>
          <w:rFonts w:hint="eastAsia" w:asciiTheme="minorEastAsia" w:hAnsiTheme="minorEastAsia" w:eastAsiaTheme="minorEastAsia" w:cstheme="minorEastAsia"/>
          <w:szCs w:val="32"/>
          <w:u w:val="single"/>
        </w:rPr>
        <w:t xml:space="preserve">/</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（3）发包人违反第10.1款〔变更的范围〕第（2）项约定，自行实施被取消的工作或转由他人实施的违约责任：</w:t>
      </w:r>
      <w:r>
        <w:rPr>
          <w:rFonts w:hint="eastAsia" w:asciiTheme="minorEastAsia" w:hAnsiTheme="minorEastAsia" w:eastAsiaTheme="minorEastAsia" w:cstheme="minorEastAsia"/>
          <w:szCs w:val="32"/>
          <w:u w:val="single"/>
        </w:rPr>
        <w:t xml:space="preserve">/</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（4）发包人提供的材料、工程设备的规格、数量或质量不符合合同约定，或因发包人原因导致交货日期延误或交货地点变更等情况的违约责任：</w:t>
      </w:r>
      <w:r>
        <w:rPr>
          <w:rFonts w:hint="eastAsia" w:asciiTheme="minorEastAsia" w:hAnsiTheme="minorEastAsia" w:eastAsiaTheme="minorEastAsia" w:cstheme="minorEastAsia"/>
          <w:szCs w:val="32"/>
          <w:u w:val="single"/>
        </w:rPr>
        <w:t xml:space="preserve">工期顺延</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（5）因发包人违反合同约定造成暂停施工的违约责任：</w:t>
      </w:r>
      <w:r>
        <w:rPr>
          <w:rFonts w:hint="eastAsia" w:asciiTheme="minorEastAsia" w:hAnsiTheme="minorEastAsia" w:eastAsiaTheme="minorEastAsia" w:cstheme="minorEastAsia"/>
          <w:szCs w:val="32"/>
          <w:u w:val="single"/>
        </w:rPr>
        <w:t xml:space="preserve">/</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（6）发包人无正当理由没有在约定期限内发出复工指示，导致承包人无法复工的违约责任：</w:t>
      </w:r>
      <w:r>
        <w:rPr>
          <w:rFonts w:hint="eastAsia" w:asciiTheme="minorEastAsia" w:hAnsiTheme="minorEastAsia" w:eastAsiaTheme="minorEastAsia" w:cstheme="minorEastAsia"/>
          <w:szCs w:val="32"/>
          <w:u w:val="single"/>
        </w:rPr>
        <w:t xml:space="preserve">工期顺延</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（7）其他：</w:t>
      </w:r>
      <w:r>
        <w:rPr>
          <w:rFonts w:hint="eastAsia" w:asciiTheme="minorEastAsia" w:hAnsiTheme="minorEastAsia" w:eastAsiaTheme="minorEastAsia" w:cstheme="minorEastAsia"/>
          <w:szCs w:val="32"/>
          <w:u w:val="single"/>
        </w:rPr>
        <w:t xml:space="preserve">/</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16.1.3 因发包人违约解除合同</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承包人按16.1.1项〔发包人违约的情形〕约定暂停施工满</w:t>
      </w:r>
      <w:r>
        <w:rPr>
          <w:rFonts w:hint="eastAsia" w:asciiTheme="minorEastAsia" w:hAnsiTheme="minorEastAsia" w:eastAsiaTheme="minorEastAsia" w:cstheme="minorEastAsia"/>
          <w:szCs w:val="32"/>
          <w:u w:val="single"/>
        </w:rPr>
        <w:t xml:space="preserve">/</w:t>
      </w:r>
      <w:r>
        <w:rPr>
          <w:rFonts w:hint="eastAsia" w:asciiTheme="minorEastAsia" w:hAnsiTheme="minorEastAsia" w:eastAsiaTheme="minorEastAsia" w:cstheme="minorEastAsia"/>
          <w:szCs w:val="32"/>
        </w:rPr>
        <w:t xml:space="preserve">天后发包人仍不纠正其违约行为并致使合同目的不能实现的，承包人有权解除合同。</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16.2 承包人违约</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16.2.1 承包人违约的情形</w:t>
      </w:r>
      <w:r/>
    </w:p>
    <w:p>
      <w:pPr>
        <w:ind w:firstLine="420"/>
        <w:jc w:val="left"/>
        <w:spacing w:line="332" w:lineRule="auto"/>
        <w:rPr>
          <w:rFonts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承包人违约的其他情形：</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16.2.2承包人违约的责任</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承包人违约责任的承担方式和计算方法：</w:t>
      </w:r>
      <w:r>
        <w:rPr>
          <w:rFonts w:hint="eastAsia" w:asciiTheme="minorEastAsia" w:hAnsiTheme="minorEastAsia" w:eastAsiaTheme="minorEastAsia" w:cstheme="minorEastAsia"/>
          <w:szCs w:val="32"/>
          <w:u w:val="single"/>
        </w:rPr>
        <w:t xml:space="preserve">承包人应承担因其违约行为而增加的费用和（或）延误的工期</w:t>
      </w:r>
      <w:r>
        <w:rPr>
          <w:rFonts w:hint="eastAsia" w:asciiTheme="minorEastAsia" w:hAnsiTheme="minorEastAsia" w:eastAsiaTheme="minorEastAsia" w:cstheme="minorEastAsia"/>
          <w:szCs w:val="32"/>
        </w:rPr>
        <w:t xml:space="preserve">。    </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16.2.3 因承包人违约解除合同</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关于承包人违约解除合同的特别约定：</w:t>
      </w:r>
      <w:r>
        <w:rPr>
          <w:rFonts w:hint="eastAsia" w:asciiTheme="minorEastAsia" w:hAnsiTheme="minorEastAsia" w:eastAsiaTheme="minorEastAsia" w:cstheme="minorEastAsia"/>
          <w:szCs w:val="32"/>
          <w:u w:val="single"/>
        </w:rPr>
        <w:t xml:space="preserve">  按通用条款执行 </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发包人继续使用承包人在施工现场的材料、设备、临时工程、承包人文件和由承包人或以其名义编制的其他文件的费用承担方式：</w:t>
      </w:r>
      <w:r>
        <w:rPr>
          <w:rFonts w:hint="eastAsia" w:asciiTheme="minorEastAsia" w:hAnsiTheme="minorEastAsia" w:eastAsiaTheme="minorEastAsia" w:cstheme="minorEastAsia"/>
          <w:szCs w:val="32"/>
          <w:u w:val="single"/>
        </w:rPr>
        <w:t xml:space="preserve">  双方约定   </w:t>
      </w:r>
      <w:r>
        <w:rPr>
          <w:rFonts w:hint="eastAsia" w:asciiTheme="minorEastAsia" w:hAnsiTheme="minorEastAsia" w:eastAsiaTheme="minorEastAsia" w:cstheme="minorEastAsia"/>
          <w:szCs w:val="32"/>
        </w:rPr>
        <w:t xml:space="preserve">。</w:t>
      </w:r>
      <w:r/>
    </w:p>
    <w:p>
      <w:pPr>
        <w:pStyle w:val="795"/>
        <w:spacing w:before="0" w:after="0" w:line="332" w:lineRule="auto"/>
        <w:rPr>
          <w:rFonts w:asciiTheme="minorEastAsia" w:hAnsiTheme="minorEastAsia" w:eastAsiaTheme="minorEastAsia" w:cstheme="minorEastAsia"/>
          <w:bCs w:val="0"/>
          <w:szCs w:val="32"/>
        </w:rPr>
      </w:pPr>
      <w:r/>
      <w:bookmarkStart w:id="580" w:name="_Toc351203649"/>
      <w:r>
        <w:rPr>
          <w:rFonts w:hint="eastAsia" w:asciiTheme="minorEastAsia" w:hAnsiTheme="minorEastAsia" w:eastAsiaTheme="minorEastAsia" w:cstheme="minorEastAsia"/>
          <w:bCs w:val="0"/>
          <w:szCs w:val="32"/>
        </w:rPr>
        <w:t xml:space="preserve">17. 不可抗力</w:t>
      </w:r>
      <w:bookmarkEnd w:id="578"/>
      <w:r/>
      <w:bookmarkEnd w:id="580"/>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17.1 不可抗力的确认</w:t>
      </w:r>
      <w:r/>
    </w:p>
    <w:p>
      <w:pPr>
        <w:ind w:firstLine="420"/>
        <w:jc w:val="left"/>
        <w:spacing w:line="332" w:lineRule="auto"/>
        <w:rPr>
          <w:rFonts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除通用合同条款约定的不可抗力事件之外，视为不可抗力的其他情形：</w:t>
      </w:r>
      <w:r>
        <w:rPr>
          <w:rFonts w:hint="eastAsia" w:asciiTheme="minorEastAsia" w:hAnsiTheme="minorEastAsia" w:eastAsiaTheme="minorEastAsia" w:cstheme="minorEastAsia"/>
          <w:szCs w:val="32"/>
          <w:u w:val="single"/>
        </w:rPr>
        <w:t xml:space="preserve">/</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17.4 因不可抗力解除合同</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合同解除后，发包人应在商定或确定发包人应支付款项后</w:t>
      </w:r>
      <w:r>
        <w:rPr>
          <w:rFonts w:hint="eastAsia" w:asciiTheme="minorEastAsia" w:hAnsiTheme="minorEastAsia" w:eastAsiaTheme="minorEastAsia" w:cstheme="minorEastAsia"/>
          <w:szCs w:val="32"/>
          <w:u w:val="single"/>
        </w:rPr>
        <w:t xml:space="preserve">28</w:t>
      </w:r>
      <w:r>
        <w:rPr>
          <w:rFonts w:hint="eastAsia" w:asciiTheme="minorEastAsia" w:hAnsiTheme="minorEastAsia" w:eastAsiaTheme="minorEastAsia" w:cstheme="minorEastAsia"/>
          <w:szCs w:val="32"/>
        </w:rPr>
        <w:t xml:space="preserve">天内完成款项的支付。</w:t>
      </w:r>
      <w:r/>
    </w:p>
    <w:p>
      <w:pPr>
        <w:pStyle w:val="795"/>
        <w:spacing w:before="0" w:after="0" w:line="332" w:lineRule="auto"/>
        <w:rPr>
          <w:rFonts w:asciiTheme="minorEastAsia" w:hAnsiTheme="minorEastAsia" w:eastAsiaTheme="minorEastAsia" w:cstheme="minorEastAsia"/>
          <w:bCs w:val="0"/>
          <w:szCs w:val="32"/>
        </w:rPr>
      </w:pPr>
      <w:r/>
      <w:bookmarkStart w:id="581" w:name="_Toc351203650"/>
      <w:r>
        <w:rPr>
          <w:rFonts w:hint="eastAsia" w:asciiTheme="minorEastAsia" w:hAnsiTheme="minorEastAsia" w:eastAsiaTheme="minorEastAsia" w:cstheme="minorEastAsia"/>
          <w:bCs w:val="0"/>
          <w:szCs w:val="32"/>
        </w:rPr>
        <w:t xml:space="preserve">18. 保险</w:t>
      </w:r>
      <w:bookmarkEnd w:id="579"/>
      <w:r/>
      <w:bookmarkEnd w:id="581"/>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18.1 工程保险</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关于工程保险的特别约定：</w:t>
      </w:r>
      <w:r>
        <w:rPr>
          <w:rFonts w:hint="eastAsia" w:asciiTheme="minorEastAsia" w:hAnsiTheme="minorEastAsia" w:eastAsiaTheme="minorEastAsia" w:cstheme="minorEastAsia"/>
          <w:szCs w:val="32"/>
          <w:u w:val="single"/>
        </w:rPr>
        <w:t xml:space="preserve">/</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18.2其他保险</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关于其他保险的约定：</w:t>
      </w:r>
      <w:r>
        <w:rPr>
          <w:rFonts w:hint="eastAsia" w:asciiTheme="minorEastAsia" w:hAnsiTheme="minorEastAsia" w:eastAsiaTheme="minorEastAsia" w:cstheme="minorEastAsia"/>
          <w:szCs w:val="32"/>
          <w:u w:val="single"/>
        </w:rPr>
        <w:t xml:space="preserve">/</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承包人是否应为其施工设备等办理财产保险：</w:t>
      </w:r>
      <w:r>
        <w:rPr>
          <w:rFonts w:hint="eastAsia" w:asciiTheme="minorEastAsia" w:hAnsiTheme="minorEastAsia" w:eastAsiaTheme="minorEastAsia" w:cstheme="minorEastAsia"/>
          <w:szCs w:val="32"/>
          <w:u w:val="single"/>
        </w:rPr>
        <w:t xml:space="preserve">/</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18.3 通知义务</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关于变更保险合同时的通知义务的约定：</w:t>
      </w:r>
      <w:r>
        <w:rPr>
          <w:rFonts w:hint="eastAsia" w:asciiTheme="minorEastAsia" w:hAnsiTheme="minorEastAsia" w:eastAsiaTheme="minorEastAsia" w:cstheme="minorEastAsia"/>
          <w:szCs w:val="32"/>
          <w:u w:val="single"/>
        </w:rPr>
        <w:t xml:space="preserve">无另有约定，按通用条款执行</w:t>
      </w:r>
      <w:r>
        <w:rPr>
          <w:rFonts w:hint="eastAsia" w:asciiTheme="minorEastAsia" w:hAnsiTheme="minorEastAsia" w:eastAsiaTheme="minorEastAsia" w:cstheme="minorEastAsia"/>
          <w:szCs w:val="32"/>
        </w:rPr>
        <w:t xml:space="preserve">。</w:t>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r/>
    </w:p>
    <w:p>
      <w:pPr>
        <w:pStyle w:val="795"/>
        <w:spacing w:before="0" w:after="0" w:line="332" w:lineRule="auto"/>
        <w:rPr>
          <w:rFonts w:asciiTheme="minorEastAsia" w:hAnsiTheme="minorEastAsia" w:eastAsiaTheme="minorEastAsia" w:cstheme="minorEastAsia"/>
          <w:bCs w:val="0"/>
          <w:szCs w:val="32"/>
        </w:rPr>
      </w:pPr>
      <w:r/>
      <w:bookmarkStart w:id="582" w:name="_Toc351203651"/>
      <w:r>
        <w:rPr>
          <w:rFonts w:hint="eastAsia" w:asciiTheme="minorEastAsia" w:hAnsiTheme="minorEastAsia" w:eastAsiaTheme="minorEastAsia" w:cstheme="minorEastAsia"/>
          <w:bCs w:val="0"/>
          <w:szCs w:val="32"/>
        </w:rPr>
        <w:t xml:space="preserve">20. 争议解决</w:t>
      </w:r>
      <w:bookmarkEnd w:id="567"/>
      <w:r/>
      <w:bookmarkEnd w:id="568"/>
      <w:r/>
      <w:bookmarkEnd w:id="582"/>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20.3 争</w:t>
      </w:r>
      <w:bookmarkEnd w:id="569"/>
      <w:r>
        <w:rPr>
          <w:rFonts w:hint="eastAsia" w:asciiTheme="minorEastAsia" w:hAnsiTheme="minorEastAsia" w:eastAsiaTheme="minorEastAsia" w:cstheme="minorEastAsia"/>
          <w:szCs w:val="32"/>
        </w:rPr>
        <w:t xml:space="preserve">议评审</w:t>
      </w:r>
      <w:r/>
    </w:p>
    <w:p>
      <w:pPr>
        <w:ind w:left="149" w:firstLine="315"/>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合同当事人是否同意将工程争议提交争议评审小组决定：</w:t>
      </w:r>
      <w:r>
        <w:rPr>
          <w:rFonts w:hint="eastAsia" w:asciiTheme="minorEastAsia" w:hAnsiTheme="minorEastAsia" w:eastAsiaTheme="minorEastAsia" w:cstheme="minorEastAsia"/>
          <w:szCs w:val="32"/>
          <w:u w:val="single"/>
        </w:rPr>
        <w:t xml:space="preserve"> 否 </w:t>
      </w:r>
      <w:r>
        <w:rPr>
          <w:rFonts w:hint="eastAsia" w:asciiTheme="minorEastAsia" w:hAnsiTheme="minorEastAsia" w:eastAsiaTheme="minorEastAsia" w:cstheme="minorEastAsia"/>
          <w:szCs w:val="32"/>
        </w:rPr>
        <w:t xml:space="preserve">。  </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20.3.1争议评审小组的确定</w:t>
      </w:r>
      <w:r/>
    </w:p>
    <w:p>
      <w:pPr>
        <w:ind w:firstLine="420"/>
        <w:jc w:val="left"/>
        <w:spacing w:line="332" w:lineRule="auto"/>
        <w:rPr>
          <w:rFonts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争议评审小组成员的确定：</w:t>
      </w:r>
      <w:r>
        <w:rPr>
          <w:rFonts w:hint="eastAsia" w:asciiTheme="minorEastAsia" w:hAnsiTheme="minorEastAsia" w:eastAsiaTheme="minorEastAsia" w:cstheme="minorEastAsia"/>
          <w:szCs w:val="32"/>
          <w:u w:val="single"/>
        </w:rPr>
        <w:t xml:space="preserve">/</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选定争议评审员的期限：</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争议评审小组成员的报酬承担方式：</w:t>
      </w:r>
      <w:r>
        <w:rPr>
          <w:rFonts w:hint="eastAsia" w:asciiTheme="minorEastAsia" w:hAnsiTheme="minorEastAsia" w:eastAsiaTheme="minorEastAsia" w:cstheme="minorEastAsia"/>
          <w:szCs w:val="32"/>
          <w:u w:val="single"/>
        </w:rPr>
        <w:t xml:space="preserve">/</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其他事项的约定：</w:t>
      </w:r>
      <w:r>
        <w:rPr>
          <w:rFonts w:hint="eastAsia" w:asciiTheme="minorEastAsia" w:hAnsiTheme="minorEastAsia" w:eastAsiaTheme="minorEastAsia" w:cstheme="minorEastAsia"/>
          <w:szCs w:val="32"/>
          <w:u w:val="single"/>
        </w:rPr>
        <w:t xml:space="preserve">/</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20.3.2 争议评审小组的决定</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合同当事人关于本项的约定：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20.4 仲裁或诉讼</w:t>
      </w:r>
      <w:bookmarkEnd w:id="570"/>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因合同及合同有关事项发生的争议，按下列第</w:t>
      </w:r>
      <w:r>
        <w:rPr>
          <w:rFonts w:hint="eastAsia" w:asciiTheme="minorEastAsia" w:hAnsiTheme="minorEastAsia" w:eastAsiaTheme="minorEastAsia" w:cstheme="minorEastAsia"/>
          <w:szCs w:val="32"/>
          <w:u w:val="single"/>
        </w:rPr>
        <w:t xml:space="preserve">1</w:t>
      </w:r>
      <w:r>
        <w:rPr>
          <w:rFonts w:hint="eastAsia" w:asciiTheme="minorEastAsia" w:hAnsiTheme="minorEastAsia" w:eastAsiaTheme="minorEastAsia" w:cstheme="minorEastAsia"/>
          <w:szCs w:val="32"/>
        </w:rPr>
        <w:t xml:space="preserve">种方式解决：</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（1）向</w:t>
      </w:r>
      <w:r>
        <w:rPr>
          <w:rFonts w:hint="eastAsia" w:asciiTheme="minorEastAsia" w:hAnsiTheme="minorEastAsia" w:eastAsiaTheme="minorEastAsia" w:cstheme="minorEastAsia"/>
          <w:szCs w:val="32"/>
          <w:u w:val="single"/>
        </w:rPr>
        <w:t xml:space="preserve">   泰州市  </w:t>
      </w:r>
      <w:r>
        <w:rPr>
          <w:rFonts w:hint="eastAsia" w:asciiTheme="minorEastAsia" w:hAnsiTheme="minorEastAsia" w:eastAsiaTheme="minorEastAsia" w:cstheme="minorEastAsia"/>
          <w:szCs w:val="32"/>
        </w:rPr>
        <w:t xml:space="preserve">仲裁委员会申请仲裁；</w:t>
      </w:r>
      <w:r/>
    </w:p>
    <w:p>
      <w:pPr>
        <w:ind w:firstLine="420"/>
        <w:spacing w:line="332"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（2）向</w:t>
      </w:r>
      <w:r>
        <w:rPr>
          <w:rFonts w:hint="eastAsia" w:asciiTheme="minorEastAsia" w:hAnsiTheme="minorEastAsia" w:eastAsiaTheme="minorEastAsia" w:cstheme="minorEastAsia"/>
          <w:u w:val="single"/>
        </w:rPr>
        <w:t xml:space="preserve">  有管辖权的  </w:t>
      </w:r>
      <w:r>
        <w:rPr>
          <w:rFonts w:hint="eastAsia" w:asciiTheme="minorEastAsia" w:hAnsiTheme="minorEastAsia" w:eastAsiaTheme="minorEastAsia" w:cstheme="minorEastAsia"/>
        </w:rPr>
        <w:t xml:space="preserve">人民法院起诉。</w:t>
      </w:r>
      <w:bookmarkEnd w:id="571"/>
      <w:r/>
      <w:bookmarkEnd w:id="572"/>
      <w:r/>
      <w:bookmarkEnd w:id="573"/>
      <w:r/>
      <w:bookmarkEnd w:id="574"/>
      <w:r/>
      <w:bookmarkEnd w:id="575"/>
      <w:r/>
      <w:bookmarkEnd w:id="576"/>
      <w:r/>
      <w:r/>
    </w:p>
    <w:p>
      <w:pPr>
        <w:pStyle w:val="795"/>
        <w:spacing w:before="0" w:after="0" w:line="332" w:lineRule="auto"/>
        <w:rPr>
          <w:rFonts w:asciiTheme="minorEastAsia" w:hAnsiTheme="minorEastAsia" w:eastAsiaTheme="minorEastAsia" w:cstheme="minorEastAsia"/>
          <w:bCs w:val="0"/>
          <w:szCs w:val="32"/>
        </w:rPr>
      </w:pPr>
      <w:r>
        <w:rPr>
          <w:rFonts w:hint="eastAsia" w:asciiTheme="minorEastAsia" w:hAnsiTheme="minorEastAsia" w:eastAsiaTheme="minorEastAsia" w:cstheme="minorEastAsia"/>
          <w:bCs w:val="0"/>
          <w:szCs w:val="32"/>
        </w:rPr>
        <w:t xml:space="preserve">21. 其他</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21.1围挡设置 </w:t>
      </w:r>
      <w:r/>
    </w:p>
    <w:p>
      <w:pPr>
        <w:ind w:firstLine="420"/>
        <w:spacing w:line="332"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32"/>
        </w:rPr>
        <w:t xml:space="preserve"> 承包人</w:t>
      </w:r>
      <w:r>
        <w:rPr>
          <w:rFonts w:hint="eastAsia" w:asciiTheme="minorEastAsia" w:hAnsiTheme="minorEastAsia" w:eastAsiaTheme="minorEastAsia" w:cstheme="minorEastAsia"/>
          <w:szCs w:val="21"/>
        </w:rPr>
        <w:t xml:space="preserve">将严格按照《泰州市建设工程施工现场围挡示范图集（2020年第一版）》以及本项目的工程量清单设置围挡。</w:t>
      </w:r>
      <w:r/>
    </w:p>
    <w:p>
      <w:pPr>
        <w:pStyle w:val="773"/>
        <w:rPr>
          <w:rFonts w:asciiTheme="minorEastAsia" w:hAnsiTheme="minorEastAsia" w:eastAsiaTheme="minorEastAsia" w:cstheme="minorEastAsia"/>
        </w:rPr>
      </w:pPr>
      <w:r>
        <w:rPr>
          <w:rFonts w:asciiTheme="minorEastAsia" w:hAnsiTheme="minorEastAsia" w:eastAsiaTheme="minorEastAsia" w:cstheme="minorEastAsia"/>
        </w:rPr>
      </w:r>
      <w:r/>
    </w:p>
    <w:p>
      <w:pPr>
        <w:jc w:val="left"/>
        <w:tabs>
          <w:tab w:val="left" w:pos="685" w:leader="none"/>
        </w:tabs>
        <w:rPr>
          <w:rFonts w:asciiTheme="minorEastAsia" w:hAnsiTheme="minorEastAsia" w:eastAsiaTheme="minorEastAsia" w:cstheme="minorEastAsia"/>
          <w:sz w:val="20"/>
          <w:szCs w:val="20"/>
        </w:rPr>
      </w:pPr>
      <w:r/>
      <w:bookmarkStart w:id="583" w:name="_Toc179632787"/>
      <w:r/>
      <w:bookmarkStart w:id="584" w:name="_Toc152042551"/>
      <w:r/>
      <w:bookmarkStart w:id="585" w:name="_Toc152045769"/>
      <w:r>
        <w:rPr>
          <w:rStyle w:val="954"/>
          <w:rFonts w:hint="eastAsia" w:asciiTheme="minorEastAsia" w:hAnsiTheme="minorEastAsia" w:eastAsiaTheme="minorEastAsia" w:cstheme="minorEastAsia"/>
        </w:rPr>
        <w:t xml:space="preserve">附件：履约担保格式</w:t>
      </w:r>
      <w:bookmarkEnd w:id="583"/>
      <w:r/>
      <w:bookmarkEnd w:id="584"/>
      <w:r/>
      <w:bookmarkEnd w:id="585"/>
      <w:r/>
      <w:r/>
    </w:p>
    <w:p>
      <w:pPr>
        <w:ind w:firstLine="420"/>
        <w:jc w:val="left"/>
        <w:tabs>
          <w:tab w:val="left" w:pos="685" w:leader="none"/>
        </w:tabs>
        <w:rPr>
          <w:rFonts w:asciiTheme="minorEastAsia" w:hAnsiTheme="minorEastAsia" w:eastAsiaTheme="minorEastAsia" w:cstheme="minorEastAsia"/>
        </w:rPr>
        <w:sectPr>
          <w:footerReference w:type="default" r:id="rId10"/>
          <w:footnotePr/>
          <w:endnotePr/>
          <w:type w:val="nextPage"/>
          <w:pgSz w:w="11907" w:h="16840" w:orient="portrait"/>
          <w:pgMar w:top="1191" w:right="1191" w:bottom="1191" w:left="1191" w:header="851" w:footer="851" w:gutter="0"/>
          <w:pgNumType w:start="1"/>
          <w:cols w:num="1" w:sep="0" w:space="720" w:equalWidth="1"/>
          <w:docGrid w:linePitch="360"/>
        </w:sectPr>
      </w:pPr>
      <w:r>
        <w:rPr>
          <w:rFonts w:hint="eastAsia" w:asciiTheme="minorEastAsia" w:hAnsiTheme="minorEastAsia" w:eastAsiaTheme="minorEastAsia" w:cstheme="minorEastAsia"/>
          <w:color w:val="000000"/>
          <w:szCs w:val="21"/>
        </w:rPr>
        <w:t xml:space="preserve">按照《住房和城乡建设部关于印发工程保函示范文本的通知》（建市〔2021〕11号）中明确的格式递交</w:t>
      </w:r>
      <w:r/>
    </w:p>
    <w:p>
      <w:pPr>
        <w:pStyle w:val="738"/>
        <w:ind w:firstLine="0"/>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pStyle w:val="792"/>
        <w:rPr>
          <w:rFonts w:asciiTheme="minorEastAsia" w:hAnsiTheme="minorEastAsia" w:eastAsiaTheme="minorEastAsia" w:cstheme="minorEastAsia"/>
        </w:rPr>
      </w:pPr>
      <w:r/>
      <w:bookmarkStart w:id="586" w:name="_Toc30868"/>
      <w:r/>
      <w:bookmarkStart w:id="587" w:name="_Toc30120"/>
      <w:r>
        <w:rPr>
          <w:rFonts w:hint="eastAsia" w:asciiTheme="minorEastAsia" w:hAnsiTheme="minorEastAsia" w:eastAsiaTheme="minorEastAsia" w:cstheme="minorEastAsia"/>
        </w:rPr>
        <w:t xml:space="preserve">第十一章  响应文件格式</w:t>
      </w:r>
      <w:bookmarkEnd w:id="586"/>
      <w:r/>
      <w:bookmarkEnd w:id="587"/>
      <w:r/>
      <w:r/>
    </w:p>
    <w:p>
      <w:pPr>
        <w:rPr>
          <w:rFonts w:asciiTheme="minorEastAsia" w:hAnsiTheme="minorEastAsia" w:eastAsiaTheme="minorEastAsia" w:cstheme="minorEastAsia"/>
          <w:b/>
          <w:bCs/>
          <w:color w:val="000000"/>
          <w:sz w:val="28"/>
          <w:szCs w:val="28"/>
        </w:rPr>
      </w:pPr>
      <w:r>
        <w:rPr>
          <w:rFonts w:asciiTheme="minorEastAsia" w:hAnsiTheme="minorEastAsia" w:eastAsiaTheme="minorEastAsia" w:cstheme="minorEastAsia"/>
          <w:b/>
          <w:bCs/>
          <w:color w:val="000000"/>
          <w:sz w:val="28"/>
          <w:szCs w:val="28"/>
        </w:rPr>
      </w:r>
      <w:r/>
    </w:p>
    <w:p>
      <w:pPr>
        <w:rPr>
          <w:rFonts w:asciiTheme="minorEastAsia" w:hAnsiTheme="minorEastAsia" w:eastAsiaTheme="minorEastAsia" w:cstheme="minorEastAsia"/>
          <w:b/>
          <w:bCs/>
          <w:color w:val="000000"/>
          <w:sz w:val="52"/>
          <w:szCs w:val="52"/>
        </w:rPr>
      </w:pPr>
      <w:r>
        <w:rPr>
          <w:rFonts w:hint="eastAsia" w:asciiTheme="minorEastAsia" w:hAnsiTheme="minorEastAsia" w:eastAsiaTheme="minorEastAsia" w:cstheme="minorEastAsia"/>
          <w:b/>
          <w:sz w:val="24"/>
        </w:rPr>
        <w:t xml:space="preserve">（正本/副本）</w:t>
      </w:r>
      <w:r/>
    </w:p>
    <w:p>
      <w:pPr>
        <w:rPr>
          <w:rFonts w:asciiTheme="minorEastAsia" w:hAnsiTheme="minorEastAsia" w:eastAsiaTheme="minorEastAsia" w:cstheme="minorEastAsia"/>
          <w:b/>
          <w:bCs/>
          <w:color w:val="000000"/>
          <w:sz w:val="52"/>
          <w:szCs w:val="52"/>
        </w:rPr>
      </w:pPr>
      <w:r>
        <w:rPr>
          <w:rFonts w:asciiTheme="minorEastAsia" w:hAnsiTheme="minorEastAsia" w:eastAsiaTheme="minorEastAsia" w:cstheme="minorEastAsia"/>
          <w:b/>
          <w:bCs/>
          <w:color w:val="000000"/>
          <w:sz w:val="52"/>
          <w:szCs w:val="52"/>
        </w:rPr>
      </w:r>
      <w:r/>
    </w:p>
    <w:p>
      <w:pPr>
        <w:rPr>
          <w:rFonts w:asciiTheme="minorEastAsia" w:hAnsiTheme="minorEastAsia" w:eastAsiaTheme="minorEastAsia" w:cstheme="minorEastAsia"/>
          <w:b/>
          <w:bCs/>
          <w:color w:val="000000"/>
          <w:sz w:val="52"/>
          <w:szCs w:val="52"/>
        </w:rPr>
      </w:pPr>
      <w:r>
        <w:rPr>
          <w:rFonts w:asciiTheme="minorEastAsia" w:hAnsiTheme="minorEastAsia" w:eastAsiaTheme="minorEastAsia" w:cstheme="minorEastAsia"/>
          <w:b/>
          <w:bCs/>
          <w:color w:val="000000"/>
          <w:sz w:val="52"/>
          <w:szCs w:val="52"/>
        </w:rPr>
      </w:r>
      <w:r/>
    </w:p>
    <w:p>
      <w:pPr>
        <w:jc w:val="center"/>
        <w:spacing w:line="720" w:lineRule="exact"/>
        <w:rPr>
          <w:rFonts w:asciiTheme="minorEastAsia" w:hAnsiTheme="minorEastAsia" w:eastAsiaTheme="minorEastAsia" w:cstheme="minorEastAsia"/>
          <w:b/>
          <w:bCs/>
          <w:color w:val="000000"/>
          <w:sz w:val="52"/>
          <w:szCs w:val="52"/>
        </w:rPr>
      </w:pPr>
      <w:r>
        <w:rPr>
          <w:rFonts w:hint="eastAsia" w:asciiTheme="minorEastAsia" w:hAnsiTheme="minorEastAsia" w:eastAsiaTheme="minorEastAsia" w:cstheme="minorEastAsia"/>
          <w:b/>
          <w:bCs/>
          <w:color w:val="000000"/>
          <w:sz w:val="52"/>
          <w:szCs w:val="52"/>
        </w:rPr>
        <w:t xml:space="preserve">竞争性磋商响应文件</w:t>
      </w:r>
      <w:r/>
    </w:p>
    <w:p>
      <w:pPr>
        <w:rPr>
          <w:rFonts w:asciiTheme="minorEastAsia" w:hAnsiTheme="minorEastAsia" w:eastAsiaTheme="minorEastAsia" w:cstheme="minorEastAsia"/>
          <w:bCs/>
          <w:color w:val="000000"/>
          <w:sz w:val="72"/>
        </w:rPr>
      </w:pPr>
      <w:r>
        <w:rPr>
          <w:rFonts w:asciiTheme="minorEastAsia" w:hAnsiTheme="minorEastAsia" w:eastAsiaTheme="minorEastAsia" w:cstheme="minorEastAsia"/>
          <w:bCs/>
          <w:color w:val="000000"/>
          <w:sz w:val="72"/>
        </w:rPr>
      </w:r>
      <w:r/>
    </w:p>
    <w:p>
      <w:pPr>
        <w:rPr>
          <w:rFonts w:asciiTheme="minorEastAsia" w:hAnsiTheme="minorEastAsia" w:eastAsiaTheme="minorEastAsia" w:cstheme="minorEastAsia"/>
          <w:bCs/>
          <w:color w:val="000000"/>
          <w:sz w:val="72"/>
        </w:rPr>
      </w:pPr>
      <w:r>
        <w:rPr>
          <w:rFonts w:asciiTheme="minorEastAsia" w:hAnsiTheme="minorEastAsia" w:eastAsiaTheme="minorEastAsia" w:cstheme="minorEastAsia"/>
          <w:bCs/>
          <w:color w:val="000000"/>
          <w:sz w:val="72"/>
        </w:rPr>
      </w:r>
      <w:r/>
    </w:p>
    <w:p>
      <w:pPr>
        <w:rPr>
          <w:rFonts w:asciiTheme="minorEastAsia" w:hAnsiTheme="minorEastAsia" w:eastAsiaTheme="minorEastAsia" w:cstheme="minorEastAsia"/>
          <w:bCs/>
          <w:color w:val="000000"/>
          <w:sz w:val="72"/>
        </w:rPr>
      </w:pPr>
      <w:r>
        <w:rPr>
          <w:rFonts w:asciiTheme="minorEastAsia" w:hAnsiTheme="minorEastAsia" w:eastAsiaTheme="minorEastAsia" w:cstheme="minorEastAsia"/>
          <w:bCs/>
          <w:color w:val="000000"/>
          <w:sz w:val="72"/>
        </w:rPr>
      </w:r>
      <w:r/>
    </w:p>
    <w:p>
      <w:pPr>
        <w:ind w:firstLine="472"/>
        <w:rPr>
          <w:rFonts w:asciiTheme="minorEastAsia" w:hAnsiTheme="minorEastAsia" w:eastAsiaTheme="minorEastAsia" w:cstheme="minorEastAsia"/>
          <w:b/>
          <w:bCs/>
          <w:color w:val="ff0000"/>
          <w:sz w:val="24"/>
        </w:rPr>
      </w:pPr>
      <w:r>
        <w:rPr>
          <w:rFonts w:hint="eastAsia" w:asciiTheme="minorEastAsia" w:hAnsiTheme="minorEastAsia" w:eastAsiaTheme="minorEastAsia" w:cstheme="minorEastAsia"/>
          <w:b/>
          <w:bCs/>
          <w:sz w:val="24"/>
        </w:rPr>
        <w:t xml:space="preserve">项目编号：</w:t>
      </w:r>
      <w:r/>
    </w:p>
    <w:p>
      <w:pPr>
        <w:ind w:firstLine="482"/>
        <w:spacing w:line="560" w:lineRule="exact"/>
        <w:rPr>
          <w:rFonts w:asciiTheme="minorEastAsia" w:hAnsiTheme="minorEastAsia" w:eastAsiaTheme="minorEastAsia" w:cstheme="minorEastAsia"/>
          <w:bCs/>
          <w:color w:val="ff0000"/>
          <w:sz w:val="24"/>
        </w:rPr>
      </w:pPr>
      <w:r>
        <w:rPr>
          <w:rFonts w:hint="eastAsia" w:asciiTheme="minorEastAsia" w:hAnsiTheme="minorEastAsia" w:eastAsiaTheme="minorEastAsia" w:cstheme="minorEastAsia"/>
          <w:b/>
          <w:bCs/>
          <w:sz w:val="24"/>
        </w:rPr>
        <w:t xml:space="preserve">项目名称：</w:t>
      </w:r>
      <w:r/>
    </w:p>
    <w:p>
      <w:pPr>
        <w:ind w:firstLine="482"/>
        <w:spacing w:line="560" w:lineRule="exact"/>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分 包 号： </w:t>
      </w:r>
      <w:r/>
    </w:p>
    <w:p>
      <w:pPr>
        <w:ind w:firstLine="482"/>
        <w:spacing w:line="560" w:lineRule="exact"/>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p>
      <w:pPr>
        <w:ind w:firstLine="482"/>
        <w:spacing w:line="560" w:lineRule="exact"/>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p>
      <w:pPr>
        <w:ind w:firstLine="482"/>
        <w:spacing w:line="560" w:lineRule="exact"/>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p>
      <w:pPr>
        <w:spacing w:line="520" w:lineRule="exact"/>
        <w:rPr>
          <w:rFonts w:asciiTheme="minorEastAsia" w:hAnsiTheme="minorEastAsia" w:eastAsiaTheme="minorEastAsia" w:cstheme="minorEastAsia"/>
          <w:b/>
          <w:sz w:val="24"/>
          <w:u w:val="single"/>
        </w:rPr>
      </w:pPr>
      <w:r>
        <w:rPr>
          <w:rFonts w:hint="eastAsia" w:asciiTheme="minorEastAsia" w:hAnsiTheme="minorEastAsia" w:eastAsiaTheme="minorEastAsia" w:cstheme="minorEastAsia"/>
          <w:b/>
          <w:sz w:val="24"/>
        </w:rPr>
        <w:t xml:space="preserve">响应单位名称： （盖单位章）</w:t>
      </w:r>
      <w:r/>
    </w:p>
    <w:p>
      <w:pPr>
        <w:spacing w:line="520" w:lineRule="exact"/>
        <w:rPr>
          <w:rFonts w:asciiTheme="minorEastAsia" w:hAnsiTheme="minorEastAsia" w:eastAsiaTheme="minorEastAsia" w:cstheme="minorEastAsia"/>
          <w:b/>
          <w:sz w:val="24"/>
          <w:u w:val="single"/>
        </w:rPr>
      </w:pPr>
      <w:r>
        <w:rPr>
          <w:rFonts w:hint="eastAsia" w:asciiTheme="minorEastAsia" w:hAnsiTheme="minorEastAsia" w:eastAsiaTheme="minorEastAsia" w:cstheme="minorEastAsia"/>
          <w:b/>
          <w:sz w:val="24"/>
        </w:rPr>
        <w:t xml:space="preserve">日      期： </w:t>
      </w:r>
      <w:r/>
    </w:p>
    <w:p>
      <w:pPr>
        <w:rPr>
          <w:rFonts w:asciiTheme="minorEastAsia" w:hAnsiTheme="minorEastAsia" w:eastAsiaTheme="minorEastAsia" w:cstheme="minorEastAsia"/>
          <w:b/>
          <w:bCs/>
          <w:sz w:val="44"/>
          <w:szCs w:val="44"/>
        </w:rPr>
      </w:pPr>
      <w:r>
        <w:rPr>
          <w:rFonts w:asciiTheme="minorEastAsia" w:hAnsiTheme="minorEastAsia" w:eastAsiaTheme="minorEastAsia" w:cstheme="minorEastAsia"/>
          <w:b/>
          <w:bCs/>
          <w:sz w:val="44"/>
          <w:szCs w:val="44"/>
        </w:rPr>
      </w:r>
      <w:r/>
    </w:p>
    <w:p>
      <w:pPr>
        <w:rPr>
          <w:rFonts w:asciiTheme="minorEastAsia" w:hAnsiTheme="minorEastAsia" w:eastAsiaTheme="minorEastAsia" w:cstheme="minorEastAsia"/>
          <w:bCs/>
          <w:color w:val="000000"/>
          <w:sz w:val="36"/>
          <w:szCs w:val="36"/>
        </w:rPr>
      </w:pPr>
      <w:r>
        <w:rPr>
          <w:rFonts w:asciiTheme="minorEastAsia" w:hAnsiTheme="minorEastAsia" w:eastAsiaTheme="minorEastAsia" w:cstheme="minorEastAsia"/>
          <w:bCs/>
          <w:color w:val="000000"/>
          <w:sz w:val="36"/>
          <w:szCs w:val="36"/>
        </w:rPr>
      </w:r>
      <w:r/>
    </w:p>
    <w:p>
      <w:pPr>
        <w:spacing w:line="500" w:lineRule="exact"/>
        <w:rPr>
          <w:rFonts w:asciiTheme="minorEastAsia" w:hAnsiTheme="minorEastAsia" w:eastAsiaTheme="minorEastAsia" w:cstheme="minorEastAsia"/>
          <w:b/>
          <w:spacing w:val="20"/>
          <w:sz w:val="24"/>
        </w:rPr>
      </w:pPr>
      <w:r>
        <w:rPr>
          <w:rFonts w:asciiTheme="minorEastAsia" w:hAnsiTheme="minorEastAsia" w:eastAsiaTheme="minorEastAsia" w:cstheme="minorEastAsia"/>
          <w:b/>
          <w:spacing w:val="20"/>
          <w:sz w:val="24"/>
        </w:rPr>
      </w:r>
      <w:r/>
    </w:p>
    <w:p>
      <w:pPr>
        <w:spacing w:line="520" w:lineRule="exact"/>
        <w:rPr>
          <w:rFonts w:asciiTheme="minorEastAsia" w:hAnsiTheme="minorEastAsia" w:eastAsiaTheme="minorEastAsia" w:cstheme="minorEastAsia"/>
          <w:b/>
        </w:rPr>
      </w:pPr>
      <w:r>
        <w:rPr>
          <w:rFonts w:asciiTheme="minorEastAsia" w:hAnsiTheme="minorEastAsia" w:eastAsiaTheme="minorEastAsia" w:cstheme="minorEastAsia"/>
          <w:b/>
        </w:rPr>
      </w:r>
      <w:r/>
    </w:p>
    <w:p>
      <w:pPr>
        <w:spacing w:line="520" w:lineRule="exact"/>
        <w:rPr>
          <w:rFonts w:asciiTheme="minorEastAsia" w:hAnsiTheme="minorEastAsia" w:eastAsiaTheme="minorEastAsia" w:cstheme="minorEastAsia"/>
          <w:b/>
          <w:spacing w:val="20"/>
          <w:szCs w:val="21"/>
        </w:rPr>
      </w:pPr>
      <w:r>
        <w:rPr>
          <w:rFonts w:asciiTheme="minorEastAsia" w:hAnsiTheme="minorEastAsia" w:eastAsiaTheme="minorEastAsia" w:cstheme="minorEastAsia"/>
          <w:b/>
          <w:spacing w:val="20"/>
          <w:szCs w:val="21"/>
        </w:rPr>
      </w:r>
      <w:r/>
    </w:p>
    <w:p>
      <w:pPr>
        <w:pStyle w:val="1029"/>
        <w:spacing w:before="240" w:after="120" w:line="800" w:lineRule="exact"/>
        <w:rPr>
          <w:rFonts w:asciiTheme="minorEastAsia" w:hAnsiTheme="minorEastAsia" w:eastAsiaTheme="minorEastAsia" w:cstheme="minorEastAsia"/>
          <w:b/>
          <w:bCs/>
          <w:sz w:val="24"/>
          <w:szCs w:val="21"/>
        </w:rPr>
      </w:pPr>
      <w:r>
        <w:rPr>
          <w:rFonts w:hint="eastAsia" w:asciiTheme="minorEastAsia" w:hAnsiTheme="minorEastAsia" w:eastAsiaTheme="minorEastAsia" w:cstheme="minorEastAsia"/>
          <w:b/>
          <w:bCs/>
          <w:sz w:val="32"/>
        </w:rPr>
        <w:br w:type="page" w:clear="all"/>
      </w:r>
      <w:r>
        <w:rPr>
          <w:rFonts w:hint="eastAsia" w:asciiTheme="minorEastAsia" w:hAnsiTheme="minorEastAsia" w:eastAsiaTheme="minorEastAsia" w:cstheme="minorEastAsia"/>
          <w:b/>
          <w:bCs/>
          <w:sz w:val="24"/>
          <w:szCs w:val="21"/>
        </w:rPr>
        <w:t xml:space="preserve">附件一</w:t>
      </w:r>
      <w:r/>
    </w:p>
    <w:p>
      <w:pPr>
        <w:pStyle w:val="792"/>
        <w:rPr>
          <w:rFonts w:asciiTheme="minorEastAsia" w:hAnsiTheme="minorEastAsia" w:eastAsiaTheme="minorEastAsia" w:cstheme="minorEastAsia"/>
          <w:bCs/>
          <w:sz w:val="32"/>
          <w:szCs w:val="18"/>
        </w:rPr>
      </w:pPr>
      <w:r>
        <w:rPr>
          <w:rFonts w:hint="eastAsia" w:asciiTheme="minorEastAsia" w:hAnsiTheme="minorEastAsia" w:eastAsiaTheme="minorEastAsia" w:cstheme="minorEastAsia"/>
          <w:sz w:val="32"/>
          <w:szCs w:val="18"/>
        </w:rPr>
        <w:t xml:space="preserve">磋商报价表</w:t>
      </w:r>
      <w:r/>
    </w:p>
    <w:p>
      <w:pPr>
        <w:pStyle w:val="1027"/>
        <w:ind w:firstLine="48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本次为首次报价                          货币单位：人民币元</w:t>
      </w:r>
      <w:r/>
    </w:p>
    <w:p>
      <w:pPr>
        <w:pStyle w:val="1027"/>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项目编号：        </w:t>
      </w:r>
      <w:r/>
    </w:p>
    <w:tbl>
      <w:tblPr>
        <w:tblStyle w:val="733"/>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293"/>
        <w:gridCol w:w="2509"/>
        <w:gridCol w:w="3056"/>
      </w:tblGrid>
      <w:tr>
        <w:trPr>
          <w:cantSplit/>
          <w:jc w:val="center"/>
          <w:trHeight w:val="1182"/>
        </w:trPr>
        <w:tc>
          <w:tcPr>
            <w:tcBorders>
              <w:top w:val="single" w:color="000000" w:sz="6" w:space="0"/>
              <w:left w:val="single" w:color="000000" w:sz="6" w:space="0"/>
              <w:bottom w:val="single" w:color="000000" w:sz="2" w:space="0"/>
              <w:right w:val="single" w:color="000000" w:sz="2" w:space="0"/>
            </w:tcBorders>
            <w:tcW w:w="3293" w:type="dxa"/>
            <w:vAlign w:val="center"/>
            <w:textDirection w:val="lrTb"/>
            <w:noWrap/>
          </w:tcPr>
          <w:p>
            <w:pPr>
              <w:pStyle w:val="1029"/>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项目名称</w:t>
            </w:r>
            <w:r/>
          </w:p>
        </w:tc>
        <w:tc>
          <w:tcPr>
            <w:tcBorders>
              <w:top w:val="single" w:color="000000" w:sz="6" w:space="0"/>
              <w:left w:val="single" w:color="000000" w:sz="2" w:space="0"/>
              <w:bottom w:val="single" w:color="000000" w:sz="2" w:space="0"/>
              <w:right w:val="single" w:color="000000" w:sz="2" w:space="0"/>
            </w:tcBorders>
            <w:tcW w:w="2509" w:type="dxa"/>
            <w:vAlign w:val="center"/>
            <w:textDirection w:val="lrTb"/>
            <w:noWrap/>
          </w:tcPr>
          <w:p>
            <w:pPr>
              <w:pStyle w:val="1029"/>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项目内容</w:t>
            </w:r>
            <w:r/>
          </w:p>
        </w:tc>
        <w:tc>
          <w:tcPr>
            <w:tcBorders>
              <w:top w:val="single" w:color="000000" w:sz="6" w:space="0"/>
              <w:left w:val="single" w:color="000000" w:sz="2" w:space="0"/>
              <w:bottom w:val="single" w:color="000000" w:sz="2" w:space="0"/>
              <w:right w:val="single" w:color="000000" w:sz="2" w:space="0"/>
            </w:tcBorders>
            <w:tcW w:w="3056" w:type="dxa"/>
            <w:vAlign w:val="center"/>
            <w:textDirection w:val="lrTb"/>
            <w:noWrap/>
          </w:tcPr>
          <w:p>
            <w:pPr>
              <w:pStyle w:val="1029"/>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总价（小写）</w:t>
            </w:r>
            <w:r/>
          </w:p>
        </w:tc>
      </w:tr>
      <w:tr>
        <w:trPr>
          <w:cantSplit/>
          <w:jc w:val="center"/>
          <w:trHeight w:val="1012"/>
        </w:trPr>
        <w:tc>
          <w:tcPr>
            <w:tcBorders>
              <w:top w:val="single" w:color="000000" w:sz="2" w:space="0"/>
              <w:left w:val="single" w:color="000000" w:sz="6" w:space="0"/>
              <w:right w:val="single" w:color="000000" w:sz="2" w:space="0"/>
            </w:tcBorders>
            <w:tcW w:w="3293" w:type="dxa"/>
            <w:vAlign w:val="center"/>
            <w:textDirection w:val="lrTb"/>
            <w:noWrap/>
          </w:tcPr>
          <w:p>
            <w:pPr>
              <w:pStyle w:val="1029"/>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2" w:space="0"/>
              <w:left w:val="single" w:color="000000" w:sz="2" w:space="0"/>
              <w:right w:val="single" w:color="000000" w:sz="2" w:space="0"/>
            </w:tcBorders>
            <w:tcW w:w="2509" w:type="dxa"/>
            <w:vAlign w:val="center"/>
            <w:textDirection w:val="lrTb"/>
            <w:noWrap/>
          </w:tcPr>
          <w:p>
            <w:pPr>
              <w:pStyle w:val="1029"/>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详见响应文件</w:t>
            </w:r>
            <w:r/>
          </w:p>
        </w:tc>
        <w:tc>
          <w:tcPr>
            <w:tcBorders>
              <w:top w:val="single" w:color="000000" w:sz="2" w:space="0"/>
              <w:left w:val="single" w:color="000000" w:sz="2" w:space="0"/>
              <w:right w:val="single" w:color="000000" w:sz="2" w:space="0"/>
            </w:tcBorders>
            <w:tcW w:w="3056" w:type="dxa"/>
            <w:vAlign w:val="center"/>
            <w:textDirection w:val="lrTb"/>
            <w:noWrap/>
          </w:tcPr>
          <w:p>
            <w:pPr>
              <w:pStyle w:val="1029"/>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cantSplit/>
          <w:jc w:val="center"/>
          <w:trHeight w:val="1035"/>
        </w:trPr>
        <w:tc>
          <w:tcPr>
            <w:tcBorders>
              <w:top w:val="single" w:color="000000" w:sz="2" w:space="0"/>
              <w:left w:val="single" w:color="000000" w:sz="6" w:space="0"/>
              <w:bottom w:val="single" w:color="000000" w:sz="2" w:space="0"/>
              <w:right w:val="single" w:color="000000" w:sz="2" w:space="0"/>
            </w:tcBorders>
            <w:tcW w:w="3293" w:type="dxa"/>
            <w:vAlign w:val="center"/>
            <w:textDirection w:val="lrTb"/>
            <w:noWrap/>
          </w:tcPr>
          <w:p>
            <w:pPr>
              <w:pStyle w:val="1029"/>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5565" w:type="dxa"/>
            <w:vAlign w:val="center"/>
            <w:textDirection w:val="lrTb"/>
            <w:noWrap/>
          </w:tcPr>
          <w:p>
            <w:pPr>
              <w:pStyle w:val="1029"/>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bl>
    <w:p>
      <w:pPr>
        <w:pStyle w:val="1027"/>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报价说明：</w:t>
      </w:r>
      <w:r/>
    </w:p>
    <w:p>
      <w:pPr>
        <w:pStyle w:val="1027"/>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1、报价包括完成项目的所有费用。采购人不再支付报价以外的任何费用。</w:t>
      </w:r>
      <w:r/>
    </w:p>
    <w:p>
      <w:pPr>
        <w:pStyle w:val="1027"/>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2、报价以总价为准，大小写不一致以大写为准；</w:t>
      </w:r>
      <w:r/>
    </w:p>
    <w:p>
      <w:pPr>
        <w:pStyle w:val="1027"/>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3、偏离说明：详见《偏离表》；</w:t>
      </w:r>
      <w:r/>
    </w:p>
    <w:p>
      <w:pPr>
        <w:pStyle w:val="1027"/>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4、如最后报价未列明单价，则最后所报各项单价计算方法为：（最后报价/ 最初报价）* 各项最初报价的单价。</w:t>
      </w:r>
      <w:r/>
    </w:p>
    <w:p>
      <w:pPr>
        <w:pStyle w:val="1027"/>
        <w:spacing w:line="360" w:lineRule="auto"/>
        <w:rPr>
          <w:rFonts w:asciiTheme="minorEastAsia" w:hAnsiTheme="minorEastAsia" w:eastAsiaTheme="minorEastAsia" w:cstheme="minorEastAsia"/>
        </w:rPr>
      </w:pPr>
      <w:r>
        <w:rPr>
          <w:rFonts w:asciiTheme="minorEastAsia" w:hAnsiTheme="minorEastAsia" w:eastAsiaTheme="minorEastAsia" w:cstheme="minorEastAsia"/>
        </w:rPr>
      </w:r>
      <w:r/>
    </w:p>
    <w:p>
      <w:pPr>
        <w:pStyle w:val="1027"/>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rPr>
        <w:t xml:space="preserve">供应商（电子签章）：</w:t>
      </w:r>
      <w:r/>
    </w:p>
    <w:p>
      <w:pPr>
        <w:pStyle w:val="792"/>
        <w:jc w:val="left"/>
        <w:rPr>
          <w:rFonts w:asciiTheme="minorEastAsia" w:hAnsiTheme="minorEastAsia" w:eastAsiaTheme="minorEastAsia" w:cstheme="minorEastAsia"/>
          <w:bCs/>
          <w:sz w:val="24"/>
          <w:szCs w:val="24"/>
        </w:rPr>
      </w:pPr>
      <w:r/>
      <w:bookmarkStart w:id="588" w:name="_Toc21151"/>
      <w:r/>
      <w:bookmarkStart w:id="589" w:name="_Toc17349"/>
      <w:r>
        <w:rPr>
          <w:rFonts w:hint="eastAsia" w:asciiTheme="minorEastAsia" w:hAnsiTheme="minorEastAsia" w:eastAsiaTheme="minorEastAsia" w:cstheme="minorEastAsia"/>
          <w:bCs/>
          <w:sz w:val="24"/>
          <w:szCs w:val="24"/>
        </w:rPr>
        <w:br w:type="page" w:clear="all"/>
      </w:r>
      <w:r>
        <w:rPr>
          <w:rFonts w:hint="eastAsia" w:asciiTheme="minorEastAsia" w:hAnsiTheme="minorEastAsia" w:eastAsiaTheme="minorEastAsia" w:cstheme="minorEastAsia"/>
          <w:bCs/>
          <w:sz w:val="24"/>
          <w:szCs w:val="24"/>
        </w:rPr>
        <w:t xml:space="preserve">附件二</w:t>
      </w:r>
      <w:bookmarkEnd w:id="588"/>
      <w:r/>
      <w:bookmarkEnd w:id="589"/>
      <w:r/>
      <w:r/>
    </w:p>
    <w:p>
      <w:pPr>
        <w:pStyle w:val="792"/>
        <w:rPr>
          <w:rFonts w:asciiTheme="minorEastAsia" w:hAnsiTheme="minorEastAsia" w:eastAsiaTheme="minorEastAsia" w:cstheme="minorEastAsia"/>
        </w:rPr>
      </w:pPr>
      <w:r>
        <w:rPr>
          <w:rFonts w:hint="eastAsia" w:asciiTheme="minorEastAsia" w:hAnsiTheme="minorEastAsia" w:eastAsiaTheme="minorEastAsia" w:cstheme="minorEastAsia"/>
        </w:rPr>
        <w:t xml:space="preserve">已标价工程量清单</w:t>
      </w:r>
      <w:r/>
    </w:p>
    <w:p>
      <w:pPr>
        <w:pStyle w:val="1027"/>
        <w:spacing w:line="360" w:lineRule="auto"/>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1027"/>
        <w:spacing w:before="0" w:after="0"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本次为首次报价</w:t>
      </w:r>
      <w:r/>
    </w:p>
    <w:p>
      <w:pPr>
        <w:pStyle w:val="1027"/>
        <w:spacing w:before="0" w:after="0"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项目名称：</w:t>
      </w:r>
      <w:r/>
    </w:p>
    <w:p>
      <w:pPr>
        <w:pStyle w:val="1027"/>
        <w:spacing w:before="0" w:after="0"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项目编号：      </w:t>
      </w:r>
      <w:r/>
    </w:p>
    <w:p>
      <w:pPr>
        <w:pStyle w:val="1027"/>
        <w:spacing w:before="0" w:after="0" w:line="360" w:lineRule="auto"/>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1027"/>
        <w:spacing w:before="0" w:after="0" w:line="360" w:lineRule="auto"/>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1027"/>
        <w:spacing w:before="0" w:after="0"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须附详细工程量清单。</w:t>
      </w:r>
      <w:r/>
    </w:p>
    <w:p>
      <w:pPr>
        <w:pStyle w:val="1027"/>
        <w:spacing w:before="0" w:after="0" w:line="360" w:lineRule="auto"/>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1027"/>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1027"/>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1027"/>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1027"/>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1027"/>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1027"/>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1027"/>
        <w:spacing w:before="0" w:after="0"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供应商（电子签章）：</w:t>
      </w:r>
      <w:r/>
    </w:p>
    <w:p>
      <w:pPr>
        <w:pStyle w:val="1027"/>
        <w:spacing w:before="0" w:after="0"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法定代表人或供应商授权代表（签名或印鉴）：</w:t>
      </w:r>
      <w:r/>
    </w:p>
    <w:p>
      <w:pPr>
        <w:pStyle w:val="1027"/>
        <w:spacing w:before="0" w:after="0"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日期：</w:t>
      </w:r>
      <w:r/>
    </w:p>
    <w:p>
      <w:pPr>
        <w:pStyle w:val="1027"/>
        <w:spacing w:before="0" w:after="0" w:line="360" w:lineRule="auto"/>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1027"/>
        <w:spacing w:before="0" w:after="0" w:line="360" w:lineRule="auto"/>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1027"/>
        <w:spacing w:before="0" w:after="0"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注：1．如果按单价计算的结果与总价不一致，以总价为准。</w:t>
      </w:r>
      <w:r/>
    </w:p>
    <w:p>
      <w:pPr>
        <w:pStyle w:val="1027"/>
        <w:spacing w:before="0" w:after="0"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2．如果不提供详细分项报价将视为没有实质性响应。</w:t>
      </w:r>
      <w:r/>
    </w:p>
    <w:p>
      <w:pPr>
        <w:pStyle w:val="1027"/>
        <w:spacing w:before="0" w:after="0"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 供应商对以上数据的真实性负责。</w:t>
      </w:r>
      <w:r/>
    </w:p>
    <w:p>
      <w:pPr>
        <w:pStyle w:val="1027"/>
        <w:spacing w:before="0" w:after="0" w:line="360" w:lineRule="auto"/>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1027"/>
        <w:spacing w:before="0" w:after="0" w:line="360" w:lineRule="auto"/>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1027"/>
        <w:ind w:firstLine="480"/>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1029"/>
        <w:spacing w:before="360" w:after="100" w:afterAutospacing="1" w:line="380" w:lineRule="exact"/>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br w:type="page" w:clear="all"/>
      </w:r>
      <w:r>
        <w:rPr>
          <w:rFonts w:hint="eastAsia" w:asciiTheme="minorEastAsia" w:hAnsiTheme="minorEastAsia" w:eastAsiaTheme="minorEastAsia" w:cstheme="minorEastAsia"/>
          <w:b/>
          <w:bCs/>
          <w:sz w:val="24"/>
        </w:rPr>
        <w:t xml:space="preserve">附件三</w:t>
      </w:r>
      <w:r/>
    </w:p>
    <w:p>
      <w:pPr>
        <w:pStyle w:val="792"/>
        <w:spacing w:line="380" w:lineRule="exact"/>
        <w:rPr>
          <w:rFonts w:asciiTheme="minorEastAsia" w:hAnsiTheme="minorEastAsia" w:eastAsiaTheme="minorEastAsia" w:cstheme="minorEastAsia"/>
          <w:bCs/>
          <w:szCs w:val="24"/>
        </w:rPr>
      </w:pPr>
      <w:r/>
      <w:bookmarkStart w:id="590" w:name="_Toc5756"/>
      <w:r/>
      <w:bookmarkStart w:id="591" w:name="_Toc18211"/>
      <w:r/>
      <w:bookmarkStart w:id="592" w:name="_Toc6273"/>
      <w:r>
        <w:rPr>
          <w:rFonts w:hint="eastAsia" w:asciiTheme="minorEastAsia" w:hAnsiTheme="minorEastAsia" w:eastAsiaTheme="minorEastAsia" w:cstheme="minorEastAsia"/>
        </w:rPr>
        <w:t xml:space="preserve">承  诺  书</w:t>
      </w:r>
      <w:bookmarkEnd w:id="590"/>
      <w:r/>
      <w:bookmarkEnd w:id="591"/>
      <w:r/>
      <w:bookmarkEnd w:id="592"/>
      <w:r/>
      <w:r/>
    </w:p>
    <w:p>
      <w:pPr>
        <w:pStyle w:val="1027"/>
        <w:spacing w:line="32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致</w:t>
      </w:r>
      <w:r>
        <w:rPr>
          <w:rFonts w:hint="eastAsia" w:asciiTheme="minorEastAsia" w:hAnsiTheme="minorEastAsia" w:eastAsiaTheme="minorEastAsia" w:cstheme="minorEastAsia"/>
          <w:sz w:val="24"/>
          <w:szCs w:val="24"/>
          <w:u w:val="single"/>
        </w:rPr>
        <w:t xml:space="preserve">                    （采购人）</w:t>
      </w:r>
      <w:r>
        <w:rPr>
          <w:rFonts w:hint="eastAsia" w:asciiTheme="minorEastAsia" w:hAnsiTheme="minorEastAsia" w:eastAsiaTheme="minorEastAsia" w:cstheme="minorEastAsia"/>
          <w:sz w:val="24"/>
          <w:szCs w:val="24"/>
        </w:rPr>
        <w:t xml:space="preserve">：</w:t>
      </w:r>
      <w:r/>
    </w:p>
    <w:p>
      <w:pPr>
        <w:pStyle w:val="1056"/>
        <w:ind w:firstLine="480"/>
        <w:spacing w:line="32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根据贵方《</w:t>
      </w:r>
      <w:r>
        <w:rPr>
          <w:rFonts w:hint="eastAsia" w:asciiTheme="minorEastAsia" w:hAnsiTheme="minorEastAsia" w:eastAsiaTheme="minorEastAsia" w:cstheme="minorEastAsia"/>
          <w:bCs/>
          <w:sz w:val="24"/>
          <w:szCs w:val="24"/>
        </w:rPr>
        <w:t xml:space="preserve">磋商文件</w:t>
      </w:r>
      <w:r>
        <w:rPr>
          <w:rFonts w:hint="eastAsia" w:asciiTheme="minorEastAsia" w:hAnsiTheme="minorEastAsia" w:eastAsiaTheme="minorEastAsia" w:cstheme="minorEastAsia"/>
          <w:sz w:val="24"/>
          <w:szCs w:val="24"/>
        </w:rPr>
        <w:t xml:space="preserve">》（项目编号：             ）要求，本供应商正式提交以下首次响应文件。</w:t>
      </w:r>
      <w:r/>
    </w:p>
    <w:p>
      <w:pPr>
        <w:pStyle w:val="1056"/>
        <w:ind w:firstLine="480"/>
        <w:spacing w:line="32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我单位符合《中华人民共和国政府采购法》第二十二条的规定，符合本项目供应商资格要求。</w:t>
      </w:r>
      <w:r/>
    </w:p>
    <w:p>
      <w:pPr>
        <w:pStyle w:val="1056"/>
        <w:ind w:firstLine="480"/>
        <w:spacing w:line="32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我单位按照磋商文件的要求编制响应文件，并对其提交的响应文件的真实性、合法性承担法律责任。</w:t>
      </w:r>
      <w:r/>
    </w:p>
    <w:p>
      <w:pPr>
        <w:pStyle w:val="1056"/>
        <w:ind w:firstLine="480"/>
        <w:spacing w:line="32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供应商兹宣布同意如下: </w:t>
      </w:r>
      <w:r/>
    </w:p>
    <w:p>
      <w:pPr>
        <w:pStyle w:val="1056"/>
        <w:ind w:firstLine="480"/>
        <w:spacing w:line="320" w:lineRule="exact"/>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3134360</wp:posOffset>
                </wp:positionH>
                <wp:positionV relativeFrom="paragraph">
                  <wp:posOffset>297180</wp:posOffset>
                </wp:positionV>
                <wp:extent cx="0"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0" cy="0"/>
                        </a:xfrm>
                        <a:prstGeom prst="rect">
                          <a:avLst/>
                        </a:prstGeom>
                        <a:noFill/>
                        <a:ln>
                          <a:solidFill>
                            <a:srgbClr val="000000"/>
                          </a:solidFill>
                          <a:round/>
                        </a:ln>
                      </wps:spPr>
                      <wps:bodyPr rot="0">
                        <a:prstTxWarp prst="textNoShape">
                          <a:avLst/>
                        </a:prstTxWarp>
                        <a:noAutofit/>
                      </wps:bodyPr>
                    </wps:wsp>
                  </a:graphicData>
                </a:graphic>
              </wp:anchor>
            </w:drawing>
          </mc:Choice>
          <mc:Fallback>
            <w:pict>
              <v:shape id="shape 3" o:spid="_x0000_s3" o:spt="1" type="#_x0000_t1" style="position:absolute;z-index:251660288;o:allowoverlap:true;o:allowincell:true;mso-position-horizontal-relative:text;margin-left:246.8pt;mso-position-horizontal:absolute;mso-position-vertical-relative:text;margin-top:23.4pt;mso-position-vertical:absolute;width:0.0pt;height:0.0pt;mso-wrap-distance-left:9.0pt;mso-wrap-distance-top:0.0pt;mso-wrap-distance-right:9.0pt;mso-wrap-distance-bottom:0.0pt;visibility:visible;" filled="f" strokecolor="#000000"/>
            </w:pict>
          </mc:Fallback>
        </mc:AlternateContent>
      </w:r>
      <w:r>
        <w:rPr>
          <w:rFonts w:asciiTheme="minorEastAsia" w:hAnsiTheme="minorEastAsia" w:eastAsiaTheme="minorEastAsia" w:cstheme="minorEastAsia"/>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2800350</wp:posOffset>
                </wp:positionH>
                <wp:positionV relativeFrom="paragraph">
                  <wp:posOffset>594360</wp:posOffset>
                </wp:positionV>
                <wp:extent cx="1270"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1270" cy="0"/>
                        </a:xfrm>
                        <a:prstGeom prst="rect">
                          <a:avLst/>
                        </a:prstGeom>
                        <a:noFill/>
                        <a:ln>
                          <a:solidFill>
                            <a:srgbClr val="000000"/>
                          </a:solidFill>
                          <a:round/>
                        </a:ln>
                      </wps:spPr>
                      <wps:bodyPr rot="0">
                        <a:prstTxWarp prst="textNoShape">
                          <a:avLst/>
                        </a:prstTxWarp>
                        <a:noAutofit/>
                      </wps:bodyPr>
                    </wps:wsp>
                  </a:graphicData>
                </a:graphic>
              </wp:anchor>
            </w:drawing>
          </mc:Choice>
          <mc:Fallback>
            <w:pict>
              <v:shape id="shape 4" o:spid="_x0000_s4" o:spt="1" type="#_x0000_t1" style="position:absolute;z-index:251661312;o:allowoverlap:true;o:allowincell:true;mso-position-horizontal-relative:text;margin-left:220.5pt;mso-position-horizontal:absolute;mso-position-vertical-relative:text;margin-top:46.8pt;mso-position-vertical:absolute;width:0.1pt;height:0.0pt;mso-wrap-distance-left:9.0pt;mso-wrap-distance-top:0.0pt;mso-wrap-distance-right:9.0pt;mso-wrap-distance-bottom:0.0pt;visibility:visible;" filled="f" strokecolor="#000000"/>
            </w:pict>
          </mc:Fallback>
        </mc:AlternateContent>
      </w:r>
      <w:r>
        <w:rPr>
          <w:rFonts w:hint="eastAsia" w:asciiTheme="minorEastAsia" w:hAnsiTheme="minorEastAsia" w:eastAsiaTheme="minorEastAsia" w:cstheme="minorEastAsia"/>
          <w:sz w:val="24"/>
          <w:szCs w:val="24"/>
        </w:rPr>
        <w:t xml:space="preserve">一、完全承担根据《磋商文件》规定完成合同的责任和义务（如有偏离，将全部填写在偏离表中）。</w:t>
      </w:r>
      <w:r/>
    </w:p>
    <w:p>
      <w:pPr>
        <w:pStyle w:val="1056"/>
        <w:ind w:firstLine="480"/>
        <w:spacing w:line="320" w:lineRule="exact"/>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2667000</wp:posOffset>
                </wp:positionH>
                <wp:positionV relativeFrom="paragraph">
                  <wp:posOffset>247650</wp:posOffset>
                </wp:positionV>
                <wp:extent cx="1270"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1270" cy="0"/>
                        </a:xfrm>
                        <a:prstGeom prst="rect">
                          <a:avLst/>
                        </a:prstGeom>
                        <a:noFill/>
                        <a:ln>
                          <a:solidFill>
                            <a:srgbClr val="000000"/>
                          </a:solidFill>
                          <a:round/>
                        </a:ln>
                      </wps:spPr>
                      <wps:bodyPr rot="0">
                        <a:prstTxWarp prst="textNoShape">
                          <a:avLst/>
                        </a:prstTxWarp>
                        <a:noAutofit/>
                      </wps:bodyPr>
                    </wps:wsp>
                  </a:graphicData>
                </a:graphic>
              </wp:anchor>
            </w:drawing>
          </mc:Choice>
          <mc:Fallback>
            <w:pict>
              <v:shape id="shape 5" o:spid="_x0000_s5" o:spt="1" type="#_x0000_t1" style="position:absolute;z-index:251662336;o:allowoverlap:true;o:allowincell:true;mso-position-horizontal-relative:text;margin-left:210.0pt;mso-position-horizontal:absolute;mso-position-vertical-relative:text;margin-top:19.5pt;mso-position-vertical:absolute;width:0.1pt;height:0.0pt;mso-wrap-distance-left:9.0pt;mso-wrap-distance-top:0.0pt;mso-wrap-distance-right:9.0pt;mso-wrap-distance-bottom:0.0pt;visibility:visible;" filled="f" strokecolor="#000000"/>
            </w:pict>
          </mc:Fallback>
        </mc:AlternateContent>
      </w:r>
      <w:r>
        <w:rPr>
          <w:rFonts w:asciiTheme="minorEastAsia" w:hAnsiTheme="minorEastAsia" w:eastAsiaTheme="minorEastAsia" w:cstheme="minorEastAsia"/>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2667000</wp:posOffset>
                </wp:positionH>
                <wp:positionV relativeFrom="paragraph">
                  <wp:posOffset>247650</wp:posOffset>
                </wp:positionV>
                <wp:extent cx="1270" cy="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1270" cy="0"/>
                        </a:xfrm>
                        <a:prstGeom prst="rect">
                          <a:avLst/>
                        </a:prstGeom>
                        <a:noFill/>
                        <a:ln>
                          <a:solidFill>
                            <a:srgbClr val="000000"/>
                          </a:solidFill>
                          <a:round/>
                        </a:ln>
                      </wps:spPr>
                      <wps:bodyPr rot="0">
                        <a:prstTxWarp prst="textNoShape">
                          <a:avLst/>
                        </a:prstTxWarp>
                        <a:noAutofit/>
                      </wps:bodyPr>
                    </wps:wsp>
                  </a:graphicData>
                </a:graphic>
              </wp:anchor>
            </w:drawing>
          </mc:Choice>
          <mc:Fallback>
            <w:pict>
              <v:shape id="shape 6" o:spid="_x0000_s6" o:spt="1" type="#_x0000_t1" style="position:absolute;z-index:251663360;o:allowoverlap:true;o:allowincell:true;mso-position-horizontal-relative:text;margin-left:210.0pt;mso-position-horizontal:absolute;mso-position-vertical-relative:text;margin-top:19.5pt;mso-position-vertical:absolute;width:0.1pt;height:0.0pt;mso-wrap-distance-left:9.0pt;mso-wrap-distance-top:0.0pt;mso-wrap-distance-right:9.0pt;mso-wrap-distance-bottom:0.0pt;visibility:visible;" filled="f" strokecolor="#000000"/>
            </w:pict>
          </mc:Fallback>
        </mc:AlternateContent>
      </w:r>
      <w:r>
        <w:rPr>
          <w:rFonts w:hint="eastAsia" w:asciiTheme="minorEastAsia" w:hAnsiTheme="minorEastAsia" w:eastAsiaTheme="minorEastAsia" w:cstheme="minorEastAsia"/>
          <w:sz w:val="24"/>
          <w:szCs w:val="24"/>
        </w:rPr>
        <w:t xml:space="preserve">二、保证所提供的响应文件及所有材料的真实、合法、有效，并对其负责。</w:t>
      </w:r>
      <w:r/>
    </w:p>
    <w:p>
      <w:pPr>
        <w:pStyle w:val="1056"/>
        <w:ind w:firstLine="480"/>
        <w:spacing w:line="32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三、已详细审核竞争性磋商文件（含竞争性磋商文件的澄清或者修改），本供应商完全理解并同意放弃对这方面不明及误解的权利。</w:t>
      </w:r>
      <w:r/>
    </w:p>
    <w:p>
      <w:pPr>
        <w:pStyle w:val="1056"/>
        <w:ind w:firstLine="480"/>
        <w:spacing w:line="32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四、报价有效期为60日。</w:t>
      </w:r>
      <w:r/>
    </w:p>
    <w:p>
      <w:pPr>
        <w:pStyle w:val="1056"/>
        <w:ind w:firstLine="480"/>
        <w:spacing w:line="32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五、同意向贵方提供贵方可能要求的与本次磋商采购有关的任何证据或资料。</w:t>
      </w:r>
      <w:r/>
    </w:p>
    <w:p>
      <w:pPr>
        <w:pStyle w:val="1056"/>
        <w:ind w:firstLine="480"/>
        <w:spacing w:line="32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六、完全理解贵方不一定要接受最低的报价或收到的任何报价。</w:t>
      </w:r>
      <w:r/>
    </w:p>
    <w:p>
      <w:pPr>
        <w:pStyle w:val="1056"/>
        <w:ind w:firstLine="480"/>
        <w:spacing w:line="32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七、本公司拟派往本工程的项目经理现阶段没有担任其他在建建设工程项目的项目经理。</w:t>
      </w:r>
      <w:r/>
    </w:p>
    <w:p>
      <w:pPr>
        <w:pStyle w:val="1056"/>
        <w:ind w:firstLine="480"/>
        <w:spacing w:line="32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八、本公司并未发生重大工程质量、安全生产事故，被有关部门暂停投标资格并在暂停期内的。</w:t>
      </w:r>
      <w:r/>
    </w:p>
    <w:p>
      <w:pPr>
        <w:pStyle w:val="1056"/>
        <w:ind w:firstLine="480"/>
        <w:spacing w:line="32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九、如我单位被确定为中标、成交供应商，代理机构有权将我单位本项目响应文件中的《中小企业声明函》（如有），《残疾人福利性单位声明函》（如有）和我单位注册所在县扶贫部门出具的聘用建档立卡贫困人员具体数量的证明（如有）作为《中标（成交）结果公告》的附件予以公告。</w:t>
      </w:r>
      <w:r/>
    </w:p>
    <w:p>
      <w:pPr>
        <w:pStyle w:val="1056"/>
        <w:ind w:firstLine="480"/>
        <w:spacing w:line="32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十、如我方成交：</w:t>
      </w:r>
      <w:r/>
    </w:p>
    <w:p>
      <w:pPr>
        <w:pStyle w:val="1056"/>
        <w:ind w:firstLine="480"/>
        <w:spacing w:line="32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（1）我方承诺在收到成交通知书后，在成交通知书规定的期限内与你方签订合同。</w:t>
      </w:r>
      <w:r/>
    </w:p>
    <w:p>
      <w:pPr>
        <w:pStyle w:val="1056"/>
        <w:ind w:firstLine="480"/>
        <w:spacing w:line="32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（2）随同本响应函递交的磋商报价表是本响应函的组成部分，对我方构成约束力。</w:t>
      </w:r>
      <w:r/>
    </w:p>
    <w:p>
      <w:pPr>
        <w:pStyle w:val="1056"/>
        <w:ind w:firstLine="480"/>
        <w:spacing w:line="32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（3）我方承诺按照采购文件规定向你方递交履约担保。</w:t>
      </w:r>
      <w:r/>
    </w:p>
    <w:p>
      <w:pPr>
        <w:pStyle w:val="1056"/>
        <w:ind w:firstLine="480"/>
        <w:spacing w:line="32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（4）我方承诺在合同约定的期限内完成全部合同内容。</w:t>
      </w:r>
      <w:r/>
    </w:p>
    <w:p>
      <w:pPr>
        <w:pStyle w:val="1056"/>
        <w:ind w:firstLine="480"/>
        <w:spacing w:line="32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十一、本公司拟派往本工程的项目负责人未同时在两个或者两个以上单位受聘或者执业。</w:t>
      </w:r>
      <w:r/>
    </w:p>
    <w:p>
      <w:pPr>
        <w:pStyle w:val="1056"/>
        <w:ind w:firstLine="480"/>
        <w:spacing w:line="32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十二、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且同意提供贵方可能要求的与其投标有关的一切数据或资料。</w:t>
      </w:r>
      <w:r/>
    </w:p>
    <w:p>
      <w:pPr>
        <w:pStyle w:val="1027"/>
        <w:ind w:right="29" w:firstLine="480"/>
        <w:spacing w:line="320" w:lineRule="exact"/>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1027"/>
        <w:ind w:right="29" w:firstLine="480"/>
        <w:spacing w:line="32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供应商（电子签章）：</w:t>
      </w:r>
      <w:r/>
    </w:p>
    <w:p>
      <w:pPr>
        <w:pStyle w:val="1027"/>
        <w:ind w:right="29" w:firstLine="480"/>
        <w:spacing w:line="32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法定代表人或授权代表（签名或印鉴）：</w:t>
      </w:r>
      <w:r/>
    </w:p>
    <w:p>
      <w:pPr>
        <w:pStyle w:val="1027"/>
        <w:ind w:right="29" w:firstLine="480"/>
        <w:spacing w:line="32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联系电话：</w:t>
      </w:r>
      <w:r/>
    </w:p>
    <w:p>
      <w:pPr>
        <w:pStyle w:val="1027"/>
        <w:ind w:firstLine="480"/>
        <w:spacing w:line="32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移动电话：</w:t>
      </w:r>
      <w:r/>
    </w:p>
    <w:p>
      <w:pPr>
        <w:pStyle w:val="1029"/>
        <w:ind w:right="28" w:firstLine="480"/>
        <w:spacing w:line="3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日期：   年   月   日</w:t>
      </w:r>
      <w:r/>
    </w:p>
    <w:p>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br w:type="page" w:clear="all"/>
      </w:r>
      <w:r/>
    </w:p>
    <w:p>
      <w:pPr>
        <w:pStyle w:val="1029"/>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附件四</w:t>
      </w:r>
      <w:r/>
    </w:p>
    <w:p>
      <w:pPr>
        <w:pStyle w:val="792"/>
        <w:rPr>
          <w:rFonts w:asciiTheme="minorEastAsia" w:hAnsiTheme="minorEastAsia" w:eastAsiaTheme="minorEastAsia" w:cstheme="minorEastAsia"/>
          <w:szCs w:val="24"/>
        </w:rPr>
      </w:pPr>
      <w:r/>
      <w:bookmarkStart w:id="593" w:name="_Toc21294"/>
      <w:r/>
      <w:bookmarkStart w:id="594" w:name="_Toc30554"/>
      <w:r/>
      <w:bookmarkStart w:id="595" w:name="_Toc23499"/>
      <w:r>
        <w:rPr>
          <w:rFonts w:hint="eastAsia" w:asciiTheme="minorEastAsia" w:hAnsiTheme="minorEastAsia" w:eastAsiaTheme="minorEastAsia" w:cstheme="minorEastAsia"/>
        </w:rPr>
        <w:t xml:space="preserve">商 务 偏 离 表</w:t>
      </w:r>
      <w:bookmarkEnd w:id="593"/>
      <w:r/>
      <w:bookmarkEnd w:id="594"/>
      <w:r/>
      <w:bookmarkEnd w:id="595"/>
      <w:r/>
      <w:r/>
    </w:p>
    <w:p>
      <w:pPr>
        <w:pStyle w:val="1027"/>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项目名称：</w:t>
      </w:r>
      <w:r/>
    </w:p>
    <w:p>
      <w:pPr>
        <w:pStyle w:val="1027"/>
        <w:spacing w:line="0" w:lineRule="atLeas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项目编号：</w:t>
      </w:r>
      <w:r/>
    </w:p>
    <w:p>
      <w:pPr>
        <w:pStyle w:val="1027"/>
        <w:spacing w:line="0" w:lineRule="atLeast"/>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bl>
      <w:tblPr>
        <w:tblStyle w:val="733"/>
        <w:tblW w:w="5000"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28"/>
        <w:gridCol w:w="998"/>
        <w:gridCol w:w="4438"/>
        <w:gridCol w:w="1780"/>
        <w:gridCol w:w="1467"/>
        <w:gridCol w:w="529"/>
      </w:tblGrid>
      <w:tr>
        <w:trPr>
          <w:trHeight w:val="1190"/>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tcPr>
          <w:p>
            <w:pPr>
              <w:pStyle w:val="1027"/>
              <w:ind w:firstLine="0"/>
              <w:jc w:val="center"/>
              <w:rPr>
                <w:rFonts w:asciiTheme="minorEastAsia" w:hAnsiTheme="minorEastAsia" w:eastAsiaTheme="minorEastAsia" w:cstheme="minorEastAsia"/>
                <w:caps/>
                <w:sz w:val="24"/>
                <w:szCs w:val="24"/>
              </w:rPr>
            </w:pPr>
            <w:r>
              <w:rPr>
                <w:rFonts w:hint="eastAsia" w:asciiTheme="minorEastAsia" w:hAnsiTheme="minorEastAsia" w:eastAsiaTheme="minorEastAsia" w:cstheme="minorEastAsia"/>
                <w:caps/>
                <w:sz w:val="24"/>
                <w:szCs w:val="24"/>
              </w:rPr>
              <w:t xml:space="preserve">序号</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tcPr>
          <w:p>
            <w:pPr>
              <w:pStyle w:val="1027"/>
              <w:ind w:firstLine="0"/>
              <w:jc w:val="center"/>
              <w:rPr>
                <w:rFonts w:asciiTheme="minorEastAsia" w:hAnsiTheme="minorEastAsia" w:eastAsiaTheme="minorEastAsia" w:cstheme="minorEastAsia"/>
                <w:caps/>
                <w:sz w:val="24"/>
                <w:szCs w:val="24"/>
              </w:rPr>
            </w:pPr>
            <w:r>
              <w:rPr>
                <w:rFonts w:hint="eastAsia" w:asciiTheme="minorEastAsia" w:hAnsiTheme="minorEastAsia" w:eastAsiaTheme="minorEastAsia" w:cstheme="minorEastAsia"/>
                <w:caps/>
                <w:sz w:val="24"/>
                <w:szCs w:val="24"/>
              </w:rPr>
              <w:t xml:space="preserve">内容</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tcPr>
          <w:p>
            <w:pPr>
              <w:pStyle w:val="1027"/>
              <w:ind w:firstLine="0"/>
              <w:jc w:val="center"/>
              <w:spacing w:line="240" w:lineRule="auto"/>
              <w:rPr>
                <w:rFonts w:asciiTheme="minorEastAsia" w:hAnsiTheme="minorEastAsia" w:eastAsiaTheme="minorEastAsia" w:cstheme="minorEastAsia"/>
                <w:caps/>
                <w:sz w:val="24"/>
                <w:szCs w:val="24"/>
              </w:rPr>
            </w:pPr>
            <w:r>
              <w:rPr>
                <w:rFonts w:hint="eastAsia" w:asciiTheme="minorEastAsia" w:hAnsiTheme="minorEastAsia" w:eastAsiaTheme="minorEastAsia" w:cstheme="minorEastAsia"/>
                <w:sz w:val="24"/>
                <w:szCs w:val="24"/>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tcPr>
          <w:p>
            <w:pPr>
              <w:pStyle w:val="1027"/>
              <w:ind w:firstLine="0"/>
              <w:jc w:val="center"/>
              <w:spacing w:line="240" w:lineRule="auto"/>
              <w:rPr>
                <w:rFonts w:asciiTheme="minorEastAsia" w:hAnsiTheme="minorEastAsia" w:eastAsiaTheme="minorEastAsia" w:cstheme="minorEastAsia"/>
                <w:caps/>
                <w:sz w:val="24"/>
                <w:szCs w:val="24"/>
              </w:rPr>
            </w:pPr>
            <w:r>
              <w:rPr>
                <w:rFonts w:hint="eastAsia" w:asciiTheme="minorEastAsia" w:hAnsiTheme="minorEastAsia" w:eastAsiaTheme="minorEastAsia" w:cstheme="minorEastAsia"/>
                <w:sz w:val="24"/>
                <w:szCs w:val="24"/>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tcPr>
          <w:p>
            <w:pPr>
              <w:pStyle w:val="1027"/>
              <w:ind w:firstLine="0"/>
              <w:jc w:val="center"/>
              <w:spacing w:line="240" w:lineRule="auto"/>
              <w:rPr>
                <w:rFonts w:asciiTheme="minorEastAsia" w:hAnsiTheme="minorEastAsia" w:eastAsiaTheme="minorEastAsia" w:cstheme="minorEastAsia"/>
                <w:caps/>
                <w:sz w:val="24"/>
                <w:szCs w:val="24"/>
              </w:rPr>
            </w:pPr>
            <w:r>
              <w:rPr>
                <w:rFonts w:hint="eastAsia" w:asciiTheme="minorEastAsia" w:hAnsiTheme="minorEastAsia" w:eastAsiaTheme="minorEastAsia" w:cstheme="minorEastAsia"/>
                <w:caps/>
                <w:sz w:val="24"/>
                <w:szCs w:val="24"/>
              </w:rPr>
              <w:t xml:space="preserve">（正/负/无）偏离</w:t>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tcPr>
          <w:p>
            <w:pPr>
              <w:pStyle w:val="1027"/>
              <w:ind w:firstLine="0"/>
              <w:jc w:val="center"/>
              <w:spacing w:line="240" w:lineRule="auto"/>
              <w:rPr>
                <w:rFonts w:asciiTheme="minorEastAsia" w:hAnsiTheme="minorEastAsia" w:eastAsiaTheme="minorEastAsia" w:cstheme="minorEastAsia"/>
                <w:caps/>
                <w:sz w:val="24"/>
                <w:szCs w:val="24"/>
              </w:rPr>
            </w:pPr>
            <w:r>
              <w:rPr>
                <w:rFonts w:hint="eastAsia" w:asciiTheme="minorEastAsia" w:hAnsiTheme="minorEastAsia" w:eastAsiaTheme="minorEastAsia" w:cstheme="minorEastAsia"/>
                <w:caps/>
                <w:sz w:val="24"/>
                <w:szCs w:val="24"/>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tcPr>
          <w:p>
            <w:pPr>
              <w:pStyle w:val="1027"/>
              <w:ind w:firstLine="0"/>
              <w:jc w:val="both"/>
              <w:rPr>
                <w:rFonts w:asciiTheme="minorEastAsia" w:hAnsiTheme="minorEastAsia" w:eastAsiaTheme="minorEastAsia" w:cstheme="minorEastAsia"/>
                <w:caps/>
                <w:sz w:val="24"/>
                <w:szCs w:val="24"/>
              </w:rPr>
            </w:pPr>
            <w:r>
              <w:rPr>
                <w:rFonts w:hint="eastAsia" w:asciiTheme="minorEastAsia" w:hAnsiTheme="minorEastAsia" w:eastAsiaTheme="minorEastAsia" w:cstheme="minorEastAsia"/>
                <w:caps/>
                <w:sz w:val="24"/>
                <w:szCs w:val="24"/>
              </w:rPr>
              <w:t xml:space="preserve">1</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tcPr>
          <w:p>
            <w:pPr>
              <w:pStyle w:val="1027"/>
              <w:ind w:firstLine="0"/>
              <w:jc w:val="both"/>
              <w:rPr>
                <w:rFonts w:asciiTheme="minorEastAsia" w:hAnsiTheme="minorEastAsia" w:eastAsiaTheme="minorEastAsia" w:cstheme="minorEastAsia"/>
                <w:caps/>
                <w:sz w:val="24"/>
                <w:szCs w:val="24"/>
              </w:rPr>
            </w:pPr>
            <w:r>
              <w:rPr>
                <w:rFonts w:hint="eastAsia" w:asciiTheme="minorEastAsia" w:hAnsiTheme="minorEastAsia" w:eastAsiaTheme="minorEastAsia" w:cstheme="minorEastAsia"/>
                <w:caps/>
                <w:sz w:val="24"/>
                <w:szCs w:val="24"/>
              </w:rPr>
              <w:t xml:space="preserve">服务期</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tcPr>
          <w:p>
            <w:pPr>
              <w:pStyle w:val="1027"/>
              <w:jc w:val="center"/>
              <w:rPr>
                <w:rFonts w:asciiTheme="minorEastAsia" w:hAnsiTheme="minorEastAsia" w:eastAsiaTheme="minorEastAsia" w:cstheme="minorEastAsia"/>
                <w:caps/>
                <w:sz w:val="24"/>
                <w:szCs w:val="24"/>
              </w:rPr>
            </w:pPr>
            <w:r>
              <w:rPr>
                <w:rFonts w:asciiTheme="minorEastAsia" w:hAnsiTheme="minorEastAsia" w:eastAsiaTheme="minorEastAsia" w:cstheme="minorEastAsia"/>
                <w:caps/>
                <w:sz w:val="24"/>
                <w:szCs w:val="24"/>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tcPr>
          <w:p>
            <w:pPr>
              <w:pStyle w:val="1027"/>
              <w:jc w:val="center"/>
              <w:rPr>
                <w:rFonts w:asciiTheme="minorEastAsia" w:hAnsiTheme="minorEastAsia" w:eastAsiaTheme="minorEastAsia" w:cstheme="minorEastAsia"/>
                <w:caps/>
                <w:sz w:val="24"/>
                <w:szCs w:val="24"/>
              </w:rPr>
            </w:pPr>
            <w:r>
              <w:rPr>
                <w:rFonts w:asciiTheme="minorEastAsia" w:hAnsiTheme="minorEastAsia" w:eastAsiaTheme="minorEastAsia" w:cstheme="minorEastAsia"/>
                <w:caps/>
                <w:sz w:val="24"/>
                <w:szCs w:val="24"/>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tcPr>
          <w:p>
            <w:pPr>
              <w:pStyle w:val="1027"/>
              <w:jc w:val="center"/>
              <w:rPr>
                <w:rFonts w:asciiTheme="minorEastAsia" w:hAnsiTheme="minorEastAsia" w:eastAsiaTheme="minorEastAsia" w:cstheme="minorEastAsia"/>
                <w:caps/>
                <w:sz w:val="24"/>
                <w:szCs w:val="24"/>
              </w:rPr>
            </w:pPr>
            <w:r>
              <w:rPr>
                <w:rFonts w:asciiTheme="minorEastAsia" w:hAnsiTheme="minorEastAsia" w:eastAsiaTheme="minorEastAsia" w:cstheme="minorEastAsia"/>
                <w:caps/>
                <w:sz w:val="24"/>
                <w:szCs w:val="24"/>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tcPr>
          <w:p>
            <w:pPr>
              <w:pStyle w:val="1027"/>
              <w:jc w:val="center"/>
              <w:rPr>
                <w:rFonts w:asciiTheme="minorEastAsia" w:hAnsiTheme="minorEastAsia" w:eastAsiaTheme="minorEastAsia" w:cstheme="minorEastAsia"/>
                <w:caps/>
                <w:sz w:val="24"/>
                <w:szCs w:val="24"/>
              </w:rPr>
            </w:pPr>
            <w:r>
              <w:rPr>
                <w:rFonts w:asciiTheme="minorEastAsia" w:hAnsiTheme="minorEastAsia" w:eastAsiaTheme="minorEastAsia" w:cstheme="minorEastAsia"/>
                <w:caps/>
                <w:sz w:val="24"/>
                <w:szCs w:val="24"/>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tcPr>
          <w:p>
            <w:pPr>
              <w:pStyle w:val="1027"/>
              <w:ind w:firstLine="0"/>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tcPr>
          <w:p>
            <w:pPr>
              <w:pStyle w:val="1027"/>
              <w:ind w:firstLine="0"/>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付款方式</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tcPr>
          <w:p>
            <w:pPr>
              <w:pStyle w:val="1027"/>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tcPr>
          <w:p>
            <w:pPr>
              <w:pStyle w:val="1027"/>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tcPr>
          <w:p>
            <w:pPr>
              <w:pStyle w:val="1027"/>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tcPr>
          <w:p>
            <w:pPr>
              <w:pStyle w:val="1027"/>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tcPr>
          <w:p>
            <w:pPr>
              <w:pStyle w:val="1027"/>
              <w:ind w:firstLine="0"/>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tcPr>
          <w:p>
            <w:pPr>
              <w:pStyle w:val="1027"/>
              <w:ind w:firstLine="0"/>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磋商有效期</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tcPr>
          <w:p>
            <w:pPr>
              <w:pStyle w:val="1027"/>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tcPr>
          <w:p>
            <w:pPr>
              <w:pStyle w:val="1027"/>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tcPr>
          <w:p>
            <w:pPr>
              <w:pStyle w:val="1027"/>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tcPr>
          <w:p>
            <w:pPr>
              <w:pStyle w:val="1027"/>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tcPr>
          <w:p>
            <w:pPr>
              <w:pStyle w:val="1027"/>
              <w:ind w:firstLine="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tcPr>
          <w:p>
            <w:pPr>
              <w:pStyle w:val="1027"/>
              <w:ind w:firstLine="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tcPr>
          <w:p>
            <w:pPr>
              <w:pStyle w:val="1027"/>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tcPr>
          <w:p>
            <w:pPr>
              <w:pStyle w:val="1027"/>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tcPr>
          <w:p>
            <w:pPr>
              <w:pStyle w:val="1027"/>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tcPr>
          <w:p>
            <w:pPr>
              <w:pStyle w:val="1027"/>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tcPr>
          <w:p>
            <w:pPr>
              <w:pStyle w:val="1027"/>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tcPr>
          <w:p>
            <w:pPr>
              <w:pStyle w:val="1027"/>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tcPr>
          <w:p>
            <w:pPr>
              <w:pStyle w:val="1027"/>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tcPr>
          <w:p>
            <w:pPr>
              <w:pStyle w:val="1027"/>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tcPr>
          <w:p>
            <w:pPr>
              <w:pStyle w:val="1027"/>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tcPr>
          <w:p>
            <w:pPr>
              <w:pStyle w:val="1027"/>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tcPr>
          <w:p>
            <w:pPr>
              <w:pStyle w:val="1027"/>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tcPr>
          <w:p>
            <w:pPr>
              <w:pStyle w:val="1027"/>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tcPr>
          <w:p>
            <w:pPr>
              <w:pStyle w:val="1027"/>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tcPr>
          <w:p>
            <w:pPr>
              <w:pStyle w:val="1027"/>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tcPr>
          <w:p>
            <w:pPr>
              <w:pStyle w:val="1027"/>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tcPr>
          <w:p>
            <w:pPr>
              <w:pStyle w:val="1027"/>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bl>
    <w:p>
      <w:pPr>
        <w:pStyle w:val="1027"/>
        <w:rPr>
          <w:rFonts w:asciiTheme="minorEastAsia" w:hAnsiTheme="minorEastAsia" w:eastAsiaTheme="minorEastAsia" w:cstheme="minorEastAsia"/>
          <w:sz w:val="24"/>
          <w:szCs w:val="24"/>
          <w:u w:val="single"/>
        </w:rPr>
      </w:pPr>
      <w:r>
        <w:rPr>
          <w:rFonts w:asciiTheme="minorEastAsia" w:hAnsiTheme="minorEastAsia" w:eastAsiaTheme="minorEastAsia" w:cstheme="minorEastAsia"/>
          <w:sz w:val="24"/>
          <w:szCs w:val="24"/>
          <w:u w:val="single"/>
        </w:rPr>
      </w:r>
      <w:r/>
    </w:p>
    <w:p>
      <w:pPr>
        <w:pStyle w:val="1027"/>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1027"/>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pStyle w:val="1027"/>
        <w:ind w:right="29" w:firstLine="480"/>
        <w:spacing w:line="360" w:lineRule="auto"/>
        <w:rPr>
          <w:rFonts w:asciiTheme="minorEastAsia" w:hAnsiTheme="minorEastAsia" w:eastAsiaTheme="minorEastAsia" w:cstheme="minorEastAsia"/>
        </w:rPr>
      </w:pPr>
      <w:r>
        <w:rPr>
          <w:rFonts w:asciiTheme="minorEastAsia" w:hAnsiTheme="minorEastAsia" w:eastAsiaTheme="minorEastAsia" w:cstheme="minorEastAsia"/>
        </w:rPr>
      </w:r>
      <w:r/>
    </w:p>
    <w:p>
      <w:pPr>
        <w:pStyle w:val="1027"/>
        <w:ind w:right="29" w:firstLine="480"/>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供应商（电子签章）：</w:t>
      </w:r>
      <w:r/>
    </w:p>
    <w:p>
      <w:pPr>
        <w:pStyle w:val="1027"/>
        <w:ind w:firstLine="480"/>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法定代表人（签名或印鉴）：</w:t>
      </w:r>
      <w:r/>
    </w:p>
    <w:p>
      <w:pPr>
        <w:pStyle w:val="1027"/>
        <w:ind w:right="29" w:firstLine="480"/>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日期：</w:t>
      </w:r>
      <w:r/>
    </w:p>
    <w:p>
      <w:pPr>
        <w:pStyle w:val="1029"/>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pStyle w:val="1029"/>
        <w:rPr>
          <w:rFonts w:asciiTheme="minorEastAsia" w:hAnsiTheme="minorEastAsia" w:eastAsiaTheme="minorEastAsia" w:cstheme="minorEastAsia"/>
          <w:b/>
          <w:sz w:val="24"/>
        </w:rPr>
      </w:pPr>
      <w:r>
        <w:rPr>
          <w:rFonts w:asciiTheme="minorEastAsia" w:hAnsiTheme="minorEastAsia" w:eastAsiaTheme="minorEastAsia" w:cstheme="minorEastAsia"/>
          <w:b/>
          <w:sz w:val="24"/>
        </w:rPr>
      </w:r>
      <w:r/>
    </w:p>
    <w:p>
      <w:pPr>
        <w:pStyle w:val="1029"/>
        <w:rPr>
          <w:rFonts w:asciiTheme="minorEastAsia" w:hAnsiTheme="minorEastAsia" w:eastAsiaTheme="minorEastAsia" w:cstheme="minorEastAsia"/>
          <w:b/>
          <w:sz w:val="24"/>
        </w:rPr>
      </w:pPr>
      <w:r>
        <w:rPr>
          <w:rFonts w:asciiTheme="minorEastAsia" w:hAnsiTheme="minorEastAsia" w:eastAsiaTheme="minorEastAsia" w:cstheme="minorEastAsia"/>
          <w:b/>
          <w:sz w:val="24"/>
        </w:rPr>
      </w:r>
      <w:r/>
    </w:p>
    <w:p>
      <w:pPr>
        <w:pStyle w:val="1029"/>
        <w:rPr>
          <w:rFonts w:asciiTheme="minorEastAsia" w:hAnsiTheme="minorEastAsia" w:eastAsiaTheme="minorEastAsia" w:cstheme="minorEastAsia"/>
          <w:b/>
          <w:sz w:val="24"/>
        </w:rPr>
      </w:pPr>
      <w:r>
        <w:rPr>
          <w:rFonts w:asciiTheme="minorEastAsia" w:hAnsiTheme="minorEastAsia" w:eastAsiaTheme="minorEastAsia" w:cstheme="minorEastAsia"/>
          <w:b/>
          <w:sz w:val="24"/>
        </w:rPr>
      </w:r>
      <w:r/>
    </w:p>
    <w:p>
      <w:pPr>
        <w:pStyle w:val="1030"/>
        <w:rPr>
          <w:rFonts w:asciiTheme="minorEastAsia" w:hAnsiTheme="minorEastAsia" w:eastAsiaTheme="minorEastAsia" w:cstheme="minorEastAsia"/>
        </w:rPr>
      </w:pPr>
      <w:r>
        <w:rPr>
          <w:rFonts w:asciiTheme="minorEastAsia" w:hAnsiTheme="minorEastAsia" w:eastAsiaTheme="minorEastAsia" w:cstheme="minorEastAsia"/>
        </w:rPr>
      </w:r>
      <w:r/>
    </w:p>
    <w:p>
      <w:pPr>
        <w:pStyle w:val="1029"/>
        <w:rPr>
          <w:rFonts w:asciiTheme="minorEastAsia" w:hAnsiTheme="minorEastAsia" w:eastAsiaTheme="minorEastAsia" w:cstheme="minorEastAsia"/>
          <w:b/>
          <w:sz w:val="24"/>
        </w:rPr>
      </w:pPr>
      <w:r>
        <w:rPr>
          <w:rFonts w:asciiTheme="minorEastAsia" w:hAnsiTheme="minorEastAsia" w:eastAsiaTheme="minorEastAsia" w:cstheme="minorEastAsia"/>
          <w:b/>
          <w:sz w:val="24"/>
        </w:rPr>
      </w:r>
      <w:r/>
    </w:p>
    <w:p>
      <w:pPr>
        <w:pStyle w:val="1029"/>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br w:type="page" w:clear="all"/>
      </w:r>
      <w:r>
        <w:rPr>
          <w:rFonts w:hint="eastAsia" w:asciiTheme="minorEastAsia" w:hAnsiTheme="minorEastAsia" w:eastAsiaTheme="minorEastAsia" w:cstheme="minorEastAsia"/>
          <w:b/>
          <w:sz w:val="24"/>
        </w:rPr>
        <w:t xml:space="preserve">附件五</w:t>
      </w:r>
      <w:r/>
    </w:p>
    <w:p>
      <w:pPr>
        <w:pStyle w:val="1029"/>
        <w:rPr>
          <w:rFonts w:asciiTheme="minorEastAsia" w:hAnsiTheme="minorEastAsia" w:eastAsiaTheme="minorEastAsia" w:cstheme="minorEastAsia"/>
          <w:b/>
          <w:sz w:val="24"/>
        </w:rPr>
      </w:pPr>
      <w:r>
        <w:rPr>
          <w:rFonts w:asciiTheme="minorEastAsia" w:hAnsiTheme="minorEastAsia" w:eastAsiaTheme="minorEastAsia" w:cstheme="minorEastAsia"/>
          <w:b/>
          <w:sz w:val="24"/>
        </w:rPr>
      </w:r>
      <w:r/>
    </w:p>
    <w:p>
      <w:pPr>
        <w:pStyle w:val="792"/>
        <w:rPr>
          <w:rFonts w:asciiTheme="minorEastAsia" w:hAnsiTheme="minorEastAsia" w:eastAsiaTheme="minorEastAsia" w:cstheme="minorEastAsia"/>
        </w:rPr>
      </w:pPr>
      <w:r/>
      <w:bookmarkStart w:id="596" w:name="_Toc735"/>
      <w:r/>
      <w:bookmarkStart w:id="597" w:name="_Toc14231"/>
      <w:r/>
      <w:bookmarkStart w:id="598" w:name="_Toc6957"/>
      <w:r>
        <w:rPr>
          <w:rFonts w:hint="eastAsia" w:asciiTheme="minorEastAsia" w:hAnsiTheme="minorEastAsia" w:eastAsiaTheme="minorEastAsia" w:cstheme="minorEastAsia"/>
        </w:rPr>
        <w:t xml:space="preserve">授  权  委  托  书</w:t>
      </w:r>
      <w:bookmarkEnd w:id="596"/>
      <w:r/>
      <w:bookmarkEnd w:id="597"/>
      <w:r/>
      <w:bookmarkEnd w:id="598"/>
      <w:r/>
      <w:r/>
    </w:p>
    <w:p>
      <w:pPr>
        <w:pStyle w:val="1029"/>
        <w:spacing w:line="360" w:lineRule="exact"/>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pStyle w:val="1029"/>
        <w:spacing w:line="360" w:lineRule="exact"/>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pStyle w:val="1029"/>
        <w:spacing w:line="48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u w:val="single"/>
        </w:rPr>
        <w:t xml:space="preserve">（采购人）                </w:t>
      </w:r>
      <w:r>
        <w:rPr>
          <w:rFonts w:hint="eastAsia" w:asciiTheme="minorEastAsia" w:hAnsiTheme="minorEastAsia" w:eastAsiaTheme="minorEastAsia" w:cstheme="minorEastAsia"/>
          <w:sz w:val="24"/>
        </w:rPr>
        <w:t xml:space="preserve">：</w:t>
      </w:r>
      <w:r/>
    </w:p>
    <w:p>
      <w:pPr>
        <w:pStyle w:val="1029"/>
        <w:ind w:firstLine="732"/>
        <w:spacing w:line="6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我（姓名）系 (供应商单位全称)法定代表人，现授权委托 (姓名)为我的代理人，以本单位的名义参加贵公司组织的</w:t>
      </w:r>
      <w:r>
        <w:rPr>
          <w:rFonts w:hint="eastAsia" w:asciiTheme="minorEastAsia" w:hAnsiTheme="minorEastAsia" w:eastAsiaTheme="minorEastAsia" w:cstheme="minorEastAsia"/>
          <w:bCs/>
          <w:sz w:val="24"/>
        </w:rPr>
        <w:t xml:space="preserve">采购项目的</w:t>
      </w:r>
      <w:r>
        <w:rPr>
          <w:rFonts w:hint="eastAsia" w:asciiTheme="minorEastAsia" w:hAnsiTheme="minorEastAsia" w:eastAsiaTheme="minorEastAsia" w:cstheme="minorEastAsia"/>
          <w:sz w:val="24"/>
        </w:rPr>
        <w:t xml:space="preserve">磋商活动</w:t>
      </w:r>
      <w:r>
        <w:rPr>
          <w:rFonts w:hint="eastAsia" w:asciiTheme="minorEastAsia" w:hAnsiTheme="minorEastAsia" w:eastAsiaTheme="minorEastAsia" w:cstheme="minorEastAsia"/>
          <w:bCs/>
          <w:sz w:val="24"/>
        </w:rPr>
        <w:t xml:space="preserve">，授权代理人所签署的一切文件和处理与之有关的</w:t>
      </w:r>
      <w:r>
        <w:rPr>
          <w:rFonts w:hint="eastAsia" w:asciiTheme="minorEastAsia" w:hAnsiTheme="minorEastAsia" w:eastAsiaTheme="minorEastAsia" w:cstheme="minorEastAsia"/>
          <w:sz w:val="24"/>
        </w:rPr>
        <w:t xml:space="preserve">一切事务，我单位均予承认，但代理人无转委托权。</w:t>
      </w:r>
      <w:r/>
    </w:p>
    <w:p>
      <w:pPr>
        <w:pStyle w:val="1029"/>
        <w:ind w:firstLine="732"/>
        <w:spacing w:line="6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授权代理人</w:t>
      </w:r>
      <w:r>
        <w:rPr>
          <w:rFonts w:hint="eastAsia" w:asciiTheme="minorEastAsia" w:hAnsiTheme="minorEastAsia" w:eastAsiaTheme="minorEastAsia" w:cstheme="minorEastAsia"/>
          <w:sz w:val="24"/>
        </w:rPr>
        <w:t xml:space="preserve">从提交磋商响应文件时起至合同执行结束时止，全权代表我单位对上述项目的进行磋商、签约等，所签署的一切文件，我公司均承认有效。</w:t>
      </w:r>
      <w:r/>
    </w:p>
    <w:p>
      <w:pPr>
        <w:pStyle w:val="1029"/>
        <w:ind w:firstLine="732"/>
        <w:spacing w:line="6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特此委托。</w:t>
      </w:r>
      <w:r/>
    </w:p>
    <w:p>
      <w:pPr>
        <w:pStyle w:val="1029"/>
        <w:ind w:firstLine="4324"/>
        <w:spacing w:line="660" w:lineRule="exact"/>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pStyle w:val="1029"/>
        <w:ind w:firstLine="4324"/>
        <w:spacing w:line="660" w:lineRule="exact"/>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pStyle w:val="1029"/>
        <w:spacing w:line="660" w:lineRule="exact"/>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pStyle w:val="1029"/>
        <w:ind w:firstLine="4324"/>
        <w:spacing w:line="6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法定代表人（签名或印鉴）： </w:t>
      </w:r>
      <w:r/>
    </w:p>
    <w:p>
      <w:pPr>
        <w:pStyle w:val="1029"/>
        <w:ind w:firstLine="4324"/>
        <w:spacing w:line="6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供应商（电子签章）：</w:t>
      </w:r>
      <w:r/>
    </w:p>
    <w:p>
      <w:pPr>
        <w:pStyle w:val="1029"/>
        <w:ind w:firstLine="5076"/>
        <w:spacing w:line="6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年    月    日</w:t>
      </w:r>
      <w:r/>
    </w:p>
    <w:p>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br w:type="page" w:clear="all"/>
      </w:r>
      <w:r/>
    </w:p>
    <w:p>
      <w:pPr>
        <w:pStyle w:val="1029"/>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附件六</w:t>
      </w:r>
      <w:r/>
    </w:p>
    <w:p>
      <w:pPr>
        <w:pStyle w:val="1030"/>
        <w:rPr>
          <w:rFonts w:asciiTheme="minorEastAsia" w:hAnsiTheme="minorEastAsia" w:eastAsiaTheme="minorEastAsia" w:cstheme="minorEastAsia"/>
        </w:rPr>
      </w:pPr>
      <w:r>
        <w:rPr>
          <w:rFonts w:asciiTheme="minorEastAsia" w:hAnsiTheme="minorEastAsia" w:eastAsiaTheme="minorEastAsia" w:cstheme="minorEastAsia"/>
        </w:rPr>
      </w:r>
      <w:r/>
    </w:p>
    <w:p>
      <w:pPr>
        <w:pStyle w:val="792"/>
        <w:rPr>
          <w:rFonts w:asciiTheme="minorEastAsia" w:hAnsiTheme="minorEastAsia" w:eastAsiaTheme="minorEastAsia" w:cstheme="minorEastAsia"/>
          <w:szCs w:val="24"/>
        </w:rPr>
      </w:pPr>
      <w:r/>
      <w:bookmarkStart w:id="599" w:name="_Toc17059"/>
      <w:r/>
      <w:bookmarkStart w:id="600" w:name="_Toc8273"/>
      <w:r/>
      <w:bookmarkStart w:id="601" w:name="_Toc19729"/>
      <w:r>
        <w:rPr>
          <w:rFonts w:hint="eastAsia" w:asciiTheme="minorEastAsia" w:hAnsiTheme="minorEastAsia" w:eastAsiaTheme="minorEastAsia" w:cstheme="minorEastAsia"/>
        </w:rPr>
        <w:t xml:space="preserve">具备履行合同所必需的设备和专业技术能力的声明</w:t>
      </w:r>
      <w:bookmarkEnd w:id="599"/>
      <w:r/>
      <w:bookmarkEnd w:id="600"/>
      <w:r/>
      <w:bookmarkEnd w:id="601"/>
      <w:r/>
      <w:r/>
    </w:p>
    <w:p>
      <w:pPr>
        <w:pStyle w:val="1029"/>
        <w:jc w:val="center"/>
        <w:spacing w:line="360" w:lineRule="auto"/>
        <w:rPr>
          <w:rFonts w:asciiTheme="minorEastAsia" w:hAnsiTheme="minorEastAsia" w:eastAsiaTheme="minorEastAsia" w:cstheme="minorEastAsia"/>
          <w:b/>
          <w:sz w:val="24"/>
        </w:rPr>
      </w:pPr>
      <w:r>
        <w:rPr>
          <w:rFonts w:asciiTheme="minorEastAsia" w:hAnsiTheme="minorEastAsia" w:eastAsiaTheme="minorEastAsia" w:cstheme="minorEastAsia"/>
          <w:b/>
          <w:sz w:val="24"/>
        </w:rPr>
      </w:r>
      <w:r/>
    </w:p>
    <w:p>
      <w:pPr>
        <w:pStyle w:val="102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u w:val="single"/>
        </w:rPr>
        <w:t xml:space="preserve">               （采购单位名称）</w:t>
      </w:r>
      <w:r>
        <w:rPr>
          <w:rFonts w:hint="eastAsia" w:asciiTheme="minorEastAsia" w:hAnsiTheme="minorEastAsia" w:eastAsiaTheme="minorEastAsia" w:cstheme="minorEastAsia"/>
          <w:sz w:val="24"/>
        </w:rPr>
        <w:t xml:space="preserve">：</w:t>
      </w:r>
      <w:r/>
    </w:p>
    <w:p>
      <w:pPr>
        <w:pStyle w:val="1029"/>
        <w:ind w:firstLine="42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我单位（供应商名称）郑重声明：我公司具备履行本项采购合同所必需的设备和专业技术能力，为履行本项采购合同我单位具备如下主要设备和主要专业技术能力：</w:t>
      </w:r>
      <w:r/>
    </w:p>
    <w:p>
      <w:pPr>
        <w:pStyle w:val="1029"/>
        <w:ind w:firstLine="42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主要设备有：                          。( 若有 )</w:t>
      </w:r>
      <w:r/>
    </w:p>
    <w:p>
      <w:pPr>
        <w:pStyle w:val="1029"/>
        <w:ind w:firstLine="42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主要专业技术能力有：                  。( 若有 )</w:t>
      </w:r>
      <w:r/>
    </w:p>
    <w:p>
      <w:pPr>
        <w:pStyle w:val="1029"/>
        <w:ind w:firstLine="42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pStyle w:val="1029"/>
        <w:ind w:firstLine="42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pStyle w:val="1029"/>
        <w:ind w:firstLine="42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声明人：（电子签章）</w:t>
      </w:r>
      <w:r/>
    </w:p>
    <w:p>
      <w:pPr>
        <w:pStyle w:val="1029"/>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日期：     年    月    日</w:t>
      </w:r>
      <w:r/>
    </w:p>
    <w:p>
      <w:pPr>
        <w:pStyle w:val="1029"/>
        <w:ind w:firstLine="42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pStyle w:val="1029"/>
        <w:jc w:val="left"/>
        <w:spacing w:line="360" w:lineRule="auto"/>
        <w:rPr>
          <w:rFonts w:asciiTheme="minorEastAsia" w:hAnsiTheme="minorEastAsia" w:eastAsiaTheme="minorEastAsia" w:cstheme="minorEastAsia"/>
          <w:b/>
          <w:bCs/>
          <w:sz w:val="24"/>
        </w:rPr>
      </w:pPr>
      <w:r>
        <w:rPr>
          <w:rFonts w:hint="eastAsia" w:asciiTheme="minorEastAsia" w:hAnsiTheme="minorEastAsia" w:eastAsiaTheme="minorEastAsia" w:cstheme="minorEastAsia"/>
          <w:sz w:val="24"/>
        </w:rPr>
        <w:t xml:space="preserve">其他证明材料及文件：（如果供应商认为需要提供的话）</w:t>
      </w:r>
      <w:r/>
    </w:p>
    <w:p>
      <w:pPr>
        <w:pStyle w:val="1029"/>
        <w:jc w:val="left"/>
        <w:spacing w:line="360" w:lineRule="auto"/>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p>
      <w:pPr>
        <w:pStyle w:val="1029"/>
        <w:spacing w:line="560" w:lineRule="exact"/>
        <w:rPr>
          <w:rFonts w:asciiTheme="minorEastAsia" w:hAnsiTheme="minorEastAsia" w:eastAsiaTheme="minorEastAsia" w:cstheme="minorEastAsia"/>
          <w:b/>
          <w:sz w:val="24"/>
        </w:rPr>
      </w:pPr>
      <w:r>
        <w:rPr>
          <w:rFonts w:asciiTheme="minorEastAsia" w:hAnsiTheme="minorEastAsia" w:eastAsiaTheme="minorEastAsia" w:cstheme="minorEastAsia"/>
          <w:b/>
          <w:sz w:val="24"/>
        </w:rPr>
      </w:r>
      <w:r/>
    </w:p>
    <w:p>
      <w:pPr>
        <w:pStyle w:val="1029"/>
        <w:spacing w:line="560" w:lineRule="exact"/>
        <w:rPr>
          <w:rFonts w:asciiTheme="minorEastAsia" w:hAnsiTheme="minorEastAsia" w:eastAsiaTheme="minorEastAsia" w:cstheme="minorEastAsia"/>
          <w:b/>
          <w:sz w:val="24"/>
        </w:rPr>
      </w:pPr>
      <w:r>
        <w:rPr>
          <w:rFonts w:asciiTheme="minorEastAsia" w:hAnsiTheme="minorEastAsia" w:eastAsiaTheme="minorEastAsia" w:cstheme="minorEastAsia"/>
          <w:b/>
          <w:sz w:val="24"/>
        </w:rPr>
      </w:r>
      <w:r/>
    </w:p>
    <w:p>
      <w:pPr>
        <w:pStyle w:val="1029"/>
        <w:spacing w:line="560" w:lineRule="exact"/>
        <w:rPr>
          <w:rFonts w:asciiTheme="minorEastAsia" w:hAnsiTheme="minorEastAsia" w:eastAsiaTheme="minorEastAsia" w:cstheme="minorEastAsia"/>
          <w:b/>
          <w:sz w:val="24"/>
        </w:rPr>
      </w:pPr>
      <w:r>
        <w:rPr>
          <w:rFonts w:asciiTheme="minorEastAsia" w:hAnsiTheme="minorEastAsia" w:eastAsiaTheme="minorEastAsia" w:cstheme="minorEastAsia"/>
          <w:b/>
          <w:sz w:val="24"/>
        </w:rPr>
      </w:r>
      <w:r/>
    </w:p>
    <w:p>
      <w:pPr>
        <w:pStyle w:val="1029"/>
        <w:spacing w:line="560" w:lineRule="exact"/>
        <w:rPr>
          <w:rFonts w:asciiTheme="minorEastAsia" w:hAnsiTheme="minorEastAsia" w:eastAsiaTheme="minorEastAsia" w:cstheme="minorEastAsia"/>
          <w:b/>
          <w:sz w:val="24"/>
        </w:rPr>
      </w:pPr>
      <w:r>
        <w:rPr>
          <w:rFonts w:asciiTheme="minorEastAsia" w:hAnsiTheme="minorEastAsia" w:eastAsiaTheme="minorEastAsia" w:cstheme="minorEastAsia"/>
          <w:b/>
          <w:sz w:val="24"/>
        </w:rPr>
      </w:r>
      <w:r/>
    </w:p>
    <w:p>
      <w:pPr>
        <w:pStyle w:val="1029"/>
        <w:spacing w:line="560" w:lineRule="exact"/>
        <w:rPr>
          <w:rFonts w:asciiTheme="minorEastAsia" w:hAnsiTheme="minorEastAsia" w:eastAsiaTheme="minorEastAsia" w:cstheme="minorEastAsia"/>
          <w:b/>
          <w:sz w:val="24"/>
        </w:rPr>
      </w:pPr>
      <w:r>
        <w:rPr>
          <w:rFonts w:asciiTheme="minorEastAsia" w:hAnsiTheme="minorEastAsia" w:eastAsiaTheme="minorEastAsia" w:cstheme="minorEastAsia"/>
          <w:b/>
          <w:sz w:val="24"/>
        </w:rPr>
      </w:r>
      <w:r/>
    </w:p>
    <w:p>
      <w:pPr>
        <w:pStyle w:val="1029"/>
        <w:spacing w:line="560" w:lineRule="exact"/>
        <w:rPr>
          <w:rFonts w:asciiTheme="minorEastAsia" w:hAnsiTheme="minorEastAsia" w:eastAsiaTheme="minorEastAsia" w:cstheme="minorEastAsia"/>
          <w:b/>
          <w:sz w:val="24"/>
        </w:rPr>
      </w:pPr>
      <w:r>
        <w:rPr>
          <w:rFonts w:asciiTheme="minorEastAsia" w:hAnsiTheme="minorEastAsia" w:eastAsiaTheme="minorEastAsia" w:cstheme="minorEastAsia"/>
          <w:b/>
          <w:sz w:val="24"/>
        </w:rPr>
      </w:r>
      <w:r/>
    </w:p>
    <w:p>
      <w:pPr>
        <w:pStyle w:val="1029"/>
        <w:spacing w:line="560" w:lineRule="exact"/>
        <w:rPr>
          <w:rFonts w:asciiTheme="minorEastAsia" w:hAnsiTheme="minorEastAsia" w:eastAsiaTheme="minorEastAsia" w:cstheme="minorEastAsia"/>
          <w:b/>
          <w:sz w:val="24"/>
        </w:rPr>
      </w:pPr>
      <w:r>
        <w:rPr>
          <w:rFonts w:asciiTheme="minorEastAsia" w:hAnsiTheme="minorEastAsia" w:eastAsiaTheme="minorEastAsia" w:cstheme="minorEastAsia"/>
          <w:b/>
          <w:sz w:val="24"/>
        </w:rPr>
      </w:r>
      <w:r/>
    </w:p>
    <w:p>
      <w:pPr>
        <w:pStyle w:val="1029"/>
        <w:spacing w:line="560" w:lineRule="exact"/>
        <w:rPr>
          <w:rFonts w:asciiTheme="minorEastAsia" w:hAnsiTheme="minorEastAsia" w:eastAsiaTheme="minorEastAsia" w:cstheme="minorEastAsia"/>
          <w:b/>
          <w:sz w:val="24"/>
        </w:rPr>
      </w:pPr>
      <w:r>
        <w:rPr>
          <w:rFonts w:asciiTheme="minorEastAsia" w:hAnsiTheme="minorEastAsia" w:eastAsiaTheme="minorEastAsia" w:cstheme="minorEastAsia"/>
          <w:b/>
          <w:sz w:val="24"/>
        </w:rPr>
      </w:r>
      <w:r/>
    </w:p>
    <w:p>
      <w:pPr>
        <w:pStyle w:val="1030"/>
        <w:rPr>
          <w:rFonts w:asciiTheme="minorEastAsia" w:hAnsiTheme="minorEastAsia" w:eastAsiaTheme="minorEastAsia" w:cstheme="minorEastAsia"/>
          <w:b/>
          <w:szCs w:val="24"/>
        </w:rPr>
      </w:pPr>
      <w:r>
        <w:rPr>
          <w:rFonts w:asciiTheme="minorEastAsia" w:hAnsiTheme="minorEastAsia" w:eastAsiaTheme="minorEastAsia" w:cstheme="minorEastAsia"/>
          <w:b/>
          <w:szCs w:val="24"/>
        </w:rPr>
      </w:r>
      <w:r/>
    </w:p>
    <w:p>
      <w:pPr>
        <w:pStyle w:val="1029"/>
        <w:rPr>
          <w:rFonts w:asciiTheme="minorEastAsia" w:hAnsiTheme="minorEastAsia" w:eastAsiaTheme="minorEastAsia" w:cstheme="minorEastAsia"/>
        </w:rPr>
      </w:pPr>
      <w:r>
        <w:rPr>
          <w:rFonts w:asciiTheme="minorEastAsia" w:hAnsiTheme="minorEastAsia" w:eastAsiaTheme="minorEastAsia" w:cstheme="minorEastAsia"/>
        </w:rPr>
      </w:r>
      <w:r/>
    </w:p>
    <w:p>
      <w:pPr>
        <w:pStyle w:val="1029"/>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pStyle w:val="1057"/>
        <w:ind w:firstLine="0"/>
        <w:spacing w:line="240" w:lineRule="auto"/>
        <w:rPr>
          <w:rFonts w:asciiTheme="minorEastAsia" w:hAnsiTheme="minorEastAsia" w:eastAsiaTheme="minorEastAsia" w:cstheme="minorEastAsia"/>
          <w:bCs w:val="0"/>
          <w:sz w:val="24"/>
          <w:szCs w:val="24"/>
        </w:rPr>
      </w:pPr>
      <w:r/>
      <w:bookmarkStart w:id="602" w:name="_Toc16987"/>
      <w:r/>
      <w:r/>
    </w:p>
    <w:p>
      <w:pPr>
        <w:pStyle w:val="1057"/>
        <w:ind w:firstLine="0"/>
        <w:spacing w:line="240" w:lineRule="auto"/>
        <w:rPr>
          <w:rFonts w:asciiTheme="minorEastAsia" w:hAnsiTheme="minorEastAsia" w:eastAsiaTheme="minorEastAsia" w:cstheme="minorEastAsia"/>
          <w:bCs w:val="0"/>
          <w:sz w:val="24"/>
          <w:szCs w:val="24"/>
        </w:rPr>
      </w:pPr>
      <w:r>
        <w:rPr>
          <w:rFonts w:hint="eastAsia" w:asciiTheme="minorEastAsia" w:hAnsiTheme="minorEastAsia" w:eastAsiaTheme="minorEastAsia" w:cstheme="minorEastAsia"/>
          <w:bCs w:val="0"/>
          <w:sz w:val="24"/>
          <w:szCs w:val="24"/>
        </w:rPr>
        <w:br w:type="page" w:clear="all"/>
      </w:r>
      <w:r>
        <w:rPr>
          <w:rFonts w:hint="eastAsia" w:asciiTheme="minorEastAsia" w:hAnsiTheme="minorEastAsia" w:eastAsiaTheme="minorEastAsia" w:cstheme="minorEastAsia"/>
          <w:bCs w:val="0"/>
          <w:sz w:val="24"/>
          <w:szCs w:val="24"/>
        </w:rPr>
        <w:t xml:space="preserve">附件七</w:t>
      </w:r>
      <w:bookmarkEnd w:id="602"/>
      <w:r/>
      <w:r/>
    </w:p>
    <w:p>
      <w:pPr>
        <w:pStyle w:val="1029"/>
        <w:rPr>
          <w:rFonts w:asciiTheme="minorEastAsia" w:hAnsiTheme="minorEastAsia" w:eastAsiaTheme="minorEastAsia" w:cstheme="minorEastAsia"/>
        </w:rPr>
      </w:pPr>
      <w:r>
        <w:rPr>
          <w:rFonts w:asciiTheme="minorEastAsia" w:hAnsiTheme="minorEastAsia" w:eastAsiaTheme="minorEastAsia" w:cstheme="minorEastAsia"/>
        </w:rPr>
      </w:r>
      <w:r/>
    </w:p>
    <w:p>
      <w:pPr>
        <w:pStyle w:val="792"/>
        <w:rPr>
          <w:rFonts w:asciiTheme="minorEastAsia" w:hAnsiTheme="minorEastAsia" w:eastAsiaTheme="minorEastAsia" w:cstheme="minorEastAsia"/>
          <w:b w:val="0"/>
          <w:szCs w:val="24"/>
        </w:rPr>
      </w:pPr>
      <w:r/>
      <w:bookmarkStart w:id="603" w:name="_Toc19960"/>
      <w:r/>
      <w:bookmarkStart w:id="604" w:name="_Toc8045"/>
      <w:r/>
      <w:bookmarkStart w:id="605" w:name="_Toc11288"/>
      <w:r>
        <w:rPr>
          <w:rFonts w:hint="eastAsia" w:asciiTheme="minorEastAsia" w:hAnsiTheme="minorEastAsia" w:eastAsiaTheme="minorEastAsia" w:cstheme="minorEastAsia"/>
        </w:rPr>
        <w:t xml:space="preserve">无重大违法记录声明</w:t>
      </w:r>
      <w:bookmarkEnd w:id="603"/>
      <w:r/>
      <w:bookmarkEnd w:id="604"/>
      <w:r/>
      <w:bookmarkEnd w:id="605"/>
      <w:r/>
      <w:r/>
    </w:p>
    <w:p>
      <w:pPr>
        <w:pStyle w:val="1029"/>
        <w:jc w:val="center"/>
        <w:tabs>
          <w:tab w:val="left" w:pos="6300" w:leader="none"/>
        </w:tabs>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pStyle w:val="1029"/>
        <w:spacing w:line="560" w:lineRule="exact"/>
        <w:tabs>
          <w:tab w:val="left" w:pos="6300" w:leader="none"/>
        </w:tabs>
        <w:rPr>
          <w:rFonts w:asciiTheme="minorEastAsia" w:hAnsiTheme="minorEastAsia" w:eastAsiaTheme="minorEastAsia" w:cstheme="minorEastAsia"/>
          <w:sz w:val="24"/>
          <w:u w:val="single"/>
        </w:rPr>
      </w:pPr>
      <w:r>
        <w:rPr>
          <w:rFonts w:asciiTheme="minorEastAsia" w:hAnsiTheme="minorEastAsia" w:eastAsiaTheme="minorEastAsia" w:cstheme="minorEastAsia"/>
          <w:sz w:val="24"/>
          <w:u w:val="single"/>
        </w:rPr>
      </w:r>
      <w:r/>
    </w:p>
    <w:p>
      <w:pPr>
        <w:pStyle w:val="1029"/>
        <w:spacing w:line="560" w:lineRule="exact"/>
        <w:tabs>
          <w:tab w:val="left" w:pos="63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致：（采购代理机构名称）：</w:t>
      </w:r>
      <w:r/>
    </w:p>
    <w:p>
      <w:pPr>
        <w:pStyle w:val="1029"/>
        <w:spacing w:line="560" w:lineRule="exact"/>
        <w:tabs>
          <w:tab w:val="left" w:pos="6300" w:leader="none"/>
        </w:tabs>
        <w:rPr>
          <w:rFonts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 xml:space="preserve">（供应商名称）郑重声明，我方参加</w:t>
      </w:r>
      <w:r/>
    </w:p>
    <w:p>
      <w:pPr>
        <w:pStyle w:val="1029"/>
        <w:spacing w:line="560" w:lineRule="exact"/>
        <w:tabs>
          <w:tab w:val="left" w:pos="63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（项目名称）采购活动前三年内无重大违法活动记录，符合《政府采购法》规定的供应商资格条件。我方对此声明负全部法律责任。</w:t>
      </w:r>
      <w:r/>
    </w:p>
    <w:p>
      <w:pPr>
        <w:pStyle w:val="1029"/>
        <w:ind w:firstLine="525"/>
        <w:spacing w:line="560" w:lineRule="exact"/>
        <w:tabs>
          <w:tab w:val="left" w:pos="63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特此声明。</w:t>
      </w:r>
      <w:r/>
    </w:p>
    <w:p>
      <w:pPr>
        <w:pStyle w:val="1029"/>
        <w:ind w:right="1032"/>
        <w:spacing w:line="560" w:lineRule="exact"/>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pStyle w:val="1029"/>
        <w:ind w:right="1032"/>
        <w:spacing w:line="560" w:lineRule="exact"/>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pStyle w:val="1029"/>
        <w:ind w:right="1032" w:firstLine="5762"/>
        <w:spacing w:line="5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供应商（电子签章）：</w:t>
      </w:r>
      <w:r/>
    </w:p>
    <w:p>
      <w:pPr>
        <w:pStyle w:val="1029"/>
        <w:ind w:right="1032" w:firstLine="3360"/>
        <w:spacing w:line="5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法定代表人或被授权代表（签名或印鉴）：</w:t>
      </w:r>
      <w:r/>
    </w:p>
    <w:p>
      <w:pPr>
        <w:pStyle w:val="1029"/>
        <w:ind w:right="516" w:firstLine="7272"/>
        <w:spacing w:line="5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年 月  日</w:t>
      </w:r>
      <w:r/>
    </w:p>
    <w:p>
      <w:pPr>
        <w:pStyle w:val="1029"/>
        <w:spacing w:line="560" w:lineRule="exact"/>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br w:type="page" w:clear="all"/>
      </w:r>
      <w:r/>
    </w:p>
    <w:p>
      <w:pPr>
        <w:pStyle w:val="1029"/>
        <w:spacing w:line="560" w:lineRule="exact"/>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附件八</w:t>
      </w:r>
      <w:r/>
    </w:p>
    <w:p>
      <w:pPr>
        <w:pStyle w:val="770"/>
        <w:jc w:val="center"/>
        <w:spacing w:before="0" w:beforeAutospacing="0" w:after="0" w:afterAutospacing="0" w:line="360" w:lineRule="auto"/>
        <w:widowControl w:val="off"/>
      </w:pPr>
      <w:r>
        <w:rPr>
          <w:rFonts w:hint="eastAsia" w:hAnsi="宋体" w:cs="宋体"/>
          <w:b/>
          <w:bCs/>
        </w:rPr>
        <w:t xml:space="preserve">中小微企业声明函（工程类项目）（采购包号：**）</w:t>
      </w:r>
      <w:r/>
    </w:p>
    <w:p>
      <w:pPr>
        <w:pStyle w:val="770"/>
        <w:jc w:val="center"/>
        <w:spacing w:before="0" w:beforeAutospacing="0" w:after="0" w:afterAutospacing="0" w:line="360" w:lineRule="auto"/>
        <w:widowControl w:val="off"/>
      </w:pPr>
      <w:r>
        <w:t xml:space="preserve"> </w:t>
      </w:r>
      <w:r/>
    </w:p>
    <w:p>
      <w:pPr>
        <w:pStyle w:val="770"/>
        <w:ind w:firstLine="360"/>
        <w:jc w:val="both"/>
        <w:spacing w:before="0" w:beforeAutospacing="0" w:after="0" w:afterAutospacing="0" w:line="360" w:lineRule="auto"/>
        <w:widowControl w:val="off"/>
      </w:pPr>
      <w:r>
        <w:rPr>
          <w:rFonts w:hint="eastAsia" w:hAnsi="宋体" w:cs="宋体"/>
        </w:rPr>
        <w:t xml:space="preserve">本公司（联合体）郑重声明，根据《政府采购促进中小企业发展管理办法》(财库〔2020〕46号)的规定，本公司（联合体）参加</w:t>
      </w:r>
      <w:r>
        <w:rPr>
          <w:rFonts w:hint="eastAsia" w:hAnsi="宋体" w:cs="宋体"/>
          <w:u w:val="single"/>
        </w:rPr>
        <w:t xml:space="preserve">（单位名称）</w:t>
      </w:r>
      <w:r>
        <w:rPr>
          <w:rFonts w:hint="eastAsia" w:hAnsi="宋体" w:cs="宋体"/>
        </w:rPr>
        <w:t xml:space="preserve">采购编号为</w:t>
      </w:r>
      <w:r>
        <w:rPr>
          <w:rFonts w:hint="eastAsia" w:hAnsi="宋体" w:cs="宋体"/>
          <w:u w:val="single"/>
        </w:rPr>
        <w:t xml:space="preserve">（采购编号）</w:t>
      </w:r>
      <w:r>
        <w:rPr>
          <w:rFonts w:hint="eastAsia" w:hAnsi="宋体" w:cs="宋体"/>
        </w:rPr>
        <w:t xml:space="preserve">，</w:t>
      </w:r>
      <w:r>
        <w:rPr>
          <w:rFonts w:hint="eastAsia" w:hAnsi="宋体" w:cs="宋体"/>
          <w:u w:val="single"/>
        </w:rPr>
        <w:t xml:space="preserve">      </w:t>
      </w:r>
      <w:r>
        <w:rPr>
          <w:rFonts w:hint="eastAsia" w:hAnsi="宋体" w:cs="宋体"/>
        </w:rPr>
        <w:t xml:space="preserve">项目（项目名称）（采购包号：**）的采购活动，工程的施工单位全部由符合政策的中小微企业承接。相关企业（含联合体中的中小微企业、签订采购包意向协议的中小微企业）的具体情况如下：</w:t>
      </w:r>
      <w:r/>
    </w:p>
    <w:p>
      <w:pPr>
        <w:pStyle w:val="770"/>
        <w:ind w:firstLine="360"/>
        <w:jc w:val="both"/>
        <w:spacing w:before="0" w:beforeAutospacing="0" w:after="0" w:afterAutospacing="0" w:line="360" w:lineRule="auto"/>
        <w:widowControl w:val="off"/>
      </w:pPr>
      <w:r>
        <w:rPr>
          <w:rFonts w:hint="eastAsia" w:hAnsi="宋体" w:cs="宋体"/>
        </w:rPr>
        <w:t xml:space="preserve">1.</w:t>
      </w:r>
      <w:r>
        <w:rPr>
          <w:rFonts w:hint="eastAsia" w:hAnsi="宋体" w:cs="宋体"/>
          <w:u w:val="single"/>
        </w:rPr>
        <w:t xml:space="preserve">（标的名称）</w:t>
      </w:r>
      <w:r>
        <w:rPr>
          <w:rFonts w:hint="eastAsia" w:hAnsi="宋体" w:cs="宋体"/>
          <w:i/>
          <w:iCs/>
        </w:rPr>
        <w:t xml:space="preserve">，</w:t>
      </w:r>
      <w:r>
        <w:rPr>
          <w:rFonts w:hint="eastAsia" w:hAnsi="宋体" w:cs="宋体"/>
        </w:rPr>
        <w:t xml:space="preserve">属于</w:t>
      </w:r>
      <w:r>
        <w:rPr>
          <w:rFonts w:hint="eastAsia" w:hAnsi="宋体" w:cs="宋体"/>
          <w:u w:val="single"/>
        </w:rPr>
        <w:t xml:space="preserve">（供应商填写招标文件中明确的所属行业）</w:t>
      </w:r>
      <w:r>
        <w:rPr>
          <w:rFonts w:hint="eastAsia" w:hAnsi="宋体" w:cs="宋体"/>
        </w:rPr>
        <w:t xml:space="preserve">行业；承接企业为</w:t>
      </w:r>
      <w:r>
        <w:rPr>
          <w:rFonts w:hint="eastAsia" w:hAnsi="宋体" w:cs="宋体"/>
          <w:u w:val="single"/>
        </w:rPr>
        <w:t xml:space="preserve">（企业名称）</w:t>
      </w:r>
      <w:r>
        <w:rPr>
          <w:rFonts w:hint="eastAsia" w:hAnsi="宋体" w:cs="宋体"/>
        </w:rPr>
        <w:t xml:space="preserve">，从业人员</w:t>
      </w:r>
      <w:r>
        <w:rPr>
          <w:rFonts w:hint="eastAsia" w:hAnsi="宋体" w:cs="宋体"/>
          <w:u w:val="single"/>
        </w:rPr>
        <w:t xml:space="preserve">      </w:t>
      </w:r>
      <w:r>
        <w:rPr>
          <w:rFonts w:hint="eastAsia" w:hAnsi="宋体" w:cs="宋体"/>
        </w:rPr>
        <w:t xml:space="preserve">人，营业收入为</w:t>
      </w:r>
      <w:r>
        <w:rPr>
          <w:rFonts w:hint="eastAsia" w:hAnsi="宋体" w:cs="宋体"/>
          <w:u w:val="single"/>
        </w:rPr>
        <w:t xml:space="preserve">     </w:t>
      </w:r>
      <w:r>
        <w:rPr>
          <w:rFonts w:hint="eastAsia" w:hAnsi="宋体" w:cs="宋体"/>
        </w:rPr>
        <w:t xml:space="preserve">万元，资产总额为</w:t>
      </w:r>
      <w:r>
        <w:rPr>
          <w:rFonts w:hint="eastAsia" w:hAnsi="宋体" w:cs="宋体"/>
          <w:u w:val="single"/>
        </w:rPr>
        <w:t xml:space="preserve">      </w:t>
      </w:r>
      <w:r>
        <w:rPr>
          <w:rFonts w:hint="eastAsia" w:hAnsi="宋体" w:cs="宋体"/>
        </w:rPr>
        <w:t xml:space="preserve">万元</w:t>
      </w:r>
      <w:r>
        <w:rPr>
          <w:rFonts w:hint="eastAsia" w:hAnsi="宋体" w:cs="宋体"/>
          <w:vertAlign w:val="superscript"/>
        </w:rPr>
        <w:t xml:space="preserve">1</w:t>
      </w:r>
      <w:r>
        <w:rPr>
          <w:rFonts w:hint="eastAsia" w:hAnsi="宋体" w:cs="宋体"/>
        </w:rPr>
        <w:t xml:space="preserve">，属于</w:t>
      </w:r>
      <w:r>
        <w:rPr>
          <w:rFonts w:hint="eastAsia" w:hAnsi="宋体" w:cs="宋体"/>
          <w:u w:val="single"/>
        </w:rPr>
        <w:t xml:space="preserve">（□中型企业 □小型企业 □微型企业）；</w:t>
      </w:r>
      <w:r/>
    </w:p>
    <w:p>
      <w:pPr>
        <w:pStyle w:val="770"/>
        <w:ind w:firstLine="360"/>
        <w:jc w:val="both"/>
        <w:spacing w:before="0" w:beforeAutospacing="0" w:after="0" w:afterAutospacing="0" w:line="360" w:lineRule="auto"/>
        <w:widowControl w:val="off"/>
      </w:pPr>
      <w:r>
        <w:rPr>
          <w:rFonts w:hint="eastAsia" w:hAnsi="宋体" w:cs="宋体"/>
        </w:rPr>
        <w:t xml:space="preserve">2.</w:t>
      </w:r>
      <w:r>
        <w:rPr>
          <w:rFonts w:hint="eastAsia" w:hAnsi="宋体" w:cs="宋体"/>
          <w:u w:val="single"/>
        </w:rPr>
        <w:t xml:space="preserve">（标的名称）</w:t>
      </w:r>
      <w:r>
        <w:rPr>
          <w:rFonts w:hint="eastAsia" w:hAnsi="宋体" w:cs="宋体"/>
          <w:i/>
          <w:iCs/>
        </w:rPr>
        <w:t xml:space="preserve">，</w:t>
      </w:r>
      <w:r>
        <w:rPr>
          <w:rFonts w:hint="eastAsia" w:hAnsi="宋体" w:cs="宋体"/>
        </w:rPr>
        <w:t xml:space="preserve">属于</w:t>
      </w:r>
      <w:r>
        <w:rPr>
          <w:rFonts w:hint="eastAsia" w:hAnsi="宋体" w:cs="宋体"/>
          <w:u w:val="single"/>
        </w:rPr>
        <w:t xml:space="preserve">（供应商填写招标文件中明确的所属行业）</w:t>
      </w:r>
      <w:r>
        <w:rPr>
          <w:rFonts w:hint="eastAsia" w:hAnsi="宋体" w:cs="宋体"/>
        </w:rPr>
        <w:t xml:space="preserve">行业；承接企业为</w:t>
      </w:r>
      <w:r>
        <w:rPr>
          <w:rFonts w:hint="eastAsia" w:hAnsi="宋体" w:cs="宋体"/>
          <w:u w:val="single"/>
        </w:rPr>
        <w:t xml:space="preserve">（企业名称）</w:t>
      </w:r>
      <w:r>
        <w:rPr>
          <w:rFonts w:hint="eastAsia" w:hAnsi="宋体" w:cs="宋体"/>
        </w:rPr>
        <w:t xml:space="preserve">，从业人员</w:t>
      </w:r>
      <w:r>
        <w:rPr>
          <w:rFonts w:hint="eastAsia" w:hAnsi="宋体" w:cs="宋体"/>
          <w:u w:val="single"/>
        </w:rPr>
        <w:t xml:space="preserve">      </w:t>
      </w:r>
      <w:r>
        <w:rPr>
          <w:rFonts w:hint="eastAsia" w:hAnsi="宋体" w:cs="宋体"/>
        </w:rPr>
        <w:t xml:space="preserve">人，营业收入为</w:t>
      </w:r>
      <w:r>
        <w:rPr>
          <w:rFonts w:hint="eastAsia" w:hAnsi="宋体" w:cs="宋体"/>
          <w:u w:val="single"/>
        </w:rPr>
        <w:t xml:space="preserve">     </w:t>
      </w:r>
      <w:r>
        <w:rPr>
          <w:rFonts w:hint="eastAsia" w:hAnsi="宋体" w:cs="宋体"/>
        </w:rPr>
        <w:t xml:space="preserve">万元，资产总额为</w:t>
      </w:r>
      <w:r>
        <w:rPr>
          <w:rFonts w:hint="eastAsia" w:hAnsi="宋体" w:cs="宋体"/>
          <w:u w:val="single"/>
        </w:rPr>
        <w:t xml:space="preserve">      </w:t>
      </w:r>
      <w:r>
        <w:rPr>
          <w:rFonts w:hint="eastAsia" w:hAnsi="宋体" w:cs="宋体"/>
        </w:rPr>
        <w:t xml:space="preserve">万元</w:t>
      </w:r>
      <w:r>
        <w:rPr>
          <w:rFonts w:hint="eastAsia" w:hAnsi="宋体" w:cs="宋体"/>
          <w:vertAlign w:val="superscript"/>
        </w:rPr>
        <w:t xml:space="preserve">1</w:t>
      </w:r>
      <w:r>
        <w:rPr>
          <w:rFonts w:hint="eastAsia" w:hAnsi="宋体" w:cs="宋体"/>
        </w:rPr>
        <w:t xml:space="preserve">，属于</w:t>
      </w:r>
      <w:r>
        <w:rPr>
          <w:rFonts w:hint="eastAsia" w:hAnsi="宋体" w:cs="宋体"/>
          <w:u w:val="single"/>
        </w:rPr>
        <w:t xml:space="preserve">（□中型企业 □小型企业 □微型企业）；</w:t>
      </w:r>
      <w:r/>
    </w:p>
    <w:p>
      <w:pPr>
        <w:pStyle w:val="770"/>
        <w:ind w:firstLine="360"/>
        <w:jc w:val="both"/>
        <w:spacing w:before="0" w:beforeAutospacing="0" w:after="0" w:afterAutospacing="0" w:line="360" w:lineRule="auto"/>
        <w:widowControl w:val="off"/>
      </w:pPr>
      <w:r>
        <w:rPr>
          <w:rFonts w:hint="eastAsia" w:hAnsi="宋体" w:cs="宋体"/>
        </w:rPr>
        <w:t xml:space="preserve">……</w:t>
      </w:r>
      <w:r/>
    </w:p>
    <w:p>
      <w:pPr>
        <w:pStyle w:val="770"/>
        <w:ind w:firstLine="360"/>
        <w:jc w:val="both"/>
        <w:spacing w:before="0" w:beforeAutospacing="0" w:after="0" w:afterAutospacing="0" w:line="360" w:lineRule="auto"/>
        <w:widowControl w:val="off"/>
      </w:pPr>
      <w:r>
        <w:rPr>
          <w:rFonts w:hint="eastAsia" w:hAnsi="宋体" w:cs="宋体"/>
        </w:rPr>
        <w:t xml:space="preserve">以上企业，不属于大企业的分支机构，不存在控股股东为大企业的情形，也不存在与大企业的负责人为同一人的情形。</w:t>
      </w:r>
      <w:r/>
    </w:p>
    <w:p>
      <w:pPr>
        <w:pStyle w:val="770"/>
        <w:ind w:firstLine="360"/>
        <w:jc w:val="both"/>
        <w:spacing w:before="0" w:beforeAutospacing="0" w:after="0" w:afterAutospacing="0" w:line="360" w:lineRule="auto"/>
        <w:widowControl w:val="off"/>
      </w:pPr>
      <w:r>
        <w:rPr>
          <w:rFonts w:hint="eastAsia" w:hAnsi="宋体" w:cs="宋体"/>
        </w:rPr>
        <w:t xml:space="preserve">本企业对上述声明内容的真实性负责。如有虚假，将依法承担相应责任</w:t>
      </w:r>
      <w:r/>
    </w:p>
    <w:p>
      <w:pPr>
        <w:pStyle w:val="770"/>
        <w:ind w:right="720"/>
        <w:jc w:val="both"/>
        <w:spacing w:before="0" w:beforeAutospacing="0" w:after="0" w:afterAutospacing="0" w:line="360" w:lineRule="auto"/>
        <w:widowControl w:val="off"/>
      </w:pPr>
      <w:r>
        <w:t xml:space="preserve"> </w:t>
      </w:r>
      <w:r/>
    </w:p>
    <w:p>
      <w:pPr>
        <w:pStyle w:val="770"/>
        <w:ind w:right="180" w:firstLine="360"/>
        <w:jc w:val="center"/>
        <w:spacing w:before="0" w:beforeAutospacing="0" w:after="0" w:afterAutospacing="0" w:line="360" w:lineRule="auto"/>
        <w:widowControl w:val="off"/>
      </w:pPr>
      <w:r>
        <w:rPr>
          <w:rFonts w:hint="eastAsia" w:hAnsi="宋体" w:cs="宋体"/>
        </w:rPr>
        <w:t xml:space="preserve">                                   企业名称（加盖CA电子公章）：</w:t>
      </w:r>
      <w:r/>
    </w:p>
    <w:p>
      <w:pPr>
        <w:pStyle w:val="770"/>
        <w:ind w:right="180" w:firstLine="360"/>
        <w:jc w:val="center"/>
        <w:spacing w:before="0" w:beforeAutospacing="0" w:after="0" w:afterAutospacing="0" w:line="360" w:lineRule="auto"/>
        <w:widowControl w:val="off"/>
      </w:pPr>
      <w:r>
        <w:rPr>
          <w:rFonts w:hint="eastAsia" w:hAnsi="宋体" w:cs="宋体"/>
          <w:shd w:val="clear" w:color="auto" w:fill="ffffff"/>
        </w:rPr>
        <w:t xml:space="preserve">                               日期：___年____月____日 </w:t>
      </w:r>
      <w:r/>
    </w:p>
    <w:p>
      <w:pPr>
        <w:pStyle w:val="770"/>
        <w:ind w:firstLine="480"/>
        <w:jc w:val="both"/>
        <w:spacing w:before="0" w:beforeAutospacing="0" w:after="0" w:afterAutospacing="0" w:line="0" w:lineRule="atLeast"/>
        <w:widowControl w:val="off"/>
      </w:pPr>
      <w:r>
        <w:t xml:space="preserve"> </w:t>
      </w:r>
      <w:r/>
    </w:p>
    <w:p>
      <w:pPr>
        <w:pStyle w:val="770"/>
        <w:ind w:firstLine="480"/>
        <w:jc w:val="both"/>
        <w:spacing w:before="0" w:beforeAutospacing="0" w:after="0" w:afterAutospacing="0" w:line="0" w:lineRule="atLeast"/>
        <w:widowControl w:val="off"/>
      </w:pPr>
      <w:r>
        <w:rPr>
          <w:rFonts w:hint="eastAsia" w:hAnsi="宋体" w:cs="宋体"/>
        </w:rPr>
        <w:t xml:space="preserve">备注：</w:t>
      </w:r>
      <w:r/>
    </w:p>
    <w:p>
      <w:pPr>
        <w:pStyle w:val="770"/>
        <w:ind w:firstLine="480"/>
        <w:jc w:val="both"/>
        <w:spacing w:before="0" w:beforeAutospacing="0" w:after="0" w:afterAutospacing="0" w:line="0" w:lineRule="atLeast"/>
        <w:widowControl w:val="off"/>
      </w:pPr>
      <w:r>
        <w:rPr>
          <w:rFonts w:hint="eastAsia" w:hAnsi="宋体" w:cs="宋体"/>
        </w:rPr>
        <w:t xml:space="preserve">1.从业人员、营业收入、资产总额填报上一年度数据，无上一年度数据的新成立企业可不填报。</w:t>
      </w:r>
      <w:r/>
    </w:p>
    <w:p>
      <w:pPr>
        <w:pStyle w:val="770"/>
        <w:ind w:firstLine="480"/>
        <w:jc w:val="both"/>
        <w:spacing w:before="0" w:beforeAutospacing="0" w:after="0" w:afterAutospacing="0" w:line="0" w:lineRule="atLeast"/>
        <w:widowControl w:val="off"/>
      </w:pPr>
      <w:r>
        <w:rPr>
          <w:rFonts w:hint="eastAsia" w:hAnsi="宋体" w:cs="宋体"/>
        </w:rPr>
        <w:t xml:space="preserve">2.专门面向中小微型企业采购的项目，供应商如不提供此声明函，则不能通过资格审查；非专门面向中小微型企业采购的项目，供应商如不提供此声明函，价格将不做相应扣除。</w:t>
      </w:r>
      <w:r/>
    </w:p>
    <w:p>
      <w:pPr>
        <w:pStyle w:val="770"/>
        <w:ind w:firstLine="480"/>
        <w:jc w:val="both"/>
        <w:spacing w:before="0" w:beforeAutospacing="0" w:after="0" w:afterAutospacing="0" w:line="0" w:lineRule="atLeast"/>
        <w:widowControl w:val="off"/>
      </w:pPr>
      <w:r>
        <w:rPr>
          <w:rFonts w:hint="eastAsia" w:hAnsi="宋体" w:cs="宋体"/>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pStyle w:val="1029"/>
        <w:spacing w:line="460" w:lineRule="exact"/>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附件九</w:t>
      </w:r>
      <w:r/>
    </w:p>
    <w:p>
      <w:pPr>
        <w:pStyle w:val="792"/>
        <w:rPr>
          <w:rFonts w:asciiTheme="minorEastAsia" w:hAnsiTheme="minorEastAsia" w:eastAsiaTheme="minorEastAsia" w:cstheme="minorEastAsia"/>
          <w:szCs w:val="24"/>
        </w:rPr>
      </w:pPr>
      <w:r/>
      <w:bookmarkStart w:id="606" w:name="_Toc5488"/>
      <w:r/>
      <w:bookmarkStart w:id="607" w:name="_Toc10995"/>
      <w:r/>
      <w:bookmarkStart w:id="608" w:name="_Toc6257"/>
      <w:r>
        <w:rPr>
          <w:rFonts w:hint="eastAsia" w:asciiTheme="minorEastAsia" w:hAnsiTheme="minorEastAsia" w:eastAsiaTheme="minorEastAsia" w:cstheme="minorEastAsia"/>
        </w:rPr>
        <w:t xml:space="preserve">残疾人福利性单位声明函</w:t>
      </w:r>
      <w:bookmarkEnd w:id="606"/>
      <w:r/>
      <w:bookmarkEnd w:id="607"/>
      <w:r/>
      <w:bookmarkEnd w:id="608"/>
      <w:r/>
      <w:r/>
    </w:p>
    <w:p>
      <w:pPr>
        <w:pStyle w:val="1029"/>
        <w:ind w:firstLine="624"/>
        <w:spacing w:line="588" w:lineRule="exact"/>
        <w:rPr>
          <w:rFonts w:asciiTheme="minorEastAsia" w:hAnsiTheme="minorEastAsia" w:eastAsiaTheme="minorEastAsia" w:cstheme="minorEastAsia"/>
          <w:spacing w:val="6"/>
          <w:sz w:val="24"/>
        </w:rPr>
      </w:pPr>
      <w:r>
        <w:rPr>
          <w:rFonts w:asciiTheme="minorEastAsia" w:hAnsiTheme="minorEastAsia" w:eastAsiaTheme="minorEastAsia" w:cstheme="minorEastAsia"/>
          <w:spacing w:val="6"/>
          <w:sz w:val="24"/>
        </w:rPr>
      </w:r>
      <w:r/>
    </w:p>
    <w:p>
      <w:pPr>
        <w:pStyle w:val="1058"/>
        <w:ind w:right="641" w:firstLine="468"/>
        <w:spacing w:before="1" w:line="398"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pacing w:val="-3"/>
          <w:sz w:val="24"/>
        </w:rPr>
        <w:t xml:space="preserve">本单位郑重声明，根据《财政部 民政部 中国残疾人联合会关于促进残疾人就业政府采购政策的通知》</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pacing w:val="-2"/>
          <w:sz w:val="24"/>
        </w:rPr>
        <w:t xml:space="preserve">财库〔</w:t>
      </w:r>
      <w:r>
        <w:rPr>
          <w:rFonts w:hint="eastAsia" w:asciiTheme="minorEastAsia" w:hAnsiTheme="minorEastAsia" w:eastAsiaTheme="minorEastAsia" w:cstheme="minorEastAsia"/>
          <w:sz w:val="24"/>
        </w:rPr>
        <w:t xml:space="preserve">2017</w:t>
      </w:r>
      <w:r>
        <w:rPr>
          <w:rFonts w:hint="eastAsia" w:asciiTheme="minorEastAsia" w:hAnsiTheme="minorEastAsia" w:eastAsiaTheme="minorEastAsia" w:cstheme="minorEastAsia"/>
          <w:spacing w:val="2"/>
          <w:sz w:val="24"/>
        </w:rPr>
        <w:t xml:space="preserve">〕 </w:t>
      </w:r>
      <w:r>
        <w:rPr>
          <w:rFonts w:hint="eastAsia" w:asciiTheme="minorEastAsia" w:hAnsiTheme="minorEastAsia" w:eastAsiaTheme="minorEastAsia" w:cstheme="minorEastAsia"/>
          <w:sz w:val="24"/>
        </w:rPr>
        <w:t xml:space="preserve">141</w:t>
      </w:r>
      <w:r>
        <w:rPr>
          <w:rFonts w:hint="eastAsia" w:asciiTheme="minorEastAsia" w:hAnsiTheme="minorEastAsia" w:eastAsiaTheme="minorEastAsia" w:cstheme="minorEastAsia"/>
          <w:spacing w:val="-28"/>
          <w:sz w:val="24"/>
        </w:rPr>
        <w:t xml:space="preserve"> 号</w:t>
      </w:r>
      <w:r>
        <w:rPr>
          <w:rFonts w:hint="eastAsia" w:asciiTheme="minorEastAsia" w:hAnsiTheme="minorEastAsia" w:eastAsiaTheme="minorEastAsia" w:cstheme="minorEastAsia"/>
          <w:spacing w:val="-3"/>
          <w:sz w:val="24"/>
        </w:rPr>
        <w:t xml:space="preserve">）的规定，本单位为符合条件的残疾人福利性单</w:t>
      </w:r>
      <w:r>
        <w:rPr>
          <w:rFonts w:hint="eastAsia" w:asciiTheme="minorEastAsia" w:hAnsiTheme="minorEastAsia" w:eastAsiaTheme="minorEastAsia" w:cstheme="minorEastAsia"/>
          <w:spacing w:val="-8"/>
          <w:sz w:val="24"/>
        </w:rPr>
        <w:t xml:space="preserve">位，且本单位参加单位的项目采购活动提供本单位制造的货物</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pacing w:val="-3"/>
          <w:sz w:val="24"/>
        </w:rPr>
        <w:t xml:space="preserve">由本单位承担工程</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pacing w:val="-2"/>
          <w:sz w:val="24"/>
        </w:rPr>
        <w:t xml:space="preserve">提供服务）</w:t>
      </w:r>
      <w:r>
        <w:rPr>
          <w:rFonts w:hint="eastAsia" w:asciiTheme="minorEastAsia" w:hAnsiTheme="minorEastAsia" w:eastAsiaTheme="minorEastAsia" w:cstheme="minorEastAsia"/>
          <w:spacing w:val="-3"/>
          <w:sz w:val="24"/>
        </w:rPr>
        <w:t xml:space="preserve">，或者提供其他残疾人福利性单位制造的货物（不包括使用非残疾人福利性单位注册商标的货物</w:t>
      </w:r>
      <w:r>
        <w:rPr>
          <w:rFonts w:hint="eastAsia" w:asciiTheme="minorEastAsia" w:hAnsiTheme="minorEastAsia" w:eastAsiaTheme="minorEastAsia" w:cstheme="minorEastAsia"/>
          <w:sz w:val="24"/>
        </w:rPr>
        <w:t xml:space="preserve">）。</w:t>
      </w:r>
      <w:r/>
    </w:p>
    <w:p>
      <w:pPr>
        <w:pStyle w:val="1058"/>
        <w:ind w:firstLine="48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本单位对上述声明的真实性负责。如有虚假，将依法承担相应责任。</w:t>
      </w:r>
      <w:r/>
    </w:p>
    <w:p>
      <w:pPr>
        <w:pStyle w:val="1058"/>
        <w:ind w:left="1260"/>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pStyle w:val="1058"/>
        <w:ind w:left="1260"/>
        <w:spacing w:before="12"/>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pStyle w:val="1058"/>
        <w:ind w:left="1260" w:right="639"/>
        <w:jc w:val="right"/>
        <w:tabs>
          <w:tab w:val="left" w:pos="5061"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供</w:t>
      </w:r>
      <w:r>
        <w:rPr>
          <w:rFonts w:hint="eastAsia" w:asciiTheme="minorEastAsia" w:hAnsiTheme="minorEastAsia" w:eastAsiaTheme="minorEastAsia" w:cstheme="minorEastAsia"/>
          <w:spacing w:val="-3"/>
          <w:sz w:val="24"/>
        </w:rPr>
        <w:t xml:space="preserve">应</w:t>
      </w:r>
      <w:r>
        <w:rPr>
          <w:rFonts w:hint="eastAsia" w:asciiTheme="minorEastAsia" w:hAnsiTheme="minorEastAsia" w:eastAsiaTheme="minorEastAsia" w:cstheme="minorEastAsia"/>
          <w:sz w:val="24"/>
        </w:rPr>
        <w:t xml:space="preserve">商：</w:t>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pacing w:val="-1"/>
          <w:sz w:val="24"/>
        </w:rPr>
        <w:t xml:space="preserve">（</w:t>
      </w:r>
      <w:r>
        <w:rPr>
          <w:rFonts w:hint="eastAsia" w:asciiTheme="minorEastAsia" w:hAnsiTheme="minorEastAsia" w:eastAsiaTheme="minorEastAsia" w:cstheme="minorEastAsia"/>
          <w:sz w:val="24"/>
        </w:rPr>
        <w:t xml:space="preserve">电子签章）</w:t>
      </w:r>
      <w:r/>
    </w:p>
    <w:p>
      <w:pPr>
        <w:pStyle w:val="1058"/>
        <w:ind w:left="1260"/>
        <w:spacing w:before="9"/>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pStyle w:val="1058"/>
        <w:ind w:left="1260" w:right="639"/>
        <w:jc w:val="right"/>
        <w:spacing w:before="1"/>
        <w:tabs>
          <w:tab w:val="left" w:pos="4511"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法</w:t>
      </w:r>
      <w:r>
        <w:rPr>
          <w:rFonts w:hint="eastAsia" w:asciiTheme="minorEastAsia" w:hAnsiTheme="minorEastAsia" w:eastAsiaTheme="minorEastAsia" w:cstheme="minorEastAsia"/>
          <w:spacing w:val="-3"/>
          <w:sz w:val="24"/>
        </w:rPr>
        <w:t xml:space="preserve">定</w:t>
      </w:r>
      <w:r>
        <w:rPr>
          <w:rFonts w:hint="eastAsia" w:asciiTheme="minorEastAsia" w:hAnsiTheme="minorEastAsia" w:eastAsiaTheme="minorEastAsia" w:cstheme="minorEastAsia"/>
          <w:sz w:val="24"/>
        </w:rPr>
        <w:t xml:space="preserve">代表</w:t>
      </w:r>
      <w:r>
        <w:rPr>
          <w:rFonts w:hint="eastAsia" w:asciiTheme="minorEastAsia" w:hAnsiTheme="minorEastAsia" w:eastAsiaTheme="minorEastAsia" w:cstheme="minorEastAsia"/>
          <w:spacing w:val="-3"/>
          <w:sz w:val="24"/>
        </w:rPr>
        <w:t xml:space="preserve">人</w:t>
      </w:r>
      <w:r>
        <w:rPr>
          <w:rFonts w:hint="eastAsia" w:asciiTheme="minorEastAsia" w:hAnsiTheme="minorEastAsia" w:eastAsiaTheme="minorEastAsia" w:cstheme="minorEastAsia"/>
          <w:sz w:val="24"/>
        </w:rPr>
        <w:t xml:space="preserve">或授</w:t>
      </w:r>
      <w:r>
        <w:rPr>
          <w:rFonts w:hint="eastAsia" w:asciiTheme="minorEastAsia" w:hAnsiTheme="minorEastAsia" w:eastAsiaTheme="minorEastAsia" w:cstheme="minorEastAsia"/>
          <w:spacing w:val="-3"/>
          <w:sz w:val="24"/>
        </w:rPr>
        <w:t xml:space="preserve">权</w:t>
      </w:r>
      <w:r>
        <w:rPr>
          <w:rFonts w:hint="eastAsia" w:asciiTheme="minorEastAsia" w:hAnsiTheme="minorEastAsia" w:eastAsiaTheme="minorEastAsia" w:cstheme="minorEastAsia"/>
          <w:sz w:val="24"/>
        </w:rPr>
        <w:t xml:space="preserve">委托人</w:t>
      </w:r>
      <w:r>
        <w:rPr>
          <w:rFonts w:hint="eastAsia" w:asciiTheme="minorEastAsia" w:hAnsiTheme="minorEastAsia" w:eastAsiaTheme="minorEastAsia" w:cstheme="minorEastAsia"/>
          <w:spacing w:val="-3"/>
          <w:sz w:val="24"/>
        </w:rPr>
        <w:t xml:space="preserve">：</w:t>
      </w:r>
      <w:r>
        <w:rPr>
          <w:rFonts w:hint="eastAsia" w:asciiTheme="minorEastAsia" w:hAnsiTheme="minorEastAsia" w:eastAsiaTheme="minorEastAsia" w:cstheme="minorEastAsia"/>
          <w:spacing w:val="-3"/>
          <w:sz w:val="24"/>
          <w:u w:val="single"/>
        </w:rPr>
        <w:tab/>
      </w:r>
      <w:r>
        <w:rPr>
          <w:rFonts w:hint="eastAsia" w:asciiTheme="minorEastAsia" w:hAnsiTheme="minorEastAsia" w:eastAsiaTheme="minorEastAsia" w:cstheme="minorEastAsia"/>
          <w:spacing w:val="-1"/>
          <w:sz w:val="24"/>
        </w:rPr>
        <w:t xml:space="preserve">（</w:t>
      </w:r>
      <w:r>
        <w:rPr>
          <w:rFonts w:hint="eastAsia" w:asciiTheme="minorEastAsia" w:hAnsiTheme="minorEastAsia" w:eastAsiaTheme="minorEastAsia" w:cstheme="minorEastAsia"/>
          <w:sz w:val="24"/>
        </w:rPr>
        <w:t xml:space="preserve">签名或印鉴）</w:t>
      </w:r>
      <w:r/>
    </w:p>
    <w:p>
      <w:pPr>
        <w:pStyle w:val="1058"/>
        <w:ind w:left="1260"/>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pStyle w:val="1058"/>
        <w:ind w:left="1260"/>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pStyle w:val="1058"/>
        <w:ind w:left="1260"/>
        <w:spacing w:before="3"/>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pStyle w:val="1029"/>
        <w:ind w:right="641"/>
        <w:jc w:val="right"/>
        <w:tabs>
          <w:tab w:val="left" w:pos="734" w:leader="none"/>
          <w:tab w:val="left" w:pos="1471"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年</w:t>
      </w:r>
      <w:r>
        <w:rPr>
          <w:rFonts w:hint="eastAsia" w:asciiTheme="minorEastAsia" w:hAnsiTheme="minorEastAsia" w:eastAsiaTheme="minorEastAsia" w:cstheme="minorEastAsia"/>
          <w:sz w:val="24"/>
        </w:rPr>
        <w:tab/>
      </w:r>
      <w:r>
        <w:rPr>
          <w:rFonts w:hint="eastAsia" w:asciiTheme="minorEastAsia" w:hAnsiTheme="minorEastAsia" w:eastAsiaTheme="minorEastAsia" w:cstheme="minorEastAsia"/>
          <w:sz w:val="24"/>
        </w:rPr>
        <w:t xml:space="preserve">月</w:t>
      </w:r>
      <w:r>
        <w:rPr>
          <w:rFonts w:hint="eastAsia" w:asciiTheme="minorEastAsia" w:hAnsiTheme="minorEastAsia" w:eastAsiaTheme="minorEastAsia" w:cstheme="minorEastAsia"/>
          <w:sz w:val="24"/>
        </w:rPr>
        <w:tab/>
      </w:r>
      <w:r>
        <w:rPr>
          <w:rFonts w:hint="eastAsia" w:asciiTheme="minorEastAsia" w:hAnsiTheme="minorEastAsia" w:eastAsiaTheme="minorEastAsia" w:cstheme="minorEastAsia"/>
          <w:sz w:val="24"/>
        </w:rPr>
        <w:t xml:space="preserve">日</w:t>
      </w:r>
      <w:r/>
    </w:p>
    <w:p>
      <w:pPr>
        <w:pStyle w:val="792"/>
        <w:jc w:val="both"/>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附件十</w:t>
      </w:r>
      <w:r/>
    </w:p>
    <w:p>
      <w:pPr>
        <w:pStyle w:val="792"/>
        <w:rPr>
          <w:rFonts w:asciiTheme="minorEastAsia" w:hAnsiTheme="minorEastAsia" w:eastAsiaTheme="minorEastAsia" w:cstheme="minorEastAsia"/>
        </w:rPr>
      </w:pPr>
      <w:r/>
      <w:bookmarkStart w:id="609" w:name="_Toc11345"/>
      <w:r/>
      <w:bookmarkStart w:id="610" w:name="_Toc11441"/>
      <w:r/>
      <w:bookmarkStart w:id="611" w:name="_Toc18910"/>
      <w:r>
        <w:rPr>
          <w:rFonts w:hint="eastAsia" w:asciiTheme="minorEastAsia" w:hAnsiTheme="minorEastAsia" w:eastAsiaTheme="minorEastAsia" w:cstheme="minorEastAsia"/>
        </w:rPr>
        <w:t xml:space="preserve">监狱企业证明文件</w:t>
      </w:r>
      <w:bookmarkEnd w:id="609"/>
      <w:r/>
      <w:bookmarkEnd w:id="610"/>
      <w:r/>
      <w:bookmarkEnd w:id="611"/>
      <w:r/>
      <w:r/>
    </w:p>
    <w:p>
      <w:pPr>
        <w:pStyle w:val="1058"/>
        <w:ind w:left="1134"/>
        <w:rPr>
          <w:rFonts w:asciiTheme="minorEastAsia" w:hAnsiTheme="minorEastAsia" w:eastAsiaTheme="minorEastAsia" w:cstheme="minorEastAsia"/>
          <w:b/>
          <w:sz w:val="24"/>
        </w:rPr>
      </w:pPr>
      <w:r>
        <w:rPr>
          <w:rFonts w:asciiTheme="minorEastAsia" w:hAnsiTheme="minorEastAsia" w:eastAsiaTheme="minorEastAsia" w:cstheme="minorEastAsia"/>
          <w:b/>
          <w:sz w:val="24"/>
        </w:rPr>
      </w:r>
      <w:r/>
    </w:p>
    <w:p>
      <w:pPr>
        <w:pStyle w:val="1058"/>
        <w:ind w:firstLine="518"/>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提供省级以上监狱管理局、戒毒管理局（含新疆生产建设兵团）出具的属于监狱企业的证明文件复印件（加盖供应商公章）</w:t>
      </w:r>
      <w:r/>
    </w:p>
    <w:p>
      <w:pPr>
        <w:rPr>
          <w:rFonts w:asciiTheme="minorEastAsia" w:hAnsiTheme="minorEastAsia" w:eastAsiaTheme="minorEastAsia" w:cstheme="minorEastAsia"/>
        </w:rPr>
      </w:pPr>
      <w:r>
        <w:rPr>
          <w:rFonts w:hint="eastAsia" w:asciiTheme="minorEastAsia" w:hAnsiTheme="minorEastAsia" w:eastAsiaTheme="minorEastAsia" w:cstheme="minorEastAsia"/>
        </w:rPr>
        <w:t xml:space="preserve">文件中。</w:t>
      </w:r>
      <w:r/>
    </w:p>
    <w:p>
      <w:pPr>
        <w:pStyle w:val="770"/>
        <w:jc w:val="center"/>
        <w:spacing w:before="0" w:beforeAutospacing="0" w:after="0" w:afterAutospacing="0"/>
        <w:widowControl w:val="off"/>
        <w:rPr>
          <w:rFonts w:asciiTheme="minorEastAsia" w:hAnsiTheme="minorEastAsia" w:eastAsiaTheme="minorEastAsia" w:cstheme="minorEastAsia"/>
        </w:rPr>
      </w:pPr>
      <w:r>
        <w:rPr>
          <w:rFonts w:hint="eastAsia" w:asciiTheme="minorEastAsia" w:hAnsiTheme="minorEastAsia" w:eastAsiaTheme="minorEastAsia" w:cstheme="minorEastAsia"/>
        </w:rPr>
        <w:t xml:space="preserve"> </w:t>
      </w:r>
      <w:r/>
    </w:p>
    <w:p>
      <w:pPr>
        <w:pStyle w:val="770"/>
        <w:jc w:val="center"/>
        <w:spacing w:before="0" w:beforeAutospacing="0" w:after="0" w:afterAutospacing="0"/>
        <w:widowControl w:val="off"/>
        <w:rPr>
          <w:rFonts w:asciiTheme="minorEastAsia" w:hAnsiTheme="minorEastAsia" w:eastAsiaTheme="minorEastAsia" w:cstheme="minorEastAsia"/>
          <w:b/>
          <w:sz w:val="36"/>
          <w:szCs w:val="20"/>
        </w:rPr>
      </w:pPr>
      <w:r>
        <w:rPr>
          <w:rFonts w:hint="eastAsia" w:asciiTheme="minorEastAsia" w:hAnsiTheme="minorEastAsia" w:eastAsiaTheme="minorEastAsia" w:cstheme="minorEastAsia"/>
          <w:b/>
          <w:sz w:val="36"/>
          <w:szCs w:val="20"/>
        </w:rPr>
        <w:t xml:space="preserve">技术偏离表</w:t>
      </w:r>
      <w:r/>
    </w:p>
    <w:p>
      <w:pPr>
        <w:pStyle w:val="770"/>
        <w:jc w:val="both"/>
        <w:spacing w:before="0" w:beforeAutospacing="0" w:after="0" w:afterAutospacing="0"/>
        <w:widowControl w:val="off"/>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格式自拟</w:t>
      </w:r>
      <w:r/>
    </w:p>
    <w:p>
      <w:pPr>
        <w:pStyle w:val="774"/>
        <w:rPr>
          <w:rFonts w:asciiTheme="minorEastAsia" w:hAnsiTheme="minorEastAsia" w:eastAsiaTheme="minorEastAsia" w:cstheme="minorEastAsia"/>
          <w:sz w:val="24"/>
        </w:rPr>
      </w:pPr>
      <w:r>
        <w:rPr>
          <w:rFonts w:asciiTheme="minorEastAsia" w:hAnsiTheme="minorEastAsia" w:eastAsiaTheme="minorEastAsia" w:cstheme="minorEastAsia"/>
          <w:sz w:val="24"/>
        </w:rPr>
      </w:r>
      <w:r/>
    </w:p>
    <w:sectPr>
      <w:footerReference w:type="default" r:id="rId11"/>
      <w:footnotePr/>
      <w:endnotePr/>
      <w:type w:val="nextPage"/>
      <w:pgSz w:w="11906" w:h="16838" w:orient="portrait"/>
      <w:pgMar w:top="1191" w:right="1191" w:bottom="1191" w:left="119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Adobe 仿宋 Std R">
    <w:panose1 w:val="020B0503020202020204"/>
  </w:font>
  <w:font w:name="Courier New">
    <w:panose1 w:val="02070309020205020404"/>
  </w:font>
  <w:font w:name="MS Mincho">
    <w:panose1 w:val="02020603050405090304"/>
  </w:font>
  <w:font w:name="Tahoma">
    <w:panose1 w:val="020B0604030504040204"/>
  </w:font>
  <w:font w:name="Comic Sans MS">
    <w:panose1 w:val="030F0702030302020204"/>
  </w:font>
  <w:font w:name="Cambria Math">
    <w:panose1 w:val="02040503050406030204"/>
  </w:font>
  <w:font w:name="楷体_GB2312">
    <w:panose1 w:val="02010609060101010101"/>
  </w:font>
  <w:font w:name="Calibri">
    <w:panose1 w:val="020F0502020204030204"/>
  </w:font>
  <w:font w:name="Arial">
    <w:panose1 w:val="020B0604020202020204"/>
  </w:font>
  <w:font w:name="黑体">
    <w:panose1 w:val="02010609060101010101"/>
  </w:font>
  <w:font w:name="Verdana">
    <w:panose1 w:val="020B0604030504040204"/>
  </w:font>
  <w:font w:name="仿宋_GB2312">
    <w:panose1 w:val="02010609060101010101"/>
  </w:font>
  <w:font w:name="宋体">
    <w:panose1 w:val="02010600030101010101"/>
  </w:font>
  <w:font w:name="Optima">
    <w:panose1 w:val="020B0503020202020204"/>
  </w:font>
  <w:font w:name="monospace">
    <w:panose1 w:val="020B0503020202020204"/>
  </w:font>
  <w:font w:name="Arial Black">
    <w:panose1 w:val="020B0A040201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jc w:val="center"/>
      <w:tabs>
        <w:tab w:val="clear" w:pos="4153"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jc w:val="center"/>
      <w:tabs>
        <w:tab w:val="clear" w:pos="415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03"/>
                          </w:pPr>
                          <w:r>
                            <w:fldChar w:fldCharType="begin"/>
                          </w:r>
                          <w:r>
                            <w:instrText xml:space="preserve"> PAGE  \* MERGEFORMAT </w:instrText>
                          </w:r>
                          <w:r>
                            <w:fldChar w:fldCharType="separate"/>
                          </w:r>
                          <w:r>
                            <w:t xml:space="preserve">24</w:t>
                          </w:r>
                          <w:r>
                            <w:fldChar w:fldCharType="end"/>
                          </w:r>
                          <w:r/>
                        </w:p>
                      </w:txbxContent>
                    </wps:txbx>
                    <wps:bodyPr wrap="square" lIns="0" tIns="0" rIns="0" bIns="0" upright="1"/>
                  </wps:wsp>
                </a:graphicData>
              </a:graphic>
            </wp:anchor>
          </w:drawing>
        </mc:Choice>
        <mc:Fallback>
          <w:pict>
            <v:shape id="shape 0" o:spid="_x0000_s0"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3"/>
                    </w:pPr>
                    <w:r>
                      <w:fldChar w:fldCharType="begin"/>
                    </w:r>
                    <w:r>
                      <w:instrText xml:space="preserve"> PAGE  \* MERGEFORMAT </w:instrText>
                    </w:r>
                    <w:r>
                      <w:fldChar w:fldCharType="separate"/>
                    </w:r>
                    <w:r>
                      <w:t xml:space="preserve">24</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ind w:firstLine="480"/>
      <w:jc w:val="center"/>
      <w:spacing w:after="120"/>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03"/>
                          </w:pPr>
                          <w:r>
                            <w:fldChar w:fldCharType="begin"/>
                          </w:r>
                          <w:r>
                            <w:instrText xml:space="preserve"> PAGE  \* MERGEFORMAT </w:instrText>
                          </w:r>
                          <w:r>
                            <w:fldChar w:fldCharType="separate"/>
                          </w:r>
                          <w:r>
                            <w:t xml:space="preserve">60</w:t>
                          </w:r>
                          <w:r>
                            <w:fldChar w:fldCharType="end"/>
                          </w:r>
                          <w:r/>
                        </w:p>
                      </w:txbxContent>
                    </wps:txbx>
                    <wps:bodyPr wrap="square" lIns="0" tIns="0" rIns="0" bIns="0" upright="1"/>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3"/>
                    </w:pPr>
                    <w:r>
                      <w:fldChar w:fldCharType="begin"/>
                    </w:r>
                    <w:r>
                      <w:instrText xml:space="preserve"> PAGE  \* MERGEFORMAT </w:instrText>
                    </w:r>
                    <w:r>
                      <w:fldChar w:fldCharType="separate"/>
                    </w:r>
                    <w:r>
                      <w:t xml:space="preserve">60</w:t>
                    </w:r>
                    <w:r>
                      <w:fldChar w:fldCharType="end"/>
                    </w:r>
                    <w:r/>
                  </w:p>
                </w:txbxContent>
              </v:textbox>
            </v:shape>
          </w:pict>
        </mc:Fallback>
      </mc:AlternateContent>
    </w:r>
    <w:r/>
  </w:p>
  <w:p>
    <w:pPr>
      <w:spacing w:line="1" w:lineRule="exact"/>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1">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
  </w:num>
  <w:num w:numId="2">
    <w:abstractNumId w:val="4"/>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6">
    <w:name w:val="Subtitle Char"/>
    <w:basedOn w:val="732"/>
    <w:link w:val="761"/>
    <w:uiPriority w:val="11"/>
    <w:rPr>
      <w:sz w:val="24"/>
      <w:szCs w:val="24"/>
    </w:rPr>
  </w:style>
  <w:style w:type="character" w:styleId="727">
    <w:name w:val="Quote Char"/>
    <w:link w:val="816"/>
    <w:uiPriority w:val="29"/>
    <w:rPr>
      <w:i/>
    </w:rPr>
  </w:style>
  <w:style w:type="character" w:styleId="728">
    <w:name w:val="Intense Quote Char"/>
    <w:link w:val="818"/>
    <w:uiPriority w:val="30"/>
    <w:rPr>
      <w:i/>
    </w:rPr>
  </w:style>
  <w:style w:type="character" w:styleId="729">
    <w:name w:val="Endnote Text Char"/>
    <w:link w:val="755"/>
    <w:uiPriority w:val="99"/>
    <w:rPr>
      <w:sz w:val="20"/>
    </w:rPr>
  </w:style>
  <w:style w:type="paragraph" w:styleId="730">
    <w:name w:val="TOC Heading"/>
    <w:uiPriority w:val="39"/>
    <w:unhideWhenUsed/>
  </w:style>
  <w:style w:type="paragraph" w:styleId="731" w:default="1">
    <w:name w:val="Normal"/>
    <w:uiPriority w:val="0"/>
    <w:qFormat/>
    <w:pPr>
      <w:jc w:val="both"/>
      <w:widowControl w:val="off"/>
    </w:pPr>
    <w:rPr>
      <w:rFonts w:ascii="Times New Roman" w:hAnsi="Times New Roman" w:eastAsia="宋体" w:cs="Times New Roman"/>
      <w:sz w:val="21"/>
      <w:szCs w:val="24"/>
      <w:lang w:val="en-US" w:eastAsia="zh-CN" w:bidi="ar-SA"/>
    </w:rPr>
  </w:style>
  <w:style w:type="character" w:styleId="732" w:default="1">
    <w:name w:val="Default Paragraph Font"/>
    <w:uiPriority w:val="1"/>
    <w:semiHidden/>
    <w:unhideWhenUsed/>
  </w:style>
  <w:style w:type="table" w:styleId="733" w:default="1">
    <w:name w:val="Normal Table"/>
    <w:uiPriority w:val="99"/>
    <w:semiHidden/>
    <w:unhideWhenUsed/>
    <w:qFormat/>
    <w:tblPr>
      <w:tblCellMar>
        <w:left w:w="108" w:type="dxa"/>
        <w:top w:w="0" w:type="dxa"/>
        <w:right w:w="108" w:type="dxa"/>
        <w:bottom w:w="0" w:type="dxa"/>
      </w:tblCellMar>
    </w:tblPr>
  </w:style>
  <w:style w:type="paragraph" w:styleId="734">
    <w:name w:val="List 3"/>
    <w:basedOn w:val="731"/>
    <w:uiPriority w:val="0"/>
    <w:qFormat/>
    <w:pPr>
      <w:contextualSpacing/>
      <w:ind w:left="100" w:hanging="200"/>
    </w:pPr>
  </w:style>
  <w:style w:type="paragraph" w:styleId="735">
    <w:name w:val="toc 7"/>
    <w:basedOn w:val="731"/>
    <w:next w:val="731"/>
    <w:uiPriority w:val="0"/>
    <w:qFormat/>
    <w:pPr>
      <w:ind w:left="1260"/>
      <w:jc w:val="left"/>
    </w:pPr>
    <w:rPr>
      <w:sz w:val="18"/>
      <w:szCs w:val="18"/>
    </w:rPr>
  </w:style>
  <w:style w:type="paragraph" w:styleId="736">
    <w:name w:val="Note Heading"/>
    <w:basedOn w:val="731"/>
    <w:next w:val="731"/>
    <w:uiPriority w:val="0"/>
    <w:qFormat/>
    <w:rPr>
      <w:rFonts w:ascii="Verdana" w:hAnsi="Verdana"/>
      <w:szCs w:val="20"/>
    </w:rPr>
  </w:style>
  <w:style w:type="paragraph" w:styleId="737">
    <w:name w:val="List Number"/>
    <w:basedOn w:val="731"/>
    <w:uiPriority w:val="0"/>
    <w:qFormat/>
    <w:pPr>
      <w:ind w:left="454" w:hanging="284"/>
      <w:jc w:val="left"/>
      <w:spacing w:after="50"/>
      <w:widowControl/>
      <w:tabs>
        <w:tab w:val="left" w:pos="454" w:leader="none"/>
        <w:tab w:val="left" w:pos="720" w:leader="none"/>
      </w:tabs>
    </w:pPr>
    <w:rPr>
      <w:sz w:val="24"/>
      <w:szCs w:val="20"/>
    </w:rPr>
  </w:style>
  <w:style w:type="paragraph" w:styleId="738">
    <w:name w:val="Normal Indent"/>
    <w:basedOn w:val="731"/>
    <w:next w:val="731"/>
    <w:link w:val="959"/>
    <w:uiPriority w:val="0"/>
    <w:qFormat/>
    <w:pPr>
      <w:ind w:firstLine="200"/>
    </w:pPr>
  </w:style>
  <w:style w:type="paragraph" w:styleId="739">
    <w:name w:val="index 5"/>
    <w:basedOn w:val="731"/>
    <w:next w:val="731"/>
    <w:uiPriority w:val="0"/>
    <w:qFormat/>
    <w:pPr>
      <w:ind w:left="1680"/>
    </w:pPr>
  </w:style>
  <w:style w:type="paragraph" w:styleId="740">
    <w:name w:val="annotation text"/>
    <w:basedOn w:val="731"/>
    <w:uiPriority w:val="0"/>
    <w:semiHidden/>
    <w:qFormat/>
    <w:pPr>
      <w:jc w:val="left"/>
    </w:pPr>
  </w:style>
  <w:style w:type="paragraph" w:styleId="741">
    <w:name w:val="Body Text 3"/>
    <w:basedOn w:val="731"/>
    <w:uiPriority w:val="0"/>
    <w:qFormat/>
    <w:pPr>
      <w:spacing w:after="120"/>
    </w:pPr>
    <w:rPr>
      <w:sz w:val="16"/>
      <w:szCs w:val="16"/>
    </w:rPr>
  </w:style>
  <w:style w:type="paragraph" w:styleId="742">
    <w:name w:val="Body Text"/>
    <w:basedOn w:val="731"/>
    <w:next w:val="731"/>
    <w:link w:val="960"/>
    <w:uiPriority w:val="0"/>
    <w:qFormat/>
    <w:pPr>
      <w:spacing w:after="120"/>
    </w:pPr>
  </w:style>
  <w:style w:type="paragraph" w:styleId="743">
    <w:name w:val="Body Text Indent"/>
    <w:basedOn w:val="731"/>
    <w:next w:val="744"/>
    <w:uiPriority w:val="0"/>
    <w:qFormat/>
    <w:pPr>
      <w:ind w:left="200"/>
      <w:spacing w:after="120"/>
    </w:pPr>
  </w:style>
  <w:style w:type="paragraph" w:styleId="744">
    <w:name w:val="envelope return"/>
    <w:basedOn w:val="745"/>
    <w:uiPriority w:val="0"/>
    <w:qFormat/>
    <w:rPr>
      <w:rFonts w:ascii="Arial" w:hAnsi="Arial"/>
    </w:rPr>
  </w:style>
  <w:style w:type="paragraph" w:styleId="745" w:customStyle="1">
    <w:name w:val="Normal_19"/>
    <w:next w:val="746"/>
    <w:uiPriority w:val="0"/>
    <w:qFormat/>
    <w:pPr>
      <w:jc w:val="both"/>
      <w:widowControl w:val="off"/>
    </w:pPr>
    <w:rPr>
      <w:rFonts w:ascii="Calibri" w:hAnsi="Calibri" w:eastAsia="宋体" w:cs="Times New Roman"/>
      <w:sz w:val="21"/>
      <w:szCs w:val="24"/>
      <w:lang w:val="en-US" w:eastAsia="zh-CN" w:bidi="ar-SA"/>
    </w:rPr>
  </w:style>
  <w:style w:type="paragraph" w:styleId="746" w:customStyle="1">
    <w:name w:val="正文文本缩进1"/>
    <w:basedOn w:val="745"/>
    <w:next w:val="744"/>
    <w:uiPriority w:val="0"/>
    <w:qFormat/>
    <w:pPr>
      <w:ind w:firstLine="225"/>
    </w:pPr>
    <w:rPr>
      <w:rFonts w:ascii="仿宋_GB2312" w:eastAsia="仿宋_GB2312"/>
      <w:sz w:val="32"/>
    </w:rPr>
  </w:style>
  <w:style w:type="paragraph" w:styleId="747">
    <w:name w:val="List 2"/>
    <w:basedOn w:val="731"/>
    <w:uiPriority w:val="0"/>
    <w:qFormat/>
    <w:pPr>
      <w:ind w:left="400" w:hanging="200"/>
    </w:pPr>
  </w:style>
  <w:style w:type="paragraph" w:styleId="748">
    <w:name w:val="index 4"/>
    <w:basedOn w:val="731"/>
    <w:next w:val="731"/>
    <w:uiPriority w:val="0"/>
    <w:qFormat/>
    <w:pPr>
      <w:ind w:left="600"/>
    </w:pPr>
    <w:rPr>
      <w:rFonts w:ascii="Verdana" w:hAnsi="Verdana"/>
      <w:szCs w:val="20"/>
    </w:rPr>
  </w:style>
  <w:style w:type="paragraph" w:styleId="749">
    <w:name w:val="toc 5"/>
    <w:basedOn w:val="731"/>
    <w:next w:val="731"/>
    <w:uiPriority w:val="0"/>
    <w:qFormat/>
    <w:pPr>
      <w:ind w:left="840"/>
      <w:jc w:val="left"/>
    </w:pPr>
    <w:rPr>
      <w:sz w:val="18"/>
      <w:szCs w:val="18"/>
    </w:rPr>
  </w:style>
  <w:style w:type="paragraph" w:styleId="750">
    <w:name w:val="toc 3"/>
    <w:basedOn w:val="731"/>
    <w:next w:val="731"/>
    <w:uiPriority w:val="0"/>
    <w:qFormat/>
    <w:pPr>
      <w:ind w:left="420"/>
      <w:jc w:val="left"/>
    </w:pPr>
    <w:rPr>
      <w:i/>
      <w:iCs/>
      <w:sz w:val="20"/>
      <w:szCs w:val="20"/>
    </w:rPr>
  </w:style>
  <w:style w:type="paragraph" w:styleId="751">
    <w:name w:val="Plain Text"/>
    <w:basedOn w:val="731"/>
    <w:next w:val="738"/>
    <w:link w:val="961"/>
    <w:uiPriority w:val="0"/>
    <w:qFormat/>
    <w:rPr>
      <w:rFonts w:ascii="宋体"/>
    </w:rPr>
  </w:style>
  <w:style w:type="paragraph" w:styleId="752">
    <w:name w:val="toc 8"/>
    <w:basedOn w:val="731"/>
    <w:next w:val="731"/>
    <w:uiPriority w:val="0"/>
    <w:qFormat/>
    <w:pPr>
      <w:ind w:left="1470"/>
      <w:jc w:val="left"/>
    </w:pPr>
    <w:rPr>
      <w:sz w:val="18"/>
      <w:szCs w:val="18"/>
    </w:rPr>
  </w:style>
  <w:style w:type="paragraph" w:styleId="753">
    <w:name w:val="Date"/>
    <w:basedOn w:val="731"/>
    <w:next w:val="731"/>
    <w:uiPriority w:val="0"/>
    <w:qFormat/>
    <w:pPr>
      <w:ind w:left="100"/>
    </w:pPr>
    <w:rPr>
      <w:sz w:val="28"/>
      <w:szCs w:val="20"/>
    </w:rPr>
  </w:style>
  <w:style w:type="paragraph" w:styleId="754">
    <w:name w:val="Body Text Indent 2"/>
    <w:basedOn w:val="731"/>
    <w:uiPriority w:val="0"/>
    <w:qFormat/>
    <w:pPr>
      <w:ind w:firstLine="200"/>
      <w:jc w:val="left"/>
      <w:spacing w:line="360" w:lineRule="auto"/>
    </w:pPr>
    <w:rPr>
      <w:rFonts w:ascii="仿宋_GB2312" w:eastAsia="仿宋_GB2312"/>
      <w:b/>
      <w:bCs/>
      <w:sz w:val="24"/>
    </w:rPr>
  </w:style>
  <w:style w:type="paragraph" w:styleId="755">
    <w:name w:val="endnote text"/>
    <w:basedOn w:val="731"/>
    <w:link w:val="949"/>
    <w:uiPriority w:val="99"/>
    <w:semiHidden/>
    <w:unhideWhenUsed/>
    <w:qFormat/>
    <w:rPr>
      <w:sz w:val="20"/>
    </w:rPr>
  </w:style>
  <w:style w:type="paragraph" w:styleId="756">
    <w:name w:val="Balloon Text"/>
    <w:basedOn w:val="731"/>
    <w:uiPriority w:val="0"/>
    <w:qFormat/>
    <w:rPr>
      <w:sz w:val="18"/>
      <w:szCs w:val="18"/>
    </w:rPr>
  </w:style>
  <w:style w:type="paragraph" w:styleId="757">
    <w:name w:val="Footer"/>
    <w:basedOn w:val="731"/>
    <w:link w:val="1064"/>
    <w:uiPriority w:val="99"/>
    <w:semiHidden/>
    <w:unhideWhenUsed/>
    <w:qFormat/>
    <w:pPr>
      <w:jc w:val="left"/>
      <w:tabs>
        <w:tab w:val="center" w:pos="4153" w:leader="none"/>
        <w:tab w:val="right" w:pos="8306" w:leader="none"/>
      </w:tabs>
    </w:pPr>
    <w:rPr>
      <w:sz w:val="18"/>
      <w:szCs w:val="18"/>
    </w:rPr>
  </w:style>
  <w:style w:type="paragraph" w:styleId="758">
    <w:name w:val="Header"/>
    <w:basedOn w:val="731"/>
    <w:link w:val="1063"/>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759">
    <w:name w:val="toc 1"/>
    <w:basedOn w:val="731"/>
    <w:next w:val="731"/>
    <w:uiPriority w:val="0"/>
    <w:qFormat/>
    <w:pPr>
      <w:jc w:val="left"/>
      <w:spacing w:before="120" w:after="120"/>
    </w:pPr>
    <w:rPr>
      <w:b/>
      <w:bCs/>
      <w:caps/>
      <w:sz w:val="20"/>
      <w:szCs w:val="20"/>
    </w:rPr>
  </w:style>
  <w:style w:type="paragraph" w:styleId="760">
    <w:name w:val="toc 4"/>
    <w:basedOn w:val="731"/>
    <w:next w:val="731"/>
    <w:uiPriority w:val="0"/>
    <w:qFormat/>
    <w:pPr>
      <w:ind w:left="630"/>
      <w:jc w:val="left"/>
    </w:pPr>
    <w:rPr>
      <w:sz w:val="18"/>
      <w:szCs w:val="18"/>
    </w:rPr>
  </w:style>
  <w:style w:type="paragraph" w:styleId="761">
    <w:name w:val="Subtitle"/>
    <w:basedOn w:val="731"/>
    <w:next w:val="731"/>
    <w:link w:val="815"/>
    <w:uiPriority w:val="11"/>
    <w:qFormat/>
    <w:pPr>
      <w:spacing w:before="200" w:after="200"/>
    </w:pPr>
    <w:rPr>
      <w:sz w:val="24"/>
    </w:rPr>
  </w:style>
  <w:style w:type="paragraph" w:styleId="762">
    <w:name w:val="footnote text"/>
    <w:basedOn w:val="731"/>
    <w:link w:val="963"/>
    <w:uiPriority w:val="0"/>
    <w:qFormat/>
    <w:pPr>
      <w:jc w:val="left"/>
    </w:pPr>
    <w:rPr>
      <w:sz w:val="18"/>
      <w:szCs w:val="18"/>
    </w:rPr>
  </w:style>
  <w:style w:type="paragraph" w:styleId="763">
    <w:name w:val="toc 6"/>
    <w:basedOn w:val="731"/>
    <w:next w:val="731"/>
    <w:uiPriority w:val="0"/>
    <w:qFormat/>
    <w:pPr>
      <w:ind w:left="1050"/>
      <w:jc w:val="left"/>
    </w:pPr>
    <w:rPr>
      <w:sz w:val="18"/>
      <w:szCs w:val="18"/>
    </w:rPr>
  </w:style>
  <w:style w:type="paragraph" w:styleId="764">
    <w:name w:val="Body Text Indent 3"/>
    <w:basedOn w:val="731"/>
    <w:uiPriority w:val="0"/>
    <w:qFormat/>
    <w:pPr>
      <w:ind w:firstLine="570"/>
    </w:pPr>
    <w:rPr>
      <w:rFonts w:ascii="楷体_GB2312" w:eastAsia="楷体_GB2312"/>
      <w:sz w:val="32"/>
      <w:szCs w:val="20"/>
    </w:rPr>
  </w:style>
  <w:style w:type="paragraph" w:styleId="765">
    <w:name w:val="index 9"/>
    <w:basedOn w:val="731"/>
    <w:next w:val="731"/>
    <w:uiPriority w:val="0"/>
    <w:qFormat/>
    <w:pPr>
      <w:ind w:left="3360"/>
    </w:pPr>
  </w:style>
  <w:style w:type="paragraph" w:styleId="766">
    <w:name w:val="table of figures"/>
    <w:basedOn w:val="731"/>
    <w:next w:val="731"/>
    <w:uiPriority w:val="99"/>
    <w:unhideWhenUsed/>
    <w:qFormat/>
  </w:style>
  <w:style w:type="paragraph" w:styleId="767">
    <w:name w:val="toc 2"/>
    <w:basedOn w:val="731"/>
    <w:next w:val="731"/>
    <w:uiPriority w:val="0"/>
    <w:qFormat/>
    <w:pPr>
      <w:ind w:left="210"/>
      <w:jc w:val="left"/>
    </w:pPr>
    <w:rPr>
      <w:smallCaps/>
      <w:sz w:val="20"/>
      <w:szCs w:val="20"/>
    </w:rPr>
  </w:style>
  <w:style w:type="paragraph" w:styleId="768">
    <w:name w:val="toc 9"/>
    <w:basedOn w:val="731"/>
    <w:next w:val="731"/>
    <w:uiPriority w:val="0"/>
    <w:qFormat/>
    <w:pPr>
      <w:ind w:left="1680"/>
      <w:jc w:val="left"/>
    </w:pPr>
    <w:rPr>
      <w:sz w:val="18"/>
      <w:szCs w:val="18"/>
    </w:rPr>
  </w:style>
  <w:style w:type="paragraph" w:styleId="769">
    <w:name w:val="Body Text 2"/>
    <w:basedOn w:val="731"/>
    <w:uiPriority w:val="0"/>
    <w:qFormat/>
    <w:pPr>
      <w:jc w:val="left"/>
    </w:pPr>
    <w:rPr>
      <w:rFonts w:eastAsia="楷体_GB2312"/>
    </w:rPr>
  </w:style>
  <w:style w:type="paragraph" w:styleId="770">
    <w:name w:val="Normal (Web)"/>
    <w:basedOn w:val="731"/>
    <w:uiPriority w:val="99"/>
    <w:qFormat/>
    <w:pPr>
      <w:jc w:val="left"/>
      <w:spacing w:before="100" w:beforeAutospacing="1" w:after="100" w:afterAutospacing="1"/>
      <w:widowControl/>
    </w:pPr>
    <w:rPr>
      <w:rFonts w:ascii="宋体"/>
      <w:color w:val="000000"/>
      <w:sz w:val="24"/>
    </w:rPr>
  </w:style>
  <w:style w:type="paragraph" w:styleId="771">
    <w:name w:val="Title"/>
    <w:basedOn w:val="731"/>
    <w:link w:val="964"/>
    <w:uiPriority w:val="0"/>
    <w:qFormat/>
    <w:pPr>
      <w:jc w:val="center"/>
      <w:widowControl/>
    </w:pPr>
    <w:rPr>
      <w:b/>
      <w:sz w:val="24"/>
      <w:szCs w:val="20"/>
      <w:lang w:val="en-GB" w:eastAsia="en-GB"/>
    </w:rPr>
  </w:style>
  <w:style w:type="paragraph" w:styleId="772">
    <w:name w:val="annotation subject"/>
    <w:basedOn w:val="740"/>
    <w:next w:val="740"/>
    <w:uiPriority w:val="0"/>
    <w:semiHidden/>
    <w:qFormat/>
    <w:rPr>
      <w:b/>
      <w:bCs/>
    </w:rPr>
  </w:style>
  <w:style w:type="paragraph" w:styleId="773">
    <w:name w:val="Body Text First Indent"/>
    <w:basedOn w:val="742"/>
    <w:next w:val="774"/>
    <w:link w:val="965"/>
    <w:uiPriority w:val="0"/>
    <w:qFormat/>
    <w:pPr>
      <w:ind w:firstLine="420"/>
    </w:pPr>
  </w:style>
  <w:style w:type="paragraph" w:styleId="774">
    <w:name w:val="Body Text First Indent 2"/>
    <w:basedOn w:val="743"/>
    <w:next w:val="731"/>
    <w:uiPriority w:val="0"/>
    <w:semiHidden/>
    <w:qFormat/>
    <w:pPr>
      <w:ind w:firstLine="420"/>
    </w:pPr>
  </w:style>
  <w:style w:type="table" w:styleId="775">
    <w:name w:val="Table Grid"/>
    <w:basedOn w:val="733"/>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6">
    <w:name w:val="Strong"/>
    <w:uiPriority w:val="22"/>
    <w:qFormat/>
    <w:rPr>
      <w:b/>
      <w:bCs/>
    </w:rPr>
  </w:style>
  <w:style w:type="character" w:styleId="777">
    <w:name w:val="endnote reference"/>
    <w:basedOn w:val="732"/>
    <w:uiPriority w:val="99"/>
    <w:semiHidden/>
    <w:unhideWhenUsed/>
    <w:qFormat/>
    <w:rPr>
      <w:vertAlign w:val="superscript"/>
    </w:rPr>
  </w:style>
  <w:style w:type="character" w:styleId="778">
    <w:name w:val="page number"/>
    <w:basedOn w:val="732"/>
    <w:uiPriority w:val="0"/>
    <w:qFormat/>
  </w:style>
  <w:style w:type="character" w:styleId="779">
    <w:name w:val="FollowedHyperlink"/>
    <w:basedOn w:val="732"/>
    <w:uiPriority w:val="0"/>
    <w:qFormat/>
    <w:rPr>
      <w:color w:val="800080"/>
      <w:u w:val="none"/>
    </w:rPr>
  </w:style>
  <w:style w:type="character" w:styleId="780">
    <w:name w:val="Emphasis"/>
    <w:basedOn w:val="732"/>
    <w:uiPriority w:val="0"/>
    <w:qFormat/>
  </w:style>
  <w:style w:type="character" w:styleId="781">
    <w:name w:val="HTML Definition"/>
    <w:basedOn w:val="732"/>
    <w:uiPriority w:val="0"/>
    <w:qFormat/>
  </w:style>
  <w:style w:type="character" w:styleId="782">
    <w:name w:val="HTML Typewriter"/>
    <w:basedOn w:val="732"/>
    <w:uiPriority w:val="0"/>
    <w:qFormat/>
    <w:rPr>
      <w:rFonts w:ascii="monospace" w:hAnsi="monospace" w:eastAsia="monospace" w:cs="monospace"/>
      <w:sz w:val="20"/>
    </w:rPr>
  </w:style>
  <w:style w:type="character" w:styleId="783">
    <w:name w:val="HTML Acronym"/>
    <w:basedOn w:val="732"/>
    <w:uiPriority w:val="0"/>
    <w:qFormat/>
  </w:style>
  <w:style w:type="character" w:styleId="784">
    <w:name w:val="HTML Variable"/>
    <w:basedOn w:val="732"/>
    <w:uiPriority w:val="0"/>
    <w:qFormat/>
  </w:style>
  <w:style w:type="character" w:styleId="785">
    <w:name w:val="Hyperlink"/>
    <w:basedOn w:val="732"/>
    <w:uiPriority w:val="0"/>
    <w:qFormat/>
    <w:rPr>
      <w:color w:val="0000ff"/>
      <w:u w:val="none"/>
    </w:rPr>
  </w:style>
  <w:style w:type="character" w:styleId="786">
    <w:name w:val="HTML Code"/>
    <w:basedOn w:val="732"/>
    <w:uiPriority w:val="0"/>
    <w:qFormat/>
    <w:rPr>
      <w:rFonts w:hint="default" w:ascii="monospace" w:hAnsi="monospace" w:eastAsia="monospace" w:cs="monospace"/>
      <w:sz w:val="20"/>
    </w:rPr>
  </w:style>
  <w:style w:type="character" w:styleId="787">
    <w:name w:val="annotation reference"/>
    <w:uiPriority w:val="0"/>
    <w:qFormat/>
    <w:rPr>
      <w:sz w:val="21"/>
    </w:rPr>
  </w:style>
  <w:style w:type="character" w:styleId="788">
    <w:name w:val="HTML Cite"/>
    <w:basedOn w:val="732"/>
    <w:uiPriority w:val="0"/>
    <w:qFormat/>
  </w:style>
  <w:style w:type="character" w:styleId="789">
    <w:name w:val="footnote reference"/>
    <w:basedOn w:val="732"/>
    <w:uiPriority w:val="0"/>
    <w:qFormat/>
    <w:rPr>
      <w:vertAlign w:val="superscript"/>
    </w:rPr>
  </w:style>
  <w:style w:type="character" w:styleId="790">
    <w:name w:val="HTML Keyboard"/>
    <w:basedOn w:val="732"/>
    <w:uiPriority w:val="0"/>
    <w:qFormat/>
    <w:rPr>
      <w:rFonts w:hint="default" w:ascii="monospace" w:hAnsi="monospace" w:eastAsia="monospace" w:cs="monospace"/>
      <w:sz w:val="20"/>
    </w:rPr>
  </w:style>
  <w:style w:type="character" w:styleId="791">
    <w:name w:val="HTML Sample"/>
    <w:basedOn w:val="732"/>
    <w:uiPriority w:val="0"/>
    <w:qFormat/>
    <w:rPr>
      <w:rFonts w:hint="default" w:ascii="monospace" w:hAnsi="monospace" w:eastAsia="monospace" w:cs="monospace"/>
    </w:rPr>
  </w:style>
  <w:style w:type="paragraph" w:styleId="792" w:customStyle="1">
    <w:name w:val="Heading 1"/>
    <w:basedOn w:val="731"/>
    <w:next w:val="731"/>
    <w:link w:val="951"/>
    <w:uiPriority w:val="0"/>
    <w:qFormat/>
    <w:pPr>
      <w:jc w:val="center"/>
      <w:keepLines/>
      <w:keepNext/>
      <w:spacing w:line="360" w:lineRule="auto"/>
      <w:tabs>
        <w:tab w:val="left" w:pos="360" w:leader="none"/>
      </w:tabs>
      <w:outlineLvl w:val="0"/>
    </w:pPr>
    <w:rPr>
      <w:rFonts w:ascii="宋体" w:hAnsi="宋体"/>
      <w:b/>
      <w:color w:val="000000"/>
      <w:sz w:val="36"/>
      <w:szCs w:val="20"/>
    </w:rPr>
  </w:style>
  <w:style w:type="paragraph" w:styleId="793" w:customStyle="1">
    <w:name w:val="Heading 2"/>
    <w:basedOn w:val="731"/>
    <w:next w:val="731"/>
    <w:link w:val="952"/>
    <w:uiPriority w:val="0"/>
    <w:qFormat/>
    <w:pPr>
      <w:keepLines/>
      <w:keepNext/>
      <w:spacing w:before="260" w:after="260" w:line="412" w:lineRule="auto"/>
      <w:outlineLvl w:val="1"/>
    </w:pPr>
    <w:rPr>
      <w:rFonts w:ascii="Arial" w:hAnsi="Arial" w:eastAsia="黑体"/>
      <w:b/>
      <w:bCs/>
      <w:sz w:val="32"/>
      <w:szCs w:val="32"/>
    </w:rPr>
  </w:style>
  <w:style w:type="paragraph" w:styleId="794" w:customStyle="1">
    <w:name w:val="Heading 3"/>
    <w:basedOn w:val="731"/>
    <w:next w:val="731"/>
    <w:link w:val="953"/>
    <w:uiPriority w:val="0"/>
    <w:qFormat/>
    <w:pPr>
      <w:ind w:left="709" w:hanging="709"/>
      <w:spacing w:line="300" w:lineRule="auto"/>
      <w:tabs>
        <w:tab w:val="left" w:pos="709" w:leader="none"/>
      </w:tabs>
      <w:outlineLvl w:val="2"/>
    </w:pPr>
    <w:rPr>
      <w:rFonts w:ascii="黑体" w:eastAsia="黑体"/>
      <w:b/>
      <w:color w:val="000000"/>
      <w:sz w:val="28"/>
      <w:szCs w:val="20"/>
    </w:rPr>
  </w:style>
  <w:style w:type="paragraph" w:styleId="795" w:customStyle="1">
    <w:name w:val="Heading 4"/>
    <w:basedOn w:val="731"/>
    <w:next w:val="731"/>
    <w:link w:val="954"/>
    <w:uiPriority w:val="0"/>
    <w:qFormat/>
    <w:pPr>
      <w:keepLines/>
      <w:keepNext/>
      <w:spacing w:before="280" w:after="290" w:line="372" w:lineRule="auto"/>
      <w:outlineLvl w:val="3"/>
    </w:pPr>
    <w:rPr>
      <w:rFonts w:ascii="Arial" w:hAnsi="Arial" w:eastAsia="黑体"/>
      <w:b/>
      <w:bCs/>
      <w:sz w:val="28"/>
      <w:szCs w:val="28"/>
    </w:rPr>
  </w:style>
  <w:style w:type="paragraph" w:styleId="796" w:customStyle="1">
    <w:name w:val="Heading 5"/>
    <w:basedOn w:val="731"/>
    <w:next w:val="797"/>
    <w:link w:val="955"/>
    <w:uiPriority w:val="0"/>
    <w:qFormat/>
    <w:pPr>
      <w:ind w:left="2100" w:hanging="420"/>
      <w:keepLines/>
      <w:keepNext/>
      <w:spacing w:before="280" w:after="290"/>
      <w:tabs>
        <w:tab w:val="left" w:pos="2100" w:leader="none"/>
      </w:tabs>
      <w:outlineLvl w:val="4"/>
    </w:pPr>
    <w:rPr>
      <w:rFonts w:eastAsia="黑体"/>
      <w:b/>
      <w:bCs/>
      <w:sz w:val="28"/>
      <w:szCs w:val="28"/>
    </w:rPr>
  </w:style>
  <w:style w:type="paragraph" w:styleId="797" w:customStyle="1">
    <w:name w:val="文章正文"/>
    <w:basedOn w:val="731"/>
    <w:uiPriority w:val="0"/>
    <w:qFormat/>
    <w:pPr>
      <w:ind w:firstLine="560"/>
      <w:spacing w:line="360" w:lineRule="auto"/>
    </w:pPr>
    <w:rPr>
      <w:rFonts w:eastAsia="仿宋_GB2312"/>
      <w:sz w:val="28"/>
    </w:rPr>
  </w:style>
  <w:style w:type="paragraph" w:styleId="798" w:customStyle="1">
    <w:name w:val="Heading 6"/>
    <w:basedOn w:val="731"/>
    <w:next w:val="797"/>
    <w:link w:val="956"/>
    <w:uiPriority w:val="0"/>
    <w:qFormat/>
    <w:pPr>
      <w:ind w:left="2520" w:hanging="420"/>
      <w:keepLines/>
      <w:keepNext/>
      <w:spacing w:before="240" w:after="64" w:line="320" w:lineRule="auto"/>
      <w:tabs>
        <w:tab w:val="left" w:pos="2520" w:leader="none"/>
      </w:tabs>
      <w:outlineLvl w:val="5"/>
    </w:pPr>
    <w:rPr>
      <w:rFonts w:eastAsia="黑体"/>
      <w:b/>
      <w:bCs/>
      <w:sz w:val="28"/>
    </w:rPr>
  </w:style>
  <w:style w:type="paragraph" w:styleId="799" w:customStyle="1">
    <w:name w:val="Heading 7"/>
    <w:basedOn w:val="731"/>
    <w:next w:val="731"/>
    <w:link w:val="957"/>
    <w:uiPriority w:val="0"/>
    <w:qFormat/>
    <w:pPr>
      <w:ind w:left="2940" w:hanging="420"/>
      <w:keepLines/>
      <w:keepNext/>
      <w:spacing w:before="240" w:after="64" w:line="320" w:lineRule="auto"/>
      <w:tabs>
        <w:tab w:val="left" w:pos="2940" w:leader="none"/>
      </w:tabs>
      <w:outlineLvl w:val="6"/>
    </w:pPr>
    <w:rPr>
      <w:rFonts w:eastAsia="黑体"/>
      <w:b/>
      <w:bCs/>
      <w:sz w:val="24"/>
    </w:rPr>
  </w:style>
  <w:style w:type="paragraph" w:styleId="800" w:customStyle="1">
    <w:name w:val="Heading 8"/>
    <w:basedOn w:val="731"/>
    <w:next w:val="731"/>
    <w:link w:val="812"/>
    <w:uiPriority w:val="9"/>
    <w:unhideWhenUsed/>
    <w:qFormat/>
    <w:pPr>
      <w:keepLines/>
      <w:keepNext/>
      <w:spacing w:before="320" w:after="200"/>
      <w:outlineLvl w:val="7"/>
    </w:pPr>
    <w:rPr>
      <w:rFonts w:ascii="Arial" w:hAnsi="Arial" w:eastAsia="Arial" w:cs="Arial"/>
      <w:i/>
      <w:iCs/>
      <w:sz w:val="22"/>
      <w:szCs w:val="22"/>
    </w:rPr>
  </w:style>
  <w:style w:type="paragraph" w:styleId="801" w:customStyle="1">
    <w:name w:val="Heading 9"/>
    <w:basedOn w:val="731"/>
    <w:next w:val="731"/>
    <w:link w:val="958"/>
    <w:uiPriority w:val="0"/>
    <w:qFormat/>
    <w:pPr>
      <w:ind w:left="3780" w:hanging="420"/>
      <w:keepLines/>
      <w:keepNext/>
      <w:spacing w:before="240" w:after="64" w:line="320" w:lineRule="auto"/>
      <w:tabs>
        <w:tab w:val="left" w:pos="3780" w:leader="none"/>
      </w:tabs>
      <w:outlineLvl w:val="8"/>
    </w:pPr>
    <w:rPr>
      <w:sz w:val="24"/>
      <w:szCs w:val="21"/>
    </w:rPr>
  </w:style>
  <w:style w:type="paragraph" w:styleId="802" w:customStyle="1">
    <w:name w:val="Caption"/>
    <w:basedOn w:val="731"/>
    <w:next w:val="731"/>
    <w:uiPriority w:val="35"/>
    <w:semiHidden/>
    <w:unhideWhenUsed/>
    <w:qFormat/>
    <w:pPr>
      <w:spacing w:line="276" w:lineRule="auto"/>
    </w:pPr>
    <w:rPr>
      <w:b/>
      <w:bCs/>
      <w:color w:val="4f81bd" w:themeColor="accent1"/>
      <w:sz w:val="18"/>
      <w:szCs w:val="18"/>
    </w:rPr>
  </w:style>
  <w:style w:type="paragraph" w:styleId="803" w:customStyle="1">
    <w:name w:val="Footer"/>
    <w:basedOn w:val="731"/>
    <w:link w:val="962"/>
    <w:uiPriority w:val="99"/>
    <w:qFormat/>
    <w:pPr>
      <w:jc w:val="left"/>
      <w:tabs>
        <w:tab w:val="center" w:pos="4153" w:leader="none"/>
        <w:tab w:val="right" w:pos="8306" w:leader="none"/>
      </w:tabs>
    </w:pPr>
    <w:rPr>
      <w:sz w:val="18"/>
      <w:szCs w:val="18"/>
    </w:rPr>
  </w:style>
  <w:style w:type="paragraph" w:styleId="804" w:customStyle="1">
    <w:name w:val="Header"/>
    <w:basedOn w:val="731"/>
    <w:uiPriority w:val="0"/>
    <w:qFormat/>
    <w:pPr>
      <w:jc w:val="left"/>
      <w:tabs>
        <w:tab w:val="left" w:pos="4125" w:leader="none"/>
        <w:tab w:val="center" w:pos="4153" w:leader="none"/>
        <w:tab w:val="left" w:pos="4200" w:leader="none"/>
        <w:tab w:val="left" w:pos="4620" w:leader="none"/>
        <w:tab w:val="left" w:pos="5040" w:leader="none"/>
        <w:tab w:val="left" w:pos="5460" w:leader="none"/>
        <w:tab w:val="left" w:pos="5880" w:leader="none"/>
      </w:tabs>
      <w:pBdr>
        <w:bottom w:val="single" w:color="auto" w:sz="6" w:space="1"/>
      </w:pBdr>
    </w:pPr>
    <w:rPr>
      <w:sz w:val="18"/>
      <w:szCs w:val="21"/>
    </w:rPr>
  </w:style>
  <w:style w:type="character" w:styleId="805" w:customStyle="1">
    <w:name w:val="Heading 1 Char"/>
    <w:basedOn w:val="732"/>
    <w:uiPriority w:val="9"/>
    <w:qFormat/>
    <w:rPr>
      <w:rFonts w:ascii="Arial" w:hAnsi="Arial" w:eastAsia="Arial" w:cs="Arial"/>
      <w:sz w:val="40"/>
      <w:szCs w:val="40"/>
    </w:rPr>
  </w:style>
  <w:style w:type="character" w:styleId="806" w:customStyle="1">
    <w:name w:val="Heading 2 Char"/>
    <w:basedOn w:val="732"/>
    <w:uiPriority w:val="9"/>
    <w:qFormat/>
    <w:rPr>
      <w:rFonts w:ascii="Arial" w:hAnsi="Arial" w:eastAsia="Arial" w:cs="Arial"/>
      <w:sz w:val="34"/>
    </w:rPr>
  </w:style>
  <w:style w:type="character" w:styleId="807" w:customStyle="1">
    <w:name w:val="Heading 3 Char"/>
    <w:basedOn w:val="732"/>
    <w:uiPriority w:val="9"/>
    <w:qFormat/>
    <w:rPr>
      <w:rFonts w:ascii="Arial" w:hAnsi="Arial" w:eastAsia="Arial" w:cs="Arial"/>
      <w:sz w:val="30"/>
      <w:szCs w:val="30"/>
    </w:rPr>
  </w:style>
  <w:style w:type="character" w:styleId="808" w:customStyle="1">
    <w:name w:val="Heading 4 Char"/>
    <w:basedOn w:val="732"/>
    <w:uiPriority w:val="9"/>
    <w:qFormat/>
    <w:rPr>
      <w:rFonts w:ascii="Arial" w:hAnsi="Arial" w:eastAsia="Arial" w:cs="Arial"/>
      <w:b/>
      <w:bCs/>
      <w:sz w:val="26"/>
      <w:szCs w:val="26"/>
    </w:rPr>
  </w:style>
  <w:style w:type="character" w:styleId="809" w:customStyle="1">
    <w:name w:val="Heading 5 Char"/>
    <w:basedOn w:val="732"/>
    <w:uiPriority w:val="9"/>
    <w:qFormat/>
    <w:rPr>
      <w:rFonts w:ascii="Arial" w:hAnsi="Arial" w:eastAsia="Arial" w:cs="Arial"/>
      <w:b/>
      <w:bCs/>
      <w:sz w:val="24"/>
      <w:szCs w:val="24"/>
    </w:rPr>
  </w:style>
  <w:style w:type="character" w:styleId="810" w:customStyle="1">
    <w:name w:val="Heading 6 Char"/>
    <w:basedOn w:val="732"/>
    <w:uiPriority w:val="9"/>
    <w:qFormat/>
    <w:rPr>
      <w:rFonts w:ascii="Arial" w:hAnsi="Arial" w:eastAsia="Arial" w:cs="Arial"/>
      <w:b/>
      <w:bCs/>
      <w:sz w:val="22"/>
      <w:szCs w:val="22"/>
    </w:rPr>
  </w:style>
  <w:style w:type="character" w:styleId="811" w:customStyle="1">
    <w:name w:val="Heading 7 Char"/>
    <w:basedOn w:val="732"/>
    <w:uiPriority w:val="9"/>
    <w:qFormat/>
    <w:rPr>
      <w:rFonts w:ascii="Arial" w:hAnsi="Arial" w:eastAsia="Arial" w:cs="Arial"/>
      <w:b/>
      <w:bCs/>
      <w:i/>
      <w:iCs/>
      <w:sz w:val="22"/>
      <w:szCs w:val="22"/>
    </w:rPr>
  </w:style>
  <w:style w:type="character" w:styleId="812" w:customStyle="1">
    <w:name w:val="Heading 8 Char"/>
    <w:basedOn w:val="732"/>
    <w:link w:val="800"/>
    <w:uiPriority w:val="9"/>
    <w:qFormat/>
    <w:rPr>
      <w:rFonts w:ascii="Arial" w:hAnsi="Arial" w:eastAsia="Arial" w:cs="Arial"/>
      <w:i/>
      <w:iCs/>
      <w:sz w:val="22"/>
      <w:szCs w:val="22"/>
    </w:rPr>
  </w:style>
  <w:style w:type="character" w:styleId="813" w:customStyle="1">
    <w:name w:val="Heading 9 Char"/>
    <w:basedOn w:val="732"/>
    <w:uiPriority w:val="9"/>
    <w:qFormat/>
    <w:rPr>
      <w:rFonts w:ascii="Arial" w:hAnsi="Arial" w:eastAsia="Arial" w:cs="Arial"/>
      <w:i/>
      <w:iCs/>
      <w:sz w:val="21"/>
      <w:szCs w:val="21"/>
    </w:rPr>
  </w:style>
  <w:style w:type="character" w:styleId="814" w:customStyle="1">
    <w:name w:val="Title Char"/>
    <w:basedOn w:val="732"/>
    <w:uiPriority w:val="10"/>
    <w:qFormat/>
    <w:rPr>
      <w:sz w:val="48"/>
      <w:szCs w:val="48"/>
    </w:rPr>
  </w:style>
  <w:style w:type="character" w:styleId="815" w:customStyle="1">
    <w:name w:val="副标题 Char"/>
    <w:basedOn w:val="732"/>
    <w:link w:val="761"/>
    <w:uiPriority w:val="11"/>
    <w:qFormat/>
    <w:rPr>
      <w:sz w:val="24"/>
      <w:szCs w:val="24"/>
    </w:rPr>
  </w:style>
  <w:style w:type="paragraph" w:styleId="816">
    <w:name w:val="Quote"/>
    <w:basedOn w:val="731"/>
    <w:next w:val="731"/>
    <w:link w:val="817"/>
    <w:uiPriority w:val="29"/>
    <w:qFormat/>
    <w:pPr>
      <w:ind w:left="720" w:right="720"/>
    </w:pPr>
    <w:rPr>
      <w:i/>
    </w:rPr>
  </w:style>
  <w:style w:type="character" w:styleId="817" w:customStyle="1">
    <w:name w:val="引用 Char"/>
    <w:link w:val="816"/>
    <w:uiPriority w:val="29"/>
    <w:qFormat/>
    <w:rPr>
      <w:i/>
    </w:rPr>
  </w:style>
  <w:style w:type="paragraph" w:styleId="818">
    <w:name w:val="Intense Quote"/>
    <w:basedOn w:val="731"/>
    <w:next w:val="731"/>
    <w:link w:val="81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9" w:customStyle="1">
    <w:name w:val="明显引用 Char"/>
    <w:link w:val="818"/>
    <w:uiPriority w:val="30"/>
    <w:qFormat/>
    <w:rPr>
      <w:i/>
    </w:rPr>
  </w:style>
  <w:style w:type="character" w:styleId="820" w:customStyle="1">
    <w:name w:val="Header Char"/>
    <w:basedOn w:val="732"/>
    <w:uiPriority w:val="99"/>
    <w:qFormat/>
  </w:style>
  <w:style w:type="character" w:styleId="821" w:customStyle="1">
    <w:name w:val="Footer Char"/>
    <w:basedOn w:val="732"/>
    <w:uiPriority w:val="99"/>
    <w:qFormat/>
  </w:style>
  <w:style w:type="character" w:styleId="822" w:customStyle="1">
    <w:name w:val="Caption Char"/>
    <w:uiPriority w:val="99"/>
    <w:qFormat/>
  </w:style>
  <w:style w:type="table" w:styleId="823" w:customStyle="1">
    <w:name w:val="Table Grid Light"/>
    <w:basedOn w:val="73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4" w:customStyle="1">
    <w:name w:val="Plain Table 1"/>
    <w:basedOn w:val="73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5" w:customStyle="1">
    <w:name w:val="Plain Table 2"/>
    <w:basedOn w:val="73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6" w:customStyle="1">
    <w:name w:val="Plain Table 3"/>
    <w:basedOn w:val="73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7" w:customStyle="1">
    <w:name w:val="Plain Table 4"/>
    <w:basedOn w:val="73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8" w:customStyle="1">
    <w:name w:val="Plain Table 5"/>
    <w:basedOn w:val="73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9" w:customStyle="1">
    <w:name w:val="Grid Table 1 Light"/>
    <w:basedOn w:val="73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1"/>
    <w:basedOn w:val="73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2"/>
    <w:basedOn w:val="73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3"/>
    <w:basedOn w:val="73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4"/>
    <w:basedOn w:val="73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5"/>
    <w:basedOn w:val="73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6"/>
    <w:basedOn w:val="73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6" w:customStyle="1">
    <w:name w:val="Grid Table 2"/>
    <w:basedOn w:val="73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7" w:customStyle="1">
    <w:name w:val="Grid Table 2 - Accent 1"/>
    <w:basedOn w:val="73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8" w:customStyle="1">
    <w:name w:val="Grid Table 2 - Accent 2"/>
    <w:basedOn w:val="73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9" w:customStyle="1">
    <w:name w:val="Grid Table 2 - Accent 3"/>
    <w:basedOn w:val="73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0" w:customStyle="1">
    <w:name w:val="Grid Table 2 - Accent 4"/>
    <w:basedOn w:val="73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1" w:customStyle="1">
    <w:name w:val="Grid Table 2 - Accent 5"/>
    <w:basedOn w:val="733"/>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2" w:customStyle="1">
    <w:name w:val="Grid Table 2 - Accent 6"/>
    <w:basedOn w:val="733"/>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3" w:customStyle="1">
    <w:name w:val="Grid Table 3"/>
    <w:basedOn w:val="73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1"/>
    <w:basedOn w:val="73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2"/>
    <w:basedOn w:val="73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3"/>
    <w:basedOn w:val="73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4"/>
    <w:basedOn w:val="73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5"/>
    <w:basedOn w:val="733"/>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6"/>
    <w:basedOn w:val="733"/>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4"/>
    <w:basedOn w:val="73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1" w:customStyle="1">
    <w:name w:val="Grid Table 4 - Accent 1"/>
    <w:basedOn w:val="733"/>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2" w:customStyle="1">
    <w:name w:val="Grid Table 4 - Accent 2"/>
    <w:basedOn w:val="733"/>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3" w:customStyle="1">
    <w:name w:val="Grid Table 4 - Accent 3"/>
    <w:basedOn w:val="73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4" w:customStyle="1">
    <w:name w:val="Grid Table 4 - Accent 4"/>
    <w:basedOn w:val="733"/>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5" w:customStyle="1">
    <w:name w:val="Grid Table 4 - Accent 5"/>
    <w:basedOn w:val="733"/>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6" w:customStyle="1">
    <w:name w:val="Grid Table 4 - Accent 6"/>
    <w:basedOn w:val="733"/>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7" w:customStyle="1">
    <w:name w:val="Grid Table 5 Dark"/>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8" w:customStyle="1">
    <w:name w:val="Grid Table 5 Dark- Accent 1"/>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9" w:customStyle="1">
    <w:name w:val="Grid Table 5 Dark - Accent 2"/>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0" w:customStyle="1">
    <w:name w:val="Grid Table 5 Dark - Accent 3"/>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1" w:customStyle="1">
    <w:name w:val="Grid Table 5 Dark- Accent 4"/>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2" w:customStyle="1">
    <w:name w:val="Grid Table 5 Dark - Accent 5"/>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3" w:customStyle="1">
    <w:name w:val="Grid Table 5 Dark - Accent 6"/>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4" w:customStyle="1">
    <w:name w:val="Grid Table 6 Colorful"/>
    <w:basedOn w:val="73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865" w:customStyle="1">
    <w:name w:val="Grid Table 6 Colorful - Accent 1"/>
    <w:basedOn w:val="733"/>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66" w:customStyle="1">
    <w:name w:val="Grid Table 6 Colorful - Accent 2"/>
    <w:basedOn w:val="73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867" w:customStyle="1">
    <w:name w:val="Grid Table 6 Colorful - Accent 3"/>
    <w:basedOn w:val="73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68" w:customStyle="1">
    <w:name w:val="Grid Table 6 Colorful - Accent 4"/>
    <w:basedOn w:val="73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69" w:customStyle="1">
    <w:name w:val="Grid Table 6 Colorful - Accent 5"/>
    <w:basedOn w:val="733"/>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70" w:customStyle="1">
    <w:name w:val="Grid Table 6 Colorful - Accent 6"/>
    <w:basedOn w:val="733"/>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71" w:customStyle="1">
    <w:name w:val="Grid Table 7 Colorful"/>
    <w:basedOn w:val="73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2" w:customStyle="1">
    <w:name w:val="Grid Table 7 Colorful - Accent 1"/>
    <w:basedOn w:val="733"/>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3" w:customStyle="1">
    <w:name w:val="Grid Table 7 Colorful - Accent 2"/>
    <w:basedOn w:val="733"/>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4" w:customStyle="1">
    <w:name w:val="Grid Table 7 Colorful - Accent 3"/>
    <w:basedOn w:val="73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5" w:customStyle="1">
    <w:name w:val="Grid Table 7 Colorful - Accent 4"/>
    <w:basedOn w:val="733"/>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6" w:customStyle="1">
    <w:name w:val="Grid Table 7 Colorful - Accent 5"/>
    <w:basedOn w:val="733"/>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7" w:customStyle="1">
    <w:name w:val="Grid Table 7 Colorful - Accent 6"/>
    <w:basedOn w:val="733"/>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8" w:customStyle="1">
    <w:name w:val="List Table 1 Light"/>
    <w:basedOn w:val="733"/>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9" w:customStyle="1">
    <w:name w:val="List Table 1 Light - Accent 1"/>
    <w:basedOn w:val="733"/>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0" w:customStyle="1">
    <w:name w:val="List Table 1 Light - Accent 2"/>
    <w:basedOn w:val="733"/>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1" w:customStyle="1">
    <w:name w:val="List Table 1 Light - Accent 3"/>
    <w:basedOn w:val="733"/>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2" w:customStyle="1">
    <w:name w:val="List Table 1 Light - Accent 4"/>
    <w:basedOn w:val="733"/>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3" w:customStyle="1">
    <w:name w:val="List Table 1 Light - Accent 5"/>
    <w:basedOn w:val="733"/>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4" w:customStyle="1">
    <w:name w:val="List Table 1 Light - Accent 6"/>
    <w:basedOn w:val="733"/>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5" w:customStyle="1">
    <w:name w:val="List Table 2"/>
    <w:basedOn w:val="73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6" w:customStyle="1">
    <w:name w:val="List Table 2 - Accent 1"/>
    <w:basedOn w:val="733"/>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7" w:customStyle="1">
    <w:name w:val="List Table 2 - Accent 2"/>
    <w:basedOn w:val="733"/>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8" w:customStyle="1">
    <w:name w:val="List Table 2 - Accent 3"/>
    <w:basedOn w:val="73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9" w:customStyle="1">
    <w:name w:val="List Table 2 - Accent 4"/>
    <w:basedOn w:val="733"/>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0" w:customStyle="1">
    <w:name w:val="List Table 2 - Accent 5"/>
    <w:basedOn w:val="733"/>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1" w:customStyle="1">
    <w:name w:val="List Table 2 - Accent 6"/>
    <w:basedOn w:val="733"/>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2" w:customStyle="1">
    <w:name w:val="List Table 3"/>
    <w:basedOn w:val="73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3" w:customStyle="1">
    <w:name w:val="List Table 3 - Accent 1"/>
    <w:basedOn w:val="733"/>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4" w:customStyle="1">
    <w:name w:val="List Table 3 - Accent 2"/>
    <w:basedOn w:val="73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5" w:customStyle="1">
    <w:name w:val="List Table 3 - Accent 3"/>
    <w:basedOn w:val="73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6" w:customStyle="1">
    <w:name w:val="List Table 3 - Accent 4"/>
    <w:basedOn w:val="73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7" w:customStyle="1">
    <w:name w:val="List Table 3 - Accent 5"/>
    <w:basedOn w:val="733"/>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8" w:customStyle="1">
    <w:name w:val="List Table 3 - Accent 6"/>
    <w:basedOn w:val="733"/>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9" w:customStyle="1">
    <w:name w:val="List Table 4"/>
    <w:basedOn w:val="73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0" w:customStyle="1">
    <w:name w:val="List Table 4 - Accent 1"/>
    <w:basedOn w:val="733"/>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1" w:customStyle="1">
    <w:name w:val="List Table 4 - Accent 2"/>
    <w:basedOn w:val="733"/>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2" w:customStyle="1">
    <w:name w:val="List Table 4 - Accent 3"/>
    <w:basedOn w:val="73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3" w:customStyle="1">
    <w:name w:val="List Table 4 - Accent 4"/>
    <w:basedOn w:val="733"/>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4" w:customStyle="1">
    <w:name w:val="List Table 4 - Accent 5"/>
    <w:basedOn w:val="733"/>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5" w:customStyle="1">
    <w:name w:val="List Table 4 - Accent 6"/>
    <w:basedOn w:val="733"/>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6" w:customStyle="1">
    <w:name w:val="List Table 5 Dark"/>
    <w:basedOn w:val="73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07" w:customStyle="1">
    <w:name w:val="List Table 5 Dark - Accent 1"/>
    <w:basedOn w:val="733"/>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08" w:customStyle="1">
    <w:name w:val="List Table 5 Dark - Accent 2"/>
    <w:basedOn w:val="733"/>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09" w:customStyle="1">
    <w:name w:val="List Table 5 Dark - Accent 3"/>
    <w:basedOn w:val="73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10" w:customStyle="1">
    <w:name w:val="List Table 5 Dark - Accent 4"/>
    <w:basedOn w:val="733"/>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11" w:customStyle="1">
    <w:name w:val="List Table 5 Dark - Accent 5"/>
    <w:basedOn w:val="733"/>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12" w:customStyle="1">
    <w:name w:val="List Table 5 Dark - Accent 6"/>
    <w:basedOn w:val="733"/>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13" w:customStyle="1">
    <w:name w:val="List Table 6 Colorful"/>
    <w:basedOn w:val="733"/>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14" w:customStyle="1">
    <w:name w:val="List Table 6 Colorful - Accent 1"/>
    <w:basedOn w:val="733"/>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915" w:customStyle="1">
    <w:name w:val="List Table 6 Colorful - Accent 2"/>
    <w:basedOn w:val="733"/>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916" w:customStyle="1">
    <w:name w:val="List Table 6 Colorful - Accent 3"/>
    <w:basedOn w:val="733"/>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917" w:customStyle="1">
    <w:name w:val="List Table 6 Colorful - Accent 4"/>
    <w:basedOn w:val="733"/>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18" w:customStyle="1">
    <w:name w:val="List Table 6 Colorful - Accent 5"/>
    <w:basedOn w:val="733"/>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19" w:customStyle="1">
    <w:name w:val="List Table 6 Colorful - Accent 6"/>
    <w:basedOn w:val="733"/>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20" w:customStyle="1">
    <w:name w:val="List Table 7 Colorful"/>
    <w:basedOn w:val="733"/>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1" w:customStyle="1">
    <w:name w:val="List Table 7 Colorful - Accent 1"/>
    <w:basedOn w:val="733"/>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2" w:customStyle="1">
    <w:name w:val="List Table 7 Colorful - Accent 2"/>
    <w:basedOn w:val="733"/>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3" w:customStyle="1">
    <w:name w:val="List Table 7 Colorful - Accent 3"/>
    <w:basedOn w:val="733"/>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4" w:customStyle="1">
    <w:name w:val="List Table 7 Colorful - Accent 4"/>
    <w:basedOn w:val="733"/>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5" w:customStyle="1">
    <w:name w:val="List Table 7 Colorful - Accent 5"/>
    <w:basedOn w:val="733"/>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6" w:customStyle="1">
    <w:name w:val="List Table 7 Colorful - Accent 6"/>
    <w:basedOn w:val="733"/>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7" w:customStyle="1">
    <w:name w:val="Lined - Accent"/>
    <w:basedOn w:val="73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8" w:customStyle="1">
    <w:name w:val="Lined - Accent 1"/>
    <w:basedOn w:val="73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9" w:customStyle="1">
    <w:name w:val="Lined - Accent 2"/>
    <w:basedOn w:val="73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0" w:customStyle="1">
    <w:name w:val="Lined - Accent 3"/>
    <w:basedOn w:val="73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1" w:customStyle="1">
    <w:name w:val="Lined - Accent 4"/>
    <w:basedOn w:val="73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2" w:customStyle="1">
    <w:name w:val="Lined - Accent 5"/>
    <w:basedOn w:val="73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3" w:customStyle="1">
    <w:name w:val="Lined - Accent 6"/>
    <w:basedOn w:val="73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4" w:customStyle="1">
    <w:name w:val="Bordered &amp; Lined - Accent"/>
    <w:basedOn w:val="73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5" w:customStyle="1">
    <w:name w:val="Bordered &amp; Lined - Accent 1"/>
    <w:basedOn w:val="733"/>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6" w:customStyle="1">
    <w:name w:val="Bordered &amp; Lined - Accent 2"/>
    <w:basedOn w:val="733"/>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7" w:customStyle="1">
    <w:name w:val="Bordered &amp; Lined - Accent 3"/>
    <w:basedOn w:val="73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8" w:customStyle="1">
    <w:name w:val="Bordered &amp; Lined - Accent 4"/>
    <w:basedOn w:val="733"/>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9" w:customStyle="1">
    <w:name w:val="Bordered &amp; Lined - Accent 5"/>
    <w:basedOn w:val="733"/>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0" w:customStyle="1">
    <w:name w:val="Bordered &amp; Lined - Accent 6"/>
    <w:basedOn w:val="733"/>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1" w:customStyle="1">
    <w:name w:val="Bordered"/>
    <w:basedOn w:val="73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2" w:customStyle="1">
    <w:name w:val="Bordered - Accent 1"/>
    <w:basedOn w:val="73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3" w:customStyle="1">
    <w:name w:val="Bordered - Accent 2"/>
    <w:basedOn w:val="73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4" w:customStyle="1">
    <w:name w:val="Bordered - Accent 3"/>
    <w:basedOn w:val="73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5" w:customStyle="1">
    <w:name w:val="Bordered - Accent 4"/>
    <w:basedOn w:val="73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6" w:customStyle="1">
    <w:name w:val="Bordered - Accent 5"/>
    <w:basedOn w:val="73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7" w:customStyle="1">
    <w:name w:val="Bordered - Accent 6"/>
    <w:basedOn w:val="73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8" w:customStyle="1">
    <w:name w:val="Footnote Text Char"/>
    <w:uiPriority w:val="99"/>
    <w:qFormat/>
    <w:rPr>
      <w:sz w:val="18"/>
    </w:rPr>
  </w:style>
  <w:style w:type="character" w:styleId="949" w:customStyle="1">
    <w:name w:val="尾注文本 Char"/>
    <w:link w:val="755"/>
    <w:uiPriority w:val="99"/>
    <w:qFormat/>
    <w:rPr>
      <w:sz w:val="20"/>
    </w:rPr>
  </w:style>
  <w:style w:type="paragraph" w:styleId="950" w:customStyle="1">
    <w:name w:val="TOC 标题1"/>
    <w:uiPriority w:val="39"/>
    <w:unhideWhenUsed/>
    <w:qFormat/>
    <w:rPr>
      <w:rFonts w:ascii="Times New Roman" w:hAnsi="Times New Roman" w:eastAsia="宋体" w:cs="Times New Roman"/>
      <w:lang w:val="en-US" w:eastAsia="zh-CN" w:bidi="ar-SA"/>
    </w:rPr>
  </w:style>
  <w:style w:type="character" w:styleId="951" w:customStyle="1">
    <w:name w:val="标题 1 Char"/>
    <w:link w:val="792"/>
    <w:uiPriority w:val="0"/>
    <w:qFormat/>
    <w:rPr>
      <w:rFonts w:ascii="宋体" w:hAnsi="宋体" w:eastAsia="宋体"/>
      <w:b/>
      <w:color w:val="000000"/>
      <w:sz w:val="36"/>
      <w:szCs w:val="20"/>
    </w:rPr>
  </w:style>
  <w:style w:type="character" w:styleId="952" w:customStyle="1">
    <w:name w:val="标题 2 Char"/>
    <w:link w:val="793"/>
    <w:uiPriority w:val="0"/>
    <w:qFormat/>
    <w:rPr>
      <w:rFonts w:ascii="Arial" w:hAnsi="Arial" w:eastAsia="黑体"/>
      <w:b/>
      <w:bCs/>
      <w:sz w:val="32"/>
      <w:szCs w:val="32"/>
    </w:rPr>
  </w:style>
  <w:style w:type="character" w:styleId="953" w:customStyle="1">
    <w:name w:val="标题 3 Char"/>
    <w:link w:val="794"/>
    <w:uiPriority w:val="0"/>
    <w:qFormat/>
    <w:rPr>
      <w:rFonts w:ascii="黑体" w:eastAsia="黑体"/>
      <w:b/>
      <w:color w:val="000000"/>
      <w:sz w:val="28"/>
    </w:rPr>
  </w:style>
  <w:style w:type="character" w:styleId="954" w:customStyle="1">
    <w:name w:val="标题 4 Char"/>
    <w:link w:val="795"/>
    <w:uiPriority w:val="0"/>
    <w:qFormat/>
    <w:rPr>
      <w:rFonts w:ascii="Arial" w:hAnsi="Arial" w:eastAsia="黑体"/>
      <w:b/>
      <w:bCs/>
      <w:sz w:val="28"/>
      <w:szCs w:val="28"/>
    </w:rPr>
  </w:style>
  <w:style w:type="character" w:styleId="955" w:customStyle="1">
    <w:name w:val="标题 5 Char"/>
    <w:link w:val="796"/>
    <w:uiPriority w:val="0"/>
    <w:qFormat/>
    <w:rPr>
      <w:rFonts w:eastAsia="黑体"/>
      <w:b/>
      <w:bCs/>
      <w:sz w:val="28"/>
      <w:szCs w:val="28"/>
    </w:rPr>
  </w:style>
  <w:style w:type="character" w:styleId="956" w:customStyle="1">
    <w:name w:val="标题 6 Char"/>
    <w:link w:val="798"/>
    <w:uiPriority w:val="0"/>
    <w:qFormat/>
    <w:rPr>
      <w:rFonts w:eastAsia="黑体"/>
      <w:b/>
      <w:bCs/>
      <w:sz w:val="28"/>
      <w:szCs w:val="24"/>
    </w:rPr>
  </w:style>
  <w:style w:type="character" w:styleId="957" w:customStyle="1">
    <w:name w:val="标题 7 Char"/>
    <w:link w:val="799"/>
    <w:uiPriority w:val="0"/>
    <w:qFormat/>
    <w:rPr>
      <w:rFonts w:eastAsia="黑体"/>
      <w:b/>
      <w:bCs/>
      <w:sz w:val="24"/>
      <w:szCs w:val="24"/>
    </w:rPr>
  </w:style>
  <w:style w:type="character" w:styleId="958" w:customStyle="1">
    <w:name w:val="标题 9 Char"/>
    <w:link w:val="801"/>
    <w:uiPriority w:val="0"/>
    <w:qFormat/>
    <w:rPr>
      <w:sz w:val="24"/>
      <w:szCs w:val="21"/>
    </w:rPr>
  </w:style>
  <w:style w:type="character" w:styleId="959" w:customStyle="1">
    <w:name w:val="正文缩进 Char"/>
    <w:link w:val="738"/>
    <w:uiPriority w:val="0"/>
    <w:qFormat/>
    <w:rPr>
      <w:sz w:val="21"/>
      <w:szCs w:val="24"/>
    </w:rPr>
  </w:style>
  <w:style w:type="character" w:styleId="960" w:customStyle="1">
    <w:name w:val="正文文本 Char"/>
    <w:link w:val="742"/>
    <w:uiPriority w:val="0"/>
    <w:qFormat/>
    <w:rPr>
      <w:sz w:val="21"/>
      <w:szCs w:val="24"/>
    </w:rPr>
  </w:style>
  <w:style w:type="character" w:styleId="961" w:customStyle="1">
    <w:name w:val="纯文本 Char"/>
    <w:link w:val="751"/>
    <w:uiPriority w:val="0"/>
    <w:qFormat/>
    <w:rPr>
      <w:rFonts w:ascii="宋体" w:eastAsia="宋体"/>
      <w:sz w:val="21"/>
      <w:szCs w:val="24"/>
      <w:lang w:val="en-US" w:eastAsia="zh-CN" w:bidi="ar-SA"/>
    </w:rPr>
  </w:style>
  <w:style w:type="character" w:styleId="962" w:customStyle="1">
    <w:name w:val="页脚 Char"/>
    <w:link w:val="803"/>
    <w:uiPriority w:val="99"/>
    <w:qFormat/>
    <w:rPr>
      <w:sz w:val="18"/>
      <w:szCs w:val="18"/>
    </w:rPr>
  </w:style>
  <w:style w:type="character" w:styleId="963" w:customStyle="1">
    <w:name w:val="脚注文本 Char"/>
    <w:link w:val="762"/>
    <w:uiPriority w:val="0"/>
    <w:qFormat/>
    <w:rPr>
      <w:sz w:val="18"/>
      <w:szCs w:val="18"/>
    </w:rPr>
  </w:style>
  <w:style w:type="character" w:styleId="964" w:customStyle="1">
    <w:name w:val="标题 Char"/>
    <w:link w:val="771"/>
    <w:uiPriority w:val="0"/>
    <w:qFormat/>
    <w:rPr>
      <w:b/>
      <w:sz w:val="24"/>
      <w:lang w:val="en-GB" w:eastAsia="en-GB"/>
    </w:rPr>
  </w:style>
  <w:style w:type="character" w:styleId="965" w:customStyle="1">
    <w:name w:val="正文首行缩进 Char"/>
    <w:basedOn w:val="960"/>
    <w:link w:val="773"/>
    <w:uiPriority w:val="0"/>
    <w:qFormat/>
  </w:style>
  <w:style w:type="character" w:styleId="966" w:customStyle="1">
    <w:name w:val="超链接1"/>
    <w:basedOn w:val="967"/>
    <w:uiPriority w:val="99"/>
    <w:qFormat/>
    <w:rPr>
      <w:sz w:val="21"/>
      <w:szCs w:val="24"/>
      <w:lang w:val="en-US" w:eastAsia="zh-CN" w:bidi="ar-SA"/>
    </w:rPr>
  </w:style>
  <w:style w:type="character" w:styleId="967" w:customStyle="1">
    <w:name w:val="默认段落字体1"/>
    <w:uiPriority w:val="0"/>
    <w:semiHidden/>
    <w:qFormat/>
  </w:style>
  <w:style w:type="character" w:styleId="968" w:customStyle="1">
    <w:name w:val="_Style 82"/>
    <w:uiPriority w:val="0"/>
    <w:qFormat/>
    <w:rPr>
      <w:b/>
      <w:bCs/>
      <w:smallCaps/>
      <w:spacing w:val="5"/>
    </w:rPr>
  </w:style>
  <w:style w:type="character" w:styleId="969" w:customStyle="1">
    <w:name w:val="WPS Plain Char"/>
    <w:link w:val="970"/>
    <w:uiPriority w:val="0"/>
    <w:qFormat/>
    <w:rPr>
      <w:lang w:val="en-US" w:eastAsia="zh-CN" w:bidi="ar-SA"/>
    </w:rPr>
  </w:style>
  <w:style w:type="paragraph" w:styleId="970" w:customStyle="1">
    <w:name w:val="WPS Plain"/>
    <w:link w:val="969"/>
    <w:uiPriority w:val="0"/>
    <w:qFormat/>
    <w:rPr>
      <w:rFonts w:ascii="Times New Roman" w:hAnsi="Times New Roman" w:eastAsia="宋体" w:cs="Times New Roman"/>
      <w:lang w:val="en-US" w:eastAsia="zh-CN" w:bidi="ar-SA"/>
    </w:rPr>
  </w:style>
  <w:style w:type="character" w:styleId="971" w:customStyle="1">
    <w:name w:val="info1"/>
    <w:uiPriority w:val="0"/>
    <w:qFormat/>
    <w:rPr>
      <w:sz w:val="29"/>
      <w:szCs w:val="29"/>
    </w:rPr>
  </w:style>
  <w:style w:type="character" w:styleId="972" w:customStyle="1">
    <w:name w:val="Heading #3|1_"/>
    <w:link w:val="973"/>
    <w:uiPriority w:val="0"/>
    <w:qFormat/>
    <w:rPr>
      <w:rFonts w:ascii="宋体" w:hAnsi="宋体" w:eastAsia="宋体" w:cs="宋体"/>
      <w:sz w:val="42"/>
      <w:szCs w:val="42"/>
      <w:lang w:val="zh-TW" w:eastAsia="zh-TW" w:bidi="zh-TW"/>
    </w:rPr>
  </w:style>
  <w:style w:type="paragraph" w:styleId="973" w:customStyle="1">
    <w:name w:val="Heading #3|1"/>
    <w:basedOn w:val="731"/>
    <w:link w:val="972"/>
    <w:uiPriority w:val="0"/>
    <w:qFormat/>
    <w:pPr>
      <w:jc w:val="center"/>
      <w:spacing w:after="590" w:line="634" w:lineRule="exact"/>
      <w:outlineLvl w:val="2"/>
    </w:pPr>
    <w:rPr>
      <w:rFonts w:ascii="宋体" w:hAnsi="宋体" w:cs="宋体"/>
      <w:sz w:val="42"/>
      <w:szCs w:val="42"/>
      <w:lang w:val="zh-TW" w:eastAsia="zh-TW" w:bidi="zh-TW"/>
    </w:rPr>
  </w:style>
  <w:style w:type="character" w:styleId="974" w:customStyle="1">
    <w:name w:val="font01"/>
    <w:uiPriority w:val="0"/>
    <w:qFormat/>
    <w:rPr>
      <w:rFonts w:ascii="宋体" w:eastAsia="宋体" w:cs="宋体"/>
      <w:color w:val="000000"/>
      <w:sz w:val="22"/>
      <w:szCs w:val="22"/>
      <w:vertAlign w:val="superscript"/>
      <w:lang w:bidi="ar-SA"/>
    </w:rPr>
  </w:style>
  <w:style w:type="character" w:styleId="975" w:customStyle="1">
    <w:name w:val="bulletintext1"/>
    <w:uiPriority w:val="0"/>
    <w:qFormat/>
    <w:rPr>
      <w:color w:val="000000"/>
      <w:sz w:val="18"/>
      <w:szCs w:val="18"/>
    </w:rPr>
  </w:style>
  <w:style w:type="character" w:styleId="976" w:customStyle="1">
    <w:name w:val="font11"/>
    <w:uiPriority w:val="0"/>
    <w:qFormat/>
    <w:rPr>
      <w:rFonts w:ascii="宋体" w:eastAsia="宋体" w:cs="宋体"/>
      <w:color w:val="000000"/>
      <w:sz w:val="22"/>
      <w:szCs w:val="22"/>
      <w:lang w:bidi="ar-SA"/>
    </w:rPr>
  </w:style>
  <w:style w:type="character" w:styleId="977" w:customStyle="1">
    <w:name w:val="样式 宋体 小四"/>
    <w:uiPriority w:val="0"/>
    <w:qFormat/>
    <w:rPr>
      <w:rFonts w:ascii="宋体"/>
      <w:spacing w:val="6"/>
      <w:sz w:val="24"/>
      <w:szCs w:val="24"/>
    </w:rPr>
  </w:style>
  <w:style w:type="character" w:styleId="978" w:customStyle="1">
    <w:name w:val="列出段落 Char"/>
    <w:link w:val="979"/>
    <w:uiPriority w:val="0"/>
    <w:qFormat/>
    <w:rPr>
      <w:rFonts w:ascii="Calibri" w:hAnsi="Calibri"/>
      <w:sz w:val="24"/>
      <w:szCs w:val="24"/>
      <w:lang w:eastAsia="en-US" w:bidi="en-US"/>
    </w:rPr>
  </w:style>
  <w:style w:type="paragraph" w:styleId="979" w:customStyle="1">
    <w:name w:val="列出段落1"/>
    <w:basedOn w:val="731"/>
    <w:link w:val="978"/>
    <w:uiPriority w:val="0"/>
    <w:qFormat/>
    <w:pPr>
      <w:contextualSpacing/>
      <w:ind w:left="720"/>
      <w:jc w:val="left"/>
      <w:widowControl/>
    </w:pPr>
    <w:rPr>
      <w:rFonts w:ascii="Calibri" w:hAnsi="Calibri"/>
      <w:sz w:val="24"/>
      <w:lang w:eastAsia="en-US" w:bidi="en-US"/>
    </w:rPr>
  </w:style>
  <w:style w:type="character" w:styleId="980" w:customStyle="1">
    <w:name w:val="md"/>
    <w:basedOn w:val="732"/>
    <w:uiPriority w:val="0"/>
    <w:qFormat/>
  </w:style>
  <w:style w:type="character" w:styleId="981" w:customStyle="1">
    <w:name w:val="cart_title_smaller1"/>
    <w:uiPriority w:val="0"/>
    <w:qFormat/>
    <w:rPr>
      <w:color w:val="000000"/>
      <w:sz w:val="18"/>
      <w:szCs w:val="18"/>
      <w:u w:val="none"/>
    </w:rPr>
  </w:style>
  <w:style w:type="character" w:styleId="982" w:customStyle="1">
    <w:name w:val="表格标题 Char"/>
    <w:link w:val="983"/>
    <w:uiPriority w:val="0"/>
    <w:qFormat/>
    <w:rPr>
      <w:rFonts w:ascii="Cambria Math" w:hAnsi="Cambria Math" w:eastAsia="仿宋_GB2312"/>
      <w:b/>
      <w:sz w:val="21"/>
      <w:szCs w:val="24"/>
    </w:rPr>
  </w:style>
  <w:style w:type="paragraph" w:styleId="983" w:customStyle="1">
    <w:name w:val="表格标题"/>
    <w:basedOn w:val="731"/>
    <w:link w:val="982"/>
    <w:uiPriority w:val="0"/>
    <w:qFormat/>
    <w:pPr>
      <w:jc w:val="center"/>
    </w:pPr>
    <w:rPr>
      <w:rFonts w:ascii="Cambria Math" w:hAnsi="Cambria Math" w:eastAsia="仿宋_GB2312"/>
      <w:b/>
    </w:rPr>
  </w:style>
  <w:style w:type="character" w:styleId="984" w:customStyle="1">
    <w:name w:val="Body text|1_"/>
    <w:link w:val="985"/>
    <w:uiPriority w:val="0"/>
    <w:qFormat/>
    <w:rPr>
      <w:rFonts w:ascii="宋体" w:hAnsi="宋体" w:eastAsia="宋体" w:cs="宋体"/>
      <w:lang w:val="zh-TW" w:eastAsia="zh-TW" w:bidi="zh-TW"/>
    </w:rPr>
  </w:style>
  <w:style w:type="paragraph" w:styleId="985" w:customStyle="1">
    <w:name w:val="Body text|1"/>
    <w:basedOn w:val="731"/>
    <w:link w:val="984"/>
    <w:uiPriority w:val="0"/>
    <w:qFormat/>
    <w:pPr>
      <w:ind w:left="190" w:firstLine="650"/>
      <w:jc w:val="left"/>
      <w:spacing w:after="270" w:line="590" w:lineRule="exact"/>
    </w:pPr>
    <w:rPr>
      <w:rFonts w:ascii="宋体" w:hAnsi="宋体" w:cs="宋体"/>
      <w:sz w:val="20"/>
      <w:szCs w:val="20"/>
      <w:lang w:val="zh-TW" w:eastAsia="zh-TW" w:bidi="zh-TW"/>
    </w:rPr>
  </w:style>
  <w:style w:type="character" w:styleId="986" w:customStyle="1">
    <w:name w:val="Header or footer|1_"/>
    <w:link w:val="987"/>
    <w:uiPriority w:val="0"/>
    <w:qFormat/>
    <w:rPr>
      <w:sz w:val="26"/>
      <w:szCs w:val="26"/>
      <w:lang w:val="zh-TW" w:eastAsia="zh-TW" w:bidi="zh-TW"/>
    </w:rPr>
  </w:style>
  <w:style w:type="paragraph" w:styleId="987" w:customStyle="1">
    <w:name w:val="Header or footer|1"/>
    <w:basedOn w:val="731"/>
    <w:link w:val="986"/>
    <w:uiPriority w:val="0"/>
    <w:qFormat/>
    <w:pPr>
      <w:jc w:val="left"/>
    </w:pPr>
    <w:rPr>
      <w:sz w:val="26"/>
      <w:szCs w:val="26"/>
      <w:lang w:val="zh-TW" w:eastAsia="zh-TW" w:bidi="zh-TW"/>
    </w:rPr>
  </w:style>
  <w:style w:type="paragraph" w:styleId="988" w:customStyle="1">
    <w:name w:val="Char2 Char Char Char"/>
    <w:basedOn w:val="731"/>
    <w:uiPriority w:val="0"/>
    <w:qFormat/>
    <w:rPr>
      <w:rFonts w:ascii="仿宋_GB2312" w:eastAsia="仿宋_GB2312"/>
      <w:b/>
      <w:sz w:val="32"/>
      <w:szCs w:val="32"/>
    </w:rPr>
  </w:style>
  <w:style w:type="paragraph" w:styleId="989" w:customStyle="1">
    <w:name w:val="文件标题"/>
    <w:basedOn w:val="731"/>
    <w:uiPriority w:val="0"/>
    <w:qFormat/>
    <w:pPr>
      <w:jc w:val="center"/>
      <w:spacing w:after="240"/>
    </w:pPr>
    <w:rPr>
      <w:rFonts w:ascii="Arial Black" w:hAnsi="Arial Black"/>
      <w:sz w:val="48"/>
      <w:szCs w:val="20"/>
    </w:rPr>
  </w:style>
  <w:style w:type="paragraph" w:styleId="990" w:customStyle="1">
    <w:name w:val="xl29"/>
    <w:basedOn w:val="731"/>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Comic Sans MS" w:hAnsi="Comic Sans MS" w:cs="宋体"/>
      <w:sz w:val="20"/>
      <w:szCs w:val="20"/>
    </w:rPr>
  </w:style>
  <w:style w:type="paragraph" w:styleId="991" w:customStyle="1">
    <w:name w:val="标准中文版式_正文"/>
    <w:basedOn w:val="731"/>
    <w:uiPriority w:val="0"/>
    <w:qFormat/>
    <w:pPr>
      <w:ind w:firstLine="200"/>
      <w:spacing w:before="30" w:line="360" w:lineRule="auto"/>
    </w:pPr>
    <w:rPr>
      <w:rFonts w:ascii="Arial" w:hAnsi="Arial"/>
      <w:sz w:val="24"/>
    </w:rPr>
  </w:style>
  <w:style w:type="paragraph" w:styleId="992" w:customStyle="1">
    <w:name w:val="默认段落字体 Para Char Char Char Char Char Char Char Char Char1 Char Char Char Char"/>
    <w:basedOn w:val="731"/>
    <w:uiPriority w:val="0"/>
    <w:qFormat/>
    <w:rPr>
      <w:rFonts w:ascii="Tahoma" w:hAnsi="Tahoma"/>
      <w:sz w:val="24"/>
      <w:szCs w:val="20"/>
    </w:rPr>
  </w:style>
  <w:style w:type="paragraph" w:styleId="993" w:customStyle="1">
    <w:name w:val="简单回函地址"/>
    <w:basedOn w:val="731"/>
    <w:uiPriority w:val="0"/>
    <w:qFormat/>
    <w:rPr>
      <w:rFonts w:cs="宋体"/>
      <w:szCs w:val="21"/>
    </w:rPr>
  </w:style>
  <w:style w:type="paragraph" w:styleId="994" w:customStyle="1">
    <w:name w:val="Char Char Char Char Char Char"/>
    <w:basedOn w:val="731"/>
    <w:uiPriority w:val="0"/>
    <w:qFormat/>
    <w:rPr>
      <w:szCs w:val="20"/>
    </w:rPr>
  </w:style>
  <w:style w:type="paragraph" w:styleId="995" w:customStyle="1">
    <w:name w:val="部分1"/>
    <w:basedOn w:val="731"/>
    <w:uiPriority w:val="0"/>
    <w:qFormat/>
    <w:pPr>
      <w:jc w:val="center"/>
      <w:keepNext/>
      <w:pageBreakBefore/>
      <w:spacing w:line="360" w:lineRule="auto"/>
      <w:tabs>
        <w:tab w:val="left" w:pos="720" w:leader="none"/>
      </w:tabs>
      <w:outlineLvl w:val="0"/>
    </w:pPr>
    <w:rPr>
      <w:rFonts w:eastAsia="黑体"/>
      <w:b/>
      <w:sz w:val="36"/>
      <w:szCs w:val="20"/>
    </w:rPr>
  </w:style>
  <w:style w:type="paragraph" w:styleId="996" w:customStyle="1">
    <w:name w:val="Char"/>
    <w:basedOn w:val="731"/>
    <w:uiPriority w:val="0"/>
    <w:qFormat/>
    <w:rPr>
      <w:rFonts w:ascii="仿宋_GB2312" w:eastAsia="仿宋_GB2312"/>
      <w:b/>
      <w:sz w:val="32"/>
      <w:szCs w:val="32"/>
    </w:rPr>
  </w:style>
  <w:style w:type="paragraph" w:styleId="997" w:customStyle="1">
    <w:name w:val="xl38"/>
    <w:basedOn w:val="731"/>
    <w:uiPriority w:val="0"/>
    <w:qFormat/>
    <w:pPr>
      <w:jc w:val="center"/>
      <w:spacing w:before="100" w:beforeAutospacing="1" w:after="100" w:afterAutospacing="1"/>
      <w:widowControl/>
      <w:pBdr>
        <w:left w:val="single" w:color="auto" w:sz="4" w:space="0"/>
        <w:right w:val="single" w:color="auto" w:sz="4" w:space="0"/>
      </w:pBdr>
    </w:pPr>
    <w:rPr>
      <w:rFonts w:ascii="宋体"/>
      <w:sz w:val="24"/>
    </w:rPr>
  </w:style>
  <w:style w:type="paragraph" w:styleId="998" w:customStyle="1">
    <w:name w:val="xl28"/>
    <w:basedOn w:val="731"/>
    <w:uiPriority w:val="0"/>
    <w:qFormat/>
    <w:pPr>
      <w:jc w:val="center"/>
      <w:spacing w:before="100" w:beforeAutospacing="1" w:after="100" w:afterAutospacing="1"/>
      <w:widowControl/>
      <w:pBdr>
        <w:top w:val="single" w:color="auto" w:sz="4" w:space="0"/>
        <w:bottom w:val="single" w:color="auto" w:sz="4" w:space="0"/>
      </w:pBdr>
    </w:pPr>
    <w:rPr>
      <w:rFonts w:ascii="Comic Sans MS" w:hAnsi="Comic Sans MS" w:cs="宋体"/>
      <w:sz w:val="20"/>
      <w:szCs w:val="20"/>
    </w:rPr>
  </w:style>
  <w:style w:type="paragraph" w:styleId="999" w:customStyle="1">
    <w:name w:val="xl26"/>
    <w:basedOn w:val="7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omic Sans MS" w:hAnsi="Comic Sans MS" w:cs="宋体"/>
      <w:sz w:val="20"/>
      <w:szCs w:val="20"/>
    </w:rPr>
  </w:style>
  <w:style w:type="paragraph" w:styleId="1000" w:customStyle="1">
    <w:name w:val="Section #"/>
    <w:next w:val="731"/>
    <w:uiPriority w:val="0"/>
    <w:qFormat/>
    <w:pPr>
      <w:jc w:val="center"/>
      <w:spacing w:after="113" w:line="340" w:lineRule="atLeast"/>
      <w:tabs>
        <w:tab w:val="left" w:pos="2636" w:leader="none"/>
        <w:tab w:val="left" w:pos="3090" w:leader="none"/>
      </w:tabs>
    </w:pPr>
    <w:rPr>
      <w:rFonts w:ascii="Optima" w:hAnsi="Optima" w:eastAsia="宋体" w:cs="Times New Roman"/>
      <w:b/>
      <w:sz w:val="30"/>
      <w:lang w:val="en-US" w:eastAsia="zh-CN" w:bidi="ar-SA"/>
    </w:rPr>
  </w:style>
  <w:style w:type="paragraph" w:styleId="1001">
    <w:name w:val="No Spacing"/>
    <w:uiPriority w:val="0"/>
    <w:qFormat/>
    <w:rPr>
      <w:rFonts w:ascii="Times New Roman" w:hAnsi="Times New Roman" w:eastAsia="宋体" w:cs="Times New Roman"/>
      <w:sz w:val="22"/>
      <w:szCs w:val="22"/>
      <w:lang w:val="en-US" w:eastAsia="en-US" w:bidi="en-US"/>
    </w:rPr>
  </w:style>
  <w:style w:type="paragraph" w:styleId="1002" w:customStyle="1">
    <w:name w:val="Char1"/>
    <w:basedOn w:val="731"/>
    <w:uiPriority w:val="0"/>
    <w:qFormat/>
    <w:rPr>
      <w:rFonts w:ascii="仿宋_GB2312" w:eastAsia="仿宋_GB2312"/>
      <w:b/>
      <w:sz w:val="32"/>
      <w:szCs w:val="32"/>
    </w:rPr>
  </w:style>
  <w:style w:type="paragraph" w:styleId="1003">
    <w:name w:val="List Paragraph"/>
    <w:basedOn w:val="731"/>
    <w:next w:val="765"/>
    <w:uiPriority w:val="34"/>
    <w:qFormat/>
    <w:pPr>
      <w:ind w:firstLine="200"/>
    </w:pPr>
    <w:rPr>
      <w:szCs w:val="22"/>
    </w:rPr>
  </w:style>
  <w:style w:type="paragraph" w:styleId="1004" w:customStyle="1">
    <w:name w:val="表格标题/图片标题/日期格式/图片居中"/>
    <w:uiPriority w:val="0"/>
    <w:qFormat/>
    <w:pPr>
      <w:jc w:val="center"/>
    </w:pPr>
    <w:rPr>
      <w:rFonts w:ascii="Times New Roman" w:hAnsi="Times New Roman" w:eastAsia="宋体" w:cs="Times New Roman"/>
      <w:b/>
      <w:sz w:val="21"/>
      <w:szCs w:val="24"/>
      <w:lang w:val="en-US" w:eastAsia="zh-CN" w:bidi="ar-SA"/>
    </w:rPr>
  </w:style>
  <w:style w:type="paragraph" w:styleId="1005" w:customStyle="1">
    <w:name w:val="xl25"/>
    <w:basedOn w:val="7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omic Sans MS" w:hAnsi="Comic Sans MS" w:cs="宋体"/>
      <w:b/>
      <w:bCs/>
      <w:sz w:val="20"/>
      <w:szCs w:val="20"/>
    </w:rPr>
  </w:style>
  <w:style w:type="paragraph" w:styleId="1006" w:customStyle="1">
    <w:name w:val="规范正文"/>
    <w:basedOn w:val="731"/>
    <w:uiPriority w:val="0"/>
    <w:qFormat/>
    <w:pPr>
      <w:ind w:left="480"/>
      <w:spacing w:line="360" w:lineRule="auto"/>
    </w:pPr>
    <w:rPr>
      <w:sz w:val="24"/>
      <w:szCs w:val="20"/>
    </w:rPr>
  </w:style>
  <w:style w:type="paragraph" w:styleId="1007" w:customStyle="1">
    <w:name w:val="表格文字"/>
    <w:basedOn w:val="731"/>
    <w:uiPriority w:val="0"/>
    <w:qFormat/>
    <w:pPr>
      <w:jc w:val="center"/>
    </w:pPr>
    <w:rPr>
      <w:rFonts w:ascii="Cambria Math" w:hAnsi="Cambria Math" w:eastAsia="仿宋_GB2312"/>
    </w:rPr>
  </w:style>
  <w:style w:type="paragraph" w:styleId="1008" w:customStyle="1">
    <w:name w:val="xl27"/>
    <w:basedOn w:val="731"/>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Comic Sans MS" w:hAnsi="Comic Sans MS" w:cs="宋体"/>
      <w:sz w:val="20"/>
      <w:szCs w:val="20"/>
    </w:rPr>
  </w:style>
  <w:style w:type="paragraph" w:styleId="1009" w:customStyle="1">
    <w:name w:val="HTML 预先格式化"/>
    <w:basedOn w:val="73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sz w:val="20"/>
      <w:szCs w:val="20"/>
    </w:rPr>
  </w:style>
  <w:style w:type="paragraph" w:styleId="1010" w:customStyle="1">
    <w:name w:val="正文 样式"/>
    <w:basedOn w:val="731"/>
    <w:uiPriority w:val="0"/>
    <w:qFormat/>
    <w:pPr>
      <w:ind w:firstLine="480"/>
      <w:spacing w:line="360" w:lineRule="auto"/>
    </w:pPr>
    <w:rPr>
      <w:rFonts w:ascii="Cambria Math" w:hAnsi="Cambria Math" w:eastAsia="仿宋_GB2312" w:cs="Cambria Math"/>
      <w:sz w:val="24"/>
    </w:rPr>
  </w:style>
  <w:style w:type="paragraph" w:styleId="1011" w:customStyle="1">
    <w:name w:val="正文缩进1"/>
    <w:next w:val="739"/>
    <w:uiPriority w:val="0"/>
    <w:qFormat/>
    <w:pPr>
      <w:ind w:left="200" w:firstLine="200"/>
      <w:jc w:val="both"/>
      <w:spacing w:before="50"/>
      <w:widowControl w:val="off"/>
    </w:pPr>
    <w:rPr>
      <w:rFonts w:ascii="Times New Roman" w:hAnsi="Times New Roman" w:eastAsia="宋体" w:cs="Times New Roman"/>
      <w:sz w:val="24"/>
      <w:lang w:val="en-US" w:eastAsia="zh-CN" w:bidi="ar-SA"/>
    </w:rPr>
  </w:style>
  <w:style w:type="paragraph" w:styleId="1012" w:customStyle="1">
    <w:name w:val="flName"/>
    <w:basedOn w:val="731"/>
    <w:uiPriority w:val="0"/>
    <w:qFormat/>
    <w:pPr>
      <w:ind w:firstLine="200"/>
      <w:jc w:val="center"/>
      <w:spacing w:before="320" w:after="160" w:line="360" w:lineRule="atLeast"/>
    </w:pPr>
    <w:rPr>
      <w:rFonts w:ascii="Arial" w:hAnsi="Arial" w:eastAsia="黑体"/>
      <w:sz w:val="32"/>
    </w:rPr>
  </w:style>
  <w:style w:type="paragraph" w:styleId="1013" w:customStyle="1">
    <w:name w:val="正文2"/>
    <w:basedOn w:val="731"/>
    <w:uiPriority w:val="0"/>
    <w:qFormat/>
    <w:pPr>
      <w:ind w:firstLine="200"/>
      <w:spacing w:before="156" w:line="360" w:lineRule="auto"/>
    </w:pPr>
    <w:rPr>
      <w:sz w:val="24"/>
      <w:szCs w:val="20"/>
    </w:rPr>
  </w:style>
  <w:style w:type="paragraph" w:styleId="1014" w:customStyle="1">
    <w:name w:val="普通正文"/>
    <w:basedOn w:val="731"/>
    <w:uiPriority w:val="0"/>
    <w:qFormat/>
    <w:pPr>
      <w:ind w:firstLine="480"/>
      <w:jc w:val="left"/>
      <w:spacing w:before="120" w:after="120" w:line="360" w:lineRule="auto"/>
    </w:pPr>
    <w:rPr>
      <w:rFonts w:ascii="Arial" w:hAnsi="Arial"/>
      <w:sz w:val="24"/>
    </w:rPr>
  </w:style>
  <w:style w:type="paragraph" w:styleId="1015" w:customStyle="1">
    <w:name w:val="xl24"/>
    <w:basedOn w:val="7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omic Sans MS" w:hAnsi="Comic Sans MS" w:cs="宋体"/>
      <w:sz w:val="20"/>
      <w:szCs w:val="20"/>
    </w:rPr>
  </w:style>
  <w:style w:type="paragraph" w:styleId="1016" w:customStyle="1">
    <w:name w:val="表内文字"/>
    <w:basedOn w:val="731"/>
    <w:uiPriority w:val="0"/>
    <w:qFormat/>
    <w:pPr>
      <w:jc w:val="center"/>
      <w:spacing w:before="50" w:after="50"/>
    </w:pPr>
    <w:rPr>
      <w:rFonts w:ascii="宋体"/>
      <w:sz w:val="24"/>
      <w:szCs w:val="20"/>
    </w:rPr>
  </w:style>
  <w:style w:type="paragraph" w:styleId="1017" w:customStyle="1">
    <w:name w:val="正文段"/>
    <w:basedOn w:val="731"/>
    <w:uiPriority w:val="0"/>
    <w:qFormat/>
    <w:pPr>
      <w:ind w:firstLine="200"/>
      <w:spacing w:after="50"/>
      <w:widowControl/>
    </w:pPr>
    <w:rPr>
      <w:sz w:val="24"/>
      <w:szCs w:val="20"/>
    </w:rPr>
  </w:style>
  <w:style w:type="paragraph" w:styleId="1018" w:customStyle="1">
    <w:name w:val="xl30"/>
    <w:basedOn w:val="731"/>
    <w:uiPriority w:val="0"/>
    <w:qFormat/>
    <w:pPr>
      <w:jc w:val="center"/>
      <w:spacing w:before="100" w:beforeAutospacing="1" w:after="100" w:afterAutospacing="1"/>
      <w:widowControl/>
      <w:pBdr>
        <w:top w:val="single" w:color="auto" w:sz="4" w:space="0"/>
        <w:bottom w:val="single" w:color="auto" w:sz="4" w:space="0"/>
      </w:pBdr>
    </w:pPr>
    <w:rPr>
      <w:rFonts w:ascii="Comic Sans MS" w:hAnsi="Comic Sans MS" w:cs="宋体"/>
      <w:sz w:val="20"/>
      <w:szCs w:val="20"/>
    </w:rPr>
  </w:style>
  <w:style w:type="paragraph" w:styleId="1019" w:customStyle="1">
    <w:name w:val="Proposals body"/>
    <w:basedOn w:val="731"/>
    <w:next w:val="731"/>
    <w:uiPriority w:val="0"/>
    <w:qFormat/>
    <w:pPr>
      <w:jc w:val="left"/>
      <w:spacing w:line="360" w:lineRule="auto"/>
      <w:widowControl/>
    </w:pPr>
    <w:rPr>
      <w:rFonts w:ascii="宋体"/>
      <w:color w:val="000000"/>
      <w:sz w:val="24"/>
      <w:szCs w:val="20"/>
    </w:rPr>
  </w:style>
  <w:style w:type="paragraph" w:styleId="1020" w:customStyle="1">
    <w:name w:val="正文格式"/>
    <w:basedOn w:val="731"/>
    <w:uiPriority w:val="0"/>
    <w:qFormat/>
    <w:pPr>
      <w:ind w:firstLine="480"/>
      <w:spacing w:line="360" w:lineRule="auto"/>
    </w:pPr>
    <w:rPr>
      <w:rFonts w:ascii="Cambria Math" w:hAnsi="Cambria Math" w:eastAsia="仿宋_GB2312" w:cs="Cambria Math"/>
      <w:sz w:val="24"/>
      <w:szCs w:val="20"/>
    </w:rPr>
  </w:style>
  <w:style w:type="paragraph" w:styleId="1021" w:customStyle="1">
    <w:name w:val="Char21"/>
    <w:basedOn w:val="731"/>
    <w:uiPriority w:val="0"/>
    <w:qFormat/>
    <w:rPr>
      <w:szCs w:val="20"/>
    </w:rPr>
  </w:style>
  <w:style w:type="paragraph" w:styleId="1022" w:customStyle="1">
    <w:name w:val="纯文本1"/>
    <w:basedOn w:val="731"/>
    <w:uiPriority w:val="0"/>
    <w:qFormat/>
    <w:rPr>
      <w:rFonts w:ascii="宋体" w:hAnsi="Courier New" w:eastAsia="楷体_GB2312" w:cs="宋体"/>
      <w:sz w:val="28"/>
      <w:szCs w:val="21"/>
    </w:rPr>
  </w:style>
  <w:style w:type="paragraph" w:styleId="1023" w:customStyle="1">
    <w:name w:val="Char2"/>
    <w:basedOn w:val="731"/>
    <w:uiPriority w:val="0"/>
    <w:qFormat/>
    <w:rPr>
      <w:rFonts w:ascii="仿宋_GB2312" w:eastAsia="仿宋_GB2312"/>
      <w:b/>
      <w:sz w:val="32"/>
      <w:szCs w:val="32"/>
    </w:rPr>
  </w:style>
  <w:style w:type="paragraph" w:styleId="1024" w:customStyle="1">
    <w:name w:val="正文（缩进）"/>
    <w:basedOn w:val="731"/>
    <w:uiPriority w:val="0"/>
    <w:qFormat/>
    <w:pPr>
      <w:ind w:firstLine="480"/>
      <w:spacing w:before="156" w:after="156"/>
    </w:pPr>
    <w:rPr>
      <w:rFonts w:ascii="Calibri" w:hAnsi="Calibri"/>
      <w:szCs w:val="20"/>
    </w:rPr>
  </w:style>
  <w:style w:type="character" w:styleId="1025" w:customStyle="1">
    <w:name w:val="NormalCharacter"/>
    <w:uiPriority w:val="0"/>
    <w:qFormat/>
  </w:style>
  <w:style w:type="character" w:styleId="1026" w:customStyle="1">
    <w:name w:val="UserStyle_9"/>
    <w:uiPriority w:val="0"/>
    <w:qFormat/>
  </w:style>
  <w:style w:type="paragraph" w:styleId="1027" w:customStyle="1">
    <w:name w:val="正文1"/>
    <w:uiPriority w:val="0"/>
    <w:qFormat/>
    <w:pPr>
      <w:contextualSpacing/>
      <w:ind w:firstLine="200"/>
      <w:spacing w:before="120" w:after="120" w:line="180" w:lineRule="auto"/>
    </w:pPr>
    <w:rPr>
      <w:rFonts w:ascii="Times New Roman" w:hAnsi="Times New Roman" w:eastAsia="Adobe 仿宋 Std R" w:cs="Times New Roman"/>
      <w:sz w:val="21"/>
      <w:szCs w:val="21"/>
      <w:lang w:val="en-US" w:eastAsia="zh-CN" w:bidi="ar-SA"/>
    </w:rPr>
  </w:style>
  <w:style w:type="paragraph" w:styleId="1028" w:customStyle="1">
    <w:name w:val="Table Paragraph"/>
    <w:basedOn w:val="1029"/>
    <w:uiPriority w:val="1"/>
    <w:qFormat/>
    <w:rPr>
      <w:rFonts w:ascii="宋体" w:hAnsi="宋体" w:cs="宋体"/>
      <w:lang w:val="zh-CN" w:bidi="zh-CN"/>
    </w:rPr>
  </w:style>
  <w:style w:type="paragraph" w:styleId="1029" w:customStyle="1">
    <w:name w:val="正文11"/>
    <w:next w:val="1030"/>
    <w:uiPriority w:val="0"/>
    <w:qFormat/>
    <w:pPr>
      <w:jc w:val="both"/>
      <w:widowControl w:val="off"/>
    </w:pPr>
    <w:rPr>
      <w:rFonts w:ascii="Times New Roman" w:hAnsi="Times New Roman" w:eastAsia="宋体" w:cs="Times New Roman"/>
      <w:sz w:val="21"/>
      <w:szCs w:val="24"/>
      <w:lang w:val="en-US" w:eastAsia="zh-CN" w:bidi="ar-SA"/>
    </w:rPr>
  </w:style>
  <w:style w:type="paragraph" w:styleId="1030" w:customStyle="1">
    <w:name w:val="目录 11"/>
    <w:basedOn w:val="1029"/>
    <w:next w:val="1029"/>
    <w:uiPriority w:val="0"/>
    <w:qFormat/>
    <w:pPr>
      <w:jc w:val="left"/>
      <w:spacing w:after="100" w:line="276" w:lineRule="auto"/>
      <w:widowControl/>
      <w:tabs>
        <w:tab w:val="left" w:pos="142" w:leader="none"/>
        <w:tab w:val="right" w:pos="9617" w:leader="dot"/>
      </w:tabs>
    </w:pPr>
    <w:rPr>
      <w:rFonts w:eastAsia="黑体"/>
      <w:sz w:val="24"/>
      <w:szCs w:val="22"/>
    </w:rPr>
  </w:style>
  <w:style w:type="character" w:styleId="1031" w:customStyle="1">
    <w:name w:val="hour_am"/>
    <w:basedOn w:val="732"/>
    <w:uiPriority w:val="0"/>
    <w:qFormat/>
  </w:style>
  <w:style w:type="character" w:styleId="1032" w:customStyle="1">
    <w:name w:val="hover"/>
    <w:basedOn w:val="732"/>
    <w:uiPriority w:val="0"/>
    <w:qFormat/>
    <w:rPr>
      <w:shd w:val="clear" w:color="auto" w:fill="eeeeee"/>
    </w:rPr>
  </w:style>
  <w:style w:type="character" w:styleId="1033" w:customStyle="1">
    <w:name w:val="hover1"/>
    <w:basedOn w:val="732"/>
    <w:uiPriority w:val="0"/>
    <w:qFormat/>
    <w:rPr>
      <w:color w:val="5fb878"/>
    </w:rPr>
  </w:style>
  <w:style w:type="character" w:styleId="1034" w:customStyle="1">
    <w:name w:val="hover2"/>
    <w:basedOn w:val="732"/>
    <w:uiPriority w:val="0"/>
    <w:qFormat/>
    <w:rPr>
      <w:color w:val="5fb878"/>
    </w:rPr>
  </w:style>
  <w:style w:type="character" w:styleId="1035" w:customStyle="1">
    <w:name w:val="hover3"/>
    <w:basedOn w:val="732"/>
    <w:uiPriority w:val="0"/>
    <w:qFormat/>
    <w:rPr>
      <w:color w:val="ffffff"/>
    </w:rPr>
  </w:style>
  <w:style w:type="character" w:styleId="1036" w:customStyle="1">
    <w:name w:val="old"/>
    <w:basedOn w:val="732"/>
    <w:uiPriority w:val="0"/>
    <w:qFormat/>
    <w:rPr>
      <w:color w:val="999999"/>
    </w:rPr>
  </w:style>
  <w:style w:type="character" w:styleId="1037" w:customStyle="1">
    <w:name w:val="glyphicon"/>
    <w:basedOn w:val="732"/>
    <w:uiPriority w:val="0"/>
    <w:qFormat/>
  </w:style>
  <w:style w:type="character" w:styleId="1038" w:customStyle="1">
    <w:name w:val="hour_pm"/>
    <w:basedOn w:val="732"/>
    <w:uiPriority w:val="0"/>
    <w:qFormat/>
  </w:style>
  <w:style w:type="paragraph" w:styleId="1039" w:customStyle="1">
    <w:name w:val="无间隔1"/>
    <w:uiPriority w:val="99"/>
    <w:qFormat/>
    <w:pPr>
      <w:jc w:val="both"/>
      <w:widowControl w:val="off"/>
    </w:pPr>
    <w:rPr>
      <w:rFonts w:ascii="Times New Roman" w:hAnsi="Times New Roman" w:eastAsia="宋体" w:cs="Times New Roman"/>
      <w:sz w:val="21"/>
      <w:szCs w:val="24"/>
      <w:lang w:val="en-US" w:eastAsia="zh-CN" w:bidi="ar-SA"/>
    </w:rPr>
  </w:style>
  <w:style w:type="paragraph" w:styleId="1040" w:customStyle="1">
    <w:name w:val="样式 标题 2 + Times New Roman 四号 非加粗 段前: 5 磅 段后: 0 磅 行距: 固定值 20..."/>
    <w:basedOn w:val="793"/>
    <w:uiPriority w:val="0"/>
    <w:qFormat/>
    <w:pPr>
      <w:spacing w:before="100" w:after="0" w:line="400" w:lineRule="exact"/>
    </w:pPr>
    <w:rPr>
      <w:rFonts w:ascii="Times New Roman" w:hAnsi="Times New Roman" w:cs="宋体"/>
      <w:b w:val="0"/>
      <w:bCs w:val="0"/>
      <w:sz w:val="28"/>
      <w:szCs w:val="20"/>
    </w:rPr>
  </w:style>
  <w:style w:type="paragraph" w:styleId="1041" w:customStyle="1">
    <w:name w:val="正文_0"/>
    <w:uiPriority w:val="0"/>
    <w:qFormat/>
    <w:pPr>
      <w:jc w:val="both"/>
      <w:widowControl w:val="off"/>
    </w:pPr>
    <w:rPr>
      <w:rFonts w:ascii="Calibri" w:hAnsi="Calibri" w:eastAsia="宋体" w:cs="Times New Roman"/>
      <w:sz w:val="21"/>
      <w:szCs w:val="22"/>
      <w:lang w:val="en-US" w:eastAsia="zh-CN" w:bidi="ar-SA"/>
    </w:rPr>
  </w:style>
  <w:style w:type="character" w:styleId="1042" w:customStyle="1">
    <w:name w:val="hover4"/>
    <w:basedOn w:val="732"/>
    <w:uiPriority w:val="0"/>
    <w:qFormat/>
    <w:rPr>
      <w:color w:val="5fb878"/>
    </w:rPr>
  </w:style>
  <w:style w:type="character" w:styleId="1043" w:customStyle="1">
    <w:name w:val="hover5"/>
    <w:basedOn w:val="732"/>
    <w:uiPriority w:val="0"/>
    <w:qFormat/>
    <w:rPr>
      <w:color w:val="5fb878"/>
    </w:rPr>
  </w:style>
  <w:style w:type="character" w:styleId="1044" w:customStyle="1">
    <w:name w:val="first-child"/>
    <w:basedOn w:val="732"/>
    <w:uiPriority w:val="0"/>
    <w:qFormat/>
  </w:style>
  <w:style w:type="character" w:styleId="1045" w:customStyle="1">
    <w:name w:val="layui-this2"/>
    <w:basedOn w:val="732"/>
    <w:uiPriority w:val="0"/>
    <w:qFormat/>
    <w:rPr>
      <w:shd w:val="clear" w:color="auto" w:fill="ffffff"/>
    </w:rPr>
  </w:style>
  <w:style w:type="character" w:styleId="1046" w:customStyle="1">
    <w:name w:val="active"/>
    <w:basedOn w:val="732"/>
    <w:uiPriority w:val="0"/>
    <w:qFormat/>
    <w:rPr>
      <w:color w:val="ffffff"/>
      <w:shd w:val="clear" w:color="auto" w:fill="0f5bb9"/>
    </w:rPr>
  </w:style>
  <w:style w:type="character" w:styleId="1047" w:customStyle="1">
    <w:name w:val="active16"/>
    <w:basedOn w:val="732"/>
    <w:uiPriority w:val="0"/>
    <w:qFormat/>
    <w:rPr>
      <w:color w:val="ffffff"/>
      <w:shd w:val="clear" w:color="auto" w:fill="0f5bb9"/>
    </w:rPr>
  </w:style>
  <w:style w:type="paragraph" w:styleId="1048" w:customStyle="1">
    <w:name w:val="正文首行缩进 21"/>
    <w:basedOn w:val="746"/>
    <w:uiPriority w:val="0"/>
    <w:qFormat/>
    <w:pPr>
      <w:ind w:left="420" w:firstLine="420"/>
      <w:jc w:val="left"/>
      <w:spacing w:after="120"/>
    </w:pPr>
    <w:rPr>
      <w:rFonts w:eastAsia="宋体"/>
      <w:sz w:val="21"/>
    </w:rPr>
  </w:style>
  <w:style w:type="paragraph" w:styleId="1049" w:customStyle="1">
    <w:name w:val="寄信人地址1"/>
    <w:basedOn w:val="731"/>
    <w:uiPriority w:val="99"/>
    <w:unhideWhenUsed/>
    <w:qFormat/>
    <w:rPr>
      <w:rFonts w:ascii="Arial" w:hAnsi="Arial"/>
    </w:rPr>
  </w:style>
  <w:style w:type="paragraph" w:styleId="1050" w:customStyle="1">
    <w:name w:val="普通(网站)1"/>
    <w:basedOn w:val="731"/>
    <w:uiPriority w:val="0"/>
    <w:qFormat/>
    <w:pPr>
      <w:jc w:val="left"/>
      <w:spacing w:before="100" w:beforeAutospacing="1" w:after="100" w:afterAutospacing="1"/>
      <w:widowControl/>
    </w:pPr>
    <w:rPr>
      <w:rFonts w:ascii="宋体" w:hAnsi="宋体"/>
      <w:color w:val="000000"/>
      <w:sz w:val="24"/>
    </w:rPr>
  </w:style>
  <w:style w:type="paragraph" w:styleId="1051" w:customStyle="1">
    <w:name w:val="纯文本1111"/>
    <w:basedOn w:val="731"/>
    <w:uiPriority w:val="99"/>
    <w:qFormat/>
    <w:rPr>
      <w:rFonts w:ascii="宋体" w:hAnsi="Courier New"/>
      <w:sz w:val="24"/>
    </w:rPr>
  </w:style>
  <w:style w:type="paragraph" w:styleId="1052" w:customStyle="1">
    <w:name w:val="段"/>
    <w:next w:val="731"/>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1053" w:customStyle="1">
    <w:name w:val="纯文本11"/>
    <w:basedOn w:val="731"/>
    <w:uiPriority w:val="99"/>
    <w:qFormat/>
    <w:rPr>
      <w:rFonts w:ascii="宋体"/>
    </w:rPr>
  </w:style>
  <w:style w:type="paragraph" w:styleId="1054" w:customStyle="1">
    <w:name w:val="正文文本缩进 31"/>
    <w:basedOn w:val="1029"/>
    <w:uiPriority w:val="0"/>
    <w:qFormat/>
    <w:pPr>
      <w:ind w:firstLine="600"/>
      <w:spacing w:before="50" w:after="50" w:line="400" w:lineRule="exact"/>
    </w:pPr>
    <w:rPr>
      <w:rFonts w:ascii="仿宋_GB2312" w:hAnsi="宋体" w:eastAsia="仿宋_GB2312"/>
      <w:sz w:val="32"/>
    </w:rPr>
  </w:style>
  <w:style w:type="paragraph" w:styleId="1055" w:customStyle="1">
    <w:name w:val="black1"/>
    <w:basedOn w:val="1029"/>
    <w:uiPriority w:val="0"/>
    <w:qFormat/>
    <w:pPr>
      <w:jc w:val="left"/>
      <w:spacing w:before="100" w:beforeAutospacing="1" w:after="100" w:afterAutospacing="1"/>
      <w:widowControl/>
    </w:pPr>
    <w:rPr>
      <w:rFonts w:ascii="宋体" w:hAnsi="宋体"/>
      <w:sz w:val="24"/>
    </w:rPr>
  </w:style>
  <w:style w:type="paragraph" w:styleId="1056" w:customStyle="1">
    <w:name w:val="页脚1"/>
    <w:basedOn w:val="1027"/>
    <w:uiPriority w:val="0"/>
    <w:qFormat/>
    <w:pPr>
      <w:spacing w:line="240" w:lineRule="auto"/>
      <w:tabs>
        <w:tab w:val="center" w:pos="4153" w:leader="none"/>
        <w:tab w:val="right" w:pos="8306" w:leader="none"/>
      </w:tabs>
    </w:pPr>
    <w:rPr>
      <w:sz w:val="18"/>
      <w:szCs w:val="18"/>
    </w:rPr>
  </w:style>
  <w:style w:type="paragraph" w:styleId="1057" w:customStyle="1">
    <w:name w:val="副标题1"/>
    <w:basedOn w:val="1029"/>
    <w:next w:val="1029"/>
    <w:uiPriority w:val="0"/>
    <w:qFormat/>
    <w:pPr>
      <w:ind w:firstLine="200"/>
      <w:jc w:val="left"/>
      <w:spacing w:line="400" w:lineRule="exact"/>
      <w:outlineLvl w:val="1"/>
    </w:pPr>
    <w:rPr>
      <w:rFonts w:ascii="Cambria" w:hAnsi="Cambria" w:eastAsia="黑体"/>
      <w:b/>
      <w:bCs/>
      <w:sz w:val="32"/>
      <w:szCs w:val="32"/>
    </w:rPr>
  </w:style>
  <w:style w:type="paragraph" w:styleId="1058" w:customStyle="1">
    <w:name w:val="正文文本1"/>
    <w:basedOn w:val="1029"/>
    <w:next w:val="731"/>
    <w:uiPriority w:val="0"/>
    <w:qFormat/>
    <w:pPr>
      <w:spacing w:after="120"/>
    </w:pPr>
    <w:rPr>
      <w:sz w:val="15"/>
    </w:rPr>
  </w:style>
  <w:style w:type="paragraph" w:styleId="1059" w:customStyle="1">
    <w:name w:val="一级条标题"/>
    <w:basedOn w:val="1060"/>
    <w:next w:val="1052"/>
    <w:uiPriority w:val="0"/>
    <w:qFormat/>
    <w:pPr>
      <w:tabs>
        <w:tab w:val="left" w:pos="1200" w:leader="none"/>
      </w:tabs>
      <w:outlineLvl w:val="2"/>
    </w:pPr>
  </w:style>
  <w:style w:type="paragraph" w:styleId="1060" w:customStyle="1">
    <w:name w:val="章标题"/>
    <w:next w:val="731"/>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061" w:customStyle="1">
    <w:name w:val="Heading 21"/>
    <w:basedOn w:val="731"/>
    <w:next w:val="731"/>
    <w:uiPriority w:val="0"/>
    <w:qFormat/>
    <w:pPr>
      <w:jc w:val="left"/>
      <w:keepLines/>
      <w:keepNext/>
      <w:spacing w:before="260" w:after="260" w:line="415" w:lineRule="auto"/>
      <w:outlineLvl w:val="1"/>
    </w:pPr>
    <w:rPr>
      <w:rFonts w:ascii="Arial" w:hAnsi="Arial" w:eastAsia="仿宋_GB2312" w:cs="Arial"/>
      <w:sz w:val="28"/>
      <w:szCs w:val="44"/>
    </w:rPr>
  </w:style>
  <w:style w:type="paragraph" w:styleId="1062" w:customStyle="1">
    <w:name w:val="Heading 31"/>
    <w:basedOn w:val="731"/>
    <w:next w:val="731"/>
    <w:uiPriority w:val="0"/>
    <w:qFormat/>
    <w:pPr>
      <w:keepLines/>
      <w:keepNext/>
      <w:spacing w:before="260" w:after="260" w:line="415" w:lineRule="auto"/>
      <w:outlineLvl w:val="2"/>
    </w:pPr>
    <w:rPr>
      <w:sz w:val="32"/>
      <w:szCs w:val="32"/>
    </w:rPr>
  </w:style>
  <w:style w:type="character" w:styleId="1063" w:customStyle="1">
    <w:name w:val="页眉 Char"/>
    <w:basedOn w:val="732"/>
    <w:link w:val="758"/>
    <w:uiPriority w:val="99"/>
    <w:semiHidden/>
    <w:qFormat/>
    <w:rPr>
      <w:sz w:val="18"/>
      <w:szCs w:val="18"/>
    </w:rPr>
  </w:style>
  <w:style w:type="character" w:styleId="1064" w:customStyle="1">
    <w:name w:val="页脚 Char1"/>
    <w:basedOn w:val="732"/>
    <w:link w:val="757"/>
    <w:uiPriority w:val="99"/>
    <w:semiHidden/>
    <w:qFormat/>
    <w:rPr>
      <w:sz w:val="18"/>
      <w:szCs w:val="18"/>
    </w:rPr>
  </w:style>
  <w:style w:type="numbering" w:styleId="10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2050"/>
    <customShpInfo spid="_x0000_s2049"/>
    <customShpInfo spid="_x0000_s1026"/>
    <customShpInfo spid="_x0000_s1029"/>
    <customShpInfo spid="_x0000_s1028"/>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政府采购谈判文件示范文本</dc:title>
  <dc:creator>姜堰招标中心</dc:creator>
  <cp:lastModifiedBy>陆燕</cp:lastModifiedBy>
  <cp:revision>69</cp:revision>
  <dcterms:created xsi:type="dcterms:W3CDTF">2021-03-25T00:40:00Z</dcterms:created>
  <dcterms:modified xsi:type="dcterms:W3CDTF">2026-07-23T07:58:28Z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CBFEFD762AD04B5BA717CFE49D6AB3A0_13</vt:lpwstr>
  </property>
  <property fmtid="{D5CDD505-2E9C-101B-9397-08002B2CF9AE}" pid="4" name="KSOTemplateDocerSaveRecord">
    <vt:lpwstr>eyJoZGlkIjoiNzA3ZDc4NTdkNTQ2NWRlNGJkZDc2MjE5ZmNiMDViMDUiLCJ1c2VySWQiOiIyMzkyMzMyMjEifQ==</vt:lpwstr>
  </property>
</Properties>
</file>