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hint="eastAsia"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宋体" w:hAnsi="宋体"/>
          <w:b/>
          <w:sz w:val="32"/>
        </w:rPr>
        <w:t xml:space="preserve">JSZC-320500-JZCG-C2026-0206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：苏州职业技术大学</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科研创新服务平台</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rPr>
        <w:t xml:space="preserve">8月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6"/>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1057"/>
            <w:b w:val="0"/>
            <w:sz w:val="32"/>
            <w:szCs w:val="32"/>
          </w:rPr>
          <w:t xml:space="preserve">第一章</w:t>
        </w:r>
        <w:r>
          <w:rPr>
            <w:rStyle w:val="1057"/>
            <w:b w:val="0"/>
            <w:sz w:val="32"/>
            <w:szCs w:val="32"/>
          </w:rPr>
          <w:t xml:space="preserve"> </w:t>
        </w:r>
        <w:r>
          <w:rPr>
            <w:rStyle w:val="1057"/>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7"/>
            <w:b w:val="0"/>
            <w:sz w:val="32"/>
            <w:szCs w:val="32"/>
          </w:rPr>
          <w:t xml:space="preserve">第二章</w:t>
        </w:r>
        <w:r>
          <w:rPr>
            <w:rStyle w:val="1057"/>
            <w:b w:val="0"/>
            <w:sz w:val="32"/>
            <w:szCs w:val="32"/>
          </w:rPr>
          <w:t xml:space="preserve"> </w:t>
        </w:r>
        <w:r>
          <w:rPr>
            <w:rStyle w:val="1057"/>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7"/>
            <w:b w:val="0"/>
            <w:sz w:val="32"/>
            <w:szCs w:val="32"/>
          </w:rPr>
          <w:t xml:space="preserve">第三章</w:t>
        </w:r>
        <w:r>
          <w:rPr>
            <w:rStyle w:val="1057"/>
            <w:b w:val="0"/>
            <w:sz w:val="32"/>
            <w:szCs w:val="32"/>
          </w:rPr>
          <w:t xml:space="preserve"> </w:t>
        </w:r>
        <w:r>
          <w:rPr>
            <w:rStyle w:val="1057"/>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7"/>
            <w:b w:val="0"/>
            <w:sz w:val="32"/>
            <w:szCs w:val="32"/>
          </w:rPr>
          <w:t xml:space="preserve">第四章</w:t>
        </w:r>
        <w:r>
          <w:rPr>
            <w:rStyle w:val="1057"/>
            <w:b w:val="0"/>
            <w:sz w:val="32"/>
            <w:szCs w:val="32"/>
          </w:rPr>
          <w:t xml:space="preserve"> </w:t>
        </w:r>
        <w:r>
          <w:rPr>
            <w:rStyle w:val="1057"/>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7"/>
            <w:b w:val="0"/>
            <w:sz w:val="32"/>
            <w:szCs w:val="32"/>
          </w:rPr>
          <w:t xml:space="preserve">第五章</w:t>
        </w:r>
        <w:r>
          <w:rPr>
            <w:rStyle w:val="1057"/>
            <w:b w:val="0"/>
            <w:sz w:val="32"/>
            <w:szCs w:val="32"/>
          </w:rPr>
          <w:t xml:space="preserve"> </w:t>
        </w:r>
        <w:r>
          <w:rPr>
            <w:rStyle w:val="1057"/>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46</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7"/>
            <w:b w:val="0"/>
            <w:sz w:val="32"/>
            <w:szCs w:val="32"/>
          </w:rPr>
          <w:t xml:space="preserve">第六章</w:t>
        </w:r>
        <w:r>
          <w:rPr>
            <w:rStyle w:val="1057"/>
            <w:b w:val="0"/>
            <w:sz w:val="32"/>
            <w:szCs w:val="32"/>
          </w:rPr>
          <w:t xml:space="preserve"> </w:t>
        </w:r>
        <w:r>
          <w:rPr>
            <w:rStyle w:val="1057"/>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54</w:t>
        </w:r>
        <w:r>
          <w:rPr>
            <w:b w:val="0"/>
            <w:sz w:val="32"/>
            <w:szCs w:val="32"/>
          </w:rPr>
          <w:fldChar w:fldCharType="end"/>
        </w:r>
      </w:hyperlink>
      <w:r/>
      <w:r/>
    </w:p>
    <w:p>
      <w:pPr>
        <w:pStyle w:val="102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2642"/>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Segoe UI" w:hAnsi="Segoe UI" w:cs="Segoe UI"/>
                <w:sz w:val="21"/>
                <w:szCs w:val="21"/>
                <w:shd w:val="clear" w:color="auto" w:fill="ffffff"/>
              </w:rPr>
              <w:t xml:space="preserve">JSZC-320500-JZCG-C2026-0206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科研创新服务平台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联系人:王经理</w:t>
            </w:r>
            <w:r/>
          </w:p>
          <w:p>
            <w:pPr>
              <w:pStyle w:val="1052"/>
              <w:ind w:left="0" w:firstLine="0"/>
            </w:pPr>
            <w:r>
              <w:rPr>
                <w:rFonts w:hint="eastAsia" w:ascii="宋体" w:hAnsi="宋体"/>
                <w:szCs w:val="21"/>
              </w:rPr>
              <w:t xml:space="preserve">联系电话：0</w:t>
            </w:r>
            <w:r>
              <w:rPr>
                <w:rFonts w:ascii="宋体" w:hAnsi="宋体"/>
                <w:szCs w:val="21"/>
              </w:rPr>
              <w:t xml:space="preserve">512-</w:t>
            </w:r>
            <w:r>
              <w:rPr>
                <w:rFonts w:hint="eastAsia" w:ascii="宋体" w:hAnsi="宋体"/>
                <w:szCs w:val="21"/>
              </w:rPr>
              <w:t xml:space="preserve">6</w:t>
            </w:r>
            <w:r>
              <w:rPr>
                <w:rFonts w:ascii="宋体" w:hAnsi="宋体"/>
                <w:szCs w:val="21"/>
              </w:rPr>
              <w:t xml:space="preserve">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名称：苏州职业技术大学</w:t>
            </w:r>
            <w:r/>
          </w:p>
          <w:p>
            <w:pPr>
              <w:ind w:left="0"/>
              <w:jc w:val="left"/>
              <w:spacing w:line="312" w:lineRule="auto"/>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312" w:lineRule="auto"/>
              <w:rPr>
                <w:rFonts w:ascii="宋体" w:hAnsi="宋体"/>
                <w:sz w:val="21"/>
                <w:szCs w:val="21"/>
              </w:rPr>
            </w:pPr>
            <w:r>
              <w:rPr>
                <w:rFonts w:hint="eastAsia" w:ascii="宋体" w:hAnsi="宋体"/>
                <w:sz w:val="21"/>
                <w:szCs w:val="21"/>
              </w:rPr>
              <w:t xml:space="preserve">联系人：吕良</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15995675656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68611034"/>
            <w:r/>
            <w:bookmarkStart w:id="5" w:name="_Toc58248879"/>
            <w:r/>
            <w:bookmarkStart w:id="6" w:name="_Toc7166"/>
            <w:r/>
            <w:bookmarkStart w:id="7" w:name="_Toc57376405"/>
            <w:r/>
            <w:bookmarkStart w:id="8" w:name="_Toc19808"/>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年08月17日13点30分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年08月17日13点30分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08月17日13点30分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合同总金额1</w:t>
            </w:r>
            <w:r>
              <w:rPr>
                <w:rFonts w:ascii="宋体" w:hAnsi="宋体"/>
                <w:sz w:val="21"/>
                <w:szCs w:val="21"/>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4"/>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7376406"/>
      <w:r/>
      <w:bookmarkStart w:id="14" w:name="_Toc2412"/>
      <w:r/>
      <w:bookmarkStart w:id="15" w:name="_Toc58248880"/>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科研创新服务平台</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w:t>
      </w:r>
      <w:r>
        <w:rPr>
          <w:rFonts w:hint="eastAsia" w:ascii="宋体" w:hAnsi="宋体"/>
          <w:b/>
          <w:sz w:val="21"/>
          <w:szCs w:val="21"/>
          <w:u w:val="single"/>
        </w:rPr>
        <w:t xml:space="preserve">月</w:t>
      </w:r>
      <w:r>
        <w:rPr>
          <w:rFonts w:ascii="宋体" w:hAnsi="宋体"/>
          <w:b/>
          <w:sz w:val="21"/>
          <w:szCs w:val="21"/>
          <w:u w:val="single"/>
        </w:rPr>
        <w:t xml:space="preserve">17</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JSZC-320500-JZCG-C2026-0206</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2、项目名称：科研创新服务平台</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人民币壹佰叁拾万元整（￥</w:t>
      </w:r>
      <w:r>
        <w:rPr>
          <w:rFonts w:ascii="宋体" w:hAnsi="宋体" w:cs="宋体"/>
          <w:bCs/>
          <w:sz w:val="21"/>
          <w:szCs w:val="21"/>
          <w:lang w:val="en-US"/>
        </w:rPr>
        <w:t xml:space="preserve">1</w:t>
      </w:r>
      <w:r>
        <w:rPr>
          <w:rFonts w:hint="eastAsia" w:ascii="宋体" w:hAnsi="宋体" w:cs="宋体"/>
          <w:bCs/>
          <w:sz w:val="21"/>
          <w:szCs w:val="21"/>
          <w:lang w:val="en-US"/>
        </w:rPr>
        <w:t xml:space="preserve">,</w:t>
      </w:r>
      <w:r>
        <w:rPr>
          <w:rFonts w:ascii="宋体" w:hAnsi="宋体" w:cs="宋体"/>
          <w:bCs/>
          <w:sz w:val="21"/>
          <w:szCs w:val="21"/>
          <w:lang w:val="en-US"/>
        </w:rPr>
        <w:t xml:space="preserve">300</w:t>
      </w:r>
      <w:r>
        <w:rPr>
          <w:rFonts w:hint="eastAsia" w:ascii="宋体" w:hAnsi="宋体" w:cs="宋体"/>
          <w:bCs/>
          <w:sz w:val="21"/>
          <w:szCs w:val="21"/>
          <w:lang w:val="en-US"/>
        </w:rPr>
        <w:t xml:space="preserve">,000.00元）</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5、最高</w:t>
      </w:r>
      <w:r>
        <w:rPr>
          <w:rFonts w:hint="eastAsia" w:ascii="宋体" w:hAnsi="宋体" w:cs="宋体"/>
          <w:bCs/>
          <w:sz w:val="21"/>
          <w:szCs w:val="21"/>
        </w:rPr>
        <w:t xml:space="preserve">限价：</w:t>
      </w:r>
      <w:r>
        <w:rPr>
          <w:rFonts w:hint="eastAsia" w:ascii="宋体" w:hAnsi="宋体" w:cs="宋体"/>
          <w:bCs/>
          <w:sz w:val="21"/>
          <w:szCs w:val="21"/>
          <w:lang w:val="en-US"/>
        </w:rPr>
        <w:t xml:space="preserve">人民币壹佰叁拾万元整（￥</w:t>
      </w:r>
      <w:r>
        <w:rPr>
          <w:rFonts w:ascii="宋体" w:hAnsi="宋体" w:cs="宋体"/>
          <w:bCs/>
          <w:sz w:val="21"/>
          <w:szCs w:val="21"/>
          <w:lang w:val="en-US"/>
        </w:rPr>
        <w:t xml:space="preserve">1</w:t>
      </w:r>
      <w:r>
        <w:rPr>
          <w:rFonts w:hint="eastAsia" w:ascii="宋体" w:hAnsi="宋体" w:cs="宋体"/>
          <w:bCs/>
          <w:sz w:val="21"/>
          <w:szCs w:val="21"/>
          <w:lang w:val="en-US"/>
        </w:rPr>
        <w:t xml:space="preserve">,</w:t>
      </w:r>
      <w:r>
        <w:rPr>
          <w:rFonts w:ascii="宋体" w:hAnsi="宋体" w:cs="宋体"/>
          <w:bCs/>
          <w:sz w:val="21"/>
          <w:szCs w:val="21"/>
          <w:lang w:val="en-US"/>
        </w:rPr>
        <w:t xml:space="preserve">300</w:t>
      </w:r>
      <w:r>
        <w:rPr>
          <w:rFonts w:hint="eastAsia" w:ascii="宋体" w:hAnsi="宋体" w:cs="宋体"/>
          <w:bCs/>
          <w:sz w:val="21"/>
          <w:szCs w:val="21"/>
          <w:lang w:val="en-US"/>
        </w:rPr>
        <w:t xml:space="preserve">,000.00元）</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自合同签订之日起一年；</w:t>
      </w:r>
      <w:r>
        <w:rPr>
          <w:rFonts w:hint="eastAsia" w:ascii="宋体" w:hAnsi="宋体" w:cs="宋体"/>
          <w:bCs/>
          <w:sz w:val="21"/>
          <w:szCs w:val="21"/>
        </w:rPr>
        <w:t xml:space="preserve">合同签订后</w:t>
      </w:r>
      <w:r>
        <w:rPr>
          <w:rFonts w:ascii="宋体" w:hAnsi="宋体" w:cs="宋体"/>
          <w:bCs/>
          <w:sz w:val="21"/>
          <w:szCs w:val="21"/>
        </w:rPr>
        <w:t xml:space="preserve">60</w:t>
      </w:r>
      <w:r>
        <w:rPr>
          <w:rFonts w:hint="eastAsia" w:ascii="宋体" w:hAnsi="宋体" w:cs="宋体"/>
          <w:bCs/>
          <w:sz w:val="21"/>
          <w:szCs w:val="21"/>
        </w:rPr>
        <w:t xml:space="preserve">天</w:t>
      </w:r>
      <w:r>
        <w:rPr>
          <w:rFonts w:hint="eastAsia" w:ascii="宋体" w:hAnsi="宋体" w:cs="宋体"/>
          <w:bCs/>
          <w:sz w:val="21"/>
          <w:szCs w:val="21"/>
        </w:rPr>
        <w:t xml:space="preserve">内完成交付</w:t>
      </w:r>
      <w:r>
        <w:rPr>
          <w:rFonts w:hint="eastAsia" w:ascii="宋体" w:hAnsi="宋体" w:cs="宋体"/>
          <w:bCs/>
          <w:sz w:val="21"/>
          <w:szCs w:val="21"/>
        </w:rPr>
        <w:t xml:space="preserve">，项目验收后提供五年免费维保服务</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7、采购需求：科研创新服务平台（具体详见采购文件第四章）。</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w:t>
      </w:r>
      <w:r>
        <w:rPr>
          <w:rFonts w:hint="eastAsia" w:ascii="宋体" w:hAnsi="宋体" w:cs="宋体"/>
          <w:bCs/>
          <w:sz w:val="21"/>
          <w:szCs w:val="21"/>
        </w:rPr>
        <w:t xml:space="preserve">当具备下列条件：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1"/>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年08月17日13点30分</w:t>
      </w:r>
      <w:r>
        <w:rPr>
          <w:rFonts w:hint="eastAsia" w:ascii="宋体" w:hAnsi="宋体" w:cs="宋体"/>
          <w:bCs/>
          <w:sz w:val="21"/>
          <w:szCs w:val="21"/>
        </w:rPr>
        <w:t xml:space="preserve">（北京时间）；</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年08月17日13点30分</w:t>
      </w:r>
      <w:r>
        <w:rPr>
          <w:rFonts w:hint="eastAsia" w:ascii="宋体" w:hAnsi="宋体" w:cs="宋体"/>
          <w:bCs/>
          <w:sz w:val="21"/>
          <w:szCs w:val="21"/>
        </w:rPr>
        <w:t xml:space="preserve">（北京时间）；</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名称：苏州职业技术大学</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地址：江苏省苏州市吴中区致能大道106号</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联系人：吕良</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15995675656</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512-69820921</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项目联系人：王经理</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512-69820921</w:t>
      </w:r>
      <w:r/>
    </w:p>
    <w:p>
      <w:pPr>
        <w:ind w:left="0" w:firstLine="420"/>
        <w:spacing w:line="360" w:lineRule="auto"/>
        <w:rPr>
          <w:rFonts w:ascii="宋体" w:hAnsi="宋体"/>
          <w:sz w:val="21"/>
          <w:szCs w:val="21"/>
        </w:rPr>
      </w:pPr>
      <w:r>
        <w:rPr>
          <w:rFonts w:ascii="宋体" w:hAnsi="宋体"/>
          <w:sz w:val="21"/>
          <w:szCs w:val="21"/>
        </w:rPr>
      </w:r>
      <w:r/>
    </w:p>
    <w:p>
      <w:pPr>
        <w:pStyle w:val="994"/>
        <w:ind w:left="0" w:firstLine="0"/>
        <w:jc w:val="center"/>
        <w:spacing w:line="360" w:lineRule="auto"/>
        <w:rPr>
          <w:rFonts w:ascii="宋体" w:hAnsi="宋体"/>
          <w:b/>
          <w:sz w:val="44"/>
          <w:szCs w:val="44"/>
        </w:rPr>
      </w:pPr>
      <w:r>
        <w:rPr>
          <w:b/>
          <w:sz w:val="44"/>
          <w:szCs w:val="44"/>
        </w:rPr>
        <w:br w:type="page" w:clear="all"/>
      </w:r>
      <w:bookmarkStart w:id="17" w:name="_Toc11400"/>
      <w:r/>
      <w:bookmarkStart w:id="18" w:name="_Toc68611035"/>
      <w:r/>
      <w:bookmarkStart w:id="19" w:name="_Toc167285804"/>
      <w:r>
        <w:rPr>
          <w:rFonts w:hint="eastAsia"/>
          <w:b/>
          <w:sz w:val="44"/>
          <w:szCs w:val="44"/>
        </w:rPr>
        <w:t xml:space="preserve">第二章</w:t>
      </w:r>
      <w:r>
        <w:rPr>
          <w:rFonts w:hint="eastAsia"/>
          <w:b/>
          <w:sz w:val="44"/>
          <w:szCs w:val="44"/>
        </w:rPr>
        <w:t xml:space="preserve">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1011"/>
        <w:ind w:left="0" w:firstLine="422"/>
        <w:spacing w:line="360" w:lineRule="auto"/>
        <w:rPr>
          <w:rFonts w:ascii="宋体" w:hAnsi="宋体" w:cs="宋体"/>
          <w:b/>
          <w:sz w:val="21"/>
          <w:szCs w:val="21"/>
        </w:rPr>
      </w:pPr>
      <w:r/>
      <w:bookmarkStart w:id="21" w:name="_Toc57376407"/>
      <w:r/>
      <w:bookmarkStart w:id="22" w:name="_Toc58248881"/>
      <w:r/>
      <w:bookmarkStart w:id="23" w:name="_Toc24711"/>
      <w:r/>
      <w:bookmarkStart w:id="24" w:name="_Toc7264"/>
      <w:r>
        <w:rPr>
          <w:rFonts w:hint="eastAsia" w:ascii="宋体" w:hAnsi="宋体" w:cs="宋体"/>
          <w:b/>
          <w:sz w:val="21"/>
          <w:szCs w:val="21"/>
        </w:rPr>
        <w:t xml:space="preserve">一、响应文件的组成及要求</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实质性响应内容（供应商根据采购文件中实质性响应内容制作）；</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1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1"/>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1"/>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1"/>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2"/>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1"/>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1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2"/>
        <w:ind w:left="0" w:firstLine="422"/>
        <w:spacing w:line="360" w:lineRule="auto"/>
        <w:rPr>
          <w:rFonts w:ascii="宋体" w:hAnsi="宋体" w:cs="宋体"/>
          <w:b/>
          <w:color w:val="000000" w:themeColor="text1"/>
          <w:sz w:val="21"/>
          <w:szCs w:val="21"/>
        </w:rPr>
      </w:pPr>
      <w:r/>
      <w:bookmarkStart w:id="25"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02"/>
        <w:ind w:left="0" w:firstLine="422"/>
        <w:spacing w:line="360" w:lineRule="auto"/>
        <w:rPr>
          <w:rFonts w:ascii="宋体" w:hAnsi="宋体" w:cs="宋体"/>
          <w:b/>
          <w:color w:val="000000" w:themeColor="text1"/>
          <w:sz w:val="21"/>
          <w:szCs w:val="21"/>
          <w:lang w:val="en-US"/>
        </w:rPr>
      </w:pPr>
      <w:r/>
      <w:bookmarkStart w:id="26" w:name="OLE_LINK36"/>
      <w:r/>
      <w:bookmarkEnd w:id="25"/>
      <w:r>
        <w:rPr>
          <w:rFonts w:ascii="宋体" w:hAnsi="宋体" w:cs="宋体"/>
          <w:b/>
          <w:color w:val="000000" w:themeColor="text1"/>
          <w:sz w:val="21"/>
          <w:szCs w:val="21"/>
          <w:lang w:val="en-US"/>
        </w:rPr>
        <w:t xml:space="preserve">11.</w:t>
      </w:r>
      <w:bookmarkEnd w:id="26"/>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（1）响应报价低于全部通过符合性审查供应商响应报价平均值50%的，即响应报价&lt;全部通过符合性审查供应商响应报价平均值×50%；</w:t>
      </w:r>
      <w:r/>
    </w:p>
    <w:p>
      <w:pPr>
        <w:pStyle w:val="130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（2）响应报价低于通过符合性审查的次低报价供应商响应报价50%的，即响应报价&lt;通过符合性审查的次低报价供应商响应报价×50%；</w:t>
      </w:r>
      <w:r/>
    </w:p>
    <w:p>
      <w:pPr>
        <w:pStyle w:val="130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7" w:name="OLE_LINK28"/>
      <w:r/>
      <w:bookmarkStart w:id="28" w:name="OLE_LINK27"/>
      <w:r>
        <w:rPr>
          <w:rFonts w:hint="eastAsia" w:ascii="宋体" w:hAnsi="宋体" w:cs="宋体"/>
          <w:b/>
          <w:color w:val="000000" w:themeColor="text1"/>
          <w:sz w:val="21"/>
          <w:szCs w:val="21"/>
          <w:lang w:val="en-US"/>
        </w:rPr>
        <w:t xml:space="preserve">响应报价</w:t>
      </w:r>
      <w:bookmarkEnd w:id="27"/>
      <w:r/>
      <w:bookmarkEnd w:id="28"/>
      <w:r>
        <w:rPr>
          <w:rFonts w:hint="eastAsia" w:ascii="宋体" w:hAnsi="宋体" w:cs="宋体"/>
          <w:b/>
          <w:color w:val="000000" w:themeColor="text1"/>
          <w:sz w:val="21"/>
          <w:szCs w:val="21"/>
          <w:lang w:val="en-US"/>
        </w:rPr>
        <w:t xml:space="preserve">低于采购项目最高限价45%的，即响应报价&lt;采购项目最高限价×45%；</w:t>
      </w:r>
      <w:r/>
    </w:p>
    <w:p>
      <w:pPr>
        <w:pStyle w:val="130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29" w:name="OLE_LINK4"/>
      <w:r/>
      <w:bookmarkStart w:id="30" w:name="OLE_LINK3"/>
      <w:r>
        <w:rPr>
          <w:rFonts w:hint="eastAsia" w:ascii="宋体" w:hAnsi="宋体" w:cs="宋体"/>
          <w:b/>
          <w:color w:val="000000" w:themeColor="text1"/>
          <w:sz w:val="21"/>
          <w:szCs w:val="21"/>
          <w:lang w:val="en-US"/>
        </w:rPr>
        <w:t xml:space="preserve">磋商小组基于专业判断，认为供应商报价过低，有可能影响产品质量或者不能诚信履约的其他情形。</w:t>
      </w:r>
      <w:bookmarkEnd w:id="29"/>
      <w:r/>
      <w:bookmarkEnd w:id="30"/>
      <w:r/>
      <w:r/>
    </w:p>
    <w:p>
      <w:pPr>
        <w:pStyle w:val="101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2启动异常低价响应审查后，</w:t>
      </w:r>
      <w:bookmarkStart w:id="31" w:name="OLE_LINK37"/>
      <w:r/>
      <w:bookmarkStart w:id="32" w:name="OLE_LINK44"/>
      <w:r>
        <w:rPr>
          <w:rFonts w:hint="eastAsia" w:ascii="宋体" w:hAnsi="宋体"/>
          <w:b/>
          <w:color w:val="000000" w:themeColor="text1"/>
          <w:sz w:val="21"/>
          <w:szCs w:val="21"/>
        </w:rPr>
        <w:t xml:space="preserve">磋商小组</w:t>
      </w:r>
      <w:bookmarkEnd w:id="31"/>
      <w:r/>
      <w:bookmarkEnd w:id="32"/>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.1第（3）项情形，供应商已随响应文件一并提交相关书面说明及必要的证明材料的，在评审现场可不再重复提交。</w:t>
      </w:r>
      <w:r/>
    </w:p>
    <w:p>
      <w:pPr>
        <w:pStyle w:val="101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3" w:name="OLE_LINK46"/>
      <w:r/>
      <w:bookmarkStart w:id="34" w:name="OLE_LINK47"/>
      <w:r/>
      <w:bookmarkStart w:id="35" w:name="OLE_LINK45"/>
      <w:r>
        <w:rPr>
          <w:rFonts w:hint="eastAsia" w:ascii="宋体" w:hAnsi="宋体"/>
          <w:b/>
          <w:color w:val="000000" w:themeColor="text1"/>
          <w:sz w:val="21"/>
          <w:szCs w:val="21"/>
        </w:rPr>
        <w:t xml:space="preserve">磋商小组</w:t>
      </w:r>
      <w:bookmarkEnd w:id="33"/>
      <w:r/>
      <w:bookmarkEnd w:id="34"/>
      <w:r/>
      <w:bookmarkEnd w:id="35"/>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1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6" w:name="OLE_LINK42"/>
      <w:r/>
      <w:bookmarkStart w:id="37" w:name="OLE_LINK41"/>
      <w:r>
        <w:rPr>
          <w:rFonts w:hint="eastAsia" w:ascii="宋体" w:hAnsi="宋体"/>
          <w:b/>
          <w:sz w:val="21"/>
          <w:szCs w:val="21"/>
        </w:rPr>
        <w:t xml:space="preserve">请将合法获取采购文件的证明材料（即《投标供应商确认函》）、</w:t>
      </w:r>
      <w:bookmarkStart w:id="38" w:name="OLE_LINK43"/>
      <w:r>
        <w:rPr>
          <w:rFonts w:hint="eastAsia" w:ascii="宋体" w:hAnsi="宋体"/>
          <w:b/>
          <w:sz w:val="21"/>
          <w:szCs w:val="21"/>
        </w:rPr>
        <w:t xml:space="preserve">供应商营业执照复印件、法定代表人身份证正</w:t>
      </w:r>
      <w:r>
        <w:rPr>
          <w:rFonts w:hint="eastAsia" w:ascii="宋体" w:hAnsi="宋体"/>
          <w:b/>
          <w:sz w:val="21"/>
          <w:szCs w:val="21"/>
        </w:rPr>
        <w:t xml:space="preserve">反面复印件、授权代表身份证正反面复印件（如有）、授权委托书（如有）</w:t>
      </w:r>
      <w:bookmarkEnd w:id="36"/>
      <w:r/>
      <w:bookmarkEnd w:id="37"/>
      <w:r/>
      <w:bookmarkEnd w:id="38"/>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1"/>
        <w:ind w:left="0" w:firstLine="422"/>
        <w:spacing w:line="360" w:lineRule="auto"/>
        <w:rPr>
          <w:rFonts w:ascii="宋体" w:hAnsi="宋体" w:cs="宋体"/>
          <w:b/>
          <w:sz w:val="21"/>
          <w:szCs w:val="21"/>
        </w:rPr>
      </w:pPr>
      <w:r/>
      <w:bookmarkStart w:id="39" w:name="OLE_LINK38"/>
      <w:r/>
      <w:bookmarkStart w:id="40" w:name="OLE_LINK32"/>
      <w:r/>
      <w:bookmarkStart w:id="41" w:name="OLE_LINK35"/>
      <w:r/>
      <w:bookmarkStart w:id="42" w:name="OLE_LINK22"/>
      <w:r/>
      <w:bookmarkStart w:id="43" w:name="OLE_LINK19"/>
      <w:r/>
      <w:bookmarkStart w:id="44" w:name="OLE_LINK33"/>
      <w:r>
        <w:rPr>
          <w:rFonts w:hint="eastAsia" w:ascii="宋体" w:hAnsi="宋体" w:cs="宋体"/>
          <w:b/>
          <w:sz w:val="21"/>
          <w:szCs w:val="21"/>
        </w:rPr>
        <w:t xml:space="preserve">联系电话：0512-69826795</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9"/>
      <w:r/>
      <w:bookmarkEnd w:id="40"/>
      <w:r/>
      <w:bookmarkEnd w:id="41"/>
      <w:r/>
      <w:bookmarkEnd w:id="42"/>
      <w:r/>
      <w:bookmarkEnd w:id="43"/>
      <w:r/>
      <w:bookmarkEnd w:id="44"/>
      <w:r/>
      <w:r/>
    </w:p>
    <w:p>
      <w:pPr>
        <w:rPr>
          <w:lang w:val="zh-CN"/>
        </w:rPr>
      </w:pPr>
      <w:r>
        <w:rPr>
          <w:lang w:val="zh-CN"/>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4"/>
        <w:ind w:left="0" w:firstLine="0"/>
        <w:jc w:val="center"/>
        <w:rPr>
          <w:rFonts w:ascii="宋体" w:hAnsi="宋体" w:cs="宋体"/>
          <w:b/>
          <w:sz w:val="44"/>
          <w:szCs w:val="44"/>
          <w:lang w:val="zh-CN"/>
        </w:rPr>
      </w:pPr>
      <w:r>
        <w:rPr>
          <w:b/>
          <w:sz w:val="44"/>
          <w:szCs w:val="44"/>
        </w:rPr>
        <w:br w:type="page" w:clear="all"/>
      </w:r>
      <w:bookmarkStart w:id="45" w:name="_Toc167285805"/>
      <w:r/>
      <w:bookmarkStart w:id="46" w:name="_Toc68611036"/>
      <w:r/>
      <w:bookmarkStart w:id="47" w:name="_Toc14106"/>
      <w:r/>
      <w:bookmarkStart w:id="48" w:name="_Toc23660"/>
      <w:r/>
      <w:bookmarkStart w:id="49" w:name="_Toc57376408"/>
      <w:r/>
      <w:bookmarkStart w:id="50" w:name="_Toc4098"/>
      <w:r/>
      <w:bookmarkStart w:id="51" w:name="_Toc58248882"/>
      <w:r/>
      <w:bookmarkStart w:id="52" w:name="_Toc6898"/>
      <w:r/>
      <w:bookmarkStart w:id="53" w:name="_Toc68611037"/>
      <w:r/>
      <w:bookmarkEnd w:id="21"/>
      <w:r/>
      <w:bookmarkEnd w:id="22"/>
      <w:r/>
      <w:bookmarkEnd w:id="23"/>
      <w:r/>
      <w:bookmarkEnd w:id="24"/>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3821"/>
      <w:r/>
      <w:bookmarkStart w:id="56" w:name="_Toc17036"/>
      <w:r/>
      <w:r/>
    </w:p>
    <w:p>
      <w:pPr>
        <w:ind w:left="0"/>
        <w:rPr>
          <w:rFonts w:ascii="宋体" w:hAnsi="宋体"/>
          <w:b/>
          <w:sz w:val="21"/>
          <w:szCs w:val="21"/>
        </w:rPr>
      </w:pPr>
      <w:r>
        <w:rPr>
          <w:rFonts w:ascii="宋体" w:hAnsi="宋体"/>
          <w:b/>
          <w:sz w:val="21"/>
          <w:szCs w:val="21"/>
        </w:rPr>
      </w:r>
      <w:r/>
    </w:p>
    <w:p>
      <w:pPr>
        <w:pStyle w:val="994"/>
        <w:ind w:left="0" w:firstLine="0"/>
        <w:spacing w:before="0" w:after="0" w:line="360" w:lineRule="auto"/>
        <w:rPr>
          <w:rFonts w:ascii="宋体" w:hAnsi="宋体"/>
          <w:b/>
          <w:sz w:val="21"/>
          <w:szCs w:val="21"/>
        </w:rPr>
      </w:pPr>
      <w:r/>
      <w:bookmarkStart w:id="57" w:name="_Toc167285806"/>
      <w:r>
        <w:rPr>
          <w:rFonts w:ascii="宋体" w:hAnsi="宋体"/>
          <w:b/>
          <w:sz w:val="21"/>
          <w:szCs w:val="21"/>
        </w:rPr>
        <w:t xml:space="preserve">附件</w:t>
      </w:r>
      <w:r>
        <w:rPr>
          <w:rFonts w:hint="eastAsia" w:ascii="宋体" w:hAnsi="宋体"/>
          <w:b/>
          <w:sz w:val="21"/>
          <w:szCs w:val="21"/>
        </w:rPr>
        <w:t xml:space="preserve">1.开标一览表</w:t>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0"/>
        <w:ind w:left="0" w:firstLine="0"/>
      </w:pPr>
      <w:r/>
      <w:r/>
    </w:p>
    <w:p>
      <w:pPr>
        <w:pStyle w:val="1060"/>
        <w:ind w:left="0" w:firstLine="0"/>
      </w:pPr>
      <w:r/>
      <w:r/>
    </w:p>
    <w:p>
      <w:pPr>
        <w:pStyle w:val="1060"/>
        <w:ind w:left="0" w:firstLine="0"/>
        <w:rPr>
          <w:rFonts w:ascii="宋体" w:hAnsi="宋体"/>
          <w:sz w:val="21"/>
          <w:szCs w:val="21"/>
        </w:rPr>
      </w:pPr>
      <w:r>
        <w:rPr>
          <w:rFonts w:hint="eastAsia" w:ascii="宋体" w:hAnsi="宋体"/>
          <w:sz w:val="21"/>
          <w:szCs w:val="21"/>
        </w:rPr>
        <w:t xml:space="preserve">投标人全称（加盖公章）：</w:t>
      </w:r>
      <w:r/>
    </w:p>
    <w:p>
      <w:pPr>
        <w:pStyle w:val="1060"/>
        <w:ind w:left="0" w:firstLine="0"/>
        <w:rPr>
          <w:rFonts w:ascii="宋体" w:hAnsi="宋体"/>
          <w:sz w:val="21"/>
          <w:szCs w:val="21"/>
        </w:rPr>
      </w:pPr>
      <w:r>
        <w:rPr>
          <w:rFonts w:hint="eastAsia" w:ascii="宋体" w:hAnsi="宋体"/>
          <w:sz w:val="21"/>
          <w:szCs w:val="21"/>
        </w:rPr>
        <w:t xml:space="preserve">项目编号：</w:t>
      </w:r>
      <w:r/>
    </w:p>
    <w:p>
      <w:pPr>
        <w:pStyle w:val="1060"/>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4"/>
        <w:ind w:left="0" w:firstLine="0"/>
        <w:spacing w:before="0" w:after="0" w:line="360" w:lineRule="auto"/>
        <w:rPr>
          <w:rFonts w:ascii="宋体" w:hAnsi="宋体"/>
          <w:sz w:val="21"/>
          <w:szCs w:val="21"/>
        </w:rPr>
      </w:pPr>
      <w:r/>
      <w:bookmarkStart w:id="5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4"/>
        <w:ind w:left="0" w:firstLine="0"/>
        <w:spacing w:before="0" w:after="0" w:line="360" w:lineRule="auto"/>
        <w:rPr>
          <w:rFonts w:ascii="宋体" w:hAnsi="宋体"/>
          <w:b/>
          <w:sz w:val="21"/>
          <w:szCs w:val="21"/>
        </w:rPr>
      </w:pPr>
      <w:r/>
      <w:bookmarkStart w:id="59" w:name="_Toc167285809"/>
      <w:r>
        <w:rPr>
          <w:rFonts w:hint="eastAsia" w:ascii="宋体" w:hAnsi="宋体"/>
          <w:b/>
          <w:sz w:val="21"/>
          <w:szCs w:val="21"/>
        </w:rPr>
        <w:t xml:space="preserve">附件</w:t>
      </w:r>
      <w:bookmarkEnd w:id="55"/>
      <w:r/>
      <w:bookmarkEnd w:id="56"/>
      <w:r>
        <w:rPr>
          <w:rFonts w:ascii="宋体" w:hAnsi="宋体"/>
          <w:b/>
          <w:sz w:val="21"/>
          <w:szCs w:val="21"/>
        </w:rPr>
        <w:t xml:space="preserve">3</w:t>
      </w:r>
      <w:r>
        <w:rPr>
          <w:rFonts w:hint="eastAsia" w:ascii="宋体" w:hAnsi="宋体"/>
          <w:b/>
          <w:sz w:val="21"/>
          <w:szCs w:val="21"/>
        </w:rPr>
        <w:t xml:space="preserve">.磋商响应函</w:t>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0" w:name="_Toc167285810"/>
      <w:r>
        <w:rPr>
          <w:rFonts w:ascii="宋体" w:hAnsi="宋体"/>
          <w:b/>
          <w:sz w:val="21"/>
          <w:szCs w:val="21"/>
        </w:rPr>
        <w:t xml:space="preserve">附件4</w:t>
      </w:r>
      <w:r>
        <w:rPr>
          <w:rFonts w:hint="eastAsia" w:ascii="宋体" w:hAnsi="宋体"/>
          <w:b/>
          <w:sz w:val="21"/>
          <w:szCs w:val="21"/>
        </w:rPr>
        <w:t xml:space="preserve">.磋商报价分析表</w:t>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80"/>
        <w:gridCol w:w="1701"/>
        <w:gridCol w:w="1913"/>
        <w:gridCol w:w="1265"/>
        <w:gridCol w:w="1276"/>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highlight w:val="yellow"/>
              </w:rPr>
              <w:t xml:space="preserve">系统免费维护期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2"/>
            <w:tcBorders>
              <w:top w:val="single" w:color="auto" w:sz="4" w:space="0"/>
              <w:left w:val="single" w:color="auto" w:sz="4" w:space="0"/>
              <w:bottom w:val="single" w:color="auto" w:sz="4" w:space="0"/>
              <w:right w:val="single" w:color="auto" w:sz="4" w:space="0"/>
            </w:tcBorders>
            <w:tcW w:w="1489" w:type="dxa"/>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6155"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2"/>
            <w:tcBorders>
              <w:top w:val="single" w:color="auto" w:sz="4" w:space="0"/>
              <w:left w:val="single" w:color="auto" w:sz="4" w:space="0"/>
              <w:bottom w:val="single" w:color="auto" w:sz="4" w:space="0"/>
              <w:right w:val="single" w:color="auto" w:sz="4" w:space="0"/>
            </w:tcBorders>
            <w:tcW w:w="1489" w:type="dxa"/>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6155"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1"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2" w:name="_Toc7945"/>
      <w:r/>
      <w:bookmarkStart w:id="63" w:name="_Toc241"/>
      <w:r/>
      <w:r/>
    </w:p>
    <w:p>
      <w:pPr>
        <w:ind w:left="0"/>
        <w:rPr>
          <w:rFonts w:ascii="宋体" w:hAnsi="宋体"/>
          <w:color w:val="000000"/>
          <w:sz w:val="21"/>
          <w:szCs w:val="21"/>
        </w:rPr>
        <w:outlineLvl w:val="0"/>
      </w:pPr>
      <w:r/>
      <w:bookmarkStart w:id="64"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2"/>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ind w:left="0"/>
        <w:rPr>
          <w:rFonts w:ascii="Times New Roman" w:hAnsi="Times New Roman"/>
          <w:b/>
          <w:sz w:val="21"/>
          <w:szCs w:val="22"/>
        </w:rPr>
        <w:outlineLvl w:val="0"/>
      </w:pPr>
      <w:r/>
      <w:bookmarkStart w:id="65"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5"/>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2"/>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2"/>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6"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2"/>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7"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7"/>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0"/>
      </w:pPr>
      <w:r/>
      <w:r/>
    </w:p>
    <w:p>
      <w:pPr>
        <w:pStyle w:val="1060"/>
        <w:rPr>
          <w:lang w:val="zh-CN"/>
        </w:rPr>
      </w:pPr>
      <w:r>
        <w:rPr>
          <w:lang w:val="zh-CN"/>
        </w:rPr>
      </w:r>
      <w:r/>
    </w:p>
    <w:p>
      <w:pPr>
        <w:ind w:left="0"/>
      </w:pPr>
      <w:r/>
      <w:bookmarkEnd w:id="62"/>
      <w:r/>
      <w:bookmarkEnd w:id="63"/>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8" w:name="_Toc19621"/>
      <w:r/>
      <w:bookmarkStart w:id="69" w:name="_Toc21574"/>
      <w:r/>
      <w:r/>
    </w:p>
    <w:p>
      <w:pPr>
        <w:ind w:left="0"/>
        <w:rPr>
          <w:rFonts w:ascii="宋体" w:hAnsi="宋体"/>
          <w:b/>
          <w:sz w:val="21"/>
          <w:szCs w:val="21"/>
        </w:rPr>
        <w:outlineLvl w:val="0"/>
      </w:pPr>
      <w:r/>
      <w:bookmarkStart w:id="70"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8"/>
      <w:r/>
      <w:bookmarkEnd w:id="69"/>
      <w:r/>
      <w:bookmarkEnd w:id="70"/>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科研创新服务平台</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科研创新服务平台</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2"/>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1"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1"/>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2" w:name="_Toc15378"/>
      <w:r/>
      <w:bookmarkStart w:id="73" w:name="_Toc3869"/>
      <w:r/>
      <w:bookmarkStart w:id="74"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2"/>
      <w:r/>
      <w:bookmarkEnd w:id="73"/>
      <w:r/>
      <w:bookmarkEnd w:id="74"/>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0"/>
      </w:pPr>
      <w:r/>
      <w:r/>
    </w:p>
    <w:p>
      <w:pPr>
        <w:pStyle w:val="1052"/>
        <w:ind w:left="0" w:firstLine="0"/>
        <w:spacing w:after="0"/>
        <w:rPr>
          <w:rFonts w:ascii="宋体" w:hAnsi="宋体"/>
          <w:b/>
          <w:sz w:val="20"/>
          <w:lang w:val="zh-CN"/>
        </w:rPr>
      </w:pPr>
      <w:r>
        <w:rPr>
          <w:rFonts w:ascii="宋体" w:hAnsi="宋体"/>
          <w:b/>
          <w:sz w:val="20"/>
          <w:lang w:val="zh-CN"/>
        </w:rPr>
      </w:r>
      <w:r/>
    </w:p>
    <w:p>
      <w:pPr>
        <w:pStyle w:val="1052"/>
        <w:ind w:left="0" w:firstLine="0"/>
        <w:spacing w:after="0"/>
        <w:rPr>
          <w:rFonts w:ascii="宋体" w:hAnsi="宋体"/>
          <w:b/>
          <w:sz w:val="20"/>
          <w:lang w:val="zh-CN"/>
        </w:rPr>
      </w:pPr>
      <w:r>
        <w:rPr>
          <w:rFonts w:ascii="宋体" w:hAnsi="宋体"/>
          <w:b/>
          <w:sz w:val="20"/>
          <w:lang w:val="zh-CN"/>
        </w:rPr>
      </w:r>
      <w:r/>
    </w:p>
    <w:p>
      <w:pPr>
        <w:pStyle w:val="1052"/>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2"/>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2"/>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5"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6" w:name="OLE_LINK1"/>
      <w:r/>
      <w:bookmarkStart w:id="77"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8" w:name="OLE_LINK49"/>
      <w:r/>
      <w:bookmarkStart w:id="79" w:name="OLE_LINK50"/>
      <w:r>
        <w:rPr>
          <w:rFonts w:hint="eastAsia" w:ascii="宋体" w:hAnsi="宋体"/>
          <w:b/>
          <w:color w:val="000000" w:themeColor="text1"/>
          <w:sz w:val="21"/>
          <w:szCs w:val="21"/>
          <w:lang w:val="zh-CN"/>
        </w:rPr>
        <w:t xml:space="preserve">响应报价</w:t>
      </w:r>
      <w:bookmarkEnd w:id="78"/>
      <w:r/>
      <w:bookmarkEnd w:id="79"/>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0" w:name="OLE_LINK51"/>
      <w:r>
        <w:rPr>
          <w:rFonts w:hint="eastAsia" w:ascii="宋体" w:hAnsi="宋体"/>
          <w:b/>
          <w:color w:val="000000" w:themeColor="text1"/>
          <w:sz w:val="21"/>
          <w:szCs w:val="21"/>
          <w:lang w:val="zh-CN"/>
        </w:rPr>
        <w:t xml:space="preserve">磋商小组</w:t>
      </w:r>
      <w:bookmarkEnd w:id="80"/>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6"/>
      <w:r/>
      <w:bookmarkEnd w:id="7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2"/>
        <w:ind w:left="0" w:firstLine="0"/>
        <w:spacing w:after="0"/>
        <w:rPr>
          <w:rFonts w:ascii="宋体" w:hAnsi="宋体"/>
          <w:b/>
          <w:sz w:val="20"/>
          <w:lang w:val="zh-CN"/>
        </w:rPr>
      </w:pPr>
      <w:r>
        <w:rPr>
          <w:rFonts w:ascii="宋体" w:hAnsi="宋体"/>
          <w:b/>
          <w:sz w:val="20"/>
          <w:lang w:val="zh-CN"/>
        </w:rPr>
      </w:r>
      <w:r/>
    </w:p>
    <w:p>
      <w:pPr>
        <w:pStyle w:val="994"/>
        <w:ind w:left="0" w:firstLine="0"/>
        <w:jc w:val="center"/>
        <w:spacing w:line="360" w:lineRule="auto"/>
        <w:tabs>
          <w:tab w:val="center" w:pos="4933" w:leader="none"/>
        </w:tabs>
        <w:rPr>
          <w:b/>
          <w:sz w:val="44"/>
          <w:szCs w:val="44"/>
        </w:rPr>
      </w:pPr>
      <w:r/>
      <w:bookmarkStart w:id="81" w:name="_Toc167285819"/>
      <w:r>
        <w:rPr>
          <w:rFonts w:hint="eastAsia"/>
          <w:b/>
          <w:sz w:val="44"/>
          <w:szCs w:val="44"/>
        </w:rPr>
        <w:t xml:space="preserve">第四章</w:t>
      </w:r>
      <w:bookmarkStart w:id="82" w:name="招标书"/>
      <w:r/>
      <w:bookmarkEnd w:id="48"/>
      <w:r/>
      <w:bookmarkEnd w:id="49"/>
      <w:r/>
      <w:bookmarkEnd w:id="50"/>
      <w:r/>
      <w:bookmarkEnd w:id="51"/>
      <w:r/>
      <w:bookmarkEnd w:id="82"/>
      <w:r>
        <w:rPr>
          <w:b/>
          <w:sz w:val="44"/>
          <w:szCs w:val="44"/>
        </w:rPr>
        <w:t xml:space="preserve"> </w:t>
      </w:r>
      <w:r>
        <w:rPr>
          <w:rFonts w:hint="eastAsia"/>
          <w:b/>
          <w:sz w:val="44"/>
          <w:szCs w:val="44"/>
        </w:rPr>
        <w:t xml:space="preserve">采购内容</w:t>
      </w:r>
      <w:bookmarkEnd w:id="52"/>
      <w:r/>
      <w:bookmarkEnd w:id="53"/>
      <w:r/>
      <w:bookmarkEnd w:id="81"/>
      <w:r/>
      <w:r/>
    </w:p>
    <w:p>
      <w:pPr>
        <w:ind w:left="0" w:firstLine="420"/>
        <w:spacing w:line="360" w:lineRule="auto"/>
        <w:rPr>
          <w:rFonts w:ascii="宋体" w:hAnsi="宋体" w:cs="宋体"/>
          <w:sz w:val="21"/>
          <w:szCs w:val="21"/>
        </w:rPr>
      </w:pPr>
      <w:r/>
      <w:bookmarkStart w:id="83" w:name="_Toc58248883"/>
      <w:r/>
      <w:bookmarkStart w:id="84" w:name="_Toc5111"/>
      <w:r/>
      <w:bookmarkStart w:id="85" w:name="_Toc11789"/>
      <w:r/>
      <w:bookmarkStart w:id="86" w:name="_Toc12719"/>
      <w:r/>
      <w:bookmarkStart w:id="87" w:name="_Toc57376409"/>
      <w:r/>
      <w:bookmarkStart w:id="88" w:name="_Toc68611038"/>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苏州职业技术大学</w:t>
      </w:r>
      <w:r>
        <w:rPr>
          <w:rFonts w:hint="eastAsia" w:ascii="宋体" w:hAnsi="宋体" w:cs="宋体"/>
          <w:sz w:val="21"/>
          <w:szCs w:val="21"/>
        </w:rPr>
        <w:t xml:space="preserve">的委托，就</w:t>
      </w:r>
      <w:r>
        <w:rPr>
          <w:rFonts w:hint="eastAsia" w:ascii="宋体" w:hAnsi="宋体" w:cs="宋体"/>
          <w:sz w:val="21"/>
          <w:szCs w:val="21"/>
          <w:u w:val="single"/>
        </w:rPr>
        <w:t xml:space="preserve">科研创新服务平台</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JSZC-320500-JZCG-C2026-0206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项目名称：科研创新服务平台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人民币壹佰叁拾万元整（￥</w:t>
      </w: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300</w:t>
      </w:r>
      <w:r>
        <w:rPr>
          <w:rFonts w:hint="eastAsia" w:ascii="宋体" w:hAnsi="宋体" w:cs="宋体"/>
          <w:bCs/>
          <w:sz w:val="21"/>
          <w:szCs w:val="21"/>
        </w:rPr>
        <w:t xml:space="preserve">,000.00元）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人民币壹佰叁拾万元整（￥</w:t>
      </w: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300</w:t>
      </w:r>
      <w:r>
        <w:rPr>
          <w:rFonts w:hint="eastAsia" w:ascii="宋体" w:hAnsi="宋体" w:cs="宋体"/>
          <w:bCs/>
          <w:sz w:val="21"/>
          <w:szCs w:val="21"/>
        </w:rPr>
        <w:t xml:space="preserve">,000.00元）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自合同签订之日起一年；</w:t>
      </w:r>
      <w:r>
        <w:rPr>
          <w:rFonts w:hint="eastAsia" w:ascii="宋体" w:hAnsi="宋体" w:cs="宋体"/>
          <w:bCs/>
          <w:sz w:val="21"/>
          <w:szCs w:val="21"/>
        </w:rPr>
        <w:t xml:space="preserve">合同签订后</w:t>
      </w:r>
      <w:r>
        <w:rPr>
          <w:rFonts w:ascii="宋体" w:hAnsi="宋体" w:cs="宋体"/>
          <w:bCs/>
          <w:sz w:val="21"/>
          <w:szCs w:val="21"/>
        </w:rPr>
        <w:t xml:space="preserve">60</w:t>
      </w:r>
      <w:r>
        <w:rPr>
          <w:rFonts w:hint="eastAsia" w:ascii="宋体" w:hAnsi="宋体" w:cs="宋体"/>
          <w:bCs/>
          <w:sz w:val="21"/>
          <w:szCs w:val="21"/>
        </w:rPr>
        <w:t xml:space="preserve">天</w:t>
      </w:r>
      <w:r>
        <w:rPr>
          <w:rFonts w:hint="eastAsia" w:ascii="宋体" w:hAnsi="宋体" w:cs="宋体"/>
          <w:bCs/>
          <w:sz w:val="21"/>
          <w:szCs w:val="21"/>
        </w:rPr>
        <w:t xml:space="preserve">内完成交付</w:t>
      </w:r>
      <w:r>
        <w:rPr>
          <w:rFonts w:hint="eastAsia" w:ascii="宋体" w:hAnsi="宋体" w:cs="宋体"/>
          <w:bCs/>
          <w:sz w:val="21"/>
          <w:szCs w:val="21"/>
        </w:rPr>
        <w:t xml:space="preserve">，项目验收后提供五年免费维保服务</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、需实现的功能或者目标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）建设总体目标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w:t>
      </w:r>
      <w:r>
        <w:rPr>
          <w:rFonts w:hint="eastAsia" w:ascii="Times New Roman" w:hAnsi="Times New Roman"/>
          <w:sz w:val="21"/>
        </w:rPr>
        <w:t xml:space="preserve">依托互联网、移动互联网、大数据、人工智能、物联网等新一代信息技术，搭建统一数据中心与标准体系，打造科研创新服务平台，打通科研全业务链条、破除部门数据壁垒，构建智能化、协同化、一体化的科研管理与服务体系。平台覆盖科研项目、经费、成果、知识产权、绩效、数据决策、</w:t>
      </w:r>
      <w:r>
        <w:rPr>
          <w:rFonts w:hint="eastAsia" w:ascii="Times New Roman" w:hAnsi="Times New Roman"/>
          <w:sz w:val="21"/>
        </w:rPr>
        <w:t xml:space="preserve">AI </w:t>
      </w:r>
      <w:r>
        <w:rPr>
          <w:rFonts w:hint="eastAsia" w:ascii="Times New Roman" w:hAnsi="Times New Roman"/>
          <w:sz w:val="21"/>
        </w:rPr>
        <w:t xml:space="preserve">赋能、移动服务、系统集成、信创适配等全模块，实现科研业务线上化、流程自主化、管理自动化、数智一体化，全面提升学校科研治理能力与服务效能。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项目以科研“放管服”</w:t>
      </w:r>
      <w:r>
        <w:rPr>
          <w:rFonts w:hint="eastAsia" w:ascii="Times New Roman" w:hAnsi="Times New Roman"/>
          <w:sz w:val="21"/>
        </w:rPr>
        <w:t xml:space="preserve"> </w:t>
      </w:r>
      <w:r>
        <w:rPr>
          <w:rFonts w:hint="eastAsia" w:ascii="Times New Roman" w:hAnsi="Times New Roman"/>
          <w:sz w:val="21"/>
        </w:rPr>
        <w:t xml:space="preserve">改革、教育数字化及人工智能应用政策为导向，立足学校科研管理现存痛点，打造覆盖“项目—经费—成果—绩效—决策”全生命周期的智慧科研管理体系。一是构建面向未来的智慧科研底座，统一数据标准、夯实技术架构，预留业务扩展接口；二是实现科研全流程闭环智治，重塑业务流程，提升管理规范与运转效率；三是打造数据融通、智能赋能双引擎，依托大数据与</w:t>
      </w:r>
      <w:r>
        <w:rPr>
          <w:rFonts w:hint="eastAsia" w:ascii="Times New Roman" w:hAnsi="Times New Roman"/>
          <w:sz w:val="21"/>
        </w:rPr>
        <w:t xml:space="preserve"> AI </w:t>
      </w:r>
      <w:r>
        <w:rPr>
          <w:rFonts w:hint="eastAsia" w:ascii="Times New Roman" w:hAnsi="Times New Roman"/>
          <w:sz w:val="21"/>
        </w:rPr>
        <w:t xml:space="preserve">技术释放数据价值；四是深化科研与财务、人事等跨部门融合，消除信息孤岛；五是完成全栈信创适配，筑牢系统安全防线，最终实现科研管理从“人工线下”向“线上智能”、从“经验决策”向“数据决策”的根本性转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）需实现的功能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①搭建智慧科研底座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搭建统一数据标准与标准化数据接口，完成项目、科目、单位、编码等双向对照，保障跨系统数据传输一致，支持数据自动</w:t>
      </w:r>
      <w:r>
        <w:rPr>
          <w:rFonts w:hint="eastAsia" w:ascii="Times New Roman" w:hAnsi="Times New Roman"/>
          <w:sz w:val="21"/>
        </w:rPr>
        <w:t xml:space="preserve">/</w:t>
      </w:r>
      <w:r>
        <w:rPr>
          <w:rFonts w:hint="eastAsia" w:ascii="Times New Roman" w:hAnsi="Times New Roman"/>
          <w:sz w:val="21"/>
        </w:rPr>
        <w:t xml:space="preserve">定时批量推送。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支持自主搭建项目分类树，自定义申报模板、申报限额、审批流程、预算标准、编号规则等，灵活适配不同业务管理要求。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搭建科研主题数据库，整合人员、项目、经费、成果、平台等多源数据，支持跨模块数据聚合、自定义报表、数据分享及多格式导出，报表可生成链接或嵌入其他系统，预留业务扩展能力。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维护项目主管单位网址库，统一管理代理机构、代理人、科研平台基础信息，形成规范化基础资源管理体系。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②实现全流程闭环智治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科研项目全流程管控：覆盖纵向、横向项目，实现申报、评审、立项、执行、变更、中期检查、结项验收全流程线上办理；支持项目各类变更、延期、中止多级审核，合同、补充协议、外协合同线上登记、审签、防伪打印，批量解析官方计划书减少人工录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专利全生命周期管控：实现专利提案、申请、代理、受理、授权、缴费、变更、转化全流程线上审批与留痕，配套年费预警、代理机构考核评价，规避专利失效风险。</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科研平台全周期管理：落实平台申报、评审、运行、考核、年报线上流转，关联平台人员、项目、成果等数据，完成考核计分与报表导出。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学术讲座管理：线上完成讲座申请、审核、信息登记，自动生成标准资助申请表，支持数据查询、导入导出与统计分析。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移动化流程办理：移动端集成待办、审批、查询、预警推送等功能，支持随时随地处理科研业务，进一步提升流程运转效率。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③数据与</w:t>
      </w:r>
      <w:r>
        <w:rPr>
          <w:rFonts w:hint="eastAsia" w:ascii="Times New Roman" w:hAnsi="Times New Roman"/>
          <w:sz w:val="21"/>
        </w:rPr>
        <w:t xml:space="preserve">AI</w:t>
      </w:r>
      <w:r>
        <w:rPr>
          <w:rFonts w:hint="eastAsia" w:ascii="Times New Roman" w:hAnsi="Times New Roman"/>
          <w:sz w:val="21"/>
        </w:rPr>
        <w:t xml:space="preserve">双引擎赋能</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）大数据统计与分析应用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适配上级各类统计上报要求，自动归集、规整全量数据，实现报表自动生成、一键导出，同时支持校内自定义维度统计分析。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科研绩效管理依托全量数据自动核算分值、完成考核计分、结果公示与奖励核算，数据全程可追溯。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搭建个人、学院、校级三层科研数据驾驶舱，以可视化形式全景展示科研态势、指标预警，支撑管理决策。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构建多维度科研画像，涵盖个人、团队、项目、成果、合作关系等画像分析，对接人事系统数据，助力科研评价与人才管理。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w:t>
      </w:r>
      <w:r>
        <w:rPr>
          <w:rFonts w:ascii="Times New Roman" w:hAnsi="Times New Roman"/>
          <w:sz w:val="21"/>
        </w:rPr>
        <w:t xml:space="preserve">AI </w:t>
      </w:r>
      <w:r>
        <w:rPr>
          <w:rFonts w:hint="eastAsia" w:ascii="Times New Roman" w:hAnsi="Times New Roman"/>
          <w:sz w:val="21"/>
        </w:rPr>
        <w:t xml:space="preserve">智能赋能应用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 </w:t>
      </w:r>
      <w:r>
        <w:rPr>
          <w:rFonts w:hint="eastAsia" w:ascii="Times New Roman" w:hAnsi="Times New Roman"/>
          <w:sz w:val="21"/>
        </w:rPr>
        <w:t xml:space="preserve">数据填报：依托大模型、</w:t>
      </w:r>
      <w:r>
        <w:rPr>
          <w:rFonts w:hint="eastAsia" w:ascii="Times New Roman" w:hAnsi="Times New Roman"/>
          <w:sz w:val="21"/>
        </w:rPr>
        <w:t xml:space="preserve">OCR</w:t>
      </w:r>
      <w:r>
        <w:rPr>
          <w:rFonts w:hint="eastAsia" w:ascii="Times New Roman" w:hAnsi="Times New Roman"/>
          <w:sz w:val="21"/>
        </w:rPr>
        <w:t xml:space="preserve">、多模态技术，解析各类文档、识别证书图片，自动提取信息并填充表单，降低手工录入工作量。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找项目智能体：自动采集项目申报资讯，通过大模型智能解读、提取关键信息并入库，智能推送申报相关内容。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④深化跨部门数据融合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科研与财务深度业财融合：打通科研与财务系统数据链路，实现项目立项建库、经费认领、预算拆分、支出查询、预算变更、经费外拨、项目结转全场景数据双向同步；支持按月自动对账，识别异常数据并提供核查功能，保障业财数据精准统一。</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跨系统数据互通：科研画像模块实现与人事招聘系统数据互通；科研成果与人事绩效考核数据互通；专利转化经费、横向项目经费等自动对接财务系统，科研平台、项目、成果数据相互关联，全面打破各部门、各业务模块信息壁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⑤完成全栈信创适配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系统整体完成全栈信创适配，结合全流程操作留痕、数据权限管控、状态动态跟踪、异常数据预警等能力，全方位保障科研业务、数据、合同及知识产权信息安全，夯实系统安全底座。</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2</w:t>
      </w:r>
      <w:r>
        <w:rPr>
          <w:rFonts w:hint="eastAsia" w:ascii="Times New Roman" w:hAnsi="Times New Roman"/>
          <w:b/>
          <w:sz w:val="21"/>
        </w:rPr>
        <w:t xml:space="preserve">、采购清单</w:t>
      </w:r>
      <w:r/>
    </w:p>
    <w:tbl>
      <w:tblPr>
        <w:tblStyle w:val="1402"/>
        <w:tblpPr w:horzAnchor="margin" w:tblpXSpec="left" w:vertAnchor="text" w:tblpY="167" w:leftFromText="180" w:topFromText="0" w:rightFromText="180" w:bottomFromText="0"/>
        <w:tblW w:w="10201" w:type="dxa"/>
        <w:tblLayout w:type="fixed"/>
        <w:tblLook w:val="04A0" w:firstRow="1" w:lastRow="0" w:firstColumn="1" w:lastColumn="0" w:noHBand="0" w:noVBand="1"/>
      </w:tblPr>
      <w:tblGrid>
        <w:gridCol w:w="531"/>
        <w:gridCol w:w="740"/>
        <w:gridCol w:w="7088"/>
        <w:gridCol w:w="425"/>
        <w:gridCol w:w="709"/>
        <w:gridCol w:w="708"/>
      </w:tblGrid>
      <w:tr>
        <w:trPr/>
        <w:tc>
          <w:tcPr>
            <w:gridSpan w:val="6"/>
            <w:tcW w:w="10201" w:type="dxa"/>
            <w:vAlign w:val="center"/>
            <w:textDirection w:val="lrTb"/>
            <w:noWrap w:val="false"/>
          </w:tcPr>
          <w:p>
            <w:pPr>
              <w:ind w:left="0"/>
              <w:jc w:val="center"/>
              <w:spacing w:line="360" w:lineRule="auto"/>
              <w:widowControl w:val="off"/>
              <w:rPr>
                <w:b/>
                <w:sz w:val="18"/>
                <w:szCs w:val="21"/>
              </w:rPr>
            </w:pPr>
            <w:r/>
            <w:bookmarkStart w:id="90" w:name="OLE_LINK18"/>
            <w:r>
              <w:rPr>
                <w:rFonts w:hint="eastAsia"/>
                <w:b/>
                <w:sz w:val="18"/>
                <w:szCs w:val="21"/>
              </w:rPr>
              <w:t xml:space="preserve">标段</w:t>
            </w:r>
            <w:r>
              <w:rPr>
                <w:rFonts w:hint="eastAsia"/>
                <w:b/>
                <w:sz w:val="18"/>
                <w:szCs w:val="21"/>
              </w:rPr>
              <w:t xml:space="preserve">1</w:t>
            </w:r>
            <w:r>
              <w:rPr>
                <w:rFonts w:hint="eastAsia"/>
                <w:b/>
                <w:sz w:val="18"/>
                <w:szCs w:val="21"/>
              </w:rPr>
              <w:t xml:space="preserve">：科研创新服务平台</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序号</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服务名称</w:t>
            </w:r>
            <w:r/>
          </w:p>
        </w:tc>
        <w:tc>
          <w:tcPr>
            <w:tcW w:w="708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服务要求</w:t>
            </w:r>
            <w:r/>
          </w:p>
          <w:p>
            <w:pPr>
              <w:ind w:left="0"/>
              <w:jc w:val="center"/>
              <w:spacing w:line="360" w:lineRule="auto"/>
              <w:widowControl w:val="off"/>
              <w:rPr>
                <w:b/>
                <w:sz w:val="18"/>
                <w:szCs w:val="21"/>
              </w:rPr>
            </w:pPr>
            <w:r>
              <w:rPr>
                <w:rFonts w:hint="eastAsia"/>
                <w:b/>
                <w:sz w:val="18"/>
                <w:szCs w:val="21"/>
              </w:rPr>
              <w:t xml:space="preserve">（</w:t>
            </w:r>
            <w:r>
              <w:rPr>
                <w:rFonts w:hint="eastAsia"/>
                <w:sz w:val="18"/>
                <w:szCs w:val="21"/>
              </w:rPr>
              <w:t xml:space="preserve">需执行的相关标准、规范，质量、安全、技术规格、物理特性等要求</w:t>
            </w:r>
            <w:r>
              <w:rPr>
                <w:rFonts w:hint="eastAsia"/>
                <w:b/>
                <w:sz w:val="18"/>
                <w:szCs w:val="21"/>
              </w:rPr>
              <w:t xml:space="preserve">）</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数量</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单位</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维保要求</w:t>
            </w:r>
            <w:r/>
          </w:p>
        </w:tc>
      </w:tr>
      <w:tr>
        <w:trPr>
          <w:trHeight w:val="529"/>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40" w:type="dxa"/>
            <w:vAlign w:val="center"/>
            <w:textDirection w:val="lrTb"/>
            <w:noWrap w:val="false"/>
          </w:tcPr>
          <w:p>
            <w:pPr>
              <w:ind w:left="0"/>
              <w:spacing w:line="360" w:lineRule="auto"/>
              <w:widowControl w:val="off"/>
              <w:rPr>
                <w:sz w:val="18"/>
                <w:szCs w:val="21"/>
              </w:rPr>
            </w:pPr>
            <w:r>
              <w:rPr>
                <w:rFonts w:hint="eastAsia"/>
                <w:b/>
                <w:bCs/>
                <w:sz w:val="18"/>
                <w:szCs w:val="21"/>
              </w:rPr>
              <w:t xml:space="preserve">科研项目深化管理</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1、纵向项目全流程管理：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1）申报管理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纵向申报管理：基于项目申报方案，支撑纵向项目网上申报工作，提供申报计划编制、申报条件设定、申报信息登记、申报材料提交和审核等功能。可上传申报书附件，支持PDF格式申报书全文网上浏览。</w:t>
            </w:r>
            <w:r/>
          </w:p>
          <w:p>
            <w:pPr>
              <w:ind w:left="0"/>
              <w:jc w:val="left"/>
              <w:spacing w:line="400" w:lineRule="exact"/>
              <w:widowControl w:val="off"/>
              <w:rPr>
                <w:rFonts w:ascii="宋体" w:hAnsi="宋体"/>
                <w:sz w:val="18"/>
                <w:szCs w:val="21"/>
              </w:rPr>
            </w:pPr>
            <w:r>
              <w:rPr>
                <w:rFonts w:hint="eastAsia" w:ascii="宋体" w:hAnsi="宋体"/>
                <w:sz w:val="18"/>
                <w:szCs w:val="21"/>
              </w:rPr>
              <w:t xml:space="preserve">申报计划管理：科研管理人员可在线编辑和发布申报批次计划，包括申报计划名称、类别、申报开始结束日期等信息，上传申报指南和申请书模板，并对各单位申报限额进行设置。</w:t>
            </w:r>
            <w:r/>
          </w:p>
          <w:p>
            <w:pPr>
              <w:ind w:left="0"/>
              <w:jc w:val="left"/>
              <w:spacing w:line="400" w:lineRule="exact"/>
              <w:widowControl w:val="off"/>
              <w:rPr>
                <w:rFonts w:ascii="宋体" w:hAnsi="宋体"/>
                <w:sz w:val="18"/>
                <w:szCs w:val="21"/>
              </w:rPr>
            </w:pPr>
            <w:r>
              <w:rPr>
                <w:rFonts w:hint="eastAsia" w:ascii="宋体" w:hAnsi="宋体"/>
                <w:sz w:val="18"/>
                <w:szCs w:val="21"/>
              </w:rPr>
              <w:t xml:space="preserve">在线申报：申报计划发布后，系统可向科研人员发送申报提醒信息，科研人员可在允许申报的时间段内，在线进行项目申报，登记申报项目基本信息、成员信息以及预算信息，上传申报材料附件。</w:t>
            </w:r>
            <w:r/>
          </w:p>
          <w:p>
            <w:pPr>
              <w:ind w:left="0"/>
              <w:jc w:val="left"/>
              <w:spacing w:line="400" w:lineRule="exact"/>
              <w:widowControl w:val="off"/>
              <w:rPr>
                <w:rFonts w:ascii="宋体" w:hAnsi="宋体"/>
                <w:sz w:val="18"/>
                <w:szCs w:val="21"/>
              </w:rPr>
            </w:pPr>
            <w:r>
              <w:rPr>
                <w:rFonts w:hint="eastAsia" w:ascii="宋体" w:hAnsi="宋体"/>
                <w:sz w:val="18"/>
                <w:szCs w:val="21"/>
              </w:rPr>
              <w:t xml:space="preserve">申报项目查看：科研管理人员可查看、审核和统计各批次申报计划所提交的申报项目材料，可查看申报人已负责或者参与的历史项目信息。</w:t>
            </w:r>
            <w:r/>
          </w:p>
          <w:p>
            <w:pPr>
              <w:ind w:left="0"/>
              <w:jc w:val="left"/>
              <w:spacing w:line="400" w:lineRule="exact"/>
              <w:widowControl w:val="off"/>
              <w:rPr>
                <w:rFonts w:ascii="宋体" w:hAnsi="宋体"/>
                <w:sz w:val="18"/>
                <w:szCs w:val="21"/>
              </w:rPr>
            </w:pPr>
            <w:r>
              <w:rPr>
                <w:rFonts w:hint="eastAsia" w:ascii="宋体" w:hAnsi="宋体"/>
                <w:sz w:val="18"/>
                <w:szCs w:val="21"/>
              </w:rPr>
              <w:t xml:space="preserve">历史申报查看：科研管理人员可查看、查询历史批次的申报材料。</w:t>
            </w:r>
            <w:r/>
          </w:p>
          <w:p>
            <w:pPr>
              <w:ind w:left="0"/>
              <w:jc w:val="left"/>
              <w:spacing w:line="400" w:lineRule="exact"/>
              <w:widowControl w:val="off"/>
              <w:rPr>
                <w:rFonts w:ascii="宋体" w:hAnsi="宋体"/>
                <w:sz w:val="18"/>
                <w:szCs w:val="21"/>
              </w:rPr>
            </w:pPr>
            <w:r>
              <w:rPr>
                <w:rFonts w:hint="eastAsia" w:ascii="宋体" w:hAnsi="宋体"/>
                <w:sz w:val="18"/>
                <w:szCs w:val="21"/>
              </w:rPr>
              <w:t xml:space="preserve">2）评审管理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包括评审方案制定，评审专家指派，评审计划发布，专家网上评审，评审过程跟踪，评审结果汇总，可支持科研管理人员组织校内外专家进行网上评审。</w:t>
            </w:r>
            <w:r/>
          </w:p>
          <w:p>
            <w:pPr>
              <w:ind w:left="0"/>
              <w:jc w:val="left"/>
              <w:spacing w:line="400" w:lineRule="exact"/>
              <w:widowControl w:val="off"/>
              <w:rPr>
                <w:rFonts w:ascii="宋体" w:hAnsi="宋体"/>
                <w:sz w:val="18"/>
                <w:szCs w:val="21"/>
              </w:rPr>
            </w:pPr>
            <w:r>
              <w:rPr>
                <w:rFonts w:hint="eastAsia" w:ascii="宋体" w:hAnsi="宋体"/>
                <w:sz w:val="18"/>
                <w:szCs w:val="21"/>
              </w:rPr>
              <w:t xml:space="preserve">评审方案编辑：科研管理人员可制定和发布各类项目评审方案，包括评分指标和打分标准，作为专家评审打分的依据。</w:t>
            </w:r>
            <w:r/>
          </w:p>
          <w:p>
            <w:pPr>
              <w:ind w:left="0"/>
              <w:jc w:val="left"/>
              <w:spacing w:line="400" w:lineRule="exact"/>
              <w:widowControl w:val="off"/>
              <w:rPr>
                <w:rFonts w:ascii="宋体" w:hAnsi="宋体"/>
                <w:sz w:val="18"/>
                <w:szCs w:val="21"/>
              </w:rPr>
            </w:pPr>
            <w:r>
              <w:rPr>
                <w:rFonts w:hint="eastAsia" w:ascii="宋体" w:hAnsi="宋体"/>
                <w:sz w:val="18"/>
                <w:szCs w:val="21"/>
              </w:rPr>
              <w:t xml:space="preserve">评审计划发布：科研管理人员可制定各类项目评审计划，包括评审计划名称、评审方案、评审计划状态、开始日期、结束日期以及评审指南等信息。</w:t>
            </w:r>
            <w:r/>
          </w:p>
          <w:p>
            <w:pPr>
              <w:ind w:left="0"/>
              <w:jc w:val="left"/>
              <w:spacing w:line="400" w:lineRule="exact"/>
              <w:widowControl w:val="off"/>
              <w:rPr>
                <w:rFonts w:ascii="宋体" w:hAnsi="宋体"/>
                <w:sz w:val="18"/>
                <w:szCs w:val="21"/>
              </w:rPr>
            </w:pPr>
            <w:r>
              <w:rPr>
                <w:rFonts w:hint="eastAsia" w:ascii="宋体" w:hAnsi="宋体"/>
                <w:sz w:val="18"/>
                <w:szCs w:val="21"/>
              </w:rPr>
              <w:t xml:space="preserve">评审项目分配：科研管理人员可在线为各申报项目分配评审专家。系统提供专家分组和遴选功能。系统可对接短信、邮件，实时向评审专家推送评审通知。</w:t>
            </w:r>
            <w:r/>
          </w:p>
          <w:p>
            <w:pPr>
              <w:ind w:left="0"/>
              <w:jc w:val="left"/>
              <w:spacing w:line="400" w:lineRule="exact"/>
              <w:widowControl w:val="off"/>
              <w:rPr>
                <w:rFonts w:ascii="宋体" w:hAnsi="宋体"/>
                <w:sz w:val="18"/>
                <w:szCs w:val="21"/>
              </w:rPr>
            </w:pPr>
            <w:r>
              <w:rPr>
                <w:rFonts w:hint="eastAsia" w:ascii="宋体" w:hAnsi="宋体"/>
                <w:sz w:val="18"/>
                <w:szCs w:val="21"/>
              </w:rPr>
              <w:t xml:space="preserve">专家在线评审：专家接到评审通知，登录系统后，可在线浏览项目申报材料，进行评审打分，填写评审意见。</w:t>
            </w:r>
            <w:r/>
          </w:p>
          <w:p>
            <w:pPr>
              <w:ind w:left="0"/>
              <w:jc w:val="left"/>
              <w:spacing w:line="400" w:lineRule="exact"/>
              <w:widowControl w:val="off"/>
              <w:rPr>
                <w:rFonts w:ascii="宋体" w:hAnsi="宋体"/>
                <w:sz w:val="18"/>
                <w:szCs w:val="21"/>
              </w:rPr>
            </w:pPr>
            <w:r>
              <w:rPr>
                <w:rFonts w:hint="eastAsia" w:ascii="宋体" w:hAnsi="宋体"/>
                <w:sz w:val="18"/>
                <w:szCs w:val="21"/>
              </w:rPr>
              <w:t xml:space="preserve">评审结果统计：科研管理人员可在线查看各项目评审进度，汇总评审意见。可根据评审意见对项目进行立项操作。</w:t>
            </w:r>
            <w:r/>
          </w:p>
          <w:p>
            <w:pPr>
              <w:ind w:left="0"/>
              <w:jc w:val="left"/>
              <w:spacing w:line="400" w:lineRule="exact"/>
              <w:widowControl w:val="off"/>
              <w:rPr>
                <w:rFonts w:ascii="宋体" w:hAnsi="宋体"/>
                <w:sz w:val="18"/>
                <w:szCs w:val="21"/>
              </w:rPr>
            </w:pPr>
            <w:r>
              <w:rPr>
                <w:rFonts w:hint="eastAsia" w:ascii="宋体" w:hAnsi="宋体"/>
                <w:sz w:val="18"/>
                <w:szCs w:val="21"/>
              </w:rPr>
              <w:t xml:space="preserve">3）纵向项目智能化管理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项目管理过程中根据时间节点倒推，支持项目变更、项目中检、项目结项动态预警。</w:t>
            </w:r>
            <w:r/>
          </w:p>
          <w:p>
            <w:pPr>
              <w:ind w:left="0"/>
              <w:jc w:val="left"/>
              <w:spacing w:line="400" w:lineRule="exact"/>
              <w:widowControl w:val="off"/>
              <w:rPr>
                <w:rFonts w:ascii="宋体" w:hAnsi="宋体"/>
                <w:sz w:val="18"/>
                <w:szCs w:val="21"/>
              </w:rPr>
            </w:pPr>
            <w:r>
              <w:rPr>
                <w:rFonts w:hint="eastAsia" w:ascii="宋体" w:hAnsi="宋体"/>
                <w:sz w:val="18"/>
                <w:szCs w:val="21"/>
              </w:rPr>
              <w:t xml:space="preserve">4）模块授权</w:t>
            </w:r>
            <w:r/>
          </w:p>
          <w:p>
            <w:pPr>
              <w:ind w:left="0"/>
              <w:jc w:val="left"/>
              <w:spacing w:line="400" w:lineRule="exact"/>
              <w:widowControl w:val="off"/>
              <w:rPr>
                <w:rFonts w:ascii="宋体" w:hAnsi="宋体"/>
                <w:sz w:val="18"/>
                <w:szCs w:val="21"/>
              </w:rPr>
            </w:pPr>
            <w:r>
              <w:rPr>
                <w:rFonts w:hint="eastAsia" w:ascii="宋体" w:hAnsi="宋体"/>
                <w:sz w:val="18"/>
                <w:szCs w:val="21"/>
              </w:rPr>
              <w:t xml:space="preserve">项目负责人可将所负责项目授权给他人管理，可以授权所有项目，可授权单个项目。被授权人登录系统后，可在线办理被授权的项目相关业务，如项目变更、经费认领等。</w:t>
            </w:r>
            <w:r/>
          </w:p>
          <w:p>
            <w:pPr>
              <w:ind w:left="0"/>
              <w:jc w:val="left"/>
              <w:spacing w:line="400" w:lineRule="exact"/>
              <w:widowControl w:val="off"/>
              <w:rPr>
                <w:rFonts w:ascii="宋体" w:hAnsi="宋体"/>
                <w:sz w:val="18"/>
                <w:szCs w:val="21"/>
              </w:rPr>
            </w:pPr>
            <w:r>
              <w:rPr>
                <w:rFonts w:hint="eastAsia" w:ascii="宋体" w:hAnsi="宋体"/>
                <w:sz w:val="18"/>
                <w:szCs w:val="21"/>
              </w:rPr>
              <w:t xml:space="preserve">5）批量立项管理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系统支持直接从 Excel 批量立项导入数据的功能。管理员按照指定的Excel模板整理好项目数据，系统能够一次性导入，可对导入数据完整性和有效性进行校验。</w:t>
            </w:r>
            <w:r/>
          </w:p>
          <w:p>
            <w:pPr>
              <w:ind w:left="0"/>
              <w:jc w:val="left"/>
              <w:spacing w:line="400" w:lineRule="exact"/>
              <w:widowControl w:val="off"/>
              <w:rPr>
                <w:rFonts w:ascii="宋体" w:hAnsi="宋体"/>
                <w:sz w:val="18"/>
                <w:szCs w:val="21"/>
              </w:rPr>
            </w:pPr>
            <w:r>
              <w:rPr>
                <w:rFonts w:hint="eastAsia" w:ascii="宋体" w:hAnsi="宋体"/>
                <w:sz w:val="18"/>
                <w:szCs w:val="21"/>
              </w:rPr>
              <w:t xml:space="preserve">6）数据统计报表管理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系统可针对项目数据快速生成相关统计报表，可选择统计报表的行标题和列标题，按数量、批准经费、配套经费、外拨经费等参数进行统计，可自动生成柱图、饼图和线图，提供统计报表数据导出功能。</w:t>
            </w:r>
            <w:r/>
          </w:p>
          <w:p>
            <w:pPr>
              <w:ind w:left="0"/>
              <w:jc w:val="left"/>
              <w:spacing w:line="400" w:lineRule="exact"/>
              <w:widowControl w:val="off"/>
              <w:rPr>
                <w:rFonts w:ascii="宋体" w:hAnsi="宋体"/>
                <w:sz w:val="18"/>
                <w:szCs w:val="21"/>
              </w:rPr>
            </w:pPr>
            <w:r>
              <w:rPr>
                <w:rFonts w:hint="eastAsia" w:ascii="宋体" w:hAnsi="宋体"/>
                <w:sz w:val="18"/>
                <w:szCs w:val="21"/>
              </w:rPr>
              <w:t xml:space="preserve">7）项目分类管理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支持增加一类校级课题分类。</w:t>
            </w:r>
            <w:r/>
          </w:p>
          <w:p>
            <w:pPr>
              <w:ind w:left="0"/>
              <w:jc w:val="left"/>
              <w:spacing w:line="400" w:lineRule="exact"/>
              <w:widowControl w:val="off"/>
              <w:rPr>
                <w:rFonts w:ascii="宋体" w:hAnsi="宋体"/>
                <w:sz w:val="18"/>
                <w:szCs w:val="21"/>
              </w:rPr>
            </w:pPr>
            <w:r>
              <w:rPr>
                <w:rFonts w:hint="eastAsia" w:ascii="宋体" w:hAnsi="宋体"/>
                <w:sz w:val="18"/>
                <w:szCs w:val="21"/>
              </w:rPr>
              <w:t xml:space="preserve">2、横向项目深化管理：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1）合同在线生成与审核</w:t>
            </w:r>
            <w:r/>
          </w:p>
          <w:p>
            <w:pPr>
              <w:ind w:left="0"/>
              <w:jc w:val="left"/>
              <w:spacing w:line="400" w:lineRule="exact"/>
              <w:widowControl w:val="off"/>
              <w:rPr>
                <w:rFonts w:ascii="宋体" w:hAnsi="宋体"/>
                <w:sz w:val="18"/>
                <w:szCs w:val="21"/>
              </w:rPr>
            </w:pPr>
            <w:r>
              <w:rPr>
                <w:rFonts w:hint="eastAsia" w:ascii="宋体" w:hAnsi="宋体"/>
                <w:sz w:val="18"/>
                <w:szCs w:val="21"/>
              </w:rPr>
              <w:t xml:space="preserve">合同登记与制式生成： 项目负责人在线填写合同基本信息，系统自动校验必填项、格式规范，校验通过后依据预设模板自动生成标准制式合同文本，保障学校合法权益。针对政府部门委托或甲方有特殊格式要求两类情形，支持上传补充附件随合同一并进入签审流程。</w:t>
            </w:r>
            <w:r/>
          </w:p>
          <w:p>
            <w:pPr>
              <w:ind w:left="0"/>
              <w:jc w:val="left"/>
              <w:spacing w:line="400" w:lineRule="exact"/>
              <w:widowControl w:val="off"/>
              <w:rPr>
                <w:rFonts w:ascii="宋体" w:hAnsi="宋体"/>
                <w:sz w:val="18"/>
                <w:szCs w:val="21"/>
              </w:rPr>
            </w:pPr>
            <w:r>
              <w:rPr>
                <w:rFonts w:hint="eastAsia" w:ascii="宋体" w:hAnsi="宋体"/>
                <w:sz w:val="18"/>
                <w:szCs w:val="21"/>
              </w:rPr>
              <w:t xml:space="preserve">校办法审联合审核： 签审流程中设置法务审核环节，由校办公室及学校法律顾问共同参与。校办负责审查合同主体资格、条款合法性及学校权益保障；律师重点把控知识产权归属、争议解决及违约风险。审核意见在线留痕，项目负责人及科研管理人员可实时查看历史记录及逐条审批意见，确保法审过程透明可追溯。</w:t>
            </w:r>
            <w:r/>
          </w:p>
          <w:p>
            <w:pPr>
              <w:ind w:left="0"/>
              <w:jc w:val="left"/>
              <w:spacing w:line="400" w:lineRule="exact"/>
              <w:widowControl w:val="off"/>
              <w:rPr>
                <w:rFonts w:ascii="宋体" w:hAnsi="宋体"/>
                <w:sz w:val="18"/>
                <w:szCs w:val="21"/>
              </w:rPr>
            </w:pPr>
            <w:r>
              <w:rPr>
                <w:rFonts w:hint="eastAsia" w:ascii="宋体" w:hAnsi="宋体"/>
                <w:sz w:val="18"/>
                <w:szCs w:val="21"/>
              </w:rPr>
              <w:t xml:space="preserve">定制化签审流程： 各类合同签审流程根据学校横向项目管理办法定制，支持按合同类型、经费额度、委托方性质灵活配置审批节点。常规流程包括院系初审、业务审核、校办法审、律师审核、终审等环节；大额合同增设审计、财务联合审核。科研管理人员在线审阅合同文档，逐条填写审批意见，支持退回等操作。</w:t>
            </w:r>
            <w:r/>
          </w:p>
          <w:p>
            <w:pPr>
              <w:ind w:left="0"/>
              <w:jc w:val="left"/>
              <w:spacing w:line="400" w:lineRule="exact"/>
              <w:widowControl w:val="off"/>
              <w:rPr>
                <w:rFonts w:ascii="宋体" w:hAnsi="宋体"/>
                <w:sz w:val="18"/>
                <w:szCs w:val="21"/>
              </w:rPr>
            </w:pPr>
            <w:r>
              <w:rPr>
                <w:rFonts w:hint="eastAsia" w:ascii="宋体" w:hAnsi="宋体"/>
                <w:sz w:val="18"/>
                <w:szCs w:val="21"/>
              </w:rPr>
              <w:t xml:space="preserve">签章归档与统计查询：流程完成后，项目负责人上传双方签章合同扫描件完成电子归档。系统支持按年度、院系、合同类型、经费额度等多维度统计查询与批量导出，为学</w:t>
            </w:r>
            <w:r>
              <w:rPr>
                <w:rFonts w:hint="eastAsia" w:ascii="宋体" w:hAnsi="宋体"/>
                <w:sz w:val="18"/>
                <w:szCs w:val="21"/>
              </w:rPr>
              <w:t xml:space="preserve">校掌握横向合作动态、评估履约风险提供数据支撑。</w:t>
            </w:r>
            <w:r/>
          </w:p>
          <w:p>
            <w:pPr>
              <w:ind w:left="0"/>
              <w:jc w:val="left"/>
              <w:spacing w:line="400" w:lineRule="exact"/>
              <w:widowControl w:val="off"/>
              <w:rPr>
                <w:rFonts w:ascii="宋体" w:hAnsi="宋体"/>
                <w:sz w:val="18"/>
                <w:szCs w:val="21"/>
              </w:rPr>
            </w:pPr>
            <w:r>
              <w:rPr>
                <w:rFonts w:hint="eastAsia" w:ascii="宋体" w:hAnsi="宋体"/>
                <w:sz w:val="18"/>
                <w:szCs w:val="21"/>
              </w:rPr>
              <w:t xml:space="preserve">各类合同详细签审流程根据学校横向项目管理办法定制。</w:t>
            </w:r>
            <w:r/>
          </w:p>
          <w:p>
            <w:pPr>
              <w:ind w:left="0"/>
              <w:jc w:val="left"/>
              <w:spacing w:line="400" w:lineRule="exact"/>
              <w:widowControl w:val="off"/>
              <w:rPr>
                <w:rFonts w:ascii="宋体" w:hAnsi="宋体"/>
                <w:sz w:val="18"/>
                <w:szCs w:val="21"/>
              </w:rPr>
            </w:pPr>
            <w:r>
              <w:rPr>
                <w:rFonts w:hint="eastAsia" w:ascii="宋体" w:hAnsi="宋体"/>
                <w:sz w:val="18"/>
                <w:szCs w:val="21"/>
              </w:rPr>
              <w:t xml:space="preserve">2)横向补充协议管理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合同履行过程中如需变更，由项目负责人发起合同变更流程，上传补充协议文档。系统支持补充协议与原合同自动关联，审核时可调阅原合同基本信息及历史签审记录，确保变更内容有据可查。</w:t>
            </w:r>
            <w:r/>
          </w:p>
          <w:p>
            <w:pPr>
              <w:ind w:left="0"/>
              <w:jc w:val="left"/>
              <w:spacing w:line="400" w:lineRule="exact"/>
              <w:widowControl w:val="off"/>
              <w:rPr>
                <w:rFonts w:ascii="宋体" w:hAnsi="宋体"/>
                <w:sz w:val="18"/>
                <w:szCs w:val="21"/>
              </w:rPr>
            </w:pPr>
            <w:r>
              <w:rPr>
                <w:rFonts w:hint="eastAsia" w:ascii="宋体" w:hAnsi="宋体"/>
                <w:sz w:val="18"/>
                <w:szCs w:val="21"/>
              </w:rPr>
              <w:t xml:space="preserve">补充协议审核流程参照原合同签审流程执行，依次经院系科研秘书初审、科研处业务审核、校办法务审核，审核通过后补充协议方可生效。流程完成后，项目负责人须将双方盖章的补充协议扫描件回传系统，与原合同一并归档备案，形成完整的合同全生命周期管理台账。</w:t>
            </w:r>
            <w:r/>
          </w:p>
          <w:p>
            <w:pPr>
              <w:ind w:left="0"/>
              <w:jc w:val="left"/>
              <w:spacing w:line="400" w:lineRule="exact"/>
              <w:widowControl w:val="off"/>
              <w:rPr>
                <w:rFonts w:ascii="宋体" w:hAnsi="宋体"/>
                <w:sz w:val="18"/>
                <w:szCs w:val="21"/>
              </w:rPr>
            </w:pPr>
            <w:r>
              <w:rPr>
                <w:rFonts w:hint="eastAsia" w:ascii="宋体" w:hAnsi="宋体"/>
                <w:sz w:val="18"/>
                <w:szCs w:val="21"/>
              </w:rPr>
              <w:t xml:space="preserve">3）横向经费入账管理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横向经费到账后，财务系统将到款信息自动推送至科研系统。项目负责人在科研系统中查看到款记录，完成经费认领并进行预算拆分，系统按预设规则自动计算横向管理费。认领信息提交后，经科研处审核通过，系统自动将经费入账信息回推至财务系统，财务系统据此完成正式入账办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入账完成后，项目负责人可正常执行经费报销。财务系统将经费支出明细实时回推至科研系统，项目负责人和科研处管理人员可随时在线监控项目经费收支情况、预算执行进度及结余状态，实现横向经费"到账—认领—入账—报销—监控"的全流程闭环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4）外协合同管理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原项目已立项、经费已入账且具备外协经费额度时，方可申请项目外协合同。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外协合同线上签审通过后，可在线打印合同，可带水印和二维码打印。</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2</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科研财务业财融合</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1、项目立项业财融合：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建设科研业财融合平台，并通过科研与财务系统对接，支撑科研管理部门和财务管理部门项目立项实现线上业务协同。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科研项目入财务库：与财务系统对接，共享科研项目立项信息,项目立项终审完成后推送财务。（需财务配合，且财务厂家费用不含在内）</w:t>
            </w:r>
            <w:r/>
          </w:p>
          <w:p>
            <w:pPr>
              <w:ind w:left="0"/>
              <w:jc w:val="left"/>
              <w:spacing w:line="400" w:lineRule="exact"/>
              <w:widowControl w:val="off"/>
              <w:rPr>
                <w:rFonts w:ascii="宋体" w:hAnsi="宋体"/>
                <w:sz w:val="18"/>
                <w:szCs w:val="21"/>
              </w:rPr>
            </w:pPr>
            <w:r>
              <w:rPr>
                <w:rFonts w:hint="eastAsia" w:ascii="宋体" w:hAnsi="宋体"/>
                <w:sz w:val="18"/>
                <w:szCs w:val="21"/>
              </w:rPr>
              <w:t xml:space="preserve">合作单位入财务库：与财务系统对接，共享科研合作单位信息,项目立项终审完成后推送财务。</w:t>
            </w:r>
            <w:r/>
          </w:p>
          <w:p>
            <w:pPr>
              <w:ind w:left="0"/>
              <w:jc w:val="left"/>
              <w:spacing w:line="400" w:lineRule="exact"/>
              <w:widowControl w:val="off"/>
              <w:rPr>
                <w:rFonts w:ascii="宋体" w:hAnsi="宋体"/>
                <w:sz w:val="18"/>
                <w:szCs w:val="21"/>
              </w:rPr>
            </w:pPr>
            <w:r>
              <w:rPr>
                <w:rFonts w:hint="eastAsia" w:ascii="宋体" w:hAnsi="宋体"/>
                <w:sz w:val="18"/>
                <w:szCs w:val="21"/>
              </w:rPr>
              <w:t xml:space="preserve">编号生成规则设置：支持自定义项目编号生成规则，提供字母前缀、类别号、年度编号、流水号等多种组合参数，供用户自行定义。支持自定义项目经费卡编号生成规则。</w:t>
            </w:r>
            <w:r/>
          </w:p>
          <w:p>
            <w:pPr>
              <w:ind w:left="0"/>
              <w:jc w:val="left"/>
              <w:spacing w:line="400" w:lineRule="exact"/>
              <w:widowControl w:val="off"/>
              <w:rPr>
                <w:rFonts w:ascii="宋体" w:hAnsi="宋体"/>
                <w:sz w:val="18"/>
                <w:szCs w:val="21"/>
              </w:rPr>
            </w:pPr>
            <w:r>
              <w:rPr>
                <w:rFonts w:hint="eastAsia" w:ascii="宋体" w:hAnsi="宋体"/>
                <w:sz w:val="18"/>
                <w:szCs w:val="21"/>
              </w:rPr>
              <w:t xml:space="preserve">2、经费认款业财融合：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建设科研业财融合平台，并通过科研与财务系统对接，支撑科研管理部门和财务管理部门在科研经费认款、入账业务场景实现线上数据协同。支持经费入账财务办理后数据同步至科研系统。</w:t>
            </w:r>
            <w:r/>
          </w:p>
          <w:p>
            <w:pPr>
              <w:ind w:left="0"/>
              <w:jc w:val="left"/>
              <w:spacing w:line="400" w:lineRule="exact"/>
              <w:widowControl w:val="off"/>
              <w:rPr>
                <w:rFonts w:ascii="宋体" w:hAnsi="宋体"/>
                <w:sz w:val="18"/>
                <w:szCs w:val="21"/>
              </w:rPr>
            </w:pPr>
            <w:r>
              <w:rPr>
                <w:rFonts w:hint="eastAsia" w:ascii="宋体" w:hAnsi="宋体"/>
                <w:sz w:val="18"/>
                <w:szCs w:val="21"/>
              </w:rPr>
              <w:t xml:space="preserve">数据接口：开发科研与财务系统数据接口，建立数据信任和传递机制。</w:t>
            </w:r>
            <w:r/>
          </w:p>
          <w:p>
            <w:pPr>
              <w:ind w:left="0"/>
              <w:jc w:val="left"/>
              <w:spacing w:line="400" w:lineRule="exact"/>
              <w:widowControl w:val="off"/>
              <w:rPr>
                <w:rFonts w:ascii="宋体" w:hAnsi="宋体"/>
                <w:sz w:val="18"/>
                <w:szCs w:val="21"/>
              </w:rPr>
            </w:pPr>
            <w:r>
              <w:rPr>
                <w:rFonts w:hint="eastAsia" w:ascii="宋体" w:hAnsi="宋体"/>
                <w:sz w:val="18"/>
                <w:szCs w:val="21"/>
              </w:rPr>
              <w:t xml:space="preserve">数据对照：支持单位对照，可对照科研与财务单位，可按单位编号或者名称自动对照，并可查看和下载未匹配数据。支持项目分类对照，可逐项对照科研与财务项目分类。支持预算标准对照，可逐项对照科研与财务项目预算标准以及预算科目。</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支持横向税票非税票由财务系统同步至科研系统中。</w:t>
            </w:r>
            <w:r/>
          </w:p>
          <w:p>
            <w:pPr>
              <w:ind w:left="0"/>
              <w:jc w:val="left"/>
              <w:spacing w:line="400" w:lineRule="exact"/>
              <w:widowControl w:val="off"/>
              <w:rPr>
                <w:rFonts w:ascii="宋体" w:hAnsi="宋体"/>
                <w:sz w:val="18"/>
                <w:szCs w:val="21"/>
              </w:rPr>
            </w:pPr>
            <w:r>
              <w:rPr>
                <w:rFonts w:hint="eastAsia" w:ascii="宋体" w:hAnsi="宋体"/>
                <w:sz w:val="18"/>
                <w:szCs w:val="21"/>
              </w:rPr>
              <w:t xml:space="preserve">3、变更业财融合：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建设科研业财融合平台，并通过科研与财务系统对接，支撑科研管理部门和财务管理部门在科研信息变更和预算变更实现线上业务协同。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针对项目负责人变更、执行期变更信息，科研系统变更完成后需及时推送财务。</w:t>
            </w:r>
            <w:r/>
          </w:p>
          <w:p>
            <w:pPr>
              <w:ind w:left="0"/>
              <w:jc w:val="left"/>
              <w:spacing w:line="400" w:lineRule="exact"/>
              <w:widowControl w:val="off"/>
              <w:rPr>
                <w:rFonts w:ascii="宋体" w:hAnsi="宋体"/>
                <w:sz w:val="18"/>
                <w:szCs w:val="21"/>
              </w:rPr>
            </w:pPr>
            <w:r>
              <w:rPr>
                <w:rFonts w:hint="eastAsia" w:ascii="宋体" w:hAnsi="宋体"/>
                <w:sz w:val="18"/>
                <w:szCs w:val="21"/>
              </w:rPr>
              <w:t xml:space="preserve">针对预算变更信息，支持项目负责在财务系统办理预算变更后数据同步至科研系统中。</w:t>
            </w:r>
            <w:r/>
          </w:p>
          <w:p>
            <w:pPr>
              <w:ind w:left="0"/>
              <w:jc w:val="left"/>
              <w:spacing w:line="400" w:lineRule="exact"/>
              <w:widowControl w:val="off"/>
              <w:rPr>
                <w:rFonts w:ascii="宋体" w:hAnsi="宋体"/>
                <w:sz w:val="18"/>
                <w:szCs w:val="21"/>
              </w:rPr>
            </w:pPr>
            <w:r>
              <w:rPr>
                <w:rFonts w:hint="eastAsia" w:ascii="宋体" w:hAnsi="宋体"/>
                <w:sz w:val="18"/>
                <w:szCs w:val="21"/>
              </w:rPr>
              <w:t xml:space="preserve">预算追加（纵向的从财务系统同步至科研系统）</w:t>
            </w:r>
            <w:r/>
          </w:p>
          <w:p>
            <w:pPr>
              <w:ind w:left="0"/>
              <w:jc w:val="left"/>
              <w:spacing w:line="400" w:lineRule="exact"/>
              <w:widowControl w:val="off"/>
              <w:rPr>
                <w:rFonts w:ascii="宋体" w:hAnsi="宋体"/>
                <w:sz w:val="18"/>
                <w:szCs w:val="21"/>
              </w:rPr>
            </w:pPr>
            <w:r>
              <w:rPr>
                <w:rFonts w:hint="eastAsia" w:ascii="宋体" w:hAnsi="宋体"/>
                <w:sz w:val="18"/>
                <w:szCs w:val="21"/>
              </w:rPr>
              <w:t xml:space="preserve">4、经费支出业财融合：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建设科研业财融合平台，并通过科研与财务系统对接，支撑科研管理部门和财务管理部门经费支出实现线上业务协同。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财务支出明细数据接入，以中间库的形式，财务向科研共享科研项目经费支出明细数据。</w:t>
            </w:r>
            <w:r/>
          </w:p>
          <w:p>
            <w:pPr>
              <w:ind w:left="0"/>
              <w:jc w:val="left"/>
              <w:spacing w:line="400" w:lineRule="exact"/>
              <w:widowControl w:val="off"/>
              <w:rPr>
                <w:rFonts w:ascii="宋体" w:hAnsi="宋体"/>
                <w:sz w:val="18"/>
                <w:szCs w:val="21"/>
              </w:rPr>
            </w:pPr>
            <w:r>
              <w:rPr>
                <w:rFonts w:hint="eastAsia" w:ascii="宋体" w:hAnsi="宋体"/>
                <w:sz w:val="18"/>
                <w:szCs w:val="21"/>
              </w:rPr>
              <w:t xml:space="preserve">5、经费外拨业财融合：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建设科研业财融合平台，并通过科研与财务系统对接，支撑科研管理部门和财务管理部门经费外拨实现线上数据协同。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支持纵向项目和横向项目财务系统办理后外拨数据同步至科研系统中。</w:t>
            </w:r>
            <w:r/>
          </w:p>
          <w:p>
            <w:pPr>
              <w:ind w:left="0"/>
              <w:jc w:val="left"/>
              <w:spacing w:line="400" w:lineRule="exact"/>
              <w:widowControl w:val="off"/>
              <w:rPr>
                <w:rFonts w:ascii="宋体" w:hAnsi="宋体"/>
                <w:sz w:val="18"/>
                <w:szCs w:val="21"/>
              </w:rPr>
            </w:pPr>
            <w:r>
              <w:rPr>
                <w:rFonts w:hint="eastAsia" w:ascii="宋体" w:hAnsi="宋体"/>
                <w:sz w:val="18"/>
                <w:szCs w:val="21"/>
              </w:rPr>
              <w:t xml:space="preserve">6、经费结转业财融合：</w:t>
            </w:r>
            <w:r/>
          </w:p>
          <w:p>
            <w:pPr>
              <w:ind w:left="0"/>
              <w:jc w:val="left"/>
              <w:spacing w:line="400" w:lineRule="exact"/>
              <w:widowControl w:val="off"/>
              <w:rPr>
                <w:rFonts w:ascii="宋体" w:hAnsi="宋体"/>
                <w:sz w:val="18"/>
                <w:szCs w:val="21"/>
              </w:rPr>
            </w:pPr>
            <w:r>
              <w:rPr>
                <w:rFonts w:hint="eastAsia" w:ascii="宋体" w:hAnsi="宋体"/>
                <w:sz w:val="18"/>
                <w:szCs w:val="21"/>
              </w:rPr>
              <w:t xml:space="preserve">建设科研业财融合平台，并通过科研与财务系统对接，支撑科研管理部门和财务管理部门经费结转实现线上数据协同。</w:t>
            </w:r>
            <w:r/>
          </w:p>
          <w:p>
            <w:pPr>
              <w:ind w:left="0"/>
              <w:jc w:val="left"/>
              <w:spacing w:line="400" w:lineRule="exact"/>
              <w:widowControl w:val="off"/>
              <w:rPr>
                <w:rFonts w:ascii="宋体" w:hAnsi="宋体"/>
                <w:sz w:val="18"/>
                <w:szCs w:val="21"/>
              </w:rPr>
            </w:pPr>
            <w:r>
              <w:rPr>
                <w:rFonts w:hint="eastAsia" w:ascii="宋体" w:hAnsi="宋体"/>
                <w:sz w:val="18"/>
                <w:szCs w:val="21"/>
              </w:rPr>
              <w:t xml:space="preserve">项目负责人在财务系统办理经费结转后，结转数据同步至科研系统中。</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3</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学术讲座申请与报表生成</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支持科研人员在线发起学术讲座申请，登记学术讲座相关信息，经科研处审核通过后，可以生成苏州职业技术大学学术报告资助申请表，科研人员可以直接进行打印，同时支持学术信息登记、审核、查询、导入导出以及统计分析。</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4</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专利全生</w:t>
            </w:r>
            <w:r>
              <w:rPr>
                <w:rFonts w:hint="eastAsia"/>
                <w:b/>
                <w:sz w:val="18"/>
                <w:szCs w:val="21"/>
              </w:rPr>
              <w:t xml:space="preserve">命周期管理</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1、专利管理：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1）专利提案申请</w:t>
            </w:r>
            <w:r/>
          </w:p>
          <w:p>
            <w:pPr>
              <w:ind w:left="0"/>
              <w:jc w:val="left"/>
              <w:spacing w:line="400" w:lineRule="exact"/>
              <w:widowControl w:val="off"/>
              <w:rPr>
                <w:rFonts w:ascii="宋体" w:hAnsi="宋体"/>
                <w:sz w:val="18"/>
                <w:szCs w:val="21"/>
              </w:rPr>
            </w:pPr>
            <w:r>
              <w:rPr>
                <w:rFonts w:hint="eastAsia" w:ascii="宋体" w:hAnsi="宋体"/>
                <w:sz w:val="18"/>
                <w:szCs w:val="21"/>
              </w:rPr>
              <w:t xml:space="preserve">实现专利校内申请流程，包含成果负责人申请、成果价值度自评、成果发明人线上确</w:t>
            </w:r>
            <w:r>
              <w:rPr>
                <w:rFonts w:hint="eastAsia" w:ascii="宋体" w:hAnsi="宋体"/>
                <w:sz w:val="18"/>
                <w:szCs w:val="21"/>
              </w:rPr>
              <w:t xml:space="preserve">认、院系审核、知识产权专员审核等环节。</w:t>
            </w:r>
            <w:r/>
          </w:p>
          <w:p>
            <w:pPr>
              <w:ind w:left="0"/>
              <w:jc w:val="left"/>
              <w:spacing w:line="400" w:lineRule="exact"/>
              <w:widowControl w:val="off"/>
              <w:rPr>
                <w:rFonts w:ascii="宋体" w:hAnsi="宋体"/>
                <w:sz w:val="18"/>
                <w:szCs w:val="21"/>
              </w:rPr>
            </w:pPr>
            <w:r>
              <w:rPr>
                <w:rFonts w:hint="eastAsia" w:ascii="宋体" w:hAnsi="宋体"/>
                <w:sz w:val="18"/>
                <w:szCs w:val="21"/>
              </w:rPr>
              <w:t xml:space="preserve">专利申请分为合作代理机构申请和自行委托申请（委托代理机构非学校合作代理机构）两种方式。针对合作代理机构申请的专利，知识产权专员审核通过后，专利信息自动向代理机构推送，系统发送邮件提醒代理机构办理立案确认；针对自行委托申请的专利，需专利负责人在系统中补充专利申请及授权信息。</w:t>
            </w:r>
            <w:r/>
          </w:p>
          <w:p>
            <w:pPr>
              <w:ind w:left="0"/>
              <w:jc w:val="left"/>
              <w:spacing w:line="400" w:lineRule="exact"/>
              <w:widowControl w:val="off"/>
              <w:rPr>
                <w:rFonts w:ascii="宋体" w:hAnsi="宋体"/>
                <w:sz w:val="18"/>
                <w:szCs w:val="21"/>
              </w:rPr>
            </w:pPr>
            <w:r>
              <w:rPr>
                <w:rFonts w:hint="eastAsia" w:ascii="宋体" w:hAnsi="宋体"/>
                <w:sz w:val="18"/>
                <w:szCs w:val="21"/>
              </w:rPr>
              <w:t xml:space="preserve">负责人申请专利时可指定代理机构及代理人，系统展示每个代理机构的申请费标准，专利申请过程中可对代理机构服务质量进行评价。</w:t>
            </w:r>
            <w:r/>
          </w:p>
          <w:p>
            <w:pPr>
              <w:ind w:left="0"/>
              <w:jc w:val="left"/>
              <w:spacing w:line="400" w:lineRule="exact"/>
              <w:widowControl w:val="off"/>
              <w:rPr>
                <w:rFonts w:ascii="宋体" w:hAnsi="宋体"/>
                <w:sz w:val="18"/>
                <w:szCs w:val="21"/>
              </w:rPr>
            </w:pPr>
            <w:r>
              <w:rPr>
                <w:rFonts w:hint="eastAsia" w:ascii="宋体" w:hAnsi="宋体"/>
                <w:sz w:val="18"/>
                <w:szCs w:val="21"/>
              </w:rPr>
              <w:t xml:space="preserve">2）专利变更</w:t>
            </w:r>
            <w:r/>
          </w:p>
          <w:p>
            <w:pPr>
              <w:ind w:left="0"/>
              <w:jc w:val="left"/>
              <w:spacing w:line="400" w:lineRule="exact"/>
              <w:widowControl w:val="off"/>
              <w:rPr>
                <w:rFonts w:ascii="宋体" w:hAnsi="宋体"/>
                <w:sz w:val="18"/>
                <w:szCs w:val="21"/>
              </w:rPr>
            </w:pPr>
            <w:r>
              <w:rPr>
                <w:rFonts w:hint="eastAsia" w:ascii="宋体" w:hAnsi="宋体"/>
                <w:sz w:val="18"/>
                <w:szCs w:val="21"/>
              </w:rPr>
              <w:t xml:space="preserve">实现专利名称、专利申请人、发明人、所有权人的变更申请、审核流程。</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代理机构可上传受理合格通知书，上传后专利变更正式生效，数据自动变更至专利信息中。</w:t>
            </w:r>
            <w:r/>
          </w:p>
          <w:p>
            <w:pPr>
              <w:ind w:left="0"/>
              <w:jc w:val="left"/>
              <w:spacing w:line="400" w:lineRule="exact"/>
              <w:widowControl w:val="off"/>
              <w:rPr>
                <w:rFonts w:ascii="宋体" w:hAnsi="宋体"/>
                <w:sz w:val="18"/>
                <w:szCs w:val="21"/>
              </w:rPr>
            </w:pPr>
            <w:r>
              <w:rPr>
                <w:rFonts w:hint="eastAsia" w:ascii="宋体" w:hAnsi="宋体"/>
                <w:sz w:val="18"/>
                <w:szCs w:val="21"/>
              </w:rPr>
              <w:t xml:space="preserve">2、代理维护：</w:t>
            </w:r>
            <w:r/>
          </w:p>
          <w:p>
            <w:pPr>
              <w:ind w:left="0"/>
              <w:jc w:val="left"/>
              <w:spacing w:line="400" w:lineRule="exact"/>
              <w:widowControl w:val="off"/>
              <w:rPr>
                <w:rFonts w:ascii="宋体" w:hAnsi="宋体"/>
                <w:sz w:val="18"/>
                <w:szCs w:val="21"/>
              </w:rPr>
            </w:pPr>
            <w:r>
              <w:rPr>
                <w:rFonts w:hint="eastAsia" w:ascii="宋体" w:hAnsi="宋体"/>
                <w:sz w:val="18"/>
                <w:szCs w:val="21"/>
              </w:rPr>
              <w:t xml:space="preserve">1）专利代理维护</w:t>
            </w:r>
            <w:r/>
          </w:p>
          <w:p>
            <w:pPr>
              <w:ind w:left="0"/>
              <w:jc w:val="left"/>
              <w:spacing w:line="400" w:lineRule="exact"/>
              <w:widowControl w:val="off"/>
              <w:rPr>
                <w:rFonts w:ascii="宋体" w:hAnsi="宋体"/>
                <w:sz w:val="18"/>
                <w:szCs w:val="21"/>
              </w:rPr>
            </w:pPr>
            <w:r>
              <w:rPr>
                <w:rFonts w:hint="eastAsia" w:ascii="宋体" w:hAnsi="宋体"/>
                <w:sz w:val="18"/>
                <w:szCs w:val="21"/>
              </w:rPr>
              <w:t xml:space="preserve">代理机构可登录系统对向机构推送的专利提案信息进行立案确认。立案后代理机构针对专利不同代理阶段的代理信息进行维护，包含专利立案、国知局受理、专利授权、证书上传、终止代理等环节，代理机构需将各环节产生的文档以及相关的专利信息在系统中登记维护。</w:t>
            </w:r>
            <w:r/>
          </w:p>
          <w:p>
            <w:pPr>
              <w:ind w:left="0"/>
              <w:jc w:val="left"/>
              <w:spacing w:line="400" w:lineRule="exact"/>
              <w:widowControl w:val="off"/>
              <w:rPr>
                <w:rFonts w:ascii="宋体" w:hAnsi="宋体"/>
                <w:sz w:val="18"/>
                <w:szCs w:val="21"/>
              </w:rPr>
            </w:pPr>
            <w:r>
              <w:rPr>
                <w:rFonts w:hint="eastAsia" w:ascii="宋体" w:hAnsi="宋体"/>
                <w:sz w:val="18"/>
                <w:szCs w:val="21"/>
              </w:rPr>
              <w:t xml:space="preserve">2）代理机构维护</w:t>
            </w:r>
            <w:r/>
          </w:p>
          <w:p>
            <w:pPr>
              <w:ind w:left="0"/>
              <w:jc w:val="left"/>
              <w:spacing w:line="400" w:lineRule="exact"/>
              <w:widowControl w:val="off"/>
              <w:rPr>
                <w:rFonts w:ascii="宋体" w:hAnsi="宋体"/>
                <w:sz w:val="18"/>
                <w:szCs w:val="21"/>
              </w:rPr>
            </w:pPr>
            <w:r>
              <w:rPr>
                <w:rFonts w:hint="eastAsia" w:ascii="宋体" w:hAnsi="宋体"/>
                <w:sz w:val="18"/>
                <w:szCs w:val="21"/>
              </w:rPr>
              <w:t xml:space="preserve">对合作代理机构信息进行管理，包含代理机构的基本情况、联系电话、银行账号信息、代理有效日期等信息进行维护。</w:t>
            </w:r>
            <w:r/>
          </w:p>
          <w:p>
            <w:pPr>
              <w:ind w:left="0"/>
              <w:jc w:val="left"/>
              <w:spacing w:line="400" w:lineRule="exact"/>
              <w:widowControl w:val="off"/>
              <w:rPr>
                <w:rFonts w:ascii="宋体" w:hAnsi="宋体"/>
                <w:sz w:val="18"/>
                <w:szCs w:val="21"/>
              </w:rPr>
            </w:pPr>
            <w:r>
              <w:rPr>
                <w:rFonts w:hint="eastAsia" w:ascii="宋体" w:hAnsi="宋体"/>
                <w:sz w:val="18"/>
                <w:szCs w:val="21"/>
              </w:rPr>
              <w:t xml:space="preserve">代理机构可查看本机构代理的所有专利信息，及专利的代理维护记录。</w:t>
            </w:r>
            <w:r/>
          </w:p>
          <w:p>
            <w:pPr>
              <w:ind w:left="0"/>
              <w:jc w:val="left"/>
              <w:spacing w:line="400" w:lineRule="exact"/>
              <w:widowControl w:val="off"/>
              <w:rPr>
                <w:rFonts w:ascii="宋体" w:hAnsi="宋体"/>
                <w:sz w:val="18"/>
                <w:szCs w:val="21"/>
              </w:rPr>
            </w:pPr>
            <w:r>
              <w:rPr>
                <w:rFonts w:hint="eastAsia" w:ascii="宋体" w:hAnsi="宋体"/>
                <w:sz w:val="18"/>
                <w:szCs w:val="21"/>
              </w:rPr>
              <w:t xml:space="preserve">可对机构代理状态进行维护，有效、停用。</w:t>
            </w:r>
            <w:r/>
          </w:p>
          <w:p>
            <w:pPr>
              <w:ind w:left="0"/>
              <w:jc w:val="left"/>
              <w:spacing w:line="400" w:lineRule="exact"/>
              <w:widowControl w:val="off"/>
              <w:rPr>
                <w:rFonts w:ascii="宋体" w:hAnsi="宋体"/>
                <w:sz w:val="18"/>
                <w:szCs w:val="21"/>
              </w:rPr>
            </w:pPr>
            <w:r>
              <w:rPr>
                <w:rFonts w:hint="eastAsia" w:ascii="宋体" w:hAnsi="宋体"/>
                <w:sz w:val="18"/>
                <w:szCs w:val="21"/>
              </w:rPr>
              <w:t xml:space="preserve">3)代理机构评价</w:t>
            </w:r>
            <w:r/>
          </w:p>
          <w:p>
            <w:pPr>
              <w:ind w:left="0"/>
              <w:jc w:val="left"/>
              <w:spacing w:line="400" w:lineRule="exact"/>
              <w:widowControl w:val="off"/>
              <w:rPr>
                <w:rFonts w:ascii="宋体" w:hAnsi="宋体"/>
                <w:sz w:val="18"/>
                <w:szCs w:val="21"/>
              </w:rPr>
            </w:pPr>
            <w:r>
              <w:rPr>
                <w:rFonts w:hint="eastAsia" w:ascii="宋体" w:hAnsi="宋体"/>
                <w:sz w:val="18"/>
                <w:szCs w:val="21"/>
              </w:rPr>
              <w:t xml:space="preserve">对代理机构代理效率进行跟踪；</w:t>
            </w:r>
            <w:r/>
          </w:p>
          <w:p>
            <w:pPr>
              <w:ind w:left="0"/>
              <w:jc w:val="left"/>
              <w:spacing w:line="400" w:lineRule="exact"/>
              <w:widowControl w:val="off"/>
              <w:rPr>
                <w:rFonts w:ascii="宋体" w:hAnsi="宋体"/>
                <w:sz w:val="18"/>
                <w:szCs w:val="21"/>
              </w:rPr>
            </w:pPr>
            <w:r>
              <w:rPr>
                <w:rFonts w:hint="eastAsia" w:ascii="宋体" w:hAnsi="宋体"/>
                <w:sz w:val="18"/>
                <w:szCs w:val="21"/>
              </w:rPr>
              <w:t xml:space="preserve">对代理机构授权率和代理质量进行统计。</w:t>
            </w:r>
            <w:r/>
          </w:p>
          <w:p>
            <w:pPr>
              <w:ind w:left="0"/>
              <w:jc w:val="left"/>
              <w:spacing w:line="400" w:lineRule="exact"/>
              <w:widowControl w:val="off"/>
              <w:rPr>
                <w:rFonts w:ascii="宋体" w:hAnsi="宋体"/>
                <w:sz w:val="18"/>
                <w:szCs w:val="21"/>
              </w:rPr>
            </w:pPr>
            <w:r>
              <w:rPr>
                <w:rFonts w:ascii="宋体" w:hAnsi="宋体"/>
                <w:sz w:val="18"/>
                <w:szCs w:val="21"/>
              </w:rPr>
              <w:t xml:space="preserve">3</w:t>
            </w:r>
            <w:r>
              <w:rPr>
                <w:rFonts w:hint="eastAsia" w:ascii="宋体" w:hAnsi="宋体"/>
                <w:sz w:val="18"/>
                <w:szCs w:val="21"/>
              </w:rPr>
              <w:t xml:space="preserve">、技术经理人</w:t>
            </w:r>
            <w:r/>
          </w:p>
          <w:p>
            <w:pPr>
              <w:ind w:left="0"/>
              <w:jc w:val="left"/>
              <w:spacing w:line="400" w:lineRule="exact"/>
              <w:widowControl w:val="off"/>
              <w:rPr>
                <w:rFonts w:ascii="宋体" w:hAnsi="宋体"/>
                <w:sz w:val="18"/>
                <w:szCs w:val="21"/>
              </w:rPr>
            </w:pPr>
            <w:r>
              <w:rPr>
                <w:rFonts w:hint="eastAsia" w:ascii="宋体" w:hAnsi="宋体"/>
                <w:sz w:val="18"/>
                <w:szCs w:val="21"/>
              </w:rPr>
              <w:t xml:space="preserve">对合作技术经理人信息进行管理，包含技术经理人的基本情况、联系电话、银行账号信息等信息进行维护。</w:t>
            </w:r>
            <w:r/>
          </w:p>
          <w:p>
            <w:pPr>
              <w:ind w:left="0"/>
              <w:jc w:val="left"/>
              <w:spacing w:line="400" w:lineRule="exact"/>
              <w:widowControl w:val="off"/>
              <w:rPr>
                <w:rFonts w:ascii="宋体" w:hAnsi="宋体"/>
                <w:sz w:val="18"/>
                <w:szCs w:val="21"/>
              </w:rPr>
            </w:pPr>
            <w:r>
              <w:rPr>
                <w:rFonts w:ascii="宋体" w:hAnsi="宋体"/>
                <w:sz w:val="18"/>
                <w:szCs w:val="21"/>
              </w:rPr>
              <w:t xml:space="preserve">4</w:t>
            </w:r>
            <w:r>
              <w:rPr>
                <w:rFonts w:hint="eastAsia" w:ascii="宋体" w:hAnsi="宋体"/>
                <w:sz w:val="18"/>
                <w:szCs w:val="21"/>
              </w:rPr>
              <w:t xml:space="preserve">、专利大数据治理：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1)国知局数据对比</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支持系统已有专利数据和国知局专利数据的对比分析，包括专利法律状态、授权号、授权日、专利名称、代理机构等数据信息的自动更新和发明人、申请人信息差异的披露展示。</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针对发明人和申请人顺序不一致的专利，系统可支持自动变更本地顺序，与国知局数据保持一致。</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针对发明人和申请人名称不一致的数据，可统计展示，由管理部门确认数据处理方案，支持</w:t>
            </w:r>
            <w:r>
              <w:rPr>
                <w:rFonts w:hint="eastAsia" w:ascii="宋体" w:hAnsi="宋体"/>
                <w:spacing w:val="-6"/>
                <w:sz w:val="18"/>
                <w:szCs w:val="21"/>
              </w:rPr>
              <w:t xml:space="preserve">走变更流程变更本地专利数据，或者线下提交材料变更国知局数据两种方案。</w:t>
            </w:r>
            <w:r/>
          </w:p>
          <w:p>
            <w:pPr>
              <w:ind w:left="0"/>
              <w:jc w:val="left"/>
              <w:spacing w:line="400" w:lineRule="exact"/>
              <w:widowControl w:val="off"/>
              <w:rPr>
                <w:rFonts w:ascii="宋体" w:hAnsi="宋体"/>
                <w:sz w:val="18"/>
                <w:szCs w:val="21"/>
              </w:rPr>
            </w:pPr>
            <w:r>
              <w:rPr>
                <w:rFonts w:hint="eastAsia" w:ascii="宋体" w:hAnsi="宋体"/>
                <w:sz w:val="18"/>
                <w:szCs w:val="21"/>
              </w:rPr>
              <w:t xml:space="preserve">2)专利认领</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支持依托国知局数据构建学校专利数据库，并提供专利认领功能，自动依据发明人将专利推送给个人进行认领，建立专利和个人、业务部门之间的关联，满足统计、考核的需要。</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支持依托国知局数据补全所内专利数据，补全过程支持个人认领专利。</w:t>
            </w:r>
            <w:r/>
          </w:p>
          <w:p>
            <w:pPr>
              <w:ind w:left="0"/>
              <w:jc w:val="left"/>
              <w:spacing w:line="400" w:lineRule="exact"/>
              <w:widowControl w:val="off"/>
              <w:rPr>
                <w:rFonts w:ascii="宋体" w:hAnsi="宋体"/>
                <w:sz w:val="18"/>
                <w:szCs w:val="21"/>
              </w:rPr>
            </w:pPr>
            <w:r>
              <w:rPr>
                <w:rFonts w:hint="eastAsia" w:ascii="宋体" w:hAnsi="宋体"/>
                <w:sz w:val="18"/>
                <w:szCs w:val="21"/>
              </w:rPr>
              <w:t xml:space="preserve">3）专利缴费监控</w:t>
            </w:r>
            <w:r/>
          </w:p>
          <w:p>
            <w:pPr>
              <w:ind w:left="0"/>
              <w:jc w:val="left"/>
              <w:spacing w:line="400" w:lineRule="exact"/>
              <w:widowControl w:val="off"/>
              <w:rPr>
                <w:rFonts w:ascii="宋体" w:hAnsi="宋体"/>
                <w:sz w:val="18"/>
                <w:szCs w:val="21"/>
              </w:rPr>
            </w:pPr>
            <w:r>
              <w:rPr>
                <w:rFonts w:hint="eastAsia" w:ascii="宋体" w:hAnsi="宋体"/>
                <w:sz w:val="18"/>
                <w:szCs w:val="21"/>
              </w:rPr>
              <w:t xml:space="preserve">实现专利年费数据的对接，获取待缴年费、滞纳金、恢复费；</w:t>
            </w:r>
            <w:r/>
          </w:p>
          <w:p>
            <w:pPr>
              <w:ind w:left="0"/>
              <w:jc w:val="left"/>
              <w:spacing w:line="400" w:lineRule="exact"/>
              <w:widowControl w:val="off"/>
              <w:rPr>
                <w:rFonts w:ascii="宋体" w:hAnsi="宋体"/>
                <w:sz w:val="18"/>
                <w:szCs w:val="21"/>
              </w:rPr>
            </w:pPr>
            <w:r>
              <w:rPr>
                <w:rFonts w:hint="eastAsia" w:ascii="宋体" w:hAnsi="宋体"/>
                <w:sz w:val="18"/>
                <w:szCs w:val="21"/>
              </w:rPr>
              <w:t xml:space="preserve">定期对接对待缴费用的状态进行更新；</w:t>
            </w:r>
            <w:r/>
          </w:p>
          <w:p>
            <w:pPr>
              <w:ind w:left="0"/>
              <w:jc w:val="left"/>
              <w:spacing w:line="400" w:lineRule="exact"/>
              <w:widowControl w:val="off"/>
              <w:rPr>
                <w:rFonts w:ascii="宋体" w:hAnsi="宋体"/>
                <w:sz w:val="18"/>
                <w:szCs w:val="21"/>
              </w:rPr>
            </w:pPr>
            <w:r>
              <w:rPr>
                <w:rFonts w:hint="eastAsia" w:ascii="宋体" w:hAnsi="宋体"/>
                <w:sz w:val="18"/>
                <w:szCs w:val="21"/>
              </w:rPr>
              <w:t xml:space="preserve">展示学校专利费用缴纳情况，月度、年度年费缴纳计划；</w:t>
            </w:r>
            <w:r/>
          </w:p>
          <w:p>
            <w:pPr>
              <w:ind w:left="0"/>
              <w:jc w:val="left"/>
              <w:spacing w:line="400" w:lineRule="exact"/>
              <w:widowControl w:val="off"/>
              <w:rPr>
                <w:rFonts w:ascii="宋体" w:hAnsi="宋体"/>
                <w:sz w:val="18"/>
                <w:szCs w:val="21"/>
              </w:rPr>
            </w:pPr>
            <w:r>
              <w:rPr>
                <w:rFonts w:ascii="宋体" w:hAnsi="宋体"/>
                <w:sz w:val="18"/>
                <w:szCs w:val="21"/>
              </w:rPr>
              <w:t xml:space="preserve">5</w:t>
            </w:r>
            <w:r>
              <w:rPr>
                <w:rFonts w:hint="eastAsia" w:ascii="宋体" w:hAnsi="宋体"/>
                <w:sz w:val="18"/>
                <w:szCs w:val="21"/>
              </w:rPr>
              <w:t xml:space="preserve">、数据服务：</w:t>
            </w:r>
            <w:r/>
          </w:p>
          <w:p>
            <w:pPr>
              <w:ind w:left="0"/>
              <w:jc w:val="left"/>
              <w:spacing w:line="400" w:lineRule="exact"/>
              <w:widowControl w:val="off"/>
              <w:rPr>
                <w:rFonts w:ascii="宋体" w:hAnsi="宋体"/>
                <w:sz w:val="18"/>
                <w:szCs w:val="21"/>
              </w:rPr>
            </w:pPr>
            <w:r>
              <w:rPr>
                <w:rFonts w:hint="eastAsia" w:ascii="宋体" w:hAnsi="宋体"/>
                <w:sz w:val="18"/>
                <w:szCs w:val="21"/>
              </w:rPr>
              <w:t xml:space="preserve">国知局著录数据服务：提供专利的最新的著录项信息，每周两次更新；</w:t>
            </w:r>
            <w:r/>
          </w:p>
          <w:p>
            <w:pPr>
              <w:ind w:left="0"/>
              <w:jc w:val="left"/>
              <w:spacing w:line="400" w:lineRule="exact"/>
              <w:widowControl w:val="off"/>
              <w:rPr>
                <w:rFonts w:ascii="宋体" w:hAnsi="宋体"/>
                <w:sz w:val="18"/>
                <w:szCs w:val="21"/>
              </w:rPr>
            </w:pPr>
            <w:r>
              <w:rPr>
                <w:rFonts w:hint="eastAsia" w:ascii="宋体" w:hAnsi="宋体"/>
                <w:sz w:val="18"/>
                <w:szCs w:val="21"/>
              </w:rPr>
              <w:t xml:space="preserve">国知局费用接口数据服务：提供专利的已缴费、待缴费信息，含滞纳金、恢复费数据，每月更新一次。</w:t>
            </w:r>
            <w:r/>
          </w:p>
          <w:p>
            <w:pPr>
              <w:ind w:left="0"/>
              <w:jc w:val="left"/>
              <w:spacing w:line="400" w:lineRule="exact"/>
              <w:widowControl w:val="off"/>
              <w:rPr>
                <w:rFonts w:ascii="宋体" w:hAnsi="宋体"/>
                <w:sz w:val="18"/>
                <w:szCs w:val="21"/>
              </w:rPr>
            </w:pPr>
            <w:r>
              <w:rPr>
                <w:rFonts w:ascii="宋体" w:hAnsi="宋体"/>
                <w:sz w:val="18"/>
                <w:szCs w:val="21"/>
              </w:rPr>
              <w:t xml:space="preserve">6</w:t>
            </w:r>
            <w:r>
              <w:rPr>
                <w:rFonts w:hint="eastAsia" w:ascii="宋体" w:hAnsi="宋体"/>
                <w:sz w:val="18"/>
                <w:szCs w:val="21"/>
              </w:rPr>
              <w:t xml:space="preserve">、科技成果披露：</w:t>
            </w:r>
            <w:r/>
          </w:p>
          <w:p>
            <w:pPr>
              <w:ind w:left="0"/>
              <w:jc w:val="left"/>
              <w:spacing w:line="400" w:lineRule="exact"/>
              <w:widowControl w:val="off"/>
              <w:rPr>
                <w:rFonts w:ascii="宋体" w:hAnsi="宋体"/>
                <w:sz w:val="18"/>
                <w:szCs w:val="21"/>
              </w:rPr>
            </w:pPr>
            <w:r>
              <w:rPr>
                <w:rFonts w:hint="eastAsia" w:ascii="宋体" w:hAnsi="宋体"/>
                <w:sz w:val="18"/>
                <w:szCs w:val="21"/>
              </w:rPr>
              <w:t xml:space="preserve">成果负责人登记成果信息，包含成果成熟度、应用前景、解决的痛点问题、技术解决方案、竞争优势分析等内容，可关联知识产权（含专利、软著、技术秘密、布图设计），成果负责人需依据评价标准对成果进行自评。</w:t>
            </w:r>
            <w:r/>
          </w:p>
          <w:p>
            <w:pPr>
              <w:ind w:left="0"/>
              <w:jc w:val="left"/>
              <w:spacing w:line="400" w:lineRule="exact"/>
              <w:widowControl w:val="off"/>
              <w:rPr>
                <w:rFonts w:ascii="宋体" w:hAnsi="宋体"/>
                <w:sz w:val="18"/>
                <w:szCs w:val="21"/>
              </w:rPr>
            </w:pPr>
            <w:r>
              <w:rPr>
                <w:rFonts w:ascii="宋体" w:hAnsi="宋体"/>
                <w:sz w:val="18"/>
                <w:szCs w:val="21"/>
              </w:rPr>
              <w:t xml:space="preserve">7</w:t>
            </w:r>
            <w:r>
              <w:rPr>
                <w:rFonts w:hint="eastAsia" w:ascii="宋体" w:hAnsi="宋体"/>
                <w:sz w:val="18"/>
                <w:szCs w:val="21"/>
              </w:rPr>
              <w:t xml:space="preserve">、赋权协议管理：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赋权申请。成果完成人在系统中选择拟赋权成果，填写赋权申请表，明确赋权方式、比例及团队内部分配方案，上传权属证明、价值评估报告等材料。系统自动校验成果权属状态及限制赋权情形，校验通过后提交审核。</w:t>
            </w:r>
            <w:r/>
          </w:p>
          <w:p>
            <w:pPr>
              <w:ind w:left="0"/>
              <w:jc w:val="left"/>
              <w:spacing w:line="400" w:lineRule="exact"/>
              <w:widowControl w:val="off"/>
              <w:rPr>
                <w:rFonts w:ascii="宋体" w:hAnsi="宋体"/>
                <w:sz w:val="18"/>
                <w:szCs w:val="21"/>
              </w:rPr>
            </w:pPr>
            <w:r>
              <w:rPr>
                <w:rFonts w:hint="eastAsia" w:ascii="宋体" w:hAnsi="宋体"/>
                <w:sz w:val="18"/>
                <w:szCs w:val="21"/>
              </w:rPr>
              <w:t xml:space="preserve">分级审核。院系科研秘书资格、分配方案合理性及转化可行性；科研处审核赋权方式合规性及转化前景；校办法务审核协议条款，保障学校权益各审核意见在线留痕，申请人可实时查看进度。</w:t>
            </w:r>
            <w:r/>
          </w:p>
          <w:p>
            <w:pPr>
              <w:ind w:left="0"/>
              <w:jc w:val="left"/>
              <w:spacing w:line="400" w:lineRule="exact"/>
              <w:widowControl w:val="off"/>
              <w:rPr>
                <w:rFonts w:ascii="宋体" w:hAnsi="宋体"/>
                <w:sz w:val="18"/>
                <w:szCs w:val="21"/>
              </w:rPr>
            </w:pPr>
            <w:r>
              <w:rPr>
                <w:rFonts w:hint="eastAsia" w:ascii="宋体" w:hAnsi="宋体"/>
                <w:sz w:val="18"/>
                <w:szCs w:val="21"/>
              </w:rPr>
              <w:t xml:space="preserve">协议生成与签订。审核通过后，明确赋权范围、期限、收益分配及违约责任等核心条款。双方确认后完成电子签章，项目负责人将盖章协议回传系统备案。</w:t>
            </w:r>
            <w:r/>
          </w:p>
          <w:p>
            <w:pPr>
              <w:ind w:left="0"/>
              <w:jc w:val="left"/>
              <w:spacing w:line="400" w:lineRule="exact"/>
              <w:widowControl w:val="off"/>
              <w:rPr>
                <w:rFonts w:ascii="宋体" w:hAnsi="宋体"/>
                <w:sz w:val="18"/>
                <w:szCs w:val="21"/>
              </w:rPr>
            </w:pPr>
            <w:r>
              <w:rPr>
                <w:rFonts w:hint="eastAsia" w:ascii="宋体" w:hAnsi="宋体"/>
                <w:sz w:val="18"/>
                <w:szCs w:val="21"/>
              </w:rPr>
              <w:t xml:space="preserve">备案跟踪。赋权协议归档，与原成果信息关联绑定。系统支持按赋权方式、成果类别、转化状态等维度统计查询，为学校科技成果管理决策提供数据支撑。</w:t>
            </w:r>
            <w:r/>
          </w:p>
          <w:p>
            <w:pPr>
              <w:ind w:left="0"/>
              <w:jc w:val="left"/>
              <w:spacing w:line="400" w:lineRule="exact"/>
              <w:widowControl w:val="off"/>
              <w:rPr>
                <w:rFonts w:ascii="宋体" w:hAnsi="宋体"/>
                <w:sz w:val="18"/>
                <w:szCs w:val="21"/>
              </w:rPr>
            </w:pPr>
            <w:r>
              <w:rPr>
                <w:rFonts w:ascii="宋体" w:hAnsi="宋体"/>
                <w:sz w:val="18"/>
                <w:szCs w:val="21"/>
              </w:rPr>
              <w:t xml:space="preserve">8</w:t>
            </w:r>
            <w:r>
              <w:rPr>
                <w:rFonts w:hint="eastAsia" w:ascii="宋体" w:hAnsi="宋体"/>
                <w:sz w:val="18"/>
                <w:szCs w:val="21"/>
              </w:rPr>
              <w:t xml:space="preserve">、转化项目管理：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1）转化申请</w:t>
            </w:r>
            <w:r/>
          </w:p>
          <w:p>
            <w:pPr>
              <w:ind w:left="0"/>
              <w:jc w:val="left"/>
              <w:spacing w:line="400" w:lineRule="exact"/>
              <w:widowControl w:val="off"/>
              <w:rPr>
                <w:rFonts w:ascii="宋体" w:hAnsi="宋体"/>
                <w:sz w:val="18"/>
                <w:szCs w:val="21"/>
              </w:rPr>
            </w:pPr>
            <w:r>
              <w:rPr>
                <w:rFonts w:hint="eastAsia" w:ascii="宋体" w:hAnsi="宋体"/>
                <w:sz w:val="18"/>
                <w:szCs w:val="21"/>
              </w:rPr>
              <w:t xml:space="preserve">转化项目审批分为院系审批和报会审批环节，报会审批支持多级报会审批，系统可记录每级报会的时间及审批结果。</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支持针对转化项目的批量报会申请，建立会审计划后，可加入参与会审的多个项目，会</w:t>
            </w:r>
            <w:r>
              <w:rPr>
                <w:rFonts w:hint="eastAsia" w:ascii="宋体" w:hAnsi="宋体"/>
                <w:sz w:val="18"/>
                <w:szCs w:val="21"/>
              </w:rPr>
              <w:t xml:space="preserve">审完成后，批量登记会审结果。</w:t>
            </w:r>
            <w:r/>
          </w:p>
          <w:p>
            <w:pPr>
              <w:ind w:left="0"/>
              <w:jc w:val="left"/>
              <w:spacing w:line="400" w:lineRule="exact"/>
              <w:widowControl w:val="off"/>
              <w:rPr>
                <w:rFonts w:ascii="宋体" w:hAnsi="宋体"/>
                <w:sz w:val="18"/>
                <w:szCs w:val="21"/>
              </w:rPr>
            </w:pPr>
            <w:r>
              <w:rPr>
                <w:rFonts w:hint="eastAsia" w:ascii="宋体" w:hAnsi="宋体"/>
                <w:sz w:val="18"/>
                <w:szCs w:val="21"/>
              </w:rPr>
              <w:t xml:space="preserve">2）转化合同签审</w:t>
            </w:r>
            <w:r/>
          </w:p>
          <w:p>
            <w:pPr>
              <w:ind w:left="0"/>
              <w:jc w:val="left"/>
              <w:spacing w:line="400" w:lineRule="exact"/>
              <w:widowControl w:val="off"/>
              <w:rPr>
                <w:rFonts w:ascii="宋体" w:hAnsi="宋体"/>
                <w:sz w:val="18"/>
                <w:szCs w:val="21"/>
              </w:rPr>
            </w:pPr>
            <w:r>
              <w:rPr>
                <w:rFonts w:hint="eastAsia" w:ascii="宋体" w:hAnsi="宋体"/>
                <w:sz w:val="18"/>
                <w:szCs w:val="21"/>
              </w:rPr>
              <w:t xml:space="preserve">合同登记与制式生成。项目负责人在线填写合同基本信息，系统自动校验必填项、格式规范，校验通过后依据预设模板自动生成标准制式合同文本，保障学校合法权益。针对政府部门委托或甲方有特殊格式要求两类情形，支持上传补充附件随合同一并进入签审流程。</w:t>
            </w:r>
            <w:r/>
          </w:p>
          <w:p>
            <w:pPr>
              <w:ind w:left="0"/>
              <w:jc w:val="left"/>
              <w:spacing w:line="400" w:lineRule="exact"/>
              <w:widowControl w:val="off"/>
              <w:rPr>
                <w:rFonts w:ascii="宋体" w:hAnsi="宋体"/>
                <w:sz w:val="18"/>
                <w:szCs w:val="21"/>
              </w:rPr>
            </w:pPr>
            <w:r>
              <w:rPr>
                <w:rFonts w:hint="eastAsia" w:ascii="宋体" w:hAnsi="宋体"/>
                <w:sz w:val="18"/>
                <w:szCs w:val="21"/>
              </w:rPr>
              <w:t xml:space="preserve">校办法审联合审核。签审流程中设置法务审核环节，由校办公室及学校法律顾问共同参与。校办负责审查合同主体资格、条款合法性及学校权益保障；律师重点把控知识产权归属、争议解决及违约风险。审核意见在线留痕，项目负责人及科研管理人员可实时查看历史记录及逐条审批意见，确保法审过程透明可追溯。</w:t>
            </w:r>
            <w:r/>
          </w:p>
          <w:p>
            <w:pPr>
              <w:ind w:left="0"/>
              <w:jc w:val="left"/>
              <w:spacing w:line="400" w:lineRule="exact"/>
              <w:widowControl w:val="off"/>
              <w:rPr>
                <w:rFonts w:ascii="宋体" w:hAnsi="宋体"/>
                <w:sz w:val="18"/>
                <w:szCs w:val="21"/>
              </w:rPr>
            </w:pPr>
            <w:r>
              <w:rPr>
                <w:rFonts w:hint="eastAsia" w:ascii="宋体" w:hAnsi="宋体"/>
                <w:sz w:val="18"/>
                <w:szCs w:val="21"/>
              </w:rPr>
              <w:t xml:space="preserve">定制化签审流程。各类合同签审流程根据学校横向项目管理办法定制，支持按合同类型、经费额度、委托方性质灵活配置审批节点。常规流程包括院系初审、业务审核、校办法审、律师审核、终审等环节；大额合同增设审计、财务联合审核。科研管理人员在线审阅合同文档，逐条填写审批意见，支持退回等操作。</w:t>
            </w:r>
            <w:r/>
          </w:p>
          <w:p>
            <w:pPr>
              <w:ind w:left="0"/>
              <w:jc w:val="left"/>
              <w:spacing w:line="400" w:lineRule="exact"/>
              <w:widowControl w:val="off"/>
              <w:rPr>
                <w:rFonts w:ascii="宋体" w:hAnsi="宋体"/>
                <w:sz w:val="18"/>
                <w:szCs w:val="21"/>
              </w:rPr>
            </w:pPr>
            <w:r>
              <w:rPr>
                <w:rFonts w:hint="eastAsia" w:ascii="宋体" w:hAnsi="宋体"/>
                <w:sz w:val="18"/>
                <w:szCs w:val="21"/>
              </w:rPr>
              <w:t xml:space="preserve">签章归档与统计查询。 流程完成后，项目负责人上传双方签章合同扫描件完成电子归档。系统支持按年度、院系、合同类型、经费额度等多维度统计查询与批量导出，为学校掌握横向合作动态、评估履约风险提供数据支撑。</w:t>
            </w:r>
            <w:r/>
          </w:p>
          <w:p>
            <w:pPr>
              <w:ind w:left="0"/>
              <w:jc w:val="left"/>
              <w:spacing w:line="400" w:lineRule="exact"/>
              <w:widowControl w:val="off"/>
              <w:rPr>
                <w:rFonts w:ascii="宋体" w:hAnsi="宋体"/>
                <w:sz w:val="18"/>
                <w:szCs w:val="21"/>
              </w:rPr>
            </w:pPr>
            <w:r>
              <w:rPr>
                <w:rFonts w:hint="eastAsia" w:ascii="宋体" w:hAnsi="宋体"/>
                <w:sz w:val="18"/>
                <w:szCs w:val="21"/>
              </w:rPr>
              <w:t xml:space="preserve">各类转化合同详细签审流程根据学校成果转化管理办法定制。</w:t>
            </w:r>
            <w:r/>
          </w:p>
          <w:p>
            <w:pPr>
              <w:ind w:left="0"/>
              <w:jc w:val="left"/>
              <w:spacing w:line="400" w:lineRule="exact"/>
              <w:widowControl w:val="off"/>
              <w:rPr>
                <w:rFonts w:ascii="宋体" w:hAnsi="宋体"/>
                <w:sz w:val="18"/>
                <w:szCs w:val="21"/>
              </w:rPr>
            </w:pPr>
            <w:r>
              <w:rPr>
                <w:rFonts w:hint="eastAsia" w:ascii="宋体" w:hAnsi="宋体"/>
                <w:sz w:val="18"/>
                <w:szCs w:val="21"/>
              </w:rPr>
              <w:t xml:space="preserve">3）转化合同验收</w:t>
            </w:r>
            <w:r/>
          </w:p>
          <w:p>
            <w:pPr>
              <w:ind w:left="0"/>
              <w:jc w:val="left"/>
              <w:spacing w:line="400" w:lineRule="exact"/>
              <w:widowControl w:val="off"/>
              <w:rPr>
                <w:rFonts w:ascii="宋体" w:hAnsi="宋体"/>
                <w:sz w:val="18"/>
                <w:szCs w:val="21"/>
              </w:rPr>
            </w:pPr>
            <w:r>
              <w:rPr>
                <w:rFonts w:hint="eastAsia" w:ascii="宋体" w:hAnsi="宋体"/>
                <w:spacing w:val="-6"/>
                <w:sz w:val="18"/>
                <w:szCs w:val="21"/>
              </w:rPr>
              <w:t xml:space="preserve">对方接收技术后提供验收证明，项目负责人可在系统中提请项目验收，经审核生效后，推送验收信息至财务系统，解除项目的已到账经费的财务锁定，项目转化收益可自由提取。</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p>
        </w:tc>
        <w:tc>
          <w:tcPr>
            <w:tcW w:w="740" w:type="dxa"/>
            <w:vAlign w:val="center"/>
            <w:textDirection w:val="lrTb"/>
            <w:noWrap w:val="false"/>
          </w:tcPr>
          <w:p>
            <w:pPr>
              <w:ind w:left="0"/>
              <w:jc w:val="center"/>
              <w:spacing w:line="360" w:lineRule="auto"/>
              <w:widowControl w:val="off"/>
              <w:rPr>
                <w:rFonts w:ascii="宋体" w:hAnsi="宋体"/>
                <w:b/>
                <w:sz w:val="18"/>
                <w:szCs w:val="21"/>
              </w:rPr>
            </w:pPr>
            <w:r>
              <w:rPr>
                <w:rFonts w:hint="eastAsia" w:ascii="宋体" w:hAnsi="宋体"/>
                <w:b/>
                <w:sz w:val="18"/>
                <w:szCs w:val="21"/>
              </w:rPr>
              <w:t xml:space="preserve">科研数据统计</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1、教育部年度统计服务：</w:t>
            </w:r>
            <w:r/>
          </w:p>
          <w:p>
            <w:pPr>
              <w:ind w:left="0"/>
              <w:jc w:val="left"/>
              <w:spacing w:line="400" w:lineRule="exact"/>
              <w:widowControl w:val="off"/>
              <w:rPr>
                <w:rFonts w:ascii="宋体" w:hAnsi="宋体"/>
                <w:sz w:val="18"/>
                <w:szCs w:val="21"/>
              </w:rPr>
            </w:pPr>
            <w:r>
              <w:rPr>
                <w:rFonts w:hint="eastAsia" w:ascii="宋体" w:hAnsi="宋体"/>
                <w:sz w:val="18"/>
                <w:szCs w:val="21"/>
              </w:rPr>
              <w:t xml:space="preserve">直接通过系统一键导出教育部统计所需要数据表（涵盖教育部科技统计与教育部社科统计）教育部统计数据表需要根据教育部统计要求及时在系统中更新表单。</w:t>
            </w:r>
            <w:r/>
          </w:p>
          <w:p>
            <w:pPr>
              <w:ind w:left="0"/>
              <w:jc w:val="left"/>
              <w:spacing w:line="400" w:lineRule="exact"/>
              <w:widowControl w:val="off"/>
              <w:rPr>
                <w:rFonts w:ascii="宋体" w:hAnsi="宋体"/>
                <w:sz w:val="18"/>
                <w:szCs w:val="21"/>
              </w:rPr>
            </w:pPr>
            <w:r>
              <w:rPr>
                <w:rFonts w:hint="eastAsia" w:ascii="宋体" w:hAnsi="宋体"/>
                <w:sz w:val="18"/>
                <w:szCs w:val="21"/>
              </w:rPr>
              <w:t xml:space="preserve">根据教育部年度社科统计要求，可由科研系统快速生成教育部年度社科统计所需基础数据报表，包括人员表、项目表、论文表、著作表、研究报告表以及成果获奖表，导入到全国普通高等学校人文社会科学研究云统计平台中，实现学校科研日常管理数据与教育部年度社科统计工作的对接。</w:t>
            </w:r>
            <w:r/>
          </w:p>
          <w:p>
            <w:pPr>
              <w:ind w:left="0"/>
              <w:jc w:val="left"/>
              <w:spacing w:line="400" w:lineRule="exact"/>
              <w:widowControl w:val="off"/>
              <w:rPr>
                <w:rFonts w:ascii="宋体" w:hAnsi="宋体"/>
                <w:sz w:val="18"/>
                <w:szCs w:val="21"/>
              </w:rPr>
            </w:pPr>
            <w:r>
              <w:rPr>
                <w:rFonts w:hint="eastAsia" w:ascii="宋体" w:hAnsi="宋体"/>
                <w:sz w:val="18"/>
                <w:szCs w:val="21"/>
              </w:rPr>
              <w:t xml:space="preserve">根据教育部年度科技统计要求，可由科研系统快速生成教育部年度科技统计所需基础数据表，包括人员表、机构表、项目表、著作表以及成果获奖表，导入到教育部科技统计系统中，实现学校科研日常管理数据与教育部年度科技统计工作的对接。</w:t>
            </w:r>
            <w:r/>
          </w:p>
          <w:p>
            <w:pPr>
              <w:ind w:left="0"/>
              <w:jc w:val="left"/>
              <w:spacing w:line="400" w:lineRule="exact"/>
              <w:widowControl w:val="off"/>
              <w:rPr>
                <w:rFonts w:ascii="宋体" w:hAnsi="宋体"/>
                <w:sz w:val="18"/>
                <w:szCs w:val="21"/>
              </w:rPr>
            </w:pPr>
            <w:r>
              <w:rPr>
                <w:rFonts w:hint="eastAsia" w:ascii="宋体" w:hAnsi="宋体"/>
                <w:sz w:val="18"/>
                <w:szCs w:val="21"/>
              </w:rPr>
              <w:t xml:space="preserve">2、教育部数字基座统计服务：</w:t>
            </w:r>
            <w:r/>
          </w:p>
          <w:p>
            <w:pPr>
              <w:ind w:left="0"/>
              <w:jc w:val="left"/>
              <w:spacing w:line="400" w:lineRule="exact"/>
              <w:widowControl w:val="off"/>
              <w:rPr>
                <w:rFonts w:ascii="宋体" w:hAnsi="宋体"/>
                <w:sz w:val="18"/>
                <w:szCs w:val="21"/>
              </w:rPr>
            </w:pPr>
            <w:r>
              <w:rPr>
                <w:rFonts w:hint="eastAsia" w:ascii="宋体" w:hAnsi="宋体"/>
                <w:sz w:val="18"/>
                <w:szCs w:val="21"/>
              </w:rPr>
              <w:t xml:space="preserve">根据教育部数字基座统计要求，科研数据应该覆盖职业教育数据基座相关数据表，按表格要求对数据中台开放视图，并及时提供升级。</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6</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科研绩效管理</w:t>
            </w:r>
            <w:r/>
          </w:p>
        </w:tc>
        <w:tc>
          <w:tcPr>
            <w:tcW w:w="7088" w:type="dxa"/>
            <w:vAlign w:val="center"/>
            <w:textDirection w:val="lrTb"/>
            <w:noWrap w:val="false"/>
          </w:tcPr>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根据学校科研绩效考核奖励办法，定制考核奖励模型，实现考核奖励分值的自动核算。</w:t>
            </w:r>
            <w:r/>
          </w:p>
          <w:p>
            <w:pPr>
              <w:ind w:left="0"/>
              <w:jc w:val="left"/>
              <w:spacing w:line="400" w:lineRule="exact"/>
              <w:widowControl w:val="off"/>
              <w:rPr>
                <w:rFonts w:ascii="宋体" w:hAnsi="宋体"/>
                <w:sz w:val="18"/>
                <w:szCs w:val="21"/>
              </w:rPr>
            </w:pPr>
            <w:r>
              <w:rPr>
                <w:rFonts w:hint="eastAsia" w:ascii="宋体" w:hAnsi="宋体"/>
                <w:sz w:val="18"/>
                <w:szCs w:val="21"/>
              </w:rPr>
              <w:t xml:space="preserve">1、支持考核确认结果多渠道（邮件、短信）通知老师；老师可以通过移动端进行确认；系统界面提示滚动条；</w:t>
            </w:r>
            <w:r/>
          </w:p>
          <w:p>
            <w:pPr>
              <w:ind w:left="0"/>
              <w:jc w:val="left"/>
              <w:spacing w:line="400" w:lineRule="exact"/>
              <w:widowControl w:val="off"/>
              <w:rPr>
                <w:rFonts w:ascii="宋体" w:hAnsi="宋体"/>
                <w:sz w:val="18"/>
                <w:szCs w:val="21"/>
              </w:rPr>
            </w:pPr>
            <w:r>
              <w:rPr>
                <w:rFonts w:hint="eastAsia" w:ascii="宋体" w:hAnsi="宋体"/>
                <w:sz w:val="18"/>
                <w:szCs w:val="21"/>
              </w:rPr>
              <w:t xml:space="preserve">2、支持考核确认页面，老师必须确认已知晓，不确认则无法进入系统，如果老师不做反馈，则系统直接默认老师已经确认结果。系统对所有操作需要做记录。</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W w:w="531" w:type="dxa"/>
            <w:vAlign w:val="center"/>
            <w:textDirection w:val="lrTb"/>
            <w:noWrap w:val="false"/>
          </w:tcPr>
          <w:p>
            <w:pPr>
              <w:ind w:left="0"/>
              <w:jc w:val="center"/>
              <w:spacing w:line="360" w:lineRule="auto"/>
              <w:widowControl w:val="off"/>
              <w:rPr>
                <w:b/>
                <w:sz w:val="18"/>
                <w:szCs w:val="21"/>
              </w:rPr>
            </w:pPr>
            <w:r>
              <w:rPr>
                <w:b/>
                <w:sz w:val="18"/>
                <w:szCs w:val="21"/>
              </w:rPr>
              <w:t xml:space="preserve">7</w:t>
            </w:r>
            <w:r/>
          </w:p>
        </w:tc>
        <w:tc>
          <w:tcPr>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科研数据汇编</w:t>
            </w:r>
            <w:r/>
          </w:p>
        </w:tc>
        <w:tc>
          <w:tcPr>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实现科研数据跨表/跨模块聚合、查询、筛选和汇编，快速生成各类科研基础数据报表，服务于学校各类科研数据统计分析需求。</w:t>
            </w:r>
            <w:r/>
          </w:p>
          <w:p>
            <w:pPr>
              <w:ind w:left="0"/>
              <w:jc w:val="left"/>
              <w:spacing w:line="400" w:lineRule="exact"/>
              <w:widowControl w:val="off"/>
              <w:rPr>
                <w:rFonts w:ascii="宋体" w:hAnsi="宋体"/>
                <w:sz w:val="18"/>
                <w:szCs w:val="21"/>
              </w:rPr>
            </w:pPr>
            <w:r>
              <w:rPr>
                <w:rFonts w:hint="eastAsia" w:ascii="宋体" w:hAnsi="宋体"/>
                <w:sz w:val="18"/>
                <w:szCs w:val="21"/>
              </w:rPr>
              <w:t xml:space="preserve">科研数据汇编：自定义科研数据汇编表，支持跨表/跨模块（科研单位、人员、项目、经费、成果以及机构等）科研数据汇编、筛选和排序，支持数汇表子集内容多行多列合并展现，支持数汇表保存、导出（Excel或者PDF），支持已有数汇表快捷检索。</w:t>
            </w:r>
            <w:r/>
          </w:p>
          <w:p>
            <w:pPr>
              <w:ind w:left="0"/>
              <w:jc w:val="left"/>
              <w:spacing w:line="400" w:lineRule="exact"/>
              <w:widowControl w:val="off"/>
              <w:rPr>
                <w:rFonts w:ascii="宋体" w:hAnsi="宋体"/>
                <w:sz w:val="18"/>
                <w:szCs w:val="21"/>
              </w:rPr>
            </w:pPr>
            <w:r>
              <w:rPr>
                <w:rFonts w:hint="eastAsia" w:ascii="宋体" w:hAnsi="宋体"/>
                <w:sz w:val="18"/>
                <w:szCs w:val="21"/>
              </w:rPr>
              <w:t xml:space="preserve">数据分享：可创建数汇表分享链接，支持跨系统查看数汇表结果，支持页面嵌入方式展示。可添加到数字化校园等其他系统，作为数据表入口，或者直接分享给个人。</w:t>
            </w:r>
            <w:r/>
          </w:p>
        </w:tc>
        <w:tc>
          <w:tcPr>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8</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科研画像分析</w:t>
            </w:r>
            <w:r/>
          </w:p>
          <w:p>
            <w:pPr>
              <w:ind w:left="0"/>
              <w:jc w:val="center"/>
              <w:spacing w:line="360" w:lineRule="auto"/>
              <w:widowControl w:val="off"/>
              <w:rPr>
                <w:b/>
                <w:sz w:val="18"/>
                <w:szCs w:val="21"/>
              </w:rPr>
            </w:pPr>
            <w:r>
              <w:rPr>
                <w:b/>
                <w:sz w:val="18"/>
                <w:szCs w:val="21"/>
              </w:rPr>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提供教师/团队/平台/学院科研数据多维度画像分析，支撑科研评价。支持人事招聘系统中关于老师个人全量数据通过数据中台对接。</w:t>
            </w:r>
            <w:r/>
          </w:p>
          <w:p>
            <w:pPr>
              <w:ind w:left="0"/>
              <w:jc w:val="left"/>
              <w:spacing w:line="400" w:lineRule="exact"/>
              <w:widowControl w:val="off"/>
              <w:rPr>
                <w:rFonts w:ascii="宋体" w:hAnsi="宋体"/>
                <w:sz w:val="18"/>
                <w:szCs w:val="21"/>
              </w:rPr>
            </w:pPr>
            <w:r>
              <w:rPr>
                <w:rFonts w:hint="eastAsia" w:ascii="宋体" w:hAnsi="宋体"/>
                <w:sz w:val="18"/>
                <w:szCs w:val="21"/>
              </w:rPr>
              <w:t xml:space="preserve">科研画像包括以下维度：</w:t>
            </w:r>
            <w:r/>
          </w:p>
          <w:p>
            <w:pPr>
              <w:ind w:left="0"/>
              <w:jc w:val="left"/>
              <w:spacing w:line="400" w:lineRule="exact"/>
              <w:widowControl w:val="off"/>
              <w:rPr>
                <w:rFonts w:ascii="宋体" w:hAnsi="宋体"/>
                <w:sz w:val="18"/>
                <w:szCs w:val="21"/>
              </w:rPr>
            </w:pPr>
            <w:r>
              <w:rPr>
                <w:rFonts w:hint="eastAsia" w:ascii="宋体" w:hAnsi="宋体"/>
                <w:sz w:val="18"/>
                <w:szCs w:val="21"/>
              </w:rPr>
              <w:t xml:space="preserve">科研概况：提供教师/团队/平台/学院等不同维度数据展示，如教师职称、学位、毕业院校、专业等基本信息，项目总数、经费总额、发表论文、成果获奖、发明专利、软件著作权等统计信息。</w:t>
            </w:r>
            <w:r/>
          </w:p>
          <w:p>
            <w:pPr>
              <w:ind w:left="0"/>
              <w:jc w:val="left"/>
              <w:spacing w:line="400" w:lineRule="exact"/>
              <w:widowControl w:val="off"/>
              <w:rPr>
                <w:rFonts w:ascii="宋体" w:hAnsi="宋体"/>
                <w:sz w:val="18"/>
                <w:szCs w:val="21"/>
              </w:rPr>
            </w:pPr>
            <w:r>
              <w:rPr>
                <w:rFonts w:hint="eastAsia" w:ascii="宋体" w:hAnsi="宋体"/>
                <w:sz w:val="18"/>
                <w:szCs w:val="21"/>
              </w:rPr>
              <w:t xml:space="preserve">项目画像：提供教师/团队/平台/学院等不同维度项目年度分析，经费年度分析，项目分类比例分析，承担经费来源分类分析，项目承担占比分析，经费承担占比分析，个人承担经费能力分析，个人承担经费能力分析，项目来源分析，经费来源单位来源分析，单位合作关系分析（与其他单位项目合作情况），人员合作关系分析（与他人项目合作的情况），合作单位地区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论文画像：提供教师/团队/平台/学院等不同维度论文发表趋势分析，论文学科分析，第一作者发文分析，论文主要发表期刊分析，论文学术合作分析。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专利画像：提供教师/团队/平台/学院等不同维度专利申请年度趋势，专利权状态分析，专利类型分析，专利合作分析（与他人专利合作的情况）。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获奖情况画像：提供教师/团队/平台/学院等不同维度获奖分类分析，获奖年度趋势分析，获奖等级分析，获奖合作类型分析。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其他成果画像：提供教师/团队/平台/学院等不同维度著作权类型及出版趋势分析，研究报告发表年度及采纳分析。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合作关系画像：提供教师/团队/平台/学院等不同维度与其他单位科研合作关系，与其他人员科研合作关系。通过可视化的方式展示科研人员的科研情况。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提供教师/团队/学院科研数据多维度画像分析，支撑科研评价。支持人事招聘系统中关</w:t>
            </w:r>
            <w:r>
              <w:rPr>
                <w:rFonts w:hint="eastAsia" w:ascii="宋体" w:hAnsi="宋体"/>
                <w:sz w:val="18"/>
                <w:szCs w:val="21"/>
              </w:rPr>
              <w:t xml:space="preserve">于老师个人全量数据通过数据中台对接。</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9</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科研数据驾驶舱</w:t>
            </w:r>
            <w:r/>
          </w:p>
          <w:p>
            <w:pPr>
              <w:ind w:left="0"/>
              <w:jc w:val="center"/>
              <w:spacing w:line="360" w:lineRule="auto"/>
              <w:widowControl w:val="off"/>
              <w:rPr>
                <w:b/>
                <w:sz w:val="18"/>
                <w:szCs w:val="21"/>
              </w:rPr>
            </w:pPr>
            <w:r>
              <w:rPr>
                <w:b/>
                <w:sz w:val="18"/>
                <w:szCs w:val="21"/>
              </w:rPr>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1、教师数据统计分析：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个人科研数据汇总统计分析；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个人项目、外拨协、论文、专利、软著、获奖、专著等数据分项汇总分析；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当年或者累计年度学院或学校整体排名情况；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个人项目数年度分布情况；历年承担项目类型分布情况；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与本校教师项目合作（经费分出）排名情况；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在研项目经费执行进度情况；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专利、软著、获奖的年度分布情况；</w:t>
            </w:r>
            <w:r/>
          </w:p>
          <w:p>
            <w:pPr>
              <w:ind w:left="0"/>
              <w:jc w:val="left"/>
              <w:spacing w:line="400" w:lineRule="exact"/>
              <w:widowControl w:val="off"/>
              <w:rPr>
                <w:rFonts w:ascii="宋体" w:hAnsi="宋体"/>
                <w:spacing w:val="-6"/>
                <w:sz w:val="18"/>
                <w:szCs w:val="21"/>
              </w:rPr>
            </w:pPr>
            <w:r>
              <w:rPr>
                <w:rFonts w:hint="eastAsia" w:ascii="宋体" w:hAnsi="宋体"/>
                <w:spacing w:val="-6"/>
                <w:sz w:val="18"/>
                <w:szCs w:val="21"/>
              </w:rPr>
              <w:t xml:space="preserve">个人科研数据自定义查询、导出；满足各类统计报表需求，如科研成果统计、科研考核等。</w:t>
            </w:r>
            <w:r/>
          </w:p>
          <w:p>
            <w:pPr>
              <w:ind w:left="0"/>
              <w:jc w:val="left"/>
              <w:spacing w:line="400" w:lineRule="exact"/>
              <w:widowControl w:val="off"/>
              <w:rPr>
                <w:rFonts w:ascii="宋体" w:hAnsi="宋体"/>
                <w:sz w:val="18"/>
                <w:szCs w:val="21"/>
              </w:rPr>
            </w:pPr>
            <w:r>
              <w:rPr>
                <w:rFonts w:hint="eastAsia" w:ascii="宋体" w:hAnsi="宋体"/>
                <w:sz w:val="18"/>
                <w:szCs w:val="21"/>
              </w:rPr>
              <w:t xml:space="preserve">2、学院数据统计分析：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学院/平台科研数据汇总计分析；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学院/平台项目、外拨协、论文、专利、软著、获奖、专著等数据分项汇总分析；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当年或者累计年度/学院/平台排名情况；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学院/平台项目数年度分布情况；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学院/平台历年承担项目类型分布情况；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学院/平台合作（经费分出）排名情况；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学院/平台在研项目经费执行进度情况；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学院/平台专利、软著、获奖、专著的年度分布情况等。</w:t>
            </w:r>
            <w:r/>
          </w:p>
          <w:p>
            <w:pPr>
              <w:ind w:left="0"/>
              <w:jc w:val="left"/>
              <w:spacing w:line="400" w:lineRule="exact"/>
              <w:widowControl w:val="off"/>
              <w:rPr>
                <w:rFonts w:ascii="宋体" w:hAnsi="宋体"/>
                <w:sz w:val="18"/>
                <w:szCs w:val="21"/>
              </w:rPr>
            </w:pPr>
            <w:r>
              <w:rPr>
                <w:rFonts w:hint="eastAsia" w:ascii="宋体" w:hAnsi="宋体"/>
                <w:sz w:val="18"/>
                <w:szCs w:val="21"/>
              </w:rPr>
              <w:t xml:space="preserve">3、校级数据统计分析：</w:t>
            </w:r>
            <w:r/>
          </w:p>
          <w:p>
            <w:pPr>
              <w:ind w:left="0"/>
              <w:jc w:val="left"/>
              <w:spacing w:line="400" w:lineRule="exact"/>
              <w:widowControl w:val="off"/>
              <w:rPr>
                <w:rFonts w:ascii="宋体" w:hAnsi="宋体"/>
                <w:sz w:val="18"/>
                <w:szCs w:val="21"/>
              </w:rPr>
            </w:pPr>
            <w:r>
              <w:rPr>
                <w:rFonts w:hint="eastAsia" w:ascii="宋体" w:hAnsi="宋体"/>
                <w:sz w:val="18"/>
                <w:szCs w:val="21"/>
              </w:rPr>
              <w:t xml:space="preserve">提供全校科研整体态势分析和图形报表，满足各类统计报表需求。</w:t>
            </w:r>
            <w:r/>
          </w:p>
          <w:p>
            <w:pPr>
              <w:ind w:left="0"/>
              <w:jc w:val="left"/>
              <w:spacing w:line="400" w:lineRule="exact"/>
              <w:widowControl w:val="off"/>
              <w:rPr>
                <w:rFonts w:ascii="宋体" w:hAnsi="宋体"/>
                <w:sz w:val="18"/>
                <w:szCs w:val="21"/>
              </w:rPr>
            </w:pPr>
            <w:r>
              <w:rPr>
                <w:rFonts w:hint="eastAsia" w:ascii="宋体" w:hAnsi="宋体"/>
                <w:sz w:val="18"/>
                <w:szCs w:val="21"/>
              </w:rPr>
              <w:t xml:space="preserve">各渠道、各业务部、各学院科研情况对比、多维度数据分析，例如项目立项、到款、衍生成果等数据分析。并定期向相关领导推送统计报表。</w:t>
            </w:r>
            <w:r/>
          </w:p>
          <w:p>
            <w:pPr>
              <w:ind w:left="0"/>
              <w:jc w:val="left"/>
              <w:spacing w:line="400" w:lineRule="exact"/>
              <w:widowControl w:val="off"/>
              <w:rPr>
                <w:rFonts w:ascii="宋体" w:hAnsi="宋体"/>
                <w:sz w:val="18"/>
                <w:szCs w:val="21"/>
              </w:rPr>
            </w:pPr>
            <w:r>
              <w:rPr>
                <w:rFonts w:hint="eastAsia" w:ascii="宋体" w:hAnsi="宋体"/>
                <w:sz w:val="18"/>
                <w:szCs w:val="21"/>
              </w:rPr>
              <w:t xml:space="preserve">4、科研展示：</w:t>
            </w:r>
            <w:r/>
          </w:p>
          <w:p>
            <w:pPr>
              <w:ind w:left="0"/>
              <w:jc w:val="left"/>
              <w:spacing w:line="400" w:lineRule="exact"/>
              <w:widowControl w:val="off"/>
              <w:rPr>
                <w:rFonts w:ascii="宋体" w:hAnsi="宋体"/>
                <w:sz w:val="18"/>
                <w:szCs w:val="21"/>
              </w:rPr>
            </w:pPr>
            <w:r>
              <w:rPr>
                <w:rFonts w:hint="eastAsia" w:ascii="宋体" w:hAnsi="宋体"/>
                <w:sz w:val="18"/>
                <w:szCs w:val="21"/>
              </w:rPr>
              <w:t xml:space="preserve">提供科研展示页面，全校科研数据一张图。</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rPr>
                <w:b/>
                <w:sz w:val="18"/>
                <w:szCs w:val="21"/>
              </w:rPr>
              <w:t xml:space="preserve">0</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AI</w:t>
            </w:r>
            <w:r>
              <w:rPr>
                <w:rFonts w:hint="eastAsia"/>
                <w:b/>
                <w:sz w:val="18"/>
                <w:szCs w:val="21"/>
              </w:rPr>
              <w:t xml:space="preserve">数据填报</w:t>
            </w:r>
            <w:r/>
          </w:p>
          <w:p>
            <w:pPr>
              <w:ind w:left="0"/>
              <w:jc w:val="center"/>
              <w:spacing w:line="360" w:lineRule="auto"/>
              <w:widowControl w:val="off"/>
              <w:rPr>
                <w:b/>
                <w:sz w:val="18"/>
                <w:szCs w:val="21"/>
              </w:rPr>
            </w:pPr>
            <w:r>
              <w:rPr>
                <w:b/>
                <w:sz w:val="18"/>
                <w:szCs w:val="21"/>
              </w:rPr>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基于大模型科研语义理解能力和多模态能力，从科研业务支撑文档（Word或者PDF文件）、图片等材料中智能提取科研业务申请表单所需信息，实现业务信息智能登记，通过AI辅助完成业务申请。</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对纵向项目立项书/任务书、横向合同文本、校级项目立项书自动解析和关键业务属性提取，包含项目基本信息、成员信息、预算信息、合作单位信息等，实现提取业务属性的系统内自动填充，用户可对填充结果进行修改、补充和确认。针对国家自然科学基金、重点研发计划、国家哲学社会科学基金项目、教育部人文社科项目等纵向项目类别，以及使用学校合同模版的横向合同，进行专项提取优化，提升数据提取准确率。</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支持对论文期刊原文、著作权页、专利证书、软件著作权证书、获奖证书进行图片识别</w:t>
            </w:r>
            <w:r>
              <w:rPr>
                <w:rFonts w:hint="eastAsia" w:ascii="宋体" w:hAnsi="宋体"/>
                <w:sz w:val="18"/>
                <w:szCs w:val="21"/>
              </w:rPr>
              <w:t xml:space="preserve">（OCR），自动解析并提取关键业务属性信息。</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rPr>
                <w:b/>
                <w:sz w:val="18"/>
                <w:szCs w:val="21"/>
              </w:rPr>
              <w:t xml:space="preserve">1</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找项目智能体</w:t>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常用项目主管单位项目申报通知发布网址库管理和维护，包括单位名称、编号、适用范围、学科类别、网址等信息（支持纵向及横向项目）。</w:t>
            </w:r>
            <w:r/>
          </w:p>
          <w:p>
            <w:pPr>
              <w:ind w:left="0"/>
              <w:jc w:val="left"/>
              <w:spacing w:line="400" w:lineRule="exact"/>
              <w:widowControl w:val="off"/>
              <w:rPr>
                <w:rFonts w:ascii="宋体" w:hAnsi="宋体"/>
                <w:sz w:val="18"/>
                <w:szCs w:val="21"/>
              </w:rPr>
            </w:pPr>
            <w:r>
              <w:rPr>
                <w:rFonts w:hint="eastAsia" w:ascii="宋体" w:hAnsi="宋体"/>
                <w:sz w:val="18"/>
                <w:szCs w:val="21"/>
              </w:rPr>
              <w:t xml:space="preserve">系统可动态采集学校所关注单位发布的项目申报指南信息，并基于大语言模型，对采集的项目申报资讯数据进行智能分析，提取关键信息，并进行AI解读，所有信息自动存储入库。</w:t>
            </w:r>
            <w:r/>
          </w:p>
          <w:p>
            <w:pPr>
              <w:ind w:left="0"/>
              <w:jc w:val="left"/>
              <w:spacing w:line="400" w:lineRule="exact"/>
              <w:widowControl w:val="off"/>
              <w:rPr>
                <w:rFonts w:ascii="宋体" w:hAnsi="宋体"/>
                <w:sz w:val="18"/>
                <w:szCs w:val="21"/>
              </w:rPr>
            </w:pPr>
            <w:r>
              <w:rPr>
                <w:rFonts w:hint="eastAsia" w:ascii="宋体" w:hAnsi="宋体"/>
                <w:sz w:val="18"/>
                <w:szCs w:val="21"/>
              </w:rPr>
              <w:t xml:space="preserve">对科研人员数据进行分析，包括人员所在地区、年龄、学科、承担项目以及发表成果等情况。</w:t>
            </w:r>
            <w:r/>
          </w:p>
          <w:p>
            <w:pPr>
              <w:ind w:left="0"/>
              <w:jc w:val="left"/>
              <w:spacing w:line="400" w:lineRule="exact"/>
              <w:widowControl w:val="off"/>
              <w:rPr>
                <w:rFonts w:ascii="宋体" w:hAnsi="宋体"/>
                <w:sz w:val="18"/>
                <w:szCs w:val="21"/>
              </w:rPr>
            </w:pPr>
            <w:r>
              <w:rPr>
                <w:rFonts w:hint="eastAsia" w:ascii="宋体" w:hAnsi="宋体"/>
                <w:sz w:val="18"/>
                <w:szCs w:val="21"/>
              </w:rPr>
              <w:t xml:space="preserve">基于大语言模型，动态匹配项目申报资讯数据和科研人员数据，向科研人员推送匹配上的最新项目申报资讯数据。</w:t>
            </w:r>
            <w:r/>
          </w:p>
          <w:p>
            <w:pPr>
              <w:ind w:left="0"/>
              <w:jc w:val="left"/>
              <w:spacing w:line="400" w:lineRule="exact"/>
              <w:widowControl w:val="off"/>
              <w:rPr>
                <w:rFonts w:ascii="宋体" w:hAnsi="宋体"/>
                <w:sz w:val="18"/>
                <w:szCs w:val="21"/>
              </w:rPr>
            </w:pPr>
            <w:r>
              <w:rPr>
                <w:rFonts w:hint="eastAsia" w:ascii="宋体" w:hAnsi="宋体"/>
                <w:sz w:val="18"/>
                <w:szCs w:val="21"/>
              </w:rPr>
              <w:t xml:space="preserve">科研人员登录系统后，可查看相应的推荐数据。</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rPr>
                <w:b/>
                <w:sz w:val="18"/>
                <w:szCs w:val="21"/>
              </w:rPr>
              <w:t xml:space="preserve">2</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科研平台管理</w:t>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1、机构申报管理：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管理员创建申报计划，包括申报计划名称，时间，申报书模板、申请指南等；科研人员在线进行申报上传申报材料，院系两级审核。系统支持无评审项目直接立项，有评审需求的项目转至学术委员会进行评审。</w:t>
            </w:r>
            <w:r/>
          </w:p>
          <w:p>
            <w:pPr>
              <w:ind w:left="0"/>
              <w:jc w:val="left"/>
              <w:spacing w:line="400" w:lineRule="exact"/>
              <w:widowControl w:val="off"/>
              <w:rPr>
                <w:rFonts w:ascii="宋体" w:hAnsi="宋体"/>
                <w:sz w:val="18"/>
                <w:szCs w:val="21"/>
              </w:rPr>
            </w:pPr>
            <w:r>
              <w:rPr>
                <w:rFonts w:hint="eastAsia" w:ascii="宋体" w:hAnsi="宋体"/>
                <w:sz w:val="18"/>
                <w:szCs w:val="21"/>
              </w:rPr>
              <w:t xml:space="preserve">申报时列入成员信息。</w:t>
            </w:r>
            <w:r/>
          </w:p>
          <w:p>
            <w:pPr>
              <w:ind w:left="0"/>
              <w:jc w:val="left"/>
              <w:spacing w:line="400" w:lineRule="exact"/>
              <w:widowControl w:val="off"/>
              <w:rPr>
                <w:rFonts w:ascii="宋体" w:hAnsi="宋体"/>
                <w:sz w:val="18"/>
                <w:szCs w:val="21"/>
              </w:rPr>
            </w:pPr>
            <w:r>
              <w:rPr>
                <w:rFonts w:hint="eastAsia" w:ascii="宋体" w:hAnsi="宋体"/>
                <w:sz w:val="18"/>
                <w:szCs w:val="21"/>
              </w:rPr>
              <w:t xml:space="preserve">2、科研机构综合管理：</w:t>
            </w:r>
            <w:r/>
          </w:p>
          <w:p>
            <w:pPr>
              <w:ind w:left="0"/>
              <w:jc w:val="left"/>
              <w:spacing w:line="400" w:lineRule="exact"/>
              <w:widowControl w:val="off"/>
              <w:rPr>
                <w:rFonts w:ascii="宋体" w:hAnsi="宋体"/>
                <w:sz w:val="18"/>
                <w:szCs w:val="21"/>
              </w:rPr>
            </w:pPr>
            <w:r>
              <w:rPr>
                <w:rFonts w:hint="eastAsia" w:ascii="宋体" w:hAnsi="宋体"/>
                <w:sz w:val="18"/>
                <w:szCs w:val="21"/>
              </w:rPr>
              <w:t xml:space="preserve">集成人员、项目、成果、获奖等信息管理，提供机构简介、规章制度查询。系统支持仪器设备登记、开放交流活动记录，以及平台年报和预算编制。实现机构经费和统计信息的跟踪管理功能。系统还包括机构文档管理、衍生成果记录，确保机构信息的全面性和准确性。主要需要实现主要人员、项目、成果、获奖等信息关联以及跟踪管理功能。</w:t>
            </w:r>
            <w:r/>
          </w:p>
          <w:p>
            <w:pPr>
              <w:ind w:left="0"/>
              <w:jc w:val="left"/>
              <w:spacing w:line="400" w:lineRule="exact"/>
              <w:widowControl w:val="off"/>
              <w:rPr>
                <w:rFonts w:ascii="宋体" w:hAnsi="宋体"/>
                <w:sz w:val="18"/>
                <w:szCs w:val="21"/>
              </w:rPr>
            </w:pPr>
            <w:r>
              <w:rPr>
                <w:rFonts w:hint="eastAsia" w:ascii="宋体" w:hAnsi="宋体"/>
                <w:sz w:val="18"/>
                <w:szCs w:val="21"/>
              </w:rPr>
              <w:t xml:space="preserve">3、科研机构考核：</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管理员根据学校平台考核办法设定管理办法，抓取成员成果，单独赋分，与其他成果的赋分规则不同，负责设定考核单位，考核单位的秘书或负责人在系统中填写中期考核指标。一旦指标录入完毕，管理员进行审核，确保考核内容的准确性和完整性。审核通过后，系统支持打印评估简表和详表，同时能够导出项目、成果等一览表，便于考核结果的记录和存档。</w:t>
            </w:r>
            <w:r/>
          </w:p>
          <w:p>
            <w:pPr>
              <w:ind w:left="0"/>
              <w:jc w:val="left"/>
              <w:spacing w:line="400" w:lineRule="exact"/>
              <w:widowControl w:val="off"/>
              <w:rPr>
                <w:rFonts w:ascii="宋体" w:hAnsi="宋体"/>
                <w:sz w:val="18"/>
                <w:szCs w:val="21"/>
              </w:rPr>
            </w:pPr>
            <w:r>
              <w:rPr>
                <w:rFonts w:hint="eastAsia" w:ascii="宋体" w:hAnsi="宋体"/>
                <w:sz w:val="18"/>
                <w:szCs w:val="21"/>
              </w:rPr>
              <w:t xml:space="preserve">支持科教融汇成果手工录入。</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r/>
          </w:p>
        </w:tc>
      </w:tr>
      <w:tr>
        <w:trPr/>
        <w:tc>
          <w:tcPr>
            <w:tcBorders>
              <w:bottom w:val="single" w:color="auto" w:sz="4" w:space="0"/>
            </w:tcBorders>
            <w:tcW w:w="531"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rPr>
                <w:b/>
                <w:sz w:val="18"/>
                <w:szCs w:val="21"/>
              </w:rPr>
              <w:t xml:space="preserve">3</w:t>
            </w:r>
            <w:r/>
          </w:p>
        </w:tc>
        <w:tc>
          <w:tcPr>
            <w:tcBorders>
              <w:bottom w:val="single" w:color="auto" w:sz="4" w:space="0"/>
            </w:tcBorders>
            <w:tcW w:w="740"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移动科研服务</w:t>
            </w:r>
            <w:r/>
          </w:p>
        </w:tc>
        <w:tc>
          <w:tcPr>
            <w:tcBorders>
              <w:bottom w:val="single" w:color="auto" w:sz="4" w:space="0"/>
            </w:tcBorders>
            <w:tcW w:w="7088" w:type="dxa"/>
            <w:vAlign w:val="center"/>
            <w:textDirection w:val="lrTb"/>
            <w:noWrap w:val="false"/>
          </w:tcPr>
          <w:p>
            <w:pPr>
              <w:ind w:left="0"/>
              <w:jc w:val="left"/>
              <w:spacing w:line="400" w:lineRule="exact"/>
              <w:widowControl w:val="off"/>
              <w:rPr>
                <w:rFonts w:ascii="宋体" w:hAnsi="宋体"/>
                <w:sz w:val="18"/>
                <w:szCs w:val="21"/>
              </w:rPr>
            </w:pPr>
            <w:r>
              <w:rPr>
                <w:rFonts w:hint="eastAsia" w:ascii="宋体" w:hAnsi="宋体"/>
                <w:sz w:val="18"/>
                <w:szCs w:val="21"/>
              </w:rPr>
              <w:t xml:space="preserve">通过与学校移动端应用环境整合升级，可以通过移动端获取各类科研项目、项目经费、到账经费、论文等各类科研成果等信息；并接收科研相关通知公告、预警提醒等消息。包括：</w:t>
            </w:r>
            <w:r/>
          </w:p>
          <w:p>
            <w:pPr>
              <w:ind w:left="0"/>
              <w:jc w:val="left"/>
              <w:spacing w:line="400" w:lineRule="exact"/>
              <w:widowControl w:val="off"/>
              <w:rPr>
                <w:rFonts w:ascii="宋体" w:hAnsi="宋体"/>
                <w:sz w:val="18"/>
                <w:szCs w:val="21"/>
              </w:rPr>
            </w:pPr>
            <w:r>
              <w:rPr>
                <w:rFonts w:hint="eastAsia" w:ascii="宋体" w:hAnsi="宋体"/>
                <w:sz w:val="18"/>
                <w:szCs w:val="21"/>
              </w:rPr>
              <w:t xml:space="preserve">1、首页：支持个人待办事务处理、通知公告信息接收和浏览。</w:t>
            </w:r>
            <w:r/>
          </w:p>
          <w:p>
            <w:pPr>
              <w:ind w:left="0"/>
              <w:jc w:val="left"/>
              <w:spacing w:line="400" w:lineRule="exact"/>
              <w:widowControl w:val="off"/>
              <w:rPr>
                <w:rFonts w:ascii="宋体" w:hAnsi="宋体"/>
                <w:sz w:val="18"/>
                <w:szCs w:val="21"/>
              </w:rPr>
            </w:pPr>
            <w:r>
              <w:rPr>
                <w:rFonts w:hint="eastAsia" w:ascii="宋体" w:hAnsi="宋体"/>
                <w:sz w:val="18"/>
                <w:szCs w:val="21"/>
              </w:rPr>
              <w:t xml:space="preserve">2、科研项目管理：</w:t>
            </w:r>
            <w:r/>
          </w:p>
          <w:p>
            <w:pPr>
              <w:ind w:left="0"/>
              <w:jc w:val="left"/>
              <w:spacing w:line="400" w:lineRule="exact"/>
              <w:widowControl w:val="off"/>
              <w:rPr>
                <w:rFonts w:ascii="宋体" w:hAnsi="宋体"/>
                <w:spacing w:val="-11"/>
                <w:sz w:val="18"/>
                <w:szCs w:val="21"/>
              </w:rPr>
            </w:pPr>
            <w:r>
              <w:rPr>
                <w:rFonts w:hint="eastAsia" w:ascii="宋体" w:hAnsi="宋体"/>
                <w:spacing w:val="-11"/>
                <w:sz w:val="18"/>
                <w:szCs w:val="21"/>
              </w:rPr>
              <w:t xml:space="preserve">项目申报：支持各部门和科研处等审核操作。支持个人浏览申报材料、查询审批状态。</w:t>
            </w:r>
            <w:r/>
          </w:p>
          <w:p>
            <w:pPr>
              <w:ind w:left="0"/>
              <w:jc w:val="left"/>
              <w:spacing w:line="400" w:lineRule="exact"/>
              <w:widowControl w:val="off"/>
              <w:rPr>
                <w:rFonts w:ascii="宋体" w:hAnsi="宋体"/>
                <w:spacing w:val="-11"/>
                <w:sz w:val="18"/>
                <w:szCs w:val="21"/>
              </w:rPr>
            </w:pPr>
            <w:r>
              <w:rPr>
                <w:rFonts w:hint="eastAsia" w:ascii="宋体" w:hAnsi="宋体"/>
                <w:spacing w:val="-11"/>
                <w:sz w:val="18"/>
                <w:szCs w:val="21"/>
              </w:rPr>
              <w:t xml:space="preserve">纵向项目、横向项目、校级项目：支持项目课题信息浏览和提醒信息接收。支持管理人员审核。</w:t>
            </w:r>
            <w:r/>
          </w:p>
          <w:p>
            <w:pPr>
              <w:ind w:left="0"/>
              <w:jc w:val="left"/>
              <w:spacing w:line="400" w:lineRule="exact"/>
              <w:widowControl w:val="off"/>
              <w:rPr>
                <w:rFonts w:ascii="宋体" w:hAnsi="宋体"/>
                <w:spacing w:val="-11"/>
                <w:sz w:val="18"/>
                <w:szCs w:val="21"/>
              </w:rPr>
            </w:pPr>
            <w:r>
              <w:rPr>
                <w:rFonts w:hint="eastAsia" w:ascii="宋体" w:hAnsi="宋体"/>
                <w:spacing w:val="-11"/>
                <w:sz w:val="18"/>
                <w:szCs w:val="21"/>
              </w:rPr>
              <w:t xml:space="preserve">3、经费管理：支持个人业务审批和提醒信息接收（到账、外拨），支持个人经费信息浏览。</w:t>
            </w:r>
            <w:r/>
          </w:p>
          <w:p>
            <w:pPr>
              <w:ind w:left="0"/>
              <w:jc w:val="left"/>
              <w:spacing w:line="400" w:lineRule="exact"/>
              <w:widowControl w:val="off"/>
              <w:rPr>
                <w:rFonts w:ascii="宋体" w:hAnsi="宋体"/>
                <w:spacing w:val="-11"/>
                <w:sz w:val="18"/>
                <w:szCs w:val="21"/>
              </w:rPr>
            </w:pPr>
            <w:r>
              <w:rPr>
                <w:rFonts w:hint="eastAsia" w:ascii="宋体" w:hAnsi="宋体"/>
                <w:spacing w:val="-11"/>
                <w:sz w:val="18"/>
                <w:szCs w:val="21"/>
              </w:rPr>
              <w:t xml:space="preserve">4、成果管理：支持个人成果和合作成果信息浏览，审批信息接收。支持管理人员审批。</w:t>
            </w:r>
            <w:r/>
          </w:p>
          <w:p>
            <w:pPr>
              <w:ind w:left="0"/>
              <w:jc w:val="left"/>
              <w:spacing w:line="400" w:lineRule="exact"/>
              <w:widowControl w:val="off"/>
              <w:rPr>
                <w:rFonts w:ascii="宋体" w:hAnsi="宋体"/>
                <w:sz w:val="18"/>
                <w:szCs w:val="21"/>
              </w:rPr>
            </w:pPr>
            <w:r>
              <w:rPr>
                <w:rFonts w:hint="eastAsia" w:ascii="宋体" w:hAnsi="宋体"/>
                <w:sz w:val="18"/>
                <w:szCs w:val="21"/>
              </w:rPr>
              <w:t xml:space="preserve">5、绩效管理：支持个人绩效考核和奖励信息接收和浏览。</w:t>
            </w:r>
            <w:r/>
          </w:p>
          <w:p>
            <w:pPr>
              <w:ind w:left="0"/>
              <w:jc w:val="left"/>
              <w:spacing w:line="400" w:lineRule="exact"/>
              <w:widowControl w:val="off"/>
              <w:rPr>
                <w:rFonts w:ascii="宋体" w:hAnsi="宋体"/>
                <w:sz w:val="18"/>
                <w:szCs w:val="21"/>
              </w:rPr>
            </w:pPr>
            <w:r>
              <w:rPr>
                <w:rFonts w:hint="eastAsia" w:ascii="宋体" w:hAnsi="宋体"/>
                <w:sz w:val="18"/>
                <w:szCs w:val="21"/>
              </w:rPr>
              <w:t xml:space="preserve">6、科研统计：支持移动端浏览。</w:t>
            </w:r>
            <w:r/>
          </w:p>
          <w:p>
            <w:pPr>
              <w:ind w:left="0"/>
              <w:jc w:val="left"/>
              <w:spacing w:line="400" w:lineRule="exact"/>
              <w:widowControl w:val="off"/>
              <w:rPr>
                <w:rFonts w:ascii="宋体" w:hAnsi="宋体"/>
                <w:sz w:val="18"/>
                <w:szCs w:val="21"/>
              </w:rPr>
            </w:pPr>
            <w:r>
              <w:rPr>
                <w:rFonts w:hint="eastAsia" w:ascii="宋体" w:hAnsi="宋体"/>
                <w:sz w:val="18"/>
                <w:szCs w:val="21"/>
              </w:rPr>
              <w:t xml:space="preserve">7、基础资源管理：支持个人信息浏览。</w:t>
            </w:r>
            <w:r/>
          </w:p>
        </w:tc>
        <w:tc>
          <w:tcPr>
            <w:tcBorders>
              <w:bottom w:val="single" w:color="auto" w:sz="4" w:space="0"/>
            </w:tcBorders>
            <w:tcW w:w="425"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1</w:t>
            </w:r>
            <w:r/>
          </w:p>
        </w:tc>
        <w:tc>
          <w:tcPr>
            <w:tcBorders>
              <w:bottom w:val="single" w:color="auto" w:sz="4" w:space="0"/>
            </w:tcBorders>
            <w:tcW w:w="709"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套</w:t>
            </w:r>
            <w:r/>
          </w:p>
        </w:tc>
        <w:tc>
          <w:tcPr>
            <w:tcW w:w="708" w:type="dxa"/>
            <w:vAlign w:val="center"/>
            <w:textDirection w:val="lrTb"/>
            <w:noWrap w:val="false"/>
          </w:tcPr>
          <w:p>
            <w:pPr>
              <w:ind w:left="0"/>
              <w:jc w:val="center"/>
              <w:spacing w:line="360" w:lineRule="auto"/>
              <w:widowControl w:val="off"/>
              <w:rPr>
                <w:b/>
                <w:sz w:val="18"/>
                <w:szCs w:val="21"/>
              </w:rPr>
            </w:pPr>
            <w:r>
              <w:rPr>
                <w:rFonts w:hint="eastAsia"/>
                <w:b/>
                <w:sz w:val="18"/>
                <w:szCs w:val="21"/>
              </w:rPr>
              <w:t xml:space="preserve">5</w:t>
            </w:r>
            <w:r>
              <w:rPr>
                <w:rFonts w:hint="eastAsia"/>
                <w:b/>
                <w:sz w:val="18"/>
                <w:szCs w:val="21"/>
              </w:rPr>
              <w:t xml:space="preserve">年</w:t>
            </w:r>
            <w:bookmarkEnd w:id="90"/>
            <w:r/>
            <w:r/>
          </w:p>
        </w:tc>
      </w:tr>
    </w:tbl>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hint="eastAsia" w:ascii="Times New Roman" w:hAnsi="Times New Roman"/>
          <w:b/>
          <w:sz w:val="21"/>
        </w:rPr>
        <w:t xml:space="preserve">、交付或者实施的时间和地点要求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交付时间：</w:t>
      </w:r>
      <w:r>
        <w:rPr>
          <w:rFonts w:hint="eastAsia" w:ascii="Times New Roman" w:hAnsi="Times New Roman"/>
          <w:sz w:val="21"/>
        </w:rPr>
        <w:t xml:space="preserve">合同签订后</w:t>
      </w:r>
      <w:r>
        <w:rPr>
          <w:rFonts w:hint="eastAsia" w:ascii="Times New Roman" w:hAnsi="Times New Roman"/>
          <w:sz w:val="21"/>
        </w:rPr>
        <w:t xml:space="preserve">60</w:t>
      </w:r>
      <w:r>
        <w:rPr>
          <w:rFonts w:hint="eastAsia" w:ascii="Times New Roman" w:hAnsi="Times New Roman"/>
          <w:sz w:val="21"/>
        </w:rPr>
        <w:t xml:space="preserve">天内</w:t>
      </w:r>
      <w:r>
        <w:rPr>
          <w:rFonts w:hint="eastAsia" w:ascii="Times New Roman" w:hAnsi="Times New Roman"/>
          <w:sz w:val="21"/>
        </w:rPr>
        <w:t xml:space="preserve">完成交付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交付地点：苏州职业技术大学指定地点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4</w:t>
      </w:r>
      <w:r>
        <w:rPr>
          <w:rFonts w:hint="eastAsia" w:ascii="Times New Roman" w:hAnsi="Times New Roman"/>
          <w:b/>
          <w:sz w:val="21"/>
        </w:rPr>
        <w:t xml:space="preserve">、需满足的服务标准、期限、效率等要求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）信创适配要求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系统全面支持信创国产化体系，以校内现有软硬件环境为首要适配标准，严格适配校方在用信创产品，不得使用非信创类组件。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学校现有国产化软硬件环境：</w:t>
      </w:r>
      <w:r>
        <w:rPr>
          <w:rFonts w:hint="eastAsia" w:ascii="Times New Roman" w:hAnsi="Times New Roman"/>
          <w:sz w:val="21"/>
        </w:rPr>
        <w:t xml:space="preserve">C86 </w:t>
      </w:r>
      <w:r>
        <w:rPr>
          <w:rFonts w:hint="eastAsia" w:ascii="Times New Roman" w:hAnsi="Times New Roman"/>
          <w:sz w:val="21"/>
        </w:rPr>
        <w:t xml:space="preserve">架构国产服务器、麒麟服务器操作系统</w:t>
      </w:r>
      <w:r>
        <w:rPr>
          <w:rFonts w:hint="eastAsia" w:ascii="Times New Roman" w:hAnsi="Times New Roman"/>
          <w:sz w:val="21"/>
        </w:rPr>
        <w:t xml:space="preserve"> KylinLinuxServerV10</w:t>
      </w:r>
      <w:r>
        <w:rPr>
          <w:rFonts w:hint="eastAsia" w:ascii="Times New Roman" w:hAnsi="Times New Roman"/>
          <w:sz w:val="21"/>
        </w:rPr>
        <w:t xml:space="preserve">、达梦数据库</w:t>
      </w:r>
      <w:r>
        <w:rPr>
          <w:rFonts w:hint="eastAsia" w:ascii="Times New Roman" w:hAnsi="Times New Roman"/>
          <w:sz w:val="21"/>
        </w:rPr>
        <w:t xml:space="preserve"> DM V8.1 </w:t>
      </w:r>
      <w:r>
        <w:rPr>
          <w:rFonts w:hint="eastAsia" w:ascii="Times New Roman" w:hAnsi="Times New Roman"/>
          <w:sz w:val="21"/>
        </w:rPr>
        <w:t xml:space="preserve">企业版、海量数据库</w:t>
      </w:r>
      <w:r>
        <w:rPr>
          <w:rFonts w:hint="eastAsia" w:ascii="Times New Roman" w:hAnsi="Times New Roman"/>
          <w:sz w:val="21"/>
        </w:rPr>
        <w:t xml:space="preserve"> G100 V2.2 </w:t>
      </w:r>
      <w:r>
        <w:rPr>
          <w:rFonts w:hint="eastAsia" w:ascii="Times New Roman" w:hAnsi="Times New Roman"/>
          <w:sz w:val="21"/>
        </w:rPr>
        <w:t xml:space="preserve">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应用中间件：适配</w:t>
      </w:r>
      <w:r>
        <w:rPr>
          <w:rFonts w:hint="eastAsia" w:ascii="Times New Roman" w:hAnsi="Times New Roman"/>
          <w:sz w:val="21"/>
        </w:rPr>
        <w:t xml:space="preserve">东方通</w:t>
      </w:r>
      <w:r>
        <w:rPr>
          <w:rFonts w:hint="eastAsia" w:ascii="Times New Roman" w:hAnsi="Times New Roman"/>
          <w:sz w:val="21"/>
        </w:rPr>
        <w:t xml:space="preserve"> Tong</w:t>
      </w:r>
      <w:r>
        <w:rPr>
          <w:rFonts w:hint="eastAsia" w:ascii="Times New Roman" w:hAnsi="Times New Roman"/>
          <w:sz w:val="21"/>
        </w:rPr>
        <w:t xml:space="preserve">、宝蓝德、金蝶</w:t>
      </w:r>
      <w:r>
        <w:rPr>
          <w:rFonts w:hint="eastAsia" w:ascii="Times New Roman" w:hAnsi="Times New Roman"/>
          <w:sz w:val="21"/>
        </w:rPr>
        <w:t xml:space="preserve">等主流国产应用中间件；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客户端：兼容国产浏览器及主流通用浏览器。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）校内系统对接要求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系统须与校内现有平台完成对接，包括：</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需满足校内统一身份认证，实现登录认证源的对接</w:t>
      </w:r>
      <w:r>
        <w:rPr>
          <w:rFonts w:hint="eastAsia" w:ascii="Times New Roman" w:hAnsi="Times New Roman"/>
          <w:sz w:val="21"/>
        </w:rPr>
        <w:t xml:space="preserve">/</w:t>
      </w:r>
      <w:r>
        <w:rPr>
          <w:rFonts w:hint="eastAsia" w:ascii="Times New Roman" w:hAnsi="Times New Roman"/>
          <w:sz w:val="21"/>
        </w:rPr>
        <w:t xml:space="preserve">单点登录集成。数据接口信息如下：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访问地址：</w:t>
      </w:r>
      <w:r>
        <w:rPr>
          <w:rFonts w:hint="eastAsia" w:ascii="Times New Roman" w:hAnsi="Times New Roman"/>
          <w:sz w:val="21"/>
        </w:rPr>
        <w:t xml:space="preserve">https://authserver.jsspu.edu.cn</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传输协议：</w:t>
      </w:r>
      <w:r>
        <w:rPr>
          <w:rFonts w:hint="eastAsia" w:ascii="Times New Roman" w:hAnsi="Times New Roman"/>
          <w:sz w:val="21"/>
        </w:rPr>
        <w:t xml:space="preserve">HTTPS</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接入认证标准：</w:t>
      </w:r>
      <w:r>
        <w:rPr>
          <w:rFonts w:hint="eastAsia" w:ascii="Times New Roman" w:hAnsi="Times New Roman"/>
          <w:sz w:val="21"/>
        </w:rPr>
        <w:t xml:space="preserve">CAS</w:t>
      </w:r>
      <w:r>
        <w:rPr>
          <w:rFonts w:hint="eastAsia" w:ascii="Times New Roman" w:hAnsi="Times New Roman"/>
          <w:sz w:val="21"/>
        </w:rPr>
        <w:t xml:space="preserve">、</w:t>
      </w:r>
      <w:r>
        <w:rPr>
          <w:rFonts w:hint="eastAsia" w:ascii="Times New Roman" w:hAnsi="Times New Roman"/>
          <w:sz w:val="21"/>
        </w:rPr>
        <w:t xml:space="preserve">OAuth</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数据返回格式：</w:t>
      </w:r>
      <w:r>
        <w:rPr>
          <w:rFonts w:hint="eastAsia" w:ascii="Times New Roman" w:hAnsi="Times New Roman"/>
          <w:sz w:val="21"/>
        </w:rPr>
        <w:t xml:space="preserve">JSON</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需满足校内数据中台对接，支持全量</w:t>
      </w:r>
      <w:r>
        <w:rPr>
          <w:rFonts w:hint="eastAsia" w:ascii="Times New Roman" w:hAnsi="Times New Roman"/>
          <w:sz w:val="21"/>
        </w:rPr>
        <w:t xml:space="preserve"> / </w:t>
      </w:r>
      <w:r>
        <w:rPr>
          <w:rFonts w:hint="eastAsia" w:ascii="Times New Roman" w:hAnsi="Times New Roman"/>
          <w:sz w:val="21"/>
        </w:rPr>
        <w:t xml:space="preserve">增量数据定时同步，具备异常重试、数据校验能力；实现人员基本信息与职称评审数据同步。数据接口信息如下：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访问地址：</w:t>
      </w:r>
      <w:r>
        <w:rPr>
          <w:rFonts w:hint="eastAsia" w:ascii="Times New Roman" w:hAnsi="Times New Roman"/>
          <w:sz w:val="21"/>
        </w:rPr>
        <w:t xml:space="preserve">https://172.21.11.132</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传输协议：</w:t>
      </w:r>
      <w:r>
        <w:rPr>
          <w:rFonts w:hint="eastAsia" w:ascii="Times New Roman" w:hAnsi="Times New Roman"/>
          <w:sz w:val="21"/>
        </w:rPr>
        <w:t xml:space="preserve">HTTP/HTTPS</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身份校验：账号</w:t>
      </w:r>
      <w:r>
        <w:rPr>
          <w:rFonts w:hint="eastAsia" w:ascii="Times New Roman" w:hAnsi="Times New Roman"/>
          <w:sz w:val="21"/>
        </w:rPr>
        <w:t xml:space="preserve"> + </w:t>
      </w:r>
      <w:r>
        <w:rPr>
          <w:rFonts w:hint="eastAsia" w:ascii="Times New Roman" w:hAnsi="Times New Roman"/>
          <w:sz w:val="21"/>
        </w:rPr>
        <w:t xml:space="preserve">密码校验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数据返回格式：</w:t>
      </w:r>
      <w:r>
        <w:rPr>
          <w:rFonts w:hint="eastAsia" w:ascii="Times New Roman" w:hAnsi="Times New Roman"/>
          <w:sz w:val="21"/>
        </w:rPr>
        <w:t xml:space="preserve">JSON</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需满足与校内一网通办对接：对接待办与消息中心，支持待办推送、状态回调、消息提醒。数据接口信息如下：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访问地址：</w:t>
      </w:r>
      <w:r>
        <w:rPr>
          <w:rFonts w:hint="eastAsia" w:ascii="Times New Roman" w:hAnsi="Times New Roman"/>
          <w:sz w:val="21"/>
        </w:rPr>
        <w:t xml:space="preserve">https://apis.jsspu.edu.cn</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传输协议：</w:t>
      </w:r>
      <w:r>
        <w:rPr>
          <w:rFonts w:hint="eastAsia" w:ascii="Times New Roman" w:hAnsi="Times New Roman"/>
          <w:sz w:val="21"/>
        </w:rPr>
        <w:t xml:space="preserve">HTTP/HTTPS</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身份校验：账号</w:t>
      </w:r>
      <w:r>
        <w:rPr>
          <w:rFonts w:hint="eastAsia" w:ascii="Times New Roman" w:hAnsi="Times New Roman"/>
          <w:sz w:val="21"/>
        </w:rPr>
        <w:t xml:space="preserve"> + </w:t>
      </w:r>
      <w:r>
        <w:rPr>
          <w:rFonts w:hint="eastAsia" w:ascii="Times New Roman" w:hAnsi="Times New Roman"/>
          <w:sz w:val="21"/>
        </w:rPr>
        <w:t xml:space="preserve">密码校验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数据返回格式：</w:t>
      </w:r>
      <w:r>
        <w:rPr>
          <w:rFonts w:hint="eastAsia" w:ascii="Times New Roman" w:hAnsi="Times New Roman"/>
          <w:sz w:val="21"/>
        </w:rPr>
        <w:t xml:space="preserve">JSON</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需满足与校内档案系统对接，实现项目过程文件数据的电子化归档。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）数据开放要求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向学校数据中台开放全量业务数据，支持增量数据同步；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提供完整数据字典，明确字段含义、数据类型、主键及关联关系；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交付业务说明、核心业务视图、业务流程文档，清晰说明业务规则、数据口径与流转逻辑，支撑数据中台业务解读与应用。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开放标准化数据服务</w:t>
      </w:r>
      <w:r>
        <w:rPr>
          <w:rFonts w:hint="eastAsia" w:ascii="Times New Roman" w:hAnsi="Times New Roman"/>
          <w:sz w:val="21"/>
        </w:rPr>
        <w:t xml:space="preserve"> API </w:t>
      </w:r>
      <w:r>
        <w:rPr>
          <w:rFonts w:hint="eastAsia" w:ascii="Times New Roman" w:hAnsi="Times New Roman"/>
          <w:sz w:val="21"/>
        </w:rPr>
        <w:t xml:space="preserve">接口，附带接口说明、调用示例、错误码及鉴权规则；</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可根据校方业务需求，及时提供定制化业务视图与数据接口；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支持敏感数据脱敏，具备数据访问权限隔离能力，严格遵守国家、教育行业及学校数据安全管理相关规定。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本次项目通过验收后，提</w:t>
      </w:r>
      <w:r>
        <w:rPr>
          <w:rFonts w:hint="eastAsia" w:ascii="Times New Roman" w:hAnsi="Times New Roman"/>
          <w:sz w:val="21"/>
        </w:rPr>
        <w:t xml:space="preserve">供五年</w:t>
      </w:r>
      <w:r>
        <w:rPr>
          <w:rFonts w:hint="eastAsia" w:ascii="Times New Roman" w:hAnsi="Times New Roman"/>
          <w:sz w:val="21"/>
        </w:rPr>
        <w:t xml:space="preserve">免费维保，</w:t>
      </w:r>
      <w:bookmarkStart w:id="91" w:name="OLE_LINK62"/>
      <w:r/>
      <w:bookmarkStart w:id="92" w:name="OLE_LINK61"/>
      <w:r>
        <w:rPr>
          <w:rFonts w:hint="eastAsia" w:ascii="Times New Roman" w:hAnsi="Times New Roman"/>
          <w:sz w:val="21"/>
        </w:rPr>
        <w:t xml:space="preserve">在维保期内提供免费技术支持服务</w:t>
      </w:r>
      <w:bookmarkEnd w:id="91"/>
      <w:r/>
      <w:bookmarkEnd w:id="92"/>
      <w:r>
        <w:rPr>
          <w:rFonts w:hint="eastAsia" w:ascii="Times New Roman" w:hAnsi="Times New Roman"/>
          <w:sz w:val="21"/>
        </w:rPr>
        <w:t xml:space="preserve">。软件提供同版本范围内的系统升级。</w:t>
      </w:r>
      <w:r>
        <w:rPr>
          <w:rFonts w:hint="eastAsia" w:ascii="Times New Roman" w:hAnsi="Times New Roman"/>
          <w:sz w:val="21"/>
        </w:rPr>
        <w:t xml:space="preserve">系统开发上线后提供系统的</w:t>
      </w:r>
      <w:r>
        <w:rPr>
          <w:rFonts w:hint="eastAsia" w:ascii="Times New Roman" w:hAnsi="Times New Roman"/>
          <w:sz w:val="21"/>
        </w:rPr>
        <w:t xml:space="preserve">终身安全保障义务</w:t>
      </w:r>
      <w:r>
        <w:rPr>
          <w:rFonts w:hint="eastAsia" w:ascii="Times New Roman" w:hAnsi="Times New Roman"/>
          <w:sz w:val="21"/>
        </w:rPr>
        <w:t xml:space="preserve">。</w:t>
      </w:r>
      <w:r>
        <w:rPr>
          <w:rFonts w:hint="eastAsia" w:ascii="Times New Roman" w:hAnsi="Times New Roman"/>
          <w:sz w:val="21"/>
        </w:rPr>
        <w:t xml:space="preserve">自系统上线之日起，若发现因乙方软件自身代码缺陷、设计漏洞或架构问题导致的安全漏洞、后门、数据泄露风险等，须无条件、免费提供修复补丁。因乙方软件自身安全问题给甲方造成损失的，乙方应承担全部赔偿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在维保期内因产品本身缺陷造成各种故障应由供应商免费技术服务和维修。在维</w:t>
      </w:r>
      <w:r>
        <w:rPr>
          <w:rFonts w:hint="eastAsia" w:ascii="Times New Roman" w:hAnsi="Times New Roman"/>
          <w:sz w:val="21"/>
        </w:rPr>
        <w:t xml:space="preserve">保期内，供应商应确保产品的正常使用，在接到苏州市职业大学维修要求后应立即作出回应，承诺提供</w:t>
      </w:r>
      <w:r>
        <w:rPr>
          <w:rFonts w:hint="eastAsia" w:ascii="Times New Roman" w:hAnsi="Times New Roman"/>
          <w:sz w:val="21"/>
        </w:rPr>
        <w:t xml:space="preserve">7</w:t>
      </w:r>
      <w:r>
        <w:rPr>
          <w:rFonts w:hint="eastAsia" w:ascii="Times New Roman" w:hAnsi="Times New Roman"/>
          <w:sz w:val="21"/>
        </w:rPr>
        <w:t xml:space="preserve">×</w:t>
      </w:r>
      <w:r>
        <w:rPr>
          <w:rFonts w:hint="eastAsia" w:ascii="Times New Roman" w:hAnsi="Times New Roman"/>
          <w:sz w:val="21"/>
        </w:rPr>
        <w:t xml:space="preserve">24</w:t>
      </w:r>
      <w:r>
        <w:rPr>
          <w:rFonts w:hint="eastAsia" w:ascii="Times New Roman" w:hAnsi="Times New Roman"/>
          <w:sz w:val="21"/>
        </w:rPr>
        <w:t xml:space="preserve">小时技术支持热线、</w:t>
      </w:r>
      <w:r>
        <w:rPr>
          <w:rFonts w:hint="eastAsia" w:ascii="Times New Roman" w:hAnsi="Times New Roman"/>
          <w:sz w:val="21"/>
        </w:rPr>
        <w:t xml:space="preserve">Int</w:t>
      </w:r>
      <w:r>
        <w:rPr>
          <w:rFonts w:hint="eastAsia" w:ascii="Times New Roman" w:hAnsi="Times New Roman"/>
          <w:sz w:val="21"/>
        </w:rPr>
        <w:t xml:space="preserve">ernet</w:t>
      </w:r>
      <w:r>
        <w:rPr>
          <w:rFonts w:hint="eastAsia" w:ascii="Times New Roman" w:hAnsi="Times New Roman"/>
          <w:sz w:val="21"/>
        </w:rPr>
        <w:t xml:space="preserve">远程技术支持服务及紧急现场服务，在电话和远程维护无法排除故障时提供紧急现场服务，维保期内软件提供同版本范围内的系统升级（系统</w:t>
      </w:r>
      <w:r>
        <w:rPr>
          <w:rFonts w:hint="eastAsia" w:ascii="Times New Roman" w:hAnsi="Times New Roman"/>
          <w:sz w:val="21"/>
        </w:rPr>
        <w:t xml:space="preserve">BUG</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在维保期内，供应商应确保产品的正常使用，在接到用户维修要求后应立即作出回应，提供</w:t>
      </w:r>
      <w:r>
        <w:rPr>
          <w:rFonts w:hint="eastAsia" w:ascii="Times New Roman" w:hAnsi="Times New Roman"/>
          <w:sz w:val="21"/>
        </w:rPr>
        <w:t xml:space="preserve">7</w:t>
      </w:r>
      <w:r>
        <w:rPr>
          <w:rFonts w:hint="eastAsia" w:ascii="Times New Roman" w:hAnsi="Times New Roman"/>
          <w:sz w:val="21"/>
        </w:rPr>
        <w:t xml:space="preserve">×</w:t>
      </w:r>
      <w:r>
        <w:rPr>
          <w:rFonts w:hint="eastAsia" w:ascii="Times New Roman" w:hAnsi="Times New Roman"/>
          <w:sz w:val="21"/>
        </w:rPr>
        <w:t xml:space="preserve">24</w:t>
      </w:r>
      <w:r>
        <w:rPr>
          <w:rFonts w:hint="eastAsia" w:ascii="Times New Roman" w:hAnsi="Times New Roman"/>
          <w:sz w:val="21"/>
        </w:rPr>
        <w:t xml:space="preserve">小时技术支持热线，</w:t>
      </w:r>
      <w:r>
        <w:rPr>
          <w:rFonts w:hint="eastAsia" w:ascii="Times New Roman" w:hAnsi="Times New Roman"/>
          <w:sz w:val="21"/>
        </w:rPr>
        <w:t xml:space="preserve">30</w:t>
      </w:r>
      <w:r>
        <w:rPr>
          <w:rFonts w:hint="eastAsia" w:ascii="Times New Roman" w:hAnsi="Times New Roman"/>
          <w:sz w:val="21"/>
        </w:rPr>
        <w:t xml:space="preserve">分钟电话响应，在电话和远程无法解决问题时提供</w:t>
      </w:r>
      <w:r>
        <w:rPr>
          <w:rFonts w:hint="eastAsia" w:ascii="Times New Roman" w:hAnsi="Times New Roman"/>
          <w:sz w:val="21"/>
        </w:rPr>
        <w:t xml:space="preserve">24</w:t>
      </w:r>
      <w:r>
        <w:rPr>
          <w:rFonts w:hint="eastAsia" w:ascii="Times New Roman" w:hAnsi="Times New Roman"/>
          <w:sz w:val="21"/>
        </w:rPr>
        <w:t xml:space="preserve">小时上门维修，</w:t>
      </w:r>
      <w:r>
        <w:rPr>
          <w:rFonts w:hint="eastAsia" w:ascii="Times New Roman" w:hAnsi="Times New Roman"/>
          <w:sz w:val="21"/>
        </w:rPr>
        <w:t xml:space="preserve">24</w:t>
      </w:r>
      <w:r>
        <w:rPr>
          <w:rFonts w:hint="eastAsia" w:ascii="Times New Roman" w:hAnsi="Times New Roman"/>
          <w:sz w:val="21"/>
        </w:rPr>
        <w:t xml:space="preserve">小时内解决问题，若短期无法修复的，应及时提供相应备用方案。</w:t>
      </w:r>
      <w:r/>
    </w:p>
    <w:p>
      <w:pPr>
        <w:ind w:left="0" w:firstLine="42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售后服务响应时间表</w:t>
      </w:r>
      <w:r/>
    </w:p>
    <w:tbl>
      <w:tblPr>
        <w:tblW w:w="10490"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521"/>
        <w:gridCol w:w="4008"/>
        <w:gridCol w:w="4961"/>
      </w:tblGrid>
      <w:tr>
        <w:trPr>
          <w:tblHeader/>
        </w:trPr>
        <w:tc>
          <w:tcPr>
            <w:shd w:val="clear" w:color="auto" w:fill="e6e6e6"/>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ind w:left="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事件的等级</w:t>
            </w:r>
            <w:r/>
          </w:p>
        </w:tc>
        <w:tc>
          <w:tcPr>
            <w:shd w:val="clear" w:color="auto" w:fill="e6e6e6"/>
            <w:tcBorders>
              <w:top w:val="single" w:color="000000" w:sz="2" w:space="0"/>
              <w:left w:val="single" w:color="000000" w:sz="2" w:space="0"/>
              <w:bottom w:val="single" w:color="000000" w:sz="2" w:space="0"/>
              <w:right w:val="single" w:color="000000" w:sz="2" w:space="0"/>
            </w:tcBorders>
            <w:tcW w:w="4008" w:type="dxa"/>
            <w:vAlign w:val="center"/>
            <w:textDirection w:val="lrTb"/>
            <w:noWrap w:val="false"/>
          </w:tcPr>
          <w:p>
            <w:pPr>
              <w:ind w:left="0" w:firstLine="21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事件描述</w:t>
            </w:r>
            <w:r/>
          </w:p>
        </w:tc>
        <w:tc>
          <w:tcPr>
            <w:shd w:val="clear" w:color="auto" w:fill="e6e6e6"/>
            <w:tcBorders>
              <w:top w:val="single" w:color="000000" w:sz="2" w:space="0"/>
              <w:left w:val="single" w:color="000000" w:sz="2" w:space="0"/>
              <w:bottom w:val="single" w:color="000000" w:sz="2" w:space="0"/>
              <w:right w:val="single" w:color="000000" w:sz="2" w:space="0"/>
            </w:tcBorders>
            <w:tcW w:w="4961" w:type="dxa"/>
            <w:vAlign w:val="center"/>
            <w:textDirection w:val="lrTb"/>
            <w:noWrap w:val="false"/>
          </w:tcPr>
          <w:p>
            <w:pPr>
              <w:ind w:left="0" w:firstLine="21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提供服务的时间</w:t>
            </w:r>
            <w:r/>
          </w:p>
        </w:tc>
      </w:tr>
      <w:tr>
        <w:trPr>
          <w:trHeight w:val="1544"/>
        </w:trPr>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ind w:left="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严重</w:t>
            </w:r>
            <w:r/>
          </w:p>
        </w:tc>
        <w:tc>
          <w:tcPr>
            <w:tcBorders>
              <w:top w:val="single" w:color="000000" w:sz="2" w:space="0"/>
              <w:left w:val="single" w:color="000000" w:sz="2" w:space="0"/>
              <w:bottom w:val="single" w:color="000000" w:sz="2" w:space="0"/>
              <w:right w:val="single" w:color="000000" w:sz="2" w:space="0"/>
            </w:tcBorders>
            <w:tcW w:w="4008" w:type="dxa"/>
            <w:vAlign w:val="center"/>
            <w:textDirection w:val="lrTb"/>
            <w:noWrap w:val="false"/>
          </w:tcPr>
          <w:p>
            <w:pPr>
              <w:ind w:left="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系统无法运作，而且没有任何暂时性的解决方案；或者虽有暂时性的解决方案，但影响到用户正常使用；或系统可以运作，但存在信息安全问题；或信息丢失。</w:t>
            </w:r>
            <w:r/>
          </w:p>
        </w:tc>
        <w:tc>
          <w:tcPr>
            <w:tcBorders>
              <w:top w:val="single" w:color="000000" w:sz="2" w:space="0"/>
              <w:left w:val="single" w:color="000000" w:sz="2" w:space="0"/>
              <w:bottom w:val="single" w:color="000000" w:sz="2" w:space="0"/>
              <w:right w:val="single" w:color="000000" w:sz="2" w:space="0"/>
            </w:tcBorders>
            <w:tcW w:w="4961" w:type="dxa"/>
            <w:vAlign w:val="center"/>
            <w:textDirection w:val="lrTb"/>
            <w:noWrap w:val="false"/>
          </w:tcPr>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即时做出响应</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0.5小时内与客户讨论解决方案</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24小时内提供现场技术支持（接到采购人通知后）</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2小时内提出问题解决方案</w:t>
            </w:r>
            <w:r/>
          </w:p>
        </w:tc>
      </w:tr>
      <w:tr>
        <w:trPr>
          <w:trHeight w:val="1640"/>
        </w:trPr>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ind w:left="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重大</w:t>
            </w:r>
            <w:r/>
          </w:p>
        </w:tc>
        <w:tc>
          <w:tcPr>
            <w:tcBorders>
              <w:top w:val="single" w:color="000000" w:sz="2" w:space="0"/>
              <w:left w:val="single" w:color="000000" w:sz="2" w:space="0"/>
              <w:bottom w:val="single" w:color="000000" w:sz="2" w:space="0"/>
              <w:right w:val="single" w:color="000000" w:sz="2" w:space="0"/>
            </w:tcBorders>
            <w:tcW w:w="4008" w:type="dxa"/>
            <w:vAlign w:val="center"/>
            <w:textDirection w:val="lrTb"/>
            <w:noWrap w:val="false"/>
          </w:tcPr>
          <w:p>
            <w:pPr>
              <w:ind w:left="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系统可以运作，但功能已受到严重影响；系统性能受到严重影响或出现其它未知异常现象；大规模范围出现用户使用速度明显偏慢。</w:t>
            </w:r>
            <w:r/>
          </w:p>
        </w:tc>
        <w:tc>
          <w:tcPr>
            <w:tcBorders>
              <w:top w:val="single" w:color="000000" w:sz="2" w:space="0"/>
              <w:left w:val="single" w:color="000000" w:sz="2" w:space="0"/>
              <w:bottom w:val="single" w:color="000000" w:sz="2" w:space="0"/>
              <w:right w:val="single" w:color="000000" w:sz="2" w:space="0"/>
            </w:tcBorders>
            <w:tcW w:w="4961" w:type="dxa"/>
            <w:vAlign w:val="center"/>
            <w:textDirection w:val="lrTb"/>
            <w:noWrap w:val="false"/>
          </w:tcPr>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即时做出响应</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1小时内与客户讨论解决方案</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24小时内提供现场技术支持（接到采购人通知后）</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2小时内提出问题解决方案</w:t>
            </w:r>
            <w:r/>
          </w:p>
        </w:tc>
      </w:tr>
      <w:tr>
        <w:trPr>
          <w:trHeight w:val="793"/>
        </w:trPr>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ind w:left="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中级</w:t>
            </w:r>
            <w:r/>
          </w:p>
        </w:tc>
        <w:tc>
          <w:tcPr>
            <w:tcBorders>
              <w:top w:val="single" w:color="000000" w:sz="2" w:space="0"/>
              <w:left w:val="single" w:color="000000" w:sz="2" w:space="0"/>
              <w:bottom w:val="single" w:color="000000" w:sz="2" w:space="0"/>
              <w:right w:val="single" w:color="000000" w:sz="2" w:space="0"/>
            </w:tcBorders>
            <w:tcW w:w="4008" w:type="dxa"/>
            <w:vAlign w:val="center"/>
            <w:textDirection w:val="lrTb"/>
            <w:noWrap w:val="false"/>
          </w:tcPr>
          <w:p>
            <w:pPr>
              <w:ind w:left="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系统可以运作，但出现小范围的功能问题或者性能问题，采取修改配置等措施后仍无法正常运转。</w:t>
            </w:r>
            <w:r/>
          </w:p>
        </w:tc>
        <w:tc>
          <w:tcPr>
            <w:tcBorders>
              <w:top w:val="single" w:color="000000" w:sz="2" w:space="0"/>
              <w:left w:val="single" w:color="000000" w:sz="2" w:space="0"/>
              <w:bottom w:val="single" w:color="000000" w:sz="2" w:space="0"/>
              <w:right w:val="single" w:color="000000" w:sz="2" w:space="0"/>
            </w:tcBorders>
            <w:tcW w:w="4961" w:type="dxa"/>
            <w:vAlign w:val="center"/>
            <w:textDirection w:val="lrTb"/>
            <w:noWrap w:val="false"/>
          </w:tcPr>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即时做出响应</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48小时内提供现场技术支持</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1小时内提出问题解决方案</w:t>
            </w:r>
            <w:r/>
          </w:p>
        </w:tc>
      </w:tr>
      <w:tr>
        <w:trPr>
          <w:trHeight w:val="853"/>
        </w:trPr>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ind w:left="0"/>
              <w:jc w:val="center"/>
              <w:spacing w:after="120"/>
              <w:widowControl w:val="off"/>
              <w:tabs>
                <w:tab w:val="left" w:pos="574" w:leader="none"/>
              </w:tabs>
              <w:rPr>
                <w:rFonts w:ascii="宋体" w:hAnsi="宋体" w:cs="宋体"/>
                <w:sz w:val="21"/>
                <w:szCs w:val="21"/>
              </w:rPr>
            </w:pPr>
            <w:r>
              <w:rPr>
                <w:rFonts w:hint="eastAsia" w:ascii="宋体" w:hAnsi="宋体" w:cs="宋体"/>
                <w:sz w:val="21"/>
                <w:szCs w:val="21"/>
              </w:rPr>
              <w:t xml:space="preserve">低级</w:t>
            </w:r>
            <w:r/>
          </w:p>
        </w:tc>
        <w:tc>
          <w:tcPr>
            <w:tcBorders>
              <w:top w:val="single" w:color="000000" w:sz="2" w:space="0"/>
              <w:left w:val="single" w:color="000000" w:sz="2" w:space="0"/>
              <w:bottom w:val="single" w:color="000000" w:sz="2" w:space="0"/>
              <w:right w:val="single" w:color="000000" w:sz="2" w:space="0"/>
            </w:tcBorders>
            <w:tcW w:w="4008" w:type="dxa"/>
            <w:vAlign w:val="center"/>
            <w:textDirection w:val="lrTb"/>
            <w:noWrap w:val="false"/>
          </w:tcPr>
          <w:p>
            <w:pPr>
              <w:ind w:left="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客户有问题询问或是功能方面的加强。</w:t>
            </w:r>
            <w:r/>
          </w:p>
        </w:tc>
        <w:tc>
          <w:tcPr>
            <w:tcBorders>
              <w:top w:val="single" w:color="000000" w:sz="2" w:space="0"/>
              <w:left w:val="single" w:color="000000" w:sz="2" w:space="0"/>
              <w:bottom w:val="single" w:color="000000" w:sz="2" w:space="0"/>
              <w:right w:val="single" w:color="000000" w:sz="2" w:space="0"/>
            </w:tcBorders>
            <w:tcW w:w="4961" w:type="dxa"/>
            <w:vAlign w:val="center"/>
            <w:textDirection w:val="lrTb"/>
            <w:noWrap w:val="false"/>
          </w:tcPr>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即时做出响应</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1小时内提出问题解决方案</w:t>
            </w:r>
            <w:r/>
          </w:p>
          <w:p>
            <w:pPr>
              <w:ind w:left="0" w:firstLine="210"/>
              <w:spacing w:line="400" w:lineRule="exact"/>
              <w:widowControl w:val="off"/>
              <w:tabs>
                <w:tab w:val="left" w:pos="574" w:leader="none"/>
              </w:tabs>
              <w:rPr>
                <w:rFonts w:ascii="宋体" w:hAnsi="宋体" w:cs="宋体"/>
                <w:sz w:val="21"/>
                <w:szCs w:val="21"/>
              </w:rPr>
            </w:pPr>
            <w:r>
              <w:rPr>
                <w:rFonts w:hint="eastAsia" w:ascii="宋体" w:hAnsi="宋体" w:cs="宋体"/>
                <w:sz w:val="21"/>
                <w:szCs w:val="21"/>
              </w:rPr>
              <w:t xml:space="preserve">问题解决后知会用户有关部门</w:t>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注：问题解决后</w:t>
      </w:r>
      <w:r>
        <w:rPr>
          <w:rFonts w:hint="eastAsia" w:ascii="Times New Roman" w:hAnsi="Times New Roman"/>
          <w:sz w:val="21"/>
        </w:rPr>
        <w:t xml:space="preserve">24</w:t>
      </w:r>
      <w:r>
        <w:rPr>
          <w:rFonts w:hint="eastAsia" w:ascii="Times New Roman" w:hAnsi="Times New Roman"/>
          <w:sz w:val="21"/>
        </w:rPr>
        <w:t xml:space="preserve">小时内，提交问题处理报告，说明问题种类、问题原因、问题解决中使用的方法及造成的损失等情况。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供应商须提供售后技术支持中心的详细资料。</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5</w:t>
      </w:r>
      <w:r>
        <w:rPr>
          <w:rFonts w:hint="eastAsia" w:ascii="Times New Roman" w:hAnsi="Times New Roman"/>
          <w:b/>
          <w:sz w:val="21"/>
        </w:rPr>
        <w:t xml:space="preserve">、维保及售后服务要求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1</w:t>
      </w:r>
      <w:r>
        <w:rPr>
          <w:rFonts w:hint="eastAsia" w:ascii="Times New Roman" w:hAnsi="Times New Roman"/>
          <w:b/>
          <w:sz w:val="21"/>
        </w:rPr>
        <w:t xml:space="preserve">）维保要求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竣工验收后提供五年免费运维保障服务（含质保），在维保期内提供免费技术支持服务，软件提供同版本范围内的系统升级及补丁更新。供应商应按招标文件规定的系统性能、技术指标、服务质量标准向学校提供必须为具备合法授权的正版软件产品，并配套完整的部署、配置、调优及运维服务体系，符合国家及用户提出的有关服务质量标准。在维保期内，供应商须提供技术咨询、故障排查、系统优化、应急恢复等支持服务，并以优惠价格提供扩展功能模块或增值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保证所交付的软件系统及相关组件的知识产权归属清晰，所有权或合法使用权完全属于供应商，且无任何抵押、查封等权利限制情形，所提供的软件或其任何部分均不会侵犯任何第三方的知识产权。如发生所供软件系统与合同不符，学校有权拒绝验收或要求退回整改，由此产生的一切责任和后果由供应商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保期内，系统运行过程中发生功能缺陷、性能下降或服务中断等质量问题，供应商应确保系统的持续可用与业务连续性，在接到学校服务请求后立即做出响应，收到系统故障信息后及时远程介入，必要时派技术人员到达现场，快速定位并解决系统出现的各类技术问题，最大限度地保障系统的稳定运行与服务质量。</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2</w:t>
      </w:r>
      <w:r>
        <w:rPr>
          <w:rFonts w:hint="eastAsia" w:ascii="Times New Roman" w:hAnsi="Times New Roman"/>
          <w:b/>
          <w:sz w:val="21"/>
        </w:rPr>
        <w:t xml:space="preserve">）售后服务要求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供应商需根据以下各项具体要求，向用户提供全面、周到、细致、及时的售后服务保障方案，并在响</w:t>
      </w:r>
      <w:r>
        <w:rPr>
          <w:rFonts w:hint="eastAsia" w:ascii="Times New Roman" w:hAnsi="Times New Roman"/>
          <w:sz w:val="21"/>
        </w:rPr>
        <w:t xml:space="preserve">应文件中对以下表述内容作出明确承诺和响应。内容主要包括以下几个方面：</w:t>
      </w:r>
      <w:r/>
    </w:p>
    <w:p>
      <w:pPr>
        <w:ind w:left="0" w:firstLine="420"/>
        <w:spacing w:line="360" w:lineRule="auto"/>
        <w:tabs>
          <w:tab w:val="left" w:pos="420" w:leader="none"/>
          <w:tab w:val="left" w:pos="540" w:leader="none"/>
        </w:tabs>
        <w:rPr>
          <w:rFonts w:ascii="Times New Roman" w:hAnsi="Times New Roman"/>
          <w:sz w:val="21"/>
        </w:rPr>
      </w:pPr>
      <w:r/>
      <w:bookmarkStart w:id="93" w:name="OLE_LINK5"/>
      <w:r/>
      <w:bookmarkStart w:id="94" w:name="OLE_LINK8"/>
      <w:r>
        <w:rPr>
          <w:rFonts w:hint="eastAsia" w:ascii="Times New Roman" w:hAnsi="Times New Roman"/>
          <w:sz w:val="21"/>
        </w:rPr>
        <w:t xml:space="preserve">项目竣工验收后提供五年免费维保服务。</w:t>
      </w:r>
      <w:bookmarkEnd w:id="93"/>
      <w:r/>
      <w:bookmarkEnd w:id="94"/>
      <w:r>
        <w:rPr>
          <w:rFonts w:hint="eastAsia" w:ascii="Times New Roman" w:hAnsi="Times New Roman"/>
          <w:sz w:val="21"/>
        </w:rPr>
        <w:t xml:space="preserve">服务内容包括：使用指导，对系统进行必须的修订和微调，对系统隐含的错误进行纠正；维护方式包括：电话解答，远程维护，技术人员现场解决问题。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必须具备专业的售后服务团队，能保证提供每天</w:t>
      </w:r>
      <w:r>
        <w:rPr>
          <w:rFonts w:hint="eastAsia" w:ascii="Times New Roman" w:hAnsi="Times New Roman"/>
          <w:sz w:val="21"/>
        </w:rPr>
        <w:t xml:space="preserve">24</w:t>
      </w:r>
      <w:r>
        <w:rPr>
          <w:rFonts w:hint="eastAsia" w:ascii="Times New Roman" w:hAnsi="Times New Roman"/>
          <w:sz w:val="21"/>
        </w:rPr>
        <w:t xml:space="preserve">小时不间断的售后服务。积极配合采购人使用单位完成相关工作，积极配合解决工作过程中的问题。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培训工作完成、系统上线后的维护和技术带领期不低于</w:t>
      </w:r>
      <w:r>
        <w:rPr>
          <w:rFonts w:hint="eastAsia" w:ascii="Times New Roman" w:hAnsi="Times New Roman"/>
          <w:sz w:val="21"/>
        </w:rPr>
        <w:t xml:space="preserve">2</w:t>
      </w:r>
      <w:r>
        <w:rPr>
          <w:rFonts w:hint="eastAsia" w:ascii="Times New Roman" w:hAnsi="Times New Roman"/>
          <w:sz w:val="21"/>
        </w:rPr>
        <w:t xml:space="preserve">个月。系统技术带领期内，能对用户的使用意见进行充分的调研和回应。</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产品维保期内提供的保修不能向使用方收取任何费用，但人为因素、自然因素（如火灾、雷击等）造成的故障除外。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提供长期稳定的维护人员名单及联系方式。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必须具备专业的售后服务团队，能保证提供每天</w:t>
      </w:r>
      <w:r>
        <w:rPr>
          <w:rFonts w:hint="eastAsia" w:ascii="Times New Roman" w:hAnsi="Times New Roman"/>
          <w:sz w:val="21"/>
        </w:rPr>
        <w:t xml:space="preserve">24</w:t>
      </w:r>
      <w:r>
        <w:rPr>
          <w:rFonts w:hint="eastAsia" w:ascii="Times New Roman" w:hAnsi="Times New Roman"/>
          <w:sz w:val="21"/>
        </w:rPr>
        <w:t xml:space="preserve">小时不间断的售后服务。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对于系统的</w:t>
      </w:r>
      <w:r>
        <w:rPr>
          <w:rFonts w:hint="eastAsia" w:ascii="Times New Roman" w:hAnsi="Times New Roman"/>
          <w:sz w:val="21"/>
        </w:rPr>
        <w:t xml:space="preserve">BUG</w:t>
      </w:r>
      <w:r>
        <w:rPr>
          <w:rFonts w:hint="eastAsia" w:ascii="Times New Roman" w:hAnsi="Times New Roman"/>
          <w:sz w:val="21"/>
        </w:rPr>
        <w:t xml:space="preserve">承诺终身免费维护。定期汇报系统运行情况。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遇有重大活动需要确保系统正常运作的，中标供应商在接到通知后，应当在活动期间提供人员现场保障。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在安装调试过程中，应满足采购单位提出的合理要求。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响应供应商需在《</w:t>
      </w:r>
      <w:r>
        <w:rPr>
          <w:rFonts w:hint="eastAsia" w:ascii="Times New Roman" w:hAnsi="Times New Roman"/>
          <w:sz w:val="21"/>
        </w:rPr>
        <w:t xml:space="preserve">磋商报价分析表</w:t>
      </w:r>
      <w:r>
        <w:rPr>
          <w:rFonts w:hint="eastAsia" w:ascii="Times New Roman" w:hAnsi="Times New Roman"/>
          <w:sz w:val="21"/>
        </w:rPr>
        <w:t xml:space="preserve">》中列明提供的系统免费维护期。所有软件产品的维护期自本项目终验合格书签订之日起开始计算。项目建设期间及维护期均属于免费服务期。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成交单位在维护期满后应继续向采购人提供保证质量的售后服务，以维持系统正常运作，售后服务定价</w:t>
      </w:r>
      <w:r>
        <w:rPr>
          <w:rFonts w:hint="eastAsia" w:ascii="Times New Roman" w:hAnsi="Times New Roman"/>
          <w:sz w:val="21"/>
        </w:rPr>
        <w:t xml:space="preserve">不得偏离市场价格规律。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响应供应商应根据自身条件和能力提交详细的售后服务方案和计划。售后服务方案和计划应包括提供售后服务的保障措施，必须明确所能提供的包括但不限于以上几项的服务内容及维护细则。</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3</w:t>
      </w:r>
      <w:r>
        <w:rPr>
          <w:rFonts w:hint="eastAsia" w:ascii="Times New Roman" w:hAnsi="Times New Roman"/>
          <w:b/>
          <w:sz w:val="21"/>
        </w:rPr>
        <w:t xml:space="preserve">）服务人员要求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①项目组织及人员：响应供应商成交后应根据本系统建设要求组织一支由资深项目经理带领的经验丰富、开发能力强的项目团队，并确保在系统调研、分析设计、开发测试和培训实施等各个阶段项目团队的稳定性。项目团队成员应包括：</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）项目经理：</w:t>
      </w:r>
      <w:r>
        <w:rPr>
          <w:rFonts w:hint="eastAsia" w:ascii="Times New Roman" w:hAnsi="Times New Roman"/>
          <w:sz w:val="21"/>
        </w:rPr>
        <w:t xml:space="preserve">1</w:t>
      </w:r>
      <w:r>
        <w:rPr>
          <w:rFonts w:hint="eastAsia" w:ascii="Times New Roman" w:hAnsi="Times New Roman"/>
          <w:sz w:val="21"/>
        </w:rPr>
        <w:t xml:space="preserve">人，具有</w:t>
      </w:r>
      <w:r>
        <w:rPr>
          <w:rFonts w:hint="eastAsia" w:ascii="Times New Roman" w:hAnsi="Times New Roman"/>
          <w:sz w:val="21"/>
        </w:rPr>
        <w:t xml:space="preserve">2</w:t>
      </w:r>
      <w:r>
        <w:rPr>
          <w:rFonts w:hint="eastAsia" w:ascii="Times New Roman" w:hAnsi="Times New Roman"/>
          <w:sz w:val="21"/>
        </w:rPr>
        <w:t xml:space="preserve">年以上</w:t>
      </w:r>
      <w:r>
        <w:rPr>
          <w:rFonts w:hint="eastAsia" w:ascii="Times New Roman" w:hAnsi="Times New Roman"/>
          <w:sz w:val="21"/>
        </w:rPr>
        <w:t xml:space="preserve">同类型科研信息化项目管理工作经验</w:t>
      </w:r>
      <w:r>
        <w:rPr>
          <w:rFonts w:hint="eastAsia" w:ascii="Times New Roman" w:hAnsi="Times New Roman"/>
          <w:sz w:val="21"/>
        </w:rPr>
        <w:t xml:space="preserve">，且</w:t>
      </w:r>
      <w:r>
        <w:rPr>
          <w:rFonts w:hint="eastAsia" w:ascii="Times New Roman" w:hAnsi="Times New Roman"/>
          <w:sz w:val="21"/>
          <w:szCs w:val="21"/>
        </w:rPr>
        <w:t xml:space="preserve">具有本科</w:t>
      </w:r>
      <w:r>
        <w:rPr>
          <w:rFonts w:hint="eastAsia" w:ascii="Times New Roman" w:hAnsi="Times New Roman"/>
          <w:sz w:val="21"/>
          <w:szCs w:val="21"/>
        </w:rPr>
        <w:t xml:space="preserve">或以上学历</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）技术负责人：</w:t>
      </w:r>
      <w:r>
        <w:rPr>
          <w:rFonts w:hint="eastAsia" w:ascii="Times New Roman" w:hAnsi="Times New Roman"/>
          <w:sz w:val="21"/>
        </w:rPr>
        <w:t xml:space="preserve">1</w:t>
      </w:r>
      <w:r>
        <w:rPr>
          <w:rFonts w:hint="eastAsia" w:ascii="Times New Roman" w:hAnsi="Times New Roman"/>
          <w:sz w:val="21"/>
        </w:rPr>
        <w:t xml:space="preserve">人，具有同类型科研信息化项目技术管理工作经验。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）开发实施人员：不少于</w:t>
      </w:r>
      <w:r>
        <w:rPr>
          <w:rFonts w:hint="eastAsia" w:ascii="Times New Roman" w:hAnsi="Times New Roman"/>
          <w:sz w:val="21"/>
        </w:rPr>
        <w:t xml:space="preserve">2</w:t>
      </w:r>
      <w:r>
        <w:rPr>
          <w:rFonts w:hint="eastAsia" w:ascii="Times New Roman" w:hAnsi="Times New Roman"/>
          <w:sz w:val="21"/>
        </w:rPr>
        <w:t xml:space="preserve">人，具有同类型科研信息化工作经验。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）运维服务人员：不少于</w:t>
      </w:r>
      <w:r>
        <w:rPr>
          <w:rFonts w:hint="eastAsia" w:ascii="Times New Roman" w:hAnsi="Times New Roman"/>
          <w:sz w:val="21"/>
        </w:rPr>
        <w:t xml:space="preserve">1</w:t>
      </w:r>
      <w:r>
        <w:rPr>
          <w:rFonts w:hint="eastAsia" w:ascii="Times New Roman" w:hAnsi="Times New Roman"/>
          <w:sz w:val="21"/>
        </w:rPr>
        <w:t xml:space="preserve">人，具有同类型科研信息化工作经验。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项目组所有人员为响应单位正式员工，项目团队成员变更时，须事先征得项目采购单位的同意后，方可进行变更，更换后需要执行好工作交接。项目采购单位具有更换项目经理和项目团队人员的权利。</w:t>
      </w:r>
      <w:r>
        <w:rPr>
          <w:rFonts w:hint="eastAsia" w:ascii="Times New Roman" w:hAnsi="Times New Roman"/>
          <w:sz w:val="21"/>
        </w:rPr>
        <w:t xml:space="preserve">项目团队中要求至少有一名具有成功实施经验的资深系统架构师对项目整体规划设计</w:t>
      </w:r>
      <w:r>
        <w:rPr>
          <w:rFonts w:hint="eastAsia" w:ascii="Times New Roman" w:hAnsi="Times New Roman"/>
          <w:sz w:val="21"/>
        </w:rPr>
        <w:t xml:space="preserve">。本系统建设要求项目培训和部署实施人员，需要熟悉和了解系统，具有相关业务系统的培训和部署实施经验。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②驻场要求：在项目实施期间（如调研、部署、实施、上线阶段）、试运行期间提供工程师现场技术支持服务。具体安排如下：调研与部署阶段，每周提供不少于四天的现场驻场服务，每天工作</w:t>
      </w:r>
      <w:r>
        <w:rPr>
          <w:rFonts w:hint="eastAsia" w:ascii="Times New Roman" w:hAnsi="Times New Roman"/>
          <w:sz w:val="21"/>
        </w:rPr>
        <w:t xml:space="preserve">8</w:t>
      </w:r>
      <w:r>
        <w:rPr>
          <w:rFonts w:hint="eastAsia" w:ascii="Times New Roman" w:hAnsi="Times New Roman"/>
          <w:sz w:val="21"/>
        </w:rPr>
        <w:t xml:space="preserve">小时；实施阶段，每周提供不少于三天的现场驻场服务，每天工作</w:t>
      </w:r>
      <w:r>
        <w:rPr>
          <w:rFonts w:hint="eastAsia" w:ascii="Times New Roman" w:hAnsi="Times New Roman"/>
          <w:sz w:val="21"/>
        </w:rPr>
        <w:t xml:space="preserve">8</w:t>
      </w:r>
      <w:r>
        <w:rPr>
          <w:rFonts w:hint="eastAsia" w:ascii="Times New Roman" w:hAnsi="Times New Roman"/>
          <w:sz w:val="21"/>
        </w:rPr>
        <w:t xml:space="preserve">小时；上线及试运行阶段需提供工程师每周工作日驻场，及时响应学校系统使用问题，学校年中考核等关键时间节点提供现场保障；以上驻场服务时间可根据学校实际工作安排进行协商调整。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③规范约束：本项目的建设能与职大的校园数据中心融合，并遵循教育行业的相关标准及规范；在应用方面，要按照苏州市职业大学的相关规范及约束实现对接。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④系统文档：系统开发应严格遵照软件工程规范进行，根据开发进度及时提供有关开发文档，包括系统分析设计说明书、测试报告、用户手册、系统维护手册以及采购单位认为必要的其他文档等。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⑤项目建设要求：项目实施过程中，各项建设功能应充分满足采购单位提出的合理要求，对于采购的功能模块，需结合学校的实际需求进行定型化定制与修改。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⑥项目过程管理要求：项目采购单位可针对响应供应商在项目实施过程中的失误发出项目整改通知单，响应供应商应在收到整改通知单后</w:t>
      </w:r>
      <w:r>
        <w:rPr>
          <w:rFonts w:hint="eastAsia" w:ascii="Times New Roman" w:hAnsi="Times New Roman"/>
          <w:sz w:val="21"/>
        </w:rPr>
        <w:t xml:space="preserve">2</w:t>
      </w:r>
      <w:r>
        <w:rPr>
          <w:rFonts w:hint="eastAsia" w:ascii="Times New Roman" w:hAnsi="Times New Roman"/>
          <w:sz w:val="21"/>
        </w:rPr>
        <w:t xml:space="preserve">个工作日内向项目采购单位以书面方式提交整改计划，并在项目采购单位规定的期限内整改完毕，否则，项目采购单位可根据合同相关条款进行处罚。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⑦运维要求：本项目须建立专门的运维团队，具体工作要求：完成资源生命周期全过程中的人工干预处理、异常事件进行处理，对因数据来源升级改造等变化进行相应的程序修改，做好系统监控、例行服务巡检、故障排除和问题解决等日常工作。做好应用的更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⑧项目质量要求：提供项目质量控制措施。根据该项目的实施方案，在实施过程中，为了保证招标方能够对项目建设实施进行监控，及时发现和解决的问题，必须建立相应的项目管理规范，使管理和监控工作流程化、规范化，管理和监控工作责任明确</w:t>
      </w:r>
      <w:r>
        <w:rPr>
          <w:rFonts w:hint="eastAsia" w:ascii="Times New Roman" w:hAnsi="Times New Roman"/>
          <w:sz w:val="21"/>
        </w:rPr>
        <w:t xml:space="preserve">。</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4</w:t>
      </w:r>
      <w:r>
        <w:rPr>
          <w:rFonts w:hint="eastAsia" w:ascii="Times New Roman" w:hAnsi="Times New Roman"/>
          <w:b/>
          <w:sz w:val="21"/>
        </w:rPr>
        <w:t xml:space="preserve">）人员培训要求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必须向采购方提供免费培训，培训方式应包括理论培训和现场培训。供应商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中标人负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供应商派出的培训教员应具备丰富的相同课程教学经验，所有的培训教员必须中文授课，供应商必须为所有被培训人员提供培训用文字资料和讲义等相关用品。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供应商应按学校约定合理地安排培训时间。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供应商需在投标书中说明培训的计划、内容和深度，原则上要求学校的相关人员要完全学会系统的知识技能。</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6</w:t>
      </w:r>
      <w:r>
        <w:rPr>
          <w:rFonts w:hint="eastAsia" w:ascii="Times New Roman" w:hAnsi="Times New Roman"/>
          <w:b/>
          <w:sz w:val="21"/>
        </w:rPr>
        <w:t xml:space="preserve">、</w:t>
      </w:r>
      <w:r>
        <w:rPr>
          <w:rFonts w:hint="eastAsia" w:ascii="Times New Roman" w:hAnsi="Times New Roman"/>
          <w:b/>
          <w:sz w:val="21"/>
        </w:rPr>
        <w:t xml:space="preserve">履约验收基本要求及</w:t>
      </w:r>
      <w:r>
        <w:rPr>
          <w:rFonts w:hint="eastAsia" w:ascii="Times New Roman" w:hAnsi="Times New Roman"/>
          <w:b/>
          <w:sz w:val="21"/>
        </w:rPr>
        <w:t xml:space="preserve">验收方案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的通知》（苏财规〔</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采购人将按照验收标准要求组织验收，验收内容和标准至少包括服务质量、用户满意度、服务进度、服务人员等内容。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验收方案如下：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交付物审查：供应商在申请验收前，应对项目全过程产出物进行系统性整理与自查，形成完整的交付清单，作为学校验收及后续运行维护的技术依据。交付清单应包含但不限于：项目实施文档（需求规格说明书、功能确认表、项目进度表、培训计划及培训记录）、技术文档（服务器部署信息，含</w:t>
      </w:r>
      <w:r>
        <w:rPr>
          <w:rFonts w:hint="eastAsia" w:ascii="Times New Roman" w:hAnsi="Times New Roman"/>
          <w:sz w:val="21"/>
        </w:rPr>
        <w:t xml:space="preserve">IP</w:t>
      </w:r>
      <w:r>
        <w:rPr>
          <w:rFonts w:hint="eastAsia" w:ascii="Times New Roman" w:hAnsi="Times New Roman"/>
          <w:sz w:val="21"/>
        </w:rPr>
        <w:t xml:space="preserve">地址、账号密码、软件列表及功能说明；数据库连接方式、账号密码、表及视图的数据字典）、软件使用授权书，以及分角色（管理员、教职工）的详细使用手册和操作视频。</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）部署与培训：系统软件的安装部署及调试工作由供应商负责。供应商接学校通知后，应及时派遣专业人员赴学校对学校指定的使用操作人员进行系统化培训，确保其达到独立操作和日常维护的技术水平。</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）试运行与功能验证：系统完成部署及培训后，须进入不少于</w:t>
      </w:r>
      <w:r>
        <w:rPr>
          <w:rFonts w:hint="eastAsia" w:ascii="Times New Roman" w:hAnsi="Times New Roman"/>
          <w:sz w:val="21"/>
        </w:rPr>
        <w:t xml:space="preserve">15</w:t>
      </w:r>
      <w:r>
        <w:rPr>
          <w:rFonts w:hint="eastAsia" w:ascii="Times New Roman" w:hAnsi="Times New Roman"/>
          <w:sz w:val="21"/>
        </w:rPr>
        <w:t xml:space="preserve">个日历天的试运行期。试运行期间，供应商须配合学校进行完整的功能演示测试，对照项目需求文档，逐项验证各项功能均已达标、系统兼容性良好，并提交正式的系统运行报告。试运行期满且系统运行稳定后，供应商方可向学校提出最终验收申请。</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）验收组织与测评：学校收到验收申请后，将组织专家或委托国家认可的专业检测机构组成验收小组，依据招标文件技术规格要求及国家相关质量标准，对系统进行全面验收测试。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验收结论与善后：验收合格后，由学校、供应商及验收专家共同签署验收合格证书。验收过程中若发现系统功能、性能或文档资料未达到合同约定或验收标准，供应商须在限定期限内进行整改、修正或补全，直至再次验收合格。双方在学校提供的验收报告上签字确认“产品合格”后，方视为项目最终验收合格。</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7</w:t>
      </w:r>
      <w:r>
        <w:rPr>
          <w:rFonts w:hint="eastAsia" w:ascii="Times New Roman" w:hAnsi="Times New Roman"/>
          <w:b/>
          <w:sz w:val="21"/>
        </w:rPr>
        <w:t xml:space="preserve">、价格组成</w:t>
      </w:r>
      <w:r/>
    </w:p>
    <w:p>
      <w:pPr>
        <w:ind w:left="0" w:firstLine="420"/>
        <w:spacing w:line="360" w:lineRule="auto"/>
        <w:tabs>
          <w:tab w:val="left" w:pos="420" w:leader="none"/>
          <w:tab w:val="left" w:pos="540" w:leader="none"/>
        </w:tabs>
      </w:pPr>
      <w:r>
        <w:rPr>
          <w:rFonts w:hint="eastAsia" w:ascii="Times New Roman" w:hAnsi="Times New Roman"/>
          <w:sz w:val="21"/>
        </w:rPr>
        <w:t xml:space="preserve">预算价格包括系统项目设计、管理、全部硬件设备、软件系统及其备品、备件、材料、辅助材料和专用工具费用，包装、仓储、运输、安装调试、检测验收、试运行直到运行验收完成等各项应有费用，进口设备（若有）代理、报关、关税、汇率差等费用，培训、维保、技术支持、售后服务、企业利润、税金、政策性文件规定及合同包含的所有风险、责任等各项应有费用，包括</w:t>
      </w:r>
      <w:r>
        <w:rPr>
          <w:rFonts w:hint="eastAsia" w:ascii="Times New Roman" w:hAnsi="Times New Roman"/>
          <w:sz w:val="21"/>
        </w:rPr>
        <w:t xml:space="preserve">磋商</w:t>
      </w:r>
      <w:r>
        <w:rPr>
          <w:rFonts w:hint="eastAsia" w:ascii="Times New Roman" w:hAnsi="Times New Roman"/>
          <w:sz w:val="21"/>
        </w:rPr>
        <w:t xml:space="preserve">文件中要求的所有许可证、批复及执照等的获</w:t>
      </w:r>
      <w:r>
        <w:rPr>
          <w:rFonts w:hint="eastAsia" w:ascii="Times New Roman" w:hAnsi="Times New Roman"/>
          <w:sz w:val="21"/>
        </w:rPr>
        <w:t xml:space="preserve">得，操作、维护及培训服务以及招标文件规定的其他项目和服务等方面都应包含在或合理地隐含在承包商的责任、义务和风险中。</w:t>
      </w:r>
      <w:r>
        <w:rPr>
          <w:rFonts w:hint="eastAsia" w:ascii="宋体" w:hAnsi="宋体" w:cs="宋体"/>
          <w:color w:val="000000"/>
          <w:sz w:val="21"/>
          <w:szCs w:val="21"/>
        </w:rPr>
        <w:t xml:space="preserve">需要从现有系统中实现历史数据迁移，如产生费用则包含在本项目中，招标人不再额外支付费用。</w:t>
      </w:r>
      <w:r>
        <w:rPr>
          <w:rFonts w:hint="eastAsia" w:ascii="Times New Roman" w:hAnsi="Times New Roman"/>
          <w:sz w:val="21"/>
        </w:rPr>
        <w:t xml:space="preserve">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2"/>
        <w:ind w:left="0" w:firstLine="0"/>
      </w:pPr>
      <w:r/>
      <w:r/>
    </w:p>
    <w:p>
      <w:pPr>
        <w:rPr>
          <w:b/>
          <w:sz w:val="44"/>
          <w:szCs w:val="44"/>
        </w:rPr>
      </w:pPr>
      <w:r>
        <w:rPr>
          <w:rFonts w:hint="eastAsia"/>
          <w:b/>
          <w:sz w:val="44"/>
          <w:szCs w:val="44"/>
        </w:rPr>
        <w:br w:type="page" w:clear="all"/>
      </w:r>
      <w:r/>
    </w:p>
    <w:p>
      <w:pPr>
        <w:pStyle w:val="994"/>
        <w:ind w:left="0" w:firstLine="0"/>
        <w:jc w:val="center"/>
        <w:spacing w:line="360" w:lineRule="auto"/>
        <w:rPr>
          <w:b/>
          <w:sz w:val="44"/>
          <w:szCs w:val="44"/>
        </w:rPr>
      </w:pPr>
      <w:r/>
      <w:bookmarkStart w:id="95" w:name="_Toc167285820"/>
      <w:r>
        <w:rPr>
          <w:rFonts w:hint="eastAsia"/>
          <w:b/>
          <w:sz w:val="44"/>
          <w:szCs w:val="44"/>
        </w:rPr>
        <w:t xml:space="preserve">第五章</w:t>
      </w:r>
      <w:r>
        <w:rPr>
          <w:rFonts w:hint="eastAsia"/>
          <w:b/>
          <w:sz w:val="44"/>
          <w:szCs w:val="44"/>
        </w:rPr>
        <w:t xml:space="preserve"> </w:t>
      </w:r>
      <w:bookmarkStart w:id="96" w:name="合同的特殊条款"/>
      <w:r/>
      <w:bookmarkEnd w:id="96"/>
      <w:r>
        <w:rPr>
          <w:rFonts w:hint="eastAsia"/>
          <w:b/>
          <w:sz w:val="44"/>
          <w:szCs w:val="44"/>
        </w:rPr>
        <w:t xml:space="preserve">合同及主要条款</w:t>
      </w:r>
      <w:bookmarkEnd w:id="83"/>
      <w:r/>
      <w:bookmarkEnd w:id="84"/>
      <w:r/>
      <w:bookmarkEnd w:id="85"/>
      <w:r/>
      <w:bookmarkEnd w:id="86"/>
      <w:r/>
      <w:bookmarkEnd w:id="87"/>
      <w:r/>
      <w:bookmarkEnd w:id="88"/>
      <w:r/>
      <w:bookmarkEnd w:id="95"/>
      <w:r/>
      <w:r/>
    </w:p>
    <w:p>
      <w:pPr>
        <w:ind w:left="0"/>
        <w:jc w:val="center"/>
        <w:rPr>
          <w:rFonts w:ascii="宋体" w:hAnsi="宋体" w:cs="宋体"/>
          <w:b/>
          <w:sz w:val="32"/>
          <w:szCs w:val="32"/>
        </w:rPr>
      </w:pPr>
      <w:r/>
      <w:bookmarkStart w:id="97" w:name="_Toc27667"/>
      <w:r/>
      <w:bookmarkStart w:id="98" w:name="_Toc57376410"/>
      <w:r/>
      <w:bookmarkStart w:id="99" w:name="_Toc58248884"/>
      <w:r/>
      <w:bookmarkStart w:id="100" w:name="_Toc32730"/>
      <w:r/>
      <w:bookmarkStart w:id="101" w:name="_Toc8564"/>
      <w:r/>
      <w:bookmarkEnd w:id="8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项目名称：科研创新服务平台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JSZC-320500-JZCG-C2026-0206</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合同签订完毕生效后，甲方一次性向乙方支付合同总价的30%作为预付款；合同签订10日内，乙方将合同总金额10%的履约保证金缴纳至甲方指定账户；待系</w:t>
      </w:r>
      <w:r>
        <w:rPr>
          <w:rFonts w:hint="eastAsia" w:ascii="宋体" w:hAnsi="宋体" w:cs="宋体"/>
          <w:sz w:val="21"/>
          <w:szCs w:val="21"/>
          <w:u w:val="single"/>
        </w:rPr>
        <w:t xml:space="preserve">统全部安装到位，并完成调试后进入试运行阶段7天内，乙方提供如下A、B、C、D单据后，甲方一次性向乙方支付合同总价的40%；整体项目经甲方验收合格后，乙方向甲方提供如下A、E单据后，甲方一次性向乙方支付合同总价的30%。维保期满后，且无质量问题，乙方向甲方提出书面申请，待甲方签字同意支付后，甲方一个月内退回履约保证金（无息），若甲方超期未退还，则按照银行同期贷款利率支付利息。（A、合法销售增值税专用发票；B、甲方签收后的送货回单；C、履约保证金缴纳凭证；D、试运行申请单；E、由甲乙双方签章的《履行验收报告》）</w:t>
      </w:r>
      <w:r>
        <w:rPr>
          <w:rFonts w:hint="eastAsia" w:ascii="宋体" w:hAnsi="宋体" w:cs="宋体"/>
          <w:sz w:val="21"/>
          <w:szCs w:val="21"/>
        </w:rPr>
        <w:t xml:space="preserve">，其中涉及预付款的：</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合同签订完毕生效后，甲方一次性向乙方支付合同总价的30%作为预付款</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ascii="宋体" w:hAnsi="宋体" w:cs="宋体"/>
          <w:sz w:val="21"/>
          <w:szCs w:val="21"/>
          <w:u w:val="single"/>
        </w:rPr>
        <w:t xml:space="preserve">     </w:t>
      </w:r>
      <w:bookmarkStart w:id="102" w:name="OLE_LINK21"/>
      <w:r/>
      <w:bookmarkStart w:id="103" w:name="OLE_LINK23"/>
      <w:r>
        <w:rPr>
          <w:rFonts w:ascii="宋体" w:hAnsi="宋体" w:cs="宋体"/>
          <w:sz w:val="21"/>
          <w:szCs w:val="21"/>
          <w:u w:val="single"/>
        </w:rPr>
        <w:t xml:space="preserve">           </w:t>
      </w:r>
      <w:bookmarkEnd w:id="102"/>
      <w:r/>
      <w:bookmarkEnd w:id="103"/>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þ</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hint="eastAsia" w:ascii="宋体" w:hAnsi="宋体" w:cs="宋体"/>
          <w:sz w:val="21"/>
          <w:szCs w:val="21"/>
          <w:u w:val="single"/>
        </w:rPr>
        <w:t xml:space="preserve">以支票、汇票、本票或者金融机构、担保机构出具的保函等非现金形式</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hint="eastAsia" w:ascii="宋体" w:hAnsi="宋体" w:cs="宋体"/>
          <w:sz w:val="21"/>
          <w:szCs w:val="21"/>
          <w:u w:val="single"/>
        </w:rPr>
        <w:t xml:space="preserve">合同总金额10%</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4" w:name="OLE_LINK7"/>
      <w:r/>
      <w:bookmarkStart w:id="105"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4"/>
      <w:r/>
      <w:bookmarkEnd w:id="105"/>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（计划于何时验收/供应商提出验收申请之日起   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6" w:name="OLE_LINK10"/>
      <w:r>
        <w:rPr>
          <w:rFonts w:hint="eastAsia" w:ascii="宋体" w:hAnsi="宋体" w:cs="宋体"/>
          <w:sz w:val="21"/>
          <w:szCs w:val="21"/>
        </w:rPr>
        <w:t xml:space="preserve">甲方可以在合同价款10%的范围内追加与合同标的相同的服务</w:t>
      </w:r>
      <w:bookmarkEnd w:id="106"/>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w:t>
      </w:r>
      <w:r>
        <w:rPr>
          <w:rFonts w:hint="eastAsia" w:ascii="宋体" w:hAnsi="宋体" w:cs="宋体"/>
          <w:sz w:val="21"/>
          <w:szCs w:val="21"/>
        </w:rPr>
        <w:t xml:space="preserve">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7" w:name="_Toc68611039"/>
      <w:r/>
      <w:bookmarkStart w:id="108" w:name="_Toc167285821"/>
      <w:r>
        <w:rPr>
          <w:rFonts w:hint="eastAsia"/>
          <w:b/>
          <w:sz w:val="44"/>
          <w:szCs w:val="44"/>
        </w:rPr>
        <w:t xml:space="preserve">第六章</w:t>
      </w:r>
      <w:r>
        <w:rPr>
          <w:rFonts w:hint="eastAsia"/>
          <w:b/>
          <w:sz w:val="44"/>
          <w:szCs w:val="44"/>
        </w:rPr>
        <w:t xml:space="preserve"> </w:t>
      </w:r>
      <w:bookmarkStart w:id="109" w:name="评分要点"/>
      <w:r/>
      <w:bookmarkEnd w:id="109"/>
      <w:r>
        <w:rPr>
          <w:rFonts w:hint="eastAsia"/>
          <w:b/>
          <w:sz w:val="44"/>
          <w:szCs w:val="44"/>
        </w:rPr>
        <w:t xml:space="preserve">评审办法和评分标准</w:t>
      </w:r>
      <w:bookmarkEnd w:id="97"/>
      <w:r/>
      <w:bookmarkEnd w:id="98"/>
      <w:r/>
      <w:bookmarkEnd w:id="99"/>
      <w:r/>
      <w:bookmarkEnd w:id="100"/>
      <w:r/>
      <w:bookmarkEnd w:id="101"/>
      <w:r/>
      <w:bookmarkEnd w:id="107"/>
      <w:r/>
      <w:bookmarkEnd w:id="108"/>
      <w:r/>
      <w:r/>
    </w:p>
    <w:p>
      <w:pPr>
        <w:ind w:left="0" w:firstLine="422"/>
        <w:spacing w:line="360" w:lineRule="auto"/>
        <w:rPr>
          <w:b/>
          <w:sz w:val="21"/>
          <w:szCs w:val="21"/>
        </w:rPr>
      </w:pPr>
      <w:r/>
      <w:bookmarkStart w:id="110" w:name="_Toc16264"/>
      <w:r/>
      <w:bookmarkStart w:id="111" w:name="_Toc17476"/>
      <w:r/>
      <w:bookmarkStart w:id="112" w:name="_Toc698"/>
      <w:r>
        <w:rPr>
          <w:rFonts w:hint="eastAsia"/>
          <w:b/>
          <w:sz w:val="21"/>
          <w:szCs w:val="21"/>
        </w:rPr>
        <w:t xml:space="preserve">一、评审办法：</w:t>
      </w:r>
      <w:bookmarkEnd w:id="110"/>
      <w:r/>
      <w:bookmarkEnd w:id="111"/>
      <w:r/>
      <w:bookmarkEnd w:id="11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w:t>
      </w:r>
      <w:bookmarkStart w:id="113" w:name="OLE_LINK13"/>
      <w:r>
        <w:rPr>
          <w:rFonts w:hint="eastAsia" w:ascii="宋体" w:hAnsi="宋体"/>
          <w:b/>
          <w:bCs/>
          <w:sz w:val="21"/>
          <w:szCs w:val="21"/>
        </w:rPr>
        <w:t xml:space="preserve">面向中小企业</w:t>
      </w:r>
      <w:bookmarkEnd w:id="113"/>
      <w:r>
        <w:rPr>
          <w:rFonts w:hint="eastAsia" w:ascii="宋体" w:hAnsi="宋体"/>
          <w:b/>
          <w:bCs/>
          <w:sz w:val="21"/>
          <w:szCs w:val="21"/>
        </w:rPr>
        <w:t xml:space="preserve">采购的项目，不再执行价格评审优惠的扶持政策，且供应商提供服务的人员应为依照《中华人民共和国劳动合同法》订立劳动合同的从业人员。</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2"/>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276"/>
        <w:gridCol w:w="6237"/>
        <w:gridCol w:w="1134"/>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价格部分（1</w:t>
            </w:r>
            <w:r>
              <w:rPr>
                <w:rFonts w:ascii="宋体" w:hAnsi="宋体" w:cs="Tahoma"/>
                <w:b/>
                <w:color w:val="000000"/>
                <w:sz w:val="21"/>
                <w:szCs w:val="21"/>
              </w:rPr>
              <w:t xml:space="preserve">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第一步：响应总报价低于或等于财政预算价格（或最高限价）的，为有效响应报价。超财政预算（或最高限价）的响应报价为无效响应报价。</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磋商报价得分＝（磋商基准价/最终磋商报价）×价格权值×100（价格权值为</w:t>
            </w:r>
            <w:r>
              <w:rPr>
                <w:rFonts w:ascii="宋体" w:hAnsi="宋体" w:cs="宋体"/>
                <w:color w:val="000000"/>
                <w:sz w:val="21"/>
                <w:szCs w:val="21"/>
              </w:rPr>
              <w:t xml:space="preserve">1</w:t>
            </w:r>
            <w:r>
              <w:rPr>
                <w:rFonts w:hint="eastAsia" w:ascii="宋体" w:hAnsi="宋体" w:cs="宋体"/>
                <w:color w:val="000000"/>
                <w:sz w:val="21"/>
                <w:szCs w:val="21"/>
              </w:rPr>
              <w:t xml:space="preserve">0%）</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ascii="宋体" w:hAnsi="宋体" w:cs="宋体"/>
                <w:color w:val="000000"/>
                <w:sz w:val="21"/>
                <w:szCs w:val="21"/>
              </w:rPr>
              <w:t xml:space="preserve">10</w:t>
            </w:r>
            <w:r/>
          </w:p>
        </w:tc>
      </w:tr>
      <w:tr>
        <w:trPr>
          <w:jc w:val="center"/>
        </w:trPr>
        <w:tc>
          <w:tcPr>
            <w:tcBorders>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总体技术</w:t>
            </w:r>
            <w:r/>
          </w:p>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响应单位提供项目总体技术方案，包括但不限于：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①项目整体理解；</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②总体构架设计方案；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③各个子系统的设计方案等。</w:t>
            </w:r>
            <w:r/>
          </w:p>
          <w:p>
            <w:pPr>
              <w:ind w:left="0"/>
              <w:jc w:val="left"/>
              <w:spacing w:line="300" w:lineRule="auto"/>
              <w:widowControl w:val="off"/>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项目实施</w:t>
            </w:r>
            <w:r/>
          </w:p>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响应单位提供项目</w:t>
            </w:r>
            <w:r>
              <w:rPr>
                <w:rFonts w:hint="eastAsia" w:ascii="宋体" w:hAnsi="宋体" w:cs="宋体"/>
                <w:color w:val="000000"/>
                <w:sz w:val="21"/>
                <w:szCs w:val="21"/>
              </w:rPr>
              <w:t xml:space="preserve">实施方案</w:t>
            </w:r>
            <w:r>
              <w:rPr>
                <w:rFonts w:hint="eastAsia" w:ascii="宋体" w:hAnsi="宋体" w:cs="宋体"/>
                <w:color w:val="000000"/>
                <w:sz w:val="21"/>
                <w:szCs w:val="21"/>
              </w:rPr>
              <w:t xml:space="preserve">，</w:t>
            </w:r>
            <w:r>
              <w:rPr>
                <w:rFonts w:hint="eastAsia" w:ascii="宋体" w:hAnsi="宋体" w:cs="宋体"/>
                <w:color w:val="000000"/>
                <w:sz w:val="21"/>
                <w:szCs w:val="21"/>
              </w:rPr>
              <w:t xml:space="preserve">包括：</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w:t>
            </w:r>
            <w:r>
              <w:rPr>
                <w:rFonts w:hint="eastAsia" w:ascii="宋体" w:hAnsi="宋体" w:cs="宋体"/>
                <w:color w:val="000000"/>
                <w:sz w:val="21"/>
                <w:szCs w:val="21"/>
              </w:rPr>
              <w:t xml:space="preserve">项目实施进度计划；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组织机构和分工安排；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w:t>
            </w:r>
            <w:r>
              <w:rPr>
                <w:rFonts w:hint="eastAsia" w:ascii="宋体" w:hAnsi="宋体" w:cs="宋体"/>
                <w:color w:val="000000"/>
                <w:sz w:val="21"/>
                <w:szCs w:val="21"/>
              </w:rPr>
              <w:t xml:space="preserve">项目过程各阶段划分和控制等。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响应单位提供的培训方案综合评分，包括：</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1.培训计划；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2.培训内容；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3.培训方式和流程等。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w:t>
            </w:r>
            <w:r>
              <w:rPr>
                <w:rFonts w:hint="eastAsia" w:ascii="宋体" w:hAnsi="宋体" w:cs="宋体"/>
                <w:color w:val="000000"/>
                <w:sz w:val="21"/>
                <w:szCs w:val="21"/>
              </w:rPr>
              <w:t xml:space="preserve">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售后服务</w:t>
            </w:r>
            <w:r/>
          </w:p>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根据响应单位提供的售后服务方案进行综合评审，</w:t>
            </w:r>
            <w:r>
              <w:rPr>
                <w:rFonts w:hint="eastAsia" w:ascii="宋体" w:hAnsi="宋体" w:cs="宋体"/>
                <w:color w:val="000000"/>
                <w:sz w:val="21"/>
                <w:szCs w:val="21"/>
              </w:rPr>
              <w:t xml:space="preserve">包括：</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1.服务流程；</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2.服务范围和内容；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3.应急处理方案等内容。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数据</w:t>
            </w:r>
            <w:r/>
          </w:p>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迁移方案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根据响应单位提供的提出历史数据迁移方案（需要从现有系统中实现历史数据迁移)进行综合评分。 包括：</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1.数据迁移方案；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2.数据迁移流程；</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3.数据迁移核对平台等。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b/>
                <w:bCs/>
                <w:sz w:val="21"/>
              </w:rPr>
            </w:pPr>
            <w:r>
              <w:rPr>
                <w:rFonts w:hint="eastAsia" w:ascii="宋体" w:hAnsi="宋体"/>
                <w:b/>
                <w:bCs/>
                <w:sz w:val="21"/>
              </w:rPr>
              <w:t xml:space="preserve">应急保障</w:t>
            </w:r>
            <w:r/>
          </w:p>
          <w:p>
            <w:pPr>
              <w:ind w:left="0"/>
              <w:jc w:val="center"/>
              <w:spacing w:line="300" w:lineRule="auto"/>
              <w:widowControl w:val="off"/>
              <w:rPr>
                <w:rFonts w:ascii="宋体" w:hAnsi="宋体"/>
                <w:b/>
                <w:bCs/>
                <w:sz w:val="21"/>
              </w:rPr>
            </w:pPr>
            <w:r>
              <w:rPr>
                <w:rFonts w:hint="eastAsia" w:ascii="宋体" w:hAnsi="宋体"/>
                <w:b/>
                <w:bCs/>
                <w:sz w:val="21"/>
              </w:rPr>
              <w:t xml:space="preserve">方案</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根据响应单位提供的应急保障方案</w:t>
            </w:r>
            <w:r>
              <w:rPr>
                <w:rFonts w:hint="eastAsia" w:ascii="宋体" w:hAnsi="宋体" w:cs="宋体"/>
                <w:color w:val="000000"/>
                <w:sz w:val="21"/>
                <w:szCs w:val="21"/>
              </w:rPr>
              <w:t xml:space="preserve">进行综合评分</w:t>
            </w:r>
            <w:r>
              <w:rPr>
                <w:rFonts w:hint="eastAsia" w:ascii="宋体" w:hAnsi="宋体" w:cs="宋体"/>
                <w:color w:val="000000"/>
                <w:sz w:val="21"/>
                <w:szCs w:val="21"/>
              </w:rPr>
              <w:t xml:space="preserve">，包括：</w:t>
            </w:r>
            <w:r/>
          </w:p>
          <w:p>
            <w:pPr>
              <w:ind w:left="0"/>
              <w:jc w:val="left"/>
              <w:spacing w:line="30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1.突发状况应对措施和数据备份方案；</w:t>
            </w:r>
            <w:r/>
          </w:p>
          <w:p>
            <w:pPr>
              <w:ind w:left="0"/>
              <w:jc w:val="left"/>
              <w:spacing w:line="30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2.常见故障预案分析等。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上述每项应逐条叙述，内容完整，条理清晰，每项得2分；内容有一定合理性、可行性的得1分；最高得4分；每项叙述内容与需求偏差较大或未作完整叙述的，不得分</w:t>
            </w:r>
            <w:bookmarkStart w:id="114" w:name="_GoBack"/>
            <w:r/>
            <w:bookmarkEnd w:id="114"/>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4</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企业能力</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1、响应单位具有有效期内的质量管理体系认证证书、信息安全管理体系认证证书、职业健康安全管理体系认证证书、环境管理体系认证证书的，每提供一个得</w:t>
            </w:r>
            <w:r>
              <w:rPr>
                <w:rFonts w:ascii="宋体" w:hAnsi="宋体" w:cs="宋体"/>
                <w:color w:val="000000"/>
                <w:sz w:val="21"/>
                <w:szCs w:val="21"/>
              </w:rPr>
              <w:t xml:space="preserve">1</w:t>
            </w:r>
            <w:r>
              <w:rPr>
                <w:rFonts w:hint="eastAsia" w:ascii="宋体" w:hAnsi="宋体" w:cs="宋体"/>
                <w:color w:val="000000"/>
                <w:sz w:val="21"/>
                <w:szCs w:val="21"/>
              </w:rPr>
              <w:t xml:space="preserve">分，</w:t>
            </w:r>
            <w:r>
              <w:rPr>
                <w:rFonts w:hint="eastAsia" w:ascii="宋体" w:hAnsi="宋体" w:cs="宋体"/>
                <w:color w:val="000000"/>
                <w:sz w:val="21"/>
                <w:szCs w:val="21"/>
              </w:rPr>
              <w:t xml:space="preserve">最高得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ind w:left="0"/>
              <w:jc w:val="left"/>
              <w:spacing w:line="300" w:lineRule="auto"/>
              <w:rPr>
                <w:rFonts w:ascii="宋体" w:hAnsi="宋体" w:cs="宋体"/>
                <w:b/>
                <w:color w:val="000000"/>
                <w:sz w:val="22"/>
                <w:szCs w:val="21"/>
              </w:rPr>
            </w:pPr>
            <w:r>
              <w:rPr>
                <w:rFonts w:hint="eastAsia" w:ascii="宋体" w:hAnsi="宋体" w:cs="宋体"/>
                <w:b/>
                <w:color w:val="000000"/>
                <w:sz w:val="22"/>
                <w:szCs w:val="21"/>
              </w:rPr>
              <w:t xml:space="preserve">注：响应文件中须提供以上相关证书复印件并加盖响应单位公章，不提供不得分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响应单位具有与本项目相关的计算机软件著作权登记证书，每提供一份得</w:t>
            </w:r>
            <w:r>
              <w:rPr>
                <w:rFonts w:ascii="宋体" w:hAnsi="宋体" w:cs="宋体"/>
                <w:color w:val="000000"/>
                <w:sz w:val="21"/>
                <w:szCs w:val="21"/>
              </w:rPr>
              <w:t xml:space="preserve">2</w:t>
            </w:r>
            <w:r>
              <w:rPr>
                <w:rFonts w:hint="eastAsia" w:ascii="宋体" w:hAnsi="宋体" w:cs="宋体"/>
                <w:color w:val="000000"/>
                <w:sz w:val="21"/>
                <w:szCs w:val="21"/>
              </w:rPr>
              <w:t xml:space="preserve">分，本项最高得</w:t>
            </w:r>
            <w:r>
              <w:rPr>
                <w:rFonts w:ascii="宋体" w:hAnsi="宋体" w:cs="宋体"/>
                <w:color w:val="000000"/>
                <w:sz w:val="21"/>
                <w:szCs w:val="21"/>
              </w:rPr>
              <w:t xml:space="preserve">6</w:t>
            </w:r>
            <w:r>
              <w:rPr>
                <w:rFonts w:hint="eastAsia" w:ascii="宋体" w:hAnsi="宋体" w:cs="宋体"/>
                <w:color w:val="000000"/>
                <w:sz w:val="21"/>
                <w:szCs w:val="21"/>
              </w:rPr>
              <w:t xml:space="preserve">分，同一类别证书不重复计分。</w:t>
            </w:r>
            <w:r/>
          </w:p>
          <w:p>
            <w:pPr>
              <w:ind w:left="0"/>
              <w:jc w:val="left"/>
              <w:spacing w:line="300" w:lineRule="auto"/>
              <w:rPr>
                <w:rFonts w:ascii="宋体" w:hAnsi="宋体" w:cs="宋体"/>
                <w:b/>
                <w:color w:val="000000"/>
                <w:sz w:val="22"/>
                <w:szCs w:val="21"/>
              </w:rPr>
            </w:pPr>
            <w:r>
              <w:rPr>
                <w:rFonts w:hint="eastAsia" w:ascii="宋体" w:hAnsi="宋体" w:cs="宋体"/>
                <w:b/>
                <w:color w:val="000000"/>
                <w:sz w:val="22"/>
                <w:szCs w:val="21"/>
              </w:rPr>
              <w:t xml:space="preserve">注：响应文件中须提供以上相关证书复印件并加盖响应单位公章，不提供不得分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3、响应单位承建的</w:t>
            </w:r>
            <w:r>
              <w:rPr>
                <w:rFonts w:hint="eastAsia" w:ascii="宋体" w:hAnsi="宋体" w:cs="宋体"/>
                <w:color w:val="000000"/>
                <w:sz w:val="21"/>
                <w:szCs w:val="21"/>
              </w:rPr>
              <w:t xml:space="preserve">类似</w:t>
            </w:r>
            <w:r>
              <w:rPr>
                <w:rFonts w:hint="eastAsia" w:ascii="宋体" w:hAnsi="宋体" w:cs="宋体"/>
                <w:color w:val="000000"/>
                <w:sz w:val="21"/>
                <w:szCs w:val="21"/>
              </w:rPr>
              <w:t xml:space="preserve">信息化</w:t>
            </w:r>
            <w:r>
              <w:rPr>
                <w:rFonts w:hint="eastAsia" w:ascii="宋体" w:hAnsi="宋体" w:cs="宋体"/>
                <w:color w:val="000000"/>
                <w:sz w:val="21"/>
                <w:szCs w:val="21"/>
              </w:rPr>
              <w:t xml:space="preserve">项目获得</w:t>
            </w:r>
            <w:r>
              <w:rPr>
                <w:rFonts w:hint="eastAsia" w:ascii="宋体" w:hAnsi="宋体" w:cs="宋体"/>
                <w:color w:val="000000"/>
                <w:sz w:val="21"/>
                <w:szCs w:val="21"/>
              </w:rPr>
              <w:t xml:space="preserve">政府部门颁发的荣誉</w:t>
            </w:r>
            <w:r>
              <w:rPr>
                <w:rFonts w:hint="eastAsia" w:ascii="宋体" w:hAnsi="宋体" w:cs="宋体"/>
                <w:color w:val="000000"/>
                <w:sz w:val="21"/>
                <w:szCs w:val="21"/>
              </w:rPr>
              <w:t xml:space="preserve">或奖励</w:t>
            </w:r>
            <w:r>
              <w:rPr>
                <w:rFonts w:hint="eastAsia" w:ascii="宋体" w:hAnsi="宋体" w:cs="宋体"/>
                <w:color w:val="000000"/>
                <w:sz w:val="21"/>
                <w:szCs w:val="21"/>
              </w:rPr>
              <w:t xml:space="preserve">的，每提供1个得</w:t>
            </w:r>
            <w:r>
              <w:rPr>
                <w:rFonts w:hint="eastAsia" w:ascii="宋体" w:hAnsi="宋体" w:cs="宋体"/>
                <w:color w:val="000000"/>
                <w:sz w:val="21"/>
                <w:szCs w:val="21"/>
              </w:rPr>
              <w:t xml:space="preserve">2分，最高</w:t>
            </w:r>
            <w:r>
              <w:rPr>
                <w:rFonts w:hint="eastAsia" w:ascii="宋体" w:hAnsi="宋体" w:cs="宋体"/>
                <w:color w:val="000000"/>
                <w:sz w:val="21"/>
                <w:szCs w:val="21"/>
              </w:rPr>
              <w:t xml:space="preserve">得</w:t>
            </w:r>
            <w:r>
              <w:rPr>
                <w:rFonts w:ascii="宋体" w:hAnsi="宋体" w:cs="宋体"/>
                <w:color w:val="000000"/>
                <w:sz w:val="21"/>
                <w:szCs w:val="21"/>
              </w:rPr>
              <w:t xml:space="preserve">2</w:t>
            </w:r>
            <w:r>
              <w:rPr>
                <w:rFonts w:hint="eastAsia" w:ascii="宋体" w:hAnsi="宋体" w:cs="宋体"/>
                <w:color w:val="000000"/>
                <w:sz w:val="21"/>
                <w:szCs w:val="21"/>
              </w:rPr>
              <w:t xml:space="preserve">分。</w:t>
            </w:r>
            <w:r/>
          </w:p>
          <w:p>
            <w:pPr>
              <w:ind w:left="0"/>
              <w:jc w:val="left"/>
              <w:spacing w:line="300" w:lineRule="auto"/>
              <w:rPr>
                <w:rFonts w:ascii="宋体" w:hAnsi="宋体" w:cs="宋体"/>
                <w:b/>
                <w:color w:val="000000"/>
                <w:sz w:val="22"/>
                <w:szCs w:val="21"/>
              </w:rPr>
            </w:pPr>
            <w:r>
              <w:rPr>
                <w:rFonts w:hint="eastAsia" w:ascii="宋体" w:hAnsi="宋体" w:cs="宋体"/>
                <w:b/>
                <w:color w:val="000000"/>
                <w:sz w:val="22"/>
                <w:szCs w:val="21"/>
              </w:rPr>
              <w:t xml:space="preserve">注：响应文件中须提供以上相关证书复印件并加盖响应单位公章，不提供不得分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color w:val="000000"/>
                <w:sz w:val="21"/>
                <w:szCs w:val="21"/>
              </w:rPr>
              <w:t xml:space="preserve">2</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类似项目</w:t>
            </w:r>
            <w:r/>
          </w:p>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响应单位提供2023年1月1日（含）以来（时间以合同签订时间为准）类似项目业绩，每提供1个得</w:t>
            </w:r>
            <w:r>
              <w:rPr>
                <w:rFonts w:ascii="宋体" w:hAnsi="宋体" w:cs="宋体"/>
                <w:color w:val="000000"/>
                <w:sz w:val="21"/>
                <w:szCs w:val="21"/>
              </w:rPr>
              <w:t xml:space="preserve">2</w:t>
            </w:r>
            <w:r>
              <w:rPr>
                <w:rFonts w:hint="eastAsia" w:ascii="宋体" w:hAnsi="宋体" w:cs="宋体"/>
                <w:color w:val="000000"/>
                <w:sz w:val="21"/>
                <w:szCs w:val="21"/>
              </w:rPr>
              <w:t xml:space="preserve">分，最多</w:t>
            </w:r>
            <w:r>
              <w:rPr>
                <w:rFonts w:ascii="宋体" w:hAnsi="宋体" w:cs="宋体"/>
                <w:color w:val="000000"/>
                <w:sz w:val="21"/>
                <w:szCs w:val="21"/>
              </w:rPr>
              <w:t xml:space="preserve">6</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注：响应文件中需提供完整合同复印件并加盖响应单位公章，不提供不得分。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6</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项目实施</w:t>
            </w:r>
            <w:r/>
          </w:p>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能力</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1、响应单位拟派项目经理</w:t>
            </w:r>
            <w:r>
              <w:rPr>
                <w:rFonts w:hint="eastAsia" w:ascii="宋体" w:hAnsi="宋体" w:cs="宋体"/>
                <w:color w:val="000000"/>
                <w:sz w:val="21"/>
                <w:szCs w:val="21"/>
              </w:rPr>
              <w:t xml:space="preserve">以项目经理身份主导过5年以上</w:t>
            </w:r>
            <w:r>
              <w:rPr>
                <w:rFonts w:hint="eastAsia" w:ascii="宋体" w:hAnsi="宋体" w:cs="宋体"/>
                <w:color w:val="000000"/>
                <w:sz w:val="21"/>
                <w:szCs w:val="21"/>
              </w:rPr>
              <w:t xml:space="preserve">类似</w:t>
            </w:r>
            <w:r>
              <w:rPr>
                <w:rFonts w:hint="eastAsia" w:ascii="宋体" w:hAnsi="宋体" w:cs="宋体"/>
                <w:color w:val="000000"/>
                <w:sz w:val="21"/>
                <w:szCs w:val="21"/>
              </w:rPr>
              <w:t xml:space="preserve">科研信息化</w:t>
            </w:r>
            <w:r>
              <w:rPr>
                <w:rFonts w:hint="eastAsia" w:ascii="宋体" w:hAnsi="宋体" w:cs="宋体"/>
                <w:color w:val="000000"/>
                <w:sz w:val="21"/>
                <w:szCs w:val="21"/>
              </w:rPr>
              <w:t xml:space="preserve">项目</w:t>
            </w:r>
            <w:r>
              <w:rPr>
                <w:rFonts w:hint="eastAsia" w:ascii="宋体" w:hAnsi="宋体" w:cs="宋体"/>
                <w:color w:val="000000"/>
                <w:sz w:val="21"/>
                <w:szCs w:val="21"/>
              </w:rPr>
              <w:t xml:space="preserve">实施，每提供</w:t>
            </w:r>
            <w:r>
              <w:rPr>
                <w:rFonts w:hint="eastAsia" w:ascii="宋体" w:hAnsi="宋体" w:cs="宋体"/>
                <w:color w:val="000000"/>
                <w:sz w:val="21"/>
                <w:szCs w:val="21"/>
              </w:rPr>
              <w:t xml:space="preserve">1个</w:t>
            </w:r>
            <w:r>
              <w:rPr>
                <w:rFonts w:hint="eastAsia" w:ascii="宋体" w:hAnsi="宋体" w:cs="宋体"/>
                <w:color w:val="000000"/>
                <w:sz w:val="21"/>
                <w:szCs w:val="21"/>
              </w:rPr>
              <w:t xml:space="preserve">项目经验</w:t>
            </w:r>
            <w:r>
              <w:rPr>
                <w:rFonts w:hint="eastAsia" w:ascii="宋体" w:hAnsi="宋体" w:cs="宋体"/>
                <w:color w:val="000000"/>
                <w:sz w:val="21"/>
                <w:szCs w:val="21"/>
              </w:rPr>
              <w:t xml:space="preserve">得</w:t>
            </w:r>
            <w:r>
              <w:rPr>
                <w:rFonts w:ascii="宋体" w:hAnsi="宋体" w:cs="宋体"/>
                <w:color w:val="000000"/>
                <w:sz w:val="21"/>
                <w:szCs w:val="21"/>
              </w:rPr>
              <w:t xml:space="preserve">2</w:t>
            </w:r>
            <w:r>
              <w:rPr>
                <w:rFonts w:hint="eastAsia" w:ascii="宋体" w:hAnsi="宋体" w:cs="宋体"/>
                <w:color w:val="000000"/>
                <w:sz w:val="21"/>
                <w:szCs w:val="21"/>
              </w:rPr>
              <w:t xml:space="preserve">分，最多得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响应单位拟派项目经理</w:t>
            </w:r>
            <w:r>
              <w:rPr>
                <w:rFonts w:hint="eastAsia" w:ascii="宋体" w:hAnsi="宋体" w:cs="宋体"/>
                <w:color w:val="000000"/>
                <w:sz w:val="21"/>
                <w:szCs w:val="21"/>
              </w:rPr>
              <w:t xml:space="preserve">具有硕士研究生（含）及以上学</w:t>
            </w:r>
            <w:r>
              <w:rPr>
                <w:rFonts w:hint="eastAsia" w:ascii="宋体" w:hAnsi="宋体" w:cs="宋体"/>
                <w:color w:val="000000"/>
                <w:sz w:val="21"/>
                <w:szCs w:val="21"/>
              </w:rPr>
              <w:t xml:space="preserve">历证书</w:t>
            </w:r>
            <w:r>
              <w:rPr>
                <w:rFonts w:hint="eastAsia" w:ascii="宋体" w:hAnsi="宋体" w:cs="宋体"/>
                <w:color w:val="000000"/>
                <w:sz w:val="21"/>
                <w:szCs w:val="21"/>
              </w:rPr>
              <w:t xml:space="preserve">、具有</w:t>
            </w:r>
            <w:r>
              <w:rPr>
                <w:rFonts w:hint="eastAsia" w:ascii="宋体" w:hAnsi="宋体" w:cs="宋体"/>
                <w:color w:val="000000"/>
                <w:sz w:val="21"/>
                <w:szCs w:val="21"/>
              </w:rPr>
              <w:t xml:space="preserve">系统集成项目管理工程师证书，每</w:t>
            </w:r>
            <w:r>
              <w:rPr>
                <w:rFonts w:hint="eastAsia" w:ascii="宋体" w:hAnsi="宋体" w:cs="宋体"/>
                <w:color w:val="000000"/>
                <w:sz w:val="21"/>
                <w:szCs w:val="21"/>
              </w:rPr>
              <w:t xml:space="preserve">提供1个</w:t>
            </w:r>
            <w:r>
              <w:rPr>
                <w:rFonts w:hint="eastAsia" w:ascii="宋体" w:hAnsi="宋体" w:cs="宋体"/>
                <w:color w:val="000000"/>
                <w:sz w:val="21"/>
                <w:szCs w:val="21"/>
              </w:rPr>
              <w:t xml:space="preserve">证书</w:t>
            </w:r>
            <w:r>
              <w:rPr>
                <w:rFonts w:hint="eastAsia" w:ascii="宋体" w:hAnsi="宋体" w:cs="宋体"/>
                <w:color w:val="000000"/>
                <w:sz w:val="21"/>
                <w:szCs w:val="21"/>
              </w:rPr>
              <w:t xml:space="preserve">得</w:t>
            </w:r>
            <w:r>
              <w:rPr>
                <w:rFonts w:ascii="宋体" w:hAnsi="宋体" w:cs="宋体"/>
                <w:color w:val="000000"/>
                <w:sz w:val="21"/>
                <w:szCs w:val="21"/>
              </w:rPr>
              <w:t xml:space="preserve">2</w:t>
            </w:r>
            <w:r>
              <w:rPr>
                <w:rFonts w:hint="eastAsia" w:ascii="宋体" w:hAnsi="宋体" w:cs="宋体"/>
                <w:color w:val="000000"/>
                <w:sz w:val="21"/>
                <w:szCs w:val="21"/>
              </w:rPr>
              <w:t xml:space="preserve">分，最多得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ind w:left="0"/>
              <w:jc w:val="left"/>
              <w:spacing w:line="300" w:lineRule="auto"/>
              <w:widowControl w:val="off"/>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、项目组实施团队(包括项目经理)中每有1人具有信</w:t>
            </w:r>
            <w:r>
              <w:rPr>
                <w:rFonts w:hint="eastAsia" w:ascii="宋体" w:hAnsi="宋体" w:cs="宋体"/>
                <w:color w:val="000000"/>
                <w:sz w:val="21"/>
                <w:szCs w:val="21"/>
              </w:rPr>
              <w:t xml:space="preserve">息系统项目管理师</w:t>
            </w:r>
            <w:r>
              <w:rPr>
                <w:rFonts w:hint="eastAsia" w:ascii="宋体" w:hAnsi="宋体" w:cs="宋体"/>
                <w:color w:val="000000"/>
                <w:sz w:val="21"/>
                <w:szCs w:val="21"/>
              </w:rPr>
              <w:t xml:space="preserve">或软件设计师或系统架构设计师证证书的，每提供1人的相关证书得</w:t>
            </w:r>
            <w:r>
              <w:rPr>
                <w:rFonts w:ascii="宋体" w:hAnsi="宋体" w:cs="宋体"/>
                <w:color w:val="000000"/>
                <w:sz w:val="21"/>
                <w:szCs w:val="21"/>
              </w:rPr>
              <w:t xml:space="preserve">2</w:t>
            </w:r>
            <w:r>
              <w:rPr>
                <w:rFonts w:hint="eastAsia" w:ascii="宋体" w:hAnsi="宋体" w:cs="宋体"/>
                <w:color w:val="000000"/>
                <w:sz w:val="21"/>
                <w:szCs w:val="21"/>
              </w:rPr>
              <w:t xml:space="preserve">分，最高得</w:t>
            </w:r>
            <w:r>
              <w:rPr>
                <w:rFonts w:ascii="宋体" w:hAnsi="宋体" w:cs="宋体"/>
                <w:color w:val="000000"/>
                <w:sz w:val="21"/>
                <w:szCs w:val="21"/>
              </w:rPr>
              <w:t xml:space="preserve">6</w:t>
            </w:r>
            <w:r>
              <w:rPr>
                <w:rFonts w:hint="eastAsia" w:ascii="宋体" w:hAnsi="宋体" w:cs="宋体"/>
                <w:color w:val="000000"/>
                <w:sz w:val="21"/>
                <w:szCs w:val="21"/>
              </w:rPr>
              <w:t xml:space="preserve">分。</w:t>
            </w:r>
            <w:r/>
          </w:p>
          <w:p>
            <w:pPr>
              <w:pStyle w:val="1006"/>
              <w:ind w:left="0" w:firstLine="0"/>
              <w:rPr>
                <w:b/>
              </w:rPr>
            </w:pPr>
            <w:r>
              <w:rPr>
                <w:rFonts w:hint="eastAsia"/>
                <w:b/>
              </w:rPr>
              <w:t xml:space="preserve">注：响应文件中需提供</w:t>
            </w:r>
            <w:r>
              <w:rPr>
                <w:rFonts w:hint="eastAsia" w:ascii="宋体" w:hAnsi="宋体" w:cs="宋体"/>
                <w:b/>
                <w:color w:val="000000"/>
                <w:sz w:val="21"/>
                <w:szCs w:val="21"/>
              </w:rPr>
              <w:t xml:space="preserve">（1）项目经理以往实施项目验收报告复印件并加盖响应单位公章（验收报告上必须有项目经理本人签名，原件备查）、</w:t>
            </w:r>
            <w:r>
              <w:rPr>
                <w:rFonts w:hint="eastAsia" w:ascii="宋体" w:hAnsi="宋体" w:cs="宋体"/>
                <w:b/>
                <w:color w:val="000000"/>
                <w:sz w:val="21"/>
                <w:szCs w:val="21"/>
              </w:rPr>
              <w:t xml:space="preserve">（2）</w:t>
            </w:r>
            <w:r>
              <w:rPr>
                <w:rFonts w:hint="eastAsia" w:ascii="宋体" w:hAnsi="宋体" w:cs="宋体"/>
                <w:b/>
                <w:color w:val="000000"/>
                <w:sz w:val="21"/>
                <w:szCs w:val="21"/>
              </w:rPr>
              <w:t xml:space="preserve">相关人员的证书复印件并加盖响应单位公章</w:t>
            </w:r>
            <w:r>
              <w:rPr>
                <w:rFonts w:hint="eastAsia" w:ascii="宋体" w:hAnsi="宋体" w:cs="宋体"/>
                <w:b/>
                <w:color w:val="000000"/>
                <w:sz w:val="21"/>
                <w:szCs w:val="21"/>
              </w:rPr>
              <w:t xml:space="preserve">（</w:t>
            </w:r>
            <w:r>
              <w:rPr>
                <w:rFonts w:ascii="宋体" w:hAnsi="宋体" w:cs="宋体"/>
                <w:b/>
                <w:color w:val="000000"/>
                <w:sz w:val="21"/>
                <w:szCs w:val="21"/>
              </w:rPr>
              <w:t xml:space="preserve">3</w:t>
            </w:r>
            <w:r>
              <w:rPr>
                <w:rFonts w:hint="eastAsia" w:ascii="宋体" w:hAnsi="宋体" w:cs="宋体"/>
                <w:b/>
                <w:color w:val="000000"/>
                <w:sz w:val="21"/>
                <w:szCs w:val="21"/>
              </w:rPr>
              <w:t xml:space="preserve">）项目经理和实施人员需提供资质证书扫描件、响应单位为其缴纳的最近一期的社保证明复印件，并加盖响应单位公章。未按要求提供或不提供不得分。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1"/>
                <w:szCs w:val="21"/>
              </w:rPr>
              <w:t xml:space="preserve">14</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评委根据响应单位提供的演示视频综合评分。演示视频包括以下内容： </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（1）基础功能：</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1）功能菜单自定义（现场修改菜单名称、调整顺序）；</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2）表格视图自定义（现场修改某个录入页面中的字段类型、输入框长度、是否必填等）；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3）列表表头自定义；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4）查询条件自定义；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5）Excel 导入自定义；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6）Excel 导出自定义；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7）流程配置自定义（现场配置 审批流）；</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8)权限自定义（现场修改角色权限，包括角色等级、业务权限、操作权限编辑/删除/审核/导出等）。</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w:t>
            </w:r>
            <w:r>
              <w:rPr>
                <w:rFonts w:hint="eastAsia" w:ascii="宋体" w:hAnsi="宋体" w:cs="宋体"/>
                <w:b/>
                <w:color w:val="000000"/>
                <w:sz w:val="21"/>
                <w:szCs w:val="21"/>
              </w:rPr>
              <w:t xml:space="preserve">上述每项演示效果流畅、界面设计合理、能实现全部功能的得</w:t>
            </w:r>
            <w:r>
              <w:rPr>
                <w:rFonts w:ascii="宋体" w:hAnsi="宋体" w:cs="宋体"/>
                <w:b/>
                <w:color w:val="000000"/>
                <w:sz w:val="21"/>
                <w:szCs w:val="21"/>
              </w:rPr>
              <w:t xml:space="preserve">1</w:t>
            </w:r>
            <w:r>
              <w:rPr>
                <w:rFonts w:hint="eastAsia" w:ascii="宋体" w:hAnsi="宋体" w:cs="宋体"/>
                <w:b/>
                <w:color w:val="000000"/>
                <w:sz w:val="21"/>
                <w:szCs w:val="21"/>
              </w:rPr>
              <w:t xml:space="preserve">分;基本能实现功能、演示效果不流畅的得</w:t>
            </w:r>
            <w:r>
              <w:rPr>
                <w:rFonts w:ascii="宋体" w:hAnsi="宋体" w:cs="宋体"/>
                <w:b/>
                <w:color w:val="000000"/>
                <w:sz w:val="21"/>
                <w:szCs w:val="21"/>
              </w:rPr>
              <w:t xml:space="preserve">0.5</w:t>
            </w:r>
            <w:r>
              <w:rPr>
                <w:rFonts w:hint="eastAsia" w:ascii="宋体" w:hAnsi="宋体" w:cs="宋体"/>
                <w:b/>
                <w:color w:val="000000"/>
                <w:sz w:val="21"/>
                <w:szCs w:val="21"/>
              </w:rPr>
              <w:t xml:space="preserve">分；未实现功能的不得分。本项最高得8分。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（2）经费预算：</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1）针对不同项目分类设定不同的经费卡拆分、预算拆分模式，包含按到款拆分预算、按批复预算拆分预算、负责人确认预算拆分方式；</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2）展示按经费到款拆分预算（预算拆分金额和到款金额保持一致）、展示按经费批复拆分预算（预算拆分金额和留校预算保持一致）、展示负责人自由选择预算拆分模式，拆分后可查看拆分效果。</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w:t>
            </w:r>
            <w:r>
              <w:rPr>
                <w:rFonts w:hint="eastAsia" w:ascii="宋体" w:hAnsi="宋体" w:cs="宋体"/>
                <w:b/>
                <w:color w:val="000000"/>
                <w:sz w:val="21"/>
                <w:szCs w:val="21"/>
              </w:rPr>
              <w:t xml:space="preserve">上述每项演示效果流畅、界面设计合理、能实现全部功能的得</w:t>
            </w:r>
            <w:r>
              <w:rPr>
                <w:rFonts w:ascii="宋体" w:hAnsi="宋体" w:cs="宋体"/>
                <w:b/>
                <w:color w:val="000000"/>
                <w:sz w:val="21"/>
                <w:szCs w:val="21"/>
              </w:rPr>
              <w:t xml:space="preserve">2</w:t>
            </w:r>
            <w:r>
              <w:rPr>
                <w:rFonts w:hint="eastAsia" w:ascii="宋体" w:hAnsi="宋体" w:cs="宋体"/>
                <w:b/>
                <w:color w:val="000000"/>
                <w:sz w:val="21"/>
                <w:szCs w:val="21"/>
              </w:rPr>
              <w:t xml:space="preserve">分;基本能实现功能、演示效果不流畅的得</w:t>
            </w:r>
            <w:r>
              <w:rPr>
                <w:rFonts w:ascii="宋体" w:hAnsi="宋体" w:cs="宋体"/>
                <w:b/>
                <w:color w:val="000000"/>
                <w:sz w:val="21"/>
                <w:szCs w:val="21"/>
              </w:rPr>
              <w:t xml:space="preserve">1</w:t>
            </w:r>
            <w:r>
              <w:rPr>
                <w:rFonts w:hint="eastAsia" w:ascii="宋体" w:hAnsi="宋体" w:cs="宋体"/>
                <w:b/>
                <w:color w:val="000000"/>
                <w:sz w:val="21"/>
                <w:szCs w:val="21"/>
              </w:rPr>
              <w:t xml:space="preserve">分；未实现功能的不得分。本项最高得</w:t>
            </w:r>
            <w:r>
              <w:rPr>
                <w:rFonts w:ascii="宋体" w:hAnsi="宋体" w:cs="宋体"/>
                <w:b/>
                <w:color w:val="000000"/>
                <w:sz w:val="21"/>
                <w:szCs w:val="21"/>
              </w:rPr>
              <w:t xml:space="preserve">4</w:t>
            </w:r>
            <w:r>
              <w:rPr>
                <w:rFonts w:hint="eastAsia" w:ascii="宋体" w:hAnsi="宋体" w:cs="宋体"/>
                <w:b/>
                <w:color w:val="000000"/>
                <w:sz w:val="21"/>
                <w:szCs w:val="21"/>
              </w:rPr>
              <w:t xml:space="preserve">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（3）财务系统对账：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1）展示科研、财务存在相同记录但金额不一致的数据;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2）展示科研办理但财务未办理的到款记录;</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3）展示按月对账效果，可以多次重复对账并跟踪对账效果。</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w:t>
            </w:r>
            <w:r>
              <w:rPr>
                <w:rFonts w:hint="eastAsia" w:ascii="宋体" w:hAnsi="宋体" w:cs="宋体"/>
                <w:b/>
                <w:color w:val="000000"/>
                <w:sz w:val="21"/>
                <w:szCs w:val="21"/>
              </w:rPr>
              <w:t xml:space="preserve">上述每项演示效果流畅、界面设计合理、能实现全部功能的得</w:t>
            </w:r>
            <w:r>
              <w:rPr>
                <w:rFonts w:ascii="宋体" w:hAnsi="宋体" w:cs="宋体"/>
                <w:b/>
                <w:color w:val="000000"/>
                <w:sz w:val="21"/>
                <w:szCs w:val="21"/>
              </w:rPr>
              <w:t xml:space="preserve">2</w:t>
            </w:r>
            <w:r>
              <w:rPr>
                <w:rFonts w:hint="eastAsia" w:ascii="宋体" w:hAnsi="宋体" w:cs="宋体"/>
                <w:b/>
                <w:color w:val="000000"/>
                <w:sz w:val="21"/>
                <w:szCs w:val="21"/>
              </w:rPr>
              <w:t xml:space="preserve">分;基本能实现功能、演示效果不流畅的得</w:t>
            </w:r>
            <w:r>
              <w:rPr>
                <w:rFonts w:ascii="宋体" w:hAnsi="宋体" w:cs="宋体"/>
                <w:b/>
                <w:color w:val="000000"/>
                <w:sz w:val="21"/>
                <w:szCs w:val="21"/>
              </w:rPr>
              <w:t xml:space="preserve">1</w:t>
            </w:r>
            <w:r>
              <w:rPr>
                <w:rFonts w:hint="eastAsia" w:ascii="宋体" w:hAnsi="宋体" w:cs="宋体"/>
                <w:b/>
                <w:color w:val="000000"/>
                <w:sz w:val="21"/>
                <w:szCs w:val="21"/>
              </w:rPr>
              <w:t xml:space="preserve">分；未实现功能的不得分。本项最高得</w:t>
            </w:r>
            <w:r>
              <w:rPr>
                <w:rFonts w:ascii="宋体" w:hAnsi="宋体" w:cs="宋体"/>
                <w:b/>
                <w:color w:val="000000"/>
                <w:sz w:val="21"/>
                <w:szCs w:val="21"/>
              </w:rPr>
              <w:t xml:space="preserve">6</w:t>
            </w:r>
            <w:r>
              <w:rPr>
                <w:rFonts w:hint="eastAsia" w:ascii="宋体" w:hAnsi="宋体" w:cs="宋体"/>
                <w:b/>
                <w:color w:val="000000"/>
                <w:sz w:val="21"/>
                <w:szCs w:val="21"/>
              </w:rPr>
              <w:t xml:space="preserve">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（4）专利大数据对比：对比国知局专利信息中心数据，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1）演示权利人名称不一致、权利人顺序不一致、发明人名称不一致、发明人顺序不一致专利预警；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2）对于专利属性不同数据，系统提供差异属性字段信息；</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3）点击专利名称，系统可通过两种颜色显示不一致详细信息。</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w:t>
            </w:r>
            <w:r>
              <w:rPr>
                <w:rFonts w:hint="eastAsia" w:ascii="宋体" w:hAnsi="宋体" w:cs="宋体"/>
                <w:b/>
                <w:color w:val="000000"/>
                <w:sz w:val="21"/>
                <w:szCs w:val="21"/>
              </w:rPr>
              <w:t xml:space="preserve">上述每项演示效果流畅、界面设计合理、能实现全部功能的得</w:t>
            </w:r>
            <w:r>
              <w:rPr>
                <w:rFonts w:ascii="宋体" w:hAnsi="宋体" w:cs="宋体"/>
                <w:b/>
                <w:color w:val="000000"/>
                <w:sz w:val="21"/>
                <w:szCs w:val="21"/>
              </w:rPr>
              <w:t xml:space="preserve">2</w:t>
            </w:r>
            <w:r>
              <w:rPr>
                <w:rFonts w:hint="eastAsia" w:ascii="宋体" w:hAnsi="宋体" w:cs="宋体"/>
                <w:b/>
                <w:color w:val="000000"/>
                <w:sz w:val="21"/>
                <w:szCs w:val="21"/>
              </w:rPr>
              <w:t xml:space="preserve">分;基本能实现功能、演示效果不流畅的得</w:t>
            </w:r>
            <w:r>
              <w:rPr>
                <w:rFonts w:ascii="宋体" w:hAnsi="宋体" w:cs="宋体"/>
                <w:b/>
                <w:color w:val="000000"/>
                <w:sz w:val="21"/>
                <w:szCs w:val="21"/>
              </w:rPr>
              <w:t xml:space="preserve">1</w:t>
            </w:r>
            <w:r>
              <w:rPr>
                <w:rFonts w:hint="eastAsia" w:ascii="宋体" w:hAnsi="宋体" w:cs="宋体"/>
                <w:b/>
                <w:color w:val="000000"/>
                <w:sz w:val="21"/>
                <w:szCs w:val="21"/>
              </w:rPr>
              <w:t xml:space="preserve">分；未实现功能的不得分。本项最高得</w:t>
            </w:r>
            <w:r>
              <w:rPr>
                <w:rFonts w:ascii="宋体" w:hAnsi="宋体" w:cs="宋体"/>
                <w:b/>
                <w:color w:val="000000"/>
                <w:sz w:val="21"/>
                <w:szCs w:val="21"/>
              </w:rPr>
              <w:t xml:space="preserve">6</w:t>
            </w:r>
            <w:r>
              <w:rPr>
                <w:rFonts w:hint="eastAsia" w:ascii="宋体" w:hAnsi="宋体" w:cs="宋体"/>
                <w:b/>
                <w:color w:val="000000"/>
                <w:sz w:val="21"/>
                <w:szCs w:val="21"/>
              </w:rPr>
              <w:t xml:space="preserve">分。</w:t>
            </w:r>
            <w:r/>
          </w:p>
          <w:p>
            <w:pPr>
              <w:ind w:left="0"/>
              <w:jc w:val="left"/>
              <w:spacing w:line="300" w:lineRule="auto"/>
              <w:widowControl w:val="off"/>
              <w:rPr>
                <w:rFonts w:ascii="宋体" w:hAnsi="宋体" w:cs="宋体"/>
                <w:b/>
                <w:color w:val="000000"/>
                <w:sz w:val="22"/>
                <w:szCs w:val="21"/>
              </w:rPr>
            </w:pPr>
            <w:r>
              <w:rPr>
                <w:rFonts w:hint="eastAsia" w:ascii="宋体" w:hAnsi="宋体" w:cs="宋体"/>
                <w:b/>
                <w:color w:val="000000"/>
                <w:sz w:val="21"/>
                <w:szCs w:val="21"/>
              </w:rPr>
              <w:t xml:space="preserve">注：1.供应商根据采购文件要求进行演示，演示时间不超过1</w:t>
            </w:r>
            <w:r>
              <w:rPr>
                <w:rFonts w:ascii="宋体" w:hAnsi="宋体" w:cs="宋体"/>
                <w:b/>
                <w:color w:val="000000"/>
                <w:sz w:val="21"/>
                <w:szCs w:val="21"/>
              </w:rPr>
              <w:t xml:space="preserve">5</w:t>
            </w:r>
            <w:r>
              <w:rPr>
                <w:rFonts w:hint="eastAsia" w:ascii="宋体" w:hAnsi="宋体" w:cs="宋体"/>
                <w:b/>
                <w:color w:val="000000"/>
                <w:sz w:val="21"/>
                <w:szCs w:val="21"/>
              </w:rPr>
              <w:t xml:space="preserve">分</w:t>
            </w:r>
            <w:r>
              <w:rPr>
                <w:rFonts w:hint="eastAsia" w:ascii="宋体" w:hAnsi="宋体" w:cs="宋体"/>
                <w:b/>
                <w:color w:val="000000"/>
                <w:sz w:val="21"/>
                <w:szCs w:val="21"/>
              </w:rPr>
              <w:t xml:space="preserve">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24</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1052"/>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57</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9"/>
    <w:uiPriority w:val="11"/>
    <w:rPr>
      <w:sz w:val="24"/>
      <w:szCs w:val="24"/>
    </w:rPr>
  </w:style>
  <w:style w:type="character" w:styleId="858">
    <w:name w:val="Quote Char"/>
    <w:link w:val="1386"/>
    <w:uiPriority w:val="29"/>
    <w:rPr>
      <w:i/>
    </w:rPr>
  </w:style>
  <w:style w:type="character" w:styleId="859">
    <w:name w:val="Intense Quote Char"/>
    <w:link w:val="1247"/>
    <w:uiPriority w:val="30"/>
    <w:rPr>
      <w:i/>
    </w:rPr>
  </w:style>
  <w:style w:type="character" w:styleId="860">
    <w:name w:val="Header Char"/>
    <w:basedOn w:val="1003"/>
    <w:link w:val="1037"/>
    <w:uiPriority w:val="99"/>
  </w:style>
  <w:style w:type="character" w:styleId="861">
    <w:name w:val="Footer Char"/>
    <w:basedOn w:val="1003"/>
    <w:link w:val="1035"/>
    <w:uiPriority w:val="99"/>
  </w:style>
  <w:style w:type="character" w:styleId="862">
    <w:name w:val="Caption Char"/>
    <w:basedOn w:val="1012"/>
    <w:link w:val="1035"/>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2"/>
    <w:uiPriority w:val="99"/>
    <w:rPr>
      <w:sz w:val="18"/>
    </w:rPr>
  </w:style>
  <w:style w:type="character" w:styleId="989">
    <w:name w:val="Endnote Text Char"/>
    <w:link w:val="1032"/>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4"/>
    <w:next w:val="993"/>
    <w:qFormat/>
    <w:pPr>
      <w:ind w:left="576" w:firstLine="24"/>
      <w:spacing w:before="260" w:after="260" w:line="416" w:lineRule="auto"/>
      <w:outlineLvl w:val="1"/>
    </w:pPr>
  </w:style>
  <w:style w:type="paragraph" w:styleId="996">
    <w:name w:val="Heading 3"/>
    <w:basedOn w:val="994"/>
    <w:next w:val="993"/>
    <w:qFormat/>
    <w:pPr>
      <w:ind w:left="720"/>
      <w:spacing w:before="260" w:after="260" w:line="416" w:lineRule="auto"/>
      <w:outlineLvl w:val="2"/>
    </w:pPr>
  </w:style>
  <w:style w:type="paragraph" w:styleId="997">
    <w:name w:val="Heading 4"/>
    <w:basedOn w:val="994"/>
    <w:next w:val="993"/>
    <w:qFormat/>
    <w:pPr>
      <w:ind w:left="864" w:firstLine="24"/>
      <w:spacing w:before="280" w:after="290" w:line="376" w:lineRule="auto"/>
      <w:outlineLvl w:val="3"/>
    </w:pPr>
  </w:style>
  <w:style w:type="paragraph" w:styleId="998">
    <w:name w:val="Heading 5"/>
    <w:basedOn w:val="994"/>
    <w:next w:val="993"/>
    <w:qFormat/>
    <w:pPr>
      <w:ind w:left="1008"/>
      <w:spacing w:before="280" w:after="290" w:line="376" w:lineRule="auto"/>
      <w:outlineLvl w:val="4"/>
    </w:pPr>
  </w:style>
  <w:style w:type="paragraph" w:styleId="999">
    <w:name w:val="Heading 6"/>
    <w:basedOn w:val="994"/>
    <w:next w:val="993"/>
    <w:qFormat/>
    <w:pPr>
      <w:ind w:left="1152" w:firstLine="20"/>
      <w:spacing w:before="240" w:after="64" w:line="320" w:lineRule="auto"/>
      <w:outlineLvl w:val="5"/>
    </w:pPr>
  </w:style>
  <w:style w:type="paragraph" w:styleId="1000">
    <w:name w:val="Heading 7"/>
    <w:basedOn w:val="994"/>
    <w:next w:val="993"/>
    <w:qFormat/>
    <w:pPr>
      <w:ind w:left="1296" w:firstLine="14"/>
      <w:spacing w:before="240" w:after="64" w:line="320" w:lineRule="auto"/>
      <w:outlineLvl w:val="6"/>
    </w:pPr>
  </w:style>
  <w:style w:type="paragraph" w:styleId="1001">
    <w:name w:val="Heading 8"/>
    <w:basedOn w:val="994"/>
    <w:next w:val="993"/>
    <w:qFormat/>
    <w:pPr>
      <w:ind w:left="1440"/>
      <w:spacing w:before="240" w:after="64" w:line="320" w:lineRule="auto"/>
      <w:outlineLvl w:val="7"/>
    </w:pPr>
  </w:style>
  <w:style w:type="paragraph" w:styleId="1002">
    <w:name w:val="Heading 9"/>
    <w:basedOn w:val="994"/>
    <w:next w:val="993"/>
    <w:qFormat/>
    <w:pPr>
      <w:ind w:left="1584" w:firstLine="22"/>
      <w:spacing w:before="240" w:after="64" w:line="320" w:lineRule="auto"/>
      <w:outlineLvl w:val="8"/>
    </w:p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link w:val="1403"/>
    <w:qFormat/>
    <w:pPr>
      <w:ind w:left="420" w:firstLine="1188"/>
      <w:spacing w:line="360" w:lineRule="exact"/>
    </w:pPr>
  </w:style>
  <w:style w:type="paragraph" w:styleId="1007">
    <w:name w:val="toc 7"/>
    <w:basedOn w:val="994"/>
    <w:next w:val="993"/>
    <w:qFormat/>
    <w:pPr>
      <w:ind w:left="1200" w:firstLine="0"/>
      <w:spacing w:before="0" w:after="0" w:line="240" w:lineRule="auto"/>
      <w:outlineLvl w:val="9"/>
    </w:pPr>
    <w:rPr>
      <w:rFonts w:cs="Calibri"/>
      <w:sz w:val="18"/>
      <w:szCs w:val="18"/>
    </w:rPr>
  </w:style>
  <w:style w:type="paragraph" w:styleId="1008">
    <w:name w:val="List Bullet 4"/>
    <w:basedOn w:val="994"/>
    <w:next w:val="1009"/>
    <w:qFormat/>
    <w:pPr>
      <w:ind w:left="1620" w:firstLine="2652"/>
      <w:spacing w:before="0" w:after="0" w:line="360" w:lineRule="auto"/>
    </w:pPr>
  </w:style>
  <w:style w:type="paragraph" w:styleId="1009">
    <w:name w:val="List Bullet 2"/>
    <w:basedOn w:val="994"/>
    <w:next w:val="993"/>
    <w:qFormat/>
    <w:pPr>
      <w:ind w:left="900" w:firstLine="2652"/>
      <w:spacing w:before="0" w:after="0" w:line="360" w:lineRule="auto"/>
    </w:pPr>
  </w:style>
  <w:style w:type="paragraph" w:styleId="1010">
    <w:name w:val="List Number"/>
    <w:basedOn w:val="994"/>
    <w:next w:val="993"/>
    <w:qFormat/>
    <w:pPr>
      <w:ind w:left="454" w:firstLine="2788"/>
      <w:spacing w:before="0" w:after="0" w:line="240" w:lineRule="auto"/>
    </w:pPr>
  </w:style>
  <w:style w:type="paragraph" w:styleId="1011">
    <w:name w:val="Normal Indent"/>
    <w:basedOn w:val="993"/>
    <w:next w:val="993"/>
    <w:link w:val="1063"/>
    <w:qFormat/>
    <w:pPr>
      <w:ind w:left="420" w:firstLine="4772"/>
    </w:pPr>
    <w:rPr>
      <w:lang w:val="zh-CN"/>
    </w:rPr>
  </w:style>
  <w:style w:type="paragraph" w:styleId="1012">
    <w:name w:val="Caption"/>
    <w:basedOn w:val="994"/>
    <w:next w:val="993"/>
    <w:qFormat/>
    <w:pPr>
      <w:ind w:left="200" w:firstLine="2248"/>
      <w:jc w:val="center"/>
      <w:spacing w:before="0" w:after="0" w:line="240" w:lineRule="auto"/>
    </w:pPr>
  </w:style>
  <w:style w:type="paragraph" w:styleId="1013">
    <w:name w:val="List Bullet"/>
    <w:basedOn w:val="994"/>
    <w:next w:val="993"/>
    <w:qFormat/>
    <w:pPr>
      <w:ind w:left="900" w:firstLine="2652"/>
      <w:spacing w:before="0" w:after="0" w:line="360" w:lineRule="auto"/>
    </w:pPr>
  </w:style>
  <w:style w:type="paragraph" w:styleId="1014">
    <w:name w:val="Document Map"/>
    <w:basedOn w:val="994"/>
    <w:next w:val="1015"/>
    <w:qFormat/>
    <w:pPr>
      <w:ind w:left="0" w:firstLine="4"/>
      <w:spacing w:before="0" w:after="0" w:line="240" w:lineRule="auto"/>
      <w:shd w:val="clear" w:color="000000" w:fill="000080"/>
    </w:pPr>
  </w:style>
  <w:style w:type="paragraph" w:styleId="1015">
    <w:name w:val="annotation subject"/>
    <w:next w:val="993"/>
    <w:semiHidden/>
    <w:qFormat/>
    <w:pPr>
      <w:ind w:firstLine="4608"/>
      <w:spacing w:line="360" w:lineRule="auto"/>
    </w:pPr>
    <w:rPr>
      <w:rFonts w:ascii="Calibri" w:hAnsi="Calibri"/>
    </w:rPr>
  </w:style>
  <w:style w:type="paragraph" w:styleId="1016">
    <w:name w:val="annotation text"/>
    <w:basedOn w:val="994"/>
    <w:next w:val="993"/>
    <w:qFormat/>
    <w:pPr>
      <w:ind w:left="0" w:firstLine="3584"/>
      <w:spacing w:line="360" w:lineRule="auto"/>
    </w:pPr>
  </w:style>
  <w:style w:type="paragraph" w:styleId="1017">
    <w:name w:val="Body Text 3"/>
    <w:basedOn w:val="994"/>
    <w:next w:val="993"/>
    <w:qFormat/>
    <w:pPr>
      <w:ind w:left="0" w:firstLine="2048"/>
      <w:spacing w:before="0" w:after="0" w:line="500" w:lineRule="exact"/>
    </w:pPr>
  </w:style>
  <w:style w:type="paragraph" w:styleId="1018">
    <w:name w:val="List Bullet 3"/>
    <w:basedOn w:val="994"/>
    <w:next w:val="993"/>
    <w:qFormat/>
    <w:pPr>
      <w:ind w:left="900" w:firstLine="2652"/>
      <w:spacing w:before="0" w:after="0" w:line="360" w:lineRule="auto"/>
    </w:pPr>
  </w:style>
  <w:style w:type="paragraph" w:styleId="1019">
    <w:name w:val="Body Text"/>
    <w:basedOn w:val="993"/>
    <w:next w:val="1011"/>
    <w:qFormat/>
    <w:pPr>
      <w:ind w:left="0" w:firstLine="2560"/>
    </w:pPr>
  </w:style>
  <w:style w:type="paragraph" w:styleId="1020">
    <w:name w:val="List Number 3"/>
    <w:basedOn w:val="994"/>
    <w:next w:val="993"/>
    <w:qFormat/>
    <w:pPr>
      <w:ind w:left="420" w:firstLine="3584"/>
      <w:spacing w:before="0" w:after="0" w:line="240" w:lineRule="auto"/>
    </w:pPr>
  </w:style>
  <w:style w:type="paragraph" w:styleId="1021">
    <w:name w:val="List 2"/>
    <w:basedOn w:val="994"/>
    <w:next w:val="1007"/>
    <w:qFormat/>
    <w:pPr>
      <w:ind w:left="100" w:firstLine="3640"/>
      <w:spacing w:before="0" w:after="0" w:line="240" w:lineRule="auto"/>
    </w:pPr>
  </w:style>
  <w:style w:type="paragraph" w:styleId="1022">
    <w:name w:val="Block Text"/>
    <w:basedOn w:val="994"/>
    <w:next w:val="993"/>
    <w:qFormat/>
    <w:pPr>
      <w:ind w:left="420" w:right="33" w:firstLine="2560"/>
      <w:spacing w:before="0" w:after="0" w:line="240" w:lineRule="auto"/>
    </w:pPr>
  </w:style>
  <w:style w:type="paragraph" w:styleId="1023">
    <w:name w:val="toc 5"/>
    <w:basedOn w:val="994"/>
    <w:next w:val="993"/>
    <w:qFormat/>
    <w:pPr>
      <w:ind w:left="800" w:firstLine="0"/>
      <w:spacing w:before="0" w:after="0" w:line="240" w:lineRule="auto"/>
      <w:outlineLvl w:val="9"/>
    </w:pPr>
    <w:rPr>
      <w:rFonts w:cs="Calibri"/>
      <w:sz w:val="18"/>
      <w:szCs w:val="18"/>
    </w:rPr>
  </w:style>
  <w:style w:type="paragraph" w:styleId="1024">
    <w:name w:val="toc 3"/>
    <w:basedOn w:val="994"/>
    <w:next w:val="993"/>
    <w:uiPriority w:val="39"/>
    <w:qFormat/>
    <w:pPr>
      <w:ind w:left="400" w:firstLine="0"/>
      <w:spacing w:before="0" w:after="0" w:line="240" w:lineRule="auto"/>
      <w:outlineLvl w:val="9"/>
    </w:pPr>
    <w:rPr>
      <w:rFonts w:cs="Calibri"/>
      <w:i/>
      <w:iCs/>
    </w:rPr>
  </w:style>
  <w:style w:type="paragraph" w:styleId="1025">
    <w:name w:val="Plain Text"/>
    <w:basedOn w:val="994"/>
    <w:next w:val="1026"/>
    <w:link w:val="1064"/>
    <w:qFormat/>
    <w:pPr>
      <w:ind w:left="0" w:firstLine="2048"/>
      <w:spacing w:before="0" w:after="0" w:line="240" w:lineRule="auto"/>
    </w:pPr>
    <w:rPr>
      <w:lang w:val="zh-CN"/>
    </w:rPr>
  </w:style>
  <w:style w:type="paragraph" w:styleId="1026">
    <w:name w:val="toc 1"/>
    <w:basedOn w:val="994"/>
    <w:next w:val="993"/>
    <w:uiPriority w:val="39"/>
    <w:qFormat/>
    <w:pPr>
      <w:ind w:left="0" w:firstLine="0"/>
      <w:spacing w:before="120" w:after="120" w:line="240" w:lineRule="auto"/>
      <w:outlineLvl w:val="9"/>
    </w:pPr>
    <w:rPr>
      <w:rFonts w:cs="Calibri"/>
      <w:b/>
      <w:bCs/>
      <w:caps/>
    </w:rPr>
  </w:style>
  <w:style w:type="paragraph" w:styleId="1027">
    <w:name w:val="List Bullet 5"/>
    <w:basedOn w:val="994"/>
    <w:next w:val="1028"/>
    <w:qFormat/>
    <w:pPr>
      <w:ind w:left="2040" w:firstLine="2560"/>
      <w:spacing w:before="0" w:after="0" w:line="360" w:lineRule="auto"/>
    </w:p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994"/>
    <w:next w:val="993"/>
    <w:qFormat/>
    <w:pPr>
      <w:ind w:left="1400" w:firstLine="0"/>
      <w:spacing w:before="0" w:after="0" w:line="240" w:lineRule="auto"/>
      <w:outlineLvl w:val="9"/>
    </w:pPr>
    <w:rPr>
      <w:rFonts w:cs="Calibri"/>
      <w:sz w:val="18"/>
      <w:szCs w:val="18"/>
    </w:rPr>
  </w:style>
  <w:style w:type="paragraph" w:styleId="1030">
    <w:name w:val="Date"/>
    <w:basedOn w:val="994"/>
    <w:next w:val="993"/>
    <w:qFormat/>
    <w:pPr>
      <w:ind w:left="0" w:firstLine="2560"/>
      <w:spacing w:before="0" w:after="0" w:line="240" w:lineRule="auto"/>
    </w:pPr>
  </w:style>
  <w:style w:type="paragraph" w:styleId="1031">
    <w:name w:val="Body Text Indent 2"/>
    <w:basedOn w:val="994"/>
    <w:next w:val="1006"/>
    <w:qFormat/>
    <w:pPr>
      <w:ind w:left="481" w:firstLine="2784"/>
      <w:spacing w:before="0" w:after="0" w:line="400" w:lineRule="exact"/>
    </w:pPr>
  </w:style>
  <w:style w:type="paragraph" w:styleId="1032">
    <w:name w:val="endnote text"/>
    <w:basedOn w:val="994"/>
    <w:next w:val="1033"/>
    <w:qFormat/>
    <w:pPr>
      <w:ind w:left="0" w:firstLine="2560"/>
      <w:spacing w:before="0" w:after="0" w:line="360" w:lineRule="auto"/>
    </w:pPr>
  </w:style>
  <w:style w:type="paragraph" w:styleId="1033" w:customStyle="1">
    <w:name w:val="Char11"/>
    <w:basedOn w:val="994"/>
    <w:next w:val="993"/>
    <w:qFormat/>
    <w:pPr>
      <w:ind w:left="0" w:firstLine="3584"/>
      <w:spacing w:before="0" w:after="0" w:line="240" w:lineRule="auto"/>
    </w:pPr>
  </w:style>
  <w:style w:type="paragraph" w:styleId="1034">
    <w:name w:val="Balloon Text"/>
    <w:basedOn w:val="994"/>
    <w:next w:val="1010"/>
    <w:qFormat/>
    <w:pPr>
      <w:ind w:left="0" w:firstLine="2048"/>
      <w:spacing w:before="0" w:after="0" w:line="240" w:lineRule="auto"/>
    </w:pPr>
  </w:style>
  <w:style w:type="paragraph" w:styleId="1035">
    <w:name w:val="Footer"/>
    <w:basedOn w:val="994"/>
    <w:next w:val="1036"/>
    <w:link w:val="1065"/>
    <w:uiPriority w:val="99"/>
    <w:qFormat/>
    <w:pPr>
      <w:ind w:left="0" w:firstLine="3584"/>
      <w:spacing w:before="0" w:after="0" w:line="240" w:lineRule="auto"/>
    </w:pPr>
    <w:rPr>
      <w:lang w:val="zh-CN"/>
    </w:rPr>
  </w:style>
  <w:style w:type="paragraph" w:styleId="1036" w:customStyle="1">
    <w:name w:val="Char Char Char Char Char Char Char Char Char Char Char Char Char"/>
    <w:basedOn w:val="994"/>
    <w:next w:val="993"/>
    <w:qFormat/>
    <w:pPr>
      <w:ind w:left="0" w:firstLine="3584"/>
      <w:spacing w:before="0" w:after="160" w:line="240" w:lineRule="exact"/>
    </w:pPr>
  </w:style>
  <w:style w:type="paragraph" w:styleId="1037">
    <w:name w:val="Header"/>
    <w:basedOn w:val="994"/>
    <w:next w:val="1030"/>
    <w:link w:val="1066"/>
    <w:uiPriority w:val="99"/>
    <w:qFormat/>
    <w:pPr>
      <w:ind w:left="0" w:firstLine="3584"/>
      <w:jc w:val="center"/>
      <w:spacing w:before="0" w:after="0" w:line="240" w:lineRule="auto"/>
    </w:pPr>
    <w:rPr>
      <w:lang w:val="zh-CN"/>
    </w:rPr>
  </w:style>
  <w:style w:type="paragraph" w:styleId="1038">
    <w:name w:val="toc 4"/>
    <w:basedOn w:val="994"/>
    <w:next w:val="993"/>
    <w:qFormat/>
    <w:pPr>
      <w:ind w:left="600" w:firstLine="0"/>
      <w:spacing w:before="0" w:after="0" w:line="240" w:lineRule="auto"/>
      <w:outlineLvl w:val="9"/>
    </w:pPr>
    <w:rPr>
      <w:rFonts w:cs="Calibri"/>
      <w:sz w:val="18"/>
      <w:szCs w:val="18"/>
    </w:rPr>
  </w:style>
  <w:style w:type="paragraph" w:styleId="1039">
    <w:name w:val="Subtitle"/>
    <w:next w:val="993"/>
    <w:qFormat/>
    <w:pPr>
      <w:ind w:left="1024"/>
      <w:jc w:val="center"/>
      <w:spacing w:after="60"/>
    </w:pPr>
    <w:rPr>
      <w:rFonts w:ascii="Calibri" w:hAnsi="Calibri"/>
    </w:rPr>
  </w:style>
  <w:style w:type="paragraph" w:styleId="1040">
    <w:name w:val="List"/>
    <w:basedOn w:val="994"/>
    <w:next w:val="1041"/>
    <w:qFormat/>
    <w:pPr>
      <w:ind w:left="200" w:firstLine="3640"/>
      <w:spacing w:before="0" w:after="0" w:line="240" w:lineRule="auto"/>
    </w:pPr>
  </w:style>
  <w:style w:type="paragraph" w:styleId="1041">
    <w:name w:val="Body Text First Indent"/>
    <w:next w:val="993"/>
    <w:qFormat/>
    <w:pPr>
      <w:ind w:left="420" w:firstLine="3748"/>
      <w:spacing w:after="120"/>
    </w:pPr>
    <w:rPr>
      <w:rFonts w:ascii="Calibri" w:hAnsi="Calibri"/>
    </w:rPr>
  </w:style>
  <w:style w:type="paragraph" w:styleId="1042">
    <w:name w:val="footnote text"/>
    <w:basedOn w:val="994"/>
    <w:next w:val="1022"/>
    <w:qFormat/>
    <w:pPr>
      <w:ind w:left="0" w:firstLine="3584"/>
      <w:spacing w:before="0" w:after="0" w:line="360" w:lineRule="auto"/>
    </w:pPr>
  </w:style>
  <w:style w:type="paragraph" w:styleId="1043">
    <w:name w:val="toc 6"/>
    <w:basedOn w:val="994"/>
    <w:next w:val="993"/>
    <w:qFormat/>
    <w:pPr>
      <w:ind w:left="1000" w:firstLine="0"/>
      <w:spacing w:before="0" w:after="0" w:line="240" w:lineRule="auto"/>
      <w:outlineLvl w:val="9"/>
    </w:pPr>
    <w:rPr>
      <w:rFonts w:cs="Calibri"/>
      <w:sz w:val="18"/>
      <w:szCs w:val="18"/>
    </w:rPr>
  </w:style>
  <w:style w:type="paragraph" w:styleId="1044">
    <w:name w:val="List 5"/>
    <w:basedOn w:val="994"/>
    <w:next w:val="1019"/>
    <w:qFormat/>
    <w:pPr>
      <w:ind w:left="2100" w:firstLine="3676"/>
      <w:spacing w:before="0" w:after="0" w:line="240" w:lineRule="auto"/>
    </w:pPr>
  </w:style>
  <w:style w:type="paragraph" w:styleId="1045">
    <w:name w:val="Body Text Indent 3"/>
    <w:basedOn w:val="994"/>
    <w:next w:val="1043"/>
    <w:qFormat/>
    <w:pPr>
      <w:ind w:left="480" w:firstLine="2784"/>
      <w:spacing w:before="0" w:after="0" w:line="400" w:lineRule="exact"/>
    </w:pPr>
  </w:style>
  <w:style w:type="paragraph" w:styleId="1046">
    <w:name w:val="toc 2"/>
    <w:basedOn w:val="994"/>
    <w:next w:val="993"/>
    <w:uiPriority w:val="39"/>
    <w:qFormat/>
    <w:pPr>
      <w:ind w:left="200" w:firstLine="0"/>
      <w:spacing w:before="0" w:after="0" w:line="240" w:lineRule="auto"/>
      <w:outlineLvl w:val="9"/>
    </w:pPr>
    <w:rPr>
      <w:rFonts w:cs="Calibri"/>
      <w:smallCaps/>
    </w:rPr>
  </w:style>
  <w:style w:type="paragraph" w:styleId="1047">
    <w:name w:val="toc 9"/>
    <w:basedOn w:val="994"/>
    <w:next w:val="993"/>
    <w:qFormat/>
    <w:pPr>
      <w:ind w:left="1600" w:firstLine="0"/>
      <w:spacing w:before="0" w:after="0" w:line="240" w:lineRule="auto"/>
      <w:outlineLvl w:val="9"/>
    </w:pPr>
    <w:rPr>
      <w:rFonts w:cs="Calibri"/>
      <w:sz w:val="18"/>
      <w:szCs w:val="18"/>
    </w:rPr>
  </w:style>
  <w:style w:type="paragraph" w:styleId="1048">
    <w:name w:val="Body Text 2"/>
    <w:basedOn w:val="994"/>
    <w:next w:val="1013"/>
    <w:qFormat/>
    <w:pPr>
      <w:ind w:left="0" w:firstLine="1024"/>
      <w:spacing w:before="0" w:after="120" w:line="480" w:lineRule="auto"/>
    </w:pPr>
  </w:style>
  <w:style w:type="paragraph" w:styleId="1049">
    <w:name w:val="HTML Preformatted"/>
    <w:basedOn w:val="994"/>
    <w:next w:val="1012"/>
    <w:qFormat/>
    <w:pPr>
      <w:ind w:left="0" w:firstLine="2048"/>
      <w:spacing w:before="0" w:after="0" w:line="253" w:lineRule="atLeast"/>
    </w:pPr>
  </w:style>
  <w:style w:type="paragraph" w:styleId="1050">
    <w:name w:val="Normal (Web)"/>
    <w:basedOn w:val="993"/>
    <w:next w:val="1021"/>
    <w:qFormat/>
    <w:pPr>
      <w:ind w:left="15" w:right="15" w:firstLine="4608"/>
      <w:spacing w:before="60" w:after="60" w:line="312" w:lineRule="auto"/>
    </w:pPr>
  </w:style>
  <w:style w:type="paragraph" w:styleId="1051">
    <w:name w:val="index 1"/>
    <w:basedOn w:val="994"/>
    <w:next w:val="993"/>
    <w:qFormat/>
    <w:pPr>
      <w:ind w:left="0" w:firstLine="3584"/>
      <w:spacing w:before="0" w:after="0" w:line="240" w:lineRule="auto"/>
    </w:pPr>
  </w:style>
  <w:style w:type="paragraph" w:styleId="1052">
    <w:name w:val="Body Text First Indent 2"/>
    <w:uiPriority w:val="99"/>
    <w:unhideWhenUsed/>
    <w:qFormat/>
    <w:pPr>
      <w:ind w:left="420" w:firstLine="420"/>
      <w:jc w:val="both"/>
      <w:spacing w:after="120"/>
      <w:widowControl w:val="off"/>
    </w:pPr>
    <w:rPr>
      <w:rFonts w:ascii="Calibri" w:hAnsi="Calibri"/>
      <w:sz w:val="21"/>
    </w:rPr>
  </w:style>
  <w:style w:type="table" w:styleId="105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qFormat/>
    <w:rPr>
      <w:b/>
      <w:sz w:val="20"/>
    </w:rPr>
  </w:style>
  <w:style w:type="character" w:styleId="1055">
    <w:name w:val="page number"/>
    <w:qFormat/>
    <w:rPr>
      <w:sz w:val="20"/>
    </w:rPr>
  </w:style>
  <w:style w:type="character" w:styleId="1056">
    <w:name w:val="Emphasis"/>
    <w:qFormat/>
    <w:rPr>
      <w:i/>
      <w:sz w:val="21"/>
    </w:rPr>
  </w:style>
  <w:style w:type="character" w:styleId="1057">
    <w:name w:val="Hyperlink"/>
    <w:uiPriority w:val="99"/>
    <w:qFormat/>
    <w:rPr>
      <w:color w:val="0000ff"/>
      <w:sz w:val="20"/>
      <w:u w:val="single"/>
    </w:rPr>
  </w:style>
  <w:style w:type="character" w:styleId="1058">
    <w:name w:val="annotation reference"/>
    <w:uiPriority w:val="99"/>
    <w:qFormat/>
    <w:rPr>
      <w:sz w:val="20"/>
    </w:rPr>
  </w:style>
  <w:style w:type="character" w:styleId="1059">
    <w:name w:val="footnote reference"/>
    <w:unhideWhenUsed/>
    <w:qFormat/>
    <w:rPr>
      <w:vertAlign w:val="superscript"/>
    </w:rPr>
  </w:style>
  <w:style w:type="paragraph" w:styleId="1060">
    <w:name w:val="List Paragraph"/>
    <w:basedOn w:val="993"/>
    <w:next w:val="1061"/>
    <w:uiPriority w:val="34"/>
    <w:qFormat/>
    <w:pPr>
      <w:ind w:left="420" w:firstLine="3748"/>
    </w:pPr>
  </w:style>
  <w:style w:type="paragraph" w:styleId="1061" w:customStyle="1">
    <w:name w:val="xl91"/>
    <w:basedOn w:val="994"/>
    <w:next w:val="1062"/>
    <w:qFormat/>
    <w:pPr>
      <w:ind w:left="0" w:firstLine="3584"/>
      <w:spacing w:before="280" w:after="280" w:line="240" w:lineRule="auto"/>
    </w:pPr>
  </w:style>
  <w:style w:type="paragraph" w:styleId="1062" w:customStyle="1">
    <w:name w:val="xl76"/>
    <w:basedOn w:val="994"/>
    <w:next w:val="1048"/>
    <w:qFormat/>
    <w:pPr>
      <w:ind w:left="0" w:firstLine="3584"/>
      <w:jc w:val="center"/>
      <w:spacing w:before="280" w:after="280" w:line="240" w:lineRule="auto"/>
    </w:pPr>
  </w:style>
  <w:style w:type="character" w:styleId="1063" w:customStyle="1">
    <w:name w:val="正文缩进 字符"/>
    <w:link w:val="1011"/>
    <w:qFormat/>
    <w:rPr>
      <w:rFonts w:ascii="Calibri" w:hAnsi="Calibri"/>
    </w:rPr>
  </w:style>
  <w:style w:type="character" w:styleId="1064" w:customStyle="1">
    <w:name w:val="纯文本 字符"/>
    <w:link w:val="1025"/>
    <w:qFormat/>
    <w:rPr>
      <w:rFonts w:ascii="Calibri" w:hAnsi="Calibri"/>
    </w:rPr>
  </w:style>
  <w:style w:type="character" w:styleId="1065" w:customStyle="1">
    <w:name w:val="页脚 字符"/>
    <w:link w:val="1035"/>
    <w:uiPriority w:val="99"/>
    <w:qFormat/>
    <w:rPr>
      <w:rFonts w:ascii="Calibri" w:hAnsi="Calibri"/>
    </w:rPr>
  </w:style>
  <w:style w:type="character" w:styleId="1066" w:customStyle="1">
    <w:name w:val="页眉 字符"/>
    <w:link w:val="1037"/>
    <w:uiPriority w:val="99"/>
    <w:qFormat/>
    <w:rPr>
      <w:rFonts w:ascii="Calibri" w:hAnsi="Calibri"/>
    </w:rPr>
  </w:style>
  <w:style w:type="character" w:styleId="1067" w:customStyle="1">
    <w:name w:val="已访问的超链接1"/>
    <w:qFormat/>
    <w:rPr>
      <w:color w:val="800080"/>
      <w:sz w:val="20"/>
      <w:u w:val="single"/>
    </w:rPr>
  </w:style>
  <w:style w:type="character" w:styleId="1068" w:customStyle="1">
    <w:name w:val="图注 Char Char"/>
    <w:qFormat/>
    <w:rPr>
      <w:sz w:val="20"/>
    </w:rPr>
  </w:style>
  <w:style w:type="character" w:styleId="1069" w:customStyle="1">
    <w:name w:val="图片0 Char Char"/>
    <w:qFormat/>
    <w:rPr>
      <w:sz w:val="20"/>
    </w:rPr>
  </w:style>
  <w:style w:type="character" w:styleId="1070" w:customStyle="1">
    <w:name w:val="p141"/>
    <w:qFormat/>
    <w:rPr>
      <w:color w:val="000000"/>
      <w:sz w:val="20"/>
      <w:u w:val="none"/>
    </w:rPr>
  </w:style>
  <w:style w:type="character" w:styleId="1071" w:customStyle="1">
    <w:name w:val="批注框文本 字符"/>
    <w:semiHidden/>
    <w:qFormat/>
    <w:rPr>
      <w:sz w:val="20"/>
    </w:rPr>
  </w:style>
  <w:style w:type="character" w:styleId="1072" w:customStyle="1">
    <w:name w:val="正文文本缩进 3 Char"/>
    <w:qFormat/>
    <w:rPr>
      <w:sz w:val="20"/>
    </w:rPr>
  </w:style>
  <w:style w:type="character" w:styleId="1073" w:customStyle="1">
    <w:name w:val="标题 6 Char1"/>
    <w:semiHidden/>
    <w:qFormat/>
    <w:rPr>
      <w:b/>
      <w:sz w:val="20"/>
    </w:rPr>
  </w:style>
  <w:style w:type="character" w:styleId="1074" w:customStyle="1">
    <w:name w:val="正文文本缩进 Char"/>
    <w:qFormat/>
    <w:rPr>
      <w:sz w:val="20"/>
    </w:rPr>
  </w:style>
  <w:style w:type="character" w:styleId="1075" w:customStyle="1">
    <w:name w:val="正文文本缩进 2 Char"/>
    <w:qFormat/>
    <w:rPr>
      <w:sz w:val="20"/>
    </w:rPr>
  </w:style>
  <w:style w:type="character" w:styleId="1076" w:customStyle="1">
    <w:name w:val="批注引用1"/>
    <w:qFormat/>
    <w:rPr>
      <w:sz w:val="20"/>
    </w:rPr>
  </w:style>
  <w:style w:type="character" w:styleId="1077" w:customStyle="1">
    <w:name w:val="标题 6 Char"/>
    <w:qFormat/>
    <w:rPr>
      <w:b/>
      <w:sz w:val="20"/>
    </w:rPr>
  </w:style>
  <w:style w:type="character" w:styleId="1078" w:customStyle="1">
    <w:name w:val="lh151"/>
    <w:qFormat/>
    <w:rPr>
      <w:color w:val="666666"/>
      <w:sz w:val="20"/>
    </w:rPr>
  </w:style>
  <w:style w:type="character" w:styleId="1079" w:customStyle="1">
    <w:name w:val="_Style 332"/>
    <w:qFormat/>
    <w:rPr>
      <w:i/>
      <w:color w:val="auto"/>
      <w:sz w:val="21"/>
    </w:rPr>
  </w:style>
  <w:style w:type="character" w:styleId="1080" w:customStyle="1">
    <w:name w:val="页眉 Char1"/>
    <w:semiHidden/>
    <w:qFormat/>
    <w:rPr>
      <w:sz w:val="20"/>
    </w:rPr>
  </w:style>
  <w:style w:type="character" w:styleId="1081" w:customStyle="1">
    <w:name w:val="标题 3 Char"/>
    <w:qFormat/>
    <w:rPr>
      <w:b/>
      <w:sz w:val="20"/>
    </w:rPr>
  </w:style>
  <w:style w:type="character" w:styleId="1082" w:customStyle="1">
    <w:name w:val="正文文本 Char"/>
    <w:qFormat/>
    <w:rPr>
      <w:sz w:val="20"/>
    </w:rPr>
  </w:style>
  <w:style w:type="character" w:styleId="1083" w:customStyle="1">
    <w:name w:val="062"/>
    <w:qFormat/>
    <w:rPr>
      <w:b/>
      <w:sz w:val="20"/>
    </w:rPr>
  </w:style>
  <w:style w:type="character" w:styleId="1084" w:customStyle="1">
    <w:name w:val="标题 Char"/>
    <w:qFormat/>
    <w:rPr>
      <w:b/>
      <w:sz w:val="20"/>
    </w:rPr>
  </w:style>
  <w:style w:type="character" w:styleId="1085" w:customStyle="1">
    <w:name w:val="标题 2 Char"/>
    <w:qFormat/>
    <w:rPr>
      <w:b/>
      <w:sz w:val="20"/>
    </w:rPr>
  </w:style>
  <w:style w:type="character" w:styleId="1086" w:customStyle="1">
    <w:name w:val="正文缩进 Char"/>
    <w:qFormat/>
    <w:rPr>
      <w:sz w:val="20"/>
    </w:rPr>
  </w:style>
  <w:style w:type="character" w:styleId="1087" w:customStyle="1">
    <w:name w:val="日期 Char"/>
    <w:qFormat/>
    <w:rPr>
      <w:sz w:val="20"/>
    </w:rPr>
  </w:style>
  <w:style w:type="character" w:styleId="1088" w:customStyle="1">
    <w:name w:val="纯文本 Char1"/>
    <w:semiHidden/>
    <w:qFormat/>
    <w:rPr>
      <w:sz w:val="20"/>
    </w:rPr>
  </w:style>
  <w:style w:type="character" w:styleId="1089" w:customStyle="1">
    <w:name w:val="正文首行缩进 2 Char"/>
    <w:qFormat/>
    <w:rPr>
      <w:sz w:val="20"/>
    </w:rPr>
  </w:style>
  <w:style w:type="character" w:styleId="1090" w:customStyle="1">
    <w:name w:val="表格用 Char Char"/>
    <w:qFormat/>
    <w:rPr>
      <w:sz w:val="20"/>
    </w:rPr>
  </w:style>
  <w:style w:type="character" w:styleId="1091" w:customStyle="1">
    <w:name w:val="Char Char14"/>
    <w:qFormat/>
    <w:rPr>
      <w:sz w:val="20"/>
    </w:rPr>
  </w:style>
  <w:style w:type="character" w:styleId="1092" w:customStyle="1">
    <w:name w:val="批注文字 Char1"/>
    <w:semiHidden/>
    <w:qFormat/>
    <w:rPr>
      <w:sz w:val="20"/>
    </w:rPr>
  </w:style>
  <w:style w:type="character" w:styleId="1093" w:customStyle="1">
    <w:name w:val="正文（首行缩进 2 字符） Char Char"/>
    <w:qFormat/>
    <w:rPr>
      <w:sz w:val="20"/>
    </w:rPr>
  </w:style>
  <w:style w:type="character" w:styleId="1094" w:customStyle="1">
    <w:name w:val="图片 Char"/>
    <w:qFormat/>
    <w:rPr>
      <w:sz w:val="20"/>
    </w:rPr>
  </w:style>
  <w:style w:type="character" w:styleId="1095" w:customStyle="1">
    <w:name w:val="标书正文 Char"/>
    <w:qFormat/>
    <w:rPr>
      <w:sz w:val="20"/>
    </w:rPr>
  </w:style>
  <w:style w:type="character" w:styleId="1096" w:customStyle="1">
    <w:name w:val="批注文字 字符"/>
    <w:qFormat/>
    <w:rPr>
      <w:sz w:val="20"/>
    </w:rPr>
  </w:style>
  <w:style w:type="character" w:styleId="1097" w:customStyle="1">
    <w:name w:val="正文文本 2 Char1"/>
    <w:semiHidden/>
    <w:qFormat/>
    <w:rPr>
      <w:sz w:val="20"/>
    </w:rPr>
  </w:style>
  <w:style w:type="character" w:styleId="1098" w:customStyle="1">
    <w:name w:val="纯文本 Char"/>
    <w:qFormat/>
    <w:rPr>
      <w:sz w:val="20"/>
    </w:rPr>
  </w:style>
  <w:style w:type="character" w:styleId="1099" w:customStyle="1">
    <w:name w:val="标题 2 Char1"/>
    <w:semiHidden/>
    <w:qFormat/>
    <w:rPr>
      <w:b/>
      <w:sz w:val="20"/>
    </w:rPr>
  </w:style>
  <w:style w:type="character" w:styleId="1100" w:customStyle="1">
    <w:name w:val="标题 4 Char"/>
    <w:qFormat/>
    <w:rPr>
      <w:b/>
      <w:sz w:val="20"/>
    </w:rPr>
  </w:style>
  <w:style w:type="character" w:styleId="1101" w:customStyle="1">
    <w:name w:val="超级链接"/>
    <w:qFormat/>
    <w:rPr>
      <w:color w:val="0000ff"/>
      <w:sz w:val="20"/>
      <w:u w:val="single"/>
    </w:rPr>
  </w:style>
  <w:style w:type="character" w:styleId="1102" w:customStyle="1">
    <w:name w:val="1ji Char"/>
    <w:qFormat/>
    <w:rPr>
      <w:b/>
      <w:sz w:val="20"/>
    </w:rPr>
  </w:style>
  <w:style w:type="character" w:styleId="1103" w:customStyle="1">
    <w:name w:val="表格文字图表文字 Char Char"/>
    <w:qFormat/>
    <w:rPr>
      <w:sz w:val="20"/>
    </w:rPr>
  </w:style>
  <w:style w:type="character" w:styleId="1104" w:customStyle="1">
    <w:name w:val="case31"/>
    <w:qFormat/>
    <w:rPr>
      <w:sz w:val="20"/>
    </w:rPr>
  </w:style>
  <w:style w:type="character" w:styleId="1105" w:customStyle="1">
    <w:name w:val="链接"/>
    <w:qFormat/>
    <w:rPr>
      <w:color w:val="0000ff"/>
      <w:sz w:val="20"/>
      <w:u w:val="single"/>
    </w:rPr>
  </w:style>
  <w:style w:type="character" w:styleId="1106" w:customStyle="1">
    <w:name w:val="标准文本 Char Char"/>
    <w:qFormat/>
    <w:rPr>
      <w:sz w:val="20"/>
    </w:rPr>
  </w:style>
  <w:style w:type="character" w:styleId="1107" w:customStyle="1">
    <w:name w:val="标题 7 Char"/>
    <w:qFormat/>
    <w:rPr>
      <w:b/>
      <w:sz w:val="20"/>
    </w:rPr>
  </w:style>
  <w:style w:type="character" w:styleId="1108" w:customStyle="1">
    <w:name w:val="文档结构图 Char"/>
    <w:qFormat/>
    <w:rPr>
      <w:sz w:val="20"/>
    </w:rPr>
  </w:style>
  <w:style w:type="character" w:styleId="1109" w:customStyle="1">
    <w:name w:val="标题 5 Char1"/>
    <w:semiHidden/>
    <w:qFormat/>
    <w:rPr>
      <w:b/>
      <w:sz w:val="20"/>
    </w:rPr>
  </w:style>
  <w:style w:type="character" w:styleId="1110" w:customStyle="1">
    <w:name w:val="图片 Char Char"/>
    <w:qFormat/>
    <w:rPr>
      <w:sz w:val="20"/>
    </w:rPr>
  </w:style>
  <w:style w:type="character" w:styleId="1111" w:customStyle="1">
    <w:name w:val="txt"/>
    <w:qFormat/>
    <w:rPr>
      <w:sz w:val="20"/>
    </w:rPr>
  </w:style>
  <w:style w:type="character" w:styleId="1112" w:customStyle="1">
    <w:name w:val="样式2 Char"/>
    <w:qFormat/>
    <w:rPr>
      <w:b/>
      <w:sz w:val="20"/>
    </w:rPr>
  </w:style>
  <w:style w:type="character" w:styleId="1113" w:customStyle="1">
    <w:name w:val="宏文本 Char"/>
    <w:qFormat/>
    <w:rPr>
      <w:sz w:val="20"/>
    </w:rPr>
  </w:style>
  <w:style w:type="character" w:styleId="1114" w:customStyle="1">
    <w:name w:val="标题 3 Char1"/>
    <w:semiHidden/>
    <w:qFormat/>
    <w:rPr>
      <w:b/>
      <w:sz w:val="20"/>
      <w:u w:val="single"/>
    </w:rPr>
  </w:style>
  <w:style w:type="character" w:styleId="1115" w:customStyle="1">
    <w:name w:val="_Style 336"/>
    <w:qFormat/>
    <w:rPr>
      <w:i/>
      <w:color w:val="auto"/>
      <w:sz w:val="21"/>
    </w:rPr>
  </w:style>
  <w:style w:type="character" w:styleId="1116" w:customStyle="1">
    <w:name w:val="脚注文本 Char"/>
    <w:qFormat/>
    <w:rPr>
      <w:sz w:val="20"/>
    </w:rPr>
  </w:style>
  <w:style w:type="character" w:styleId="1117" w:customStyle="1">
    <w:name w:val="正文首行缩进 Char"/>
    <w:qFormat/>
    <w:rPr>
      <w:sz w:val="20"/>
    </w:rPr>
  </w:style>
  <w:style w:type="character" w:styleId="1118" w:customStyle="1">
    <w:name w:val="题注 Char"/>
    <w:qFormat/>
    <w:rPr>
      <w:sz w:val="20"/>
    </w:rPr>
  </w:style>
  <w:style w:type="character" w:styleId="1119" w:customStyle="1">
    <w:name w:val="正文文本缩进 Char1"/>
    <w:semiHidden/>
    <w:qFormat/>
    <w:rPr>
      <w:sz w:val="20"/>
    </w:rPr>
  </w:style>
  <w:style w:type="character" w:styleId="1120" w:customStyle="1">
    <w:name w:val="标题 4 Char1"/>
    <w:semiHidden/>
    <w:qFormat/>
    <w:rPr>
      <w:b/>
      <w:sz w:val="20"/>
    </w:rPr>
  </w:style>
  <w:style w:type="character" w:styleId="1121" w:customStyle="1">
    <w:name w:val="标题 5 Char"/>
    <w:qFormat/>
    <w:rPr>
      <w:b/>
      <w:sz w:val="20"/>
    </w:rPr>
  </w:style>
  <w:style w:type="character" w:styleId="1122" w:customStyle="1">
    <w:name w:val="HTML 预设格式 Char1"/>
    <w:qFormat/>
    <w:rPr>
      <w:sz w:val="20"/>
    </w:rPr>
  </w:style>
  <w:style w:type="character" w:styleId="1123" w:customStyle="1">
    <w:name w:val="表格用 Char"/>
    <w:qFormat/>
    <w:rPr>
      <w:color w:val="000000"/>
      <w:sz w:val="20"/>
    </w:rPr>
  </w:style>
  <w:style w:type="character" w:styleId="1124" w:customStyle="1">
    <w:name w:val="_Style 313"/>
    <w:qFormat/>
    <w:rPr>
      <w:b/>
      <w:i/>
      <w:sz w:val="21"/>
    </w:rPr>
  </w:style>
  <w:style w:type="character" w:styleId="1125" w:customStyle="1">
    <w:name w:val="表格文字（两侧对齐） Char Char"/>
    <w:qFormat/>
    <w:rPr>
      <w:sz w:val="20"/>
    </w:rPr>
  </w:style>
  <w:style w:type="character" w:styleId="1126" w:customStyle="1">
    <w:name w:val="Plain Text Char"/>
    <w:link w:val="1127"/>
    <w:qFormat/>
    <w:rPr>
      <w:rFonts w:ascii="宋体" w:hAnsi="Courier New" w:eastAsia="楷体_GB2312"/>
      <w:sz w:val="26"/>
    </w:rPr>
  </w:style>
  <w:style w:type="paragraph" w:styleId="1127" w:customStyle="1">
    <w:name w:val="纯文本1"/>
    <w:basedOn w:val="993"/>
    <w:link w:val="1126"/>
    <w:qFormat/>
    <w:pPr>
      <w:ind w:left="0"/>
      <w:widowControl w:val="off"/>
    </w:pPr>
    <w:rPr>
      <w:rFonts w:ascii="宋体" w:hAnsi="Courier New" w:eastAsia="楷体_GB2312"/>
      <w:sz w:val="26"/>
      <w:lang w:val="zh-CN"/>
    </w:rPr>
  </w:style>
  <w:style w:type="character" w:styleId="1128" w:customStyle="1">
    <w:name w:val="H 4 Char"/>
    <w:qFormat/>
    <w:rPr>
      <w:b/>
      <w:sz w:val="20"/>
    </w:rPr>
  </w:style>
  <w:style w:type="character" w:styleId="1129" w:customStyle="1">
    <w:name w:val="标准文本 Char"/>
    <w:qFormat/>
    <w:rPr>
      <w:sz w:val="20"/>
    </w:rPr>
  </w:style>
  <w:style w:type="character" w:styleId="1130" w:customStyle="1">
    <w:name w:val="18h1"/>
    <w:qFormat/>
    <w:rPr>
      <w:color w:val="3b3b3b"/>
      <w:sz w:val="20"/>
    </w:rPr>
  </w:style>
  <w:style w:type="character" w:styleId="1131" w:customStyle="1">
    <w:name w:val="正文文本缩进 3 Char1"/>
    <w:qFormat/>
    <w:rPr>
      <w:sz w:val="20"/>
    </w:rPr>
  </w:style>
  <w:style w:type="character" w:styleId="1132" w:customStyle="1">
    <w:name w:val="标题 1 Char1"/>
    <w:qFormat/>
    <w:rPr>
      <w:b/>
      <w:sz w:val="20"/>
    </w:rPr>
  </w:style>
  <w:style w:type="character" w:styleId="1133" w:customStyle="1">
    <w:name w:val="apple-style-span"/>
    <w:qFormat/>
    <w:rPr>
      <w:sz w:val="20"/>
    </w:rPr>
  </w:style>
  <w:style w:type="character" w:styleId="1134" w:customStyle="1">
    <w:name w:val="列表框1 Char Char"/>
    <w:qFormat/>
    <w:rPr>
      <w:sz w:val="20"/>
    </w:rPr>
  </w:style>
  <w:style w:type="character" w:styleId="1135" w:customStyle="1">
    <w:name w:val="批注主题 字符"/>
    <w:semiHidden/>
    <w:qFormat/>
    <w:rPr>
      <w:b/>
      <w:sz w:val="20"/>
    </w:rPr>
  </w:style>
  <w:style w:type="character" w:styleId="1136" w:customStyle="1">
    <w:name w:val="页脚 Char"/>
    <w:qFormat/>
    <w:rPr>
      <w:sz w:val="20"/>
    </w:rPr>
  </w:style>
  <w:style w:type="character" w:styleId="1137" w:customStyle="1">
    <w:name w:val="列出段落 Char"/>
    <w:qFormat/>
    <w:rPr>
      <w:sz w:val="20"/>
    </w:rPr>
  </w:style>
  <w:style w:type="character" w:styleId="1138" w:customStyle="1">
    <w:name w:val="正文文本 3 Char1"/>
    <w:semiHidden/>
    <w:qFormat/>
    <w:rPr>
      <w:sz w:val="20"/>
    </w:rPr>
  </w:style>
  <w:style w:type="character" w:styleId="1139" w:customStyle="1">
    <w:name w:val="尾注文本 Char"/>
    <w:qFormat/>
    <w:rPr>
      <w:sz w:val="20"/>
    </w:rPr>
  </w:style>
  <w:style w:type="character" w:styleId="1140" w:customStyle="1">
    <w:name w:val="正文文本 3 Char"/>
    <w:qFormat/>
    <w:rPr>
      <w:sz w:val="20"/>
    </w:rPr>
  </w:style>
  <w:style w:type="character" w:styleId="1141" w:customStyle="1">
    <w:name w:val="批注框文本 Char1"/>
    <w:semiHidden/>
    <w:qFormat/>
    <w:rPr>
      <w:sz w:val="20"/>
    </w:rPr>
  </w:style>
  <w:style w:type="character" w:styleId="1142" w:customStyle="1">
    <w:name w:val="H 3 Char"/>
    <w:qFormat/>
    <w:rPr>
      <w:b/>
      <w:sz w:val="20"/>
    </w:rPr>
  </w:style>
  <w:style w:type="character" w:styleId="1143" w:customStyle="1">
    <w:name w:val="apple-converted-space"/>
    <w:qFormat/>
    <w:rPr>
      <w:sz w:val="20"/>
    </w:rPr>
  </w:style>
  <w:style w:type="character" w:styleId="1144" w:customStyle="1">
    <w:name w:val="正文文本 Char1"/>
    <w:semiHidden/>
    <w:qFormat/>
    <w:rPr>
      <w:sz w:val="20"/>
    </w:rPr>
  </w:style>
  <w:style w:type="character" w:styleId="1145" w:customStyle="1">
    <w:name w:val="标题 7 Char1"/>
    <w:semiHidden/>
    <w:qFormat/>
    <w:rPr>
      <w:b/>
      <w:sz w:val="20"/>
    </w:rPr>
  </w:style>
  <w:style w:type="character" w:styleId="1146" w:customStyle="1">
    <w:name w:val="_Style 376"/>
    <w:qFormat/>
    <w:rPr>
      <w:b/>
      <w:color w:val="auto"/>
      <w:sz w:val="21"/>
    </w:rPr>
  </w:style>
  <w:style w:type="character" w:styleId="1147" w:customStyle="1">
    <w:name w:val="批注主题 Char"/>
    <w:qFormat/>
    <w:rPr>
      <w:b/>
      <w:sz w:val="20"/>
    </w:rPr>
  </w:style>
  <w:style w:type="character" w:styleId="1148" w:customStyle="1">
    <w:name w:val="表格 Char"/>
    <w:qFormat/>
    <w:rPr>
      <w:color w:val="000000"/>
      <w:sz w:val="20"/>
    </w:rPr>
  </w:style>
  <w:style w:type="character" w:styleId="1149" w:customStyle="1">
    <w:name w:val="正文文本缩进 2 Char1"/>
    <w:semiHidden/>
    <w:qFormat/>
    <w:rPr>
      <w:sz w:val="20"/>
    </w:rPr>
  </w:style>
  <w:style w:type="character" w:styleId="1150" w:customStyle="1">
    <w:name w:val="正文文本 2 Char"/>
    <w:qFormat/>
    <w:rPr>
      <w:sz w:val="20"/>
    </w:rPr>
  </w:style>
  <w:style w:type="character" w:styleId="1151" w:customStyle="1">
    <w:name w:val="para1"/>
    <w:qFormat/>
    <w:rPr>
      <w:sz w:val="20"/>
    </w:rPr>
  </w:style>
  <w:style w:type="character" w:styleId="1152" w:customStyle="1">
    <w:name w:val="标题 8 Char"/>
    <w:qFormat/>
    <w:rPr>
      <w:sz w:val="20"/>
    </w:rPr>
  </w:style>
  <w:style w:type="character" w:styleId="1153" w:customStyle="1">
    <w:name w:val="批注框文本 Char"/>
    <w:qFormat/>
    <w:rPr>
      <w:sz w:val="20"/>
    </w:rPr>
  </w:style>
  <w:style w:type="character" w:styleId="1154" w:customStyle="1">
    <w:name w:val="样式 首行缩进:  2 字符 Char1"/>
    <w:qFormat/>
    <w:rPr>
      <w:sz w:val="20"/>
    </w:rPr>
  </w:style>
  <w:style w:type="character" w:styleId="1155" w:customStyle="1">
    <w:name w:val="Char Char12"/>
    <w:qFormat/>
    <w:rPr>
      <w:sz w:val="20"/>
    </w:rPr>
  </w:style>
  <w:style w:type="character" w:styleId="1156" w:customStyle="1">
    <w:name w:val="_Style 337"/>
    <w:qFormat/>
    <w:rPr>
      <w:color w:val="auto"/>
      <w:sz w:val="21"/>
    </w:rPr>
  </w:style>
  <w:style w:type="character" w:styleId="1157" w:customStyle="1">
    <w:name w:val="批注文字 Char"/>
    <w:qFormat/>
    <w:rPr>
      <w:sz w:val="20"/>
    </w:rPr>
  </w:style>
  <w:style w:type="character" w:styleId="1158" w:customStyle="1">
    <w:name w:val="插图 Char Char"/>
    <w:qFormat/>
    <w:rPr>
      <w:sz w:val="20"/>
    </w:rPr>
  </w:style>
  <w:style w:type="character" w:styleId="1159" w:customStyle="1">
    <w:name w:val="Char Char2"/>
    <w:qFormat/>
    <w:rPr>
      <w:sz w:val="20"/>
    </w:rPr>
  </w:style>
  <w:style w:type="character" w:styleId="1160" w:customStyle="1">
    <w:name w:val="项目符0 Char"/>
    <w:qFormat/>
    <w:rPr>
      <w:sz w:val="20"/>
    </w:rPr>
  </w:style>
  <w:style w:type="character" w:styleId="1161" w:customStyle="1">
    <w:name w:val="页眉 Char"/>
    <w:qFormat/>
    <w:rPr>
      <w:sz w:val="20"/>
    </w:rPr>
  </w:style>
  <w:style w:type="character" w:styleId="1162" w:customStyle="1">
    <w:name w:val="页码1"/>
    <w:qFormat/>
    <w:rPr>
      <w:sz w:val="20"/>
    </w:rPr>
  </w:style>
  <w:style w:type="character" w:styleId="1163" w:customStyle="1">
    <w:name w:val="文档结构图 Char1"/>
    <w:semiHidden/>
    <w:qFormat/>
    <w:rPr>
      <w:sz w:val="20"/>
    </w:rPr>
  </w:style>
  <w:style w:type="character" w:styleId="1164" w:customStyle="1">
    <w:name w:val="HTML 预设格式 Char"/>
    <w:qFormat/>
    <w:rPr>
      <w:sz w:val="20"/>
    </w:rPr>
  </w:style>
  <w:style w:type="character" w:styleId="1165" w:customStyle="1">
    <w:name w:val="应答文本 Char Char"/>
    <w:qFormat/>
    <w:rPr>
      <w:sz w:val="20"/>
    </w:rPr>
  </w:style>
  <w:style w:type="character" w:styleId="1166" w:customStyle="1">
    <w:name w:val="Char Char13"/>
    <w:qFormat/>
    <w:rPr>
      <w:sz w:val="20"/>
    </w:rPr>
  </w:style>
  <w:style w:type="character" w:styleId="1167" w:customStyle="1">
    <w:name w:val="页脚 Char1"/>
    <w:semiHidden/>
    <w:qFormat/>
    <w:rPr>
      <w:sz w:val="20"/>
    </w:rPr>
  </w:style>
  <w:style w:type="character" w:styleId="1168" w:customStyle="1">
    <w:name w:val="表格 Char Char"/>
    <w:qFormat/>
    <w:rPr>
      <w:sz w:val="20"/>
    </w:rPr>
  </w:style>
  <w:style w:type="character" w:styleId="1169" w:customStyle="1">
    <w:name w:val="标题 9 Char"/>
    <w:qFormat/>
    <w:rPr>
      <w:sz w:val="20"/>
    </w:rPr>
  </w:style>
  <w:style w:type="character" w:styleId="1170" w:customStyle="1">
    <w:name w:val="Char Char3"/>
    <w:qFormat/>
    <w:rPr>
      <w:sz w:val="20"/>
    </w:rPr>
  </w:style>
  <w:style w:type="character" w:styleId="1171" w:customStyle="1">
    <w:name w:val="日期 Char1"/>
    <w:qFormat/>
    <w:rPr>
      <w:sz w:val="20"/>
    </w:rPr>
  </w:style>
  <w:style w:type="character" w:styleId="1172" w:customStyle="1">
    <w:name w:val="批注主题 Char1"/>
    <w:semiHidden/>
    <w:qFormat/>
    <w:rPr>
      <w:b/>
      <w:sz w:val="20"/>
    </w:rPr>
  </w:style>
  <w:style w:type="character" w:styleId="1173" w:customStyle="1">
    <w:name w:val="标题 1 Char"/>
    <w:qFormat/>
    <w:rPr>
      <w:b/>
      <w:sz w:val="20"/>
    </w:rPr>
  </w:style>
  <w:style w:type="paragraph" w:styleId="1174" w:customStyle="1">
    <w:name w:val="正文文本缩进 31"/>
    <w:basedOn w:val="994"/>
    <w:next w:val="1175"/>
    <w:qFormat/>
    <w:pPr>
      <w:ind w:left="1200" w:firstLine="1248"/>
      <w:spacing w:before="120" w:after="0" w:line="22" w:lineRule="atLeast"/>
    </w:pPr>
  </w:style>
  <w:style w:type="paragraph" w:styleId="1175" w:customStyle="1">
    <w:name w:val="样式 正文首行缩进 + 首行缩进:  2 字符5"/>
    <w:next w:val="1176"/>
    <w:qFormat/>
    <w:pPr>
      <w:ind w:left="200" w:firstLine="3784"/>
      <w:spacing w:line="300" w:lineRule="auto"/>
    </w:pPr>
    <w:rPr>
      <w:rFonts w:ascii="Calibri" w:hAnsi="Calibri"/>
    </w:rPr>
  </w:style>
  <w:style w:type="paragraph" w:styleId="1176" w:customStyle="1">
    <w:name w:val="Char2"/>
    <w:basedOn w:val="994"/>
    <w:next w:val="1177"/>
    <w:qFormat/>
    <w:pPr>
      <w:ind w:left="0" w:firstLine="3584"/>
      <w:spacing w:before="0" w:after="160" w:line="240" w:lineRule="exact"/>
    </w:pPr>
  </w:style>
  <w:style w:type="paragraph" w:styleId="1177" w:customStyle="1">
    <w:name w:val="Bullet"/>
    <w:next w:val="1178"/>
    <w:qFormat/>
    <w:pPr>
      <w:ind w:left="567" w:right="2835" w:firstLine="3584"/>
      <w:spacing w:after="60"/>
    </w:pPr>
    <w:rPr>
      <w:rFonts w:ascii="Calibri" w:hAnsi="Calibri"/>
    </w:rPr>
  </w:style>
  <w:style w:type="paragraph" w:styleId="1178" w:customStyle="1">
    <w:name w:val="Char Char Char Char"/>
    <w:next w:val="1179"/>
    <w:qFormat/>
    <w:pPr>
      <w:ind w:firstLine="10"/>
      <w:spacing w:line="360" w:lineRule="auto"/>
      <w:shd w:val="clear" w:color="000000" w:fill="000080"/>
    </w:pPr>
    <w:rPr>
      <w:rFonts w:ascii="Calibri" w:hAnsi="Calibri"/>
    </w:rPr>
  </w:style>
  <w:style w:type="paragraph" w:styleId="1179" w:customStyle="1">
    <w:name w:val="杨昂超式样黑体主"/>
    <w:basedOn w:val="994"/>
    <w:next w:val="1180"/>
    <w:qFormat/>
    <w:pPr>
      <w:ind w:left="0" w:firstLine="4608"/>
      <w:spacing w:before="0" w:after="0" w:line="240" w:lineRule="auto"/>
    </w:pPr>
  </w:style>
  <w:style w:type="paragraph" w:styleId="1180" w:customStyle="1">
    <w:name w:val="Char Char Char Char Char Char1 Char Char Char Char Char Char Char Char Char Char"/>
    <w:basedOn w:val="994"/>
    <w:next w:val="1181"/>
    <w:qFormat/>
    <w:pPr>
      <w:ind w:left="0" w:firstLine="2560"/>
      <w:spacing w:before="0" w:after="0" w:line="240" w:lineRule="auto"/>
    </w:pPr>
  </w:style>
  <w:style w:type="paragraph" w:styleId="1181" w:customStyle="1">
    <w:name w:val="目录1"/>
    <w:basedOn w:val="994"/>
    <w:next w:val="993"/>
    <w:qFormat/>
    <w:pPr>
      <w:ind w:left="0" w:firstLine="7168"/>
      <w:spacing w:before="0" w:after="136" w:line="289" w:lineRule="atLeast"/>
    </w:pPr>
  </w:style>
  <w:style w:type="paragraph" w:styleId="1182" w:customStyle="1">
    <w:name w:val="插图"/>
    <w:next w:val="993"/>
    <w:qFormat/>
    <w:pPr>
      <w:ind w:firstLine="4608"/>
      <w:jc w:val="center"/>
    </w:pPr>
    <w:rPr>
      <w:rFonts w:ascii="Calibri" w:hAnsi="Calibri"/>
    </w:rPr>
  </w:style>
  <w:style w:type="paragraph" w:styleId="1183" w:customStyle="1">
    <w:name w:val="正文符号4"/>
    <w:basedOn w:val="994"/>
    <w:next w:val="1184"/>
    <w:qFormat/>
    <w:pPr>
      <w:ind w:left="0" w:firstLine="5632"/>
      <w:spacing w:before="0" w:after="0" w:line="240" w:lineRule="auto"/>
    </w:pPr>
  </w:style>
  <w:style w:type="paragraph" w:styleId="1184" w:customStyle="1">
    <w:name w:val="样式 加粗 居中"/>
    <w:basedOn w:val="994"/>
    <w:next w:val="1185"/>
    <w:qFormat/>
    <w:pPr>
      <w:ind w:left="0" w:firstLine="2560"/>
      <w:jc w:val="center"/>
      <w:spacing w:before="0" w:after="0" w:line="360" w:lineRule="auto"/>
    </w:pPr>
  </w:style>
  <w:style w:type="paragraph" w:styleId="1185" w:customStyle="1">
    <w:name w:val="_Style 12"/>
    <w:next w:val="1186"/>
    <w:qFormat/>
    <w:pPr>
      <w:ind w:firstLine="14"/>
      <w:spacing w:line="360" w:lineRule="auto"/>
      <w:shd w:val="clear" w:color="000000" w:fill="000080"/>
    </w:pPr>
    <w:rPr>
      <w:rFonts w:ascii="Calibri" w:hAnsi="Calibri"/>
    </w:rPr>
  </w:style>
  <w:style w:type="paragraph" w:styleId="1186" w:customStyle="1">
    <w:name w:val="正文文本缩进1"/>
    <w:basedOn w:val="994"/>
    <w:next w:val="1187"/>
    <w:qFormat/>
    <w:pPr>
      <w:ind w:left="420" w:firstLine="3584"/>
      <w:spacing w:before="0" w:after="120" w:line="240" w:lineRule="auto"/>
    </w:pPr>
  </w:style>
  <w:style w:type="paragraph" w:styleId="1187" w:customStyle="1">
    <w:name w:val="列表编号 31"/>
    <w:basedOn w:val="994"/>
    <w:next w:val="1049"/>
    <w:qFormat/>
    <w:pPr>
      <w:ind w:left="1200" w:firstLine="2712"/>
      <w:spacing w:before="0" w:after="0" w:line="360" w:lineRule="auto"/>
    </w:pPr>
  </w:style>
  <w:style w:type="paragraph" w:styleId="1188" w:customStyle="1">
    <w:name w:val="xl70"/>
    <w:basedOn w:val="994"/>
    <w:next w:val="1047"/>
    <w:qFormat/>
    <w:pPr>
      <w:ind w:left="0" w:firstLine="1024"/>
      <w:spacing w:before="280" w:after="280" w:line="240" w:lineRule="auto"/>
    </w:pPr>
  </w:style>
  <w:style w:type="paragraph" w:styleId="1189" w:customStyle="1">
    <w:name w:val="应答文本"/>
    <w:basedOn w:val="994"/>
    <w:next w:val="1190"/>
    <w:qFormat/>
    <w:pPr>
      <w:ind w:left="1296" w:firstLine="2112"/>
      <w:spacing w:before="0" w:after="0" w:line="460" w:lineRule="exact"/>
    </w:pPr>
  </w:style>
  <w:style w:type="paragraph" w:styleId="1190" w:customStyle="1">
    <w:name w:val="引文目录1"/>
    <w:basedOn w:val="994"/>
    <w:next w:val="993"/>
    <w:qFormat/>
    <w:pPr>
      <w:ind w:left="420" w:firstLine="2560"/>
      <w:jc w:val="center"/>
      <w:spacing w:before="0" w:after="0" w:line="360" w:lineRule="auto"/>
    </w:pPr>
  </w:style>
  <w:style w:type="paragraph" w:styleId="1191" w:customStyle="1">
    <w:name w:val="索引标题1"/>
    <w:basedOn w:val="994"/>
    <w:next w:val="1192"/>
    <w:qFormat/>
    <w:pPr>
      <w:ind w:left="0" w:firstLine="4608"/>
      <w:jc w:val="center"/>
      <w:spacing w:before="0" w:after="0" w:line="360" w:lineRule="auto"/>
    </w:pPr>
  </w:style>
  <w:style w:type="paragraph" w:styleId="1192" w:customStyle="1">
    <w:name w:val="xl90"/>
    <w:basedOn w:val="994"/>
    <w:next w:val="1193"/>
    <w:qFormat/>
    <w:pPr>
      <w:ind w:left="0" w:firstLine="3584"/>
      <w:spacing w:before="280" w:after="280" w:line="240" w:lineRule="auto"/>
    </w:pPr>
  </w:style>
  <w:style w:type="paragraph" w:styleId="1193" w:customStyle="1">
    <w:name w:val="列表框1"/>
    <w:next w:val="1190"/>
    <w:qFormat/>
    <w:pPr>
      <w:ind w:firstLine="2048"/>
      <w:spacing w:line="460" w:lineRule="exact"/>
    </w:pPr>
    <w:rPr>
      <w:rFonts w:ascii="Calibri" w:hAnsi="Calibri"/>
    </w:rPr>
  </w:style>
  <w:style w:type="paragraph" w:styleId="1194" w:customStyle="1">
    <w:name w:val="xl28"/>
    <w:basedOn w:val="994"/>
    <w:next w:val="1195"/>
    <w:qFormat/>
    <w:pPr>
      <w:ind w:left="0" w:firstLine="20"/>
      <w:spacing w:before="280" w:after="280" w:line="240" w:lineRule="auto"/>
      <w:shd w:val="clear" w:color="000000" w:fill="ffffff"/>
    </w:pPr>
  </w:style>
  <w:style w:type="paragraph" w:styleId="1195" w:customStyle="1">
    <w:name w:val="HTML 预设格式1"/>
    <w:basedOn w:val="994"/>
    <w:next w:val="1196"/>
    <w:qFormat/>
    <w:pPr>
      <w:ind w:left="0" w:firstLine="3584"/>
      <w:spacing w:before="0" w:after="0" w:line="253" w:lineRule="atLeast"/>
    </w:pPr>
  </w:style>
  <w:style w:type="paragraph" w:styleId="1196" w:customStyle="1">
    <w:name w:val="项目符号：一级"/>
    <w:basedOn w:val="994"/>
    <w:next w:val="993"/>
    <w:qFormat/>
    <w:pPr>
      <w:ind w:left="425" w:firstLine="1111"/>
      <w:spacing w:before="0" w:after="0" w:line="360" w:lineRule="auto"/>
    </w:pPr>
  </w:style>
  <w:style w:type="paragraph" w:styleId="1197" w:customStyle="1">
    <w:name w:val="四号 居中"/>
    <w:basedOn w:val="994"/>
    <w:next w:val="1198"/>
    <w:qFormat/>
    <w:pPr>
      <w:ind w:left="0" w:firstLine="6144"/>
      <w:jc w:val="center"/>
      <w:spacing w:before="0" w:after="0" w:line="360" w:lineRule="auto"/>
    </w:pPr>
  </w:style>
  <w:style w:type="paragraph" w:styleId="1198" w:customStyle="1">
    <w:name w:val="Char Char Char Char Char Char1 Char Char Char1 Char Char Char Char Char Char"/>
    <w:basedOn w:val="994"/>
    <w:next w:val="1199"/>
    <w:qFormat/>
    <w:pPr>
      <w:ind w:left="0" w:firstLine="2560"/>
      <w:spacing w:before="0" w:after="0" w:line="240" w:lineRule="auto"/>
    </w:pPr>
  </w:style>
  <w:style w:type="paragraph" w:styleId="1199" w:customStyle="1">
    <w:name w:val="样式 标题 3 + (西文) 黑体 (中文) 黑体 (符号) 宋体 小四 段前: 5 磅 段后: 5 磅 行距: 1..."/>
    <w:basedOn w:val="997"/>
    <w:next w:val="1200"/>
    <w:qFormat/>
    <w:pPr>
      <w:ind w:left="1429" w:firstLine="18"/>
      <w:spacing w:before="100" w:after="100" w:line="360" w:lineRule="auto"/>
      <w:outlineLvl w:val="2"/>
    </w:pPr>
  </w:style>
  <w:style w:type="paragraph" w:styleId="1200" w:customStyle="1">
    <w:name w:val="xl22"/>
    <w:basedOn w:val="994"/>
    <w:next w:val="1201"/>
    <w:qFormat/>
    <w:pPr>
      <w:ind w:left="0" w:firstLine="20"/>
      <w:jc w:val="right"/>
      <w:spacing w:before="280" w:after="280" w:line="240" w:lineRule="auto"/>
      <w:shd w:val="clear" w:color="000000" w:fill="ffffff"/>
    </w:pPr>
  </w:style>
  <w:style w:type="paragraph" w:styleId="1201" w:customStyle="1">
    <w:name w:val="自定义一"/>
    <w:basedOn w:val="994"/>
    <w:next w:val="993"/>
    <w:qFormat/>
    <w:pPr>
      <w:ind w:left="0"/>
      <w:spacing w:before="0" w:after="0" w:line="360" w:lineRule="auto"/>
    </w:pPr>
  </w:style>
  <w:style w:type="paragraph" w:styleId="1202" w:customStyle="1">
    <w:name w:val="_Style 224"/>
    <w:next w:val="1203"/>
    <w:semiHidden/>
    <w:qFormat/>
    <w:pPr>
      <w:ind w:firstLine="3584"/>
    </w:pPr>
    <w:rPr>
      <w:rFonts w:ascii="Calibri" w:hAnsi="Calibri"/>
    </w:rPr>
  </w:style>
  <w:style w:type="paragraph" w:styleId="1203" w:customStyle="1">
    <w:name w:val="编号1"/>
    <w:basedOn w:val="994"/>
    <w:next w:val="1204"/>
    <w:qFormat/>
    <w:pPr>
      <w:ind w:left="360" w:right="210" w:firstLine="2200"/>
      <w:spacing w:before="0" w:after="0" w:line="240" w:lineRule="auto"/>
    </w:pPr>
  </w:style>
  <w:style w:type="paragraph" w:styleId="1204" w:customStyle="1">
    <w:name w:val="图片"/>
    <w:basedOn w:val="994"/>
    <w:next w:val="1205"/>
    <w:qFormat/>
    <w:pPr>
      <w:ind w:left="-283" w:firstLine="2674"/>
      <w:jc w:val="center"/>
      <w:spacing w:before="0" w:after="0" w:line="360" w:lineRule="auto"/>
    </w:pPr>
  </w:style>
  <w:style w:type="paragraph" w:styleId="1205" w:customStyle="1">
    <w:name w:val="样式 目录 3 + 左侧:  2 字符"/>
    <w:next w:val="1045"/>
    <w:qFormat/>
    <w:pPr>
      <w:ind w:left="400" w:firstLine="5120"/>
      <w:spacing w:line="360" w:lineRule="auto"/>
      <w:widowControl w:val="off"/>
    </w:pPr>
    <w:rPr>
      <w:rFonts w:ascii="Calibri" w:hAnsi="Calibri"/>
    </w:rPr>
  </w:style>
  <w:style w:type="paragraph" w:styleId="1206" w:customStyle="1">
    <w:name w:val="列出段落2"/>
    <w:basedOn w:val="994"/>
    <w:next w:val="1174"/>
    <w:qFormat/>
    <w:pPr>
      <w:ind w:left="420" w:firstLine="3748"/>
      <w:spacing w:before="0" w:after="0" w:line="240" w:lineRule="auto"/>
    </w:pPr>
  </w:style>
  <w:style w:type="paragraph" w:styleId="1207" w:customStyle="1">
    <w:name w:val="Char Char Char Char Char Char1 Char Char Char1 Char"/>
    <w:basedOn w:val="994"/>
    <w:next w:val="1183"/>
    <w:qFormat/>
    <w:pPr>
      <w:ind w:left="0" w:firstLine="2560"/>
      <w:spacing w:before="0" w:after="0" w:line="240" w:lineRule="auto"/>
    </w:pPr>
  </w:style>
  <w:style w:type="paragraph" w:styleId="1208" w:customStyle="1">
    <w:name w:val="列出段落11"/>
    <w:basedOn w:val="994"/>
    <w:next w:val="1209"/>
    <w:qFormat/>
    <w:pPr>
      <w:ind w:left="420" w:firstLine="3748"/>
      <w:spacing w:before="0" w:after="0" w:line="240" w:lineRule="auto"/>
    </w:pPr>
  </w:style>
  <w:style w:type="paragraph" w:styleId="1209" w:customStyle="1">
    <w:name w:val="样式 标题 2 + (西文) 宋体 非加粗 居中"/>
    <w:basedOn w:val="996"/>
    <w:next w:val="1210"/>
    <w:qFormat/>
    <w:pPr>
      <w:ind w:left="0" w:firstLine="24"/>
      <w:jc w:val="center"/>
      <w:spacing w:line="412" w:lineRule="auto"/>
      <w:outlineLvl w:val="1"/>
    </w:pPr>
  </w:style>
  <w:style w:type="paragraph" w:styleId="1210" w:customStyle="1">
    <w:name w:val="页脚 Char Char"/>
    <w:basedOn w:val="994"/>
    <w:next w:val="1211"/>
    <w:qFormat/>
    <w:pPr>
      <w:ind w:left="0" w:firstLine="5120"/>
      <w:spacing w:before="0" w:after="0" w:line="240" w:lineRule="auto"/>
    </w:pPr>
  </w:style>
  <w:style w:type="paragraph" w:styleId="1211" w:customStyle="1">
    <w:name w:val="样式 标题 1 + 段前: 16 磅 段后: 16 磅"/>
    <w:basedOn w:val="995"/>
    <w:next w:val="1212"/>
    <w:qFormat/>
    <w:pPr>
      <w:ind w:left="0" w:firstLine="18"/>
      <w:jc w:val="center"/>
      <w:spacing w:before="120" w:after="0" w:line="360" w:lineRule="auto"/>
      <w:outlineLvl w:val="0"/>
    </w:pPr>
  </w:style>
  <w:style w:type="paragraph" w:styleId="1212" w:customStyle="1">
    <w:name w:val="Char1 Char Char Char Char Char Char"/>
    <w:basedOn w:val="994"/>
    <w:next w:val="1213"/>
    <w:qFormat/>
    <w:pPr>
      <w:ind w:left="0" w:firstLine="2560"/>
      <w:spacing w:before="0" w:after="0" w:line="240" w:lineRule="auto"/>
    </w:pPr>
  </w:style>
  <w:style w:type="paragraph" w:styleId="1213" w:customStyle="1">
    <w:name w:val="文档标题4"/>
    <w:basedOn w:val="998"/>
    <w:next w:val="993"/>
    <w:qFormat/>
    <w:pPr>
      <w:ind w:left="851" w:firstLine="30"/>
      <w:spacing w:after="280" w:line="360" w:lineRule="auto"/>
      <w:outlineLvl w:val="3"/>
    </w:pPr>
  </w:style>
  <w:style w:type="paragraph" w:styleId="1214" w:customStyle="1">
    <w:name w:val="Char Char Char Char Char Char Char Char"/>
    <w:next w:val="1215"/>
    <w:qFormat/>
    <w:pPr>
      <w:ind w:firstLine="14"/>
      <w:jc w:val="both"/>
      <w:shd w:val="clear" w:color="000000" w:fill="000080"/>
      <w:widowControl w:val="off"/>
    </w:pPr>
    <w:rPr>
      <w:rFonts w:ascii="Calibri" w:hAnsi="Calibri"/>
    </w:rPr>
  </w:style>
  <w:style w:type="paragraph" w:styleId="1215" w:customStyle="1">
    <w:name w:val="Char Char Char Char Char Char1 Char Char Char1 Char Char Char Char Char Char Char Char Char Char Char Char Char Char Char"/>
    <w:basedOn w:val="994"/>
    <w:next w:val="1216"/>
    <w:qFormat/>
    <w:pPr>
      <w:ind w:left="0" w:firstLine="2560"/>
      <w:spacing w:before="0" w:after="0" w:line="240" w:lineRule="auto"/>
    </w:pPr>
  </w:style>
  <w:style w:type="paragraph" w:styleId="1216" w:customStyle="1">
    <w:name w:val="样式1"/>
    <w:basedOn w:val="994"/>
    <w:next w:val="1217"/>
    <w:qFormat/>
    <w:pPr>
      <w:ind w:left="0" w:firstLine="1536"/>
      <w:spacing w:before="120" w:after="120" w:line="300" w:lineRule="auto"/>
    </w:pPr>
  </w:style>
  <w:style w:type="paragraph" w:styleId="1217" w:customStyle="1">
    <w:name w:val="索引 41"/>
    <w:basedOn w:val="994"/>
    <w:next w:val="993"/>
    <w:qFormat/>
    <w:pPr>
      <w:ind w:left="600" w:firstLine="2560"/>
      <w:jc w:val="center"/>
      <w:spacing w:before="0" w:after="0" w:line="360" w:lineRule="auto"/>
    </w:pPr>
  </w:style>
  <w:style w:type="paragraph" w:styleId="1218" w:customStyle="1">
    <w:name w:val="索引 61"/>
    <w:basedOn w:val="994"/>
    <w:next w:val="993"/>
    <w:qFormat/>
    <w:pPr>
      <w:ind w:left="1000" w:firstLine="2560"/>
      <w:jc w:val="center"/>
      <w:spacing w:before="0" w:after="0" w:line="360" w:lineRule="auto"/>
    </w:pPr>
  </w:style>
  <w:style w:type="paragraph" w:styleId="1219" w:customStyle="1">
    <w:name w:val="图表"/>
    <w:basedOn w:val="994"/>
    <w:next w:val="1220"/>
    <w:qFormat/>
    <w:pPr>
      <w:ind w:left="0" w:firstLine="2048"/>
      <w:jc w:val="center"/>
      <w:spacing w:before="0" w:after="0" w:line="240" w:lineRule="auto"/>
    </w:pPr>
  </w:style>
  <w:style w:type="paragraph" w:styleId="1220" w:customStyle="1">
    <w:name w:val="reader-word-layer"/>
    <w:basedOn w:val="994"/>
    <w:next w:val="1221"/>
    <w:qFormat/>
    <w:pPr>
      <w:ind w:left="0" w:firstLine="1024"/>
      <w:spacing w:before="280" w:after="280" w:line="240" w:lineRule="auto"/>
    </w:pPr>
  </w:style>
  <w:style w:type="paragraph" w:styleId="1221" w:customStyle="1">
    <w:name w:val="样式 加粗 居中1"/>
    <w:next w:val="1222"/>
    <w:qFormat/>
    <w:pPr>
      <w:ind w:firstLine="2560"/>
      <w:jc w:val="center"/>
    </w:pPr>
    <w:rPr>
      <w:rFonts w:ascii="Calibri" w:hAnsi="Calibri"/>
    </w:rPr>
  </w:style>
  <w:style w:type="paragraph" w:styleId="1222" w:customStyle="1">
    <w:name w:val="xl65"/>
    <w:basedOn w:val="994"/>
    <w:next w:val="1223"/>
    <w:qFormat/>
    <w:pPr>
      <w:ind w:left="0" w:firstLine="5120"/>
      <w:spacing w:before="280" w:after="280" w:line="240" w:lineRule="auto"/>
    </w:pPr>
  </w:style>
  <w:style w:type="paragraph" w:styleId="1223" w:customStyle="1">
    <w:name w:val="节标题"/>
    <w:basedOn w:val="994"/>
    <w:next w:val="1224"/>
    <w:qFormat/>
    <w:pPr>
      <w:ind w:left="0" w:firstLine="5120"/>
      <w:jc w:val="center"/>
      <w:spacing w:before="0" w:after="0" w:line="289" w:lineRule="atLeast"/>
    </w:pPr>
  </w:style>
  <w:style w:type="paragraph" w:styleId="1224" w:customStyle="1">
    <w:name w:val="文档标题6"/>
    <w:basedOn w:val="1000"/>
    <w:next w:val="993"/>
    <w:qFormat/>
    <w:pPr>
      <w:ind w:left="1134" w:firstLine="20"/>
      <w:spacing w:before="280" w:after="280" w:line="360" w:lineRule="auto"/>
      <w:outlineLvl w:val="5"/>
    </w:pPr>
  </w:style>
  <w:style w:type="paragraph" w:styleId="1225" w:customStyle="1">
    <w:name w:val="标书正文"/>
    <w:basedOn w:val="994"/>
    <w:next w:val="1226"/>
    <w:qFormat/>
    <w:pPr>
      <w:ind w:left="440" w:right="100" w:firstLine="2760"/>
      <w:spacing w:before="0" w:after="0" w:line="360" w:lineRule="auto"/>
    </w:pPr>
  </w:style>
  <w:style w:type="paragraph" w:styleId="1226" w:customStyle="1">
    <w:name w:val="xl67"/>
    <w:basedOn w:val="994"/>
    <w:next w:val="1218"/>
    <w:qFormat/>
    <w:pPr>
      <w:ind w:left="0" w:firstLine="5120"/>
      <w:spacing w:before="280" w:after="280" w:line="240" w:lineRule="auto"/>
    </w:pPr>
  </w:style>
  <w:style w:type="paragraph" w:styleId="1227" w:customStyle="1">
    <w:name w:val="表内文字"/>
    <w:basedOn w:val="994"/>
    <w:next w:val="1034"/>
    <w:qFormat/>
    <w:pPr>
      <w:ind w:left="0" w:firstLine="7680"/>
      <w:jc w:val="center"/>
      <w:spacing w:before="50" w:after="50" w:line="240" w:lineRule="auto"/>
    </w:pPr>
  </w:style>
  <w:style w:type="paragraph" w:styleId="1228" w:customStyle="1">
    <w:name w:val="Item Step in Table"/>
    <w:next w:val="1229"/>
    <w:qFormat/>
    <w:pPr>
      <w:ind w:left="397" w:firstLine="3699"/>
      <w:jc w:val="both"/>
      <w:spacing w:before="40" w:after="40"/>
    </w:pPr>
    <w:rPr>
      <w:rFonts w:ascii="Calibri" w:hAnsi="Calibri"/>
    </w:rPr>
  </w:style>
  <w:style w:type="paragraph" w:styleId="1229" w:customStyle="1">
    <w:name w:val="Char Char Char Char Char Char1 Char Char Char Char Char Char"/>
    <w:basedOn w:val="994"/>
    <w:next w:val="1230"/>
    <w:qFormat/>
    <w:pPr>
      <w:ind w:left="0" w:firstLine="2560"/>
      <w:spacing w:before="0" w:after="0" w:line="240" w:lineRule="auto"/>
    </w:pPr>
  </w:style>
  <w:style w:type="paragraph" w:styleId="1230" w:customStyle="1">
    <w:name w:val="Char Char1"/>
    <w:basedOn w:val="994"/>
    <w:next w:val="1231"/>
    <w:qFormat/>
    <w:pPr>
      <w:ind w:left="0" w:firstLine="3584"/>
      <w:spacing w:before="0" w:after="160" w:line="240" w:lineRule="exact"/>
    </w:pPr>
  </w:style>
  <w:style w:type="paragraph" w:styleId="1231" w:customStyle="1">
    <w:name w:val="样式 标题 3 + 行距: 1.5 倍行距"/>
    <w:basedOn w:val="997"/>
    <w:next w:val="1051"/>
    <w:qFormat/>
    <w:pPr>
      <w:ind w:left="200" w:firstLine="18"/>
      <w:spacing w:before="0" w:after="0" w:line="360" w:lineRule="auto"/>
      <w:outlineLvl w:val="2"/>
    </w:pPr>
  </w:style>
  <w:style w:type="paragraph" w:styleId="1232" w:customStyle="1">
    <w:name w:val="Char Char Char Char Char Char1"/>
    <w:basedOn w:val="994"/>
    <w:next w:val="1233"/>
    <w:qFormat/>
    <w:pPr>
      <w:ind w:left="0" w:firstLine="2560"/>
      <w:spacing w:before="0" w:after="0" w:line="240" w:lineRule="auto"/>
    </w:pPr>
  </w:style>
  <w:style w:type="paragraph" w:styleId="1233" w:customStyle="1">
    <w:name w:val="正文缩进2"/>
    <w:basedOn w:val="994"/>
    <w:next w:val="1206"/>
    <w:qFormat/>
    <w:pPr>
      <w:ind w:left="420" w:firstLine="1188"/>
      <w:spacing w:before="0" w:after="0" w:line="240" w:lineRule="auto"/>
    </w:pPr>
  </w:style>
  <w:style w:type="paragraph" w:styleId="1234" w:customStyle="1">
    <w:name w:val="索引 31"/>
    <w:basedOn w:val="994"/>
    <w:next w:val="993"/>
    <w:qFormat/>
    <w:pPr>
      <w:ind w:left="400" w:firstLine="2560"/>
      <w:jc w:val="center"/>
      <w:spacing w:before="0" w:after="0" w:line="360" w:lineRule="auto"/>
    </w:pPr>
  </w:style>
  <w:style w:type="paragraph" w:styleId="1235" w:customStyle="1">
    <w:name w:val="项目符0"/>
    <w:basedOn w:val="994"/>
    <w:next w:val="1236"/>
    <w:qFormat/>
    <w:pPr>
      <w:ind w:left="300" w:right="57" w:firstLine="2760"/>
      <w:spacing w:before="0" w:after="0" w:line="300" w:lineRule="auto"/>
    </w:pPr>
  </w:style>
  <w:style w:type="paragraph" w:styleId="1236" w:customStyle="1">
    <w:name w:val="宏文本1"/>
    <w:next w:val="1228"/>
    <w:qFormat/>
    <w:pPr>
      <w:ind w:firstLine="5632"/>
      <w:widowControl w:val="off"/>
    </w:pPr>
    <w:rPr>
      <w:rFonts w:ascii="Calibri" w:hAnsi="Calibri"/>
    </w:rPr>
  </w:style>
  <w:style w:type="paragraph" w:styleId="1237" w:customStyle="1">
    <w:name w:val="xl81"/>
    <w:basedOn w:val="994"/>
    <w:next w:val="1238"/>
    <w:qFormat/>
    <w:pPr>
      <w:ind w:left="0" w:firstLine="5120"/>
      <w:spacing w:before="280" w:after="280" w:line="240" w:lineRule="auto"/>
    </w:pPr>
  </w:style>
  <w:style w:type="paragraph" w:styleId="1238" w:customStyle="1">
    <w:name w:val="xl25"/>
    <w:basedOn w:val="994"/>
    <w:next w:val="1239"/>
    <w:qFormat/>
    <w:pPr>
      <w:ind w:left="0" w:firstLine="14"/>
      <w:spacing w:before="280" w:after="280" w:line="240" w:lineRule="auto"/>
      <w:shd w:val="clear" w:color="000000" w:fill="ffffff"/>
    </w:pPr>
  </w:style>
  <w:style w:type="paragraph" w:styleId="1239" w:customStyle="1">
    <w:name w:val="普通(网站)1"/>
    <w:basedOn w:val="994"/>
    <w:next w:val="1240"/>
    <w:qFormat/>
    <w:pPr>
      <w:ind w:left="200" w:firstLine="1224"/>
      <w:spacing w:before="280" w:after="280" w:line="240" w:lineRule="auto"/>
    </w:pPr>
  </w:style>
  <w:style w:type="paragraph" w:styleId="1240" w:customStyle="1">
    <w:name w:val="xl27"/>
    <w:basedOn w:val="994"/>
    <w:next w:val="1241"/>
    <w:qFormat/>
    <w:pPr>
      <w:ind w:left="0" w:firstLine="20"/>
      <w:spacing w:before="280" w:after="280" w:line="240" w:lineRule="auto"/>
      <w:shd w:val="clear" w:color="000000" w:fill="ffffff"/>
    </w:pPr>
  </w:style>
  <w:style w:type="paragraph" w:styleId="1241" w:customStyle="1">
    <w:name w:val="表格文字图表文字"/>
    <w:basedOn w:val="994"/>
    <w:next w:val="1242"/>
    <w:qFormat/>
    <w:pPr>
      <w:ind w:left="0" w:firstLine="3584"/>
      <w:jc w:val="center"/>
      <w:spacing w:before="0" w:after="0" w:line="240" w:lineRule="auto"/>
    </w:pPr>
  </w:style>
  <w:style w:type="paragraph" w:styleId="1242" w:customStyle="1">
    <w:name w:val="样式 目录 3 + 左侧:  2 字符1"/>
    <w:next w:val="1243"/>
    <w:qFormat/>
    <w:pPr>
      <w:ind w:left="960" w:firstLine="5120"/>
      <w:spacing w:line="360" w:lineRule="auto"/>
      <w:widowControl w:val="off"/>
    </w:pPr>
    <w:rPr>
      <w:rFonts w:ascii="Calibri" w:hAnsi="Calibri"/>
    </w:rPr>
  </w:style>
  <w:style w:type="paragraph" w:styleId="1243" w:customStyle="1">
    <w:name w:val="文档正文"/>
    <w:basedOn w:val="994"/>
    <w:next w:val="1244"/>
    <w:qFormat/>
    <w:pPr>
      <w:ind w:left="567" w:firstLine="3639"/>
      <w:spacing w:before="0" w:after="0" w:line="480" w:lineRule="atLeast"/>
    </w:pPr>
  </w:style>
  <w:style w:type="paragraph" w:styleId="1244" w:customStyle="1">
    <w:name w:val="列表框2"/>
    <w:next w:val="1245"/>
    <w:qFormat/>
    <w:pPr>
      <w:ind w:firstLine="2048"/>
      <w:spacing w:line="460" w:lineRule="exact"/>
    </w:pPr>
    <w:rPr>
      <w:rFonts w:ascii="Calibri" w:hAnsi="Calibri"/>
    </w:rPr>
  </w:style>
  <w:style w:type="paragraph" w:styleId="1245" w:customStyle="1">
    <w:name w:val="font10"/>
    <w:basedOn w:val="994"/>
    <w:next w:val="1025"/>
    <w:qFormat/>
    <w:pPr>
      <w:ind w:left="0" w:firstLine="3584"/>
      <w:spacing w:before="280" w:after="280" w:line="240" w:lineRule="auto"/>
    </w:pPr>
  </w:style>
  <w:style w:type="paragraph" w:styleId="1246" w:customStyle="1">
    <w:name w:val="Char1 Char Char"/>
    <w:basedOn w:val="994"/>
    <w:next w:val="1031"/>
    <w:qFormat/>
    <w:pPr>
      <w:ind w:left="0" w:firstLine="2560"/>
      <w:spacing w:before="0" w:after="0" w:line="240" w:lineRule="auto"/>
    </w:pPr>
  </w:style>
  <w:style w:type="paragraph" w:styleId="1247">
    <w:name w:val="Intense Quote"/>
    <w:next w:val="993"/>
    <w:qFormat/>
    <w:pPr>
      <w:ind w:left="3766" w:right="950"/>
      <w:jc w:val="center"/>
      <w:spacing w:before="360" w:after="360"/>
    </w:pPr>
    <w:rPr>
      <w:rFonts w:ascii="Calibri" w:hAnsi="Calibri"/>
      <w:i/>
    </w:rPr>
  </w:style>
  <w:style w:type="paragraph" w:styleId="1248" w:customStyle="1">
    <w:name w:val="列表编号 21"/>
    <w:basedOn w:val="994"/>
    <w:next w:val="1249"/>
    <w:qFormat/>
    <w:pPr>
      <w:ind w:left="0" w:firstLine="2560"/>
      <w:spacing w:before="0" w:after="0" w:line="360" w:lineRule="auto"/>
    </w:pPr>
  </w:style>
  <w:style w:type="paragraph" w:styleId="1249" w:customStyle="1">
    <w:name w:val="正文文本 21"/>
    <w:basedOn w:val="994"/>
    <w:next w:val="1202"/>
    <w:qFormat/>
    <w:pPr>
      <w:ind w:left="0" w:firstLine="2560"/>
      <w:jc w:val="center"/>
      <w:spacing w:before="0" w:after="120" w:line="480" w:lineRule="auto"/>
    </w:pPr>
  </w:style>
  <w:style w:type="paragraph" w:styleId="1250" w:customStyle="1">
    <w:name w:val="font8"/>
    <w:basedOn w:val="994"/>
    <w:next w:val="1251"/>
    <w:qFormat/>
    <w:pPr>
      <w:ind w:left="0" w:firstLine="2048"/>
      <w:spacing w:before="280" w:after="280" w:line="240" w:lineRule="auto"/>
    </w:pPr>
  </w:style>
  <w:style w:type="paragraph" w:styleId="1251" w:customStyle="1">
    <w:name w:val="Default"/>
    <w:next w:val="1027"/>
    <w:qFormat/>
    <w:pPr>
      <w:ind w:firstLine="5120"/>
      <w:widowControl w:val="off"/>
    </w:pPr>
    <w:rPr>
      <w:rFonts w:ascii="Calibri" w:hAnsi="Calibri"/>
    </w:rPr>
  </w:style>
  <w:style w:type="paragraph" w:styleId="1252" w:customStyle="1">
    <w:name w:val="小节标题"/>
    <w:basedOn w:val="994"/>
    <w:next w:val="993"/>
    <w:qFormat/>
    <w:pPr>
      <w:ind w:left="0" w:firstLine="7168"/>
      <w:spacing w:before="175" w:after="102" w:line="351" w:lineRule="atLeast"/>
    </w:pPr>
  </w:style>
  <w:style w:type="paragraph" w:styleId="1253" w:customStyle="1">
    <w:name w:val="图1"/>
    <w:basedOn w:val="994"/>
    <w:next w:val="993"/>
    <w:qFormat/>
    <w:pPr>
      <w:ind w:left="1105" w:firstLine="2580"/>
      <w:jc w:val="center"/>
      <w:spacing w:before="0" w:after="0" w:line="360" w:lineRule="auto"/>
    </w:pPr>
  </w:style>
  <w:style w:type="paragraph" w:styleId="1254" w:customStyle="1">
    <w:name w:val="Char Char Char Char Char Char1 Char Char Char1 Char Char Char Char Char Char Char Char Char Char Char Char Char Char Char Char"/>
    <w:basedOn w:val="994"/>
    <w:next w:val="1255"/>
    <w:qFormat/>
    <w:pPr>
      <w:ind w:left="0" w:firstLine="2560"/>
      <w:spacing w:before="0" w:after="0" w:line="240" w:lineRule="auto"/>
    </w:pPr>
  </w:style>
  <w:style w:type="paragraph" w:styleId="1255" w:customStyle="1">
    <w:name w:val="1正文"/>
    <w:basedOn w:val="994"/>
    <w:next w:val="1256"/>
    <w:qFormat/>
    <w:pPr>
      <w:ind w:left="480" w:firstLine="2784"/>
      <w:spacing w:before="0" w:after="0" w:line="300" w:lineRule="auto"/>
    </w:pPr>
  </w:style>
  <w:style w:type="paragraph" w:styleId="1256" w:customStyle="1">
    <w:name w:val="目录2"/>
    <w:basedOn w:val="994"/>
    <w:next w:val="993"/>
    <w:qFormat/>
    <w:pPr>
      <w:ind w:left="209" w:firstLine="5329"/>
      <w:spacing w:before="0" w:after="0" w:line="317" w:lineRule="atLeast"/>
    </w:pPr>
  </w:style>
  <w:style w:type="paragraph" w:styleId="1257" w:customStyle="1">
    <w:name w:val="批注主题1"/>
    <w:next w:val="993"/>
    <w:qFormat/>
    <w:pPr>
      <w:ind w:left="200" w:firstLine="4808"/>
      <w:spacing w:line="360" w:lineRule="auto"/>
    </w:pPr>
    <w:rPr>
      <w:rFonts w:ascii="Calibri" w:hAnsi="Calibri"/>
    </w:rPr>
  </w:style>
  <w:style w:type="paragraph" w:styleId="1258" w:customStyle="1">
    <w:name w:val="xl66"/>
    <w:basedOn w:val="994"/>
    <w:next w:val="1259"/>
    <w:qFormat/>
    <w:pPr>
      <w:ind w:left="0" w:firstLine="3584"/>
      <w:spacing w:before="280" w:after="280" w:line="240" w:lineRule="auto"/>
    </w:pPr>
  </w:style>
  <w:style w:type="paragraph" w:styleId="1259" w:customStyle="1">
    <w:name w:val="表格文字（居中）"/>
    <w:basedOn w:val="994"/>
    <w:next w:val="1260"/>
    <w:qFormat/>
    <w:pPr>
      <w:ind w:left="0" w:firstLine="2560"/>
      <w:jc w:val="center"/>
      <w:spacing w:before="0" w:after="0" w:line="360" w:lineRule="auto"/>
    </w:pPr>
  </w:style>
  <w:style w:type="paragraph" w:styleId="1260" w:customStyle="1">
    <w:name w:val="style16"/>
    <w:basedOn w:val="994"/>
    <w:next w:val="1261"/>
    <w:qFormat/>
    <w:pPr>
      <w:ind w:left="0" w:firstLine="2048"/>
      <w:spacing w:before="280" w:after="280" w:line="240" w:lineRule="auto"/>
    </w:pPr>
  </w:style>
  <w:style w:type="paragraph" w:styleId="1261" w:customStyle="1">
    <w:name w:val="font6"/>
    <w:basedOn w:val="994"/>
    <w:next w:val="1262"/>
    <w:qFormat/>
    <w:pPr>
      <w:ind w:left="0" w:firstLine="5120"/>
      <w:spacing w:before="280" w:after="280" w:line="240" w:lineRule="auto"/>
    </w:pPr>
  </w:style>
  <w:style w:type="paragraph" w:styleId="1262" w:customStyle="1">
    <w:name w:val="正文首行缩进 21"/>
    <w:next w:val="1263"/>
    <w:qFormat/>
    <w:pPr>
      <w:ind w:left="200" w:firstLine="3784"/>
      <w:jc w:val="center"/>
      <w:spacing w:after="120" w:line="360" w:lineRule="auto"/>
    </w:pPr>
    <w:rPr>
      <w:rFonts w:ascii="Calibri" w:hAnsi="Calibri"/>
    </w:rPr>
  </w:style>
  <w:style w:type="paragraph" w:styleId="1263" w:customStyle="1">
    <w:name w:val="Body"/>
    <w:next w:val="1264"/>
    <w:qFormat/>
    <w:pPr>
      <w:ind w:left="567" w:right="2835" w:firstLine="3584"/>
      <w:spacing w:after="60"/>
    </w:pPr>
    <w:rPr>
      <w:rFonts w:ascii="Calibri" w:hAnsi="Calibri"/>
    </w:rPr>
  </w:style>
  <w:style w:type="paragraph" w:styleId="1264" w:customStyle="1">
    <w:name w:val="索引 91"/>
    <w:basedOn w:val="994"/>
    <w:next w:val="993"/>
    <w:qFormat/>
    <w:pPr>
      <w:ind w:left="1600" w:firstLine="2560"/>
      <w:jc w:val="center"/>
      <w:spacing w:before="0" w:after="0" w:line="360" w:lineRule="auto"/>
    </w:pPr>
  </w:style>
  <w:style w:type="paragraph" w:styleId="1265" w:customStyle="1">
    <w:name w:val="图片0"/>
    <w:basedOn w:val="994"/>
    <w:next w:val="1040"/>
    <w:qFormat/>
    <w:pPr>
      <w:ind w:left="-161" w:firstLine="1187"/>
      <w:spacing w:before="0" w:after="0" w:line="276" w:lineRule="auto"/>
    </w:pPr>
  </w:style>
  <w:style w:type="paragraph" w:styleId="1266" w:customStyle="1">
    <w:name w:val="正文段"/>
    <w:basedOn w:val="994"/>
    <w:next w:val="1257"/>
    <w:qFormat/>
    <w:pPr>
      <w:ind w:left="454" w:firstLine="1222"/>
      <w:spacing w:before="0" w:after="240" w:line="240" w:lineRule="atLeast"/>
    </w:pPr>
  </w:style>
  <w:style w:type="paragraph" w:styleId="1267" w:customStyle="1">
    <w:name w:val="三号 居中"/>
    <w:basedOn w:val="994"/>
    <w:next w:val="1268"/>
    <w:qFormat/>
    <w:pPr>
      <w:ind w:left="0" w:firstLine="6144"/>
      <w:jc w:val="center"/>
      <w:spacing w:before="0" w:after="0" w:line="360" w:lineRule="auto"/>
    </w:pPr>
  </w:style>
  <w:style w:type="paragraph" w:styleId="1268" w:customStyle="1">
    <w:name w:val="列出段落1"/>
    <w:basedOn w:val="994"/>
    <w:next w:val="1269"/>
    <w:qFormat/>
    <w:pPr>
      <w:ind w:left="420" w:firstLine="3748"/>
      <w:spacing w:before="0" w:after="0" w:line="240" w:lineRule="auto"/>
    </w:pPr>
  </w:style>
  <w:style w:type="paragraph" w:styleId="1269" w:customStyle="1">
    <w:name w:val="Char Char Char Char Char Char1 Char Char Char1 Char Char Char"/>
    <w:basedOn w:val="994"/>
    <w:next w:val="1207"/>
    <w:qFormat/>
    <w:pPr>
      <w:ind w:left="0" w:firstLine="2560"/>
      <w:spacing w:before="0" w:after="0" w:line="240" w:lineRule="auto"/>
    </w:pPr>
  </w:style>
  <w:style w:type="paragraph" w:styleId="1270" w:customStyle="1">
    <w:name w:val="样式 标题 3 + (中文) 黑体 小四 非加粗 段前: 7.8 磅 段后: 0 磅 行距: 固定值 20 磅"/>
    <w:basedOn w:val="997"/>
    <w:next w:val="1225"/>
    <w:qFormat/>
    <w:pPr>
      <w:ind w:left="0"/>
      <w:spacing w:before="0" w:after="0" w:line="400" w:lineRule="exact"/>
      <w:outlineLvl w:val="2"/>
    </w:pPr>
  </w:style>
  <w:style w:type="paragraph" w:styleId="1271" w:customStyle="1">
    <w:name w:val="a2"/>
    <w:basedOn w:val="994"/>
    <w:next w:val="1032"/>
    <w:qFormat/>
    <w:pPr>
      <w:ind w:left="0" w:firstLine="1024"/>
      <w:spacing w:before="280" w:after="280" w:line="240" w:lineRule="auto"/>
    </w:pPr>
  </w:style>
  <w:style w:type="paragraph" w:styleId="1272" w:customStyle="1">
    <w:name w:val="需求文档正文样式"/>
    <w:basedOn w:val="994"/>
    <w:next w:val="1273"/>
    <w:qFormat/>
    <w:pPr>
      <w:ind w:left="437" w:firstLine="2741"/>
      <w:spacing w:before="0" w:after="0" w:line="360" w:lineRule="auto"/>
    </w:pPr>
  </w:style>
  <w:style w:type="paragraph" w:styleId="1273" w:customStyle="1">
    <w:name w:val="xl74"/>
    <w:basedOn w:val="994"/>
    <w:next w:val="1274"/>
    <w:qFormat/>
    <w:pPr>
      <w:ind w:left="0" w:firstLine="16"/>
      <w:jc w:val="center"/>
      <w:spacing w:before="280" w:after="280" w:line="240" w:lineRule="auto"/>
      <w:shd w:val="clear" w:color="000000" w:fill="538dd5"/>
    </w:pPr>
  </w:style>
  <w:style w:type="paragraph" w:styleId="1274" w:customStyle="1">
    <w:name w:val="xl88"/>
    <w:basedOn w:val="994"/>
    <w:next w:val="1188"/>
    <w:qFormat/>
    <w:pPr>
      <w:ind w:left="0" w:firstLine="5120"/>
      <w:spacing w:before="280" w:after="280" w:line="240" w:lineRule="auto"/>
    </w:pPr>
  </w:style>
  <w:style w:type="paragraph" w:styleId="1275" w:customStyle="1">
    <w:name w:val="afont"/>
    <w:basedOn w:val="994"/>
    <w:next w:val="1018"/>
    <w:qFormat/>
    <w:pPr>
      <w:ind w:left="0" w:firstLine="2048"/>
      <w:spacing w:before="100" w:after="100" w:line="285" w:lineRule="atLeast"/>
    </w:pPr>
  </w:style>
  <w:style w:type="paragraph" w:styleId="1276" w:customStyle="1">
    <w:name w:val="日期1"/>
    <w:basedOn w:val="994"/>
    <w:next w:val="993"/>
    <w:qFormat/>
    <w:pPr>
      <w:ind w:left="100" w:firstLine="6144"/>
      <w:spacing w:before="0" w:after="0" w:line="240" w:lineRule="auto"/>
    </w:pPr>
  </w:style>
  <w:style w:type="paragraph" w:styleId="1277" w:customStyle="1">
    <w:name w:val="Char Char Char Char Char Char Char Char Char Char Char Char Char Char Char Char"/>
    <w:basedOn w:val="994"/>
    <w:next w:val="1278"/>
    <w:qFormat/>
    <w:pPr>
      <w:ind w:left="682" w:firstLine="1224"/>
      <w:spacing w:before="0" w:after="0" w:line="360" w:lineRule="auto"/>
    </w:pPr>
  </w:style>
  <w:style w:type="paragraph" w:styleId="1278" w:customStyle="1">
    <w:name w:val="列表编号 51"/>
    <w:basedOn w:val="994"/>
    <w:next w:val="1279"/>
    <w:qFormat/>
    <w:pPr>
      <w:ind w:left="900" w:firstLine="2652"/>
      <w:spacing w:before="0" w:after="0" w:line="360" w:lineRule="auto"/>
    </w:pPr>
  </w:style>
  <w:style w:type="paragraph" w:styleId="1279" w:customStyle="1">
    <w:name w:val="样式 标题 1 + 黑体 (符号) 宋体 三号 段前: 7.8 磅 段后: 7.8 磅 行距: 1.5 倍行距"/>
    <w:basedOn w:val="995"/>
    <w:next w:val="1280"/>
    <w:qFormat/>
    <w:pPr>
      <w:ind w:left="432" w:firstLine="18"/>
      <w:spacing w:before="40" w:after="40" w:line="360" w:lineRule="auto"/>
      <w:outlineLvl w:val="0"/>
    </w:pPr>
  </w:style>
  <w:style w:type="paragraph" w:styleId="1280" w:customStyle="1">
    <w:name w:val="表格用"/>
    <w:basedOn w:val="994"/>
    <w:next w:val="1197"/>
    <w:qFormat/>
    <w:pPr>
      <w:ind w:left="0" w:firstLine="1024"/>
      <w:spacing w:before="0" w:after="0" w:line="360" w:lineRule="auto"/>
    </w:pPr>
  </w:style>
  <w:style w:type="paragraph" w:styleId="1281" w:customStyle="1">
    <w:name w:val="正文（首行缩进 2 字符）"/>
    <w:next w:val="1194"/>
    <w:qFormat/>
    <w:pPr>
      <w:ind w:left="480" w:firstLine="2784"/>
      <w:jc w:val="center"/>
      <w:spacing w:line="300" w:lineRule="auto"/>
    </w:pPr>
    <w:rPr>
      <w:rFonts w:ascii="Calibri" w:hAnsi="Calibri"/>
    </w:rPr>
  </w:style>
  <w:style w:type="paragraph" w:styleId="1282" w:customStyle="1">
    <w:name w:val="Char"/>
    <w:basedOn w:val="994"/>
    <w:next w:val="1283"/>
    <w:qFormat/>
    <w:pPr>
      <w:ind w:left="900" w:firstLine="2608"/>
      <w:spacing w:before="0" w:after="0" w:line="240" w:lineRule="auto"/>
    </w:pPr>
  </w:style>
  <w:style w:type="paragraph" w:styleId="1283" w:customStyle="1">
    <w:name w:val="Char Char Char2 Char Char Char2 Char"/>
    <w:basedOn w:val="994"/>
    <w:next w:val="1284"/>
    <w:qFormat/>
    <w:pPr>
      <w:ind w:left="560" w:firstLine="3632"/>
      <w:spacing w:before="0" w:after="160" w:line="240" w:lineRule="exact"/>
    </w:pPr>
  </w:style>
  <w:style w:type="paragraph" w:styleId="1284" w:customStyle="1">
    <w:name w:val="目录3"/>
    <w:basedOn w:val="994"/>
    <w:next w:val="993"/>
    <w:qFormat/>
    <w:pPr>
      <w:ind w:left="419" w:firstLine="5283"/>
      <w:spacing w:before="0" w:after="0" w:line="317" w:lineRule="atLeast"/>
    </w:pPr>
  </w:style>
  <w:style w:type="paragraph" w:styleId="1285" w:customStyle="1">
    <w:name w:val="表格"/>
    <w:basedOn w:val="994"/>
    <w:next w:val="1286"/>
    <w:qFormat/>
    <w:pPr>
      <w:ind w:left="0" w:firstLine="2560"/>
      <w:spacing w:before="0" w:after="0" w:line="360" w:lineRule="auto"/>
    </w:pPr>
  </w:style>
  <w:style w:type="paragraph" w:styleId="1286" w:customStyle="1">
    <w:name w:val="xl26"/>
    <w:basedOn w:val="994"/>
    <w:next w:val="1246"/>
    <w:qFormat/>
    <w:pPr>
      <w:ind w:left="0" w:firstLine="20"/>
      <w:jc w:val="center"/>
      <w:spacing w:before="280" w:after="280" w:line="240" w:lineRule="auto"/>
      <w:shd w:val="clear" w:color="000000" w:fill="ffffff"/>
    </w:pPr>
  </w:style>
  <w:style w:type="paragraph" w:styleId="1287" w:customStyle="1">
    <w:name w:val="xl71"/>
    <w:basedOn w:val="994"/>
    <w:next w:val="1288"/>
    <w:qFormat/>
    <w:pPr>
      <w:ind w:left="0" w:firstLine="1536"/>
      <w:spacing w:before="280" w:after="280" w:line="240" w:lineRule="auto"/>
    </w:pPr>
  </w:style>
  <w:style w:type="paragraph" w:styleId="1288" w:customStyle="1">
    <w:name w:val="正文文本 31"/>
    <w:basedOn w:val="994"/>
    <w:next w:val="1289"/>
    <w:qFormat/>
    <w:pPr>
      <w:ind w:left="0" w:firstLine="3584"/>
      <w:jc w:val="center"/>
      <w:spacing w:before="0" w:after="120" w:line="360" w:lineRule="auto"/>
    </w:pPr>
  </w:style>
  <w:style w:type="paragraph" w:styleId="1289" w:customStyle="1">
    <w:name w:val="列出段落111"/>
    <w:basedOn w:val="994"/>
    <w:next w:val="1290"/>
    <w:qFormat/>
    <w:pPr>
      <w:ind w:left="420" w:firstLine="3748"/>
      <w:spacing w:before="0" w:after="0" w:line="240" w:lineRule="auto"/>
    </w:pPr>
  </w:style>
  <w:style w:type="paragraph" w:styleId="1290" w:customStyle="1">
    <w:name w:val="xl78"/>
    <w:basedOn w:val="994"/>
    <w:next w:val="1291"/>
    <w:qFormat/>
    <w:pPr>
      <w:ind w:left="0" w:firstLine="3584"/>
      <w:jc w:val="center"/>
      <w:spacing w:before="280" w:after="280" w:line="240" w:lineRule="auto"/>
    </w:pPr>
  </w:style>
  <w:style w:type="paragraph" w:styleId="1291" w:customStyle="1">
    <w:name w:val="段落正文"/>
    <w:next w:val="1281"/>
    <w:qFormat/>
    <w:pPr>
      <w:ind w:firstLine="4608"/>
      <w:jc w:val="center"/>
      <w:spacing w:line="360" w:lineRule="auto"/>
    </w:pPr>
    <w:rPr>
      <w:rFonts w:ascii="Calibri" w:hAnsi="Calibri"/>
    </w:rPr>
  </w:style>
  <w:style w:type="paragraph" w:styleId="1292" w:customStyle="1">
    <w:name w:val="修订1"/>
    <w:uiPriority w:val="99"/>
    <w:unhideWhenUsed/>
    <w:qFormat/>
    <w:rPr>
      <w:rFonts w:ascii="Calibri" w:hAnsi="Calibri"/>
    </w:rPr>
  </w:style>
  <w:style w:type="paragraph" w:styleId="1293" w:customStyle="1">
    <w:name w:val="2-2ji"/>
    <w:basedOn w:val="996"/>
    <w:next w:val="1189"/>
    <w:qFormat/>
    <w:pPr>
      <w:ind w:left="0" w:firstLine="24"/>
      <w:jc w:val="center"/>
      <w:spacing w:before="0" w:after="0" w:line="360" w:lineRule="auto"/>
      <w:outlineLvl w:val="1"/>
    </w:pPr>
  </w:style>
  <w:style w:type="paragraph" w:styleId="1294" w:customStyle="1">
    <w:name w:val="TOC 标题1"/>
    <w:basedOn w:val="995"/>
    <w:next w:val="993"/>
    <w:qFormat/>
    <w:pPr>
      <w:ind w:left="0" w:firstLine="6144"/>
      <w:spacing w:before="480" w:after="0" w:line="276" w:lineRule="auto"/>
    </w:pPr>
    <w:rPr>
      <w:b/>
      <w:sz w:val="30"/>
    </w:rPr>
  </w:style>
  <w:style w:type="paragraph" w:styleId="1295" w:customStyle="1">
    <w:name w:val="样式 小四 行距: 1.5 倍行距 首行缩进:  2 字符"/>
    <w:basedOn w:val="994"/>
    <w:next w:val="1296"/>
    <w:qFormat/>
    <w:pPr>
      <w:ind w:left="480" w:firstLine="2784"/>
      <w:spacing w:before="0" w:after="0" w:line="360" w:lineRule="auto"/>
    </w:pPr>
  </w:style>
  <w:style w:type="paragraph" w:styleId="1296" w:customStyle="1">
    <w:name w:val="xl84"/>
    <w:basedOn w:val="994"/>
    <w:next w:val="1293"/>
    <w:qFormat/>
    <w:pPr>
      <w:ind w:left="0" w:firstLine="2048"/>
      <w:jc w:val="center"/>
      <w:spacing w:before="280" w:after="280" w:line="240" w:lineRule="auto"/>
    </w:pPr>
  </w:style>
  <w:style w:type="paragraph" w:styleId="1297" w:customStyle="1">
    <w:name w:val="纯文本2"/>
    <w:basedOn w:val="994"/>
    <w:next w:val="1298"/>
    <w:qFormat/>
    <w:pPr>
      <w:ind w:left="0" w:firstLine="3584"/>
      <w:spacing w:before="0" w:after="0" w:line="240" w:lineRule="auto"/>
    </w:pPr>
  </w:style>
  <w:style w:type="paragraph" w:styleId="1298" w:customStyle="1">
    <w:name w:val="xl69"/>
    <w:basedOn w:val="994"/>
    <w:next w:val="1299"/>
    <w:qFormat/>
    <w:pPr>
      <w:ind w:left="0" w:firstLine="3584"/>
      <w:spacing w:before="280" w:after="280" w:line="240" w:lineRule="auto"/>
    </w:pPr>
  </w:style>
  <w:style w:type="paragraph" w:styleId="1299" w:customStyle="1">
    <w:name w:val="Char Char Char"/>
    <w:basedOn w:val="994"/>
    <w:next w:val="1285"/>
    <w:qFormat/>
    <w:pPr>
      <w:ind w:left="0" w:firstLine="2560"/>
      <w:spacing w:before="0" w:after="0" w:line="240" w:lineRule="auto"/>
    </w:pPr>
  </w:style>
  <w:style w:type="paragraph" w:styleId="1300" w:customStyle="1">
    <w:name w:val="Char Char Char Char Char Char Char Char Char Char Char Char Char Char Char"/>
    <w:basedOn w:val="994"/>
    <w:next w:val="1294"/>
    <w:qFormat/>
    <w:pPr>
      <w:ind w:left="0" w:firstLine="3584"/>
      <w:jc w:val="center"/>
      <w:spacing w:before="0" w:after="0" w:line="400" w:lineRule="exact"/>
    </w:pPr>
  </w:style>
  <w:style w:type="paragraph" w:styleId="1301" w:customStyle="1">
    <w:name w:val="!方块加粗"/>
    <w:basedOn w:val="994"/>
    <w:next w:val="1295"/>
    <w:qFormat/>
    <w:pPr>
      <w:ind w:left="600" w:firstLine="5212"/>
      <w:spacing w:before="0" w:after="0" w:line="360" w:lineRule="auto"/>
    </w:pPr>
  </w:style>
  <w:style w:type="paragraph" w:styleId="1302" w:customStyle="1">
    <w:name w:val="首行缩进"/>
    <w:basedOn w:val="993"/>
    <w:qFormat/>
    <w:pPr>
      <w:ind w:firstLine="480"/>
    </w:pPr>
    <w:rPr>
      <w:lang w:val="zh-CN"/>
    </w:rPr>
  </w:style>
  <w:style w:type="paragraph" w:styleId="1303" w:customStyle="1">
    <w:name w:val="xl63"/>
    <w:basedOn w:val="994"/>
    <w:next w:val="1304"/>
    <w:qFormat/>
    <w:pPr>
      <w:ind w:left="0" w:firstLine="5120"/>
      <w:spacing w:before="280" w:after="280" w:line="240" w:lineRule="auto"/>
    </w:pPr>
  </w:style>
  <w:style w:type="paragraph" w:styleId="1304" w:customStyle="1">
    <w:name w:val="表格文字（4号居中）"/>
    <w:next w:val="1301"/>
    <w:qFormat/>
    <w:pPr>
      <w:ind w:firstLine="2560"/>
      <w:jc w:val="center"/>
    </w:pPr>
    <w:rPr>
      <w:rFonts w:ascii="Calibri" w:hAnsi="Calibri"/>
    </w:rPr>
  </w:style>
  <w:style w:type="paragraph" w:styleId="1305" w:customStyle="1">
    <w:name w:val="4"/>
    <w:basedOn w:val="994"/>
    <w:next w:val="1006"/>
    <w:qFormat/>
    <w:pPr>
      <w:ind w:left="409" w:firstLine="3737"/>
      <w:spacing w:before="0" w:after="0" w:line="420" w:lineRule="exact"/>
    </w:pPr>
  </w:style>
  <w:style w:type="paragraph" w:styleId="1306" w:customStyle="1">
    <w:name w:val="Char Char"/>
    <w:next w:val="1219"/>
    <w:qFormat/>
    <w:pPr>
      <w:ind w:firstLine="14"/>
      <w:spacing w:line="360" w:lineRule="auto"/>
      <w:shd w:val="clear" w:color="000000" w:fill="000080"/>
    </w:pPr>
    <w:rPr>
      <w:rFonts w:ascii="Calibri" w:hAnsi="Calibri"/>
    </w:rPr>
  </w:style>
  <w:style w:type="paragraph" w:styleId="1307" w:customStyle="1">
    <w:name w:val="111"/>
    <w:next w:val="1305"/>
    <w:qFormat/>
    <w:pPr>
      <w:ind w:left="480" w:firstLine="4320"/>
      <w:spacing w:line="440" w:lineRule="exact"/>
    </w:pPr>
    <w:rPr>
      <w:rFonts w:ascii="Calibri" w:hAnsi="Calibri"/>
    </w:rPr>
  </w:style>
  <w:style w:type="paragraph" w:styleId="1308" w:customStyle="1">
    <w:name w:val="xl24"/>
    <w:basedOn w:val="994"/>
    <w:next w:val="1309"/>
    <w:qFormat/>
    <w:pPr>
      <w:ind w:left="0" w:firstLine="20"/>
      <w:jc w:val="center"/>
      <w:spacing w:before="280" w:after="280" w:line="240" w:lineRule="auto"/>
      <w:shd w:val="clear" w:color="000000" w:fill="ffffff"/>
    </w:pPr>
  </w:style>
  <w:style w:type="paragraph" w:styleId="1309" w:customStyle="1">
    <w:name w:val="Char Char4 Char Char"/>
    <w:basedOn w:val="994"/>
    <w:next w:val="1310"/>
    <w:qFormat/>
    <w:pPr>
      <w:ind w:left="0" w:firstLine="2560"/>
      <w:spacing w:before="0" w:after="0" w:line="240" w:lineRule="auto"/>
    </w:pPr>
  </w:style>
  <w:style w:type="paragraph" w:styleId="1310" w:customStyle="1">
    <w:name w:val="目录4"/>
    <w:basedOn w:val="994"/>
    <w:next w:val="993"/>
    <w:qFormat/>
    <w:pPr>
      <w:ind w:left="629" w:firstLine="5237"/>
      <w:spacing w:before="0" w:after="0" w:line="317" w:lineRule="atLeast"/>
    </w:pPr>
  </w:style>
  <w:style w:type="paragraph" w:styleId="1311" w:customStyle="1">
    <w:name w:val="1"/>
    <w:basedOn w:val="994"/>
    <w:next w:val="1026"/>
    <w:qFormat/>
    <w:pPr>
      <w:ind w:left="0" w:firstLine="2048"/>
      <w:spacing w:before="0" w:after="0" w:line="240" w:lineRule="auto"/>
    </w:pPr>
  </w:style>
  <w:style w:type="paragraph" w:styleId="1312" w:customStyle="1">
    <w:name w:val="二级条标题"/>
    <w:basedOn w:val="994"/>
    <w:next w:val="993"/>
    <w:qFormat/>
    <w:pPr>
      <w:ind w:left="0" w:firstLine="8"/>
      <w:spacing w:before="0" w:after="0" w:line="240" w:lineRule="auto"/>
      <w:outlineLvl w:val="3"/>
    </w:pPr>
  </w:style>
  <w:style w:type="paragraph" w:styleId="1313" w:customStyle="1">
    <w:name w:val="Char Char Char Char Char Char1 Char Char Char1 Char Char Char Char Char Char Char Char Char Char Char Char Char Char Char Char Char Char"/>
    <w:basedOn w:val="994"/>
    <w:next w:val="1314"/>
    <w:qFormat/>
    <w:pPr>
      <w:ind w:left="0" w:firstLine="2560"/>
      <w:spacing w:before="0" w:after="0" w:line="240" w:lineRule="auto"/>
    </w:pPr>
  </w:style>
  <w:style w:type="paragraph" w:styleId="1314" w:customStyle="1">
    <w:name w:val="样式 加粗 居中11"/>
    <w:basedOn w:val="994"/>
    <w:next w:val="1315"/>
    <w:qFormat/>
    <w:pPr>
      <w:ind w:left="0" w:firstLine="2560"/>
      <w:jc w:val="center"/>
      <w:spacing w:before="0" w:after="0" w:line="360" w:lineRule="auto"/>
    </w:pPr>
  </w:style>
  <w:style w:type="paragraph" w:styleId="1315" w:customStyle="1">
    <w:name w:val="xl89"/>
    <w:basedOn w:val="994"/>
    <w:next w:val="1316"/>
    <w:qFormat/>
    <w:pPr>
      <w:ind w:left="0" w:firstLine="3584"/>
      <w:spacing w:before="280" w:after="280" w:line="240" w:lineRule="auto"/>
    </w:pPr>
  </w:style>
  <w:style w:type="paragraph" w:styleId="1316" w:customStyle="1">
    <w:name w:val="Char Char Char Char Char Char1 Char Char Char Char Char Char1 Char Char Char Char Char Char Char Char Char"/>
    <w:basedOn w:val="994"/>
    <w:next w:val="1317"/>
    <w:qFormat/>
    <w:pPr>
      <w:ind w:left="0" w:firstLine="2560"/>
      <w:spacing w:before="0" w:after="0" w:line="240" w:lineRule="auto"/>
    </w:pPr>
  </w:style>
  <w:style w:type="paragraph" w:styleId="1317" w:customStyle="1">
    <w:name w:val="文章附标题"/>
    <w:basedOn w:val="994"/>
    <w:next w:val="994"/>
    <w:qFormat/>
    <w:pPr>
      <w:ind w:left="0" w:firstLine="5120"/>
      <w:jc w:val="center"/>
      <w:spacing w:before="187" w:after="175" w:line="374" w:lineRule="atLeast"/>
    </w:pPr>
  </w:style>
  <w:style w:type="paragraph" w:styleId="1318" w:customStyle="1">
    <w:name w:val="图注"/>
    <w:next w:val="1319"/>
    <w:qFormat/>
    <w:pPr>
      <w:ind w:left="360" w:firstLine="2152"/>
      <w:jc w:val="center"/>
    </w:pPr>
    <w:rPr>
      <w:rFonts w:ascii="Calibri" w:hAnsi="Calibri"/>
    </w:rPr>
  </w:style>
  <w:style w:type="paragraph" w:styleId="1319" w:customStyle="1">
    <w:name w:val="列表编号 41"/>
    <w:basedOn w:val="994"/>
    <w:next w:val="1235"/>
    <w:qFormat/>
    <w:pPr>
      <w:ind w:left="1620" w:firstLine="2712"/>
      <w:spacing w:before="0" w:after="0" w:line="360" w:lineRule="auto"/>
    </w:pPr>
  </w:style>
  <w:style w:type="paragraph" w:styleId="1320" w:customStyle="1">
    <w:name w:val="列出段落3"/>
    <w:basedOn w:val="994"/>
    <w:next w:val="1248"/>
    <w:qFormat/>
    <w:pPr>
      <w:ind w:left="420" w:firstLine="3748"/>
      <w:spacing w:before="0" w:after="0" w:line="240" w:lineRule="auto"/>
    </w:pPr>
  </w:style>
  <w:style w:type="paragraph" w:styleId="1321" w:customStyle="1">
    <w:name w:val="_Style 40"/>
    <w:basedOn w:val="993"/>
    <w:qFormat/>
    <w:pPr>
      <w:ind w:left="0"/>
      <w:jc w:val="left"/>
      <w:spacing w:after="160" w:line="240" w:lineRule="exact"/>
    </w:pPr>
    <w:rPr>
      <w:rFonts w:ascii="Times New Roman" w:hAnsi="Times New Roman"/>
      <w:sz w:val="24"/>
    </w:rPr>
  </w:style>
  <w:style w:type="paragraph" w:styleId="1322" w:customStyle="1">
    <w:name w:val="加粗（居中）"/>
    <w:next w:val="1222"/>
    <w:qFormat/>
    <w:pPr>
      <w:ind w:firstLine="2560"/>
    </w:pPr>
    <w:rPr>
      <w:rFonts w:ascii="Calibri" w:hAnsi="Calibri"/>
    </w:rPr>
  </w:style>
  <w:style w:type="paragraph" w:styleId="1323" w:customStyle="1">
    <w:name w:val="项目符1"/>
    <w:basedOn w:val="994"/>
    <w:next w:val="1324"/>
    <w:qFormat/>
    <w:pPr>
      <w:ind w:left="1365" w:right="100" w:firstLine="2728"/>
      <w:spacing w:before="78" w:after="78" w:line="300" w:lineRule="auto"/>
    </w:pPr>
  </w:style>
  <w:style w:type="paragraph" w:styleId="1324" w:customStyle="1">
    <w:name w:val="引文目录标题1"/>
    <w:basedOn w:val="994"/>
    <w:next w:val="993"/>
    <w:qFormat/>
    <w:pPr>
      <w:ind w:left="0" w:firstLine="4608"/>
      <w:jc w:val="center"/>
      <w:spacing w:before="120" w:after="0" w:line="360" w:lineRule="auto"/>
    </w:pPr>
  </w:style>
  <w:style w:type="paragraph" w:styleId="1325" w:customStyle="1">
    <w:name w:val="xl77"/>
    <w:basedOn w:val="994"/>
    <w:next w:val="1326"/>
    <w:qFormat/>
    <w:pPr>
      <w:ind w:left="0" w:firstLine="3584"/>
      <w:spacing w:before="280" w:after="280" w:line="240" w:lineRule="auto"/>
    </w:pPr>
  </w:style>
  <w:style w:type="paragraph" w:styleId="1326" w:customStyle="1">
    <w:name w:val="Char Char Char1"/>
    <w:basedOn w:val="994"/>
    <w:next w:val="1327"/>
    <w:qFormat/>
    <w:pPr>
      <w:ind w:left="900" w:firstLine="2096"/>
      <w:spacing w:before="0" w:after="0" w:line="240" w:lineRule="auto"/>
    </w:pPr>
  </w:style>
  <w:style w:type="paragraph" w:styleId="1327" w:customStyle="1">
    <w:name w:val="索引 21"/>
    <w:basedOn w:val="994"/>
    <w:next w:val="993"/>
    <w:qFormat/>
    <w:pPr>
      <w:ind w:left="200" w:firstLine="2560"/>
      <w:jc w:val="center"/>
      <w:spacing w:before="0" w:after="0" w:line="360" w:lineRule="auto"/>
    </w:pPr>
  </w:style>
  <w:style w:type="paragraph" w:styleId="1328" w:customStyle="1">
    <w:name w:val="Char Char Char Char Char Char1 Char Char Char Char Char Char1 Char Char Char1"/>
    <w:basedOn w:val="994"/>
    <w:next w:val="1329"/>
    <w:qFormat/>
    <w:pPr>
      <w:ind w:left="0" w:firstLine="2560"/>
      <w:spacing w:before="0" w:after="0" w:line="240" w:lineRule="auto"/>
    </w:pPr>
  </w:style>
  <w:style w:type="paragraph" w:styleId="1329" w:customStyle="1">
    <w:name w:val="xl64"/>
    <w:basedOn w:val="994"/>
    <w:next w:val="1312"/>
    <w:qFormat/>
    <w:pPr>
      <w:ind w:left="0" w:firstLine="3584"/>
      <w:spacing w:before="280" w:after="280" w:line="240" w:lineRule="auto"/>
    </w:pPr>
  </w:style>
  <w:style w:type="paragraph" w:styleId="1330" w:customStyle="1">
    <w:name w:val="Char1 Char Char Char"/>
    <w:basedOn w:val="994"/>
    <w:next w:val="1308"/>
    <w:qFormat/>
    <w:pPr>
      <w:ind w:left="0" w:firstLine="2560"/>
      <w:spacing w:before="0" w:after="0" w:line="240" w:lineRule="auto"/>
    </w:pPr>
  </w:style>
  <w:style w:type="paragraph" w:styleId="1331" w:customStyle="1">
    <w:name w:val="font7"/>
    <w:basedOn w:val="994"/>
    <w:next w:val="1328"/>
    <w:qFormat/>
    <w:pPr>
      <w:ind w:left="0" w:firstLine="3584"/>
      <w:spacing w:before="280" w:after="280" w:line="240" w:lineRule="auto"/>
    </w:pPr>
  </w:style>
  <w:style w:type="paragraph" w:styleId="1332" w:customStyle="1">
    <w:name w:val="WPSOffice手动目录 3"/>
    <w:qFormat/>
    <w:pPr>
      <w:ind w:left="400"/>
    </w:pPr>
  </w:style>
  <w:style w:type="paragraph" w:styleId="1333" w:customStyle="1">
    <w:name w:val="标准文本"/>
    <w:basedOn w:val="994"/>
    <w:next w:val="1334"/>
    <w:qFormat/>
    <w:pPr>
      <w:ind w:left="480" w:firstLine="2784"/>
      <w:spacing w:before="0" w:after="0" w:line="360" w:lineRule="auto"/>
    </w:pPr>
  </w:style>
  <w:style w:type="paragraph" w:styleId="1334" w:customStyle="1">
    <w:name w:val="纯文本11"/>
    <w:basedOn w:val="994"/>
    <w:next w:val="1037"/>
    <w:qFormat/>
    <w:pPr>
      <w:ind w:left="0" w:firstLine="3584"/>
      <w:spacing w:before="0" w:after="0" w:line="240" w:lineRule="auto"/>
    </w:pPr>
  </w:style>
  <w:style w:type="paragraph" w:styleId="1335" w:customStyle="1">
    <w:name w:val="TOC 标题2"/>
    <w:basedOn w:val="994"/>
    <w:next w:val="99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6" w:customStyle="1">
    <w:name w:val="纯文本4"/>
    <w:basedOn w:val="993"/>
    <w:qFormat/>
    <w:pPr>
      <w:ind w:left="0"/>
      <w:widowControl w:val="off"/>
    </w:pPr>
    <w:rPr>
      <w:rFonts w:ascii="宋体" w:hAnsi="Courier New" w:eastAsia="楷体_GB2312"/>
      <w:sz w:val="26"/>
    </w:rPr>
  </w:style>
  <w:style w:type="paragraph" w:styleId="1337" w:customStyle="1">
    <w:name w:val="样式 加粗 居中2"/>
    <w:basedOn w:val="994"/>
    <w:next w:val="1185"/>
    <w:qFormat/>
    <w:pPr>
      <w:ind w:left="0" w:firstLine="2560"/>
      <w:jc w:val="center"/>
      <w:spacing w:before="0" w:after="0" w:line="360" w:lineRule="auto"/>
    </w:pPr>
  </w:style>
  <w:style w:type="paragraph" w:styleId="1338" w:customStyle="1">
    <w:name w:val="xl87"/>
    <w:basedOn w:val="994"/>
    <w:next w:val="1339"/>
    <w:qFormat/>
    <w:pPr>
      <w:ind w:left="0" w:firstLine="5120"/>
      <w:spacing w:before="280" w:after="280" w:line="240" w:lineRule="auto"/>
    </w:pPr>
  </w:style>
  <w:style w:type="paragraph" w:styleId="1339" w:customStyle="1">
    <w:name w:val="招标文件》"/>
    <w:basedOn w:val="994"/>
    <w:next w:val="1297"/>
    <w:qFormat/>
    <w:pPr>
      <w:ind w:left="420" w:firstLine="2140"/>
      <w:spacing w:before="120" w:after="120" w:line="300" w:lineRule="auto"/>
    </w:pPr>
  </w:style>
  <w:style w:type="paragraph" w:styleId="1340" w:customStyle="1">
    <w:name w:val="TOC 标题3"/>
    <w:basedOn w:val="994"/>
    <w:next w:val="99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1" w:customStyle="1">
    <w:name w:val="_Style 169"/>
    <w:next w:val="993"/>
    <w:qFormat/>
    <w:pPr>
      <w:ind w:left="2560"/>
    </w:pPr>
    <w:rPr>
      <w:rFonts w:ascii="Calibri" w:hAnsi="Calibri"/>
    </w:rPr>
  </w:style>
  <w:style w:type="paragraph" w:styleId="1342" w:customStyle="1">
    <w:name w:val="样式"/>
    <w:next w:val="993"/>
    <w:qFormat/>
    <w:pPr>
      <w:ind w:firstLine="3584"/>
      <w:widowControl w:val="off"/>
    </w:pPr>
    <w:rPr>
      <w:rFonts w:ascii="Calibri" w:hAnsi="Calibri"/>
    </w:rPr>
  </w:style>
  <w:style w:type="paragraph" w:styleId="1343" w:customStyle="1">
    <w:name w:val="文档标题5"/>
    <w:basedOn w:val="999"/>
    <w:next w:val="993"/>
    <w:qFormat/>
    <w:pPr>
      <w:ind w:left="992" w:firstLine="18"/>
      <w:spacing w:before="280" w:after="280" w:line="360" w:lineRule="auto"/>
      <w:outlineLvl w:val="4"/>
    </w:pPr>
  </w:style>
  <w:style w:type="paragraph" w:styleId="1344" w:customStyle="1">
    <w:name w:val="Char Char Char Char Char Char Char"/>
    <w:basedOn w:val="994"/>
    <w:next w:val="1345"/>
    <w:qFormat/>
    <w:pPr>
      <w:ind w:left="200" w:firstLine="4808"/>
      <w:spacing w:before="0" w:after="0" w:line="360" w:lineRule="auto"/>
    </w:pPr>
  </w:style>
  <w:style w:type="paragraph" w:styleId="1345" w:customStyle="1">
    <w:name w:val="font0"/>
    <w:basedOn w:val="994"/>
    <w:next w:val="1346"/>
    <w:qFormat/>
    <w:pPr>
      <w:ind w:left="0" w:firstLine="1024"/>
      <w:spacing w:before="280" w:after="280" w:line="240" w:lineRule="auto"/>
    </w:pPr>
  </w:style>
  <w:style w:type="paragraph" w:styleId="1346" w:customStyle="1">
    <w:name w:val="font9"/>
    <w:basedOn w:val="994"/>
    <w:next w:val="1270"/>
    <w:qFormat/>
    <w:pPr>
      <w:ind w:left="0" w:firstLine="7168"/>
      <w:spacing w:before="280" w:after="280" w:line="240" w:lineRule="auto"/>
    </w:pPr>
  </w:style>
  <w:style w:type="paragraph" w:styleId="1347" w:customStyle="1">
    <w:name w:val="Char Char Char Char Char Char1 Char Char Char Char Char Char1 Char Char Char Char Char Char Char"/>
    <w:basedOn w:val="994"/>
    <w:next w:val="1338"/>
    <w:qFormat/>
    <w:pPr>
      <w:ind w:left="0" w:firstLine="2560"/>
      <w:spacing w:before="0" w:after="0" w:line="240" w:lineRule="auto"/>
    </w:pPr>
  </w:style>
  <w:style w:type="paragraph" w:styleId="1348" w:customStyle="1">
    <w:name w:val="xl82"/>
    <w:basedOn w:val="994"/>
    <w:next w:val="1237"/>
    <w:qFormat/>
    <w:pPr>
      <w:ind w:left="0" w:firstLine="5120"/>
      <w:spacing w:before="280" w:after="280" w:line="240" w:lineRule="auto"/>
    </w:pPr>
  </w:style>
  <w:style w:type="paragraph" w:styleId="1349" w:customStyle="1">
    <w:name w:val="xl80"/>
    <w:basedOn w:val="994"/>
    <w:next w:val="1350"/>
    <w:qFormat/>
    <w:pPr>
      <w:ind w:left="0" w:firstLine="3584"/>
      <w:jc w:val="center"/>
      <w:spacing w:before="280" w:after="280" w:line="240" w:lineRule="auto"/>
    </w:pPr>
  </w:style>
  <w:style w:type="paragraph" w:styleId="1350" w:customStyle="1">
    <w:name w:val="样式2"/>
    <w:basedOn w:val="999"/>
    <w:next w:val="1276"/>
    <w:qFormat/>
    <w:pPr>
      <w:ind w:left="1134" w:firstLine="18"/>
      <w:spacing w:before="0" w:after="0" w:line="360" w:lineRule="auto"/>
      <w:outlineLvl w:val="4"/>
    </w:pPr>
  </w:style>
  <w:style w:type="paragraph" w:styleId="1351" w:customStyle="1">
    <w:name w:val="msolistparagraph"/>
    <w:basedOn w:val="994"/>
    <w:next w:val="1265"/>
    <w:qFormat/>
    <w:pPr>
      <w:ind w:left="420" w:firstLine="3748"/>
      <w:spacing w:before="0" w:after="0" w:line="240" w:lineRule="auto"/>
    </w:pPr>
  </w:style>
  <w:style w:type="paragraph" w:styleId="1352" w:customStyle="1">
    <w:name w:val="xl68"/>
    <w:basedOn w:val="994"/>
    <w:next w:val="1353"/>
    <w:qFormat/>
    <w:pPr>
      <w:ind w:left="100" w:firstLine="5220"/>
      <w:spacing w:before="280" w:after="280" w:line="240" w:lineRule="auto"/>
    </w:pPr>
  </w:style>
  <w:style w:type="paragraph" w:styleId="1353" w:customStyle="1">
    <w:name w:val="Char1"/>
    <w:basedOn w:val="994"/>
    <w:next w:val="1272"/>
    <w:qFormat/>
    <w:pPr>
      <w:ind w:left="0" w:firstLine="2560"/>
      <w:spacing w:before="0" w:after="0" w:line="240" w:lineRule="auto"/>
    </w:pPr>
  </w:style>
  <w:style w:type="paragraph" w:styleId="1354" w:customStyle="1">
    <w:name w:val="xl83"/>
    <w:basedOn w:val="994"/>
    <w:next w:val="1344"/>
    <w:qFormat/>
    <w:pPr>
      <w:ind w:left="0" w:firstLine="5120"/>
      <w:spacing w:before="280" w:after="280" w:line="240" w:lineRule="auto"/>
    </w:pPr>
  </w:style>
  <w:style w:type="paragraph" w:styleId="1355" w:customStyle="1">
    <w:name w:val="正文符号1"/>
    <w:basedOn w:val="994"/>
    <w:next w:val="1234"/>
    <w:qFormat/>
    <w:pPr>
      <w:ind w:left="987" w:firstLine="5724"/>
      <w:spacing w:before="0" w:after="0" w:line="240" w:lineRule="auto"/>
    </w:pPr>
  </w:style>
  <w:style w:type="paragraph" w:styleId="1356" w:customStyle="1">
    <w:name w:val="2ji"/>
    <w:basedOn w:val="996"/>
    <w:next w:val="1035"/>
    <w:qFormat/>
    <w:pPr>
      <w:ind w:left="0" w:firstLine="24"/>
      <w:spacing w:before="0" w:after="0" w:line="360" w:lineRule="auto"/>
      <w:outlineLvl w:val="1"/>
    </w:pPr>
  </w:style>
  <w:style w:type="paragraph" w:styleId="1357" w:customStyle="1">
    <w:name w:val="xl79"/>
    <w:basedOn w:val="994"/>
    <w:next w:val="1307"/>
    <w:qFormat/>
    <w:pPr>
      <w:ind w:left="0" w:firstLine="3584"/>
      <w:jc w:val="center"/>
      <w:spacing w:before="280" w:after="280" w:line="240" w:lineRule="auto"/>
    </w:pPr>
  </w:style>
  <w:style w:type="paragraph" w:styleId="1358" w:customStyle="1">
    <w:name w:val="xl23"/>
    <w:basedOn w:val="994"/>
    <w:next w:val="1029"/>
    <w:qFormat/>
    <w:pPr>
      <w:ind w:left="0" w:firstLine="20"/>
      <w:spacing w:before="280" w:after="280" w:line="240" w:lineRule="auto"/>
      <w:shd w:val="clear" w:color="000000" w:fill="ffffff"/>
    </w:pPr>
  </w:style>
  <w:style w:type="paragraph" w:styleId="1359" w:customStyle="1">
    <w:name w:val="xl75"/>
    <w:basedOn w:val="994"/>
    <w:next w:val="1038"/>
    <w:qFormat/>
    <w:pPr>
      <w:ind w:left="0" w:firstLine="3584"/>
      <w:jc w:val="center"/>
      <w:spacing w:before="280" w:after="280" w:line="240" w:lineRule="auto"/>
    </w:pPr>
  </w:style>
  <w:style w:type="paragraph" w:styleId="1360" w:customStyle="1">
    <w:name w:val="纯文本3"/>
    <w:basedOn w:val="993"/>
    <w:qFormat/>
    <w:rPr>
      <w:rFonts w:ascii="宋体" w:hAnsi="Courier New"/>
    </w:rPr>
  </w:style>
  <w:style w:type="paragraph" w:styleId="1361" w:customStyle="1">
    <w:name w:val="表格文字（两侧对齐）"/>
    <w:basedOn w:val="994"/>
    <w:next w:val="1282"/>
    <w:qFormat/>
    <w:pPr>
      <w:ind w:left="0" w:firstLine="3584"/>
      <w:spacing w:before="0" w:after="0" w:line="240" w:lineRule="auto"/>
    </w:pPr>
  </w:style>
  <w:style w:type="paragraph" w:styleId="1362" w:customStyle="1">
    <w:name w:val="1ji"/>
    <w:basedOn w:val="995"/>
    <w:next w:val="1325"/>
    <w:qFormat/>
    <w:pPr>
      <w:ind w:left="0" w:firstLine="18"/>
      <w:jc w:val="center"/>
      <w:spacing w:before="0" w:after="0" w:line="240" w:lineRule="auto"/>
      <w:outlineLvl w:val="0"/>
    </w:pPr>
  </w:style>
  <w:style w:type="paragraph" w:styleId="1363" w:customStyle="1">
    <w:name w:val="正文_0_0"/>
    <w:next w:val="1322"/>
    <w:qFormat/>
    <w:pPr>
      <w:ind w:firstLine="3584"/>
      <w:jc w:val="both"/>
      <w:widowControl w:val="off"/>
    </w:pPr>
    <w:rPr>
      <w:rFonts w:ascii="Calibri" w:hAnsi="Calibri"/>
    </w:rPr>
  </w:style>
  <w:style w:type="paragraph" w:styleId="1364" w:customStyle="1">
    <w:name w:val="font5"/>
    <w:basedOn w:val="994"/>
    <w:next w:val="1191"/>
    <w:qFormat/>
    <w:pPr>
      <w:ind w:left="0" w:firstLine="5120"/>
      <w:spacing w:before="280" w:after="280" w:line="240" w:lineRule="auto"/>
    </w:pPr>
  </w:style>
  <w:style w:type="paragraph" w:styleId="1365" w:customStyle="1">
    <w:name w:val="索引 81"/>
    <w:basedOn w:val="994"/>
    <w:next w:val="993"/>
    <w:qFormat/>
    <w:pPr>
      <w:ind w:left="1400" w:firstLine="2560"/>
      <w:jc w:val="center"/>
      <w:spacing w:before="0" w:after="0" w:line="360" w:lineRule="auto"/>
    </w:pPr>
  </w:style>
  <w:style w:type="paragraph" w:styleId="1366" w:customStyle="1">
    <w:name w:val="标书_正文"/>
    <w:basedOn w:val="994"/>
    <w:next w:val="1367"/>
    <w:qFormat/>
    <w:pPr>
      <w:ind w:left="420" w:firstLine="1188"/>
      <w:spacing w:before="0" w:after="0" w:line="360" w:lineRule="auto"/>
    </w:pPr>
  </w:style>
  <w:style w:type="paragraph" w:styleId="1367" w:customStyle="1">
    <w:name w:val="样式 标题 2 + Times New Roman 四号 非加粗 段前: 5 磅 段后: 0 磅 行距: 固定值 20..."/>
    <w:basedOn w:val="996"/>
    <w:next w:val="1267"/>
    <w:qFormat/>
    <w:pPr>
      <w:ind w:left="0" w:firstLine="24"/>
      <w:spacing w:before="100" w:after="0" w:line="400" w:lineRule="exact"/>
      <w:outlineLvl w:val="1"/>
    </w:pPr>
  </w:style>
  <w:style w:type="paragraph" w:styleId="1368" w:customStyle="1">
    <w:name w:val="Text Body"/>
    <w:basedOn w:val="994"/>
    <w:next w:val="1323"/>
    <w:qFormat/>
    <w:pPr>
      <w:ind w:left="0" w:firstLine="4096"/>
      <w:spacing w:before="0" w:after="120" w:line="240" w:lineRule="auto"/>
    </w:pPr>
  </w:style>
  <w:style w:type="paragraph" w:styleId="1369" w:customStyle="1">
    <w:name w:val="索引 71"/>
    <w:basedOn w:val="994"/>
    <w:next w:val="993"/>
    <w:qFormat/>
    <w:pPr>
      <w:ind w:left="1200" w:firstLine="2560"/>
      <w:jc w:val="center"/>
      <w:spacing w:before="0" w:after="0" w:line="360" w:lineRule="auto"/>
    </w:pPr>
  </w:style>
  <w:style w:type="paragraph" w:styleId="1370" w:customStyle="1">
    <w:name w:val="修订2"/>
    <w:uiPriority w:val="99"/>
    <w:semiHidden/>
    <w:qFormat/>
    <w:rPr>
      <w:rFonts w:ascii="Calibri" w:hAnsi="Calibri"/>
    </w:rPr>
  </w:style>
  <w:style w:type="paragraph" w:styleId="1371" w:customStyle="1">
    <w:name w:val="WPSOffice手动目录 2"/>
    <w:qFormat/>
    <w:pPr>
      <w:ind w:left="200"/>
    </w:pPr>
  </w:style>
  <w:style w:type="paragraph" w:styleId="1372" w:customStyle="1">
    <w:name w:val="索引 11"/>
    <w:basedOn w:val="994"/>
    <w:next w:val="993"/>
    <w:qFormat/>
    <w:pPr>
      <w:ind w:left="0" w:firstLine="3584"/>
      <w:spacing w:before="0" w:after="0" w:line="240" w:lineRule="auto"/>
    </w:pPr>
  </w:style>
  <w:style w:type="paragraph" w:styleId="1373" w:customStyle="1">
    <w:name w:val="444"/>
    <w:basedOn w:val="994"/>
    <w:next w:val="1014"/>
    <w:qFormat/>
    <w:pPr>
      <w:ind w:left="0" w:firstLine="4608"/>
      <w:jc w:val="center"/>
      <w:spacing w:before="0" w:after="0" w:line="312" w:lineRule="atLeast"/>
    </w:pPr>
  </w:style>
  <w:style w:type="paragraph" w:styleId="1374" w:customStyle="1">
    <w:name w:val="p15"/>
    <w:basedOn w:val="993"/>
    <w:qFormat/>
    <w:pPr>
      <w:ind w:left="0"/>
    </w:pPr>
    <w:rPr>
      <w:rFonts w:ascii="宋体" w:hAnsi="宋体" w:cs="宋体"/>
      <w:sz w:val="28"/>
      <w:szCs w:val="28"/>
    </w:rPr>
  </w:style>
  <w:style w:type="paragraph" w:styleId="1375" w:customStyle="1">
    <w:name w:val="文档结构图1"/>
    <w:basedOn w:val="994"/>
    <w:next w:val="1356"/>
    <w:qFormat/>
    <w:pPr>
      <w:ind w:left="200" w:firstLine="2248"/>
      <w:spacing w:before="0" w:after="0" w:line="360" w:lineRule="auto"/>
    </w:pPr>
  </w:style>
  <w:style w:type="paragraph" w:styleId="1376" w:customStyle="1">
    <w:name w:val="样式 首行缩进:  2 字符"/>
    <w:basedOn w:val="994"/>
    <w:next w:val="1359"/>
    <w:qFormat/>
    <w:pPr>
      <w:ind w:left="200" w:firstLine="1224"/>
      <w:spacing w:before="0" w:after="0" w:line="400" w:lineRule="exact"/>
    </w:pPr>
  </w:style>
  <w:style w:type="paragraph" w:styleId="1377" w:customStyle="1">
    <w:name w:val="H 3"/>
    <w:basedOn w:val="997"/>
    <w:next w:val="1354"/>
    <w:qFormat/>
    <w:pPr>
      <w:ind w:left="1429" w:firstLine="18"/>
      <w:spacing w:before="0" w:after="0" w:line="360" w:lineRule="auto"/>
      <w:outlineLvl w:val="2"/>
    </w:pPr>
  </w:style>
  <w:style w:type="paragraph" w:styleId="1378" w:customStyle="1">
    <w:name w:val="段"/>
    <w:next w:val="993"/>
    <w:qFormat/>
    <w:pPr>
      <w:ind w:firstLine="200"/>
      <w:jc w:val="both"/>
    </w:pPr>
    <w:rPr>
      <w:rFonts w:ascii="宋体"/>
      <w:sz w:val="21"/>
    </w:rPr>
  </w:style>
  <w:style w:type="paragraph" w:styleId="1379" w:customStyle="1">
    <w:name w:val="xl85"/>
    <w:basedOn w:val="994"/>
    <w:next w:val="1380"/>
    <w:qFormat/>
    <w:pPr>
      <w:ind w:left="0" w:firstLine="2048"/>
      <w:jc w:val="center"/>
      <w:spacing w:before="280" w:after="280" w:line="240" w:lineRule="auto"/>
    </w:pPr>
  </w:style>
  <w:style w:type="paragraph" w:styleId="1380" w:customStyle="1">
    <w:name w:val="文章总标题"/>
    <w:basedOn w:val="994"/>
    <w:next w:val="1376"/>
    <w:qFormat/>
    <w:pPr>
      <w:ind w:left="0" w:firstLine="7168"/>
      <w:jc w:val="center"/>
      <w:spacing w:before="566" w:after="544" w:line="566" w:lineRule="atLeast"/>
    </w:pPr>
  </w:style>
  <w:style w:type="paragraph" w:styleId="1381" w:customStyle="1">
    <w:name w:val="WPSOffice手动目录 1"/>
    <w:qFormat/>
  </w:style>
  <w:style w:type="paragraph" w:styleId="1382" w:customStyle="1">
    <w:name w:val="Pa0"/>
    <w:basedOn w:val="994"/>
    <w:next w:val="993"/>
    <w:qFormat/>
    <w:pPr>
      <w:ind w:left="0" w:firstLine="4608"/>
      <w:spacing w:before="0" w:after="0" w:line="241" w:lineRule="atLeast"/>
    </w:pPr>
  </w:style>
  <w:style w:type="paragraph" w:styleId="1383" w:customStyle="1">
    <w:name w:val="H 4"/>
    <w:basedOn w:val="998"/>
    <w:next w:val="1348"/>
    <w:qFormat/>
    <w:pPr>
      <w:ind w:left="426" w:firstLine="24"/>
      <w:spacing w:before="0" w:after="0" w:line="360" w:lineRule="auto"/>
      <w:outlineLvl w:val="3"/>
    </w:pPr>
  </w:style>
  <w:style w:type="paragraph" w:styleId="1384" w:customStyle="1">
    <w:name w:val="Default Paragraph Font Para Char Char Char Char Char Char"/>
    <w:basedOn w:val="994"/>
    <w:next w:val="1358"/>
    <w:qFormat/>
    <w:pPr>
      <w:ind w:left="0" w:firstLine="3584"/>
      <w:spacing w:before="0" w:after="160" w:line="240" w:lineRule="exact"/>
    </w:pPr>
  </w:style>
  <w:style w:type="paragraph" w:styleId="1385" w:customStyle="1">
    <w:name w:val="表格文字"/>
    <w:next w:val="1254"/>
    <w:qFormat/>
    <w:pPr>
      <w:ind w:firstLine="3584"/>
    </w:pPr>
    <w:rPr>
      <w:rFonts w:ascii="Calibri" w:hAnsi="Calibri"/>
    </w:rPr>
  </w:style>
  <w:style w:type="paragraph" w:styleId="1386">
    <w:name w:val="Quote"/>
    <w:next w:val="993"/>
    <w:qFormat/>
    <w:pPr>
      <w:ind w:left="3680" w:right="864"/>
      <w:jc w:val="center"/>
      <w:spacing w:before="200" w:after="160"/>
    </w:pPr>
    <w:rPr>
      <w:rFonts w:ascii="Calibri" w:hAnsi="Calibri"/>
      <w:i/>
    </w:rPr>
  </w:style>
  <w:style w:type="paragraph" w:styleId="1387" w:customStyle="1">
    <w:name w:val="索引 51"/>
    <w:basedOn w:val="994"/>
    <w:next w:val="993"/>
    <w:qFormat/>
    <w:pPr>
      <w:ind w:left="800" w:firstLine="2560"/>
      <w:jc w:val="center"/>
      <w:spacing w:before="0" w:after="0" w:line="360" w:lineRule="auto"/>
    </w:pPr>
  </w:style>
  <w:style w:type="paragraph" w:styleId="1388" w:customStyle="1">
    <w:name w:val="xl73"/>
    <w:basedOn w:val="994"/>
    <w:next w:val="1349"/>
    <w:qFormat/>
    <w:pPr>
      <w:ind w:left="0" w:firstLine="3584"/>
      <w:spacing w:before="280" w:after="280" w:line="240" w:lineRule="auto"/>
    </w:pPr>
  </w:style>
  <w:style w:type="paragraph" w:styleId="1389" w:customStyle="1">
    <w:name w:val="Char Char Char Char Char Char1 Char Char Char Char Char Char1 Char Char Char"/>
    <w:basedOn w:val="994"/>
    <w:next w:val="1355"/>
    <w:qFormat/>
    <w:pPr>
      <w:ind w:left="0" w:firstLine="2560"/>
      <w:spacing w:before="0" w:after="0" w:line="240" w:lineRule="auto"/>
    </w:pPr>
  </w:style>
  <w:style w:type="paragraph" w:styleId="1390" w:customStyle="1">
    <w:name w:val="Char Char Char Char Char Char1 Char Char Char1 Char Char Char Char Char Char Char Char Char Char Char Char"/>
    <w:basedOn w:val="994"/>
    <w:next w:val="1379"/>
    <w:qFormat/>
    <w:pPr>
      <w:ind w:left="0" w:firstLine="2560"/>
      <w:spacing w:before="0" w:after="0" w:line="240" w:lineRule="auto"/>
    </w:pPr>
  </w:style>
  <w:style w:type="paragraph" w:styleId="1391" w:customStyle="1">
    <w:name w:val="0"/>
    <w:basedOn w:val="994"/>
    <w:next w:val="1373"/>
    <w:qFormat/>
    <w:pPr>
      <w:ind w:left="0" w:firstLine="2815"/>
      <w:spacing w:before="0" w:after="0" w:line="360" w:lineRule="auto"/>
    </w:pPr>
  </w:style>
  <w:style w:type="paragraph" w:styleId="1392" w:customStyle="1">
    <w:name w:val="自定义二"/>
    <w:basedOn w:val="994"/>
    <w:next w:val="993"/>
    <w:qFormat/>
    <w:pPr>
      <w:ind w:left="0" w:firstLine="14"/>
      <w:spacing w:before="0" w:after="0" w:line="360" w:lineRule="auto"/>
      <w:outlineLvl w:val="1"/>
    </w:pPr>
  </w:style>
  <w:style w:type="paragraph" w:styleId="1393" w:customStyle="1">
    <w:name w:val="目录标题"/>
    <w:basedOn w:val="994"/>
    <w:next w:val="993"/>
    <w:qFormat/>
    <w:pPr>
      <w:ind w:left="419" w:firstLine="7331"/>
      <w:jc w:val="center"/>
      <w:spacing w:before="566" w:after="544" w:line="566" w:lineRule="atLeast"/>
    </w:pPr>
  </w:style>
  <w:style w:type="paragraph" w:styleId="1394" w:customStyle="1">
    <w:name w:val="xl86"/>
    <w:basedOn w:val="994"/>
    <w:next w:val="1369"/>
    <w:qFormat/>
    <w:pPr>
      <w:ind w:left="0" w:firstLine="5120"/>
      <w:spacing w:before="280" w:after="280" w:line="240" w:lineRule="auto"/>
    </w:pPr>
  </w:style>
  <w:style w:type="paragraph" w:styleId="1395" w:customStyle="1">
    <w:name w:val="图表目录1"/>
    <w:basedOn w:val="994"/>
    <w:next w:val="993"/>
    <w:qFormat/>
    <w:pPr>
      <w:ind w:left="200" w:firstLine="2616"/>
      <w:jc w:val="center"/>
      <w:spacing w:before="0" w:after="0" w:line="360" w:lineRule="auto"/>
    </w:pPr>
  </w:style>
  <w:style w:type="paragraph" w:styleId="1396" w:customStyle="1">
    <w:name w:val="正文文本缩进 21"/>
    <w:basedOn w:val="994"/>
    <w:next w:val="1361"/>
    <w:qFormat/>
    <w:pPr>
      <w:ind w:left="480" w:firstLine="4832"/>
      <w:spacing w:before="0" w:after="0" w:line="240" w:lineRule="auto"/>
    </w:pPr>
  </w:style>
  <w:style w:type="paragraph" w:styleId="1397" w:customStyle="1">
    <w:name w:val="xl72"/>
    <w:basedOn w:val="994"/>
    <w:next w:val="1382"/>
    <w:qFormat/>
    <w:pPr>
      <w:ind w:left="0" w:firstLine="3584"/>
      <w:spacing w:before="280" w:after="280" w:line="240" w:lineRule="auto"/>
    </w:pPr>
  </w:style>
  <w:style w:type="paragraph" w:styleId="1398" w:customStyle="1">
    <w:name w:val="默认段落字体 Para Char Char Char Char Char Char Char Char Char1 Char Char Char Char"/>
    <w:basedOn w:val="994"/>
    <w:next w:val="1250"/>
    <w:qFormat/>
    <w:pPr>
      <w:ind w:left="0" w:firstLine="2560"/>
      <w:spacing w:before="0" w:after="0" w:line="240" w:lineRule="auto"/>
    </w:pPr>
  </w:style>
  <w:style w:type="paragraph" w:styleId="1399" w:customStyle="1">
    <w:name w:val="p0"/>
    <w:next w:val="993"/>
    <w:qFormat/>
    <w:pPr>
      <w:ind w:firstLine="2048"/>
      <w:spacing w:line="360" w:lineRule="auto"/>
    </w:pPr>
    <w:rPr>
      <w:rFonts w:ascii="Calibri" w:hAnsi="Calibri"/>
    </w:rPr>
  </w:style>
  <w:style w:type="paragraph" w:styleId="1400" w:customStyle="1">
    <w:name w:val="CM5"/>
    <w:basedOn w:val="994"/>
    <w:next w:val="993"/>
    <w:qFormat/>
    <w:pPr>
      <w:ind w:left="200" w:firstLine="2760"/>
      <w:spacing w:before="0" w:after="0" w:line="400" w:lineRule="atLeast"/>
    </w:pPr>
  </w:style>
  <w:style w:type="paragraph" w:styleId="1401" w:customStyle="1">
    <w:name w:val="正文首行缩进两字符"/>
    <w:basedOn w:val="994"/>
    <w:next w:val="1387"/>
    <w:qFormat/>
    <w:pPr>
      <w:ind w:left="200" w:firstLine="3784"/>
      <w:spacing w:before="0" w:after="0" w:line="360" w:lineRule="auto"/>
    </w:pPr>
  </w:style>
  <w:style w:type="table" w:styleId="1402" w:customStyle="1">
    <w:name w:val="网格型1"/>
    <w:basedOn w:val="10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customStyle="1">
    <w:name w:val="正文文本缩进 字符"/>
    <w:basedOn w:val="1003"/>
    <w:link w:val="1006"/>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29</cp:revision>
  <dcterms:created xsi:type="dcterms:W3CDTF">2026-07-24T08:39:00Z</dcterms:created>
  <dcterms:modified xsi:type="dcterms:W3CDTF">2026-08-03T08:53:00Z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696472001E124EE39E98647CB5510B7F</vt:lpwstr>
  </property>
  <property fmtid="{D5CDD505-2E9C-101B-9397-08002B2CF9AE}" pid="4" name="KSOTemplateDocerSaveRecord">
    <vt:lpwstr>eyJoZGlkIjoiYTI4NzdlNDk3NTQ0MDZmYTEyOTU0YjQyNzQ5MzBjNGMiLCJ1c2VySWQiOiI2Mjc3MDc5MzUifQ==</vt:lpwstr>
  </property>
</Properties>
</file>