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30"/>
        <w:spacing w:before="120" w:beforeAutospacing="0" w:after="120" w:afterAutospacing="0" w:line="360" w:lineRule="auto"/>
        <w:rPr>
          <w:color w:val="auto"/>
          <w:highlight w:val="none"/>
        </w:rPr>
      </w:pPr>
      <w:r>
        <w:rPr>
          <w:color w:val="auto"/>
          <w:highlight w:val="none"/>
        </w:rPr>
        <w:t xml:space="preserve"> </w:t>
      </w:r>
      <w:r/>
    </w:p>
    <w:p>
      <w:pPr>
        <w:pStyle w:val="1330"/>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33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bookmarkStart w:id="169" w:name="_GoBack"/>
      <w:r/>
      <w:bookmarkEnd w:id="169"/>
      <w:r/>
      <w:r/>
    </w:p>
    <w:p>
      <w:pPr>
        <w:pStyle w:val="133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330"/>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330"/>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盐城市生态环境监测监控中心应急监测能力提升项目</w:t>
      </w:r>
      <w:r/>
    </w:p>
    <w:p>
      <w:pPr>
        <w:pStyle w:val="1330"/>
        <w:ind w:firstLine="321"/>
        <w:spacing w:before="120" w:beforeAutospacing="0" w:after="120" w:afterAutospacing="0" w:line="360" w:lineRule="auto"/>
        <w:rPr>
          <w:rFonts w:hint="eastAsia" w:ascii="Arial" w:hAnsi="Arial" w:eastAsia="宋体" w:cs="Arial"/>
          <w:b/>
          <w:color w:val="auto"/>
          <w:sz w:val="32"/>
          <w:szCs w:val="32"/>
          <w:highlight w:val="none"/>
        </w:rPr>
      </w:pPr>
      <w:r>
        <w:rPr>
          <w:rFonts w:ascii="Arial" w:hAnsi="Arial" w:cs="Arial"/>
          <w:b/>
          <w:color w:val="auto"/>
          <w:sz w:val="32"/>
          <w:szCs w:val="32"/>
          <w:highlight w:val="none"/>
        </w:rPr>
        <w:t xml:space="preserve">项目编号：JSZC-320900-MWGS-G2026-0001</w:t>
      </w:r>
      <w:r/>
    </w:p>
    <w:p>
      <w:pPr>
        <w:pStyle w:val="1330"/>
        <w:ind w:firstLine="240"/>
        <w:spacing w:before="120" w:beforeAutospacing="0" w:after="120" w:afterAutospacing="0" w:line="360" w:lineRule="auto"/>
        <w:rPr>
          <w:color w:val="auto"/>
          <w:highlight w:val="none"/>
        </w:rPr>
      </w:pPr>
      <w:r>
        <w:rPr>
          <w:color w:val="auto"/>
          <w:highlight w:val="none"/>
        </w:rPr>
      </w:r>
      <w:r/>
    </w:p>
    <w:p>
      <w:pPr>
        <w:pStyle w:val="1330"/>
        <w:spacing w:beforeAutospacing="0" w:afterAutospacing="0" w:line="360" w:lineRule="auto"/>
        <w:rPr>
          <w:color w:val="auto"/>
          <w:highlight w:val="none"/>
        </w:rPr>
      </w:pPr>
      <w:r>
        <w:rPr>
          <w:color w:val="auto"/>
          <w:highlight w:val="none"/>
        </w:rPr>
        <w:t xml:space="preserve"> </w:t>
      </w:r>
      <w:r/>
    </w:p>
    <w:p>
      <w:pPr>
        <w:pStyle w:val="1330"/>
        <w:spacing w:beforeAutospacing="0" w:afterAutospacing="0" w:line="360" w:lineRule="auto"/>
        <w:rPr>
          <w:color w:val="auto"/>
          <w:highlight w:val="none"/>
        </w:rPr>
      </w:pPr>
      <w:r>
        <w:rPr>
          <w:color w:val="auto"/>
          <w:highlight w:val="none"/>
        </w:rPr>
        <w:t xml:space="preserve"> </w:t>
      </w:r>
      <w:r/>
    </w:p>
    <w:p>
      <w:pPr>
        <w:pStyle w:val="1330"/>
        <w:spacing w:beforeAutospacing="0" w:afterAutospacing="0" w:line="360" w:lineRule="auto"/>
        <w:rPr>
          <w:color w:val="auto"/>
          <w:highlight w:val="none"/>
        </w:rPr>
      </w:pPr>
      <w:r>
        <w:rPr>
          <w:color w:val="auto"/>
          <w:highlight w:val="none"/>
        </w:rPr>
        <w:t xml:space="preserve"> </w:t>
      </w:r>
      <w:r/>
    </w:p>
    <w:p>
      <w:pPr>
        <w:pStyle w:val="1330"/>
        <w:spacing w:beforeAutospacing="0" w:afterAutospacing="0" w:line="360" w:lineRule="auto"/>
        <w:rPr>
          <w:color w:val="auto"/>
          <w:highlight w:val="none"/>
        </w:rPr>
      </w:pPr>
      <w:r>
        <w:rPr>
          <w:color w:val="auto"/>
          <w:highlight w:val="none"/>
        </w:rPr>
        <w:t xml:space="preserve"> </w:t>
      </w:r>
      <w:r/>
    </w:p>
    <w:p>
      <w:pPr>
        <w:pStyle w:val="1330"/>
        <w:spacing w:beforeAutospacing="0" w:afterAutospacing="0" w:line="360" w:lineRule="auto"/>
        <w:rPr>
          <w:color w:val="auto"/>
          <w:highlight w:val="none"/>
        </w:rPr>
      </w:pPr>
      <w:r>
        <w:rPr>
          <w:color w:val="auto"/>
          <w:highlight w:val="none"/>
        </w:rPr>
        <w:t xml:space="preserve"> </w:t>
      </w:r>
      <w:r/>
    </w:p>
    <w:p>
      <w:pPr>
        <w:pStyle w:val="1330"/>
        <w:spacing w:beforeAutospacing="0" w:afterAutospacing="0" w:line="360" w:lineRule="auto"/>
        <w:rPr>
          <w:color w:val="auto"/>
          <w:highlight w:val="none"/>
        </w:rPr>
      </w:pPr>
      <w:r>
        <w:rPr>
          <w:color w:val="auto"/>
          <w:highlight w:val="none"/>
        </w:rPr>
        <w:t xml:space="preserve"> </w:t>
      </w:r>
      <w:r/>
    </w:p>
    <w:p>
      <w:pPr>
        <w:pStyle w:val="1330"/>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盐城市生态环境监测监控中心</w:t>
      </w:r>
      <w:r/>
    </w:p>
    <w:p>
      <w:pPr>
        <w:pStyle w:val="1330"/>
        <w:jc w:val="center"/>
        <w:spacing w:before="120" w:beforeAutospacing="0" w:after="120" w:afterAutospacing="0" w:line="360" w:lineRule="auto"/>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江苏铭洧项目管理有限公司</w:t>
      </w:r>
      <w:r/>
    </w:p>
    <w:p>
      <w:pPr>
        <w:pStyle w:val="133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 </w:t>
      </w:r>
      <w:r>
        <w:rPr>
          <w:rFonts w:hint="eastAsia" w:ascii="Arial" w:hAnsi="Arial" w:cs="Arial"/>
          <w:b/>
          <w:color w:val="auto"/>
          <w:sz w:val="32"/>
          <w:szCs w:val="32"/>
          <w:highlight w:val="none"/>
        </w:rPr>
        <w:t xml:space="preserve">202</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1330"/>
        <w:spacing w:before="120" w:beforeAutospacing="0" w:after="120" w:afterAutospacing="0" w:line="360" w:lineRule="auto"/>
        <w:rPr>
          <w:rFonts w:hint="eastAsia" w:eastAsia="宋体"/>
          <w:color w:val="auto"/>
          <w:highlight w:val="none"/>
          <w:lang w:val="en-US" w:eastAsia="zh-CN"/>
        </w:rPr>
      </w:pPr>
      <w:r>
        <w:rPr>
          <w:rFonts w:ascii="Arial" w:hAnsi="Arial" w:cs="Arial"/>
          <w:color w:val="auto"/>
          <w:highlight w:val="none"/>
        </w:rPr>
        <w:t xml:space="preserve">                       </w:t>
      </w:r>
      <w:r/>
    </w:p>
    <w:p>
      <w:pPr>
        <w:pStyle w:val="133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20823272"/>
      <w:r/>
      <w:bookmarkStart w:id="1" w:name="_Toc120614210"/>
      <w:r/>
      <w:bookmarkStart w:id="2" w:name="_Toc523127445"/>
      <w:r/>
      <w:bookmarkStart w:id="3" w:name="_Toc513029200"/>
      <w:r/>
      <w:bookmarkStart w:id="4" w:name="_Toc479757206"/>
      <w:r/>
      <w:bookmarkStart w:id="5" w:name="_Toc16938516"/>
      <w:r/>
      <w:r/>
    </w:p>
    <w:p>
      <w:pPr>
        <w:pStyle w:val="133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330"/>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330"/>
        <w:jc w:val="both"/>
        <w:spacing w:beforeAutospacing="0" w:afterAutospacing="0" w:line="480" w:lineRule="auto"/>
        <w:rPr>
          <w:color w:val="auto"/>
          <w:highlight w:val="none"/>
        </w:rPr>
      </w:pPr>
      <w:r>
        <w:rPr>
          <w:color w:val="auto"/>
          <w:highlight w:val="none"/>
        </w:rPr>
        <w:t xml:space="preserve"> </w:t>
      </w:r>
      <w:r/>
    </w:p>
    <w:p>
      <w:pPr>
        <w:pStyle w:val="133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招标公告……………………………………3 </w:t>
      </w:r>
      <w:r/>
    </w:p>
    <w:p>
      <w:pPr>
        <w:pStyle w:val="133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投标人须知…………………………………6  </w:t>
      </w:r>
      <w:r/>
    </w:p>
    <w:p>
      <w:pPr>
        <w:pStyle w:val="1330"/>
        <w:ind w:left="2160" w:hanging="1440"/>
        <w:jc w:val="both"/>
        <w:spacing w:beforeAutospacing="0" w:afterAutospacing="0" w:line="48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合同条款……………………………………19</w:t>
      </w:r>
      <w:r/>
    </w:p>
    <w:p>
      <w:pPr>
        <w:pStyle w:val="133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43</w:t>
      </w:r>
      <w:r/>
    </w:p>
    <w:p>
      <w:pPr>
        <w:pStyle w:val="133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64</w:t>
      </w:r>
      <w:r/>
    </w:p>
    <w:p>
      <w:pPr>
        <w:pStyle w:val="133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68</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center"/>
        <w:spacing w:beforeAutospacing="0" w:afterAutospacing="0"/>
        <w:rPr>
          <w:rFonts w:eastAsia="黑体"/>
          <w:color w:val="auto"/>
          <w:highlight w:val="none"/>
        </w:rPr>
      </w:pPr>
      <w:r>
        <w:rPr>
          <w:color w:val="auto"/>
          <w:highlight w:val="none"/>
        </w:rPr>
        <w:t xml:space="preserve"> </w:t>
      </w:r>
      <w:bookmarkStart w:id="6" w:name="_Toc28359086"/>
      <w:r>
        <w:rPr>
          <w:rFonts w:hint="eastAsia" w:ascii="黑体" w:hAnsi="宋体" w:eastAsia="黑体" w:cs="黑体"/>
          <w:color w:val="auto"/>
          <w:sz w:val="44"/>
          <w:szCs w:val="44"/>
          <w:highlight w:val="none"/>
        </w:rPr>
        <w:t xml:space="preserve">第一章 招标公告</w:t>
      </w:r>
      <w:r/>
    </w:p>
    <w:p>
      <w:pPr>
        <w:pStyle w:val="1330"/>
        <w:ind w:firstLine="482"/>
        <w:jc w:val="both"/>
        <w:spacing w:beforeAutospacing="0" w:afterAutospacing="0" w:line="312" w:lineRule="auto"/>
        <w:rPr>
          <w:rFonts w:hint="eastAsia" w:ascii="宋体" w:hAnsi="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szCs w:val="21"/>
          <w:highlight w:val="none"/>
        </w:rPr>
        <w:t xml:space="preserve">项目概况</w:t>
      </w:r>
      <w:r/>
    </w:p>
    <w:p>
      <w:pPr>
        <w:pStyle w:val="1330"/>
        <w:ind w:firstLine="482"/>
        <w:jc w:val="both"/>
        <w:spacing w:beforeAutospacing="0" w:afterAutospacing="0" w:line="312" w:lineRule="auto"/>
        <w:rPr>
          <w:rFonts w:hint="eastAsia" w:ascii="宋体" w:hAnsi="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szCs w:val="21"/>
          <w:highlight w:val="none"/>
          <w:u w:val="single"/>
          <w:lang w:eastAsia="zh-CN"/>
        </w:rPr>
        <w:t xml:space="preserve">盐城市生态环境监测监控中心应急监测能力提升项目</w:t>
      </w:r>
      <w:r>
        <w:rPr>
          <w:rFonts w:hint="eastAsia" w:ascii="宋体" w:hAnsi="宋体" w:cs="宋体"/>
          <w:color w:val="auto"/>
          <w:sz w:val="21"/>
          <w:szCs w:val="21"/>
          <w:highlight w:val="none"/>
        </w:rPr>
        <w:t xml:space="preserve">招标项目的潜在投标人可在</w:t>
      </w:r>
      <w:r>
        <w:rPr>
          <w:rFonts w:hint="eastAsia" w:ascii="宋体" w:hAnsi="宋体" w:cs="宋体"/>
          <w:color w:val="auto"/>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auto"/>
          <w:sz w:val="21"/>
          <w:szCs w:val="21"/>
          <w:highlight w:val="none"/>
        </w:rPr>
        <w:t xml:space="preserve">，并于</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none"/>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none"/>
        </w:rPr>
        <w:t xml:space="preserve">月</w:t>
      </w:r>
      <w:r>
        <w:rPr>
          <w:rFonts w:hint="eastAsia" w:ascii="宋体" w:hAnsi="宋体" w:cs="宋体"/>
          <w:color w:val="auto"/>
          <w:sz w:val="21"/>
          <w:szCs w:val="21"/>
          <w:highlight w:val="none"/>
          <w:u w:val="single"/>
          <w:lang w:val="en-US" w:eastAsia="zh-CN"/>
        </w:rPr>
        <w:t xml:space="preserve">4</w:t>
      </w:r>
      <w:r>
        <w:rPr>
          <w:rFonts w:hint="eastAsia" w:ascii="宋体" w:hAnsi="宋体" w:cs="宋体"/>
          <w:color w:val="auto"/>
          <w:sz w:val="21"/>
          <w:szCs w:val="21"/>
          <w:highlight w:val="none"/>
          <w:u w:val="none"/>
        </w:rPr>
        <w:t xml:space="preserve">日</w:t>
      </w:r>
      <w:r>
        <w:rPr>
          <w:rFonts w:hint="eastAsia" w:ascii="宋体" w:hAnsi="宋体" w:cs="宋体"/>
          <w:color w:val="auto"/>
          <w:sz w:val="21"/>
          <w:szCs w:val="21"/>
          <w:highlight w:val="none"/>
          <w:u w:val="none"/>
          <w:lang w:val="en-US" w:eastAsia="zh-CN"/>
        </w:rPr>
        <w:t xml:space="preserve">9</w:t>
      </w:r>
      <w:r>
        <w:rPr>
          <w:rFonts w:hint="eastAsia" w:ascii="宋体" w:hAnsi="宋体" w:cs="宋体"/>
          <w:color w:val="auto"/>
          <w:sz w:val="21"/>
          <w:szCs w:val="21"/>
          <w:highlight w:val="none"/>
          <w:u w:val="none"/>
        </w:rPr>
        <w:t xml:space="preserve">点</w:t>
      </w:r>
      <w:r>
        <w:rPr>
          <w:rFonts w:hint="eastAsia" w:ascii="宋体" w:hAnsi="宋体" w:cs="宋体"/>
          <w:color w:val="auto"/>
          <w:sz w:val="21"/>
          <w:szCs w:val="21"/>
          <w:highlight w:val="none"/>
          <w:u w:val="none"/>
          <w:lang w:val="en-US" w:eastAsia="zh-CN"/>
        </w:rPr>
        <w:t xml:space="preserve">00</w:t>
      </w:r>
      <w:r>
        <w:rPr>
          <w:rFonts w:hint="eastAsia" w:ascii="宋体" w:hAnsi="宋体" w:cs="宋体"/>
          <w:color w:val="auto"/>
          <w:sz w:val="21"/>
          <w:szCs w:val="21"/>
          <w:highlight w:val="none"/>
          <w:u w:val="none"/>
        </w:rPr>
        <w:t xml:space="preserve">分（</w:t>
      </w:r>
      <w:r>
        <w:rPr>
          <w:rFonts w:hint="eastAsia" w:ascii="宋体" w:hAnsi="宋体" w:cs="宋体"/>
          <w:color w:val="auto"/>
          <w:sz w:val="21"/>
          <w:szCs w:val="21"/>
          <w:highlight w:val="none"/>
        </w:rPr>
        <w:t xml:space="preserve">北京时间）前递交投标文件。</w:t>
      </w:r>
      <w:r/>
    </w:p>
    <w:p>
      <w:pPr>
        <w:pStyle w:val="1330"/>
        <w:ind w:firstLine="422"/>
        <w:jc w:val="both"/>
        <w:spacing w:beforeAutospacing="0" w:afterAutospacing="0" w:line="360" w:lineRule="auto"/>
        <w:rPr>
          <w:rFonts w:hint="eastAsia" w:ascii="宋体" w:hAnsi="宋体" w:cs="宋体"/>
          <w:color w:val="auto"/>
          <w:sz w:val="21"/>
          <w:szCs w:val="21"/>
          <w:highlight w:val="none"/>
        </w:rPr>
      </w:pPr>
      <w:r/>
      <w:bookmarkStart w:id="7" w:name="_Toc35393621"/>
      <w:r/>
      <w:bookmarkStart w:id="8" w:name="_Toc28359002"/>
      <w:r/>
      <w:bookmarkStart w:id="9" w:name="_Toc38985263"/>
      <w:r/>
      <w:bookmarkStart w:id="10" w:name="_Toc28359079"/>
      <w:r/>
      <w:bookmarkStart w:id="11" w:name="_Toc35393790"/>
      <w:r/>
      <w:bookmarkStart w:id="12" w:name="_Hlk24379207"/>
      <w:r>
        <w:rPr>
          <w:rFonts w:hint="eastAsia" w:ascii="宋体" w:hAnsi="宋体" w:cs="宋体"/>
          <w:b/>
          <w:color w:val="auto"/>
          <w:sz w:val="21"/>
          <w:szCs w:val="21"/>
          <w:highlight w:val="none"/>
        </w:rPr>
        <w:t xml:space="preserve">一、项目基本情况</w:t>
      </w:r>
      <w:bookmarkEnd w:id="7"/>
      <w:r/>
      <w:bookmarkEnd w:id="8"/>
      <w:r/>
      <w:bookmarkEnd w:id="9"/>
      <w:r/>
      <w:bookmarkEnd w:id="10"/>
      <w:r/>
      <w:bookmarkEnd w:id="11"/>
      <w:r/>
      <w:bookmarkEnd w:id="12"/>
      <w:r/>
      <w:r/>
    </w:p>
    <w:p>
      <w:pPr>
        <w:pStyle w:val="1330"/>
        <w:ind w:firstLine="42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shd w:val="clear" w:color="auto" w:fill="ffffff"/>
        </w:rPr>
        <w:t xml:space="preserve">1.项目编号：JSZC-320900-MWGS-G2026-0001</w:t>
      </w:r>
      <w:r>
        <w:rPr>
          <w:rFonts w:hint="eastAsia" w:ascii="宋体" w:hAnsi="宋体" w:cs="宋体"/>
          <w:color w:val="auto"/>
          <w:sz w:val="21"/>
          <w:szCs w:val="21"/>
          <w:highlight w:val="none"/>
          <w:lang w:val="en-US" w:eastAsia="zh-CN"/>
        </w:rPr>
        <w:t xml:space="preserve"> </w:t>
      </w:r>
      <w:r/>
    </w:p>
    <w:p>
      <w:pPr>
        <w:pStyle w:val="1330"/>
        <w:ind w:firstLine="420"/>
        <w:jc w:val="both"/>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盐城市生态环境监测监控中心应急监测能力提升项目</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3.采购方式：公开招标</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580</w:t>
      </w:r>
      <w:r>
        <w:rPr>
          <w:rFonts w:hint="eastAsia" w:ascii="宋体" w:hAnsi="宋体" w:cs="宋体"/>
          <w:color w:val="auto"/>
          <w:sz w:val="21"/>
          <w:szCs w:val="21"/>
          <w:highlight w:val="none"/>
        </w:rPr>
        <w:t xml:space="preserve">万元</w:t>
      </w:r>
      <w:r/>
    </w:p>
    <w:p>
      <w:pPr>
        <w:pStyle w:val="1330"/>
        <w:ind w:firstLine="420"/>
        <w:jc w:val="both"/>
        <w:spacing w:beforeAutospacing="0" w:afterAutospacing="0" w:line="360" w:lineRule="auto"/>
        <w:rPr>
          <w:rFonts w:hint="eastAsia" w:ascii="宋体" w:hAnsi="宋体" w:cs="宋体"/>
          <w:color w:val="auto"/>
          <w:sz w:val="21"/>
          <w:szCs w:val="21"/>
          <w:highlight w:val="none"/>
          <w:shd w:val="clear" w:color="ffffff" w:fill="d9d9d9"/>
        </w:rPr>
      </w:pPr>
      <w:r>
        <w:rPr>
          <w:rFonts w:hint="eastAsia" w:ascii="宋体" w:hAnsi="宋体" w:cs="宋体"/>
          <w:color w:val="auto"/>
          <w:sz w:val="21"/>
          <w:szCs w:val="21"/>
          <w:highlight w:val="none"/>
          <w:shd w:val="clear" w:color="auto" w:fill="ffffff"/>
        </w:rPr>
        <w:t xml:space="preserve">5.最高限价：</w:t>
      </w:r>
      <w:bookmarkStart w:id="13" w:name="OLE_LINK30"/>
      <w:r>
        <w:rPr>
          <w:rFonts w:hint="eastAsia" w:ascii="宋体" w:hAnsi="宋体" w:cs="宋体"/>
          <w:color w:val="auto"/>
          <w:sz w:val="21"/>
          <w:szCs w:val="21"/>
          <w:highlight w:val="none"/>
          <w:lang w:val="en-US" w:eastAsia="zh-CN"/>
        </w:rPr>
        <w:t xml:space="preserve">580</w:t>
      </w:r>
      <w:r>
        <w:rPr>
          <w:rFonts w:hint="eastAsia" w:ascii="宋体" w:hAnsi="宋体" w:cs="宋体"/>
          <w:color w:val="auto"/>
          <w:sz w:val="21"/>
          <w:szCs w:val="21"/>
          <w:highlight w:val="none"/>
        </w:rPr>
        <w:t xml:space="preserve">万元</w:t>
      </w:r>
      <w:bookmarkEnd w:id="13"/>
      <w:r/>
      <w:r/>
    </w:p>
    <w:p>
      <w:pPr>
        <w:pStyle w:val="1330"/>
        <w:ind w:firstLine="420"/>
        <w:jc w:val="both"/>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6.采购需求（简介）：</w:t>
      </w:r>
      <w:bookmarkStart w:id="14" w:name="OLE_LINK1"/>
      <w:r>
        <w:rPr>
          <w:rFonts w:hint="eastAsia" w:ascii="宋体" w:hAnsi="宋体" w:cs="宋体"/>
          <w:color w:val="auto"/>
          <w:sz w:val="21"/>
          <w:szCs w:val="21"/>
          <w:highlight w:val="none"/>
        </w:rPr>
        <w:t xml:space="preserve">全面提升应对突发环境事件的现场感知与应急处置能力。</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便携式现场监测设备，具体内容及要求详见招标文件第四章“采购需求”</w:t>
      </w:r>
      <w:bookmarkEnd w:id="14"/>
      <w:r>
        <w:rPr>
          <w:rFonts w:hint="eastAsia" w:ascii="宋体" w:hAnsi="宋体" w:cs="宋体"/>
          <w:color w:val="auto"/>
          <w:sz w:val="21"/>
          <w:szCs w:val="21"/>
          <w:highlight w:val="none"/>
          <w:lang w:eastAsia="zh-CN"/>
        </w:rPr>
        <w:t xml:space="preserve">。</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7.合同履行期限：（1）合同签订后</w:t>
      </w:r>
      <w:r>
        <w:rPr>
          <w:rFonts w:hint="eastAsia" w:ascii="宋体" w:hAnsi="宋体" w:cs="宋体"/>
          <w:color w:val="auto"/>
          <w:sz w:val="21"/>
          <w:szCs w:val="21"/>
          <w:highlight w:val="none"/>
          <w:lang w:val="en-US" w:eastAsia="zh-CN"/>
        </w:rPr>
        <w:t xml:space="preserve">60</w:t>
      </w:r>
      <w:r>
        <w:rPr>
          <w:rFonts w:hint="eastAsia" w:ascii="宋体" w:hAnsi="宋体" w:cs="宋体"/>
          <w:color w:val="auto"/>
          <w:sz w:val="21"/>
          <w:szCs w:val="21"/>
          <w:highlight w:val="none"/>
        </w:rPr>
        <w:t xml:space="preserve">天内，按照采购文件中的要求提供仪器配套设备，并完成安装、调试；（2）合同签订后</w:t>
      </w:r>
      <w:r>
        <w:rPr>
          <w:rFonts w:hint="eastAsia" w:ascii="宋体" w:hAnsi="宋体" w:cs="宋体"/>
          <w:color w:val="auto"/>
          <w:sz w:val="21"/>
          <w:szCs w:val="21"/>
          <w:highlight w:val="none"/>
          <w:lang w:val="en-US" w:eastAsia="zh-CN"/>
        </w:rPr>
        <w:t xml:space="preserve">65</w:t>
      </w:r>
      <w:r>
        <w:rPr>
          <w:rFonts w:hint="eastAsia" w:ascii="宋体" w:hAnsi="宋体" w:cs="宋体"/>
          <w:color w:val="auto"/>
          <w:sz w:val="21"/>
          <w:szCs w:val="21"/>
          <w:highlight w:val="none"/>
        </w:rPr>
        <w:t xml:space="preserve">天内，完成仪器设备技术审查</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最终验收。</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质保运维期：三年</w:t>
      </w:r>
      <w:r/>
    </w:p>
    <w:p>
      <w:pPr>
        <w:pStyle w:val="1330"/>
        <w:ind w:firstLine="420"/>
        <w:jc w:val="both"/>
        <w:spacing w:beforeAutospacing="0" w:afterAutospacing="0" w:line="360" w:lineRule="auto"/>
        <w:rPr>
          <w:rFonts w:hint="eastAsia" w:ascii="宋体" w:hAnsi="宋体" w:cs="宋体"/>
          <w:color w:val="auto"/>
          <w:sz w:val="21"/>
          <w:szCs w:val="21"/>
          <w:highlight w:val="none"/>
          <w:shd w:val="clear" w:color="auto" w:fill="ffff00"/>
        </w:rPr>
      </w:pPr>
      <w:r>
        <w:rPr>
          <w:rFonts w:hint="eastAsia" w:ascii="宋体" w:hAnsi="宋体" w:cs="宋体"/>
          <w:color w:val="auto"/>
          <w:sz w:val="21"/>
          <w:szCs w:val="21"/>
          <w:highlight w:val="none"/>
          <w:shd w:val="clear" w:color="auto" w:fill="ffffff"/>
        </w:rPr>
        <w:t xml:space="preserve">8.本项目（</w:t>
      </w:r>
      <w:r>
        <w:rPr>
          <w:rFonts w:hint="eastAsia" w:ascii="宋体" w:hAnsi="宋体" w:cs="宋体"/>
          <w:i/>
          <w:iCs/>
          <w:color w:val="auto"/>
          <w:sz w:val="21"/>
          <w:szCs w:val="21"/>
          <w:highlight w:val="none"/>
          <w:shd w:val="clear" w:color="auto" w:fill="ffffff"/>
        </w:rPr>
        <w:t xml:space="preserve">是/否</w:t>
      </w:r>
      <w:r>
        <w:rPr>
          <w:rFonts w:hint="eastAsia" w:ascii="宋体" w:hAnsi="宋体" w:cs="宋体"/>
          <w:color w:val="auto"/>
          <w:sz w:val="21"/>
          <w:szCs w:val="21"/>
          <w:highlight w:val="none"/>
          <w:shd w:val="clear" w:color="auto" w:fill="ffffff"/>
        </w:rPr>
        <w:t xml:space="preserve">）接受联合体</w:t>
      </w:r>
      <w:r>
        <w:rPr>
          <w:rFonts w:hint="eastAsia" w:ascii="宋体" w:hAnsi="宋体" w:cs="宋体"/>
          <w:color w:val="auto"/>
          <w:sz w:val="21"/>
          <w:szCs w:val="21"/>
          <w:highlight w:val="none"/>
        </w:rPr>
        <w:t xml:space="preserve">参与招标：否</w:t>
      </w:r>
      <w:r/>
    </w:p>
    <w:p>
      <w:pPr>
        <w:pStyle w:val="1330"/>
        <w:ind w:firstLine="422"/>
        <w:jc w:val="both"/>
        <w:spacing w:beforeAutospacing="0" w:afterAutospacing="0" w:line="360" w:lineRule="auto"/>
        <w:rPr>
          <w:rFonts w:hint="eastAsia" w:ascii="宋体" w:hAnsi="宋体" w:cs="宋体"/>
          <w:color w:val="auto"/>
          <w:sz w:val="21"/>
          <w:szCs w:val="21"/>
          <w:highlight w:val="none"/>
        </w:rPr>
      </w:pPr>
      <w:r/>
      <w:bookmarkStart w:id="15" w:name="_Toc28359003"/>
      <w:r/>
      <w:bookmarkStart w:id="16" w:name="_Toc28359080"/>
      <w:r/>
      <w:bookmarkStart w:id="17" w:name="_Toc35393622"/>
      <w:r/>
      <w:bookmarkStart w:id="18" w:name="_Toc38985264"/>
      <w:r/>
      <w:bookmarkStart w:id="19" w:name="_Toc35393791"/>
      <w:r>
        <w:rPr>
          <w:rFonts w:hint="eastAsia" w:ascii="宋体" w:hAnsi="宋体" w:cs="宋体"/>
          <w:b/>
          <w:color w:val="auto"/>
          <w:sz w:val="21"/>
          <w:szCs w:val="21"/>
          <w:highlight w:val="none"/>
        </w:rPr>
        <w:t xml:space="preserve">二、申请人的资格要求：</w:t>
      </w:r>
      <w:bookmarkEnd w:id="15"/>
      <w:r/>
      <w:bookmarkEnd w:id="16"/>
      <w:r/>
      <w:bookmarkEnd w:id="17"/>
      <w:r/>
      <w:bookmarkEnd w:id="18"/>
      <w:r/>
      <w:bookmarkEnd w:id="19"/>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 法人或者其他组织的营业执照等证明文件，自然人的身份证明；</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eastAsia="宋体" w:cs="宋体"/>
          <w:color w:val="auto"/>
          <w:sz w:val="21"/>
          <w:szCs w:val="21"/>
          <w:highlight w:val="none"/>
        </w:rPr>
        <w:t xml:space="preserve">上一年度的财务状况报告（至少提供资产负债表、利润表、现金流量表，成立不满一年不需提供）</w:t>
      </w:r>
      <w:r>
        <w:rPr>
          <w:rFonts w:hint="eastAsia" w:ascii="宋体" w:hAnsi="宋体" w:cs="宋体"/>
          <w:color w:val="auto"/>
          <w:sz w:val="21"/>
          <w:szCs w:val="21"/>
          <w:highlight w:val="none"/>
        </w:rPr>
        <w:t xml:space="preserve">；</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bookmarkStart w:id="20" w:name="OLE_LINK16"/>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0"/>
      <w:r>
        <w:rPr>
          <w:rFonts w:hint="eastAsia" w:ascii="宋体" w:hAnsi="宋体" w:cs="宋体"/>
          <w:color w:val="auto"/>
          <w:sz w:val="21"/>
          <w:szCs w:val="21"/>
          <w:highlight w:val="none"/>
        </w:rPr>
        <w:t xml:space="preserve">；</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具备履行合同所必需的设备和专业技术能力的书面声明；</w:t>
      </w:r>
      <w:r/>
    </w:p>
    <w:p>
      <w:pPr>
        <w:pStyle w:val="1330"/>
        <w:ind w:firstLine="420"/>
        <w:jc w:val="both"/>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参加政府采购活动前3年内在经营活动中没有重大违法记录的书面声明</w:t>
      </w:r>
      <w:r>
        <w:rPr>
          <w:rFonts w:hint="eastAsia" w:ascii="宋体" w:hAnsi="宋体" w:cs="宋体"/>
          <w:color w:val="auto"/>
          <w:sz w:val="21"/>
          <w:szCs w:val="21"/>
          <w:highlight w:val="none"/>
          <w:lang w:eastAsia="zh-CN"/>
        </w:rPr>
        <w:t xml:space="preserve">；</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法律、行政法规规定的其他条件。</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bookmarkStart w:id="21" w:name="OLE_LINK17"/>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单位负责人为同一人或者存在直接控股、管理关系的不同供应商，不得参加同一合同项下的政府采购活动。</w:t>
      </w:r>
      <w:bookmarkEnd w:id="21"/>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2.落实政府采购政策需满足的资格要求：无</w:t>
      </w:r>
      <w:r>
        <w:rPr>
          <w:rFonts w:hint="eastAsia" w:ascii="宋体" w:hAnsi="宋体" w:cs="宋体"/>
          <w:b/>
          <w:bCs/>
          <w:color w:val="auto"/>
          <w:sz w:val="21"/>
          <w:szCs w:val="21"/>
          <w:highlight w:val="none"/>
        </w:rPr>
        <w:t xml:space="preserve">。</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3.本项目的特定资格要求：</w:t>
      </w:r>
      <w:bookmarkStart w:id="22" w:name="OLE_LINK28"/>
      <w:r>
        <w:rPr>
          <w:rFonts w:hint="eastAsia" w:ascii="宋体" w:hAnsi="宋体" w:cs="宋体"/>
          <w:color w:val="auto"/>
          <w:sz w:val="21"/>
          <w:szCs w:val="21"/>
          <w:highlight w:val="none"/>
        </w:rPr>
        <w:t xml:space="preserve">无</w:t>
      </w:r>
      <w:bookmarkEnd w:id="22"/>
      <w:r>
        <w:rPr>
          <w:rFonts w:hint="eastAsia" w:ascii="宋体" w:hAnsi="宋体" w:cs="宋体"/>
          <w:color w:val="auto"/>
          <w:sz w:val="21"/>
          <w:szCs w:val="21"/>
          <w:highlight w:val="none"/>
        </w:rPr>
        <w:t xml:space="preserve">。</w:t>
      </w:r>
      <w:r/>
    </w:p>
    <w:p>
      <w:pPr>
        <w:pStyle w:val="1330"/>
        <w:ind w:firstLine="422"/>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三、获取招标文件</w:t>
      </w:r>
      <w:r/>
    </w:p>
    <w:p>
      <w:pPr>
        <w:pStyle w:val="1330"/>
        <w:ind w:firstLine="420"/>
        <w:jc w:val="both"/>
        <w:spacing w:beforeAutospacing="0" w:afterAutospacing="0" w:line="360" w:lineRule="auto"/>
        <w:rPr>
          <w:rFonts w:hint="eastAsia" w:ascii="宋体" w:hAnsi="宋体" w:cs="宋体"/>
          <w:color w:val="auto"/>
          <w:sz w:val="21"/>
          <w:szCs w:val="21"/>
          <w:highlight w:val="none"/>
        </w:rPr>
      </w:pPr>
      <w:r/>
      <w:bookmarkStart w:id="23" w:name="_Toc28359005"/>
      <w:r/>
      <w:bookmarkStart w:id="24" w:name="_Toc35393793"/>
      <w:r/>
      <w:bookmarkStart w:id="25" w:name="_Toc35393624"/>
      <w:r/>
      <w:bookmarkStart w:id="26" w:name="_Toc28359082"/>
      <w:r/>
      <w:bookmarkStart w:id="27" w:name="_Toc38985266"/>
      <w:r>
        <w:rPr>
          <w:rFonts w:hint="eastAsia" w:ascii="宋体" w:hAnsi="宋体" w:cs="宋体"/>
          <w:color w:val="auto"/>
          <w:sz w:val="21"/>
          <w:szCs w:val="21"/>
          <w:highlight w:val="none"/>
        </w:rPr>
        <w:t xml:space="preserve">1.时间：</w:t>
      </w:r>
      <w:bookmarkEnd w:id="23"/>
      <w:r/>
      <w:bookmarkEnd w:id="24"/>
      <w:r/>
      <w:bookmarkEnd w:id="25"/>
      <w:r/>
      <w:bookmarkEnd w:id="26"/>
      <w:r/>
      <w:bookmarkEnd w:id="27"/>
      <w:r>
        <w:rPr>
          <w:rFonts w:hint="eastAsia" w:ascii="宋体" w:hAnsi="宋体" w:cs="宋体"/>
          <w:color w:val="auto"/>
          <w:sz w:val="21"/>
          <w:szCs w:val="21"/>
          <w:highlight w:val="none"/>
        </w:rPr>
        <w:t xml:space="preserve">自招标文件公告发布之日起5个工作日</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2.地点：“苏采云”系统内免费下载（投标人必须在苏采云系统中获取采购文件，方能参与政府采购项目）</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3.方式：本项目采用网上注册登记方式 </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4.售价：0元</w:t>
      </w:r>
      <w:r/>
    </w:p>
    <w:p>
      <w:pPr>
        <w:pStyle w:val="1330"/>
        <w:ind w:firstLine="422"/>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四、提交投标文件截止时间、开标时间和地点</w:t>
      </w:r>
      <w:r/>
    </w:p>
    <w:p>
      <w:pPr>
        <w:pStyle w:val="1330"/>
        <w:ind w:firstLine="420"/>
        <w:jc w:val="both"/>
        <w:spacing w:beforeAutospacing="0" w:afterAutospacing="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4</w:t>
      </w:r>
      <w:r>
        <w:rPr>
          <w:rFonts w:hint="eastAsia" w:ascii="宋体" w:hAnsi="宋体" w:cs="宋体"/>
          <w:color w:val="auto"/>
          <w:sz w:val="21"/>
          <w:szCs w:val="21"/>
          <w:highlight w:val="none"/>
          <w:u w:val="single"/>
        </w:rPr>
        <w:t xml:space="preserve">日9</w:t>
      </w:r>
      <w:r>
        <w:rPr>
          <w:rFonts w:ascii="宋体" w:hAnsi="宋体" w:eastAsia="宋体" w:cs="宋体"/>
          <w:color w:val="auto"/>
          <w:sz w:val="21"/>
          <w:highlight w:val="none"/>
          <w:u w:val="single"/>
        </w:rPr>
        <w:t xml:space="preserve">点00分</w:t>
      </w:r>
      <w:r>
        <w:rPr>
          <w:rFonts w:hint="eastAsia" w:ascii="宋体" w:hAnsi="宋体" w:cs="宋体"/>
          <w:color w:val="auto"/>
          <w:sz w:val="21"/>
          <w:szCs w:val="21"/>
          <w:highlight w:val="none"/>
        </w:rPr>
        <w:t xml:space="preserve">（北京时间）</w:t>
      </w:r>
      <w:r/>
    </w:p>
    <w:p>
      <w:pPr>
        <w:pStyle w:val="1330"/>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2.地点：苏采云“不见面”开标大厅</w:t>
      </w:r>
      <w:r/>
    </w:p>
    <w:p>
      <w:pPr>
        <w:pStyle w:val="1330"/>
        <w:ind w:firstLine="422"/>
        <w:jc w:val="both"/>
        <w:spacing w:beforeAutospacing="0" w:afterAutospacing="0" w:line="360" w:lineRule="auto"/>
        <w:rPr>
          <w:rFonts w:hint="eastAsia" w:ascii="宋体" w:hAnsi="宋体" w:cs="宋体"/>
          <w:color w:val="auto"/>
          <w:sz w:val="21"/>
          <w:szCs w:val="21"/>
          <w:highlight w:val="none"/>
        </w:rPr>
      </w:pPr>
      <w:r/>
      <w:bookmarkStart w:id="28" w:name="_Toc35393794"/>
      <w:r/>
      <w:bookmarkStart w:id="29" w:name="_Toc28359084"/>
      <w:r/>
      <w:bookmarkStart w:id="30" w:name="_Toc35393625"/>
      <w:r/>
      <w:bookmarkStart w:id="31" w:name="_Toc38985267"/>
      <w:r/>
      <w:bookmarkStart w:id="32" w:name="_Toc28359007"/>
      <w:r>
        <w:rPr>
          <w:rFonts w:hint="eastAsia" w:ascii="宋体" w:hAnsi="宋体" w:cs="宋体"/>
          <w:b/>
          <w:color w:val="auto"/>
          <w:sz w:val="21"/>
          <w:szCs w:val="21"/>
          <w:highlight w:val="none"/>
        </w:rPr>
        <w:t xml:space="preserve">五、公告期限</w:t>
      </w:r>
      <w:bookmarkEnd w:id="28"/>
      <w:r/>
      <w:bookmarkEnd w:id="29"/>
      <w:r/>
      <w:bookmarkEnd w:id="30"/>
      <w:r/>
      <w:bookmarkEnd w:id="31"/>
      <w:r/>
      <w:bookmarkEnd w:id="32"/>
      <w:r/>
      <w:r/>
    </w:p>
    <w:p>
      <w:pPr>
        <w:pStyle w:val="1330"/>
        <w:ind w:firstLine="420"/>
        <w:jc w:val="both"/>
        <w:spacing w:beforeAutospacing="0" w:afterAutospacing="0" w:line="360" w:lineRule="auto"/>
        <w:rPr>
          <w:rFonts w:hint="eastAsia" w:ascii="宋体" w:hAnsi="宋体" w:cs="宋体"/>
          <w:color w:val="auto"/>
          <w:sz w:val="21"/>
          <w:szCs w:val="21"/>
          <w:highlight w:val="none"/>
          <w:shd w:val="clear" w:color="auto" w:fill="ffffff"/>
        </w:rPr>
      </w:pPr>
      <w:r/>
      <w:bookmarkStart w:id="33" w:name="_Toc35393795"/>
      <w:r/>
      <w:bookmarkStart w:id="34" w:name="_Toc35393626"/>
      <w:r/>
      <w:bookmarkStart w:id="35" w:name="_Toc38985268"/>
      <w:r>
        <w:rPr>
          <w:rFonts w:hint="eastAsia" w:ascii="宋体" w:hAnsi="宋体" w:cs="宋体"/>
          <w:color w:val="auto"/>
          <w:sz w:val="21"/>
          <w:szCs w:val="21"/>
          <w:highlight w:val="none"/>
          <w:shd w:val="clear" w:color="auto" w:fill="ffffff"/>
        </w:rPr>
        <w:t xml:space="preserve">自本公告发布之日起5个工作日</w:t>
      </w:r>
      <w:bookmarkEnd w:id="33"/>
      <w:r/>
      <w:bookmarkEnd w:id="34"/>
      <w:r/>
      <w:bookmarkEnd w:id="35"/>
      <w:r/>
      <w:r/>
    </w:p>
    <w:p>
      <w:pPr>
        <w:pStyle w:val="1330"/>
        <w:ind w:firstLine="422"/>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六、其他补充事宜</w:t>
      </w:r>
      <w:r/>
    </w:p>
    <w:p>
      <w:pPr>
        <w:pStyle w:val="1154"/>
        <w:ind w:firstLine="480"/>
        <w:jc w:val="left"/>
        <w:keepLines w:val="0"/>
        <w:keepNext w:val="0"/>
        <w:pageBreakBefore w:val="0"/>
        <w:spacing w:beforeAutospacing="0" w:afterAutospacing="0" w:line="312" w:lineRule="auto"/>
        <w:widowControl w:val="off"/>
        <w:rPr>
          <w:rFonts w:hint="eastAsia" w:ascii="宋体" w:hAnsi="宋体" w:eastAsia="宋体" w:cs="宋体"/>
          <w:color w:val="auto"/>
          <w:sz w:val="21"/>
          <w:szCs w:val="21"/>
          <w:highlight w:val="none"/>
        </w:rPr>
      </w:pPr>
      <w:r/>
      <w:bookmarkStart w:id="36" w:name="OLE_LINK29"/>
      <w:r/>
      <w:bookmarkStart w:id="37" w:name="_Toc28359018"/>
      <w:r>
        <w:rPr>
          <w:rFonts w:hint="eastAsia" w:ascii="宋体" w:hAnsi="宋体" w:eastAsia="宋体" w:cs="宋体"/>
          <w:color w:val="auto"/>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 潜在供应商访问电子招标响应交易平台的网络地址和方法：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2.2 潜在投标人访问“苏采云”系统方法：江苏省政府采购网首页-“苏采云”链接。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2.3 采购文件（后缀名为“.kedt”）、供应商操作手册及政府采购客户端 工具可通过“苏采云”系统相应链接进行下载。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2.4 采购代理机构将数据电文形式的采购文件加载至“苏采云”系统，供潜在供应商下载或者查阅。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如潜在投标人未按上述要求操作，将自行承担所产生的风险。</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3.有关本次招标的事项若存在变动或修改，敬请及时关注采购代理机构在“中国政府采购网”“江苏政府采购网”“盐城市政府采购网”发布的更正公告。</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4.本次招标不收取投标保证金，不收取质量保证金。</w:t>
      </w:r>
      <w:bookmarkEnd w:id="36"/>
      <w:r/>
      <w:r/>
    </w:p>
    <w:p>
      <w:pPr>
        <w:pStyle w:val="1330"/>
        <w:ind w:firstLine="422"/>
        <w:jc w:val="both"/>
        <w:spacing w:beforeAutospacing="0"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七、对本次招标提出询问，请按以下方式联系。</w:t>
      </w:r>
      <w:bookmarkEnd w:id="37"/>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1.采购人信息</w:t>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名 称：</w:t>
      </w:r>
      <w:r>
        <w:rPr>
          <w:rFonts w:hint="eastAsia" w:ascii="宋体" w:hAnsi="宋体" w:cs="宋体"/>
          <w:color w:val="auto"/>
          <w:sz w:val="21"/>
          <w:szCs w:val="21"/>
          <w:highlight w:val="none"/>
          <w:shd w:val="clear" w:color="auto" w:fill="ffffff"/>
          <w:lang w:eastAsia="zh-CN"/>
        </w:rPr>
        <w:t xml:space="preserve">盐城市生态环境监测监控中心</w:t>
      </w:r>
      <w:r>
        <w:rPr>
          <w:rFonts w:hint="eastAsia" w:ascii="宋体" w:hAnsi="宋体" w:cs="宋体"/>
          <w:color w:val="auto"/>
          <w:sz w:val="21"/>
          <w:szCs w:val="21"/>
          <w:highlight w:val="none"/>
          <w:shd w:val="clear" w:color="auto" w:fill="ffffff"/>
        </w:rPr>
        <w:t xml:space="preserve">  </w:t>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地 址：</w:t>
      </w:r>
      <w:r>
        <w:rPr>
          <w:rFonts w:hint="eastAsia" w:ascii="宋体" w:hAnsi="宋体" w:cs="宋体"/>
          <w:color w:val="auto"/>
          <w:sz w:val="21"/>
          <w:szCs w:val="21"/>
          <w:highlight w:val="none"/>
          <w:shd w:val="clear" w:color="auto" w:fill="ffffff"/>
          <w:lang w:val="en-US" w:eastAsia="zh-CN"/>
        </w:rPr>
        <w:t xml:space="preserve">盐</w:t>
      </w:r>
      <w:r>
        <w:rPr>
          <w:rFonts w:hint="eastAsia" w:ascii="宋体" w:hAnsi="宋体" w:cs="宋体"/>
          <w:color w:val="auto"/>
          <w:sz w:val="21"/>
          <w:szCs w:val="21"/>
          <w:highlight w:val="none"/>
          <w:shd w:val="clear" w:color="auto" w:fill="ffffff"/>
        </w:rPr>
        <w:t xml:space="preserve">城市盐都区振兴路1号研创大厦11楼 </w:t>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lang w:val="zh-TW"/>
        </w:rPr>
      </w:pPr>
      <w:r>
        <w:rPr>
          <w:rFonts w:hint="eastAsia" w:ascii="宋体" w:hAnsi="宋体" w:cs="宋体"/>
          <w:color w:val="auto"/>
          <w:sz w:val="21"/>
          <w:szCs w:val="21"/>
          <w:highlight w:val="none"/>
          <w:shd w:val="clear" w:color="auto" w:fill="ffffff"/>
        </w:rPr>
        <w:t xml:space="preserve">联系</w:t>
      </w:r>
      <w:r>
        <w:rPr>
          <w:rFonts w:hint="eastAsia" w:ascii="宋体" w:hAnsi="宋体" w:cs="宋体"/>
          <w:color w:val="auto"/>
          <w:sz w:val="21"/>
          <w:szCs w:val="21"/>
          <w:highlight w:val="none"/>
          <w:shd w:val="clear" w:color="auto" w:fill="ffffff"/>
          <w:lang w:val="zh-TW"/>
        </w:rPr>
        <w:t xml:space="preserve">人：梁</w:t>
      </w:r>
      <w:r>
        <w:rPr>
          <w:rFonts w:hint="eastAsia" w:ascii="宋体" w:hAnsi="宋体" w:cs="宋体"/>
          <w:color w:val="auto"/>
          <w:sz w:val="21"/>
          <w:szCs w:val="21"/>
          <w:highlight w:val="none"/>
          <w:shd w:val="clear" w:color="auto" w:fill="ffffff"/>
          <w:lang w:val="en-US" w:eastAsia="zh-CN"/>
        </w:rPr>
        <w:t xml:space="preserve">先生</w:t>
      </w:r>
      <w:r>
        <w:rPr>
          <w:rFonts w:hint="eastAsia" w:ascii="宋体" w:hAnsi="宋体" w:cs="宋体"/>
          <w:color w:val="auto"/>
          <w:sz w:val="21"/>
          <w:szCs w:val="21"/>
          <w:highlight w:val="none"/>
          <w:shd w:val="clear" w:color="auto" w:fill="ffffff"/>
          <w:lang w:val="zh-TW"/>
        </w:rPr>
        <w:t xml:space="preserve">       </w:t>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zh-TW"/>
        </w:rPr>
        <w:t xml:space="preserve">联系方式：</w:t>
      </w:r>
      <w:bookmarkStart w:id="38" w:name="OLE_LINK13"/>
      <w:r>
        <w:rPr>
          <w:rFonts w:hint="eastAsia" w:ascii="宋体" w:hAnsi="宋体" w:cs="宋体"/>
          <w:color w:val="auto"/>
          <w:sz w:val="21"/>
          <w:szCs w:val="21"/>
          <w:highlight w:val="none"/>
          <w:shd w:val="clear" w:color="auto" w:fill="ffffff"/>
          <w:lang w:val="zh-TW"/>
        </w:rPr>
        <w:t xml:space="preserve">0515-</w:t>
      </w:r>
      <w:bookmarkEnd w:id="38"/>
      <w:r>
        <w:rPr>
          <w:rFonts w:hint="eastAsia" w:ascii="宋体" w:hAnsi="宋体" w:cs="宋体"/>
          <w:color w:val="auto"/>
          <w:sz w:val="21"/>
          <w:szCs w:val="21"/>
          <w:highlight w:val="none"/>
          <w:shd w:val="clear" w:color="auto" w:fill="ffffff"/>
          <w:lang w:val="zh-TW"/>
        </w:rPr>
        <w:t xml:space="preserve">69008865</w:t>
      </w:r>
      <w:r>
        <w:rPr>
          <w:rFonts w:hint="eastAsia" w:ascii="宋体" w:hAnsi="宋体" w:cs="宋体"/>
          <w:color w:val="auto"/>
          <w:sz w:val="21"/>
          <w:szCs w:val="21"/>
          <w:highlight w:val="none"/>
          <w:shd w:val="clear" w:color="auto" w:fill="ffffff"/>
        </w:rPr>
        <w:t xml:space="preserve">       </w:t>
      </w:r>
      <w:r/>
    </w:p>
    <w:p>
      <w:pPr>
        <w:pStyle w:val="1330"/>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lang w:val="en-US" w:eastAsia="zh-CN"/>
        </w:rPr>
      </w:pPr>
      <w:r>
        <w:rPr>
          <w:rFonts w:hint="eastAsia" w:ascii="宋体" w:hAnsi="宋体" w:cs="宋体"/>
          <w:color w:val="000000"/>
          <w:sz w:val="21"/>
          <w:szCs w:val="21"/>
          <w:highlight w:val="none"/>
          <w:shd w:val="clear" w:color="auto" w:fill="ffffff"/>
          <w:lang w:val="en-US" w:eastAsia="zh-CN"/>
        </w:rPr>
        <w:t xml:space="preserve">2.采购代理机构信息</w:t>
      </w:r>
      <w:r/>
    </w:p>
    <w:p>
      <w:pPr>
        <w:pStyle w:val="1330"/>
        <w:ind w:firstLine="560"/>
        <w:jc w:val="both"/>
        <w:spacing w:beforeAutospacing="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eastAsia="zh-CN"/>
        </w:rPr>
      </w:pPr>
      <w:r>
        <w:rPr>
          <w:rFonts w:hint="eastAsia" w:ascii="宋体" w:hAnsi="宋体" w:cs="宋体"/>
          <w:color w:val="000000"/>
          <w:sz w:val="21"/>
          <w:szCs w:val="21"/>
          <w:highlight w:val="none"/>
          <w:shd w:val="clear" w:color="auto" w:fill="ffffff"/>
        </w:rPr>
        <w:t xml:space="preserve">名 称：</w:t>
      </w:r>
      <w:r>
        <w:rPr>
          <w:rFonts w:hint="eastAsia" w:ascii="宋体" w:hAnsi="宋体" w:cs="宋体"/>
          <w:color w:val="000000"/>
          <w:sz w:val="21"/>
          <w:szCs w:val="21"/>
          <w:highlight w:val="none"/>
          <w:shd w:val="clear" w:color="auto" w:fill="ffffff"/>
          <w:lang w:eastAsia="zh-CN"/>
        </w:rPr>
        <w:t xml:space="preserve">江苏铭洧项目管理有限公司</w:t>
      </w:r>
      <w:r/>
    </w:p>
    <w:p>
      <w:pPr>
        <w:pStyle w:val="1330"/>
        <w:ind w:firstLine="560"/>
        <w:jc w:val="both"/>
        <w:spacing w:beforeAutospacing="0" w:afterAutospacing="0" w:line="360" w:lineRule="auto"/>
        <w:shd w:val="clear" w:color="auto" w:fill="ffffff"/>
        <w:widowControl/>
        <w:rPr>
          <w:rFonts w:hint="default" w:ascii="宋体" w:hAnsi="宋体" w:eastAsia="宋体" w:cs="宋体"/>
          <w:color w:val="000000"/>
          <w:sz w:val="21"/>
          <w:szCs w:val="21"/>
          <w:highlight w:val="none"/>
          <w:shd w:val="clear" w:color="auto" w:fill="ffffff"/>
          <w:lang w:val="en-US" w:eastAsia="zh-CN"/>
        </w:rPr>
      </w:pPr>
      <w:r>
        <w:rPr>
          <w:rFonts w:hint="eastAsia" w:ascii="宋体" w:hAnsi="宋体" w:cs="宋体"/>
          <w:color w:val="000000"/>
          <w:sz w:val="21"/>
          <w:szCs w:val="21"/>
          <w:highlight w:val="none"/>
          <w:shd w:val="clear" w:color="auto" w:fill="ffffff"/>
        </w:rPr>
        <w:t xml:space="preserve">地 址：</w:t>
      </w:r>
      <w:bookmarkStart w:id="39" w:name="OLE_LINK15"/>
      <w:r>
        <w:rPr>
          <w:rFonts w:hint="eastAsia" w:ascii="宋体" w:hAnsi="宋体" w:cs="宋体"/>
          <w:color w:val="000000"/>
          <w:sz w:val="21"/>
          <w:szCs w:val="21"/>
          <w:highlight w:val="none"/>
          <w:shd w:val="clear" w:color="auto" w:fill="ffffff"/>
        </w:rPr>
        <w:t xml:space="preserve">盐城市</w:t>
      </w:r>
      <w:bookmarkEnd w:id="39"/>
      <w:r>
        <w:rPr>
          <w:rFonts w:hint="eastAsia" w:ascii="宋体" w:hAnsi="宋体" w:cs="宋体"/>
          <w:color w:val="000000"/>
          <w:sz w:val="21"/>
          <w:szCs w:val="21"/>
          <w:highlight w:val="none"/>
          <w:shd w:val="clear" w:color="auto" w:fill="ffffff"/>
          <w:lang w:val="en-US" w:eastAsia="zh-CN"/>
        </w:rPr>
        <w:t xml:space="preserve">人民南路新龙广场10号楼1718</w:t>
      </w:r>
      <w:r/>
    </w:p>
    <w:p>
      <w:pPr>
        <w:pStyle w:val="1330"/>
        <w:ind w:firstLine="560"/>
        <w:jc w:val="both"/>
        <w:spacing w:beforeAutospacing="0" w:afterAutospacing="0" w:line="360" w:lineRule="auto"/>
        <w:shd w:val="clear" w:color="auto" w:fill="ffffff"/>
        <w:widowControl/>
        <w:rPr>
          <w:rFonts w:hint="default" w:ascii="宋体" w:hAnsi="宋体" w:cs="宋体"/>
          <w:color w:val="000000"/>
          <w:sz w:val="21"/>
          <w:szCs w:val="21"/>
          <w:highlight w:val="none"/>
          <w:shd w:val="clear" w:color="auto" w:fill="ffffff"/>
          <w:lang w:val="en-US"/>
        </w:rPr>
      </w:pPr>
      <w:r>
        <w:rPr>
          <w:rFonts w:hint="eastAsia" w:ascii="宋体" w:hAnsi="宋体" w:cs="宋体"/>
          <w:color w:val="000000"/>
          <w:sz w:val="21"/>
          <w:szCs w:val="21"/>
          <w:highlight w:val="none"/>
          <w:shd w:val="clear" w:color="auto" w:fill="ffffff"/>
        </w:rPr>
        <w:t xml:space="preserve">联系人：</w:t>
      </w:r>
      <w:r>
        <w:rPr>
          <w:rFonts w:hint="eastAsia" w:ascii="宋体" w:hAnsi="宋体" w:cs="宋体"/>
          <w:color w:val="000000"/>
          <w:sz w:val="21"/>
          <w:szCs w:val="21"/>
          <w:highlight w:val="none"/>
          <w:shd w:val="clear" w:color="auto" w:fill="ffffff"/>
          <w:lang w:val="en-US" w:eastAsia="zh-CN"/>
        </w:rPr>
        <w:t xml:space="preserve">施先生</w:t>
      </w:r>
      <w:r/>
    </w:p>
    <w:p>
      <w:pPr>
        <w:pStyle w:val="1330"/>
        <w:ind w:firstLine="560"/>
        <w:jc w:val="both"/>
        <w:spacing w:beforeAutospacing="0" w:afterAutospacing="0" w:line="360" w:lineRule="auto"/>
        <w:shd w:val="clear" w:color="auto" w:fill="ffffff"/>
        <w:widowControl/>
        <w:rPr>
          <w:rFonts w:hint="default" w:ascii="宋体" w:hAnsi="宋体" w:cs="宋体"/>
          <w:color w:val="000000"/>
          <w:sz w:val="21"/>
          <w:szCs w:val="21"/>
          <w:highlight w:val="none"/>
          <w:shd w:val="clear" w:color="auto" w:fill="ffffff"/>
          <w:lang w:val="en-US"/>
        </w:rPr>
      </w:pPr>
      <w:r>
        <w:rPr>
          <w:rFonts w:hint="eastAsia" w:ascii="宋体" w:hAnsi="宋体" w:cs="宋体"/>
          <w:color w:val="000000"/>
          <w:sz w:val="21"/>
          <w:szCs w:val="21"/>
          <w:highlight w:val="none"/>
          <w:shd w:val="clear" w:color="auto" w:fill="ffffff"/>
        </w:rPr>
        <w:t xml:space="preserve">联系电话：</w:t>
      </w:r>
      <w:r>
        <w:rPr>
          <w:rFonts w:hint="eastAsia" w:ascii="宋体" w:hAnsi="宋体" w:cs="宋体"/>
          <w:color w:val="000000"/>
          <w:sz w:val="21"/>
          <w:szCs w:val="21"/>
          <w:highlight w:val="none"/>
          <w:shd w:val="clear" w:color="auto" w:fill="ffffff"/>
          <w:lang w:val="en-US" w:eastAsia="zh-CN"/>
        </w:rPr>
        <w:t xml:space="preserve">19962386998</w:t>
      </w:r>
      <w:r/>
    </w:p>
    <w:p>
      <w:pPr>
        <w:pStyle w:val="1330"/>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3.项目联系方式</w:t>
      </w:r>
      <w:r/>
    </w:p>
    <w:p>
      <w:pPr>
        <w:pStyle w:val="1330"/>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项目联系人：</w:t>
      </w:r>
      <w:r>
        <w:rPr>
          <w:rFonts w:hint="eastAsia" w:ascii="宋体" w:hAnsi="宋体" w:cs="宋体"/>
          <w:color w:val="000000"/>
          <w:sz w:val="21"/>
          <w:szCs w:val="21"/>
          <w:highlight w:val="none"/>
          <w:shd w:val="clear" w:color="auto" w:fill="ffffff"/>
          <w:lang w:val="en-US" w:eastAsia="zh-CN"/>
        </w:rPr>
        <w:t xml:space="preserve">施先生</w:t>
      </w:r>
      <w:r/>
    </w:p>
    <w:p>
      <w:pPr>
        <w:pStyle w:val="1330"/>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电　　 话：</w:t>
      </w:r>
      <w:r>
        <w:rPr>
          <w:rFonts w:hint="eastAsia" w:ascii="宋体" w:hAnsi="宋体" w:cs="宋体"/>
          <w:color w:val="000000"/>
          <w:sz w:val="21"/>
          <w:szCs w:val="21"/>
          <w:highlight w:val="none"/>
          <w:shd w:val="clear" w:color="auto" w:fill="ffffff"/>
          <w:lang w:val="en-US" w:eastAsia="zh-CN"/>
        </w:rPr>
        <w:t xml:space="preserve">19962386998</w:t>
      </w:r>
      <w:r/>
    </w:p>
    <w:p>
      <w:pPr>
        <w:pStyle w:val="1330"/>
        <w:ind w:firstLine="560"/>
        <w:jc w:val="both"/>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 </w:t>
      </w:r>
      <w:bookmarkStart w:id="40" w:name="_Toc120614211"/>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1330"/>
        <w:ind w:firstLine="2429"/>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第二章  </w:t>
      </w:r>
      <w:bookmarkEnd w:id="40"/>
      <w:r/>
      <w:bookmarkStart w:id="41" w:name="_Toc16938518"/>
      <w:r/>
      <w:bookmarkStart w:id="42" w:name="_Toc120614213"/>
      <w:r/>
      <w:bookmarkStart w:id="43" w:name="_Toc20823274"/>
      <w:r/>
      <w:bookmarkStart w:id="44" w:name="_Toc513029202"/>
      <w:r>
        <w:rPr>
          <w:rFonts w:hint="eastAsia" w:ascii="黑体" w:hAnsi="宋体" w:eastAsia="黑体" w:cs="黑体"/>
          <w:b/>
          <w:color w:val="auto"/>
          <w:sz w:val="44"/>
          <w:szCs w:val="44"/>
          <w:highlight w:val="none"/>
        </w:rPr>
        <w:t xml:space="preserve">投标人须知</w:t>
      </w:r>
      <w:bookmarkEnd w:id="41"/>
      <w:r/>
      <w:bookmarkEnd w:id="42"/>
      <w:r/>
      <w:bookmarkEnd w:id="43"/>
      <w:r/>
      <w:bookmarkEnd w:id="44"/>
      <w:r/>
      <w:bookmarkStart w:id="45" w:name="_Toc20823275"/>
      <w:r/>
      <w:bookmarkStart w:id="46" w:name="_Toc120614214"/>
      <w:r/>
      <w:bookmarkStart w:id="47" w:name="_Toc513029203"/>
      <w:r/>
      <w:bookmarkStart w:id="48" w:name="_Toc16938519"/>
      <w:r/>
      <w:r/>
    </w:p>
    <w:p>
      <w:pPr>
        <w:pStyle w:val="1330"/>
        <w:numPr>
          <w:ilvl w:val="0"/>
          <w:numId w:val="1"/>
        </w:numPr>
        <w:ind w:firstLine="420"/>
        <w:jc w:val="both"/>
        <w:spacing w:beforeAutospacing="0" w:afterAutospacing="0" w:line="348"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总则</w:t>
      </w:r>
      <w:bookmarkEnd w:id="45"/>
      <w:r/>
      <w:bookmarkEnd w:id="46"/>
      <w:r/>
      <w:bookmarkEnd w:id="47"/>
      <w:r/>
      <w:bookmarkEnd w:id="48"/>
      <w:r/>
      <w:bookmarkStart w:id="49" w:name="_Toc20823276"/>
      <w:r/>
      <w:bookmarkStart w:id="50" w:name="_Toc458694821"/>
      <w:r/>
      <w:bookmarkStart w:id="51" w:name="_Toc16938520"/>
      <w:r/>
      <w:bookmarkStart w:id="52" w:name="_Toc513029204"/>
      <w:r/>
      <w:bookmarkStart w:id="53" w:name="_Hlt16619475"/>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bookmarkEnd w:id="49"/>
      <w:r>
        <w:rPr>
          <w:rFonts w:hint="eastAsia" w:ascii="宋体" w:hAnsi="宋体" w:cs="宋体"/>
          <w:color w:val="auto"/>
          <w:sz w:val="21"/>
          <w:szCs w:val="21"/>
          <w:highlight w:val="none"/>
        </w:rPr>
        <w:t xml:space="preserve">、招标方式</w:t>
      </w:r>
      <w:bookmarkEnd w:id="50"/>
      <w:r/>
      <w:bookmarkEnd w:id="51"/>
      <w:r/>
      <w:bookmarkEnd w:id="52"/>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1.1本次招标采取公开招标方式，本招标文件仅适用于招标公告中所述项目。</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54" w:name="_Toc16938521"/>
      <w:r/>
      <w:bookmarkStart w:id="55" w:name="_Toc20823277"/>
      <w:r/>
      <w:bookmarkStart w:id="56" w:name="_Toc513029205"/>
      <w:r>
        <w:rPr>
          <w:rFonts w:hint="eastAsia" w:ascii="宋体" w:hAnsi="宋体" w:cs="宋体"/>
          <w:color w:val="auto"/>
          <w:sz w:val="21"/>
          <w:szCs w:val="21"/>
          <w:highlight w:val="none"/>
        </w:rPr>
        <w:t xml:space="preserve">2、合格的投标人</w:t>
      </w:r>
      <w:bookmarkEnd w:id="54"/>
      <w:r/>
      <w:bookmarkEnd w:id="55"/>
      <w:r/>
      <w:bookmarkEnd w:id="56"/>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2.1满足招标公告中供应商的资格要求的规定。</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满足本文件实质性要求和条件的规定。</w:t>
      </w:r>
      <w:r/>
    </w:p>
    <w:p>
      <w:pPr>
        <w:pStyle w:val="1330"/>
        <w:ind w:firstLine="420"/>
        <w:jc w:val="both"/>
        <w:spacing w:beforeAutospacing="0" w:afterAutospacing="0" w:line="348" w:lineRule="auto"/>
        <w:rPr>
          <w:rFonts w:hint="eastAsia" w:ascii="宋体" w:hAnsi="宋体" w:eastAsia="宋体" w:cs="宋体"/>
          <w:color w:val="auto"/>
          <w:sz w:val="21"/>
          <w:szCs w:val="21"/>
          <w:highlight w:val="none"/>
        </w:rPr>
      </w:pPr>
      <w:r/>
      <w:bookmarkStart w:id="57" w:name="_Toc513029206"/>
      <w:r/>
      <w:bookmarkStart w:id="58" w:name="_Toc20823278"/>
      <w:r/>
      <w:bookmarkStart w:id="59" w:name="_Toc16938522"/>
      <w:r>
        <w:rPr>
          <w:rFonts w:hint="eastAsia" w:ascii="宋体" w:hAnsi="宋体" w:eastAsia="宋体" w:cs="宋体"/>
          <w:color w:val="auto"/>
          <w:sz w:val="21"/>
          <w:szCs w:val="21"/>
          <w:highlight w:val="none"/>
        </w:rPr>
        <w:t xml:space="preserve">3、</w:t>
      </w:r>
      <w:bookmarkEnd w:id="57"/>
      <w:r/>
      <w:bookmarkEnd w:id="58"/>
      <w:r/>
      <w:bookmarkEnd w:id="59"/>
      <w:r>
        <w:rPr>
          <w:rFonts w:hint="eastAsia" w:ascii="宋体" w:hAnsi="宋体" w:eastAsia="宋体" w:cs="宋体"/>
          <w:color w:val="auto"/>
          <w:sz w:val="21"/>
          <w:szCs w:val="21"/>
          <w:highlight w:val="none"/>
        </w:rPr>
        <w:t xml:space="preserve">适用法律和标准</w:t>
      </w:r>
      <w:r/>
    </w:p>
    <w:p>
      <w:pPr>
        <w:pStyle w:val="1330"/>
        <w:ind w:firstLine="420"/>
        <w:jc w:val="both"/>
        <w:spacing w:beforeAutospacing="0" w:afterAutospacing="0" w:line="348"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本次招标及由此产生的合同受中华人民共和国有关的法律法规制约和保护。</w:t>
      </w:r>
      <w:r/>
    </w:p>
    <w:p>
      <w:pPr>
        <w:pStyle w:val="1330"/>
        <w:ind w:firstLine="420"/>
        <w:jc w:val="both"/>
        <w:spacing w:beforeAutospacing="0" w:afterAutospacing="0" w:line="348"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在本项目政府采购活动过程中，如果所执行的标准有更新的，按照最新标准执行。</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60" w:name="_Toc16938523"/>
      <w:r/>
      <w:bookmarkStart w:id="61" w:name="_Toc513029207"/>
      <w:r/>
      <w:bookmarkStart w:id="62" w:name="_Toc20823279"/>
      <w:r/>
      <w:bookmarkStart w:id="63" w:name="_Toc462564067"/>
      <w:r>
        <w:rPr>
          <w:rFonts w:hint="eastAsia" w:ascii="宋体" w:hAnsi="宋体" w:cs="宋体"/>
          <w:color w:val="auto"/>
          <w:sz w:val="21"/>
          <w:szCs w:val="21"/>
          <w:highlight w:val="none"/>
        </w:rPr>
        <w:t xml:space="preserve">4、投标费用</w:t>
      </w:r>
      <w:bookmarkEnd w:id="60"/>
      <w:r/>
      <w:bookmarkEnd w:id="61"/>
      <w:r/>
      <w:bookmarkEnd w:id="62"/>
      <w:r/>
      <w:bookmarkEnd w:id="63"/>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4.2本次招标采购人和采购代理机构不收取标书工本费。</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4.3本项目代理服务费由项目中标单位支付，在领取中标通知书时支付。</w:t>
      </w:r>
      <w:r/>
    </w:p>
    <w:p>
      <w:pPr>
        <w:pStyle w:val="1330"/>
        <w:ind w:firstLine="420"/>
        <w:jc w:val="both"/>
        <w:spacing w:beforeAutospacing="0" w:afterAutospacing="0" w:line="348"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代理服务费收费标准：本项目中标单位在领取中标通知书前须向采购代理机构</w:t>
      </w:r>
      <w:r>
        <w:rPr>
          <w:rFonts w:hint="eastAsia" w:ascii="宋体" w:hAnsi="宋体" w:cs="宋体"/>
          <w:bCs/>
          <w:color w:val="auto"/>
          <w:sz w:val="21"/>
          <w:szCs w:val="21"/>
          <w:highlight w:val="none"/>
          <w:lang w:val="en-US" w:eastAsia="zh-CN"/>
        </w:rPr>
        <w:t xml:space="preserve">按</w:t>
      </w:r>
      <w:r>
        <w:rPr>
          <w:rFonts w:hint="eastAsia" w:ascii="宋体" w:hAnsi="宋体" w:cs="宋体"/>
          <w:bCs/>
          <w:color w:val="auto"/>
          <w:sz w:val="21"/>
          <w:szCs w:val="21"/>
          <w:highlight w:val="none"/>
        </w:rPr>
        <w:t xml:space="preserve">《江苏省政府采购代理服务收费指导意见》的通知（苏政采协【2024】20号）</w:t>
      </w:r>
      <w:r>
        <w:rPr>
          <w:rFonts w:hint="eastAsia" w:ascii="宋体" w:hAnsi="宋体" w:cs="宋体"/>
          <w:bCs/>
          <w:color w:val="auto"/>
          <w:sz w:val="21"/>
          <w:szCs w:val="21"/>
          <w:highlight w:val="none"/>
          <w:lang w:val="en-US" w:eastAsia="zh-CN"/>
        </w:rPr>
        <w:t xml:space="preserve">×100%</w:t>
      </w:r>
      <w:r>
        <w:rPr>
          <w:rFonts w:hint="eastAsia" w:ascii="宋体" w:hAnsi="宋体" w:cs="宋体"/>
          <w:bCs/>
          <w:color w:val="auto"/>
          <w:sz w:val="21"/>
          <w:szCs w:val="21"/>
          <w:highlight w:val="none"/>
        </w:rPr>
        <w:t xml:space="preserve">收费标准计取。供应商投标时综合考虑招标代理服务费进报价，此项费用不得单列，凡漏项或少计均视为优惠采购人，不另行增加费用。</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cs="宋体"/>
          <w:color w:val="auto"/>
          <w:sz w:val="21"/>
          <w:szCs w:val="21"/>
          <w:highlight w:val="none"/>
        </w:rPr>
        <w:t xml:space="preserve">招标文件的约束力</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5.1投标人一旦参加本项目采购活动，即被认为接受了本招标文件的规定和约束。</w:t>
      </w:r>
      <w:r/>
    </w:p>
    <w:p>
      <w:pPr>
        <w:pStyle w:val="1330"/>
        <w:ind w:firstLine="321"/>
        <w:jc w:val="both"/>
        <w:keepLines/>
        <w:keepNext/>
        <w:spacing w:before="145" w:beforeAutospacing="0" w:after="145" w:afterAutospacing="0" w:line="348" w:lineRule="auto"/>
        <w:rPr>
          <w:rFonts w:hint="eastAsia" w:ascii="宋体" w:hAnsi="宋体" w:cs="宋体"/>
          <w:color w:val="auto"/>
          <w:sz w:val="21"/>
          <w:szCs w:val="21"/>
          <w:highlight w:val="none"/>
        </w:rPr>
      </w:pPr>
      <w:r/>
      <w:bookmarkStart w:id="64" w:name="_Toc513029209"/>
      <w:r/>
      <w:bookmarkStart w:id="65" w:name="_Toc20823281"/>
      <w:r/>
      <w:bookmarkStart w:id="66" w:name="_Toc120614215"/>
      <w:r/>
      <w:bookmarkStart w:id="67" w:name="_Toc16938525"/>
      <w:r>
        <w:rPr>
          <w:rFonts w:hint="eastAsia" w:ascii="宋体" w:hAnsi="宋体" w:cs="宋体"/>
          <w:b/>
          <w:color w:val="auto"/>
          <w:sz w:val="21"/>
          <w:szCs w:val="21"/>
          <w:highlight w:val="none"/>
        </w:rPr>
        <w:t xml:space="preserve">二、招标文件</w:t>
      </w:r>
      <w:bookmarkEnd w:id="64"/>
      <w:r/>
      <w:bookmarkEnd w:id="65"/>
      <w:r/>
      <w:bookmarkEnd w:id="66"/>
      <w:r/>
      <w:bookmarkEnd w:id="67"/>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68" w:name="_Toc513029210"/>
      <w:r/>
      <w:bookmarkStart w:id="69" w:name="_Toc16938526"/>
      <w:r/>
      <w:bookmarkStart w:id="70" w:name="_Toc20823282"/>
      <w:r>
        <w:rPr>
          <w:rFonts w:hint="eastAsia" w:ascii="宋体" w:hAnsi="宋体" w:cs="宋体"/>
          <w:color w:val="auto"/>
          <w:sz w:val="21"/>
          <w:szCs w:val="21"/>
          <w:highlight w:val="none"/>
        </w:rPr>
        <w:t xml:space="preserve">6、招标文件构成</w:t>
      </w:r>
      <w:bookmarkEnd w:id="68"/>
      <w:r/>
      <w:bookmarkEnd w:id="69"/>
      <w:r/>
      <w:bookmarkEnd w:id="70"/>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6.1招标文件由以下部分组成：</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（1）招标公告</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（2）投标人须知</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（3）合同文本</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（4）采购需求</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（5）评标方法与评标标准</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（6）投标文件格式</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请仔细检查招标文件是否齐全，如有缺漏请立即与采购代理机构联系解决。</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71" w:name="_Toc20823283"/>
      <w:r/>
      <w:bookmarkStart w:id="72" w:name="_Toc513029211"/>
      <w:r/>
      <w:bookmarkStart w:id="73" w:name="_Toc462564070"/>
      <w:r/>
      <w:bookmarkStart w:id="74" w:name="_Toc16938527"/>
      <w:r>
        <w:rPr>
          <w:rFonts w:hint="eastAsia" w:ascii="宋体" w:hAnsi="宋体" w:cs="宋体"/>
          <w:color w:val="auto"/>
          <w:sz w:val="21"/>
          <w:szCs w:val="21"/>
          <w:highlight w:val="none"/>
        </w:rPr>
        <w:t xml:space="preserve">7、招标文件的澄清</w:t>
      </w:r>
      <w:bookmarkEnd w:id="71"/>
      <w:r/>
      <w:bookmarkEnd w:id="72"/>
      <w:r/>
      <w:bookmarkEnd w:id="73"/>
      <w:r/>
      <w:bookmarkEnd w:id="74"/>
      <w:r/>
      <w:r/>
    </w:p>
    <w:p>
      <w:pPr>
        <w:pStyle w:val="1330"/>
        <w:ind w:firstLine="420"/>
        <w:jc w:val="both"/>
        <w:spacing w:beforeAutospacing="0" w:afterAutospacing="0" w:line="348"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任何要求对招标文件进行澄清的投标人，应在投标截止期</w:t>
      </w:r>
      <w:r>
        <w:rPr>
          <w:rFonts w:hint="eastAsia" w:ascii="宋体" w:hAnsi="宋体" w:cs="宋体"/>
          <w:b w:val="0"/>
          <w:bCs/>
          <w:color w:val="auto"/>
          <w:sz w:val="21"/>
          <w:szCs w:val="21"/>
          <w:highlight w:val="none"/>
        </w:rPr>
        <w:t xml:space="preserve">十日</w:t>
      </w:r>
      <w:r>
        <w:rPr>
          <w:rFonts w:hint="eastAsia" w:ascii="宋体" w:hAnsi="宋体" w:cs="宋体"/>
          <w:bCs/>
          <w:color w:val="auto"/>
          <w:sz w:val="21"/>
          <w:szCs w:val="21"/>
          <w:highlight w:val="none"/>
        </w:rPr>
        <w:t xml:space="preserve">前按招标公告中的通讯地址，以书面形式通知采购代理机构。</w:t>
      </w:r>
      <w:r/>
    </w:p>
    <w:p>
      <w:pPr>
        <w:pStyle w:val="1330"/>
        <w:ind w:firstLine="420"/>
        <w:jc w:val="both"/>
        <w:spacing w:beforeAutospacing="0" w:afterAutospacing="0" w:line="348" w:lineRule="auto"/>
        <w:rPr>
          <w:rFonts w:hint="eastAsia" w:ascii="宋体" w:hAnsi="宋体" w:cs="宋体"/>
          <w:bCs/>
          <w:color w:val="auto"/>
          <w:sz w:val="21"/>
          <w:szCs w:val="21"/>
          <w:highlight w:val="none"/>
        </w:rPr>
      </w:pPr>
      <w:r/>
      <w:bookmarkStart w:id="75" w:name="_Toc20823284"/>
      <w:r/>
      <w:bookmarkStart w:id="76" w:name="_Toc513029212"/>
      <w:r/>
      <w:bookmarkStart w:id="77" w:name="_Toc16938528"/>
      <w:r/>
      <w:bookmarkStart w:id="78" w:name="_Toc462564071"/>
      <w:r>
        <w:rPr>
          <w:rFonts w:hint="eastAsia" w:ascii="宋体" w:hAnsi="宋体" w:cs="宋体"/>
          <w:bCs/>
          <w:color w:val="auto"/>
          <w:sz w:val="21"/>
          <w:szCs w:val="21"/>
          <w:highlight w:val="none"/>
        </w:rPr>
        <w:t xml:space="preserve">8、招标文件的修改</w:t>
      </w:r>
      <w:bookmarkEnd w:id="75"/>
      <w:r/>
      <w:bookmarkEnd w:id="76"/>
      <w:r/>
      <w:bookmarkEnd w:id="77"/>
      <w:r/>
      <w:bookmarkEnd w:id="78"/>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8.1在投标截止时间前，采购代理机构可以对招标文件进行修改。</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采购代理机构有权按照法定的要求推迟投标截止日期和开标日期。</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8.3招标文件的修改将在中国政府采购网</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rPr>
        <w:t xml:space="preserve">江苏政府采购网、盐城市政府采购网公布，补充文件将作为招标文件的组成部分，并对投标人具有约束力。</w:t>
      </w:r>
      <w:r/>
    </w:p>
    <w:p>
      <w:pPr>
        <w:pStyle w:val="1330"/>
        <w:ind w:firstLine="422"/>
        <w:jc w:val="both"/>
        <w:spacing w:beforeAutospacing="0" w:afterAutospacing="0" w:line="348" w:lineRule="auto"/>
        <w:rPr>
          <w:rFonts w:hint="eastAsia" w:ascii="宋体" w:hAnsi="宋体" w:cs="宋体"/>
          <w:color w:val="auto"/>
          <w:sz w:val="21"/>
          <w:szCs w:val="21"/>
          <w:highlight w:val="none"/>
        </w:rPr>
      </w:pPr>
      <w:r/>
      <w:bookmarkStart w:id="79" w:name="_Toc462564072"/>
      <w:r/>
      <w:bookmarkStart w:id="80" w:name="_Toc16938529"/>
      <w:r/>
      <w:bookmarkStart w:id="81" w:name="_Toc20823285"/>
      <w:r/>
      <w:bookmarkStart w:id="82" w:name="_Toc120614216"/>
      <w:r/>
      <w:bookmarkStart w:id="83" w:name="_Toc513029213"/>
      <w:r>
        <w:rPr>
          <w:rFonts w:hint="eastAsia" w:ascii="宋体" w:hAnsi="宋体" w:cs="宋体"/>
          <w:b/>
          <w:color w:val="auto"/>
          <w:sz w:val="21"/>
          <w:szCs w:val="21"/>
          <w:highlight w:val="none"/>
        </w:rPr>
        <w:t xml:space="preserve">三、投标文件的编制</w:t>
      </w:r>
      <w:bookmarkEnd w:id="79"/>
      <w:r/>
      <w:bookmarkEnd w:id="80"/>
      <w:r/>
      <w:bookmarkEnd w:id="81"/>
      <w:r/>
      <w:bookmarkEnd w:id="82"/>
      <w:r/>
      <w:bookmarkEnd w:id="83"/>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84" w:name="_Toc462564073"/>
      <w:r/>
      <w:bookmarkStart w:id="85" w:name="_Toc16938530"/>
      <w:r/>
      <w:bookmarkStart w:id="86" w:name="_Toc20823286"/>
      <w:r/>
      <w:bookmarkStart w:id="87" w:name="_Toc513029214"/>
      <w:r>
        <w:rPr>
          <w:rFonts w:hint="eastAsia" w:ascii="宋体" w:hAnsi="宋体" w:cs="宋体"/>
          <w:color w:val="auto"/>
          <w:sz w:val="21"/>
          <w:szCs w:val="21"/>
          <w:highlight w:val="none"/>
        </w:rPr>
        <w:t xml:space="preserve">9、投标文件的语言及度量衡单位</w:t>
      </w:r>
      <w:bookmarkEnd w:id="84"/>
      <w:r/>
      <w:bookmarkEnd w:id="85"/>
      <w:r/>
      <w:bookmarkEnd w:id="86"/>
      <w:r/>
      <w:bookmarkEnd w:id="87"/>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9.1投标人提交的投标文件以及投标人与采购代理机构就有关投标的所有来往通知、函件和文件均应使用</w:t>
      </w:r>
      <w:r>
        <w:rPr>
          <w:rFonts w:hint="eastAsia" w:ascii="宋体" w:hAnsi="宋体" w:cs="宋体"/>
          <w:b w:val="0"/>
          <w:color w:val="auto"/>
          <w:sz w:val="21"/>
          <w:szCs w:val="21"/>
          <w:highlight w:val="none"/>
        </w:rPr>
        <w:t xml:space="preserve">简体中文</w:t>
      </w:r>
      <w:r>
        <w:rPr>
          <w:rFonts w:hint="eastAsia" w:ascii="宋体" w:hAnsi="宋体" w:cs="宋体"/>
          <w:color w:val="auto"/>
          <w:sz w:val="21"/>
          <w:szCs w:val="21"/>
          <w:highlight w:val="none"/>
        </w:rPr>
        <w:t xml:space="preserve">。</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9.2除技术性能另有规定外，投标文件所使用的度量衡单位，均须采用国家法定计量单位。</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88" w:name="_Toc16938531"/>
      <w:r/>
      <w:bookmarkStart w:id="89" w:name="_Toc513029215"/>
      <w:r/>
      <w:bookmarkStart w:id="90" w:name="_Toc462564074"/>
      <w:r/>
      <w:bookmarkStart w:id="91" w:name="_Toc20823287"/>
      <w:r>
        <w:rPr>
          <w:rFonts w:hint="eastAsia" w:ascii="宋体" w:hAnsi="宋体" w:cs="宋体"/>
          <w:color w:val="auto"/>
          <w:sz w:val="21"/>
          <w:szCs w:val="21"/>
          <w:highlight w:val="none"/>
        </w:rPr>
        <w:t xml:space="preserve">10、投标文件构成</w:t>
      </w:r>
      <w:bookmarkEnd w:id="88"/>
      <w:r/>
      <w:bookmarkEnd w:id="89"/>
      <w:r/>
      <w:bookmarkEnd w:id="90"/>
      <w:r/>
      <w:bookmarkEnd w:id="91"/>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10.2如标书制作工具中格式和内容与</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rPr>
        <w:t xml:space="preserve">中国政府采购网”“江苏政府采购网”“盐城市政府采购网</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rPr>
        <w:t xml:space="preserve">发布的招标文件不一致，请以中国政府采购网”“江苏政府采购网”“盐城市政府采购网</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rPr>
        <w:t xml:space="preserve">发布的招标文件为准。</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92" w:name="_Toc49090508"/>
      <w:r/>
      <w:bookmarkStart w:id="93" w:name="_Toc49090507"/>
      <w:r/>
      <w:bookmarkStart w:id="94" w:name="_Toc14577357"/>
      <w:r/>
      <w:bookmarkStart w:id="95" w:name="_Toc513029219"/>
      <w:r/>
      <w:bookmarkStart w:id="96" w:name="_Toc14577355"/>
      <w:r/>
      <w:bookmarkStart w:id="97" w:name="_Toc49090509"/>
      <w:r/>
      <w:bookmarkStart w:id="98" w:name="_Toc513029216"/>
      <w:r/>
      <w:bookmarkStart w:id="99" w:name="_Toc14577354"/>
      <w:r/>
      <w:bookmarkStart w:id="100" w:name="_Hlt26670360"/>
      <w:r/>
      <w:bookmarkStart w:id="101" w:name="_Hlt26954838"/>
      <w:r/>
      <w:bookmarkStart w:id="102" w:name="_Hlt26668975"/>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证明投标人及投标标的符合招标文件规定的文件</w:t>
      </w:r>
      <w:bookmarkEnd w:id="92"/>
      <w:r/>
      <w:bookmarkEnd w:id="93"/>
      <w:r/>
      <w:bookmarkEnd w:id="94"/>
      <w:r/>
      <w:bookmarkEnd w:id="95"/>
      <w:r/>
      <w:bookmarkEnd w:id="96"/>
      <w:r/>
      <w:bookmarkEnd w:id="97"/>
      <w:r/>
      <w:bookmarkEnd w:id="98"/>
      <w:r/>
      <w:bookmarkEnd w:id="99"/>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11.1投标人应按照招标文件要求提交证明文件，证明其及投标标的符合招标文件规定。</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11.2招标文件对证明文件无明确形式要求的，证明文件可以以文字资料、图纸和数据等形式提交。</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12、投标分项报价表</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12.1投标人应按照招标文件规定格式填报投标分项报价表。</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1330"/>
        <w:ind w:firstLine="420"/>
        <w:jc w:val="both"/>
        <w:spacing w:beforeAutospacing="0" w:afterAutospacing="0" w:line="348" w:lineRule="auto"/>
        <w:rPr>
          <w:rFonts w:hint="eastAsia" w:ascii="宋体" w:hAnsi="宋体" w:cs="宋体"/>
          <w:color w:val="auto"/>
          <w:sz w:val="21"/>
          <w:szCs w:val="21"/>
          <w:highlight w:val="none"/>
        </w:rPr>
      </w:pPr>
      <w:r/>
      <w:bookmarkStart w:id="103" w:name="_Hlt26670482"/>
      <w:r/>
      <w:bookmarkStart w:id="104" w:name="_Hlt26670486"/>
      <w:r/>
      <w:bookmarkStart w:id="105" w:name="_Hlt26954731"/>
      <w:r/>
      <w:bookmarkStart w:id="106" w:name="_Hlt26954848"/>
      <w:r/>
      <w:bookmarkStart w:id="107" w:name="_Hlt26954846"/>
      <w:r>
        <w:rPr>
          <w:rFonts w:hint="eastAsia" w:ascii="宋体" w:hAnsi="宋体" w:cs="宋体"/>
          <w:color w:val="auto"/>
          <w:sz w:val="21"/>
          <w:szCs w:val="21"/>
          <w:highlight w:val="none"/>
        </w:rPr>
        <w:t xml:space="preserve">13、技术要求响应及偏离表、商务要求响应及偏离表</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13.1投标人需对招标文件中的技术要求与商务要求逐项作出响应或偏离，并说明原因。</w:t>
      </w:r>
      <w:r/>
    </w:p>
    <w:p>
      <w:pPr>
        <w:pStyle w:val="1330"/>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13.2投标人可在投标文件中提供认为需要的其他技术文件或说明。</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14、投标函和开标一览表</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应按照招标文件中提供的格式完整、正确填写投标函、开标一览表。</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15、投标有效期</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15.1投标有效期为采购代理机构规定的开标之日后</w:t>
      </w:r>
      <w:r>
        <w:rPr>
          <w:rFonts w:hint="eastAsia" w:ascii="宋体" w:hAnsi="宋体" w:eastAsia="宋体" w:cs="宋体"/>
          <w:b/>
          <w:color w:val="auto"/>
          <w:sz w:val="21"/>
          <w:szCs w:val="21"/>
          <w:highlight w:val="none"/>
          <w:u w:val="single"/>
        </w:rPr>
        <w:t xml:space="preserve">九十（90）天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16、投标有效期的延长</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16.1在特殊情况下，采购代理机构于原投标有效期满之前，可向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提出延长投标有效期的要求。这种要求与答复均应采用书面形式。</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可以拒绝采购代理机构的这一要求而放弃投标。同意延长投标有效期的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既不能要求也不允许修改其投标文件，同时受投标有效期约束的所有权利与义务均延长至新的有效期。</w:t>
      </w:r>
      <w:r/>
    </w:p>
    <w:p>
      <w:pPr>
        <w:pStyle w:val="1349"/>
        <w:ind w:firstLine="422"/>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t xml:space="preserve">四、投标文件的递交</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17、投标文件的递交</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17.1 电子投标文件的递交</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应当按照《操作手册》规定，在投标截止时间前制作并上传电子投标文件。</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18、投标截止时间</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 xml:space="preserve">18.1</w:t>
      </w:r>
      <w:r>
        <w:rPr>
          <w:rFonts w:hint="eastAsia" w:ascii="宋体" w:hAnsi="宋体" w:eastAsia="宋体" w:cs="宋体"/>
          <w:i/>
          <w:color w:val="auto"/>
          <w:sz w:val="21"/>
          <w:szCs w:val="21"/>
          <w:highlight w:val="none"/>
          <w:u w:val="single"/>
          <w:lang w:eastAsia="zh-CN"/>
        </w:rPr>
        <w:t xml:space="preserve">供应商</w:t>
      </w:r>
      <w:r>
        <w:rPr>
          <w:rFonts w:hint="eastAsia" w:ascii="宋体" w:hAnsi="宋体" w:eastAsia="宋体" w:cs="宋体"/>
          <w:i/>
          <w:color w:val="auto"/>
          <w:sz w:val="21"/>
          <w:szCs w:val="21"/>
          <w:highlight w:val="none"/>
          <w:u w:val="single"/>
        </w:rPr>
        <w:t xml:space="preserve">上传电子投标文件的时间不得迟于招标公告中规定的投标截止时间。</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应充分考虑到网络环境、网络带宽等风险因素，如因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自身原因造成的电子投标文件上传不成功的按照本招标文件第二章第26.1.2条 规定做无效投标处理。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18.2采购代理机构可以按照规定，通过修改招标文件酌情延长投标截止时间，在此情况下，</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的所有权利和义务以及</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受制的截止时间均应以延长后新的截止时间为准。</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19、投标文件的拒收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19.1采购代理机构拒绝接收在其规定的投标截止时间后上传的任何投标文件。</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20、投标文件的撤回和修改</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20.1投标文件的撤回</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20.1.1电子投标文件的撤回</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可在投标截止时间前，撤回其电子投标文件，具体操作方法见《操作手册》。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20.1.2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撤回电子投标文件，则认为其不再参与本项目投标活动。</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20.2 投标文件的修改</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20.2.1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可在投标截止时间前，对其电子投标文件进行修改，具体操作方法见《操作手册》。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20.2.2在投标截止时间之后，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不得对其电子投标文件作任何修改。</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20.3在投标截止时间至招标文件中规定的投标有效期满之间的这段时间内，</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不得撤回其投标。</w:t>
      </w:r>
      <w:r/>
    </w:p>
    <w:p>
      <w:pPr>
        <w:pStyle w:val="1349"/>
        <w:numPr>
          <w:ilvl w:val="0"/>
          <w:numId w:val="0"/>
        </w:numPr>
        <w:ind w:firstLine="422"/>
        <w:jc w:val="both"/>
        <w:pageBreakBefore w:val="0"/>
        <w:spacing w:beforeAutospacing="0" w:afterAutospacing="0" w:line="400" w:lineRule="atLeast"/>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rPr>
        <w:t xml:space="preserve">开标与评标</w:t>
      </w:r>
      <w:r/>
    </w:p>
    <w:p>
      <w:pPr>
        <w:pStyle w:val="1349"/>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21、开标</w:t>
      </w:r>
      <w:r/>
    </w:p>
    <w:p>
      <w:pPr>
        <w:pStyle w:val="1349"/>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21.1采购代理机构将在招标公告中规定的时间和地点组织公开开标。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应当按照《操作手册》规定，参加开标活动和在苏采云系统规定的时间内对投标文件进行解密。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21.2开标仪式由采购代理机构组织。苏采云系统将自动对项目进行开标，并宣布各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名称和投标价格。</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在开标过程中涉及到的投标文件解密、开标结果确认等工作，应按照《操作手册》规定执行。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如果对开标过程和开标记录有疑义，应当根据《操作手册》规定提出，如苏采云系统中《开标记录表》宣布后5分钟内未提出的，视同认可开标结果。</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22、评标委员会</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22.1开标后，采购代理机构将立即组织评标委员会（以下简称评委会）进行评标。</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23、评标过程的保密与公正</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23.1凡是与审查、澄清、评价和比较投标的有关资料以及授标建议等，采购人、评委、采购代理机构均不得向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或与评标无关的其他人员透露。</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不得以任何行为影响评标过程，否则其投标文件将被作为无效投标文件。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23.3采购代理机构和评标委员会不向未中标的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解释未中标原因，也不公布评标过程中的相关细节。</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可于中标结果公告期限届满之日起通过苏采云系统查看自己的评审得分及排序情况。</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24、投标文件的澄清</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作出必要的澄清、说明或者补正。</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的澄清、说明或者补正不得超出投标文件的范围或者改变投标文件的实质性内容。</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都</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澄清要求。</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应当按照要求在苏采云系统中提交“澄清响应函”并加盖CA电子公章。澄清、说明和补正的内容作为投标文件的补充部分，具体操作方式见《操作手册》。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如未按规定做出澄清、说明和补正，其风险由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自行承担。</w:t>
      </w:r>
      <w:r/>
    </w:p>
    <w:p>
      <w:pPr>
        <w:pStyle w:val="1349"/>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rPr>
        <w:t xml:space="preserve">对投标文件的初审</w:t>
      </w:r>
      <w:r/>
    </w:p>
    <w:p>
      <w:pPr>
        <w:pStyle w:val="1349"/>
        <w:numPr>
          <w:ilvl w:val="0"/>
          <w:numId w:val="0"/>
        </w:numPr>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的信用记录，以确定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是否具备投标资格,查询结果留存并归档。</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，采购代理机构将在苏采云系统中告知未通过资格审查或符合性审查的原因，评标结束后，采购代理机构将不再告知未通过资格审查和符合性审查的原因。</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的义务，纠正这些偏离或保留将会对其他实质性响应要求的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不得通过修改或撤销不合要求的偏离或保留而使其投标成为实质性响应的投标。</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，调整后的价格应对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具有约束力。如果</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不接受修正后的价格，则其投标将被拒绝。</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在开、评标全过程中应保持通讯畅通，及时登录苏采云系统查阅、答复相关信息，并安排专人与采购代理机构及评标委员会联系。</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26、无效投标条款和废标条款</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26.1无效投标条款</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在苏采云系统规定的时间内未成功解密电子投标文件的。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未按照招标文件要求上传电子投标文件的。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26.1.3同一</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提交两个（含两个）以上不同的投标报价的。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26.1.4</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不具备招标文件中规定资格要求的。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26.1.5</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的报价超过了采购预算或最高限价的。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26.1.6未通过符合性审查的。</w:t>
      </w:r>
      <w:r/>
    </w:p>
    <w:p>
      <w:pPr>
        <w:pStyle w:val="1349"/>
        <w:ind w:firstLine="420"/>
        <w:jc w:val="both"/>
        <w:pageBreakBefore w:val="0"/>
        <w:spacing w:beforeAutospacing="0" w:afterAutospacing="0" w:line="400" w:lineRule="atLeast"/>
        <w:widowControl w:val="off"/>
        <w:rPr>
          <w:rFonts w:hint="eastAsia" w:ascii="宋体" w:hAnsi="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cs="宋体"/>
          <w:color w:val="auto"/>
          <w:sz w:val="21"/>
          <w:szCs w:val="21"/>
          <w:highlight w:val="none"/>
          <w:lang w:eastAsia="zh-CN"/>
        </w:rPr>
        <w:t xml:space="preserve">。</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26.1.8</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存在其他不符合《中华人民共和国政府采购法》第二十二条规定条件的信用记录。</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26.1.9投标文件含有采购人不能接受的附加条件的。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26.1.10</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不能证明其报价合理性的，评标委员会应当将其作为无效投标处理。</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（一）评审过程中出现下列情形之一的，评标委员会应当启动异常低价投标审查程序：</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3.投标（响应）报价低于采购项目最高限价45%的，即投标（响应）报价&lt;采购项目最高限价×45%；</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lang w:val="en-US" w:eastAsia="zh-CN"/>
        </w:rPr>
        <w:t xml:space="preserve">提醒：</w:t>
      </w:r>
      <w:r>
        <w:rPr>
          <w:rFonts w:hint="eastAsia" w:ascii="宋体" w:hAnsi="宋体" w:eastAsia="宋体" w:cs="宋体"/>
          <w:b/>
          <w:bCs/>
          <w:color w:val="auto"/>
          <w:sz w:val="21"/>
          <w:szCs w:val="21"/>
          <w:highlight w:val="none"/>
          <w:u w:val="single"/>
        </w:rPr>
        <w:t xml:space="preserve">采购人可以结合具体项目实际情况，提高上述第1项至第3项中启动异常低价投标（响应）审查的数值标准，但是最高不得超过65%。</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相关法律法规对供应商报价有规定的，从其规定。</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49"/>
        <w:ind w:firstLine="422"/>
        <w:jc w:val="both"/>
        <w:pageBreakBefore w:val="0"/>
        <w:spacing w:beforeAutospacing="0" w:afterAutospacing="0" w:line="400" w:lineRule="atLeas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及本招标文件规定的属无效投标的情形。</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26.2废标条款</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w:t>
      </w:r>
      <w:r>
        <w:rPr>
          <w:rFonts w:hint="eastAsia" w:ascii="宋体" w:hAnsi="宋体" w:eastAsia="宋体" w:cs="宋体"/>
          <w:color w:val="auto"/>
          <w:sz w:val="21"/>
          <w:szCs w:val="21"/>
          <w:highlight w:val="none"/>
          <w:lang w:eastAsia="zh-CN"/>
        </w:rPr>
        <w:t xml:space="preserve">系统故障</w:t>
      </w:r>
      <w:r>
        <w:rPr>
          <w:rFonts w:hint="eastAsia" w:ascii="宋体" w:hAnsi="宋体" w:eastAsia="宋体" w:cs="宋体"/>
          <w:color w:val="auto"/>
          <w:sz w:val="21"/>
          <w:szCs w:val="21"/>
          <w:highlight w:val="none"/>
        </w:rPr>
        <w:t xml:space="preserve">原因造成开标不成功的。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1349"/>
        <w:ind w:firstLine="422"/>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t xml:space="preserve">六、定标</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27、确定中标单位</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27.3采购代理机构将在“中国政府采购网”、“江苏政府采购网”、“盐城市政府采购网”发布中标公告，公告期限为1个工作日。</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 有下列情形之一的，视为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串通投标，投标无效：</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的投标文件由同一单位或者个人编制。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委托同一单位或者个人办理投标事宜。</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的投标文件载明的项目管理成员或者联系人员为同一人。</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的投标文件异常一致或者投标报价呈规律性差异。</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28、质疑处理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20"/>
        <w:jc w:val="left"/>
        <w:pageBreakBefore w:val="0"/>
        <w:spacing w:line="400" w:lineRule="atLeast"/>
        <w:widowControl w:val="off"/>
        <w:tabs>
          <w:tab w:val="left" w:pos="13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采购代理机构及采购人只接收以纸质原件形式送达的质疑,采购人和采购代理机构不接受未填写快递运单的快件。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29、中标通知书</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349"/>
        <w:ind w:firstLine="422"/>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t xml:space="preserve">七、授予合同</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签订合同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31、服务（包含与服务相关的货物）的追加</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政府采购政策功能落实</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32.1政府采购线上合同信用融资政策</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32.2进口产品</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32.3中小企业、监狱企业及残疾人福利性单位</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32.3.1中小企业定义：</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32.3.7本项目是否专门面向中小企业预留采购份额见第一章《招标公告》。</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32.3.8采购标的对应的中小企业划分标准所属行业见第四章《采购需求》。</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32.3.9小微企业价格评审优惠的政策：见第五章《评标方法和评标标准》。</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32.4政府采购节能产品、环境标志产品</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32.4.1严格执行政府采购关于支持</w:t>
      </w:r>
      <w:r>
        <w:rPr>
          <w:rFonts w:hint="eastAsia"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32.5绿色包装</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32.6政府采购创新产品</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32.7绿色数据中心政策 </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32.8实施本国产品标准及相关政策</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1.本项目对采购本国产品给予政策支持，具体内容见招标文件“第五章 评标方法与评标标准”。</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1"/>
          <w:szCs w:val="21"/>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pageBreakBefore w:val="0"/>
        <w:spacing w:line="400" w:lineRule="atLeast"/>
        <w:widowControl w:val="off"/>
        <w:tabs>
          <w:tab w:val="left" w:pos="1381"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履约保证金政策</w:t>
      </w:r>
      <w:r/>
    </w:p>
    <w:p>
      <w:pPr>
        <w:pStyle w:val="1330"/>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pStyle w:val="1330"/>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330"/>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如以履约保函（保险）形式缴纳履约保证金，供应商可通过政府采购电子履约保函（保险）平台（www.jsdzbh.com）在线申请履约保函（保险）。</w:t>
      </w:r>
      <w:r/>
    </w:p>
    <w:p>
      <w:pPr>
        <w:pStyle w:val="1330"/>
        <w:ind w:firstLine="420"/>
        <w:jc w:val="both"/>
        <w:pageBreakBefore w:val="0"/>
        <w:spacing w:beforeAutospacing="0" w:afterAutospacing="0" w:line="400" w:lineRule="atLeas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bookmarkStart w:id="108" w:name="OLE_LINK50"/>
      <w:r/>
      <w:bookmarkStart w:id="109" w:name="OLE_LINK51"/>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降低或免收履约保证金</w:t>
      </w:r>
      <w:bookmarkStart w:id="110" w:name="OLE_LINK60"/>
      <w:r/>
      <w:bookmarkStart w:id="111" w:name="OLE_LINK61"/>
      <w:r>
        <w:rPr>
          <w:rFonts w:hint="eastAsia" w:ascii="宋体" w:hAnsi="宋体" w:eastAsia="宋体" w:cs="宋体"/>
          <w:b/>
          <w:bCs/>
          <w:color w:val="auto"/>
          <w:sz w:val="21"/>
          <w:szCs w:val="21"/>
          <w:highlight w:val="none"/>
          <w:lang w:val="en-US" w:eastAsia="zh-CN"/>
        </w:rPr>
        <w:t xml:space="preserve">（AA级降低</w:t>
      </w:r>
      <w:bookmarkStart w:id="112" w:name="OLE_LINK48"/>
      <w:r/>
      <w:bookmarkStart w:id="113" w:name="OLE_LINK52"/>
      <w:r/>
      <w:bookmarkStart w:id="114" w:name="OLE_LINK49"/>
      <w:r>
        <w:rPr>
          <w:rFonts w:hint="eastAsia" w:ascii="宋体" w:hAnsi="宋体" w:eastAsia="宋体" w:cs="宋体"/>
          <w:b/>
          <w:bCs/>
          <w:color w:val="auto"/>
          <w:sz w:val="21"/>
          <w:szCs w:val="21"/>
          <w:highlight w:val="none"/>
          <w:lang w:val="en-US" w:eastAsia="zh-CN"/>
        </w:rPr>
        <w:t xml:space="preserve">履约保证金</w:t>
      </w:r>
      <w:bookmarkEnd w:id="112"/>
      <w:r/>
      <w:bookmarkEnd w:id="113"/>
      <w:r/>
      <w:bookmarkEnd w:id="114"/>
      <w:r>
        <w:rPr>
          <w:rFonts w:hint="eastAsia" w:ascii="宋体" w:hAnsi="宋体" w:eastAsia="宋体" w:cs="宋体"/>
          <w:b/>
          <w:bCs/>
          <w:color w:val="auto"/>
          <w:sz w:val="21"/>
          <w:szCs w:val="21"/>
          <w:highlight w:val="none"/>
          <w:lang w:val="en-US" w:eastAsia="zh-CN"/>
        </w:rPr>
        <w:t xml:space="preserve">缴纳比例为5%，</w:t>
      </w:r>
      <w:bookmarkStart w:id="115" w:name="OLE_LINK45"/>
      <w:r/>
      <w:bookmarkStart w:id="116" w:name="OLE_LINK21"/>
      <w:r>
        <w:rPr>
          <w:rFonts w:hint="eastAsia" w:ascii="宋体" w:hAnsi="宋体" w:eastAsia="宋体" w:cs="宋体"/>
          <w:b/>
          <w:bCs/>
          <w:color w:val="auto"/>
          <w:sz w:val="21"/>
          <w:szCs w:val="21"/>
          <w:highlight w:val="none"/>
          <w:lang w:val="en-US" w:eastAsia="zh-CN"/>
        </w:rPr>
        <w:t xml:space="preserve">A</w:t>
      </w:r>
      <w:bookmarkEnd w:id="115"/>
      <w:r/>
      <w:bookmarkEnd w:id="116"/>
      <w:r>
        <w:rPr>
          <w:rFonts w:hint="eastAsia" w:ascii="宋体" w:hAnsi="宋体" w:eastAsia="宋体" w:cs="宋体"/>
          <w:b/>
          <w:bCs/>
          <w:color w:val="auto"/>
          <w:sz w:val="21"/>
          <w:szCs w:val="21"/>
          <w:highlight w:val="none"/>
          <w:lang w:val="en-US" w:eastAsia="zh-CN"/>
        </w:rPr>
        <w:t xml:space="preserve">AA级免缴履约保证金）</w:t>
      </w:r>
      <w:bookmarkEnd w:id="108"/>
      <w:r/>
      <w:bookmarkEnd w:id="109"/>
      <w:r/>
      <w:bookmarkEnd w:id="110"/>
      <w:r/>
      <w:bookmarkEnd w:id="111"/>
      <w:r>
        <w:rPr>
          <w:rFonts w:hint="eastAsia" w:ascii="宋体" w:hAnsi="宋体" w:eastAsia="宋体" w:cs="宋体"/>
          <w:b/>
          <w:bCs/>
          <w:color w:val="auto"/>
          <w:sz w:val="21"/>
          <w:szCs w:val="21"/>
          <w:highlight w:val="none"/>
          <w:lang w:val="en-US" w:eastAsia="zh-CN"/>
        </w:rPr>
        <w:t xml:space="preserve">。</w:t>
      </w:r>
      <w:r/>
    </w:p>
    <w:p>
      <w:pPr>
        <w:pStyle w:val="1349"/>
        <w:ind w:firstLine="420"/>
        <w:jc w:val="both"/>
        <w:keepLines/>
        <w:keepNext/>
        <w:pageBreakBefore w:val="0"/>
        <w:spacing w:beforeAutospacing="0" w:afterAutospacing="0" w:line="400" w:lineRule="atLeast"/>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预付款制度</w:t>
      </w:r>
      <w:r/>
    </w:p>
    <w:p>
      <w:pPr>
        <w:pStyle w:val="1349"/>
        <w:ind w:firstLine="420"/>
        <w:jc w:val="both"/>
        <w:pageBreakBefore w:val="0"/>
        <w:spacing w:beforeAutospacing="0" w:afterAutospacing="0" w:line="400" w:lineRule="atLeas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r/>
    </w:p>
    <w:p>
      <w:pPr>
        <w:pStyle w:val="134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br w:type="page" w:clear="all"/>
      </w:r>
      <w:r/>
    </w:p>
    <w:p>
      <w:pPr>
        <w:jc w:val="left"/>
        <w:spacing w:line="240" w:lineRule="auto"/>
        <w:widowControl/>
        <w:rPr>
          <w:rFonts w:hint="eastAsia" w:ascii="宋体" w:hAnsi="宋体" w:cs="宋体"/>
          <w:b/>
          <w:color w:val="auto"/>
          <w:sz w:val="48"/>
          <w:szCs w:val="44"/>
          <w:highlight w:val="none"/>
        </w:rPr>
      </w:pPr>
      <w:r/>
      <w:bookmarkStart w:id="117" w:name="_Toc479757211"/>
      <w:r/>
      <w:bookmarkStart w:id="118" w:name="_Toc20823346"/>
      <w:r/>
      <w:bookmarkStart w:id="119" w:name="_Toc16938590"/>
      <w:r/>
      <w:bookmarkStart w:id="120" w:name="_Hlt16619350"/>
      <w:r/>
      <w:bookmarkStart w:id="121" w:name="_Toc120614244"/>
      <w:r/>
      <w:bookmarkStart w:id="122" w:name="_Toc462564139"/>
      <w:r/>
      <w:bookmarkStart w:id="123" w:name="_Hlt26954739"/>
      <w:r/>
      <w:bookmarkStart w:id="124" w:name="_Hlt16619369"/>
      <w:r/>
      <w:bookmarkStart w:id="125" w:name="_Hlt26954852"/>
      <w:r/>
      <w:bookmarkStart w:id="126" w:name="_Toc513029226"/>
      <w:r/>
      <w:r/>
    </w:p>
    <w:p>
      <w:p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第三章  合同条款</w:t>
      </w:r>
      <w:r/>
    </w:p>
    <w:p>
      <w:pPr>
        <w:jc w:val="center"/>
        <w:rPr>
          <w:rFonts w:hint="eastAsia" w:ascii="宋体" w:hAnsi="宋体" w:cs="宋体"/>
          <w:color w:val="auto"/>
          <w:sz w:val="44"/>
          <w:szCs w:val="44"/>
          <w:highlight w:val="none"/>
        </w:rPr>
      </w:pPr>
      <w:r/>
      <w:bookmarkStart w:id="127" w:name="EB6d2006462e294de090c16e672cecc3bd"/>
      <w:r/>
      <w:bookmarkEnd w:id="127"/>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ind w:left="420"/>
        <w:spacing w:line="800" w:lineRule="exact"/>
        <w:rPr>
          <w:rFonts w:hint="eastAsia" w:ascii="宋体" w:hAnsi="宋体" w:cs="宋体"/>
          <w:color w:val="auto"/>
          <w:sz w:val="30"/>
          <w:highlight w:val="none"/>
          <w:u w:val="single"/>
        </w:rPr>
      </w:pPr>
      <w:r>
        <w:rPr>
          <w:rFonts w:hint="eastAsia" w:ascii="宋体" w:hAnsi="宋体" w:cs="宋体"/>
          <w:color w:val="auto"/>
          <w:sz w:val="30"/>
          <w:highlight w:val="none"/>
        </w:rPr>
        <w:t xml:space="preserve">项目名称：</w:t>
      </w:r>
      <w:r/>
    </w:p>
    <w:p>
      <w:pPr>
        <w:ind w:left="420"/>
        <w:spacing w:line="800" w:lineRule="exact"/>
        <w:rPr>
          <w:rFonts w:hint="eastAsia"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800" w:lineRule="exact"/>
        <w:rPr>
          <w:rFonts w:hint="eastAsia"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800" w:lineRule="exact"/>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800" w:lineRule="exact"/>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560"/>
        <w:rPr>
          <w:rFonts w:eastAsia="黑体"/>
          <w:color w:val="auto"/>
          <w:sz w:val="32"/>
          <w:szCs w:val="32"/>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eastAsia="黑体"/>
          <w:color w:val="auto"/>
          <w:sz w:val="32"/>
          <w:szCs w:val="32"/>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jc w:val="both"/>
        <w:keepLines/>
        <w:keepNext/>
        <w:spacing w:line="400" w:lineRule="exact"/>
        <w:rPr>
          <w:rFonts w:hint="eastAsia" w:ascii="黑体" w:hAnsi="黑体" w:eastAsia="黑体"/>
          <w:b/>
          <w:bCs/>
          <w:color w:val="auto"/>
          <w:sz w:val="28"/>
          <w:szCs w:val="28"/>
          <w:highlight w:val="none"/>
        </w:rPr>
        <w:outlineLvl w:val="1"/>
      </w:pPr>
      <w:r/>
      <w:bookmarkStart w:id="128" w:name="_Toc22209"/>
      <w:r/>
      <w:r/>
    </w:p>
    <w:p>
      <w:pPr>
        <w:jc w:val="center"/>
        <w:keepLines/>
        <w:keepNext/>
        <w:spacing w:line="400" w:lineRule="exact"/>
        <w:rPr>
          <w:rFonts w:hint="eastAsia"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28"/>
      <w:r/>
      <w:r/>
    </w:p>
    <w:p>
      <w:pPr>
        <w:jc w:val="center"/>
        <w:keepLines/>
        <w:keepNext/>
        <w:spacing w:line="360" w:lineRule="auto"/>
        <w:rPr>
          <w:rFonts w:hint="eastAsia" w:ascii="黑体" w:hAnsi="华文中宋" w:eastAsia="黑体"/>
          <w:color w:val="auto"/>
          <w:sz w:val="21"/>
          <w:szCs w:val="21"/>
          <w:highlight w:val="none"/>
        </w:rPr>
        <w:outlineLvl w:val="1"/>
      </w:pPr>
      <w:r>
        <w:rPr>
          <w:rFonts w:hint="eastAsia" w:ascii="黑体" w:hAnsi="华文中宋" w:eastAsia="黑体"/>
          <w:color w:val="auto"/>
          <w:sz w:val="21"/>
          <w:szCs w:val="21"/>
          <w:highlight w:val="none"/>
        </w:rPr>
      </w:r>
      <w:r/>
    </w:p>
    <w:p>
      <w:pPr>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lang w:val="en-US" w:eastAsia="zh-CN"/>
        </w:rPr>
        <w:t xml:space="preserve">                       </w:t>
      </w:r>
      <w:r/>
    </w:p>
    <w:p>
      <w:pPr>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乙方（全称）： </w:t>
      </w:r>
      <w:r>
        <w:rPr>
          <w:rFonts w:hint="eastAsia" w:ascii="宋体" w:hAnsi="宋体"/>
          <w:color w:val="auto"/>
          <w:sz w:val="21"/>
          <w:szCs w:val="21"/>
          <w:highlight w:val="none"/>
          <w:u w:val="single"/>
        </w:rPr>
        <w:t xml:space="preserve">                    </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numPr>
          <w:ilvl w:val="0"/>
          <w:numId w:val="2"/>
        </w:numPr>
        <w:ind w:firstLine="4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采购项目名称：</w:t>
      </w:r>
      <w:r/>
    </w:p>
    <w:p>
      <w:pPr>
        <w:spacing w:line="360" w:lineRule="auto"/>
        <w:tabs>
          <w:tab w:val="left" w:pos="999" w:leader="none"/>
        </w:tabs>
        <w:rPr>
          <w:rFonts w:hint="eastAsia" w:ascii="宋体" w:hAnsi="宋体"/>
          <w:color w:val="auto"/>
          <w:sz w:val="21"/>
          <w:szCs w:val="21"/>
          <w:highlight w:val="none"/>
          <w:u w:val="single"/>
        </w:rPr>
      </w:pPr>
      <w:r>
        <w:rPr>
          <w:rFonts w:hint="eastAsia" w:ascii="宋体" w:hAnsi="宋体"/>
          <w:color w:val="auto"/>
          <w:sz w:val="21"/>
          <w:szCs w:val="21"/>
          <w:highlight w:val="none"/>
        </w:rPr>
        <w:t xml:space="preserve">         采购项目编号：</w:t>
      </w:r>
      <w:r>
        <w:rPr>
          <w:rFonts w:hint="eastAsia" w:ascii="宋体" w:hAnsi="宋体"/>
          <w:color w:val="auto"/>
          <w:sz w:val="21"/>
          <w:szCs w:val="21"/>
          <w:highlight w:val="none"/>
          <w:u w:val="single"/>
        </w:rPr>
        <w:t xml:space="preserve">                              </w:t>
      </w:r>
      <w:r/>
    </w:p>
    <w:p>
      <w:pPr>
        <w:ind w:firstLine="480"/>
        <w:spacing w:line="360" w:lineRule="auto"/>
        <w:tabs>
          <w:tab w:val="left" w:pos="999" w:leader="none"/>
        </w:tabs>
        <w:rPr>
          <w:rFonts w:hint="eastAsia" w:ascii="宋体" w:hAnsi="宋体"/>
          <w:color w:val="auto"/>
          <w:sz w:val="21"/>
          <w:szCs w:val="21"/>
          <w:highlight w:val="none"/>
          <w:u w:val="single"/>
        </w:rPr>
      </w:pPr>
      <w:r>
        <w:rPr>
          <w:rFonts w:hint="eastAsia" w:ascii="宋体" w:hAnsi="宋体"/>
          <w:color w:val="auto"/>
          <w:sz w:val="21"/>
          <w:szCs w:val="21"/>
          <w:highlight w:val="none"/>
        </w:rPr>
        <w:t xml:space="preserve">（2）采购计划编号：</w:t>
      </w:r>
      <w:r>
        <w:rPr>
          <w:rFonts w:hint="eastAsia" w:ascii="宋体" w:hAnsi="宋体"/>
          <w:color w:val="auto"/>
          <w:sz w:val="21"/>
          <w:szCs w:val="21"/>
          <w:highlight w:val="none"/>
          <w:u w:val="single"/>
        </w:rPr>
        <w:t xml:space="preserve">                              </w:t>
      </w:r>
      <w:r/>
    </w:p>
    <w:p>
      <w:pPr>
        <w:ind w:firstLine="480"/>
        <w:spacing w:line="360" w:lineRule="auto"/>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48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品牌：规格型号：</w:t>
      </w:r>
      <w:r>
        <w:rPr>
          <w:rFonts w:hint="eastAsia" w:ascii="宋体" w:hAnsi="宋体" w:cs="宋体"/>
          <w:color w:val="auto"/>
          <w:sz w:val="21"/>
          <w:szCs w:val="21"/>
          <w:highlight w:val="none"/>
          <w:u w:val="single"/>
        </w:rPr>
        <w:t xml:space="preserve">                                       </w:t>
      </w:r>
      <w:r/>
    </w:p>
    <w:p>
      <w:pPr>
        <w:ind w:firstLine="10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10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①涉及信息类产品，请填写该产品关键部件的品牌、型号：</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p>
    <w:p>
      <w:pPr>
        <w:ind w:firstLine="480"/>
        <w:spacing w:line="360" w:lineRule="auto"/>
        <w:rPr>
          <w:rFonts w:hint="eastAsia" w:ascii="宋体" w:hAnsi="宋体"/>
          <w:color w:val="auto"/>
          <w:sz w:val="21"/>
          <w:szCs w:val="21"/>
          <w:highlight w:val="none"/>
          <w:u w:val="single"/>
        </w:rPr>
      </w:pPr>
      <w:r>
        <w:rPr>
          <w:rFonts w:hint="eastAsia" w:ascii="宋体" w:hAnsi="宋体" w:cs="宋体"/>
          <w:color w:val="auto"/>
          <w:sz w:val="21"/>
          <w:szCs w:val="21"/>
          <w:highlight w:val="none"/>
        </w:rPr>
        <w:t xml:space="preserve">     </w:t>
      </w:r>
      <w:r>
        <w:rPr>
          <w:rFonts w:hint="eastAsia" w:ascii="宋体" w:hAnsi="宋体"/>
          <w:color w:val="auto"/>
          <w:sz w:val="21"/>
          <w:szCs w:val="21"/>
          <w:highlight w:val="none"/>
        </w:rPr>
        <w:t xml:space="preserve">关键部件：</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品牌：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型号：        </w:t>
      </w:r>
      <w:r>
        <w:rPr>
          <w:rFonts w:hint="eastAsia" w:ascii="宋体" w:hAnsi="宋体"/>
          <w:color w:val="auto"/>
          <w:sz w:val="21"/>
          <w:szCs w:val="21"/>
          <w:highlight w:val="none"/>
          <w:u w:val="single"/>
        </w:rPr>
        <w:t xml:space="preserve">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）政府采购组织形式：</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政府集中采购</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部门集中采购  </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分散采购</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）政府采购方式：</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公开招标</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邀请招标</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竞争性谈判</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竞争性磋商</w:t>
      </w:r>
      <w:r/>
    </w:p>
    <w:p>
      <w:pPr>
        <w:ind w:firstLine="420"/>
        <w:spacing w:line="360" w:lineRule="auto"/>
        <w:rPr>
          <w:rFonts w:hint="eastAsia" w:ascii="宋体" w:hAnsi="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询价</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单一来源</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框架协议</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其他：</w:t>
      </w:r>
      <w:r/>
    </w:p>
    <w:p>
      <w:pPr>
        <w:ind w:firstLine="240"/>
        <w:spacing w:line="360" w:lineRule="auto"/>
        <w:rPr>
          <w:rFonts w:hint="eastAsia" w:ascii="宋体" w:hAnsi="宋体"/>
          <w:color w:val="auto"/>
          <w:sz w:val="21"/>
          <w:szCs w:val="21"/>
          <w:highlight w:val="none"/>
        </w:rPr>
      </w:pPr>
      <w:r>
        <w:rPr>
          <w:rFonts w:hint="eastAsia" w:ascii="宋体" w:hAnsi="宋体" w:eastAsia="华文楷体" w:cs="华文楷体"/>
          <w:color w:val="auto"/>
          <w:sz w:val="21"/>
          <w:szCs w:val="21"/>
          <w:highlight w:val="none"/>
        </w:rPr>
        <w:t xml:space="preserve"> （</w:t>
      </w:r>
      <w:r>
        <w:rPr>
          <w:rFonts w:ascii="宋体" w:hAnsi="宋体" w:eastAsia="华文楷体" w:cs="华文楷体"/>
          <w:color w:val="auto"/>
          <w:sz w:val="21"/>
          <w:szCs w:val="21"/>
          <w:highlight w:val="none"/>
        </w:rPr>
        <w:t xml:space="preserve">6</w:t>
      </w:r>
      <w:r>
        <w:rPr>
          <w:rFonts w:hint="eastAsia" w:ascii="宋体" w:hAnsi="宋体" w:eastAsia="华文楷体" w:cs="华文楷体"/>
          <w:color w:val="auto"/>
          <w:sz w:val="21"/>
          <w:szCs w:val="21"/>
          <w:highlight w:val="none"/>
        </w:rPr>
        <w:t xml:space="preserve">）</w:t>
      </w:r>
      <w:r>
        <w:rPr>
          <w:rFonts w:hint="eastAsia" w:ascii="宋体" w:hAnsi="宋体"/>
          <w:color w:val="auto"/>
          <w:sz w:val="21"/>
          <w:szCs w:val="21"/>
          <w:highlight w:val="none"/>
        </w:rPr>
        <w:t xml:space="preserve">中标（成交）采购标的制造商是否为中小企业：</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360" w:lineRule="auto"/>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360" w:lineRule="auto"/>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360" w:lineRule="auto"/>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360" w:lineRule="auto"/>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96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分包主要内容：</w:t>
      </w:r>
      <w:r/>
    </w:p>
    <w:p>
      <w:pPr>
        <w:ind w:firstLine="96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分包供应商/制造商名称（如供应商和制造商不同，请分别填写）：</w:t>
      </w:r>
      <w:r/>
    </w:p>
    <w:p>
      <w:pPr>
        <w:ind w:firstLine="96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分包供应商/制造商类型（如果供应商和制造商不同，只填写制造商类型）：</w:t>
      </w:r>
      <w:r/>
    </w:p>
    <w:p>
      <w:pPr>
        <w:ind w:firstLine="960"/>
        <w:spacing w:line="360" w:lineRule="auto"/>
        <w:rPr>
          <w:rFonts w:hint="eastAsia" w:ascii="宋体" w:hAnsi="宋体"/>
          <w:iCs/>
          <w:color w:val="auto"/>
          <w:sz w:val="21"/>
          <w:szCs w:val="21"/>
          <w:highlight w:val="none"/>
        </w:rPr>
      </w:pP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w:t>
      </w:r>
      <w:r/>
    </w:p>
    <w:p>
      <w:pPr>
        <w:ind w:firstLine="960"/>
        <w:spacing w:line="360" w:lineRule="auto"/>
        <w:rPr>
          <w:rFonts w:eastAsia="华文楷体"/>
          <w:color w:val="auto"/>
          <w:sz w:val="21"/>
          <w:szCs w:val="21"/>
          <w:highlight w:val="none"/>
        </w:rPr>
      </w:pP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ind w:firstLine="480"/>
        <w:spacing w:line="360" w:lineRule="auto"/>
        <w:rPr>
          <w:rFonts w:hint="eastAsia" w:ascii="宋体" w:hAnsi="宋体" w:cs="宋体"/>
          <w:iCs/>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ind w:firstLine="480"/>
        <w:spacing w:line="360" w:lineRule="auto"/>
        <w:tabs>
          <w:tab w:val="left" w:pos="134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cs="宋体"/>
          <w:color w:val="auto"/>
          <w:sz w:val="21"/>
          <w:szCs w:val="21"/>
          <w:highlight w:val="none"/>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部分由外国投资者投资</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960"/>
        <w:spacing w:line="360" w:lineRule="auto"/>
        <w:rPr>
          <w:rFonts w:hint="eastAsia" w:ascii="宋体" w:hAnsi="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是，《政府采购品目分类目录》底级品目名称：金额：</w:t>
      </w:r>
      <w:r/>
    </w:p>
    <w:p>
      <w:pPr>
        <w:ind w:firstLine="96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国别：品牌： 规格型号：</w:t>
      </w:r>
      <w:r/>
    </w:p>
    <w:p>
      <w:pPr>
        <w:ind w:firstLine="960"/>
        <w:spacing w:line="360" w:lineRule="auto"/>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360" w:lineRule="auto"/>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ind w:firstLine="960"/>
        <w:spacing w:line="360" w:lineRule="auto"/>
        <w:tabs>
          <w:tab w:val="left" w:pos="740" w:leader="none"/>
        </w:tabs>
        <w:rPr>
          <w:rFonts w:hint="eastAsia" w:ascii="宋体" w:hAnsi="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p>
    <w:p>
      <w:pPr>
        <w:ind w:firstLine="96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优先采购</w:t>
      </w:r>
      <w:r/>
    </w:p>
    <w:p>
      <w:pPr>
        <w:ind w:firstLine="96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ind w:firstLine="960"/>
        <w:spacing w:line="360" w:lineRule="auto"/>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是否涉及环境标志产品：</w:t>
      </w:r>
      <w:r/>
    </w:p>
    <w:p>
      <w:pPr>
        <w:ind w:firstLine="96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p>
    <w:p>
      <w:pPr>
        <w:ind w:firstLine="84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优先采购</w:t>
      </w:r>
      <w:r/>
    </w:p>
    <w:p>
      <w:pPr>
        <w:ind w:firstLine="96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ind w:firstLine="84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是否涉及绿色产品：</w:t>
      </w:r>
      <w:r/>
    </w:p>
    <w:p>
      <w:pPr>
        <w:ind w:firstLine="900"/>
        <w:spacing w:line="360" w:lineRule="auto"/>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是，绿色产品政府采购相关政策确定的底级品目名称：</w:t>
      </w:r>
      <w:r/>
    </w:p>
    <w:p>
      <w:pPr>
        <w:ind w:firstLine="840"/>
        <w:spacing w:line="360" w:lineRule="auto"/>
        <w:tabs>
          <w:tab w:val="left" w:pos="740" w:leader="none"/>
        </w:tabs>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优先采购</w:t>
      </w:r>
      <w:r/>
    </w:p>
    <w:p>
      <w:pPr>
        <w:ind w:firstLine="900"/>
        <w:spacing w:line="360" w:lineRule="auto"/>
        <w:rPr>
          <w:rFonts w:hint="eastAsia" w:ascii="宋体" w:hAnsi="宋体" w:eastAsia="华文楷体" w:cs="华文楷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960"/>
        <w:spacing w:line="360" w:lineRule="auto"/>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
        </w:numPr>
        <w:ind w:firstLine="48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numPr>
          <w:ilvl w:val="0"/>
          <w:numId w:val="3"/>
        </w:numPr>
        <w:ind w:firstLine="4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合同金额小写：</w:t>
      </w:r>
      <w:r>
        <w:rPr>
          <w:rFonts w:hint="eastAsia" w:ascii="宋体" w:hAnsi="宋体"/>
          <w:color w:val="auto"/>
          <w:sz w:val="21"/>
          <w:szCs w:val="21"/>
          <w:highlight w:val="none"/>
          <w:u w:val="single"/>
        </w:rPr>
        <w:t xml:space="preserve">                        </w:t>
      </w:r>
      <w:r/>
    </w:p>
    <w:p>
      <w:pPr>
        <w:ind w:firstLine="4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大写：</w:t>
      </w:r>
      <w:r>
        <w:rPr>
          <w:rFonts w:hint="eastAsia" w:ascii="宋体" w:hAnsi="宋体"/>
          <w:color w:val="auto"/>
          <w:sz w:val="21"/>
          <w:szCs w:val="21"/>
          <w:highlight w:val="none"/>
          <w:u w:val="single"/>
        </w:rPr>
        <w:t xml:space="preserve">                          </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分包金额（如有）小写：                           </w:t>
      </w:r>
      <w:r/>
    </w:p>
    <w:p>
      <w:pPr>
        <w:ind w:firstLine="48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大写：</w:t>
      </w:r>
      <w:r>
        <w:rPr>
          <w:rFonts w:hint="eastAsia" w:ascii="宋体" w:hAnsi="宋体"/>
          <w:color w:val="auto"/>
          <w:sz w:val="21"/>
          <w:szCs w:val="21"/>
          <w:highlight w:val="none"/>
          <w:u w:val="single"/>
        </w:rPr>
        <w:t xml:space="preserve">                           </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（2）付款方式（按项目实际勾选填写，具体详见专用条款第二节第12.2款）：</w:t>
      </w:r>
      <w:r/>
    </w:p>
    <w:p>
      <w:pPr>
        <w:ind w:firstLine="7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                    </w:t>
      </w:r>
      <w:r/>
    </w:p>
    <w:p>
      <w:pPr>
        <w:ind w:firstLine="720"/>
        <w:spacing w:line="400" w:lineRule="exact"/>
        <w:rPr>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olor w:val="auto"/>
          <w:sz w:val="21"/>
          <w:szCs w:val="21"/>
          <w:highlight w:val="none"/>
          <w:u w:val="single"/>
        </w:rPr>
        <w:t xml:space="preserve">（具体详见专用条款第二节第12.2款） </w:t>
      </w:r>
      <w:r>
        <w:rPr>
          <w:rFonts w:hint="eastAsia" w:ascii="宋体" w:hAnsi="宋体"/>
          <w:color w:val="auto"/>
          <w:sz w:val="21"/>
          <w:szCs w:val="21"/>
          <w:highlight w:val="none"/>
        </w:rPr>
        <w:t xml:space="preserve">，其中涉及预付款的：</w:t>
      </w:r>
      <w:r>
        <w:rPr>
          <w:rFonts w:hint="eastAsia" w:ascii="宋体" w:hAnsi="宋体"/>
          <w:color w:val="auto"/>
          <w:sz w:val="21"/>
          <w:szCs w:val="21"/>
          <w:highlight w:val="none"/>
          <w:u w:val="single"/>
        </w:rPr>
        <w:t xml:space="preserve"> （具体详见专用条款第二节第12.2款） </w:t>
      </w:r>
      <w:r/>
    </w:p>
    <w:p>
      <w:pPr>
        <w:ind w:firstLine="7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72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   </w:t>
      </w:r>
      <w:r/>
    </w:p>
    <w:p>
      <w:pPr>
        <w:numPr>
          <w:ilvl w:val="0"/>
          <w:numId w:val="1"/>
        </w:numPr>
        <w:ind w:firstLine="482"/>
        <w:spacing w:line="360" w:lineRule="auto"/>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（1）起始日期：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日，完成日期：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8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（2）履约地点</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u w:val="single"/>
        </w:rPr>
        <w:t xml:space="preserve">盐城市境内</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color w:val="auto"/>
          <w:sz w:val="21"/>
          <w:szCs w:val="21"/>
          <w:highlight w:val="none"/>
        </w:rPr>
        <w:t xml:space="preserve">履约担保：是否收取履约保证金：</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否</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收取履约保证金形式：</w:t>
      </w:r>
      <w:r>
        <w:rPr>
          <w:rFonts w:hint="eastAsia" w:hAnsi="宋体" w:cs="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见3.（4）</w:t>
      </w:r>
      <w:r>
        <w:rPr>
          <w:rFonts w:hint="eastAsia" w:ascii="宋体" w:hAnsi="宋体" w:cs="宋体"/>
          <w:bCs/>
          <w:color w:val="auto"/>
          <w:sz w:val="21"/>
          <w:szCs w:val="21"/>
          <w:highlight w:val="none"/>
        </w:rPr>
        <w:t xml:space="preserve"> </w:t>
      </w:r>
      <w:r>
        <w:rPr>
          <w:rFonts w:hint="eastAsia" w:ascii="宋体" w:hAnsi="宋体" w:cs="宋体"/>
          <w:color w:val="auto"/>
          <w:sz w:val="21"/>
          <w:szCs w:val="21"/>
          <w:highlight w:val="non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收取履约保证金金额：</w:t>
      </w:r>
      <w:r>
        <w:rPr>
          <w:rFonts w:hint="eastAsia" w:ascii="宋体" w:hAnsi="宋体" w:cs="宋体"/>
          <w:color w:val="auto"/>
          <w:sz w:val="21"/>
          <w:szCs w:val="21"/>
          <w:highlight w:val="none"/>
          <w:u w:val="single"/>
        </w:rPr>
        <w:t xml:space="preserve">合同价的</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8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履约担保期限：</w:t>
      </w:r>
      <w:r>
        <w:rPr>
          <w:rFonts w:hint="eastAsia" w:ascii="宋体" w:hAnsi="宋体" w:cs="宋体"/>
          <w:color w:val="auto"/>
          <w:sz w:val="21"/>
          <w:szCs w:val="21"/>
          <w:highlight w:val="none"/>
          <w:u w:val="single"/>
        </w:rPr>
        <w:t xml:space="preserve">有效期同质保期</w:t>
      </w:r>
      <w:r>
        <w:rPr>
          <w:rFonts w:hint="eastAsia" w:ascii="宋体" w:hAnsi="宋体" w:cs="宋体"/>
          <w:color w:val="auto"/>
          <w:sz w:val="21"/>
          <w:szCs w:val="21"/>
          <w:highlight w:val="none"/>
        </w:rPr>
        <w:t xml:space="preserve">。</w:t>
      </w:r>
      <w:r/>
    </w:p>
    <w:p>
      <w:pPr>
        <w:numPr>
          <w:ilvl w:val="0"/>
          <w:numId w:val="4"/>
        </w:numPr>
        <w:ind w:firstLine="48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确需收取履约保证金的，履约保证金的缴纳形式：</w:t>
      </w:r>
      <w:r/>
    </w:p>
    <w:p>
      <w:pPr>
        <w:ind w:firstLine="48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 如以履约保函（保险）形式缴纳履约保证金，供应商可通过政府采购电子履约保函（保险）平台（www.jsdzbh.com）在线申请履约保函（保险）。  </w:t>
      </w:r>
      <w:r>
        <w:rPr>
          <w:rFonts w:hint="eastAsia" w:ascii="宋体" w:hAnsi="宋体" w:cs="宋体"/>
          <w:color w:val="auto"/>
          <w:sz w:val="21"/>
          <w:szCs w:val="21"/>
          <w:highlight w:val="none"/>
        </w:rPr>
        <w:t xml:space="preserve">                                 </w:t>
      </w:r>
      <w:r/>
    </w:p>
    <w:p>
      <w:pPr>
        <w:numPr>
          <w:ilvl w:val="0"/>
          <w:numId w:val="4"/>
        </w:numPr>
        <w:ind w:firstLine="48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分期履行要求：/</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p>
    <w:p>
      <w:pPr>
        <w:ind w:left="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（6）风险处置措施和替代方案：</w:t>
      </w:r>
      <w:r>
        <w:rPr>
          <w:rFonts w:hint="eastAsia" w:ascii="宋体" w:hAnsi="宋体" w:cs="宋体"/>
          <w:bCs/>
          <w:color w:val="auto"/>
          <w:sz w:val="21"/>
          <w:szCs w:val="21"/>
          <w:highlight w:val="none"/>
          <w:u w:val="single"/>
        </w:rPr>
        <w:t xml:space="preserve"> /                            </w:t>
      </w:r>
      <w:r>
        <w:rPr>
          <w:rFonts w:hint="eastAsia" w:ascii="宋体" w:hAnsi="宋体" w:cs="宋体"/>
          <w:bCs/>
          <w:color w:val="auto"/>
          <w:sz w:val="21"/>
          <w:szCs w:val="21"/>
          <w:highlight w:val="none"/>
        </w:rPr>
        <w:t xml:space="preserve"> </w:t>
      </w:r>
      <w:r/>
    </w:p>
    <w:p>
      <w:pPr>
        <w:numPr>
          <w:ilvl w:val="0"/>
          <w:numId w:val="1"/>
        </w:numPr>
        <w:ind w:firstLine="48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5"/>
        </w:numPr>
        <w:ind w:firstLine="48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ind w:firstLine="960"/>
        <w:spacing w:line="360" w:lineRule="auto"/>
        <w:rPr>
          <w:rFonts w:hint="eastAsia" w:ascii="宋体" w:hAnsi="宋体" w:cs="宋体"/>
          <w:color w:val="auto"/>
          <w:sz w:val="21"/>
          <w:szCs w:val="21"/>
          <w:highlight w:val="none"/>
        </w:rPr>
      </w:pPr>
      <w:r>
        <w:rPr>
          <w:rFonts w:hint="eastAsia" w:ascii="宋体" w:hAnsi="宋体"/>
          <w:bCs/>
          <w:color w:val="auto"/>
          <w:sz w:val="21"/>
          <w:szCs w:val="21"/>
          <w:highlight w:val="none"/>
        </w:rPr>
        <w:t xml:space="preserve">验收主体：</w:t>
      </w:r>
      <w:r>
        <w:rPr>
          <w:rFonts w:hint="eastAsia" w:ascii="宋体" w:hAnsi="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96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960"/>
        <w:spacing w:line="360" w:lineRule="auto"/>
        <w:rPr>
          <w:rFonts w:hint="eastAsia" w:ascii="宋体" w:hAnsi="宋体"/>
          <w:b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960"/>
        <w:spacing w:line="360" w:lineRule="auto"/>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p>
    <w:p>
      <w:pPr>
        <w:numPr>
          <w:ilvl w:val="0"/>
          <w:numId w:val="5"/>
        </w:numPr>
        <w:ind w:firstLine="480"/>
        <w:spacing w:line="360" w:lineRule="auto"/>
        <w:rPr>
          <w:bCs/>
          <w:color w:val="auto"/>
          <w:sz w:val="21"/>
          <w:szCs w:val="21"/>
          <w:highlight w:val="none"/>
          <w:u w:val="single"/>
        </w:rPr>
      </w:pPr>
      <w:r>
        <w:rPr>
          <w:rFonts w:hint="eastAsia" w:ascii="宋体" w:hAnsi="宋体"/>
          <w:bCs/>
          <w:color w:val="auto"/>
          <w:sz w:val="21"/>
          <w:szCs w:val="21"/>
          <w:highlight w:val="none"/>
        </w:rPr>
        <w:t xml:space="preserve">履约验收时间：</w:t>
      </w:r>
      <w:r>
        <w:rPr>
          <w:rFonts w:hint="eastAsia"/>
          <w:bCs/>
          <w:color w:val="auto"/>
          <w:sz w:val="21"/>
          <w:szCs w:val="21"/>
          <w:highlight w:val="none"/>
          <w:u w:val="single"/>
        </w:rPr>
        <w:t xml:space="preserve">同专用条款</w:t>
      </w:r>
      <w:r>
        <w:rPr>
          <w:bCs/>
          <w:color w:val="auto"/>
          <w:sz w:val="21"/>
          <w:szCs w:val="21"/>
          <w:highlight w:val="none"/>
          <w:u w:val="single"/>
        </w:rPr>
        <w:t xml:space="preserve"> 第二节 第23.1款。</w:t>
      </w:r>
      <w:r/>
    </w:p>
    <w:p>
      <w:pPr>
        <w:ind w:left="48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ind w:firstLine="960"/>
        <w:spacing w:line="360" w:lineRule="auto"/>
        <w:rPr>
          <w:rFonts w:hint="eastAsia" w:ascii="宋体" w:hAnsi="宋体"/>
          <w:b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w:t>
      </w:r>
      <w:r/>
    </w:p>
    <w:p>
      <w:pPr>
        <w:ind w:firstLine="48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color w:val="auto"/>
          <w:sz w:val="21"/>
          <w:szCs w:val="21"/>
          <w:highlight w:val="none"/>
          <w:u w:val="single"/>
        </w:rPr>
        <w:t xml:space="preserve">同专用条款</w:t>
      </w:r>
      <w:r>
        <w:rPr>
          <w:color w:val="auto"/>
          <w:sz w:val="21"/>
          <w:szCs w:val="21"/>
          <w:highlight w:val="none"/>
          <w:u w:val="single"/>
        </w:rPr>
        <w:t xml:space="preserve"> 第二节 第23.1款。</w:t>
      </w:r>
      <w:r/>
    </w:p>
    <w:p>
      <w:pPr>
        <w:ind w:firstLine="480"/>
        <w:spacing w:line="360" w:lineRule="auto"/>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每一项技术和商务要求的履约情况，包含但不限于设备型号、规格、数量、外观是否完好，安装调试功能是否合格，质量、人员要求等。</w:t>
      </w:r>
      <w:r/>
    </w:p>
    <w:p>
      <w:pPr>
        <w:ind w:firstLine="480"/>
        <w:spacing w:line="360" w:lineRule="auto"/>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合格</w:t>
      </w:r>
      <w:r/>
    </w:p>
    <w:p>
      <w:pPr>
        <w:ind w:firstLine="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（7）是否以采购活动中供应商提供的样品作为参考：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s="宋体"/>
          <w:bCs/>
          <w:color w:val="auto"/>
          <w:sz w:val="21"/>
          <w:szCs w:val="21"/>
          <w:highlight w:val="none"/>
        </w:rPr>
        <w:t xml:space="preserve">否</w:t>
      </w:r>
      <w:r/>
    </w:p>
    <w:p>
      <w:pPr>
        <w:ind w:firstLine="480"/>
        <w:spacing w:line="360" w:lineRule="auto"/>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（8）履约验收其他事项：</w:t>
      </w:r>
      <w:r>
        <w:rPr>
          <w:rFonts w:hint="eastAsia" w:ascii="宋体" w:hAnsi="宋体" w:cs="宋体"/>
          <w:bCs/>
          <w:color w:val="auto"/>
          <w:sz w:val="21"/>
          <w:szCs w:val="21"/>
          <w:highlight w:val="none"/>
          <w:u w:val="single"/>
        </w:rPr>
        <w:t xml:space="preserve">/</w:t>
      </w:r>
      <w:r/>
    </w:p>
    <w:p>
      <w:pPr>
        <w:numPr>
          <w:ilvl w:val="0"/>
          <w:numId w:val="1"/>
        </w:numPr>
        <w:ind w:firstLine="48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（8）国家法律、行政法规和规章制度规定或合同约定的作为合同组成部分的其他文件</w:t>
      </w:r>
      <w:r/>
    </w:p>
    <w:p>
      <w:pPr>
        <w:ind w:left="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6.合同生效</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日生效。</w:t>
      </w:r>
      <w:r/>
    </w:p>
    <w:p>
      <w:pPr>
        <w:ind w:left="48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7.合同份数</w:t>
      </w:r>
      <w:r/>
    </w:p>
    <w:p>
      <w:pPr>
        <w:ind w:firstLine="48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本合同一式</w:t>
      </w:r>
      <w:r>
        <w:rPr>
          <w:rFonts w:hint="eastAsia" w:ascii="宋体" w:hAnsi="宋体"/>
          <w:color w:val="auto"/>
          <w:sz w:val="21"/>
          <w:szCs w:val="21"/>
          <w:highlight w:val="none"/>
          <w:u w:val="single"/>
        </w:rPr>
        <w:t xml:space="preserve">  肆  </w:t>
      </w:r>
      <w:r>
        <w:rPr>
          <w:rFonts w:hint="eastAsia" w:ascii="宋体" w:hAnsi="宋体"/>
          <w:color w:val="auto"/>
          <w:sz w:val="21"/>
          <w:szCs w:val="21"/>
          <w:highlight w:val="none"/>
        </w:rPr>
        <w:t xml:space="preserve">份，甲方执</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份，乙方执</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份，均具有同等法律效力。</w:t>
      </w:r>
      <w:r/>
    </w:p>
    <w:p>
      <w:pPr>
        <w:ind w:firstLine="48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8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p>
    <w:p>
      <w:pPr>
        <w:ind w:firstLine="480"/>
        <w:spacing w:line="400" w:lineRule="exact"/>
        <w:rPr>
          <w:color w:val="auto"/>
          <w:sz w:val="21"/>
          <w:szCs w:val="21"/>
          <w:highlight w:val="none"/>
        </w:rPr>
      </w:pPr>
      <w:r>
        <w:rPr>
          <w:rFonts w:hint="eastAsia" w:ascii="宋体" w:hAnsi="宋体"/>
          <w:color w:val="auto"/>
          <w:sz w:val="21"/>
          <w:szCs w:val="21"/>
          <w:highlight w:val="none"/>
        </w:rPr>
        <w:t xml:space="preserve">附件：具体标的及其技术要求和商务要求、联合协议、分包意向协议等。</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spacing w:line="360" w:lineRule="auto"/>
        <w:rPr>
          <w:rFonts w:hint="eastAsia" w:ascii="宋体" w:hAnsi="宋体"/>
          <w:color w:val="auto"/>
          <w:sz w:val="21"/>
          <w:szCs w:val="21"/>
          <w:highlight w:val="none"/>
          <w:u w:val="single"/>
        </w:rPr>
      </w:pPr>
      <w:r>
        <w:rPr>
          <w:rFonts w:hint="eastAsia"/>
          <w:color w:val="auto"/>
          <w:sz w:val="21"/>
          <w:szCs w:val="21"/>
          <w:highlight w:val="none"/>
        </w:rPr>
        <w:br w:type="page" w:clear="all"/>
      </w:r>
      <w:r/>
    </w:p>
    <w:p>
      <w:pPr>
        <w:ind w:firstLine="420"/>
        <w:spacing w:line="360" w:lineRule="auto"/>
        <w:rPr>
          <w:color w:val="auto"/>
          <w:sz w:val="21"/>
          <w:szCs w:val="21"/>
          <w:highlight w:val="none"/>
        </w:rPr>
      </w:pPr>
      <w:r>
        <w:rPr>
          <w:color w:val="auto"/>
          <w:sz w:val="21"/>
          <w:szCs w:val="21"/>
          <w:highlight w:val="none"/>
        </w:rPr>
      </w:r>
      <w:r/>
    </w:p>
    <w:tbl>
      <w:tblPr>
        <w:tblStyle w:val="1135"/>
        <w:tblW w:w="5200"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2788"/>
        <w:gridCol w:w="2088"/>
        <w:gridCol w:w="2164"/>
      </w:tblGrid>
      <w:tr>
        <w:trPr>
          <w:jc w:val="center"/>
          <w:trHeight w:val="490"/>
        </w:trPr>
        <w:tc>
          <w:tcPr>
            <w:gridSpan w:val="2"/>
            <w:tcBorders>
              <w:bottom w:val="single" w:color="000000" w:sz="2" w:space="0"/>
              <w:right w:val="single" w:color="000000" w:sz="2" w:space="0"/>
            </w:tcBorders>
            <w:tcW w:w="512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Borders>
              <w:left w:val="single" w:color="000000" w:sz="2" w:space="0"/>
              <w:bottom w:val="single" w:color="000000" w:sz="2" w:space="0"/>
            </w:tcBorders>
            <w:tcW w:w="441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jc w:val="center"/>
          <w:trHeight w:val="917"/>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单位名称</w:t>
            </w:r>
            <w:r/>
          </w:p>
          <w:p>
            <w:pPr>
              <w:jc w:val="center"/>
              <w:spacing w:line="360" w:lineRule="auto"/>
              <w:rPr>
                <w:color w:val="auto"/>
                <w:sz w:val="21"/>
                <w:szCs w:val="21"/>
                <w:highlight w:val="none"/>
              </w:rPr>
            </w:pPr>
            <w:r>
              <w:rPr>
                <w:rFonts w:hint="eastAsia"/>
                <w:color w:val="auto"/>
                <w:sz w:val="21"/>
                <w:szCs w:val="21"/>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单位名称</w:t>
            </w:r>
            <w:r/>
          </w:p>
          <w:p>
            <w:pPr>
              <w:jc w:val="center"/>
              <w:spacing w:line="360" w:lineRule="auto"/>
              <w:rPr>
                <w:color w:val="auto"/>
                <w:sz w:val="21"/>
                <w:szCs w:val="21"/>
                <w:highlight w:val="none"/>
              </w:rPr>
            </w:pPr>
            <w:r>
              <w:rPr>
                <w:rFonts w:hint="eastAsia"/>
                <w:color w:val="auto"/>
                <w:sz w:val="21"/>
                <w:szCs w:val="21"/>
                <w:highlight w:val="none"/>
              </w:rPr>
              <w:t xml:space="preserve">（公章或合同章）</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cantSplit/>
          <w:jc w:val="center"/>
          <w:trHeight w:val="1171"/>
        </w:trPr>
        <w:tc>
          <w:tcPr>
            <w:tcBorders>
              <w:top w:val="single" w:color="000000" w:sz="2" w:space="0"/>
              <w:right w:val="single" w:color="000000" w:sz="2" w:space="0"/>
            </w:tcBorders>
            <w:tcW w:w="2220"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法定代表人</w:t>
            </w:r>
            <w:r/>
          </w:p>
          <w:p>
            <w:pPr>
              <w:ind w:firstLine="115"/>
              <w:jc w:val="center"/>
              <w:spacing w:line="360" w:lineRule="auto"/>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Borders>
              <w:top w:val="single" w:color="000000" w:sz="2" w:space="0"/>
              <w:left w:val="single" w:color="000000" w:sz="2" w:space="0"/>
              <w:right w:val="single" w:color="000000" w:sz="2" w:space="0"/>
            </w:tcBorders>
            <w:tcW w:w="2909"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法定代表人</w:t>
            </w:r>
            <w:r/>
          </w:p>
          <w:p>
            <w:pPr>
              <w:jc w:val="center"/>
              <w:spacing w:line="360" w:lineRule="auto"/>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cantSplit/>
          <w:jc w:val="center"/>
          <w:trHeight w:val="483"/>
        </w:trPr>
        <w:tc>
          <w:tcPr>
            <w:tcBorders>
              <w:bottom w:val="single" w:color="000000" w:sz="2" w:space="0"/>
              <w:right w:val="single" w:color="000000" w:sz="2" w:space="0"/>
            </w:tcBorders>
            <w:tcW w:w="2220" w:type="dxa"/>
            <w:vAlign w:val="center"/>
            <w:vMerge w:val="continue"/>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left w:val="single" w:color="000000" w:sz="2" w:space="0"/>
              <w:bottom w:val="single" w:color="000000" w:sz="2" w:space="0"/>
              <w:right w:val="single" w:color="000000" w:sz="2" w:space="0"/>
            </w:tcBorders>
            <w:tcW w:w="2909" w:type="dxa"/>
            <w:vAlign w:val="center"/>
            <w:vMerge w:val="continue"/>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拥有者性别</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住所</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联 系 人</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联系电话</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通信地址</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邮政编码</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电子邮箱</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统一社会信用代码</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开户名称</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开户银行</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9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156"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银行账号</w:t>
            </w:r>
            <w:r/>
          </w:p>
        </w:tc>
        <w:tc>
          <w:tcPr>
            <w:tcBorders>
              <w:top w:val="single" w:color="000000" w:sz="2" w:space="0"/>
              <w:left w:val="single" w:color="000000" w:sz="2" w:space="0"/>
              <w:bottom w:val="single" w:color="000000" w:sz="2" w:space="0"/>
            </w:tcBorders>
            <w:tcW w:w="2255" w:type="dxa"/>
            <w:vAlign w:val="center"/>
            <w:textDirection w:val="lrTb"/>
            <w:noWrap w:val="false"/>
          </w:tcPr>
          <w:p>
            <w:pPr>
              <w:jc w:val="center"/>
              <w:spacing w:line="360" w:lineRule="auto"/>
              <w:rPr>
                <w:color w:val="auto"/>
                <w:spacing w:val="20"/>
                <w:sz w:val="21"/>
                <w:szCs w:val="21"/>
                <w:highlight w:val="none"/>
              </w:rPr>
            </w:pPr>
            <w:r>
              <w:rPr>
                <w:color w:val="auto"/>
                <w:spacing w:val="20"/>
                <w:sz w:val="21"/>
                <w:szCs w:val="21"/>
                <w:highlight w:val="none"/>
              </w:rPr>
            </w:r>
            <w:r/>
          </w:p>
        </w:tc>
      </w:tr>
      <w:tr>
        <w:trPr>
          <w:jc w:val="center"/>
          <w:trHeight w:val="586"/>
        </w:trPr>
        <w:tc>
          <w:tcPr>
            <w:gridSpan w:val="4"/>
            <w:tcBorders>
              <w:top w:val="single" w:color="000000" w:sz="2" w:space="0"/>
            </w:tcBorders>
            <w:tcW w:w="9540" w:type="dxa"/>
            <w:vAlign w:val="center"/>
            <w:textDirection w:val="lrTb"/>
            <w:noWrap w:val="false"/>
          </w:tcPr>
          <w:p>
            <w:pPr>
              <w:spacing w:line="360" w:lineRule="auto"/>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1126"/>
        <w:spacing w:before="120"/>
        <w:rPr>
          <w:rFonts w:hint="eastAsia" w:ascii="黑体" w:hAnsi="黑体" w:eastAsia="黑体"/>
          <w:color w:val="auto"/>
          <w:sz w:val="21"/>
          <w:szCs w:val="21"/>
          <w:highlight w:val="none"/>
        </w:rPr>
      </w:pPr>
      <w:r/>
      <w:bookmarkStart w:id="129" w:name="_Toc27624"/>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bookmarkEnd w:id="129"/>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rPr>
          <w:rFonts w:hint="eastAsia" w:ascii="黑体" w:hAnsi="黑体" w:eastAsia="黑体"/>
          <w:color w:val="auto"/>
          <w:sz w:val="21"/>
          <w:szCs w:val="21"/>
          <w:highlight w:val="none"/>
        </w:rPr>
      </w:pPr>
      <w:r>
        <w:rPr>
          <w:rFonts w:hint="eastAsia" w:ascii="黑体" w:hAnsi="黑体" w:eastAsia="黑体"/>
          <w:color w:val="auto"/>
          <w:sz w:val="21"/>
          <w:szCs w:val="21"/>
          <w:highlight w:val="none"/>
        </w:rPr>
      </w:r>
      <w:r/>
    </w:p>
    <w:p>
      <w:pPr>
        <w:pStyle w:val="1126"/>
        <w:jc w:val="center"/>
        <w:spacing w:before="120"/>
        <w:rPr>
          <w:rFonts w:hint="eastAsia" w:ascii="黑体" w:hAnsi="黑体" w:eastAsia="黑体"/>
          <w:color w:val="auto"/>
          <w:sz w:val="21"/>
          <w:szCs w:val="21"/>
          <w:highlight w:val="none"/>
        </w:rPr>
      </w:pPr>
      <w:r>
        <w:rPr>
          <w:rFonts w:ascii="黑体" w:hAnsi="黑体" w:eastAsia="黑体"/>
          <w:color w:val="auto"/>
          <w:sz w:val="21"/>
          <w:szCs w:val="21"/>
          <w:highlight w:val="none"/>
        </w:rPr>
        <w:t xml:space="preserve">第二节 政府采购合同通用条款</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 定义</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1.1合同当事人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（3）其他合同主体是指除采购人和供应商以外，依法参与合同缔结或履行，享有权利、承担义务的合同当事人。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1.2本合同下列术语应解释为：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（2）“合同价款”系指根据本合同规定乙方在全面履行合同义务后甲方应支付给乙方的价款。</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auto"/>
          <w:sz w:val="21"/>
          <w:szCs w:val="21"/>
          <w:highlight w:val="none"/>
          <w:lang w:val="en"/>
        </w:rPr>
        <w:t xml:space="preserve">其他</w:t>
      </w:r>
      <w:r>
        <w:rPr>
          <w:rFonts w:hint="eastAsia" w:ascii="宋体" w:hAnsi="宋体" w:cs="宋体"/>
          <w:color w:val="auto"/>
          <w:sz w:val="21"/>
          <w:szCs w:val="21"/>
          <w:highlight w:val="none"/>
        </w:rPr>
        <w:t xml:space="preserve">技术资料和材料等。</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（4）“相关服务”系指根据合同规定，乙方应提供的与货物有关的技术、管理和</w:t>
      </w:r>
      <w:r>
        <w:rPr>
          <w:rFonts w:hint="eastAsia" w:ascii="宋体" w:hAnsi="宋体" w:cs="宋体"/>
          <w:color w:val="auto"/>
          <w:sz w:val="21"/>
          <w:szCs w:val="21"/>
          <w:highlight w:val="none"/>
          <w:lang w:val="en"/>
        </w:rPr>
        <w:t xml:space="preserve">其他</w:t>
      </w:r>
      <w:r>
        <w:rPr>
          <w:rFonts w:hint="eastAsia" w:ascii="宋体" w:hAnsi="宋体" w:cs="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szCs w:val="21"/>
          <w:highlight w:val="none"/>
          <w:lang w:val="en"/>
        </w:rPr>
        <w:t xml:space="preserve">其他</w:t>
      </w:r>
      <w:r>
        <w:rPr>
          <w:rFonts w:hint="eastAsia" w:ascii="宋体" w:hAnsi="宋体" w:cs="宋体"/>
          <w:color w:val="auto"/>
          <w:sz w:val="21"/>
          <w:szCs w:val="21"/>
          <w:highlight w:val="none"/>
        </w:rPr>
        <w:t xml:space="preserve">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（7）其他术语解释，见</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2.合同标的及金额</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szCs w:val="21"/>
          <w:highlight w:val="none"/>
          <w:lang w:val="en"/>
        </w:rPr>
        <w:t xml:space="preserve">其他</w:t>
      </w:r>
      <w:r>
        <w:rPr>
          <w:rFonts w:hint="eastAsia" w:ascii="宋体" w:hAnsi="宋体" w:cs="宋体"/>
          <w:color w:val="auto"/>
          <w:sz w:val="21"/>
          <w:szCs w:val="21"/>
          <w:highlight w:val="none"/>
        </w:rPr>
        <w:t xml:space="preserve">任何费用。</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履行合同的时间、地点和方式</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乙方应当在约定的时间、地点，按照约定方式履行合同。</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甲方的权利和义务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 甲方有权要求乙方对缺陷部分予以修复，并按合同约定享有货物保修及其他合同约定的权利。</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 甲方应当按照合同约定及时对交付的货物进行验收，未在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约定的期限内对乙方履约提出任何异议或者向乙方作出任何说明的，视为验收通过。</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 甲方应当根据合同约定及时向乙方支付合同价款，不得以内部人员变更、履行内部付款流程等为由，拒绝或迟延支付。</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 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】约定应由甲方承担的其他义务和责任。</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5.乙方的权利和义务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 签署合同后，乙方应确定项目负责人（或项目联系人），负责与本合同有关的事务。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5.3乙方有权根据合同约定向甲方收取合同价款。</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6.合同履行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】约定顺序履行合同义务；如果没有先后顺序的，应当同时履行。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货物包装、运输、保险和交付要求</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 本合同涉及商品包装、快递包装的，除【</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】另有约定外，包装应适应远距离运输、防潮、防震、防锈和防野蛮装卸等要求，确保货物安全无损地运抵【</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】约定的指定现场。</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 除【</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】另有约定外，乙方负责办理将货物运抵本合同规定的交货地点，并装卸、交付至甲方的一切运输事项，相关费用应包含在合同价款中。</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 货物保险要求按【</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】规定执行。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 乙方在运输到达之前应提前通知甲方，并提示货物运输装卸的注意事项，甲方配合乙方做好货物的接收工作。</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质量标准和保证</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质量标准</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（2）采用中华人民共和国法定计量单位。</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（3）乙方所提供的货物应符合国家有关安全、环保、卫生的规定。</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保证</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】规定或乙方书面承诺（两者以较长的为准）的质量保证期内，本保证保持有效。</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（2）在质量保证期内所发现的缺陷，甲方应尽快以书面形式通知乙方。</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（3）乙方收到通知后，应在【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】规定的响应时间内以合理的速度免费维修或更换有缺陷的货物或部件。</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权利瑕疵担保</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 乙方保证对其出售的货物享有合法的权利。</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 乙方保证在交付的货物上不存在抵押权等担保物权。</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9.3 如甲方使用上述货物构成对第三人侵权的，则由乙方承担全部责任。</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 知识产权保护</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 乙方对其所销售的货物应当享有知识产权或经权利人合法授权，保证没有侵犯任何第三人的知识产权等权利。</w:t>
      </w:r>
      <w:bookmarkStart w:id="130"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30"/>
      <w:r>
        <w:rPr>
          <w:rFonts w:hint="eastAsia" w:ascii="宋体" w:hAnsi="宋体" w:cs="宋体"/>
          <w:color w:val="auto"/>
          <w:sz w:val="21"/>
          <w:szCs w:val="21"/>
          <w:highlight w:val="none"/>
        </w:rPr>
        <w:t xml:space="preserve">。</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 保密义务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 合同价款支付</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 合同价款支付按照国库集中支付制度及财政管理相关规定执行。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履约保证金</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 乙方应当以支票、汇票、本票或者金融机构、担保机构出具的保函等非现金形式提交。</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 甲方在项目通过验收后按照【</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】规定的时间内将履约保证金退还乙方；逾期退还的，乙方可要求甲方支付违约金，违约金按照【</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】规定支付。</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 售后服务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 除项目不涉及或采购活动中明确约定无须承担外，乙方还应提供下列服务：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（1）货物的现场移动、安装、调试、启动监督及技术支持；</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（2）提供货物组装和维修所需的专用工具和辅助材料；</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】约定的期限内对所有的货物实施运行监督、维修，但前提条件是该服务并不能免除乙方在质量保证期内所承担的义务；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（4）在制造商所在地或指定现场就货物的安装、启动、运营、维护、废弃处置等对甲方操作人员进行培训；</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（5）依照法律、行政法规的规定或者按照【</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】约定，货物在有效使用年限届满后应予回收的，乙方负有自行或者委托第三人对货物予以回收的义务；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】规定由乙方提供的其他服务。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 乙方提供的售后服务的费用已包含在合同价款中，甲方不再另行支付。</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 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15.1质量瑕疵的违约责任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 迟延交货的违约责任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 迟延支付的违约责任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甲方存在迟延支付乙方合同款项的，应当承担【政府采购合同专用条款】规定的逾期付款利息。</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15.4其他违约责任根据项目实际需要按【政府采购合同专用条款】规定执行。</w:t>
      </w:r>
      <w:r/>
    </w:p>
    <w:p>
      <w:pPr>
        <w:numPr>
          <w:ilvl w:val="0"/>
          <w:numId w:val="6"/>
        </w:num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合同变更、中止与终止</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16.1合同的变更</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16.2合同的中止</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（1）合同履行过程中因供应商就采购文件、采购过程或结果提起投诉的，甲方认为有必要的，可以中止合同的履行。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（4）甲方不得以行政区划调整、政府换届、机构或者职能调整以及相关责任人更替为由中止合同。</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16.3合同的终止</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（1）合同因有效期限届满而终止；</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（2）乙方未按合同约定履行，构成根本性违约的，甲方有权终止合同，并追究乙方的违约责任。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16.4 涉及国家利益、社会公共利益的情形</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合同分包</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 乙方不得将合同转包给其他供应商。涉及合同分包的，乙方应根据采购文件和投标（响应）文件规定进行合同分包。</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 不可抗力</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 不可抗力是指合同双方不能预见、不能避免且不能克服的客观情况。</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19. 解决争议的方法</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19.3 如甲乙双方有争议的事项不影响合同其他部分的履行，在争议解决期间，合同其他部分应当继续履行。</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20. 政府采购政策</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 本合同依法执行政府采购政策的方式和内容，属于合同履约验收的范围。甲乙双方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s="宋体"/>
          <w:color w:val="auto"/>
          <w:sz w:val="21"/>
          <w:szCs w:val="21"/>
          <w:highlight w:val="none"/>
        </w:rPr>
        <w:t xml:space="preserve">，有过错的一方应当承担赔偿责任，双方都有过错的，各自承担相应的责任。</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 法律适用</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 本合同的订立、生效、解释、履行及与本合同有关的争议解决，均适用法律、行政法规。</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 本合同条款与法律、行政法规的强制性规定不一致的，双方当事人应按照法律、行政法规的强制性规定修改本合同的相关条款。</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 通知</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22.3本合同一方给另一方的通知均应采用书面形式，传真或快递送到本合同中规定的对方的地址和办理签收手续。</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22.4通知以送达之日或通知书中规定的生效之日起生效，两者中以较迟之日为准。</w:t>
      </w:r>
      <w:r/>
    </w:p>
    <w:p>
      <w:pPr>
        <w:ind w:firstLine="480"/>
        <w:spacing w:line="5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23.合同未尽事项</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23.1合同未尽事项见【政府采购合同专用条款】。</w:t>
      </w:r>
      <w:r/>
    </w:p>
    <w:p>
      <w:pPr>
        <w:ind w:firstLine="48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23.2 合同附件与合同正文具有同等的法律效力。</w:t>
      </w:r>
      <w:r/>
    </w:p>
    <w:p>
      <w:pPr>
        <w:spacing w:line="520" w:lineRule="exact"/>
        <w:rPr>
          <w:color w:val="auto"/>
          <w:sz w:val="21"/>
          <w:szCs w:val="21"/>
          <w:highlight w:val="none"/>
        </w:rPr>
      </w:pPr>
      <w:r>
        <w:rPr>
          <w:rFonts w:ascii="宋体" w:hAnsi="宋体"/>
          <w:color w:val="auto"/>
          <w:sz w:val="21"/>
          <w:szCs w:val="21"/>
          <w:highlight w:val="none"/>
          <w:u w:val="single"/>
        </w:rPr>
        <w:br w:type="page" w:clear="all"/>
      </w:r>
      <w:bookmarkStart w:id="131" w:name="_Toc20313"/>
      <w:r/>
      <w:r/>
    </w:p>
    <w:p>
      <w:pPr>
        <w:pStyle w:val="1126"/>
        <w:jc w:val="center"/>
        <w:rPr>
          <w:color w:val="auto"/>
          <w:sz w:val="21"/>
          <w:szCs w:val="21"/>
          <w:highlight w:val="none"/>
        </w:rPr>
      </w:pPr>
      <w:r>
        <w:rPr>
          <w:rFonts w:hint="eastAsia"/>
          <w:color w:val="auto"/>
          <w:sz w:val="21"/>
          <w:szCs w:val="21"/>
          <w:highlight w:val="none"/>
        </w:rPr>
        <w:t xml:space="preserve">第三节 政府采购合同专用条款</w:t>
      </w:r>
      <w:bookmarkEnd w:id="131"/>
      <w:r/>
      <w:r/>
    </w:p>
    <w:tbl>
      <w:tblPr>
        <w:tblStyle w:val="1135"/>
        <w:tblW w:w="863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955"/>
        <w:gridCol w:w="5124"/>
      </w:tblGrid>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第1.2（6）项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联合体具体要求</w:t>
            </w:r>
            <w:r/>
          </w:p>
        </w:tc>
        <w:tc>
          <w:tcPr>
            <w:tcW w:w="5124" w:type="dxa"/>
            <w:vAlign w:val="center"/>
            <w:textDirection w:val="lrTb"/>
            <w:noWrap w:val="false"/>
          </w:tcPr>
          <w:p>
            <w:pPr>
              <w:rPr>
                <w:rFonts w:hint="eastAsia" w:ascii="宋体" w:hAnsi="宋体"/>
                <w:color w:val="auto"/>
                <w:sz w:val="21"/>
                <w:szCs w:val="21"/>
                <w:highlight w:val="none"/>
              </w:rPr>
            </w:pPr>
            <w:r>
              <w:rPr>
                <w:rFonts w:ascii="宋体" w:hAnsi="宋体"/>
                <w:color w:val="auto"/>
                <w:sz w:val="21"/>
                <w:szCs w:val="21"/>
                <w:highlight w:val="none"/>
              </w:rPr>
              <w:t xml:space="preserve">同招标公告及文件</w:t>
            </w:r>
            <w:r/>
          </w:p>
        </w:tc>
      </w:tr>
      <w:tr>
        <w:trPr>
          <w:jc w:val="center"/>
          <w:trHeight w:val="604"/>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第1.2（7）项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其他术语解释</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同合同通用条款</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第4.4款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履约验收中甲方提出异议或作出说明的期限</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十五个工作日内</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第4.6款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约定甲方承担的其他义务和责任</w:t>
            </w:r>
            <w:r/>
          </w:p>
        </w:tc>
        <w:tc>
          <w:tcPr>
            <w:tcW w:w="5124" w:type="dxa"/>
            <w:vAlign w:val="center"/>
            <w:textDirection w:val="lrTb"/>
            <w:noWrap w:val="false"/>
          </w:tcPr>
          <w:p>
            <w:pPr>
              <w:rPr>
                <w:rFonts w:hint="eastAsia" w:ascii="宋体" w:hAnsi="宋体"/>
                <w:color w:val="auto"/>
                <w:sz w:val="21"/>
                <w:szCs w:val="21"/>
                <w:highlight w:val="none"/>
              </w:rPr>
            </w:pPr>
            <w:r>
              <w:rPr>
                <w:rFonts w:hint="eastAsia"/>
                <w:color w:val="auto"/>
                <w:sz w:val="21"/>
                <w:szCs w:val="21"/>
                <w:highlight w:val="none"/>
                <w:lang w:val="zh-CN"/>
              </w:rPr>
              <w:t xml:space="preserve">同合同通用条款</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color w:val="auto"/>
                <w:sz w:val="21"/>
                <w:szCs w:val="21"/>
                <w:highlight w:val="none"/>
              </w:rPr>
            </w:pPr>
            <w:r>
              <w:rPr>
                <w:rFonts w:hint="eastAsia" w:ascii="宋体" w:hAnsi="宋体"/>
                <w:color w:val="auto"/>
                <w:sz w:val="21"/>
                <w:szCs w:val="21"/>
                <w:highlight w:val="none"/>
              </w:rPr>
              <w:t xml:space="preserve">第5.4款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约定乙方承担的其他义务和责任</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1.乙方应按响应文件规定的时间完成设备的供应、安装调试、运行、设备技术审查及项目最终验收</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运维及其后期</w:t>
            </w:r>
            <w:r>
              <w:rPr>
                <w:rFonts w:hint="eastAsia" w:ascii="宋体" w:hAnsi="宋体"/>
                <w:color w:val="auto"/>
                <w:sz w:val="21"/>
                <w:szCs w:val="21"/>
                <w:highlight w:val="none"/>
              </w:rPr>
              <w:t xml:space="preserve">工作。如因乙方原因导致延迟，乙方应按日支付合同金额1%的违约金，累计不超过合同金额的20%。</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2.乙方保证所交付的成果的所有权完全属于甲方且无任何产权瑕疵。不存在任何抵押、质押、留置等权利负担或产权瑕疵。</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3.乙方应保证成果均未侵犯他人的知识产权，否则必须承担全部责任。若乙方使用了他人的专利、专有技术，涉及的费用由乙方承担，并赔偿甲方因此受到的损失。</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4.本合同范围的产品或服务，应由乙方直接提供，不得转让他人提供。</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5.除非得到甲方的书面同意，乙方不得部分分包给他人供应。</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6.如有转让和未经甲方同意的分包行为，甲方有权给予解除合同。</w:t>
            </w:r>
            <w:r/>
          </w:p>
          <w:p>
            <w:pPr>
              <w:rPr>
                <w:rFonts w:hint="eastAsia" w:ascii="宋体" w:hAnsi="宋体"/>
                <w:color w:val="auto"/>
                <w:sz w:val="21"/>
                <w:szCs w:val="21"/>
                <w:highlight w:val="none"/>
              </w:rPr>
            </w:pPr>
            <w:r>
              <w:rPr>
                <w:rFonts w:hint="eastAsia"/>
                <w:color w:val="auto"/>
                <w:sz w:val="21"/>
                <w:szCs w:val="21"/>
                <w:highlight w:val="none"/>
              </w:rPr>
              <w:t xml:space="preserve">7.其他</w:t>
            </w:r>
            <w:r>
              <w:rPr>
                <w:rFonts w:hint="eastAsia"/>
                <w:color w:val="auto"/>
                <w:sz w:val="21"/>
                <w:szCs w:val="21"/>
                <w:highlight w:val="none"/>
                <w:lang w:val="zh-CN"/>
              </w:rPr>
              <w:t xml:space="preserve">合同通用条款</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第6.1款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履行合同义务的顺序</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同协议书</w:t>
            </w:r>
            <w:r/>
          </w:p>
        </w:tc>
      </w:tr>
      <w:tr>
        <w:trPr>
          <w:cantSplit/>
          <w:jc w:val="center"/>
          <w:trHeight w:val="667"/>
        </w:trPr>
        <w:tc>
          <w:tcPr>
            <w:tcW w:w="1560" w:type="dxa"/>
            <w:vAlign w:val="center"/>
            <w:vMerge w:val="restart"/>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第7.1款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包装特殊要求</w:t>
            </w:r>
            <w:r/>
          </w:p>
        </w:tc>
        <w:tc>
          <w:tcPr>
            <w:tcW w:w="5124" w:type="dxa"/>
            <w:vAlign w:val="center"/>
            <w:textDirection w:val="lrTb"/>
            <w:noWrap w:val="false"/>
          </w:tcPr>
          <w:p>
            <w:pPr>
              <w:rPr>
                <w:color w:val="auto"/>
                <w:sz w:val="21"/>
                <w:szCs w:val="21"/>
                <w:highlight w:val="none"/>
              </w:rPr>
            </w:pPr>
            <w:r>
              <w:rPr>
                <w:rFonts w:hint="eastAsia"/>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现场包装物由供应商负责清理，做到：</w:t>
            </w:r>
            <w:r/>
          </w:p>
          <w:p>
            <w:pPr>
              <w:rPr>
                <w:color w:val="auto"/>
                <w:sz w:val="21"/>
                <w:szCs w:val="21"/>
                <w:highlight w:val="none"/>
              </w:rPr>
            </w:pPr>
            <w:r>
              <w:rPr>
                <w:rFonts w:hint="eastAsia"/>
                <w:color w:val="auto"/>
                <w:sz w:val="21"/>
                <w:szCs w:val="21"/>
                <w:highlight w:val="none"/>
              </w:rPr>
              <w:t xml:space="preserve">1.商品包装层数不得超过3 层，空隙率不大于40%；</w:t>
            </w:r>
            <w:r/>
          </w:p>
          <w:p>
            <w:pPr>
              <w:rPr>
                <w:color w:val="auto"/>
                <w:sz w:val="21"/>
                <w:szCs w:val="21"/>
                <w:highlight w:val="none"/>
              </w:rPr>
            </w:pPr>
            <w:r>
              <w:rPr>
                <w:rFonts w:hint="eastAsia"/>
                <w:color w:val="auto"/>
                <w:sz w:val="21"/>
                <w:szCs w:val="21"/>
                <w:highlight w:val="none"/>
              </w:rPr>
              <w:t xml:space="preserve">2.商品包装尽可能使用单一材质的包装材料，如因功能需求必须使用不同材质，不同材质间应便于分离；</w:t>
            </w:r>
            <w:r/>
          </w:p>
          <w:p>
            <w:pPr>
              <w:rPr>
                <w:color w:val="auto"/>
                <w:sz w:val="21"/>
                <w:szCs w:val="21"/>
                <w:highlight w:val="none"/>
              </w:rPr>
            </w:pPr>
            <w:r>
              <w:rPr>
                <w:rFonts w:hint="eastAsia"/>
                <w:color w:val="auto"/>
                <w:sz w:val="21"/>
                <w:szCs w:val="21"/>
                <w:highlight w:val="none"/>
              </w:rPr>
              <w:t xml:space="preserve">3.商品包装中铅、汞、镉、六价铬的总含量应不大于100mg/kg；</w:t>
            </w:r>
            <w:r/>
          </w:p>
          <w:p>
            <w:pPr>
              <w:rPr>
                <w:color w:val="auto"/>
                <w:sz w:val="21"/>
                <w:szCs w:val="21"/>
                <w:highlight w:val="none"/>
              </w:rPr>
            </w:pPr>
            <w:r>
              <w:rPr>
                <w:rFonts w:hint="eastAsia"/>
                <w:color w:val="auto"/>
                <w:sz w:val="21"/>
                <w:szCs w:val="21"/>
                <w:highlight w:val="none"/>
              </w:rPr>
              <w:t xml:space="preserve">4.商品包装印刷使用的油墨中挥发性有机化合物(VOCs)含量应不大于 5%（以重量计）；</w:t>
            </w:r>
            <w:r/>
          </w:p>
          <w:p>
            <w:pPr>
              <w:rPr>
                <w:color w:val="auto"/>
                <w:sz w:val="21"/>
                <w:szCs w:val="21"/>
                <w:highlight w:val="none"/>
              </w:rPr>
            </w:pPr>
            <w:r>
              <w:rPr>
                <w:rFonts w:hint="eastAsia"/>
                <w:color w:val="auto"/>
                <w:sz w:val="21"/>
                <w:szCs w:val="21"/>
                <w:highlight w:val="none"/>
              </w:rPr>
              <w:t xml:space="preserve">5.塑料材质商品包装上呈现的印刷颜色不得超过6色；</w:t>
            </w:r>
            <w:r/>
          </w:p>
          <w:p>
            <w:pPr>
              <w:rPr>
                <w:color w:val="auto"/>
                <w:sz w:val="21"/>
                <w:szCs w:val="21"/>
                <w:highlight w:val="none"/>
              </w:rPr>
            </w:pPr>
            <w:r>
              <w:rPr>
                <w:rFonts w:hint="eastAsia"/>
                <w:color w:val="auto"/>
                <w:sz w:val="21"/>
                <w:szCs w:val="21"/>
                <w:highlight w:val="none"/>
              </w:rPr>
              <w:t xml:space="preserve">6.纸质商品包装应使用75%以上的可再生纤维原料生产；</w:t>
            </w:r>
            <w:r/>
          </w:p>
          <w:p>
            <w:pPr>
              <w:rPr>
                <w:color w:val="auto"/>
                <w:sz w:val="21"/>
                <w:szCs w:val="21"/>
                <w:highlight w:val="none"/>
              </w:rPr>
            </w:pPr>
            <w:r>
              <w:rPr>
                <w:rFonts w:hint="eastAsia"/>
                <w:color w:val="auto"/>
                <w:sz w:val="21"/>
                <w:szCs w:val="21"/>
                <w:highlight w:val="none"/>
              </w:rPr>
              <w:t xml:space="preserve">7.木质商品包装的原料应来源于可持续性森林。</w:t>
            </w:r>
            <w:r/>
          </w:p>
          <w:p>
            <w:pPr>
              <w:rPr>
                <w:color w:val="auto"/>
                <w:sz w:val="21"/>
                <w:szCs w:val="21"/>
                <w:highlight w:val="none"/>
              </w:rPr>
            </w:pPr>
            <w:r>
              <w:rPr>
                <w:rFonts w:hint="eastAsia"/>
                <w:color w:val="auto"/>
                <w:sz w:val="21"/>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1"/>
                <w:szCs w:val="21"/>
                <w:highlight w:val="none"/>
              </w:rPr>
            </w:pPr>
            <w:r>
              <w:rPr>
                <w:rFonts w:hint="eastAsia"/>
                <w:color w:val="auto"/>
                <w:sz w:val="21"/>
                <w:szCs w:val="21"/>
                <w:highlight w:val="none"/>
              </w:rPr>
              <w:t xml:space="preserve">9.每件包装箱内应附一份详细装箱单和质量合格凭证。</w:t>
            </w:r>
            <w:r/>
          </w:p>
        </w:tc>
      </w:tr>
      <w:tr>
        <w:trPr>
          <w:cantSplit/>
          <w:jc w:val="center"/>
          <w:trHeight w:val="667"/>
        </w:trPr>
        <w:tc>
          <w:tcPr>
            <w:tcW w:w="1560" w:type="dxa"/>
            <w:vAlign w:val="center"/>
            <w:vMerge w:val="continue"/>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指定现场</w:t>
            </w:r>
            <w:r/>
          </w:p>
        </w:tc>
        <w:tc>
          <w:tcPr>
            <w:tcW w:w="5124" w:type="dxa"/>
            <w:vAlign w:val="center"/>
            <w:textDirection w:val="lrTb"/>
            <w:noWrap w:val="false"/>
          </w:tcPr>
          <w:p>
            <w:pPr>
              <w:rPr>
                <w:color w:val="auto"/>
                <w:sz w:val="21"/>
                <w:szCs w:val="21"/>
                <w:highlight w:val="none"/>
              </w:rPr>
            </w:pPr>
            <w:r>
              <w:rPr>
                <w:rFonts w:hint="eastAsia"/>
                <w:color w:val="auto"/>
                <w:sz w:val="21"/>
                <w:szCs w:val="21"/>
                <w:highlight w:val="none"/>
              </w:rPr>
              <w:t xml:space="preserve">甲方指定地点。</w:t>
            </w:r>
            <w:r/>
          </w:p>
        </w:tc>
      </w:tr>
      <w:tr>
        <w:trPr>
          <w:jc w:val="center"/>
          <w:trHeight w:val="461"/>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第7.2款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运输特殊要求</w:t>
            </w:r>
            <w:r/>
          </w:p>
        </w:tc>
        <w:tc>
          <w:tcPr>
            <w:tcW w:w="5124" w:type="dxa"/>
            <w:vAlign w:val="center"/>
            <w:textDirection w:val="lrTb"/>
            <w:noWrap w:val="false"/>
          </w:tcPr>
          <w:p>
            <w:pPr>
              <w:rPr>
                <w:color w:val="auto"/>
                <w:sz w:val="21"/>
                <w:szCs w:val="21"/>
                <w:highlight w:val="none"/>
              </w:rPr>
            </w:pPr>
            <w:r>
              <w:rPr>
                <w:rFonts w:hint="eastAsia"/>
                <w:color w:val="auto"/>
                <w:sz w:val="21"/>
                <w:szCs w:val="21"/>
                <w:highlight w:val="none"/>
              </w:rPr>
              <w:t xml:space="preserve">1.货物技术审查合格、交付使用并提供所需单据的日期视为交货日期。</w:t>
            </w:r>
            <w:r/>
          </w:p>
          <w:p>
            <w:pPr>
              <w:pStyle w:val="1341"/>
              <w:ind w:firstLine="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2.乙方在货物发运手续办理完毕后24小时内或货到48小时前通知甲方，以准备接货。</w:t>
            </w:r>
            <w:r/>
          </w:p>
          <w:p>
            <w:pPr>
              <w:rPr>
                <w:color w:val="auto"/>
                <w:sz w:val="21"/>
                <w:szCs w:val="21"/>
                <w:highlight w:val="none"/>
              </w:rPr>
            </w:pPr>
            <w:r>
              <w:rPr>
                <w:rFonts w:hint="eastAsia"/>
                <w:color w:val="auto"/>
                <w:sz w:val="21"/>
                <w:szCs w:val="21"/>
                <w:highlight w:val="none"/>
              </w:rPr>
              <w:t xml:space="preserve">3.乙方装运的货物不应超过合同规定的数量或重量。乙方应对超过数量或超重而产生的一切后果负责。</w:t>
            </w:r>
            <w:r/>
          </w:p>
          <w:p>
            <w:pPr>
              <w:pStyle w:val="1341"/>
              <w:ind w:firstLine="0"/>
              <w:rPr>
                <w:rFonts w:hint="eastAsia"/>
                <w:color w:val="auto"/>
                <w:sz w:val="21"/>
                <w:szCs w:val="21"/>
                <w:highlight w:val="none"/>
              </w:rPr>
            </w:pPr>
            <w:r>
              <w:rPr>
                <w:rFonts w:hint="eastAsia" w:ascii="Times New Roman" w:hAnsi="Times New Roman" w:eastAsia="宋体" w:cs="Times New Roman"/>
                <w:color w:val="auto"/>
                <w:sz w:val="21"/>
                <w:szCs w:val="21"/>
                <w:highlight w:val="none"/>
              </w:rPr>
              <w:t xml:space="preserve">4.货物在交付甲方前发生的风险均由乙方负责。</w:t>
            </w:r>
            <w:r/>
          </w:p>
        </w:tc>
      </w:tr>
      <w:tr>
        <w:trPr>
          <w:jc w:val="center"/>
          <w:trHeight w:val="667"/>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第7.3款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保险要求</w:t>
            </w:r>
            <w:r/>
          </w:p>
        </w:tc>
        <w:tc>
          <w:tcPr>
            <w:tcW w:w="5124" w:type="dxa"/>
            <w:vAlign w:val="center"/>
            <w:textDirection w:val="lrTb"/>
            <w:noWrap w:val="false"/>
          </w:tcPr>
          <w:p>
            <w:pPr>
              <w:rPr>
                <w:color w:val="auto"/>
                <w:sz w:val="21"/>
                <w:szCs w:val="21"/>
                <w:highlight w:val="none"/>
              </w:rPr>
            </w:pPr>
            <w:r>
              <w:rPr>
                <w:color w:val="auto"/>
                <w:sz w:val="21"/>
                <w:szCs w:val="21"/>
                <w:highlight w:val="none"/>
              </w:rPr>
              <w:t xml:space="preserve">货物交货前由乙方承担保险义务</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第8.2（1）项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质量保证期</w:t>
            </w:r>
            <w:r/>
          </w:p>
        </w:tc>
        <w:tc>
          <w:tcPr>
            <w:tcW w:w="5124" w:type="dxa"/>
            <w:vAlign w:val="center"/>
            <w:textDirection w:val="lrTb"/>
            <w:noWrap w:val="false"/>
          </w:tcPr>
          <w:p>
            <w:pPr>
              <w:rPr>
                <w:rFonts w:hint="eastAsia" w:ascii="宋体" w:hAnsi="宋体"/>
                <w:color w:val="auto"/>
                <w:sz w:val="21"/>
                <w:szCs w:val="21"/>
                <w:highlight w:val="none"/>
              </w:rPr>
            </w:pPr>
            <w:r>
              <w:rPr>
                <w:rFonts w:hint="eastAsia"/>
                <w:color w:val="auto"/>
                <w:sz w:val="21"/>
                <w:szCs w:val="21"/>
                <w:highlight w:val="none"/>
              </w:rPr>
              <w:t xml:space="preserve">货物免费质保期</w:t>
            </w:r>
            <w:r>
              <w:rPr>
                <w:rFonts w:hint="eastAsia"/>
                <w:color w:val="auto"/>
                <w:sz w:val="21"/>
                <w:szCs w:val="21"/>
                <w:highlight w:val="none"/>
                <w:u w:val="single"/>
              </w:rPr>
              <w:t xml:space="preserve">三年</w:t>
            </w:r>
            <w:r>
              <w:rPr>
                <w:rFonts w:hint="eastAsia"/>
                <w:color w:val="auto"/>
                <w:sz w:val="21"/>
                <w:szCs w:val="21"/>
                <w:highlight w:val="none"/>
              </w:rPr>
              <w:t xml:space="preserve">。（自交货通过甲方技术审查之日起计）。</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第8.2（3）项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货物质量缺陷</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响应时间</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如在使用过程中发生质量问题，乙方在接到甲方通知后提供7*24小时的服务响应，48小时内解决问题。</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第8款补充</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质量保证要求</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1.在质保期内，乙方应对货物出现的质量及安全问题负责处理解决并承担一切费用。</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2.乙方应按照国家有关法律法规规章和“三包”规定以及招标文件售后服务要求及投标文件售后服务承诺提供售后服务。</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3.所有货物保修服务方式均为乙方上门保修，由乙方派员到货物使用现场维修，所产生的一切费用由乙方承担。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7.对货物的品牌、型号、数量、产地等进行检查和清点，同类型的所有货物和材料应属同一制造商的同一产品。如检验中发现短缺、损坏或假冒伪劣商品，乙方应立即采取补救措施，不得因此影响供货，否则一切损失由乙方负责。</w:t>
            </w:r>
            <w:r/>
          </w:p>
          <w:p>
            <w:pPr>
              <w:rPr>
                <w:rFonts w:hint="eastAsia" w:ascii="宋体" w:hAnsi="宋体"/>
                <w:color w:val="auto"/>
                <w:sz w:val="21"/>
                <w:szCs w:val="21"/>
                <w:highlight w:val="none"/>
              </w:rPr>
            </w:pPr>
            <w:r>
              <w:rPr>
                <w:rFonts w:hint="eastAsia"/>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736"/>
        </w:trPr>
        <w:tc>
          <w:tcPr>
            <w:tcW w:w="15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spacing w:line="400" w:lineRule="exact"/>
              <w:rPr>
                <w:rFonts w:hint="eastAsia" w:ascii="华文楷体" w:hAnsi="华文楷体" w:eastAsia="华文楷体" w:cs="华文楷体"/>
                <w:color w:val="auto"/>
                <w:sz w:val="21"/>
                <w:szCs w:val="21"/>
                <w:highlight w:val="none"/>
              </w:rPr>
            </w:pPr>
            <w:r>
              <w:rPr>
                <w:rFonts w:hint="eastAsia" w:ascii="宋体" w:hAnsi="宋体" w:cs="宋体"/>
                <w:color w:val="auto"/>
                <w:sz w:val="21"/>
                <w:szCs w:val="21"/>
                <w:highlight w:val="none"/>
              </w:rPr>
              <w:t xml:space="preserve">第11.1款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其他应当保密的信息</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没有甲方事先书面同意，乙方不得将由甲方提供的有关合同或任何合同条文、规格、计划、图纸、样品或资料提供给与履行本合同无关的任何其他人。即使向履行本合同有关的人员提供，注意保密并限于履行合同的必需范围。</w:t>
            </w:r>
            <w:r/>
          </w:p>
        </w:tc>
      </w:tr>
      <w:tr>
        <w:trPr>
          <w:jc w:val="center"/>
          <w:trHeight w:val="697"/>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第12.2款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合同价款支付时间及要求</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1.合同款项的支付方式及进度安排：</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自合同签订生效之日起，</w:t>
            </w:r>
            <w:r>
              <w:rPr>
                <w:rFonts w:hint="eastAsia" w:ascii="宋体" w:hAnsi="宋体"/>
                <w:color w:val="auto"/>
                <w:sz w:val="21"/>
                <w:szCs w:val="21"/>
                <w:highlight w:val="none"/>
                <w:lang w:val="en-US" w:eastAsia="zh-CN"/>
              </w:rPr>
              <w:t xml:space="preserve">甲方</w:t>
            </w:r>
            <w:r>
              <w:rPr>
                <w:rFonts w:hint="eastAsia" w:ascii="宋体" w:hAnsi="宋体"/>
                <w:color w:val="auto"/>
                <w:sz w:val="21"/>
                <w:szCs w:val="21"/>
                <w:highlight w:val="none"/>
              </w:rPr>
              <w:t xml:space="preserve">收到乙方</w:t>
            </w:r>
            <w:r>
              <w:rPr>
                <w:rFonts w:hint="eastAsia" w:ascii="宋体" w:hAnsi="宋体"/>
                <w:color w:val="auto"/>
                <w:sz w:val="21"/>
                <w:szCs w:val="21"/>
                <w:highlight w:val="none"/>
                <w:lang w:val="en-US" w:eastAsia="zh-CN"/>
              </w:rPr>
              <w:t xml:space="preserve">合规</w:t>
            </w:r>
            <w:r>
              <w:rPr>
                <w:rFonts w:hint="eastAsia" w:ascii="宋体" w:hAnsi="宋体"/>
                <w:color w:val="auto"/>
                <w:sz w:val="21"/>
                <w:szCs w:val="21"/>
                <w:highlight w:val="none"/>
              </w:rPr>
              <w:t xml:space="preserve">发票10个工作日内，甲方向乙方支付合同总价的30%款项作为预付款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所有货物安装完毕，甲方组织验收，验收合格后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乙方向甲方</w:t>
            </w:r>
            <w:r>
              <w:rPr>
                <w:rFonts w:hint="eastAsia" w:ascii="宋体" w:hAnsi="宋体"/>
                <w:color w:val="auto"/>
                <w:sz w:val="21"/>
                <w:szCs w:val="21"/>
                <w:highlight w:val="none"/>
              </w:rPr>
              <w:t xml:space="preserve">出具本合同总金额10%的保函（保函的</w:t>
            </w:r>
            <w:r>
              <w:rPr>
                <w:rFonts w:hint="eastAsia" w:ascii="宋体" w:hAnsi="宋体"/>
                <w:color w:val="auto"/>
                <w:sz w:val="21"/>
                <w:szCs w:val="21"/>
                <w:highlight w:val="none"/>
                <w:lang w:val="en-US" w:eastAsia="zh-CN"/>
              </w:rPr>
              <w:t xml:space="preserve">有效</w:t>
            </w:r>
            <w:r>
              <w:rPr>
                <w:rFonts w:hint="eastAsia" w:ascii="宋体" w:hAnsi="宋体"/>
                <w:color w:val="auto"/>
                <w:sz w:val="21"/>
                <w:szCs w:val="21"/>
                <w:highlight w:val="none"/>
              </w:rPr>
              <w:t xml:space="preserve">期为36个月）；</w:t>
            </w:r>
            <w:r>
              <w:rPr>
                <w:rFonts w:hint="eastAsia" w:ascii="宋体" w:hAnsi="宋体"/>
                <w:color w:val="auto"/>
                <w:sz w:val="21"/>
                <w:szCs w:val="21"/>
                <w:highlight w:val="none"/>
                <w:lang w:val="en-US" w:eastAsia="zh-CN"/>
              </w:rPr>
              <w:t xml:space="preserve">甲方</w:t>
            </w:r>
            <w:r>
              <w:rPr>
                <w:rFonts w:hint="eastAsia" w:ascii="宋体" w:hAnsi="宋体"/>
                <w:color w:val="auto"/>
                <w:sz w:val="21"/>
                <w:szCs w:val="21"/>
                <w:highlight w:val="none"/>
              </w:rPr>
              <w:t xml:space="preserve">收到乙方</w:t>
            </w:r>
            <w:r>
              <w:rPr>
                <w:rFonts w:hint="eastAsia" w:ascii="宋体" w:hAnsi="宋体"/>
                <w:color w:val="auto"/>
                <w:sz w:val="21"/>
                <w:szCs w:val="21"/>
                <w:highlight w:val="none"/>
                <w:lang w:val="en-US" w:eastAsia="zh-CN"/>
              </w:rPr>
              <w:t xml:space="preserve">的保函及合规</w:t>
            </w:r>
            <w:r>
              <w:rPr>
                <w:rFonts w:hint="eastAsia" w:ascii="宋体" w:hAnsi="宋体"/>
                <w:color w:val="auto"/>
                <w:sz w:val="21"/>
                <w:szCs w:val="21"/>
                <w:highlight w:val="none"/>
              </w:rPr>
              <w:t xml:space="preserve">发票</w:t>
            </w:r>
            <w:r>
              <w:rPr>
                <w:rFonts w:hint="eastAsia" w:ascii="宋体" w:hAnsi="宋体"/>
                <w:color w:val="auto"/>
                <w:sz w:val="21"/>
                <w:szCs w:val="21"/>
                <w:highlight w:val="none"/>
                <w:lang w:val="en-US" w:eastAsia="zh-CN"/>
              </w:rPr>
              <w:t xml:space="preserve">后，</w:t>
            </w:r>
            <w:r>
              <w:rPr>
                <w:rFonts w:hint="eastAsia" w:ascii="宋体" w:hAnsi="宋体"/>
                <w:color w:val="auto"/>
                <w:sz w:val="21"/>
                <w:szCs w:val="21"/>
                <w:highlight w:val="none"/>
              </w:rPr>
              <w:t xml:space="preserve">10个工作日内甲方向乙方支付合同总价的70%款项。质保期</w:t>
            </w:r>
            <w:r>
              <w:rPr>
                <w:rFonts w:hint="eastAsia" w:ascii="宋体" w:hAnsi="宋体"/>
                <w:color w:val="auto"/>
                <w:sz w:val="21"/>
                <w:szCs w:val="21"/>
                <w:highlight w:val="none"/>
                <w:lang w:val="en-US" w:eastAsia="zh-CN"/>
              </w:rPr>
              <w:t xml:space="preserve">满且无任何质量问题后</w:t>
            </w:r>
            <w:r>
              <w:rPr>
                <w:rFonts w:hint="eastAsia" w:ascii="宋体" w:hAnsi="宋体"/>
                <w:color w:val="auto"/>
                <w:sz w:val="21"/>
                <w:szCs w:val="21"/>
                <w:highlight w:val="none"/>
              </w:rPr>
              <w:t xml:space="preserve">，退还</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%的履约保函。</w:t>
            </w:r>
            <w:r/>
          </w:p>
          <w:p>
            <w:pPr>
              <w:ind w:firstLine="420"/>
              <w:rPr>
                <w:rFonts w:hint="eastAsia"/>
                <w:color w:val="auto"/>
                <w:sz w:val="21"/>
                <w:szCs w:val="21"/>
                <w:highlight w:val="none"/>
                <w:lang w:eastAsia="zh-CN"/>
              </w:rPr>
            </w:pPr>
            <w:r>
              <w:rPr>
                <w:rFonts w:hint="eastAsia"/>
                <w:color w:val="auto"/>
                <w:sz w:val="21"/>
                <w:szCs w:val="21"/>
                <w:highlight w:val="none"/>
                <w:lang w:val="en-US" w:eastAsia="zh-CN"/>
              </w:rPr>
              <w:t xml:space="preserve">注：如中标方为</w:t>
            </w:r>
            <w:r>
              <w:rPr>
                <w:rFonts w:hint="eastAsia" w:ascii="宋体" w:hAnsi="宋体" w:eastAsia="宋体" w:cs="宋体"/>
                <w:color w:val="auto"/>
                <w:sz w:val="21"/>
                <w:szCs w:val="21"/>
                <w:highlight w:val="none"/>
                <w:lang w:val="en-US" w:eastAsia="zh-CN"/>
              </w:rPr>
              <w:t xml:space="preserve">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1"/>
                <w:szCs w:val="21"/>
                <w:highlight w:val="none"/>
                <w:lang w:val="en-US" w:eastAsia="zh-CN"/>
              </w:rPr>
              <w:t xml:space="preserve">AA级</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降低履约保证金缴纳比例为5%，AAA</w:t>
            </w:r>
            <w:r>
              <w:rPr>
                <w:rFonts w:hint="eastAsia" w:ascii="宋体" w:hAnsi="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lang w:val="en-US" w:eastAsia="zh-CN"/>
              </w:rPr>
              <w:t xml:space="preserve">级免缴履约保证金。</w:t>
            </w:r>
            <w:r/>
          </w:p>
          <w:p>
            <w:pPr>
              <w:rPr>
                <w:rFonts w:hint="eastAsia"/>
                <w:color w:val="auto"/>
                <w:highlight w:val="none"/>
              </w:rPr>
            </w:pPr>
            <w:r>
              <w:rPr>
                <w:rFonts w:hint="eastAsia"/>
                <w:color w:val="auto"/>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如果乙方没有按照本合同约定的期限、地点和方式交付项目，那么甲方可要求中标人支付违约金，并违约金按每迟延交付货物一日的应交付而未交付货物价格的1%计算，违约金最高额度不超过本合同总价的20%。</w:t>
            </w:r>
            <w:r/>
          </w:p>
          <w:p>
            <w:pPr>
              <w:ind w:firstLine="0"/>
              <w:rPr>
                <w:rFonts w:hint="eastAsia"/>
                <w:color w:val="auto"/>
                <w:highlight w:val="none"/>
              </w:rPr>
            </w:pPr>
            <w:r>
              <w:rPr>
                <w:rFonts w:hint="eastAsia"/>
                <w:color w:val="auto"/>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 发票；</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 设备合格证书等；</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 装箱单；</w:t>
            </w:r>
            <w:r/>
          </w:p>
          <w:p>
            <w:pPr>
              <w:rPr>
                <w:rFonts w:eastAsia="宋体"/>
                <w:color w:val="auto"/>
                <w:sz w:val="21"/>
                <w:szCs w:val="21"/>
                <w:highlight w:val="none"/>
              </w:rPr>
            </w:pPr>
            <w:r>
              <w:rPr>
                <w:rFonts w:hint="eastAsia" w:ascii="宋体" w:hAnsi="宋体"/>
                <w:color w:val="auto"/>
                <w:sz w:val="21"/>
                <w:szCs w:val="21"/>
                <w:highlight w:val="none"/>
              </w:rPr>
              <w:t xml:space="preserve">(4) 甲方加盖公章证明交付使用合格的技术审查合格单。</w:t>
            </w:r>
            <w:r>
              <w:rPr>
                <w:rFonts w:hint="eastAsia" w:ascii="宋体" w:hAnsi="宋体" w:eastAsia="宋体"/>
                <w:color w:val="auto"/>
                <w:sz w:val="21"/>
                <w:szCs w:val="21"/>
                <w:highlight w:val="none"/>
              </w:rPr>
              <w:t xml:space="preserve">如因乙方未按照约定提供上述单据的，甲方有权顺延支付相应款项，且无需承担逾期付款责任。</w:t>
            </w:r>
            <w:r/>
          </w:p>
        </w:tc>
      </w:tr>
      <w:tr>
        <w:trPr>
          <w:jc w:val="center"/>
          <w:trHeight w:val="697"/>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第13.2款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履约保证金不予退还的情形</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s="宋体"/>
                <w:color w:val="auto"/>
                <w:sz w:val="21"/>
                <w:szCs w:val="21"/>
                <w:highlight w:val="none"/>
              </w:rPr>
              <w:t xml:space="preserve">除</w:t>
            </w:r>
            <w:r>
              <w:rPr>
                <w:rFonts w:hint="eastAsia" w:ascii="宋体" w:hAnsi="宋体"/>
                <w:color w:val="auto"/>
                <w:sz w:val="21"/>
                <w:szCs w:val="21"/>
                <w:highlight w:val="none"/>
              </w:rPr>
              <w:t xml:space="preserve">不可抗力情况外，投标人出现下列情形之一的，其履约保证金，招标人将视情节决定不予退还或部分不予退还。</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（1）中标人无正当理由拒绝签订合同的，或者在签订合同时向采购人提出附加条件或者更改合同实质性内容要求的；</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（2）中标人不履行与采购人订立的合同的；</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（3）中标人所供货物或服务不符合招标文件规定要求的；</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（4）中标人采取欺骗、弄虚作假方式投标的或与其它投标人串通投标的；</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（5）中标人将合同内容转包、违法分包的；</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（6）中标人故意捏造事实或伪造证明材料，进行虚假恶意投诉或反映的。</w:t>
            </w:r>
            <w:r/>
          </w:p>
        </w:tc>
      </w:tr>
      <w:tr>
        <w:trPr>
          <w:jc w:val="center"/>
          <w:trHeight w:val="29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第13.3款</w:t>
            </w:r>
            <w:r/>
          </w:p>
        </w:tc>
        <w:tc>
          <w:tcPr>
            <w:tcW w:w="195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1.合同履行结束后，甲方应及时退还交纳的履约保证金。</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2.退还方式：无息退还至投标人缴纳履约保证金的账户。如为保函，在到期时自行失效。</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3.退还时间：合同履行结束后。</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4.退还条件：按合同要求全部履约完成并经采购人验收合格。</w:t>
            </w:r>
            <w:r/>
          </w:p>
          <w:p>
            <w:pPr>
              <w:rPr>
                <w:rFonts w:hint="eastAsia" w:ascii="宋体" w:hAnsi="宋体" w:cs="宋体"/>
                <w:color w:val="auto"/>
                <w:sz w:val="21"/>
                <w:szCs w:val="21"/>
                <w:highlight w:val="none"/>
              </w:rPr>
            </w:pPr>
            <w:r>
              <w:rPr>
                <w:rFonts w:hint="eastAsia" w:ascii="宋体" w:hAnsi="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w:t>
            </w:r>
            <w:r>
              <w:rPr>
                <w:rFonts w:hint="eastAsia" w:ascii="宋体" w:hAnsi="宋体" w:cs="宋体"/>
                <w:color w:val="auto"/>
                <w:sz w:val="21"/>
                <w:szCs w:val="21"/>
                <w:highlight w:val="none"/>
              </w:rPr>
              <w:t xml:space="preserve">还的除外。</w:t>
            </w:r>
            <w:r/>
          </w:p>
        </w:tc>
      </w:tr>
      <w:tr>
        <w:trPr>
          <w:jc w:val="center"/>
          <w:trHeight w:val="90"/>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第14.1（3）项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运行监督、维修期限</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eastAsia="Arial" w:cs="宋体"/>
                <w:color w:val="auto"/>
                <w:sz w:val="21"/>
                <w:szCs w:val="21"/>
                <w:highlight w:val="none"/>
              </w:rPr>
              <w:t xml:space="preserve">货物免费质保期</w:t>
            </w:r>
            <w:r>
              <w:rPr>
                <w:rFonts w:hint="eastAsia" w:ascii="宋体" w:hAnsi="宋体" w:eastAsia="Arial"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3</w:t>
            </w:r>
            <w:r>
              <w:rPr>
                <w:rFonts w:hint="eastAsia" w:ascii="宋体" w:hAnsi="宋体" w:eastAsia="Arial" w:cs="宋体"/>
                <w:color w:val="auto"/>
                <w:sz w:val="21"/>
                <w:szCs w:val="21"/>
                <w:highlight w:val="none"/>
              </w:rPr>
              <w:t xml:space="preserve">年。（</w:t>
            </w:r>
            <w:r>
              <w:rPr>
                <w:rFonts w:hint="eastAsia"/>
                <w:color w:val="auto"/>
                <w:sz w:val="21"/>
                <w:szCs w:val="21"/>
                <w:highlight w:val="none"/>
              </w:rPr>
              <w:t xml:space="preserve">自交货通过甲方技术审查之日起计</w:t>
            </w:r>
            <w:r>
              <w:rPr>
                <w:rFonts w:hint="eastAsia" w:ascii="宋体" w:hAnsi="宋体" w:eastAsia="Arial" w:cs="宋体"/>
                <w:color w:val="auto"/>
                <w:sz w:val="21"/>
                <w:szCs w:val="21"/>
                <w:highlight w:val="none"/>
              </w:rPr>
              <w:t xml:space="preserve">），</w:t>
            </w:r>
            <w:r>
              <w:rPr>
                <w:rFonts w:hint="eastAsia" w:ascii="宋体" w:hAnsi="宋体"/>
                <w:color w:val="auto"/>
                <w:sz w:val="21"/>
                <w:szCs w:val="21"/>
                <w:highlight w:val="none"/>
              </w:rPr>
              <w:t xml:space="preserve">乙方应对货物出现的质量及安全问题负责处理解决并承担一切费用</w:t>
            </w:r>
            <w:r>
              <w:rPr>
                <w:rFonts w:hint="eastAsia" w:ascii="宋体" w:hAnsi="宋体" w:eastAsia="Arial" w:cs="宋体"/>
                <w:color w:val="auto"/>
                <w:sz w:val="21"/>
                <w:szCs w:val="21"/>
                <w:highlight w:val="none"/>
              </w:rPr>
              <w:t xml:space="preserve">。</w:t>
            </w:r>
            <w:r/>
          </w:p>
        </w:tc>
      </w:tr>
      <w:tr>
        <w:trPr>
          <w:jc w:val="center"/>
          <w:trHeight w:val="784"/>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第14.1（5）项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货物回收的约定</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第14.1（6）项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乙方提供的其他服务</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乙方应按</w:t>
            </w:r>
            <w:r>
              <w:rPr>
                <w:rFonts w:hint="eastAsia" w:ascii="宋体" w:hAnsi="宋体"/>
                <w:color w:val="auto"/>
                <w:sz w:val="21"/>
                <w:szCs w:val="21"/>
                <w:highlight w:val="none"/>
              </w:rPr>
              <w:t xml:space="preserve">招标</w:t>
            </w:r>
            <w:r>
              <w:rPr>
                <w:rFonts w:ascii="宋体" w:hAnsi="宋体"/>
                <w:color w:val="auto"/>
                <w:sz w:val="21"/>
                <w:szCs w:val="21"/>
                <w:highlight w:val="none"/>
              </w:rPr>
              <w:t xml:space="preserve">文件规定和响应文件承诺的性能、技术要求、质量标准</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运维及后期服务</w:t>
            </w:r>
            <w:r>
              <w:rPr>
                <w:rFonts w:ascii="宋体" w:hAnsi="宋体"/>
                <w:color w:val="auto"/>
                <w:sz w:val="21"/>
                <w:szCs w:val="21"/>
                <w:highlight w:val="none"/>
              </w:rPr>
              <w:t xml:space="preserve">向甲方提供产品或服务。</w:t>
            </w:r>
            <w:r/>
          </w:p>
          <w:p>
            <w:pPr>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.在质保期内，乙方应</w:t>
            </w:r>
            <w:r>
              <w:rPr>
                <w:rFonts w:ascii="宋体" w:hAnsi="宋体"/>
                <w:color w:val="auto"/>
                <w:sz w:val="21"/>
                <w:szCs w:val="21"/>
                <w:highlight w:val="none"/>
              </w:rPr>
              <w:t xml:space="preserve">对产品或服务出现的质量及安全问题负责处理解决并承担一切费用。</w:t>
            </w:r>
            <w:r/>
          </w:p>
          <w:p>
            <w:pPr>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.在质保期内，提供7*24小时的服务响应，48小时内解决问题。</w:t>
            </w:r>
            <w:r>
              <w:rPr>
                <w:rFonts w:ascii="宋体" w:hAnsi="宋体"/>
                <w:color w:val="auto"/>
                <w:sz w:val="21"/>
                <w:szCs w:val="21"/>
                <w:highlight w:val="none"/>
              </w:rPr>
              <w:t xml:space="preserve">人员</w:t>
            </w:r>
            <w:r>
              <w:rPr>
                <w:rFonts w:hint="eastAsia" w:ascii="宋体" w:hAnsi="宋体"/>
                <w:color w:val="auto"/>
                <w:sz w:val="21"/>
                <w:szCs w:val="21"/>
                <w:highlight w:val="none"/>
              </w:rPr>
              <w:t xml:space="preserve">所需</w:t>
            </w:r>
            <w:r>
              <w:rPr>
                <w:rFonts w:ascii="宋体" w:hAnsi="宋体"/>
                <w:color w:val="auto"/>
                <w:sz w:val="21"/>
                <w:szCs w:val="21"/>
                <w:highlight w:val="none"/>
              </w:rPr>
              <w:t xml:space="preserve">办公</w:t>
            </w:r>
            <w:r>
              <w:rPr>
                <w:rFonts w:hint="eastAsia" w:ascii="宋体" w:hAnsi="宋体"/>
                <w:color w:val="auto"/>
                <w:sz w:val="21"/>
                <w:szCs w:val="21"/>
                <w:highlight w:val="none"/>
              </w:rPr>
              <w:t xml:space="preserve">设备由乙方</w:t>
            </w:r>
            <w:r>
              <w:rPr>
                <w:rFonts w:ascii="宋体" w:hAnsi="宋体"/>
                <w:color w:val="auto"/>
                <w:sz w:val="21"/>
                <w:szCs w:val="21"/>
                <w:highlight w:val="none"/>
              </w:rPr>
              <w:t xml:space="preserve">自行</w:t>
            </w:r>
            <w:r>
              <w:rPr>
                <w:rFonts w:hint="eastAsia" w:ascii="宋体" w:hAnsi="宋体"/>
                <w:color w:val="auto"/>
                <w:sz w:val="21"/>
                <w:szCs w:val="21"/>
                <w:highlight w:val="none"/>
              </w:rPr>
              <w:t xml:space="preserve">配置</w:t>
            </w:r>
            <w:r>
              <w:rPr>
                <w:rFonts w:ascii="宋体" w:hAnsi="宋体"/>
                <w:color w:val="auto"/>
                <w:sz w:val="21"/>
                <w:szCs w:val="21"/>
                <w:highlight w:val="none"/>
              </w:rPr>
              <w:t xml:space="preserve">。</w:t>
            </w:r>
            <w:r/>
          </w:p>
          <w:p>
            <w:pPr>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在质保期内，如遇软件产品升级、改版，乙方应免费提供更新、升级服务。升级程序应满足安全要求并能经过测试验证。如果乙方对项目软件在功能、运行维护等方面进行了技术改进，乙方应向甲方提供与上述技术改进有关的详细技术资料。</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5.在质保期内，乙方应接受甲方针对服务内容的不定期抽查或检查验收，服从甲方的各项管理规定。在现场工作的乙方人员，应遵守甲方或管理单位的有关规章制度。乙方工作人员非因甲方原因造成的一切损失和责任由乙方承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6.对于不称职或不适合服务岗位的乙方人员，甲方有要求更换的权利，对此乙方应无条件接受。</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7.乙方应承担本项目数据的保密责任，不得利用本项目的数据、档案或有关资料对外开展技术交流、业务联系、数据交换等。</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8.乙方交货前应对产品或服务作出全面检查和对技术审查文件进行整理，并列出清单，作为甲方技术审查和使用的技术条件依据，使用说明书、检验（检测）结果等应随技术审查报告一起提交甲方。</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9.甲方对乙方提供的产品或服务在使用前，乙方需负责培训甲方的使用操作人员，并协助甲方一起试用，直到符合技术要求，甲方才做技术审查/最终验收。</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10.对技术复杂的产品或服务，甲方可请国家认可的专业检测机构参与技术审查及最竣工验收，并由其出具质量检测报告，检测费用由预检结果决定方承担。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11.技术审查/最终验收时，乙方必须在现场，技术审查/最终验收完毕后作出技术审查/最终验收结果报告。</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第15.1款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修理、重做、更换相关具体规定</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1.详见合同通用条款8.2条款、合同专用条款第二节第8款补充条款及合同专用条款中索赔条款。</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第15.2（2）项</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迟延交货赔偿费</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1.乙方应按照“开标（报价）一览表”中规定的交货期或承诺交货和提供服务，并交付甲方技术审查/最终验收使用。</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2.如果乙方无正当理由拖延交货，将受到以下制裁：加收误期赔偿或终止合同。</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3.乙方逾期交付货物的，乙方应按逾期交货总额每日</w:t>
            </w:r>
            <w:r>
              <w:rPr>
                <w:rFonts w:hint="eastAsia" w:ascii="宋体" w:hAnsi="宋体"/>
                <w:color w:val="auto"/>
                <w:sz w:val="21"/>
                <w:szCs w:val="21"/>
                <w:highlight w:val="none"/>
                <w:u w:val="single"/>
              </w:rPr>
              <w:t xml:space="preserve">1%</w:t>
            </w:r>
            <w:r>
              <w:rPr>
                <w:rFonts w:hint="eastAsia" w:ascii="宋体" w:hAnsi="宋体"/>
                <w:color w:val="auto"/>
                <w:sz w:val="21"/>
                <w:szCs w:val="21"/>
                <w:highlight w:val="none"/>
              </w:rPr>
              <w:t xml:space="preserve">向甲方支付违约金，由甲方从待付货款中扣除。逾期超过约定日期</w:t>
            </w:r>
            <w:r>
              <w:rPr>
                <w:rFonts w:hint="eastAsia" w:ascii="宋体" w:hAnsi="宋体"/>
                <w:color w:val="auto"/>
                <w:sz w:val="21"/>
                <w:szCs w:val="21"/>
                <w:highlight w:val="none"/>
                <w:u w:val="single"/>
              </w:rPr>
              <w:t xml:space="preserve"> 30</w:t>
            </w:r>
            <w:r>
              <w:rPr>
                <w:rFonts w:hint="eastAsia" w:ascii="宋体" w:hAnsi="宋体"/>
                <w:color w:val="auto"/>
                <w:sz w:val="21"/>
                <w:szCs w:val="21"/>
                <w:highlight w:val="none"/>
              </w:rPr>
              <w:t xml:space="preserve">个工作日不能交货的，甲方可解除本合同。因乙方原因导致合同解除的，乙方除应赔偿因此给甲方造成的损失外，还应向甲方支付合同总额15%的违约金。 </w:t>
            </w:r>
            <w:r/>
          </w:p>
          <w:p>
            <w:pPr>
              <w:rPr>
                <w:rFonts w:hint="eastAsia" w:ascii="宋体" w:hAnsi="宋体"/>
                <w:color w:val="auto"/>
                <w:sz w:val="21"/>
                <w:szCs w:val="21"/>
                <w:highlight w:val="none"/>
                <w:u w:val="single"/>
              </w:rPr>
            </w:pPr>
            <w:r>
              <w:rPr>
                <w:rFonts w:hint="eastAsia" w:ascii="宋体" w:hAnsi="宋体"/>
                <w:color w:val="auto"/>
                <w:sz w:val="21"/>
                <w:szCs w:val="21"/>
                <w:highlight w:val="none"/>
              </w:rPr>
              <w:t xml:space="preserve">4.如乙方不能交付货物，或者有违法转包他人情形，乙方应向甲方支付合同总价1</w:t>
            </w:r>
            <w:r>
              <w:rPr>
                <w:rFonts w:hint="eastAsia" w:ascii="宋体" w:hAnsi="宋体"/>
                <w:color w:val="auto"/>
                <w:sz w:val="21"/>
                <w:szCs w:val="21"/>
                <w:highlight w:val="none"/>
                <w:u w:val="single"/>
              </w:rPr>
              <w:t xml:space="preserve">5%</w:t>
            </w:r>
            <w:r>
              <w:rPr>
                <w:rFonts w:hint="eastAsia" w:ascii="宋体" w:hAnsi="宋体"/>
                <w:color w:val="auto"/>
                <w:sz w:val="21"/>
                <w:szCs w:val="21"/>
                <w:highlight w:val="none"/>
              </w:rPr>
              <w:t xml:space="preserve">的违约金。</w:t>
            </w:r>
            <w:r/>
          </w:p>
        </w:tc>
      </w:tr>
      <w:tr>
        <w:trPr>
          <w:jc w:val="center"/>
          <w:trHeight w:val="736"/>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第15.3款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逾期付款利息</w:t>
            </w:r>
            <w:r/>
          </w:p>
        </w:tc>
        <w:tc>
          <w:tcPr>
            <w:tcW w:w="5124" w:type="dxa"/>
            <w:vAlign w:val="center"/>
            <w:textDirection w:val="lrTb"/>
            <w:noWrap w:val="false"/>
          </w:tcPr>
          <w:p>
            <w:pPr>
              <w:rPr>
                <w:rFonts w:hint="eastAsia" w:ascii="宋体" w:hAnsi="宋体"/>
                <w:color w:val="auto"/>
                <w:sz w:val="21"/>
                <w:szCs w:val="21"/>
                <w:highlight w:val="none"/>
                <w:u w:val="single"/>
              </w:rPr>
            </w:pPr>
            <w:r>
              <w:rPr>
                <w:rFonts w:hint="eastAsia"/>
                <w:color w:val="auto"/>
                <w:sz w:val="21"/>
                <w:szCs w:val="21"/>
                <w:highlight w:val="none"/>
              </w:rPr>
              <w:t xml:space="preserve">甲方无故逾期技术审查/最终验收和办理货款支付手续的,甲方应按逾期付款总额每日5‰向乙方支付违约金。</w:t>
            </w: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第15.4款</w:t>
            </w:r>
            <w:r/>
          </w:p>
        </w:tc>
        <w:tc>
          <w:tcPr>
            <w:tcBorders>
              <w:left w:val="single" w:color="000000" w:sz="2" w:space="0"/>
              <w:bottom w:val="single" w:color="000000" w:sz="2" w:space="0"/>
              <w:right w:val="single" w:color="000000" w:sz="2" w:space="0"/>
            </w:tcBorders>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其他违约责任</w:t>
            </w:r>
            <w:r/>
          </w:p>
        </w:tc>
        <w:tc>
          <w:tcPr>
            <w:tcBorders>
              <w:left w:val="single" w:color="000000" w:sz="2" w:space="0"/>
              <w:bottom w:val="single" w:color="000000" w:sz="2" w:space="0"/>
            </w:tcBorders>
            <w:tcW w:w="5124" w:type="dxa"/>
            <w:vAlign w:val="center"/>
            <w:textDirection w:val="lrTb"/>
            <w:noWrap w:val="false"/>
          </w:tcPr>
          <w:p>
            <w:pPr>
              <w:rPr>
                <w:rFonts w:hint="eastAsia" w:ascii="宋体" w:hAnsi="宋体"/>
                <w:color w:val="auto"/>
                <w:sz w:val="21"/>
                <w:szCs w:val="21"/>
                <w:highlight w:val="none"/>
                <w:u w:val="single"/>
              </w:rPr>
            </w:pPr>
            <w:r>
              <w:rPr>
                <w:rFonts w:hint="eastAsia"/>
                <w:color w:val="auto"/>
                <w:sz w:val="21"/>
                <w:szCs w:val="21"/>
                <w:highlight w:val="none"/>
                <w:lang w:val="zh-CN"/>
              </w:rPr>
              <w:t xml:space="preserve">乙方交付合同标的的标准</w:t>
            </w:r>
            <w:r>
              <w:rPr>
                <w:rFonts w:hint="eastAsia"/>
                <w:color w:val="auto"/>
                <w:sz w:val="21"/>
                <w:szCs w:val="21"/>
                <w:highlight w:val="none"/>
              </w:rPr>
              <w:t xml:space="preserve">以及履行合同义务</w:t>
            </w:r>
            <w:r>
              <w:rPr>
                <w:rFonts w:hint="eastAsia"/>
                <w:color w:val="auto"/>
                <w:sz w:val="21"/>
                <w:szCs w:val="21"/>
                <w:highlight w:val="none"/>
                <w:lang w:val="zh-CN"/>
              </w:rPr>
              <w:t xml:space="preserve">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第19.2款</w:t>
            </w:r>
            <w:r/>
          </w:p>
        </w:tc>
        <w:tc>
          <w:tcPr>
            <w:tcBorders>
              <w:top w:val="single" w:color="000000" w:sz="2" w:space="0"/>
              <w:left w:val="single" w:color="000000" w:sz="2" w:space="0"/>
              <w:right w:val="single" w:color="000000" w:sz="2" w:space="0"/>
            </w:tcBorders>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解决争议的方法</w:t>
            </w:r>
            <w:r/>
          </w:p>
        </w:tc>
        <w:tc>
          <w:tcPr>
            <w:tcBorders>
              <w:top w:val="single" w:color="000000" w:sz="2" w:space="0"/>
              <w:left w:val="single" w:color="000000" w:sz="2" w:space="0"/>
            </w:tcBorders>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1.因本合同及合同有关事项发生的争议，由双方协商解决，协商不成时，按下列第</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种方式解决：</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（1）向仲裁委员会申请仲裁，仲裁地点为</w:t>
            </w:r>
            <w:r>
              <w:rPr>
                <w:rFonts w:hint="eastAsia" w:ascii="宋体" w:hAnsi="宋体"/>
                <w:color w:val="auto"/>
                <w:sz w:val="21"/>
                <w:szCs w:val="21"/>
                <w:highlight w:val="none"/>
                <w:u w:val="single"/>
              </w:rPr>
              <w:t xml:space="preserve">盐城市</w:t>
            </w:r>
            <w:r>
              <w:rPr>
                <w:rFonts w:hint="eastAsia" w:ascii="宋体" w:hAnsi="宋体"/>
                <w:color w:val="auto"/>
                <w:sz w:val="21"/>
                <w:szCs w:val="21"/>
                <w:highlight w:val="none"/>
              </w:rPr>
              <w:t xml:space="preserve">；</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（2）向甲方所在地人民法院起诉。</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2.纠纷解决办法</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第二节</w:t>
            </w:r>
            <w:r/>
          </w:p>
          <w:p>
            <w:pPr>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第23.1款</w:t>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bCs/>
                <w:color w:val="auto"/>
                <w:sz w:val="21"/>
                <w:szCs w:val="21"/>
                <w:highlight w:val="none"/>
              </w:rPr>
              <w:t xml:space="preserve">其他专用条款</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甲方将在乙方交货现场组织技术审查，如果货物的质量和规格与合同规定相符，甲方应及时填写技术审查合格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color w:val="auto"/>
                <w:sz w:val="21"/>
                <w:szCs w:val="21"/>
                <w:highlight w:val="none"/>
              </w:rPr>
            </w:pPr>
            <w:r>
              <w:rPr>
                <w:rFonts w:hint="eastAsia" w:ascii="宋体" w:hAnsi="宋体"/>
                <w:color w:val="auto"/>
                <w:sz w:val="21"/>
                <w:szCs w:val="21"/>
                <w:highlight w:val="none"/>
              </w:rPr>
              <w:t xml:space="preserve">3.</w:t>
            </w:r>
            <w:r>
              <w:rPr>
                <w:color w:val="auto"/>
                <w:sz w:val="21"/>
                <w:szCs w:val="21"/>
                <w:highlight w:val="none"/>
              </w:rPr>
              <w:t xml:space="preserve">乙方所交付的产品或服务不符合项目需求要求、乙方响应文件承诺及国家有关质量标准的，甲方有权拒收，乙方愿意更换但逾期交付的，按乙方逾期交付处理。若乙方在质保期内对同一质量问题维修</w:t>
            </w:r>
            <w:r>
              <w:rPr>
                <w:rFonts w:hint="eastAsia"/>
                <w:color w:val="auto"/>
                <w:sz w:val="21"/>
                <w:szCs w:val="21"/>
                <w:highlight w:val="none"/>
              </w:rPr>
              <w:t xml:space="preserve">3</w:t>
            </w:r>
            <w:r>
              <w:rPr>
                <w:color w:val="auto"/>
                <w:sz w:val="21"/>
                <w:szCs w:val="21"/>
                <w:highlight w:val="none"/>
              </w:rPr>
              <w:t xml:space="preserve">次仍不合格的，甲方有权解除合同并要求乙方按合同总额</w:t>
            </w:r>
            <w:r>
              <w:rPr>
                <w:rFonts w:hint="eastAsia"/>
                <w:color w:val="auto"/>
                <w:sz w:val="21"/>
                <w:szCs w:val="21"/>
                <w:highlight w:val="none"/>
              </w:rPr>
              <w:t xml:space="preserve">15</w:t>
            </w:r>
            <w:r>
              <w:rPr>
                <w:color w:val="auto"/>
                <w:sz w:val="21"/>
                <w:szCs w:val="21"/>
                <w:highlight w:val="none"/>
              </w:rPr>
              <w:t xml:space="preserve">%支付赔偿金，同时质保期自动延长</w:t>
            </w:r>
            <w:r>
              <w:rPr>
                <w:rFonts w:hint="eastAsia"/>
                <w:color w:val="auto"/>
                <w:sz w:val="21"/>
                <w:szCs w:val="21"/>
                <w:highlight w:val="none"/>
              </w:rPr>
              <w:t xml:space="preserve">3</w:t>
            </w:r>
            <w:r>
              <w:rPr>
                <w:color w:val="auto"/>
                <w:sz w:val="21"/>
                <w:szCs w:val="21"/>
                <w:highlight w:val="none"/>
              </w:rPr>
              <w:t xml:space="preserve">个月。乙方拒绝更换的，甲方可单方面解除合同，并由乙方赔偿由此造成的甲方全部损失。</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4.货物技术审查/最终验收要求</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（1）依照招标文件要求对全部货物、型号、规格、数量、外形、外观、包装及资料、文件（如装箱单、保修单、随箱介质等）进行技术审查/最终验收。</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（2）甲方与乙方对货物到货后共同进行开箱检查，出现损坏、数量不全或产品不对等问题时，由乙方负责解决。</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（4）乙方应按照本合同规定的时间、地点和方式向乙方交付货物。</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交货时间：</w:t>
            </w:r>
            <w:r>
              <w:rPr>
                <w:rFonts w:hint="eastAsia" w:ascii="宋体" w:hAnsi="宋体"/>
                <w:color w:val="auto"/>
                <w:sz w:val="21"/>
                <w:szCs w:val="21"/>
                <w:highlight w:val="none"/>
                <w:u w:val="single"/>
                <w:lang w:val="en-US" w:eastAsia="zh-CN"/>
              </w:rPr>
              <w:t xml:space="preserve">60</w:t>
            </w:r>
            <w:r>
              <w:rPr>
                <w:rFonts w:hint="eastAsia" w:ascii="宋体" w:hAnsi="宋体"/>
                <w:color w:val="auto"/>
                <w:sz w:val="21"/>
                <w:szCs w:val="21"/>
                <w:highlight w:val="none"/>
              </w:rPr>
              <w:t xml:space="preserve">日前完成供货（安装）并交付使用。</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交货地点：</w:t>
            </w:r>
            <w:r>
              <w:rPr>
                <w:rFonts w:hint="eastAsia" w:ascii="宋体" w:hAnsi="宋体"/>
                <w:color w:val="auto"/>
                <w:sz w:val="21"/>
                <w:szCs w:val="21"/>
                <w:highlight w:val="none"/>
                <w:u w:val="single"/>
              </w:rPr>
              <w:t xml:space="preserve">甲方指定地点</w:t>
            </w:r>
            <w:r>
              <w:rPr>
                <w:rFonts w:hint="eastAsia" w:ascii="宋体" w:hAnsi="宋体"/>
                <w:color w:val="auto"/>
                <w:sz w:val="21"/>
                <w:szCs w:val="21"/>
                <w:highlight w:val="none"/>
              </w:rPr>
              <w:t xml:space="preserve">。</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（5）甲方应在全部货物到货安装完毕后的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rPr>
              <w:t xml:space="preserve">日内进行技术审查，验收包括：型号、规格、数量、外观是否完好，安装调试是否合格等。技术审查合格后甲方应在技术审查报告上签字盖章，技术审查合格且项目运行满</w:t>
            </w:r>
            <w:r>
              <w:rPr>
                <w:rFonts w:hint="eastAsia" w:ascii="宋体" w:hAnsi="宋体"/>
                <w:color w:val="auto"/>
                <w:sz w:val="21"/>
                <w:szCs w:val="21"/>
                <w:highlight w:val="none"/>
                <w:u w:val="single"/>
              </w:rPr>
              <w:t xml:space="preserve"> 12</w:t>
            </w:r>
            <w:r>
              <w:rPr>
                <w:rFonts w:hint="eastAsia" w:ascii="宋体" w:hAnsi="宋体"/>
                <w:color w:val="auto"/>
                <w:sz w:val="21"/>
                <w:szCs w:val="21"/>
                <w:highlight w:val="none"/>
              </w:rPr>
              <w:t xml:space="preserve">个月后，甲方组织对货物的质量及使用状况等进行最终验收。</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315"/>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55"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税费</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1.中国政府根据现行税法规定对甲方征收的与本合同有关的一切税费均由甲方负担（免税部分除外），招标文件另有规定的除外。</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2.中国政府根据现行税法规定对乙方征收的与本合同有关的一切税费均由乙方负担（免税部分除外）。</w:t>
            </w:r>
            <w:r/>
          </w:p>
        </w:tc>
      </w:tr>
      <w:tr>
        <w:trPr>
          <w:jc w:val="center"/>
          <w:trHeight w:val="770"/>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55"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伴随服务</w:t>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1.乙方应按照国家</w:t>
            </w:r>
            <w:r>
              <w:rPr>
                <w:rFonts w:hint="eastAsia" w:ascii="宋体" w:hAnsi="宋体"/>
                <w:b/>
                <w:color w:val="auto"/>
                <w:sz w:val="21"/>
                <w:szCs w:val="21"/>
                <w:highlight w:val="none"/>
              </w:rPr>
              <w:t xml:space="preserve">“新三包”</w:t>
            </w:r>
            <w:r>
              <w:rPr>
                <w:rFonts w:hint="eastAsia" w:ascii="宋体" w:hAnsi="宋体"/>
                <w:color w:val="auto"/>
                <w:sz w:val="21"/>
                <w:szCs w:val="21"/>
                <w:highlight w:val="none"/>
              </w:rPr>
              <w:t xml:space="preserve">规定和合同中所附的服务承诺提供服务。</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2.除第1条规定外，乙方还应提供下列服务：</w:t>
            </w:r>
            <w:r/>
          </w:p>
          <w:p>
            <w:pPr>
              <w:rPr>
                <w:rFonts w:hint="eastAsia" w:ascii="宋体" w:hAnsi="宋体"/>
                <w:b/>
                <w:color w:val="auto"/>
                <w:sz w:val="21"/>
                <w:szCs w:val="21"/>
                <w:highlight w:val="none"/>
              </w:rPr>
            </w:pPr>
            <w:r>
              <w:rPr>
                <w:rFonts w:hint="eastAsia" w:ascii="宋体" w:hAnsi="宋体"/>
                <w:b/>
                <w:color w:val="auto"/>
                <w:sz w:val="21"/>
                <w:szCs w:val="21"/>
                <w:highlight w:val="none"/>
              </w:rPr>
              <w:t xml:space="preserve"> (1) 招标文件中的“服务要求”所规定的服务内容以及投标文件承诺提供的其他服务内容；</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(2) 负责货物的开孔，货物的现场安装；</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(3) 提供货物组装和维修所需的工具；</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(4) 在合同中乙方承诺的质保期限内对所提供货物正常使用实施监督、维修，但前提条件是该服务并不能免除乙方在质量保证期内应承担的义务；</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(5) 在货物交货现场就货物的安装、启用、维护等对甲方人员进行培训。</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3.伴随服务的费用应含在合同价中，不单独进行支付。</w:t>
            </w:r>
            <w:r/>
          </w:p>
        </w:tc>
      </w:tr>
      <w:tr>
        <w:trPr>
          <w:jc w:val="center"/>
          <w:trHeight w:val="770"/>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索赔</w:t>
            </w:r>
            <w:r/>
          </w:p>
          <w:p>
            <w:pPr>
              <w:rPr>
                <w:rFonts w:hint="eastAsia" w:ascii="宋体" w:hAnsi="宋体"/>
                <w:color w:val="auto"/>
                <w:sz w:val="21"/>
                <w:szCs w:val="21"/>
                <w:highlight w:val="none"/>
              </w:rPr>
            </w:pPr>
            <w:r>
              <w:rPr>
                <w:rFonts w:hint="eastAsia" w:ascii="宋体" w:hAnsi="宋体"/>
                <w:color w:val="auto"/>
                <w:sz w:val="21"/>
                <w:szCs w:val="21"/>
                <w:highlight w:val="none"/>
              </w:rPr>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1.甲方有权根据当地质检部门出具的检验报告，向乙方提出索赔。</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2.根据合同规定的检验期和质量保证期内，如果乙方对甲方提出的索赔和差异负有责任，乙方应按照甲方同意的下列一种或多种方式解决索赔事宜：</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 (2) 根据货物的低劣程度、损坏程度以及甲方所遭受损失的数额，乙方必须降低货物的价格。</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5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55"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合同生效及其它</w:t>
            </w:r>
            <w:r/>
          </w:p>
          <w:p>
            <w:pP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W w:w="5124" w:type="dxa"/>
            <w:vAlign w:val="center"/>
            <w:textDirection w:val="lrTb"/>
            <w:noWrap w:val="false"/>
          </w:tcPr>
          <w:p>
            <w:pPr>
              <w:rPr>
                <w:rFonts w:hint="eastAsia" w:ascii="宋体" w:hAnsi="宋体"/>
                <w:color w:val="auto"/>
                <w:sz w:val="21"/>
                <w:szCs w:val="21"/>
                <w:highlight w:val="none"/>
              </w:rPr>
            </w:pPr>
            <w:r>
              <w:rPr>
                <w:rFonts w:hint="eastAsia" w:ascii="宋体" w:hAnsi="宋体"/>
                <w:color w:val="auto"/>
                <w:sz w:val="21"/>
                <w:szCs w:val="21"/>
                <w:highlight w:val="none"/>
              </w:rPr>
              <w:t xml:space="preserve">1. 合同经甲方、乙方盖章后生效。</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2. 货物交付使用后所发生的合同纠纷，由甲方与乙方协商处理。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4.本合同应按照中华人民共和国的现行法律进行解释。本合同未尽事宜，遵照《</w:t>
            </w:r>
            <w:r>
              <w:rPr>
                <w:rFonts w:hint="eastAsia" w:ascii="宋体" w:hAnsi="宋体"/>
                <w:color w:val="auto"/>
                <w:sz w:val="21"/>
                <w:szCs w:val="21"/>
                <w:highlight w:val="none"/>
                <w:lang w:val="en-US" w:eastAsia="zh-CN"/>
              </w:rPr>
              <w:t xml:space="preserve">中华人民共和国</w:t>
            </w:r>
            <w:r>
              <w:rPr>
                <w:rFonts w:hint="eastAsia" w:ascii="宋体" w:hAnsi="宋体"/>
                <w:color w:val="auto"/>
                <w:sz w:val="21"/>
                <w:szCs w:val="21"/>
                <w:highlight w:val="none"/>
              </w:rPr>
              <w:t xml:space="preserve">民法典》、《</w:t>
            </w:r>
            <w:r>
              <w:rPr>
                <w:rFonts w:hint="eastAsia" w:ascii="宋体" w:hAnsi="宋体"/>
                <w:color w:val="auto"/>
                <w:sz w:val="21"/>
                <w:szCs w:val="21"/>
                <w:highlight w:val="none"/>
                <w:lang w:val="en-US" w:eastAsia="zh-CN"/>
              </w:rPr>
              <w:t xml:space="preserve">中华人民共和国</w:t>
            </w:r>
            <w:r>
              <w:rPr>
                <w:rFonts w:hint="eastAsia" w:ascii="宋体" w:hAnsi="宋体"/>
                <w:color w:val="auto"/>
                <w:sz w:val="21"/>
                <w:szCs w:val="21"/>
                <w:highlight w:val="none"/>
              </w:rPr>
              <w:t xml:space="preserve">政府采购法》等有关条文执行。</w:t>
            </w:r>
            <w:r/>
          </w:p>
        </w:tc>
      </w:tr>
    </w:tbl>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both"/>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both"/>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both"/>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both"/>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330"/>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17"/>
      <w:r>
        <w:rPr>
          <w:rFonts w:hint="eastAsia" w:ascii="黑体" w:hAnsi="宋体" w:eastAsia="黑体" w:cs="黑体"/>
          <w:color w:val="auto"/>
          <w:sz w:val="44"/>
          <w:szCs w:val="44"/>
          <w:highlight w:val="none"/>
        </w:rPr>
        <w:t xml:space="preserve">四章 采购需求</w:t>
      </w:r>
      <w:bookmarkEnd w:id="118"/>
      <w:r/>
      <w:bookmarkEnd w:id="119"/>
      <w:r/>
      <w:bookmarkEnd w:id="120"/>
      <w:r/>
      <w:bookmarkEnd w:id="121"/>
      <w:r/>
      <w:bookmarkEnd w:id="122"/>
      <w:r/>
      <w:r/>
    </w:p>
    <w:p>
      <w:pPr>
        <w:pStyle w:val="1330"/>
        <w:ind w:firstLine="420"/>
        <w:jc w:val="both"/>
        <w:spacing w:beforeAutospacing="0" w:afterAutospacing="0" w:line="360" w:lineRule="auto"/>
        <w:rPr>
          <w:rFonts w:hint="eastAsia" w:ascii="宋体" w:hAnsi="宋体" w:cs="宋体"/>
          <w:color w:val="auto"/>
          <w:sz w:val="21"/>
          <w:szCs w:val="21"/>
          <w:highlight w:val="none"/>
        </w:rPr>
      </w:pPr>
      <w:r/>
      <w:bookmarkStart w:id="132" w:name="_Toc49090575"/>
      <w:r/>
      <w:bookmarkStart w:id="133" w:name="_Toc26554093"/>
      <w:r>
        <w:rPr>
          <w:rFonts w:hint="eastAsia" w:ascii="宋体" w:hAnsi="宋体" w:cs="宋体"/>
          <w:color w:val="auto"/>
          <w:sz w:val="21"/>
          <w:szCs w:val="21"/>
          <w:highlight w:val="none"/>
        </w:rPr>
        <w:t xml:space="preserve">项目属性:货物类项目</w:t>
      </w:r>
      <w:bookmarkEnd w:id="132"/>
      <w:r/>
      <w:bookmarkEnd w:id="133"/>
      <w:r>
        <w:rPr>
          <w:rFonts w:hint="eastAsia" w:ascii="宋体" w:hAnsi="宋体" w:cs="宋体"/>
          <w:color w:val="auto"/>
          <w:sz w:val="21"/>
          <w:szCs w:val="21"/>
          <w:highlight w:val="none"/>
        </w:rPr>
        <w:t xml:space="preserve">（本项目不接受进口设备）</w:t>
      </w:r>
      <w:r/>
    </w:p>
    <w:p>
      <w:pPr>
        <w:spacing w:line="360" w:lineRule="auto"/>
        <w:rPr>
          <w:rFonts w:hint="eastAsia" w:cs="宋体" w:asciiTheme="minorEastAsia" w:hAnsiTheme="minorEastAsia"/>
          <w:b/>
          <w:bCs/>
          <w:color w:val="auto"/>
          <w:sz w:val="21"/>
          <w:szCs w:val="21"/>
          <w:highlight w:val="none"/>
        </w:rPr>
      </w:pPr>
      <w:r>
        <w:rPr>
          <w:rFonts w:hint="eastAsia" w:cs="宋体" w:asciiTheme="minorEastAsia" w:hAnsiTheme="minorEastAsia"/>
          <w:b/>
          <w:bCs/>
          <w:color w:val="auto"/>
          <w:sz w:val="21"/>
          <w:szCs w:val="21"/>
          <w:highlight w:val="none"/>
        </w:rPr>
        <w:t xml:space="preserve">一、项目基本情况</w:t>
      </w:r>
      <w:r/>
    </w:p>
    <w:p>
      <w:pPr>
        <w:ind w:firstLine="480"/>
        <w:spacing w:line="360" w:lineRule="auto"/>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1、项目名称：</w:t>
      </w:r>
      <w:r>
        <w:rPr>
          <w:rFonts w:hint="eastAsia" w:cs="宋体" w:asciiTheme="minorEastAsia" w:hAnsiTheme="minorEastAsia"/>
          <w:color w:val="auto"/>
          <w:sz w:val="21"/>
          <w:szCs w:val="21"/>
          <w:highlight w:val="none"/>
          <w:lang w:eastAsia="zh-CN"/>
        </w:rPr>
        <w:t xml:space="preserve">盐城市生态环境监测监控中心应急监测能力提升项目</w:t>
      </w:r>
      <w:r/>
    </w:p>
    <w:p>
      <w:pPr>
        <w:ind w:firstLine="420"/>
        <w:spacing w:line="360" w:lineRule="auto"/>
        <w:rPr>
          <w:rFonts w:hint="eastAsia" w:ascii="宋体" w:hAnsi="宋体" w:eastAsia="宋体" w:cs="宋体"/>
          <w:color w:val="auto"/>
          <w:sz w:val="21"/>
          <w:szCs w:val="21"/>
          <w:highlight w:val="none"/>
        </w:rPr>
      </w:pPr>
      <w:r>
        <w:rPr>
          <w:rFonts w:hint="eastAsia" w:cs="宋体" w:asciiTheme="minorEastAsia" w:hAnsiTheme="minorEastAsia"/>
          <w:color w:val="auto"/>
          <w:sz w:val="21"/>
          <w:szCs w:val="21"/>
          <w:highlight w:val="none"/>
          <w:lang w:val="en-US" w:eastAsia="zh-CN"/>
        </w:rPr>
        <w:t xml:space="preserve">2</w:t>
      </w:r>
      <w:r>
        <w:rPr>
          <w:rFonts w:hint="eastAsia" w:cs="宋体" w:asciiTheme="minorEastAsia" w:hAnsiTheme="minorEastAsia"/>
          <w:color w:val="auto"/>
          <w:sz w:val="21"/>
          <w:szCs w:val="21"/>
          <w:highlight w:val="none"/>
        </w:rPr>
        <w:t xml:space="preserve">、项目概况：</w:t>
      </w:r>
      <w:r>
        <w:rPr>
          <w:rFonts w:hint="eastAsia" w:ascii="Times New Roman" w:hAnsi="Times New Roman" w:eastAsia="宋体" w:cs="Times New Roman"/>
          <w:color w:val="auto"/>
          <w:szCs w:val="32"/>
          <w:highlight w:val="none"/>
        </w:rPr>
        <w:t xml:space="preserve">全面提升我市应对突发环境事件的现场感知与应急处置能力。通过</w:t>
      </w:r>
      <w:r>
        <w:rPr>
          <w:rFonts w:hint="eastAsia" w:ascii="Times New Roman" w:hAnsi="Times New Roman" w:eastAsia="宋体" w:cs="Times New Roman"/>
          <w:color w:val="auto"/>
          <w:szCs w:val="32"/>
          <w:highlight w:val="none"/>
          <w:lang w:val="en-US" w:eastAsia="zh-CN"/>
        </w:rPr>
        <w:t xml:space="preserve">采购</w:t>
      </w:r>
      <w:r>
        <w:rPr>
          <w:rFonts w:hint="eastAsia" w:ascii="Times New Roman" w:hAnsi="Times New Roman" w:eastAsia="宋体" w:cs="Times New Roman"/>
          <w:color w:val="auto"/>
          <w:szCs w:val="32"/>
          <w:highlight w:val="none"/>
        </w:rPr>
        <w:t xml:space="preserve">先进的</w:t>
      </w:r>
      <w:r>
        <w:rPr>
          <w:rFonts w:hint="eastAsia" w:ascii="Times New Roman" w:hAnsi="Times New Roman" w:cs="Times New Roman"/>
          <w:color w:val="auto"/>
          <w:szCs w:val="32"/>
          <w:highlight w:val="none"/>
          <w:lang w:val="en-US" w:eastAsia="zh-CN"/>
        </w:rPr>
        <w:t xml:space="preserve">应急</w:t>
      </w:r>
      <w:r>
        <w:rPr>
          <w:rFonts w:hint="eastAsia" w:ascii="Times New Roman" w:hAnsi="Times New Roman" w:eastAsia="宋体" w:cs="Times New Roman"/>
          <w:color w:val="auto"/>
          <w:szCs w:val="32"/>
          <w:highlight w:val="none"/>
        </w:rPr>
        <w:t xml:space="preserve">监测设备</w:t>
      </w:r>
      <w:r>
        <w:rPr>
          <w:rFonts w:hint="eastAsia" w:ascii="宋体" w:hAnsi="宋体" w:eastAsia="宋体" w:cs="宋体"/>
          <w:color w:val="auto"/>
          <w:sz w:val="21"/>
          <w:szCs w:val="21"/>
          <w:highlight w:val="none"/>
        </w:rPr>
        <w:t xml:space="preserve">。</w:t>
      </w:r>
      <w:r>
        <w:rPr>
          <w:rFonts w:hint="eastAsia" w:ascii="方正仿宋_GBK" w:hAnsi="方正仿宋简体"/>
          <w:color w:val="auto"/>
          <w:szCs w:val="32"/>
          <w:highlight w:val="none"/>
        </w:rPr>
        <w:t xml:space="preserve">构建现代化应急监测体系。</w:t>
      </w:r>
      <w:r/>
    </w:p>
    <w:p>
      <w:pPr>
        <w:ind w:firstLine="480"/>
        <w:spacing w:line="360" w:lineRule="auto"/>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 xml:space="preserve">3</w:t>
      </w:r>
      <w:r>
        <w:rPr>
          <w:rFonts w:hint="eastAsia" w:cs="宋体" w:asciiTheme="minorEastAsia" w:hAnsiTheme="minorEastAsia"/>
          <w:color w:val="auto"/>
          <w:sz w:val="21"/>
          <w:szCs w:val="21"/>
          <w:highlight w:val="none"/>
        </w:rPr>
        <w:t xml:space="preserve">、项目预算金额：</w:t>
      </w:r>
      <w:r>
        <w:rPr>
          <w:rFonts w:hint="eastAsia" w:cs="宋体" w:asciiTheme="minorEastAsia" w:hAnsiTheme="minorEastAsia"/>
          <w:color w:val="auto"/>
          <w:sz w:val="21"/>
          <w:szCs w:val="21"/>
          <w:highlight w:val="none"/>
          <w:lang w:val="en-US" w:eastAsia="zh-CN"/>
        </w:rPr>
        <w:t xml:space="preserve">580</w:t>
      </w:r>
      <w:r>
        <w:rPr>
          <w:rFonts w:hint="eastAsia" w:cs="宋体" w:asciiTheme="minorEastAsia" w:hAnsiTheme="minorEastAsia"/>
          <w:color w:val="auto"/>
          <w:sz w:val="21"/>
          <w:szCs w:val="21"/>
          <w:highlight w:val="none"/>
        </w:rPr>
        <w:t xml:space="preserve">万元</w:t>
      </w:r>
      <w:r/>
    </w:p>
    <w:p>
      <w:pPr>
        <w:ind w:firstLine="480"/>
        <w:spacing w:line="360" w:lineRule="auto"/>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 xml:space="preserve">4</w:t>
      </w:r>
      <w:r>
        <w:rPr>
          <w:rFonts w:hint="eastAsia" w:cs="宋体" w:asciiTheme="minorEastAsia" w:hAnsiTheme="minorEastAsia"/>
          <w:color w:val="auto"/>
          <w:sz w:val="21"/>
          <w:szCs w:val="21"/>
          <w:highlight w:val="none"/>
        </w:rPr>
        <w:t xml:space="preserve">、项目最高限价：</w:t>
      </w:r>
      <w:r>
        <w:rPr>
          <w:rFonts w:hint="eastAsia" w:cs="宋体" w:asciiTheme="minorEastAsia" w:hAnsiTheme="minorEastAsia"/>
          <w:color w:val="auto"/>
          <w:sz w:val="21"/>
          <w:szCs w:val="21"/>
          <w:highlight w:val="none"/>
          <w:lang w:val="en-US" w:eastAsia="zh-CN"/>
        </w:rPr>
        <w:t xml:space="preserve">580</w:t>
      </w:r>
      <w:r>
        <w:rPr>
          <w:rFonts w:hint="eastAsia" w:cs="宋体" w:asciiTheme="minorEastAsia" w:hAnsiTheme="minorEastAsia"/>
          <w:color w:val="auto"/>
          <w:sz w:val="21"/>
          <w:szCs w:val="21"/>
          <w:highlight w:val="none"/>
        </w:rPr>
        <w:t xml:space="preserve">万元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bookmarkStart w:id="134" w:name="_Toc1330"/>
      <w:r/>
      <w:bookmarkEnd w:id="134"/>
      <w:r>
        <w:rPr>
          <w:rFonts w:hint="eastAsia" w:ascii="宋体" w:hAnsi="宋体" w:eastAsia="宋体" w:cs="宋体"/>
          <w:b/>
          <w:bCs/>
          <w:color w:val="auto"/>
          <w:sz w:val="21"/>
          <w:szCs w:val="21"/>
          <w:highlight w:val="none"/>
        </w:rPr>
        <w:t xml:space="preserve">项目背景</w:t>
      </w:r>
      <w:r/>
    </w:p>
    <w:p>
      <w:pPr>
        <w:ind w:firstLine="420"/>
        <w:spacing w:line="360" w:lineRule="auto"/>
        <w:rPr>
          <w:rFonts w:ascii="方正仿宋_GBK" w:hAnsi="方正仿宋简体"/>
          <w:color w:val="auto"/>
          <w:szCs w:val="32"/>
          <w:highlight w:val="none"/>
        </w:rPr>
      </w:pPr>
      <w:r>
        <w:rPr>
          <w:rFonts w:hint="eastAsia" w:ascii="方正仿宋_GBK" w:hAnsi="方正仿宋简体"/>
          <w:color w:val="auto"/>
          <w:szCs w:val="32"/>
          <w:highlight w:val="none"/>
        </w:rPr>
        <w:t xml:space="preserve">当前，突发环境事件呈现突发性强、污染物复杂、波及范围广的特点，对应急监测的时效性与精准度提出更高要求；近年我市多起危化品运输事故及次生环境事件处置中，暴露出市级监测机构应急监测存在突出短板。常规水气监测虽有基础，但现场快速感知、特征污染物定性定量分析能力薄弱，现有设备老旧单一、智能化水平偏低，缺少快速感知、智能分析类核心装备，在应对化工园区事故与不明污染时高度依赖第三方，导致响应滞后、协调困难、自主性不足，难以在黄金时间内实现“测得快、报得准、说得清”。</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三、建设目标</w:t>
      </w:r>
      <w:r/>
    </w:p>
    <w:p>
      <w:pPr>
        <w:ind w:firstLine="420"/>
        <w:spacing w:line="360" w:lineRule="auto"/>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 xml:space="preserve">本项目旨在全面提升我市应对突发环境事件的现场感知与应急处置能力。通过</w:t>
      </w:r>
      <w:r>
        <w:rPr>
          <w:rFonts w:hint="eastAsia" w:ascii="Times New Roman" w:hAnsi="Times New Roman" w:eastAsia="宋体" w:cs="Times New Roman"/>
          <w:color w:val="auto"/>
          <w:szCs w:val="32"/>
          <w:highlight w:val="none"/>
          <w:lang w:val="en-US" w:eastAsia="zh-CN"/>
        </w:rPr>
        <w:t xml:space="preserve">采购</w:t>
      </w:r>
      <w:r>
        <w:rPr>
          <w:rFonts w:hint="eastAsia" w:ascii="Times New Roman" w:hAnsi="Times New Roman" w:eastAsia="宋体" w:cs="Times New Roman"/>
          <w:color w:val="auto"/>
          <w:szCs w:val="32"/>
          <w:highlight w:val="none"/>
        </w:rPr>
        <w:t xml:space="preserve">先进的</w:t>
      </w:r>
      <w:r>
        <w:rPr>
          <w:rFonts w:hint="eastAsia" w:ascii="Times New Roman" w:hAnsi="Times New Roman" w:cs="Times New Roman"/>
          <w:color w:val="auto"/>
          <w:szCs w:val="32"/>
          <w:highlight w:val="none"/>
          <w:lang w:val="en-US" w:eastAsia="zh-CN"/>
        </w:rPr>
        <w:t xml:space="preserve">应急</w:t>
      </w:r>
      <w:r>
        <w:rPr>
          <w:rFonts w:hint="eastAsia" w:ascii="Times New Roman" w:hAnsi="Times New Roman" w:eastAsia="宋体" w:cs="Times New Roman"/>
          <w:color w:val="auto"/>
          <w:szCs w:val="32"/>
          <w:highlight w:val="none"/>
        </w:rPr>
        <w:t xml:space="preserve">监测设备（如重金属应急监测系统等</w:t>
      </w:r>
      <w:r>
        <w:rPr>
          <w:rFonts w:hint="eastAsia" w:ascii="Times New Roman" w:hAnsi="Times New Roman" w:cs="Times New Roman"/>
          <w:color w:val="auto"/>
          <w:szCs w:val="32"/>
          <w:highlight w:val="none"/>
          <w:lang w:eastAsia="zh-CN"/>
        </w:rPr>
        <w:t xml:space="preserve">、</w:t>
      </w:r>
      <w:r>
        <w:rPr>
          <w:rFonts w:hint="eastAsia" w:ascii="Times New Roman" w:hAnsi="Times New Roman" w:eastAsia="宋体" w:cs="Times New Roman"/>
          <w:color w:val="auto"/>
          <w:szCs w:val="32"/>
          <w:highlight w:val="none"/>
        </w:rPr>
        <w:t xml:space="preserve">一氧化碳测定仪），实现以下建设目标：</w:t>
      </w:r>
      <w:r/>
    </w:p>
    <w:p>
      <w:pPr>
        <w:ind w:firstLine="420"/>
        <w:spacing w:line="360" w:lineRule="auto"/>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 xml:space="preserve">1.补齐应急监测能力短板：当前，我中心在现场快速感知及特征污染物定性定量分析方面能力薄弱，现有设备老旧、功能单一、智能化水平偏低，缺乏快速感知与智能分析的核心装备，难以有效应对化工园区事故、不明污染物等复杂突发环境事件。通过项目实施，可系统弥补上述短板，显著增强分析能力。</w:t>
      </w:r>
      <w:r/>
    </w:p>
    <w:p>
      <w:pPr>
        <w:ind w:firstLine="420"/>
        <w:spacing w:line="360" w:lineRule="auto"/>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 xml:space="preserve">2.增强响应能力，减轻第三方依赖：近年来多起危化品运输事故及次生环境事件处置中，由于自主装备不足，高度依赖第三方机构，导致响应滞后、协调困难，无法在黄金时间内实现“测得快、报得准、说得清”。项目实施后，将有效提升自主监测能力，降低外部依赖，保障应急响应的及时性与可靠性。</w:t>
      </w:r>
      <w:r/>
    </w:p>
    <w:p>
      <w:pPr>
        <w:ind w:firstLine="420"/>
        <w:spacing w:line="360" w:lineRule="auto"/>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 xml:space="preserve">3.推动应急监测模式转型：当前应急监测模式主要依赖人工巡检、固定点位和事后响应，难以应对突发环境事件高频化、复合型、隐蔽性强的新挑战，存在响应滞后、数据碎片化、预测能力弱等突出短板。面对“平急结合”与“智慧应急”的新要求，亟须向“数智化”转型，实现从“被动应对”到“主动防控”的跨越，全面提升应急响应的时效性、精准度与韧性。</w:t>
      </w:r>
      <w:r/>
    </w:p>
    <w:p>
      <w:pPr>
        <w:ind w:firstLine="420"/>
        <w:spacing w:line="360" w:lineRule="auto"/>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r>
      <w:r/>
    </w:p>
    <w:p>
      <w:pPr>
        <w:pStyle w:val="1330"/>
        <w:ind w:firstLine="420"/>
        <w:jc w:val="both"/>
        <w:spacing w:beforeAutospacing="0" w:afterAutospacing="0"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rPr>
        <w:t xml:space="preserve">、项目</w:t>
      </w:r>
      <w:r>
        <w:rPr>
          <w:rFonts w:hint="eastAsia" w:ascii="宋体" w:hAnsi="宋体" w:cs="宋体"/>
          <w:b/>
          <w:bCs/>
          <w:color w:val="auto"/>
          <w:sz w:val="21"/>
          <w:szCs w:val="21"/>
          <w:highlight w:val="none"/>
          <w:lang w:val="en-US" w:eastAsia="zh-CN"/>
        </w:rPr>
        <w:t xml:space="preserve">设备清单</w:t>
      </w:r>
      <w:r>
        <w:rPr>
          <w:rFonts w:hint="eastAsia" w:ascii="宋体" w:hAnsi="宋体" w:cs="宋体"/>
          <w:b/>
          <w:bCs/>
          <w:color w:val="auto"/>
          <w:sz w:val="21"/>
          <w:szCs w:val="21"/>
          <w:highlight w:val="none"/>
        </w:rPr>
        <w:t xml:space="preserve">明细</w:t>
      </w:r>
      <w:r>
        <w:rPr>
          <w:rFonts w:hint="eastAsia" w:ascii="宋体" w:hAnsi="宋体" w:cs="宋体"/>
          <w:b/>
          <w:bCs/>
          <w:color w:val="auto"/>
          <w:sz w:val="21"/>
          <w:szCs w:val="21"/>
          <w:highlight w:val="none"/>
          <w:lang w:val="en-US" w:eastAsia="zh-CN"/>
        </w:rPr>
        <w:t xml:space="preserve">及技术参数</w:t>
      </w:r>
      <w:r/>
    </w:p>
    <w:p>
      <w:pPr>
        <w:pStyle w:val="1330"/>
        <w:ind w:firstLine="420"/>
        <w:jc w:val="both"/>
        <w:spacing w:beforeAutospacing="0" w:afterAutospacing="0"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一、设备清单</w:t>
      </w:r>
      <w:r/>
    </w:p>
    <w:tbl>
      <w:tblPr>
        <w:tblStyle w:val="1157"/>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132"/>
        <w:gridCol w:w="4039"/>
        <w:gridCol w:w="1343"/>
        <w:gridCol w:w="655"/>
      </w:tblGrid>
      <w:tr>
        <w:trPr>
          <w:jc w:val="center"/>
        </w:trPr>
        <w:tc>
          <w:tcPr>
            <w:tcW w:w="419"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1195"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设备名称</w:t>
            </w:r>
            <w:r/>
          </w:p>
        </w:tc>
        <w:tc>
          <w:tcPr>
            <w:tcW w:w="2264"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主要用途</w:t>
            </w:r>
            <w:r/>
          </w:p>
        </w:tc>
        <w:tc>
          <w:tcPr>
            <w:tcW w:w="753"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采购数量（台/套）</w:t>
            </w:r>
            <w:r/>
          </w:p>
        </w:tc>
        <w:tc>
          <w:tcPr>
            <w:tcW w:w="367"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tc>
      </w:tr>
      <w:tr>
        <w:trPr>
          <w:jc w:val="center"/>
        </w:trPr>
        <w:tc>
          <w:tcPr>
            <w:tcW w:w="419"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1195"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cs="宋体"/>
                <w:color w:val="auto"/>
                <w:szCs w:val="21"/>
                <w:highlight w:val="none"/>
              </w:rPr>
              <w:t xml:space="preserve">水质监测智能分析系统</w:t>
            </w:r>
            <w:r/>
          </w:p>
        </w:tc>
        <w:tc>
          <w:tcPr>
            <w:tcW w:w="2264"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cs="宋体"/>
                <w:color w:val="auto"/>
                <w:szCs w:val="21"/>
                <w:highlight w:val="none"/>
                <w:lang w:val="en-US" w:eastAsia="zh-CN"/>
              </w:rPr>
              <w:t xml:space="preserve">通过</w:t>
            </w:r>
            <w:r>
              <w:rPr>
                <w:rFonts w:hint="eastAsia" w:ascii="宋体" w:hAnsi="宋体" w:cs="宋体"/>
                <w:color w:val="auto"/>
                <w:szCs w:val="21"/>
                <w:highlight w:val="none"/>
              </w:rPr>
              <w:t xml:space="preserve">自动移液工作站与一体化分析集群协同作业，实现全流程自动化、高效批量处理、多参数同步检测，具备黑灯运行能力，支持24小时无人值守，适配应急、汛期、夜间等特殊场景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黑灯实验室</w:t>
            </w:r>
            <w:r>
              <w:rPr>
                <w:rFonts w:hint="eastAsia" w:ascii="宋体" w:hAnsi="宋体" w:cs="宋体"/>
                <w:color w:val="auto"/>
                <w:szCs w:val="21"/>
                <w:highlight w:val="none"/>
                <w:lang w:eastAsia="zh-CN"/>
              </w:rPr>
              <w:t xml:space="preserve">）</w:t>
            </w:r>
            <w:r/>
          </w:p>
        </w:tc>
        <w:tc>
          <w:tcPr>
            <w:tcW w:w="753"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67"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419"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1195"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水质、空气中重金属监测系统</w:t>
            </w:r>
            <w:r/>
          </w:p>
        </w:tc>
        <w:tc>
          <w:tcPr>
            <w:tcW w:w="2264"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用于水及空气中重金属的筛查和现场测定</w:t>
            </w:r>
            <w:r/>
          </w:p>
        </w:tc>
        <w:tc>
          <w:tcPr>
            <w:tcW w:w="753"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67"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419"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1195"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一氧化碳测定仪</w:t>
            </w:r>
            <w:r/>
          </w:p>
        </w:tc>
        <w:tc>
          <w:tcPr>
            <w:tcW w:w="2264"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用于</w:t>
            </w:r>
            <w:r>
              <w:rPr>
                <w:rFonts w:hint="eastAsia" w:ascii="宋体" w:hAnsi="宋体" w:eastAsia="宋体" w:cs="宋体"/>
                <w:b w:val="0"/>
                <w:bCs w:val="0"/>
                <w:color w:val="auto"/>
                <w:sz w:val="21"/>
                <w:szCs w:val="21"/>
                <w:highlight w:val="none"/>
              </w:rPr>
              <w:t xml:space="preserve">环境空气中的一氧化碳</w:t>
            </w:r>
            <w:r>
              <w:rPr>
                <w:rFonts w:hint="eastAsia" w:ascii="宋体" w:hAnsi="宋体" w:eastAsia="宋体" w:cs="宋体"/>
                <w:b w:val="0"/>
                <w:bCs w:val="0"/>
                <w:color w:val="auto"/>
                <w:sz w:val="21"/>
                <w:szCs w:val="21"/>
                <w:highlight w:val="none"/>
                <w:lang w:val="en-US" w:eastAsia="zh-CN"/>
              </w:rPr>
              <w:t xml:space="preserve">测定</w:t>
            </w:r>
            <w:r/>
          </w:p>
        </w:tc>
        <w:tc>
          <w:tcPr>
            <w:tcW w:w="753"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67"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419"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1195"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环境</w:t>
            </w:r>
            <w:r>
              <w:rPr>
                <w:rFonts w:hint="eastAsia" w:ascii="宋体" w:hAnsi="宋体" w:eastAsia="宋体" w:cs="宋体"/>
                <w:b w:val="0"/>
                <w:bCs w:val="0"/>
                <w:color w:val="auto"/>
                <w:sz w:val="21"/>
                <w:szCs w:val="21"/>
                <w:highlight w:val="none"/>
                <w:lang w:val="en-US" w:eastAsia="zh-CN"/>
              </w:rPr>
              <w:t xml:space="preserve">质量</w:t>
            </w:r>
            <w:r>
              <w:rPr>
                <w:rFonts w:hint="eastAsia" w:ascii="宋体" w:hAnsi="宋体" w:eastAsia="宋体" w:cs="宋体"/>
                <w:b w:val="0"/>
                <w:bCs w:val="0"/>
                <w:color w:val="auto"/>
                <w:sz w:val="21"/>
                <w:szCs w:val="21"/>
                <w:highlight w:val="none"/>
              </w:rPr>
              <w:t xml:space="preserve">监测车</w:t>
            </w:r>
            <w:r/>
          </w:p>
        </w:tc>
        <w:tc>
          <w:tcPr>
            <w:tcW w:w="2264" w:type="pct"/>
            <w:vAlign w:val="center"/>
            <w:textDirection w:val="lrTb"/>
            <w:noWrap w:val="false"/>
          </w:tcPr>
          <w:p>
            <w:pPr>
              <w:jc w:val="both"/>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用于应急项目现场抽样专项车</w:t>
            </w:r>
            <w:r/>
          </w:p>
        </w:tc>
        <w:tc>
          <w:tcPr>
            <w:tcW w:w="753"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67" w:type="pct"/>
            <w:vAlign w:val="center"/>
            <w:textDirection w:val="lrTb"/>
            <w:noWrap w:val="false"/>
          </w:tcPr>
          <w:p>
            <w:pPr>
              <w:jc w:val="center"/>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设备技术参数要求</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（一）、水质监测智能分析系统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地面轨道机器人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1.1 </w:t>
      </w:r>
      <w:r>
        <w:rPr>
          <w:rFonts w:hint="eastAsia" w:ascii="宋体" w:hAnsi="宋体" w:cs="宋体"/>
          <w:i/>
          <w:iCs/>
          <w:color w:val="auto"/>
          <w:szCs w:val="21"/>
          <w:highlight w:val="none"/>
          <w:u w:val="single"/>
        </w:rPr>
        <w:t xml:space="preserve">用于样品瓶的搬运，将样品瓶在分样系统和分析系统中进行转移。</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.1.2 </w:t>
      </w:r>
      <w:r>
        <w:rPr>
          <w:rFonts w:hint="eastAsia" w:ascii="宋体" w:hAnsi="宋体" w:cs="宋体"/>
          <w:i/>
          <w:iCs/>
          <w:color w:val="auto"/>
          <w:szCs w:val="21"/>
          <w:highlight w:val="none"/>
          <w:u w:val="single"/>
        </w:rPr>
        <w:t xml:space="preserve">采用高速伺服电机进行直线移动，在智能实验室各个模块间移动，地面轨道两端配有传感器，滑台若移动到两段会立即停止，保护设备。</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.1.3</w:t>
      </w:r>
      <w:r>
        <w:rPr>
          <w:rFonts w:hint="eastAsia" w:ascii="宋体" w:hAnsi="宋体" w:cs="宋体"/>
          <w:i/>
          <w:iCs/>
          <w:color w:val="auto"/>
          <w:szCs w:val="21"/>
          <w:highlight w:val="none"/>
          <w:u w:val="single"/>
        </w:rPr>
        <w:t xml:space="preserve">配备六轴机械臂，工作半径≥0.9米，配备夹爪，夹爪前端夹指的移动距离≥80mm，实现样品的自动转移。六轴机械臂可与实验人员进行人机协作，机械臂轻微碰到人体之后即可停下，不会对操作人员有任何伤害。</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.1.4</w:t>
      </w:r>
      <w:r>
        <w:rPr>
          <w:rFonts w:hint="eastAsia" w:ascii="宋体" w:hAnsi="宋体" w:cs="宋体"/>
          <w:i/>
          <w:iCs/>
          <w:color w:val="auto"/>
          <w:szCs w:val="21"/>
          <w:highlight w:val="none"/>
          <w:u w:val="single"/>
        </w:rPr>
        <w:t xml:space="preserve">轨道机器人平台上配备多个样品杯缓冲模块，用于临时放置样品杯，缓冲模块为固定式，不随机械臂移动。</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.1.5 </w:t>
      </w:r>
      <w:r>
        <w:rPr>
          <w:rFonts w:hint="eastAsia" w:ascii="宋体" w:hAnsi="宋体" w:cs="宋体"/>
          <w:i/>
          <w:iCs/>
          <w:color w:val="auto"/>
          <w:szCs w:val="21"/>
          <w:highlight w:val="none"/>
          <w:u w:val="single"/>
        </w:rPr>
        <w:t xml:space="preserve">轨道机器人的移动速度≥1米/秒，移动精度±0.5mm。</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.1.6</w:t>
      </w:r>
      <w:r>
        <w:rPr>
          <w:rFonts w:hint="eastAsia" w:ascii="宋体" w:hAnsi="宋体" w:cs="宋体"/>
          <w:i/>
          <w:iCs/>
          <w:color w:val="auto"/>
          <w:szCs w:val="21"/>
          <w:highlight w:val="none"/>
          <w:u w:val="single"/>
        </w:rPr>
        <w:t xml:space="preserve">具有仪器样品上下样功能，可根据各自动分析单元的分析检测效率，智能调度样品管在自动分析仪器、分样模块之间流转与进出样；可根据不同仪器的需求，适应不少于3种样品管</w:t>
      </w:r>
      <w:r>
        <w:rPr>
          <w:rFonts w:hint="eastAsia" w:ascii="宋体" w:hAnsi="宋体" w:cs="宋体"/>
          <w:i/>
          <w:iCs/>
          <w:color w:val="auto"/>
          <w:szCs w:val="21"/>
          <w:highlight w:val="none"/>
          <w:u w:val="single"/>
          <w:lang w:eastAsia="zh-CN"/>
        </w:rPr>
        <w:t xml:space="preserve">。</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安全作业要求：（1）设备配备急停开关，按下立即停止设备运行。（2）转移样品抓手具备误抓报警，没有抓取到瓶子或者瓶子意外脱落可检测出来，并报警。</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1.2 </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 </w:t>
      </w:r>
      <w:r>
        <w:rPr>
          <w:rFonts w:hint="eastAsia" w:ascii="宋体" w:hAnsi="宋体" w:cs="宋体"/>
          <w:i/>
          <w:iCs/>
          <w:color w:val="auto"/>
          <w:szCs w:val="21"/>
          <w:highlight w:val="none"/>
          <w:u w:val="single"/>
        </w:rPr>
        <w:t xml:space="preserve">地面轨道移动模组1套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 </w:t>
      </w:r>
      <w:r>
        <w:rPr>
          <w:rFonts w:hint="eastAsia" w:ascii="宋体" w:hAnsi="宋体" w:cs="宋体"/>
          <w:i/>
          <w:iCs/>
          <w:color w:val="auto"/>
          <w:szCs w:val="21"/>
          <w:highlight w:val="none"/>
          <w:u w:val="single"/>
        </w:rPr>
        <w:t xml:space="preserve">六轴机械臂1套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.2.3 </w:t>
      </w:r>
      <w:r>
        <w:rPr>
          <w:rFonts w:hint="eastAsia" w:ascii="宋体" w:hAnsi="宋体" w:cs="宋体"/>
          <w:i/>
          <w:iCs/>
          <w:color w:val="auto"/>
          <w:szCs w:val="21"/>
          <w:highlight w:val="none"/>
          <w:u w:val="single"/>
        </w:rPr>
        <w:t xml:space="preserve">控制器1套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.2.4 </w:t>
      </w:r>
      <w:r>
        <w:rPr>
          <w:rFonts w:hint="eastAsia" w:ascii="宋体" w:hAnsi="宋体" w:cs="宋体"/>
          <w:i/>
          <w:iCs/>
          <w:color w:val="auto"/>
          <w:szCs w:val="21"/>
          <w:highlight w:val="none"/>
          <w:u w:val="single"/>
        </w:rPr>
        <w:t xml:space="preserve">电动夹爪1套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.3 </w:t>
      </w:r>
      <w:r>
        <w:rPr>
          <w:rFonts w:hint="eastAsia" w:ascii="宋体" w:hAnsi="宋体" w:cs="宋体"/>
          <w:i/>
          <w:iCs/>
          <w:color w:val="auto"/>
          <w:szCs w:val="21"/>
          <w:highlight w:val="none"/>
          <w:u w:val="single"/>
        </w:rPr>
        <w:t xml:space="preserve">技术指标</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.3.1 </w:t>
      </w:r>
      <w:r>
        <w:rPr>
          <w:rFonts w:hint="eastAsia" w:ascii="宋体" w:hAnsi="宋体" w:cs="宋体"/>
          <w:i/>
          <w:iCs/>
          <w:color w:val="auto"/>
          <w:szCs w:val="21"/>
          <w:highlight w:val="none"/>
          <w:u w:val="single"/>
        </w:rPr>
        <w:t xml:space="preserve">轨道长度：≥8米</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.3.2 </w:t>
      </w:r>
      <w:r>
        <w:rPr>
          <w:rFonts w:hint="eastAsia" w:ascii="宋体" w:hAnsi="宋体" w:cs="宋体"/>
          <w:i/>
          <w:iCs/>
          <w:color w:val="auto"/>
          <w:szCs w:val="21"/>
          <w:highlight w:val="none"/>
          <w:u w:val="single"/>
        </w:rPr>
        <w:t xml:space="preserve">移动速度：≥1米/秒</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1</w:t>
      </w:r>
      <w:r>
        <w:rPr>
          <w:rFonts w:hint="eastAsia" w:ascii="宋体" w:hAnsi="宋体" w:cs="宋体"/>
          <w:i/>
          <w:iCs/>
          <w:color w:val="auto"/>
          <w:szCs w:val="21"/>
          <w:highlight w:val="none"/>
          <w:u w:val="single"/>
          <w:lang w:val="en-US" w:eastAsia="zh-CN"/>
        </w:rPr>
        <w:t xml:space="preserve">.3.3 </w:t>
      </w:r>
      <w:r>
        <w:rPr>
          <w:rFonts w:hint="eastAsia" w:ascii="宋体" w:hAnsi="宋体" w:cs="宋体"/>
          <w:i/>
          <w:iCs/>
          <w:color w:val="auto"/>
          <w:szCs w:val="21"/>
          <w:highlight w:val="none"/>
          <w:u w:val="single"/>
        </w:rPr>
        <w:t xml:space="preserve">移动精度：≥±0.5mm</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全自动分样工作站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仪器具备样品信息自动录入，自动混匀，自动分样，自动调节</w:t>
      </w:r>
      <w:r>
        <w:rPr>
          <w:rFonts w:hint="eastAsia" w:ascii="宋体" w:hAnsi="宋体" w:cs="宋体"/>
          <w:i/>
          <w:iCs/>
          <w:color w:val="auto"/>
          <w:szCs w:val="21"/>
          <w:highlight w:val="none"/>
          <w:u w:val="single"/>
          <w:lang w:eastAsia="zh-CN"/>
        </w:rPr>
        <w:t xml:space="preserve">pH</w:t>
      </w:r>
      <w:r>
        <w:rPr>
          <w:rFonts w:hint="eastAsia" w:ascii="宋体" w:hAnsi="宋体" w:cs="宋体"/>
          <w:i/>
          <w:iCs/>
          <w:color w:val="auto"/>
          <w:szCs w:val="21"/>
          <w:highlight w:val="none"/>
          <w:u w:val="single"/>
        </w:rPr>
        <w:t xml:space="preserve">功能。</w:t>
      </w:r>
      <w:r/>
    </w:p>
    <w:p>
      <w:p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仪器具备至少1个采样瓶托架和3个分样瓶托架，托架采用抽屉式设计，均可抽出放置瓶子，每个托架均配有位置传感器。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提供仪器</w:t>
      </w:r>
      <w:r>
        <w:rPr>
          <w:rFonts w:hint="eastAsia" w:ascii="宋体" w:hAnsi="宋体" w:cs="宋体"/>
          <w:b/>
          <w:bCs/>
          <w:color w:val="auto"/>
          <w:szCs w:val="21"/>
          <w:highlight w:val="none"/>
          <w:lang w:val="en-US" w:eastAsia="zh-CN"/>
        </w:rPr>
        <w:t xml:space="preserve">设备</w:t>
      </w:r>
      <w:r>
        <w:rPr>
          <w:rFonts w:hint="eastAsia" w:ascii="宋体" w:hAnsi="宋体" w:cs="宋体"/>
          <w:b/>
          <w:bCs/>
          <w:color w:val="auto"/>
          <w:szCs w:val="21"/>
          <w:highlight w:val="none"/>
        </w:rPr>
        <w:t xml:space="preserve">实物照片</w:t>
      </w:r>
      <w:r>
        <w:rPr>
          <w:rFonts w:hint="eastAsia" w:ascii="宋体" w:hAnsi="宋体" w:cs="宋体"/>
          <w:b/>
          <w:bCs/>
          <w:color w:val="auto"/>
          <w:szCs w:val="21"/>
          <w:highlight w:val="none"/>
          <w:lang w:val="en-US" w:eastAsia="zh-CN"/>
        </w:rPr>
        <w:t xml:space="preserve">并加盖投标单位公章</w:t>
      </w:r>
      <w:r>
        <w:rPr>
          <w:rFonts w:hint="eastAsia" w:ascii="宋体" w:hAnsi="宋体" w:cs="宋体"/>
          <w:b/>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采用落地式一体机设计，四周均有视窗，工作状态清晰可见，整机尺寸长宽高不大于1900mm*2100mm*2150mm，内部分样平台最多可以同时放置40个采样瓶和360个分样瓶，分样瓶最小容积不小于60ml。</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提供仪器</w:t>
      </w:r>
      <w:r>
        <w:rPr>
          <w:rFonts w:hint="eastAsia" w:ascii="宋体" w:hAnsi="宋体" w:cs="宋体"/>
          <w:b/>
          <w:bCs/>
          <w:color w:val="auto"/>
          <w:szCs w:val="21"/>
          <w:highlight w:val="none"/>
          <w:lang w:val="en-US" w:eastAsia="zh-CN"/>
        </w:rPr>
        <w:t xml:space="preserve">设备</w:t>
      </w:r>
      <w:r>
        <w:rPr>
          <w:rFonts w:hint="eastAsia" w:ascii="宋体" w:hAnsi="宋体" w:cs="宋体"/>
          <w:b/>
          <w:bCs/>
          <w:color w:val="auto"/>
          <w:szCs w:val="21"/>
          <w:highlight w:val="none"/>
        </w:rPr>
        <w:t xml:space="preserve">实物照片</w:t>
      </w:r>
      <w:r>
        <w:rPr>
          <w:rFonts w:hint="eastAsia" w:ascii="宋体" w:hAnsi="宋体" w:cs="宋体"/>
          <w:b/>
          <w:bCs/>
          <w:color w:val="auto"/>
          <w:szCs w:val="21"/>
          <w:highlight w:val="none"/>
          <w:lang w:val="en-US" w:eastAsia="zh-CN"/>
        </w:rPr>
        <w:t xml:space="preserve">并加盖投标单位公章</w:t>
      </w:r>
      <w:r>
        <w:rPr>
          <w:rFonts w:hint="eastAsia" w:ascii="宋体" w:hAnsi="宋体" w:cs="宋体"/>
          <w:b/>
          <w:bCs/>
          <w:color w:val="auto"/>
          <w:szCs w:val="21"/>
          <w:highlight w:val="none"/>
        </w:rPr>
        <w:t xml:space="preserve">）</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.1.4 </w:t>
      </w:r>
      <w:r>
        <w:rPr>
          <w:rFonts w:hint="eastAsia" w:ascii="宋体" w:hAnsi="宋体" w:cs="宋体"/>
          <w:i/>
          <w:iCs/>
          <w:color w:val="auto"/>
          <w:szCs w:val="21"/>
          <w:highlight w:val="none"/>
          <w:u w:val="single"/>
        </w:rPr>
        <w:t xml:space="preserve">配备六轴机械臂，工作半径≥1.3米，配备夹爪，夹爪前端夹指的移动距离≥80mm，实现样品的自动转移，自动开盖。六轴机械臂可与实验人员进行人机协作，机械臂轻微碰到人体之后即可停下，不会对操作人员有任何伤害。</w:t>
      </w:r>
      <w:r/>
    </w:p>
    <w:p>
      <w:p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设备内部至少有两套样品信息读取装置</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提供仪器</w:t>
      </w:r>
      <w:r>
        <w:rPr>
          <w:rFonts w:hint="eastAsia" w:ascii="宋体" w:hAnsi="宋体" w:cs="宋体"/>
          <w:b/>
          <w:bCs/>
          <w:color w:val="auto"/>
          <w:szCs w:val="21"/>
          <w:highlight w:val="none"/>
          <w:lang w:val="en-US" w:eastAsia="zh-CN"/>
        </w:rPr>
        <w:t xml:space="preserve">设备</w:t>
      </w:r>
      <w:r>
        <w:rPr>
          <w:rFonts w:hint="eastAsia" w:ascii="宋体" w:hAnsi="宋体" w:cs="宋体"/>
          <w:b/>
          <w:bCs/>
          <w:color w:val="auto"/>
          <w:szCs w:val="21"/>
          <w:highlight w:val="none"/>
        </w:rPr>
        <w:t xml:space="preserve">实物照片</w:t>
      </w:r>
      <w:r>
        <w:rPr>
          <w:rFonts w:hint="eastAsia" w:ascii="宋体" w:hAnsi="宋体" w:cs="宋体"/>
          <w:b/>
          <w:bCs/>
          <w:color w:val="auto"/>
          <w:szCs w:val="21"/>
          <w:highlight w:val="none"/>
          <w:lang w:val="en-US" w:eastAsia="zh-CN"/>
        </w:rPr>
        <w:t xml:space="preserve">并加盖投标单位公章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rPr>
        <w:t xml:space="preserve">可自动读取采样瓶标签中的样品信息，支持片区扫描，3秒内可以扫描不少于40个样品的信息。</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.1.6 </w:t>
      </w:r>
      <w:r>
        <w:rPr>
          <w:rFonts w:hint="eastAsia" w:ascii="宋体" w:hAnsi="宋体" w:cs="宋体"/>
          <w:i/>
          <w:iCs/>
          <w:color w:val="auto"/>
          <w:szCs w:val="21"/>
          <w:highlight w:val="none"/>
          <w:u w:val="single"/>
        </w:rPr>
        <w:t xml:space="preserve">配备多参数模块，可自动检测</w:t>
      </w:r>
      <w:r>
        <w:rPr>
          <w:rFonts w:hint="eastAsia" w:ascii="宋体" w:hAnsi="宋体" w:cs="宋体"/>
          <w:i/>
          <w:iCs/>
          <w:color w:val="auto"/>
          <w:szCs w:val="21"/>
          <w:highlight w:val="none"/>
          <w:u w:val="single"/>
          <w:lang w:val="en-US" w:eastAsia="zh-CN"/>
        </w:rPr>
        <w:t xml:space="preserve">pH</w:t>
      </w:r>
      <w:r>
        <w:rPr>
          <w:rFonts w:hint="eastAsia" w:ascii="宋体" w:hAnsi="宋体" w:cs="宋体"/>
          <w:i/>
          <w:iCs/>
          <w:color w:val="auto"/>
          <w:szCs w:val="21"/>
          <w:highlight w:val="none"/>
          <w:u w:val="single"/>
        </w:rPr>
        <w:t xml:space="preserve">，溶解氧浓度。</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具备自动调节</w:t>
      </w:r>
      <w:r>
        <w:rPr>
          <w:rFonts w:hint="eastAsia" w:ascii="宋体" w:hAnsi="宋体" w:cs="宋体"/>
          <w:i/>
          <w:iCs/>
          <w:color w:val="auto"/>
          <w:szCs w:val="21"/>
          <w:highlight w:val="none"/>
          <w:u w:val="single"/>
          <w:lang w:eastAsia="zh-CN"/>
        </w:rPr>
        <w:t xml:space="preserve">pH</w:t>
      </w:r>
      <w:r>
        <w:rPr>
          <w:rFonts w:hint="eastAsia" w:ascii="宋体" w:hAnsi="宋体" w:cs="宋体"/>
          <w:i/>
          <w:iCs/>
          <w:color w:val="auto"/>
          <w:szCs w:val="21"/>
          <w:highlight w:val="none"/>
          <w:u w:val="single"/>
        </w:rPr>
        <w:t xml:space="preserve">功能，可根据分析项目的要求，设置需要调节到的</w:t>
      </w:r>
      <w:r>
        <w:rPr>
          <w:rFonts w:hint="eastAsia" w:ascii="宋体" w:hAnsi="宋体" w:cs="宋体"/>
          <w:i/>
          <w:iCs/>
          <w:color w:val="auto"/>
          <w:szCs w:val="21"/>
          <w:highlight w:val="none"/>
          <w:u w:val="single"/>
          <w:lang w:eastAsia="zh-CN"/>
        </w:rPr>
        <w:t xml:space="preserve">pH</w:t>
      </w:r>
      <w:r>
        <w:rPr>
          <w:rFonts w:hint="eastAsia" w:ascii="宋体" w:hAnsi="宋体" w:cs="宋体"/>
          <w:i/>
          <w:iCs/>
          <w:color w:val="auto"/>
          <w:szCs w:val="21"/>
          <w:highlight w:val="none"/>
          <w:u w:val="single"/>
        </w:rPr>
        <w:t xml:space="preserve">数值。</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.1.8 </w:t>
      </w:r>
      <w:r>
        <w:rPr>
          <w:rFonts w:hint="eastAsia" w:ascii="宋体" w:hAnsi="宋体" w:cs="宋体"/>
          <w:i/>
          <w:iCs/>
          <w:color w:val="auto"/>
          <w:szCs w:val="21"/>
          <w:highlight w:val="none"/>
          <w:u w:val="single"/>
        </w:rPr>
        <w:t xml:space="preserve">安全作业要求：（1）设备配备急停开关，按下立即停止设备运行。（2）转移样品抓手具备误抓报警，没有抓取到瓶子或者瓶子意外脱落可检测出来，并报警。</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.1.9</w:t>
      </w:r>
      <w:r>
        <w:rPr>
          <w:rFonts w:hint="eastAsia" w:ascii="宋体" w:hAnsi="宋体" w:cs="宋体"/>
          <w:i/>
          <w:iCs/>
          <w:color w:val="auto"/>
          <w:szCs w:val="21"/>
          <w:highlight w:val="none"/>
          <w:u w:val="single"/>
        </w:rPr>
        <w:t xml:space="preserve">仪器可以快速分样，分样前自动混匀样品，单个样品的分样时间小于20秒。</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2.1.10</w:t>
      </w:r>
      <w:r>
        <w:rPr>
          <w:rFonts w:hint="eastAsia" w:ascii="宋体" w:hAnsi="宋体" w:cs="宋体"/>
          <w:i/>
          <w:iCs/>
          <w:color w:val="auto"/>
          <w:szCs w:val="21"/>
          <w:highlight w:val="none"/>
          <w:u w:val="single"/>
        </w:rPr>
        <w:t xml:space="preserve">可以对接智能复合机器人或者轨道机器人进行上下料，也可以单机使用。软件可对接无人实验室中控系统，支持数据、样品状态、设备报警信息等实时上传。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.1.11</w:t>
      </w:r>
      <w:r>
        <w:rPr>
          <w:rFonts w:hint="eastAsia" w:ascii="宋体" w:hAnsi="宋体" w:cs="宋体"/>
          <w:i/>
          <w:iCs/>
          <w:color w:val="auto"/>
          <w:szCs w:val="21"/>
          <w:highlight w:val="none"/>
          <w:u w:val="single"/>
        </w:rPr>
        <w:t xml:space="preserve">仪器平台包含了上料区和下料区，可以进行样品杯的上下料步骤，上料区配备了重力感应模块，可以检测样品的重量。</w:t>
      </w:r>
      <w:r/>
    </w:p>
    <w:p>
      <w:p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.1.12</w:t>
      </w:r>
      <w:r>
        <w:rPr>
          <w:rFonts w:hint="eastAsia" w:ascii="宋体" w:hAnsi="宋体" w:cs="宋体"/>
          <w:color w:val="auto"/>
          <w:szCs w:val="21"/>
          <w:highlight w:val="none"/>
        </w:rPr>
        <w:t xml:space="preserve">仪器内部配备不少于三套机械臂和两套开盖拧盖装置</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提供仪器</w:t>
      </w:r>
      <w:r>
        <w:rPr>
          <w:rFonts w:hint="eastAsia" w:ascii="宋体" w:hAnsi="宋体" w:cs="宋体"/>
          <w:b/>
          <w:bCs/>
          <w:color w:val="auto"/>
          <w:szCs w:val="21"/>
          <w:highlight w:val="none"/>
          <w:lang w:val="en-US" w:eastAsia="zh-CN"/>
        </w:rPr>
        <w:t xml:space="preserve">设备</w:t>
      </w:r>
      <w:r>
        <w:rPr>
          <w:rFonts w:hint="eastAsia" w:ascii="宋体" w:hAnsi="宋体" w:cs="宋体"/>
          <w:b/>
          <w:bCs/>
          <w:color w:val="auto"/>
          <w:szCs w:val="21"/>
          <w:highlight w:val="none"/>
        </w:rPr>
        <w:t xml:space="preserve">实物照片</w:t>
      </w:r>
      <w:r>
        <w:rPr>
          <w:rFonts w:hint="eastAsia" w:ascii="宋体" w:hAnsi="宋体" w:cs="宋体"/>
          <w:b/>
          <w:bCs/>
          <w:color w:val="auto"/>
          <w:szCs w:val="21"/>
          <w:highlight w:val="none"/>
          <w:lang w:val="en-US" w:eastAsia="zh-CN"/>
        </w:rPr>
        <w:t xml:space="preserve">并加盖投标单位公章</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，实现快速分样和对采样瓶的稳定开合盖。</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.2.1 </w:t>
      </w:r>
      <w:r>
        <w:rPr>
          <w:rFonts w:hint="eastAsia" w:ascii="宋体" w:hAnsi="宋体" w:cs="宋体"/>
          <w:i/>
          <w:iCs/>
          <w:color w:val="auto"/>
          <w:szCs w:val="21"/>
          <w:highlight w:val="none"/>
          <w:u w:val="single"/>
        </w:rPr>
        <w:t xml:space="preserve">全自动分样工作站1台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.2.2 </w:t>
      </w:r>
      <w:r>
        <w:rPr>
          <w:rFonts w:hint="eastAsia" w:ascii="宋体" w:hAnsi="宋体" w:cs="宋体"/>
          <w:i/>
          <w:iCs/>
          <w:color w:val="auto"/>
          <w:szCs w:val="21"/>
          <w:highlight w:val="none"/>
          <w:u w:val="single"/>
        </w:rPr>
        <w:t xml:space="preserve">采样瓶50个</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.2.3 </w:t>
      </w:r>
      <w:r>
        <w:rPr>
          <w:rFonts w:hint="eastAsia" w:ascii="宋体" w:hAnsi="宋体" w:cs="宋体"/>
          <w:i/>
          <w:iCs/>
          <w:color w:val="auto"/>
          <w:szCs w:val="21"/>
          <w:highlight w:val="none"/>
          <w:u w:val="single"/>
        </w:rPr>
        <w:t xml:space="preserve">60ml分样瓶150个</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.2.4 </w:t>
      </w:r>
      <w:r>
        <w:rPr>
          <w:rFonts w:hint="eastAsia" w:ascii="宋体" w:hAnsi="宋体" w:cs="宋体"/>
          <w:i/>
          <w:iCs/>
          <w:color w:val="auto"/>
          <w:szCs w:val="21"/>
          <w:highlight w:val="none"/>
          <w:u w:val="single"/>
        </w:rPr>
        <w:t xml:space="preserve">350ml分样瓶150个</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.2.5 </w:t>
      </w:r>
      <w:r>
        <w:rPr>
          <w:rFonts w:hint="eastAsia" w:ascii="宋体" w:hAnsi="宋体" w:cs="宋体"/>
          <w:i/>
          <w:iCs/>
          <w:color w:val="auto"/>
          <w:szCs w:val="21"/>
          <w:highlight w:val="none"/>
          <w:u w:val="single"/>
        </w:rPr>
        <w:t xml:space="preserve">系统操作软件1套</w:t>
      </w:r>
      <w:r/>
    </w:p>
    <w:p>
      <w:pPr>
        <w:spacing w:line="360" w:lineRule="auto"/>
        <w:rPr>
          <w:rFonts w:hint="default"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2.2.6分样工作站电脑1台：显示屏：</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27英寸，CPU：</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4核4线程，内存：</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16G，硬盘：</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128G固态＋1T机械盘，端口要求：</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2网口、</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6个USB、</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2个HDMI接口。</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 </w:t>
      </w:r>
      <w:r>
        <w:rPr>
          <w:rFonts w:hint="eastAsia" w:ascii="宋体" w:hAnsi="宋体" w:cs="宋体"/>
          <w:i/>
          <w:iCs/>
          <w:color w:val="auto"/>
          <w:szCs w:val="21"/>
          <w:highlight w:val="none"/>
          <w:u w:val="single"/>
        </w:rPr>
        <w:t xml:space="preserve">技术指标</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样品位：≥40位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.3.2 </w:t>
      </w:r>
      <w:r>
        <w:rPr>
          <w:rFonts w:hint="eastAsia" w:ascii="宋体" w:hAnsi="宋体" w:cs="宋体"/>
          <w:i/>
          <w:iCs/>
          <w:color w:val="auto"/>
          <w:szCs w:val="21"/>
          <w:highlight w:val="none"/>
          <w:u w:val="single"/>
        </w:rPr>
        <w:t xml:space="preserve">700ml瓶（石油类）位数：≥20位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.3.3 </w:t>
      </w:r>
      <w:r>
        <w:rPr>
          <w:rFonts w:hint="eastAsia" w:ascii="宋体" w:hAnsi="宋体" w:cs="宋体"/>
          <w:i/>
          <w:iCs/>
          <w:color w:val="auto"/>
          <w:szCs w:val="21"/>
          <w:highlight w:val="none"/>
          <w:u w:val="single"/>
        </w:rPr>
        <w:t xml:space="preserve">350ml分样瓶位数：≥78位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.3.4 </w:t>
      </w:r>
      <w:r>
        <w:rPr>
          <w:rFonts w:hint="eastAsia" w:ascii="宋体" w:hAnsi="宋体" w:cs="宋体"/>
          <w:i/>
          <w:iCs/>
          <w:color w:val="auto"/>
          <w:szCs w:val="21"/>
          <w:highlight w:val="none"/>
          <w:u w:val="single"/>
        </w:rPr>
        <w:t xml:space="preserve">60ml分样瓶位数：≥120位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2</w:t>
      </w:r>
      <w:r>
        <w:rPr>
          <w:rFonts w:hint="eastAsia" w:ascii="宋体" w:hAnsi="宋体" w:cs="宋体"/>
          <w:i/>
          <w:iCs/>
          <w:color w:val="auto"/>
          <w:szCs w:val="21"/>
          <w:highlight w:val="none"/>
          <w:u w:val="single"/>
          <w:lang w:val="en-US" w:eastAsia="zh-CN"/>
        </w:rPr>
        <w:t xml:space="preserve">.3.5 </w:t>
      </w:r>
      <w:r>
        <w:rPr>
          <w:rFonts w:hint="eastAsia" w:ascii="宋体" w:hAnsi="宋体" w:cs="宋体"/>
          <w:i/>
          <w:iCs/>
          <w:color w:val="auto"/>
          <w:szCs w:val="21"/>
          <w:highlight w:val="none"/>
          <w:u w:val="single"/>
        </w:rPr>
        <w:t xml:space="preserve">单次分样时间：</w:t>
      </w:r>
      <w:r>
        <w:rPr>
          <w:rFonts w:hint="eastAsia" w:ascii="宋体" w:hAnsi="宋体" w:cs="宋体"/>
          <w:i/>
          <w:iCs/>
          <w:color w:val="auto"/>
          <w:szCs w:val="21"/>
          <w:highlight w:val="none"/>
          <w:u w:val="single"/>
          <w:lang w:val="en-US" w:eastAsia="zh-CN"/>
        </w:rPr>
        <w:t xml:space="preserve">≤</w:t>
      </w:r>
      <w:r>
        <w:rPr>
          <w:rFonts w:hint="eastAsia" w:ascii="宋体" w:hAnsi="宋体" w:cs="宋体"/>
          <w:i/>
          <w:iCs/>
          <w:color w:val="auto"/>
          <w:szCs w:val="21"/>
          <w:highlight w:val="none"/>
          <w:u w:val="single"/>
        </w:rPr>
        <w:t xml:space="preserve">20秒</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 </w:t>
      </w:r>
      <w:r>
        <w:rPr>
          <w:rFonts w:hint="eastAsia" w:ascii="宋体" w:hAnsi="宋体" w:cs="宋体"/>
          <w:i/>
          <w:iCs/>
          <w:color w:val="auto"/>
          <w:szCs w:val="21"/>
          <w:highlight w:val="none"/>
          <w:u w:val="single"/>
        </w:rPr>
        <w:t xml:space="preserve">全自动CODcr测定仪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对原有仪器全自动CODcr测定仪</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.1.2</w:t>
      </w:r>
      <w:r>
        <w:rPr>
          <w:rFonts w:hint="eastAsia" w:ascii="宋体" w:hAnsi="宋体" w:cs="宋体"/>
          <w:i/>
          <w:iCs/>
          <w:color w:val="auto"/>
          <w:szCs w:val="21"/>
          <w:highlight w:val="none"/>
          <w:u w:val="single"/>
        </w:rPr>
        <w:t xml:space="preserve">满足标准《水质 化学需氧量的测定 重铬酸盐法》（HJ828-2017）。</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安全作业要求：</w:t>
      </w:r>
      <w:r/>
    </w:p>
    <w:p>
      <w:pPr>
        <w:numPr>
          <w:ilvl w:val="-1"/>
          <w:numId w:val="0"/>
        </w:numPr>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样品分析前可以自动识别样品杯中是否放入了搅拌子，若未放置，可通过软件进行提示。</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软件截图并加盖投标单位公章</w:t>
      </w:r>
      <w:r>
        <w:rPr>
          <w:rFonts w:hint="eastAsia" w:ascii="宋体" w:hAnsi="宋体" w:cs="宋体"/>
          <w:b/>
          <w:bCs/>
          <w:color w:val="auto"/>
          <w:szCs w:val="21"/>
          <w:highlight w:val="none"/>
        </w:rPr>
        <w:t xml:space="preserve">）</w:t>
      </w:r>
      <w:r/>
    </w:p>
    <w:p>
      <w:pPr>
        <w:numPr>
          <w:ilvl w:val="-1"/>
          <w:numId w:val="0"/>
        </w:numPr>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注射泵有报警功能，管路堵塞能自动报警，注射器上装有传感器，未抽取到试剂会自动报警。</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软件截图并加盖投标单位公章</w:t>
      </w:r>
      <w:r>
        <w:rPr>
          <w:rFonts w:hint="eastAsia" w:ascii="宋体" w:hAnsi="宋体" w:cs="宋体"/>
          <w:b/>
          <w:bCs/>
          <w:color w:val="auto"/>
          <w:szCs w:val="21"/>
          <w:highlight w:val="none"/>
        </w:rPr>
        <w:t xml:space="preserve">）</w:t>
      </w:r>
      <w:r/>
    </w:p>
    <w:p>
      <w:pPr>
        <w:numPr>
          <w:ilvl w:val="-1"/>
          <w:numId w:val="0"/>
        </w:numPr>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仪器可自动判别待测样品位上是否放置样品杯，如有不匹配，仪器会自动报警。</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软件截图并加盖投标单位公章</w:t>
      </w:r>
      <w:r>
        <w:rPr>
          <w:rFonts w:hint="eastAsia" w:ascii="宋体" w:hAnsi="宋体" w:cs="宋体"/>
          <w:b/>
          <w:bCs/>
          <w:color w:val="auto"/>
          <w:szCs w:val="21"/>
          <w:highlight w:val="none"/>
        </w:rPr>
        <w:t xml:space="preserve">）</w:t>
      </w:r>
      <w:r/>
    </w:p>
    <w:p>
      <w:pPr>
        <w:numPr>
          <w:ilvl w:val="-1"/>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有专用清洗杯，清洗冷凝管时，仪器可自动识别是否放置了清洗杯，如果没有放置清洗杯点“清洗冷凝管”键，软件会阻止操作并自动报警提示。</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软件截图并加盖投标单位公章</w:t>
      </w:r>
      <w:r>
        <w:rPr>
          <w:rFonts w:hint="eastAsia" w:ascii="宋体" w:hAnsi="宋体" w:cs="宋体"/>
          <w:b/>
          <w:bCs/>
          <w:color w:val="auto"/>
          <w:szCs w:val="21"/>
          <w:highlight w:val="none"/>
        </w:rPr>
        <w:t xml:space="preserve">）</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.1.4</w:t>
      </w:r>
      <w:r>
        <w:rPr>
          <w:rFonts w:hint="eastAsia" w:ascii="宋体" w:hAnsi="宋体" w:cs="宋体"/>
          <w:i/>
          <w:iCs/>
          <w:color w:val="auto"/>
          <w:szCs w:val="21"/>
          <w:highlight w:val="none"/>
          <w:u w:val="single"/>
        </w:rPr>
        <w:t xml:space="preserve">仪器采用分体式设计，通过主机和辅机的方式进行测试，主机和辅机仅通过单个管路连接，安装方便。仪器需额外配备自动进样器，自动进样器可向主机和辅机自动进样。</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5.配备1套自动进样器，进样器具备自动定量，自动清洗，自动润洗功能，并对接无人实验室样品传输模块，自动上下样，样品位数不少于50位。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.1.6</w:t>
      </w:r>
      <w:r>
        <w:rPr>
          <w:rFonts w:hint="eastAsia" w:ascii="宋体" w:hAnsi="宋体" w:cs="宋体"/>
          <w:i/>
          <w:iCs/>
          <w:color w:val="auto"/>
          <w:szCs w:val="21"/>
          <w:highlight w:val="none"/>
          <w:u w:val="single"/>
        </w:rPr>
        <w:t xml:space="preserve">软件可对接无人实验室中控系统，支持数据、样品状态、设备报警信息等实时上传。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.2 </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.2.1 </w:t>
      </w:r>
      <w:r>
        <w:rPr>
          <w:rFonts w:hint="eastAsia" w:ascii="宋体" w:hAnsi="宋体" w:cs="宋体"/>
          <w:i/>
          <w:iCs/>
          <w:color w:val="auto"/>
          <w:szCs w:val="21"/>
          <w:highlight w:val="none"/>
          <w:u w:val="single"/>
        </w:rPr>
        <w:t xml:space="preserve">将原有全自动CODcr测定仪主机：1台，副机：1台，改造成可直接对接黑灯实验室的仪器。</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.2.2</w:t>
      </w:r>
      <w:r>
        <w:rPr>
          <w:rFonts w:hint="eastAsia" w:ascii="宋体" w:hAnsi="宋体" w:cs="宋体"/>
          <w:i/>
          <w:iCs/>
          <w:color w:val="auto"/>
          <w:szCs w:val="21"/>
          <w:highlight w:val="none"/>
          <w:u w:val="single"/>
        </w:rPr>
        <w:t xml:space="preserve">自动进样器：1台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.2.3</w:t>
      </w:r>
      <w:r>
        <w:rPr>
          <w:rFonts w:hint="eastAsia" w:ascii="宋体" w:hAnsi="宋体" w:cs="宋体"/>
          <w:i/>
          <w:iCs/>
          <w:color w:val="auto"/>
          <w:szCs w:val="21"/>
          <w:highlight w:val="none"/>
          <w:u w:val="single"/>
        </w:rPr>
        <w:t xml:space="preserve">系统软件：1套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.2.4</w:t>
      </w:r>
      <w:r>
        <w:rPr>
          <w:rFonts w:hint="eastAsia" w:ascii="宋体" w:hAnsi="宋体" w:cs="宋体"/>
          <w:i/>
          <w:iCs/>
          <w:color w:val="auto"/>
          <w:szCs w:val="21"/>
          <w:highlight w:val="none"/>
          <w:u w:val="single"/>
        </w:rPr>
        <w:t xml:space="preserve">样品杯不少于50个</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技术指标</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样品位数：≥50位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消解位数：≥40位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3</w:t>
      </w:r>
      <w:r>
        <w:rPr>
          <w:rFonts w:hint="eastAsia" w:ascii="宋体" w:hAnsi="宋体" w:cs="宋体"/>
          <w:i/>
          <w:iCs/>
          <w:color w:val="auto"/>
          <w:szCs w:val="21"/>
          <w:highlight w:val="none"/>
          <w:u w:val="single"/>
          <w:lang w:val="en-US" w:eastAsia="zh-CN"/>
        </w:rPr>
        <w:t xml:space="preserve">.3.3 </w:t>
      </w:r>
      <w:r>
        <w:rPr>
          <w:rFonts w:hint="eastAsia" w:ascii="宋体" w:hAnsi="宋体" w:cs="宋体"/>
          <w:i/>
          <w:iCs/>
          <w:color w:val="auto"/>
          <w:szCs w:val="21"/>
          <w:highlight w:val="none"/>
          <w:u w:val="single"/>
        </w:rPr>
        <w:t xml:space="preserve">自动进样器位数：≥50位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全自动红外测油仪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4</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基本参数要求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4</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对原有仪器全自动红外测油仪进行改造升级，升级后可直接对接到黑灯实验室系统，实现全自动放样，全自动做样，全自动取样等功能。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4</w:t>
      </w:r>
      <w:r>
        <w:rPr>
          <w:rFonts w:hint="eastAsia" w:ascii="宋体" w:hAnsi="宋体" w:cs="宋体"/>
          <w:i/>
          <w:iCs/>
          <w:color w:val="auto"/>
          <w:szCs w:val="21"/>
          <w:highlight w:val="none"/>
          <w:u w:val="single"/>
          <w:lang w:val="en-US" w:eastAsia="zh-CN"/>
        </w:rPr>
        <w:t xml:space="preserve">.1.2</w:t>
      </w:r>
      <w:r>
        <w:rPr>
          <w:rFonts w:hint="eastAsia" w:ascii="宋体" w:hAnsi="宋体" w:cs="宋体"/>
          <w:i/>
          <w:iCs/>
          <w:color w:val="auto"/>
          <w:szCs w:val="21"/>
          <w:highlight w:val="none"/>
          <w:u w:val="single"/>
        </w:rPr>
        <w:t xml:space="preserve">仪器测量采用三波长红外分光光度法，符合“HJ637-2018”标准。可连续测量测量油类、石油类和动植物油，同时获得三个数据。</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4</w:t>
      </w:r>
      <w:r>
        <w:rPr>
          <w:rFonts w:hint="eastAsia" w:ascii="宋体" w:hAnsi="宋体" w:cs="宋体"/>
          <w:i/>
          <w:iCs/>
          <w:color w:val="auto"/>
          <w:szCs w:val="21"/>
          <w:highlight w:val="none"/>
          <w:u w:val="single"/>
          <w:lang w:val="en-US" w:eastAsia="zh-CN"/>
        </w:rPr>
        <w:t xml:space="preserve">.1.3</w:t>
      </w:r>
      <w:r>
        <w:rPr>
          <w:rFonts w:hint="eastAsia" w:ascii="宋体" w:hAnsi="宋体" w:cs="宋体"/>
          <w:i/>
          <w:iCs/>
          <w:color w:val="auto"/>
          <w:szCs w:val="21"/>
          <w:highlight w:val="none"/>
          <w:u w:val="single"/>
        </w:rPr>
        <w:t xml:space="preserve">设备可对接智能实验室中控系统软件，样品数据、仪器状态、报警错误等支持实时上传。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4</w:t>
      </w:r>
      <w:r>
        <w:rPr>
          <w:rFonts w:hint="eastAsia" w:ascii="宋体" w:hAnsi="宋体" w:cs="宋体"/>
          <w:i/>
          <w:iCs/>
          <w:color w:val="auto"/>
          <w:szCs w:val="21"/>
          <w:highlight w:val="none"/>
          <w:u w:val="single"/>
          <w:lang w:val="en-US" w:eastAsia="zh-CN"/>
        </w:rPr>
        <w:t xml:space="preserve">.1.4</w:t>
      </w:r>
      <w:r>
        <w:rPr>
          <w:rFonts w:hint="eastAsia" w:ascii="宋体" w:hAnsi="宋体" w:cs="宋体"/>
          <w:i/>
          <w:iCs/>
          <w:color w:val="auto"/>
          <w:szCs w:val="21"/>
          <w:highlight w:val="none"/>
          <w:u w:val="single"/>
        </w:rPr>
        <w:t xml:space="preserve">设备进样器需升级为可对接智能实验室样品传输系统，支持自动上下样品，样品不得进行二次转移，需要在原样品杯中进行前处理。</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全自动高锰酸盐指数分析仪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对原有仪器全自动高锰酸盐指数分析仪进行改造升级，升级后可直接对接到黑灯实验室系统，实现全自动放样，全自动做样，全自动取样等功能。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.1.2</w:t>
      </w:r>
      <w:r>
        <w:rPr>
          <w:rFonts w:hint="eastAsia" w:ascii="宋体" w:hAnsi="宋体" w:cs="宋体"/>
          <w:i/>
          <w:iCs/>
          <w:color w:val="auto"/>
          <w:szCs w:val="21"/>
          <w:highlight w:val="none"/>
          <w:u w:val="single"/>
        </w:rPr>
        <w:t xml:space="preserve">配备进样器，进样器具备自动定量，自动清洗，自动润洗功能，并对接无人实验室样品传输模块，自动上下样，样品位数不少于35位。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.1.3 </w:t>
      </w:r>
      <w:r>
        <w:rPr>
          <w:rFonts w:hint="eastAsia" w:ascii="宋体" w:hAnsi="宋体" w:cs="宋体"/>
          <w:i/>
          <w:iCs/>
          <w:color w:val="auto"/>
          <w:szCs w:val="21"/>
          <w:highlight w:val="none"/>
          <w:u w:val="single"/>
        </w:rPr>
        <w:t xml:space="preserve">全自动高锰酸盐指数分析仪完全符合《水质 高锰酸盐指数的测定 草酸钠还原酸性滴定法》（HJ1445-2026）、《水质 高锰酸盐指数的测定 草酸钠还原碱性滴定法》（HJ1446-2026）、《生活饮用水标准检验方法 第7部分：有机物综合指标》（GB/T 5750.7-2023）标准方法的规定。</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5.1.4</w:t>
      </w:r>
      <w:r>
        <w:rPr>
          <w:rFonts w:hint="eastAsia" w:ascii="宋体" w:hAnsi="宋体" w:cs="宋体"/>
          <w:i/>
          <w:iCs/>
          <w:color w:val="auto"/>
          <w:szCs w:val="21"/>
          <w:highlight w:val="none"/>
          <w:u w:val="single"/>
        </w:rPr>
        <w:t xml:space="preserve">软件可对接无人实验室中控系统，支持数据、样品状态、设备报警信息等实时上传。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.2.1</w:t>
      </w:r>
      <w:r>
        <w:rPr>
          <w:rFonts w:hint="eastAsia" w:ascii="宋体" w:hAnsi="宋体" w:cs="宋体"/>
          <w:i/>
          <w:iCs/>
          <w:color w:val="auto"/>
          <w:szCs w:val="21"/>
          <w:highlight w:val="none"/>
          <w:u w:val="single"/>
        </w:rPr>
        <w:t xml:space="preserve">全自动进样器1台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5</w:t>
      </w:r>
      <w:r>
        <w:rPr>
          <w:rFonts w:hint="eastAsia" w:ascii="宋体" w:hAnsi="宋体" w:cs="宋体"/>
          <w:i/>
          <w:iCs/>
          <w:color w:val="auto"/>
          <w:szCs w:val="21"/>
          <w:highlight w:val="none"/>
          <w:u w:val="single"/>
          <w:lang w:val="en-US" w:eastAsia="zh-CN"/>
        </w:rPr>
        <w:t xml:space="preserve">.2.2</w:t>
      </w:r>
      <w:r>
        <w:rPr>
          <w:rFonts w:hint="eastAsia" w:ascii="宋体" w:hAnsi="宋体" w:cs="宋体"/>
          <w:i/>
          <w:iCs/>
          <w:color w:val="auto"/>
          <w:szCs w:val="21"/>
          <w:highlight w:val="none"/>
          <w:u w:val="single"/>
        </w:rPr>
        <w:t xml:space="preserve">更新系统软件1套</w:t>
      </w:r>
      <w:r/>
    </w:p>
    <w:p>
      <w:pPr>
        <w:numPr>
          <w:ilvl w:val="0"/>
          <w:numId w:val="7"/>
        </w:numPr>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rPr>
        <w:t xml:space="preserve">全自动氨氮测定仪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对原有仪器全自动氨氮测定仪进行改造升级，升级后可直接对接到黑灯实验室系统，实现全自动放样，全自动做样，全自动取样等功能。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.1.2</w:t>
      </w:r>
      <w:r>
        <w:rPr>
          <w:rFonts w:hint="eastAsia" w:ascii="宋体" w:hAnsi="宋体" w:cs="宋体"/>
          <w:i/>
          <w:iCs/>
          <w:color w:val="auto"/>
          <w:szCs w:val="21"/>
          <w:highlight w:val="none"/>
          <w:u w:val="single"/>
        </w:rPr>
        <w:t xml:space="preserve">满足标准《水质 氨氮的测定 纳氏试剂分光光度法》(HJ 535-2009)中的实验流程。</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.1.3</w:t>
      </w:r>
      <w:r>
        <w:rPr>
          <w:rFonts w:hint="eastAsia" w:ascii="宋体" w:hAnsi="宋体" w:cs="宋体"/>
          <w:i/>
          <w:iCs/>
          <w:color w:val="auto"/>
          <w:szCs w:val="21"/>
          <w:highlight w:val="none"/>
          <w:u w:val="single"/>
        </w:rPr>
        <w:t xml:space="preserve">配备进样器，进样器具备自动定量，自动清洗，自动润洗功能，并对接无人实验室样品传输模块，自动上下样，样品位数不少于35位。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.1.4</w:t>
      </w:r>
      <w:r>
        <w:rPr>
          <w:rFonts w:hint="eastAsia" w:ascii="宋体" w:hAnsi="宋体" w:cs="宋体"/>
          <w:i/>
          <w:iCs/>
          <w:color w:val="auto"/>
          <w:szCs w:val="21"/>
          <w:highlight w:val="none"/>
          <w:u w:val="single"/>
        </w:rPr>
        <w:t xml:space="preserve">软件可对接无人实验室中控系统，支持数据、样品状态、设备报警信息等实时上传。</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预处理平台有不少于90个样品反应显色位置，</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投标时</w:t>
      </w:r>
      <w:r>
        <w:rPr>
          <w:rFonts w:hint="eastAsia" w:ascii="宋体" w:hAnsi="宋体" w:cs="宋体"/>
          <w:b/>
          <w:bCs/>
          <w:color w:val="auto"/>
          <w:szCs w:val="21"/>
          <w:highlight w:val="none"/>
        </w:rPr>
        <w:t xml:space="preserve">提供仪器</w:t>
      </w:r>
      <w:r>
        <w:rPr>
          <w:rFonts w:hint="eastAsia" w:ascii="宋体" w:hAnsi="宋体" w:cs="宋体"/>
          <w:b/>
          <w:bCs/>
          <w:color w:val="auto"/>
          <w:szCs w:val="21"/>
          <w:highlight w:val="none"/>
          <w:lang w:val="en-US" w:eastAsia="zh-CN"/>
        </w:rPr>
        <w:t xml:space="preserve">设备</w:t>
      </w:r>
      <w:r>
        <w:rPr>
          <w:rFonts w:hint="eastAsia" w:ascii="宋体" w:hAnsi="宋体" w:cs="宋体"/>
          <w:b/>
          <w:bCs/>
          <w:color w:val="auto"/>
          <w:szCs w:val="21"/>
          <w:highlight w:val="none"/>
        </w:rPr>
        <w:t xml:space="preserve">实物照片</w:t>
      </w:r>
      <w:r>
        <w:rPr>
          <w:rFonts w:hint="eastAsia" w:ascii="宋体" w:hAnsi="宋体" w:cs="宋体"/>
          <w:b/>
          <w:bCs/>
          <w:color w:val="auto"/>
          <w:szCs w:val="21"/>
          <w:highlight w:val="none"/>
          <w:lang w:val="en-US" w:eastAsia="zh-CN"/>
        </w:rPr>
        <w:t xml:space="preserve">并加盖投标单位公章</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软件可根据最优的时序进行比色，保证数据的准确</w:t>
      </w:r>
      <w:r>
        <w:rPr>
          <w:rFonts w:hint="eastAsia" w:ascii="宋体" w:hAnsi="宋体" w:cs="宋体"/>
          <w:color w:val="auto"/>
          <w:szCs w:val="21"/>
          <w:highlight w:val="none"/>
          <w:lang w:eastAsia="zh-CN"/>
        </w:rPr>
        <w:t xml:space="preserve">。</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.2 </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.2.1</w:t>
      </w:r>
      <w:r>
        <w:rPr>
          <w:rFonts w:hint="eastAsia" w:ascii="宋体" w:hAnsi="宋体" w:cs="宋体"/>
          <w:i/>
          <w:iCs/>
          <w:color w:val="auto"/>
          <w:szCs w:val="21"/>
          <w:highlight w:val="none"/>
          <w:u w:val="single"/>
        </w:rPr>
        <w:t xml:space="preserve">全自动进样器1台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.2.2</w:t>
      </w:r>
      <w:r>
        <w:rPr>
          <w:rFonts w:hint="eastAsia" w:ascii="宋体" w:hAnsi="宋体" w:cs="宋体"/>
          <w:i/>
          <w:iCs/>
          <w:color w:val="auto"/>
          <w:szCs w:val="21"/>
          <w:highlight w:val="none"/>
          <w:u w:val="single"/>
        </w:rPr>
        <w:t xml:space="preserve">更新系统软件1套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技术参数：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进样器位数：≥35位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6</w:t>
      </w: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反应位：≥90位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全自动总磷总氮测定仪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.1.1</w:t>
      </w:r>
      <w:r>
        <w:rPr>
          <w:rFonts w:hint="eastAsia" w:ascii="宋体" w:hAnsi="宋体" w:cs="宋体"/>
          <w:i/>
          <w:iCs/>
          <w:color w:val="auto"/>
          <w:szCs w:val="21"/>
          <w:highlight w:val="none"/>
          <w:u w:val="single"/>
        </w:rPr>
        <w:t xml:space="preserve">对原有仪器全自动总磷总氮测定仪进行改造升级，升级后可直接对接到黑灯实验室系统，实现全自动放样，全自动做样，全自动取样等功能。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.1.2</w:t>
      </w:r>
      <w:r>
        <w:rPr>
          <w:rFonts w:hint="eastAsia" w:ascii="宋体" w:hAnsi="宋体" w:cs="宋体"/>
          <w:i/>
          <w:iCs/>
          <w:color w:val="auto"/>
          <w:szCs w:val="21"/>
          <w:highlight w:val="none"/>
          <w:u w:val="single"/>
        </w:rPr>
        <w:t xml:space="preserve">用途：适用于实验室各类水样总磷及总氮项目的全自动分析，符合GB 11893-89《水质 总磷的测定 钼酸铵分光光度法》和HJ 636-2012《水质 总氮的测定 碱性过硫酸钾消解紫外分光光度法》。</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.1.3</w:t>
      </w:r>
      <w:r>
        <w:rPr>
          <w:rFonts w:hint="eastAsia" w:ascii="宋体" w:hAnsi="宋体" w:cs="宋体"/>
          <w:i/>
          <w:iCs/>
          <w:color w:val="auto"/>
          <w:szCs w:val="21"/>
          <w:highlight w:val="none"/>
          <w:u w:val="single"/>
        </w:rPr>
        <w:t xml:space="preserve">仪器整机仅有一个注射泵（不接受多个注射泵联用的模式），用以添加试剂和转移比色液，有效降低故障率。所有试剂添加和比色液转移由一根管路完成，降低了由于管路过多造成的漏液风险。所有试剂和比色液不得进入注射器中。</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.1.4</w:t>
      </w:r>
      <w:r>
        <w:rPr>
          <w:rFonts w:hint="eastAsia" w:ascii="宋体" w:hAnsi="宋体" w:cs="宋体"/>
          <w:i/>
          <w:iCs/>
          <w:color w:val="auto"/>
          <w:szCs w:val="21"/>
          <w:highlight w:val="none"/>
          <w:u w:val="single"/>
        </w:rPr>
        <w:t xml:space="preserve">配备1套进样器，进样器具备自动定量，自动清洗，自动润洗功能，并对接无人实验室样品传输模块，自动上下样，样品位数不少于50位。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.1.5</w:t>
      </w:r>
      <w:r>
        <w:rPr>
          <w:rFonts w:hint="eastAsia" w:ascii="宋体" w:hAnsi="宋体" w:cs="宋体"/>
          <w:i/>
          <w:iCs/>
          <w:color w:val="auto"/>
          <w:szCs w:val="21"/>
          <w:highlight w:val="none"/>
          <w:u w:val="single"/>
        </w:rPr>
        <w:t xml:space="preserve">软件可对接无人实验室中控系统，支持数据、样品状态、设备报警信息等实时上传。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.2 </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.2.1 </w:t>
      </w:r>
      <w:r>
        <w:rPr>
          <w:rFonts w:hint="eastAsia" w:ascii="宋体" w:hAnsi="宋体" w:cs="宋体"/>
          <w:i/>
          <w:iCs/>
          <w:color w:val="auto"/>
          <w:szCs w:val="21"/>
          <w:highlight w:val="none"/>
          <w:u w:val="single"/>
        </w:rPr>
        <w:t xml:space="preserve">自动进样器1套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7</w:t>
      </w:r>
      <w:r>
        <w:rPr>
          <w:rFonts w:hint="eastAsia" w:ascii="宋体" w:hAnsi="宋体" w:cs="宋体"/>
          <w:i/>
          <w:iCs/>
          <w:color w:val="auto"/>
          <w:szCs w:val="21"/>
          <w:highlight w:val="none"/>
          <w:u w:val="single"/>
          <w:lang w:val="en-US" w:eastAsia="zh-CN"/>
        </w:rPr>
        <w:t xml:space="preserve">.2.2 </w:t>
      </w:r>
      <w:r>
        <w:rPr>
          <w:rFonts w:hint="eastAsia" w:ascii="宋体" w:hAnsi="宋体" w:cs="宋体"/>
          <w:i/>
          <w:iCs/>
          <w:color w:val="auto"/>
          <w:szCs w:val="21"/>
          <w:highlight w:val="none"/>
          <w:u w:val="single"/>
        </w:rPr>
        <w:t xml:space="preserve">系统操作软件1套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全自动阴离子表面活性剂分析仪</w:t>
      </w:r>
      <w:r>
        <w:rPr>
          <w:rFonts w:hint="eastAsia" w:ascii="宋体" w:hAnsi="宋体" w:cs="宋体"/>
          <w:i/>
          <w:iCs/>
          <w:color w:val="auto"/>
          <w:szCs w:val="21"/>
          <w:highlight w:val="none"/>
          <w:u w:val="single"/>
          <w:lang w:val="en-US" w:eastAsia="zh-CN"/>
        </w:rPr>
        <w:t xml:space="preserve">升级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.1 </w:t>
      </w:r>
      <w:r>
        <w:rPr>
          <w:rFonts w:hint="eastAsia" w:ascii="宋体" w:hAnsi="宋体" w:cs="宋体"/>
          <w:i/>
          <w:iCs/>
          <w:color w:val="auto"/>
          <w:szCs w:val="21"/>
          <w:highlight w:val="none"/>
          <w:u w:val="single"/>
        </w:rPr>
        <w:t xml:space="preserve">基本要求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.1.1 </w:t>
      </w:r>
      <w:r>
        <w:rPr>
          <w:rFonts w:hint="eastAsia" w:ascii="宋体" w:hAnsi="宋体" w:cs="宋体"/>
          <w:i/>
          <w:iCs/>
          <w:color w:val="auto"/>
          <w:szCs w:val="21"/>
          <w:highlight w:val="none"/>
          <w:u w:val="single"/>
        </w:rPr>
        <w:t xml:space="preserve">对原有仪器全自动阴离子表面活性剂测定仪进行改造升级，升级后可直接对接到黑灯实验室系统，实现全自动放样，全自动做样，全自动取样等功能。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.1.2 </w:t>
      </w:r>
      <w:r>
        <w:rPr>
          <w:rFonts w:hint="eastAsia" w:ascii="宋体" w:hAnsi="宋体" w:cs="宋体"/>
          <w:i/>
          <w:iCs/>
          <w:color w:val="auto"/>
          <w:szCs w:val="21"/>
          <w:highlight w:val="none"/>
          <w:u w:val="single"/>
        </w:rPr>
        <w:t xml:space="preserve">符合国家监测方法，标准号亚甲蓝分光光度法（GB7494-87）.</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.1.3 </w:t>
      </w:r>
      <w:r>
        <w:rPr>
          <w:rFonts w:hint="eastAsia" w:ascii="宋体" w:hAnsi="宋体" w:cs="宋体"/>
          <w:i/>
          <w:iCs/>
          <w:color w:val="auto"/>
          <w:szCs w:val="21"/>
          <w:highlight w:val="none"/>
          <w:u w:val="single"/>
        </w:rPr>
        <w:t xml:space="preserve">配备进样器，进样器具备自动定量，自动清洗，自动润洗功能，并对接无人实验室样品传输模块，自动上下样，样品位数不少于35位。</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.1.4 </w:t>
      </w:r>
      <w:r>
        <w:rPr>
          <w:rFonts w:hint="eastAsia" w:ascii="宋体" w:hAnsi="宋体" w:cs="宋体"/>
          <w:i/>
          <w:iCs/>
          <w:color w:val="auto"/>
          <w:szCs w:val="21"/>
          <w:highlight w:val="none"/>
          <w:u w:val="single"/>
        </w:rPr>
        <w:t xml:space="preserve">软件可对接无人实验室中控系统，支持数据、样品状态、设备等状态实时上传。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配置要求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.2.1</w:t>
      </w:r>
      <w:r>
        <w:rPr>
          <w:rFonts w:hint="eastAsia" w:ascii="宋体" w:hAnsi="宋体" w:cs="宋体"/>
          <w:i/>
          <w:iCs/>
          <w:color w:val="auto"/>
          <w:szCs w:val="21"/>
          <w:highlight w:val="none"/>
          <w:u w:val="single"/>
        </w:rPr>
        <w:t xml:space="preserve">自动进样器1台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eastAsia="zh-CN"/>
        </w:rPr>
        <w:t xml:space="preserve">8</w:t>
      </w:r>
      <w:r>
        <w:rPr>
          <w:rFonts w:hint="eastAsia" w:ascii="宋体" w:hAnsi="宋体" w:cs="宋体"/>
          <w:i/>
          <w:iCs/>
          <w:color w:val="auto"/>
          <w:szCs w:val="21"/>
          <w:highlight w:val="none"/>
          <w:u w:val="single"/>
          <w:lang w:val="en-US" w:eastAsia="zh-CN"/>
        </w:rPr>
        <w:t xml:space="preserve">.2.2</w:t>
      </w:r>
      <w:r>
        <w:rPr>
          <w:rFonts w:hint="eastAsia" w:ascii="宋体" w:hAnsi="宋体" w:cs="宋体"/>
          <w:i/>
          <w:iCs/>
          <w:color w:val="auto"/>
          <w:szCs w:val="21"/>
          <w:highlight w:val="none"/>
          <w:u w:val="single"/>
        </w:rPr>
        <w:t xml:space="preserve">系统操作软1套</w:t>
      </w:r>
      <w:r/>
    </w:p>
    <w:p>
      <w:pPr>
        <w:numPr>
          <w:ilvl w:val="0"/>
          <w:numId w:val="8"/>
        </w:numPr>
        <w:jc w:val="left"/>
        <w:spacing w:before="0" w:after="0" w:line="360" w:lineRule="auto"/>
        <w:rPr>
          <w:rFonts w:hint="eastAsia" w:ascii="仿宋" w:hAnsi="仿宋" w:eastAsia="仿宋" w:cs="仿宋"/>
          <w:i/>
          <w:iCs/>
          <w:color w:val="auto"/>
          <w:sz w:val="24"/>
          <w:szCs w:val="24"/>
          <w:highlight w:val="none"/>
          <w:u w:val="single"/>
          <w:lang w:val="en-US" w:eastAsia="zh-CN"/>
        </w:rPr>
      </w:pPr>
      <w:r/>
      <w:bookmarkStart w:id="135" w:name="heading_1"/>
      <w:r>
        <w:rPr>
          <w:rFonts w:hint="eastAsia" w:ascii="宋体" w:hAnsi="宋体" w:eastAsia="宋体" w:cs="宋体"/>
          <w:b w:val="0"/>
          <w:i/>
          <w:iCs/>
          <w:color w:val="auto"/>
          <w:sz w:val="21"/>
          <w:szCs w:val="21"/>
          <w:highlight w:val="none"/>
          <w:u w:val="single"/>
        </w:rPr>
        <w:t xml:space="preserve">仪器台</w:t>
      </w:r>
      <w:bookmarkEnd w:id="135"/>
      <w:r>
        <w:rPr>
          <w:rFonts w:hint="eastAsia" w:ascii="宋体" w:hAnsi="宋体" w:cs="宋体"/>
          <w:b w:val="0"/>
          <w:i/>
          <w:iCs/>
          <w:color w:val="auto"/>
          <w:sz w:val="21"/>
          <w:szCs w:val="21"/>
          <w:highlight w:val="none"/>
          <w:u w:val="single"/>
          <w:lang w:val="en-US" w:eastAsia="zh-CN"/>
        </w:rPr>
        <w:t xml:space="preserve">:</w:t>
      </w:r>
      <w:r/>
    </w:p>
    <w:p>
      <w:pPr>
        <w:numPr>
          <w:ilvl w:val="-1"/>
          <w:numId w:val="0"/>
        </w:numPr>
        <w:jc w:val="left"/>
        <w:spacing w:before="0" w:after="0" w:line="360" w:lineRule="auto"/>
        <w:rPr>
          <w:rFonts w:hint="default" w:ascii="仿宋" w:hAnsi="仿宋" w:eastAsia="仿宋" w:cs="仿宋"/>
          <w:i/>
          <w:iCs/>
          <w:color w:val="auto"/>
          <w:sz w:val="24"/>
          <w:szCs w:val="24"/>
          <w:highlight w:val="none"/>
          <w:u w:val="single"/>
          <w:lang w:val="en-US" w:eastAsia="zh-CN"/>
        </w:rPr>
      </w:pPr>
      <w:r>
        <w:rPr>
          <w:rFonts w:hint="eastAsia" w:ascii="宋体" w:hAnsi="宋体" w:cs="宋体"/>
          <w:b w:val="0"/>
          <w:i/>
          <w:iCs/>
          <w:color w:val="auto"/>
          <w:sz w:val="21"/>
          <w:szCs w:val="21"/>
          <w:highlight w:val="none"/>
          <w:u w:val="single"/>
          <w:lang w:val="en-US" w:eastAsia="zh-CN"/>
        </w:rPr>
        <w:t xml:space="preserve">9.1仪器台尺寸：</w:t>
      </w:r>
      <w:r/>
    </w:p>
    <w:p>
      <w:pPr>
        <w:numPr>
          <w:ilvl w:val="-1"/>
          <w:numId w:val="0"/>
        </w:numPr>
        <w:ind w:firstLine="420"/>
        <w:jc w:val="left"/>
        <w:spacing w:before="0" w:after="0"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尺寸：2200*800*850mm </w:t>
      </w:r>
      <w:r>
        <w:rPr>
          <w:rFonts w:hint="eastAsia" w:ascii="宋体" w:hAnsi="宋体" w:cs="宋体"/>
          <w:i/>
          <w:iCs/>
          <w:color w:val="auto"/>
          <w:sz w:val="21"/>
          <w:szCs w:val="21"/>
          <w:highlight w:val="none"/>
          <w:u w:val="single"/>
          <w:lang w:val="en-US" w:eastAsia="zh-CN"/>
        </w:rPr>
        <w:t xml:space="preserve">误差不超过：±10mm</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lang w:val="en-US" w:eastAsia="zh-CN"/>
        </w:rPr>
        <w:t xml:space="preserve">5组</w:t>
      </w:r>
      <w:r/>
    </w:p>
    <w:p>
      <w:pPr>
        <w:numPr>
          <w:ilvl w:val="-1"/>
          <w:numId w:val="0"/>
        </w:numPr>
        <w:ind w:firstLine="420"/>
        <w:jc w:val="left"/>
        <w:spacing w:before="0" w:after="0"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尺寸：1800*800*850mm </w:t>
      </w:r>
      <w:r>
        <w:rPr>
          <w:rFonts w:hint="eastAsia" w:ascii="宋体" w:hAnsi="宋体" w:cs="宋体"/>
          <w:i/>
          <w:iCs/>
          <w:color w:val="auto"/>
          <w:sz w:val="21"/>
          <w:szCs w:val="21"/>
          <w:highlight w:val="none"/>
          <w:u w:val="single"/>
          <w:lang w:val="en-US" w:eastAsia="zh-CN"/>
        </w:rPr>
        <w:t xml:space="preserve">误差不超过：±10mm</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lang w:val="en-US" w:eastAsia="zh-CN"/>
        </w:rPr>
        <w:t xml:space="preserve">5组</w:t>
      </w:r>
      <w:r/>
    </w:p>
    <w:p>
      <w:pPr>
        <w:numPr>
          <w:ilvl w:val="-1"/>
          <w:numId w:val="0"/>
        </w:numPr>
        <w:ind w:firstLine="420"/>
        <w:jc w:val="left"/>
        <w:spacing w:before="0" w:after="0"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尺寸：3670*900*850mm </w:t>
      </w:r>
      <w:r>
        <w:rPr>
          <w:rFonts w:hint="eastAsia" w:ascii="宋体" w:hAnsi="宋体" w:cs="宋体"/>
          <w:i/>
          <w:iCs/>
          <w:color w:val="auto"/>
          <w:sz w:val="21"/>
          <w:szCs w:val="21"/>
          <w:highlight w:val="none"/>
          <w:u w:val="single"/>
          <w:lang w:val="en-US" w:eastAsia="zh-CN"/>
        </w:rPr>
        <w:t xml:space="preserve">误差不超过：±10mm  </w:t>
      </w:r>
      <w:r>
        <w:rPr>
          <w:rFonts w:hint="eastAsia" w:ascii="宋体" w:hAnsi="宋体" w:eastAsia="宋体" w:cs="宋体"/>
          <w:i/>
          <w:iCs/>
          <w:color w:val="auto"/>
          <w:sz w:val="21"/>
          <w:szCs w:val="21"/>
          <w:highlight w:val="none"/>
          <w:u w:val="single"/>
          <w:lang w:val="en-US" w:eastAsia="zh-CN"/>
        </w:rPr>
        <w:t xml:space="preserve">1组</w:t>
      </w:r>
      <w:r/>
    </w:p>
    <w:p>
      <w:pPr>
        <w:numPr>
          <w:ilvl w:val="-1"/>
          <w:numId w:val="0"/>
        </w:numPr>
        <w:ind w:left="0" w:firstLine="0"/>
        <w:jc w:val="left"/>
        <w:spacing w:before="0" w:after="0" w:line="360" w:lineRule="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9.2</w:t>
      </w:r>
      <w:r>
        <w:rPr>
          <w:rFonts w:hint="eastAsia" w:ascii="宋体" w:hAnsi="宋体" w:eastAsia="宋体" w:cs="宋体"/>
          <w:i/>
          <w:iCs/>
          <w:color w:val="auto"/>
          <w:sz w:val="21"/>
          <w:szCs w:val="21"/>
          <w:highlight w:val="none"/>
          <w:u w:val="single"/>
        </w:rPr>
        <w:t xml:space="preserve">厚度</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20mm 通体平板陶瓷材质，具备耐高温、耐刮擦、哑光漫反射等理化性能，各项技术参数及检验要求如下：</w:t>
      </w:r>
      <w:r/>
    </w:p>
    <w:p>
      <w:pPr>
        <w:numPr>
          <w:ilvl w:val="-1"/>
          <w:numId w:val="0"/>
        </w:numPr>
        <w:jc w:val="left"/>
        <w:spacing w:before="0" w:after="0" w:line="360" w:lineRule="auto"/>
        <w:rPr>
          <w:rFonts w:hint="eastAsia" w:ascii="宋体" w:hAnsi="宋体" w:eastAsia="宋体" w:cs="宋体"/>
          <w:i/>
          <w:iCs/>
          <w:color w:val="auto"/>
          <w:sz w:val="21"/>
          <w:szCs w:val="21"/>
          <w:highlight w:val="none"/>
          <w:u w:val="single"/>
        </w:rPr>
      </w:pPr>
      <w:r/>
      <w:bookmarkStart w:id="136" w:name="heading_2"/>
      <w:r>
        <w:rPr>
          <w:rFonts w:hint="eastAsia" w:ascii="宋体" w:hAnsi="宋体" w:cs="宋体"/>
          <w:i/>
          <w:iCs/>
          <w:color w:val="auto"/>
          <w:sz w:val="21"/>
          <w:szCs w:val="21"/>
          <w:highlight w:val="none"/>
          <w:u w:val="single"/>
          <w:lang w:val="en-US" w:eastAsia="zh-CN"/>
        </w:rPr>
        <w:t xml:space="preserve">9.2.</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b w:val="0"/>
          <w:i/>
          <w:iCs/>
          <w:color w:val="auto"/>
          <w:sz w:val="21"/>
          <w:szCs w:val="21"/>
          <w:highlight w:val="none"/>
          <w:u w:val="single"/>
        </w:rPr>
        <w:t xml:space="preserve">燃烧性能（A1 级不燃）</w:t>
      </w:r>
      <w:r>
        <w:rPr>
          <w:rFonts w:hint="eastAsia" w:ascii="宋体" w:hAnsi="宋体" w:eastAsia="宋体" w:cs="宋体"/>
          <w:i/>
          <w:iCs/>
          <w:color w:val="auto"/>
          <w:sz w:val="21"/>
          <w:szCs w:val="21"/>
          <w:highlight w:val="none"/>
          <w:u w:val="single"/>
        </w:rPr>
        <w:t xml:space="preserve">：遵照 GB/T5464-2010、GB/T14402-2007 标准检测，产品燃烧性能达 A1 级不燃，燃烧热值＜0，无持续燃烧现象。</w:t>
      </w:r>
      <w:r/>
    </w:p>
    <w:p>
      <w:pPr>
        <w:numPr>
          <w:ilvl w:val="-1"/>
          <w:numId w:val="0"/>
        </w:numPr>
        <w:jc w:val="left"/>
        <w:spacing w:before="0" w:after="0" w:line="360" w:lineRule="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9.2.</w:t>
      </w: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eastAsia="宋体" w:cs="宋体"/>
          <w:b w:val="0"/>
          <w:i/>
          <w:iCs/>
          <w:color w:val="auto"/>
          <w:sz w:val="21"/>
          <w:szCs w:val="21"/>
          <w:highlight w:val="none"/>
          <w:u w:val="single"/>
        </w:rPr>
        <w:t xml:space="preserve">耐人工气候老化</w:t>
      </w:r>
      <w:r>
        <w:rPr>
          <w:rFonts w:hint="eastAsia" w:ascii="宋体" w:hAnsi="宋体" w:eastAsia="宋体" w:cs="宋体"/>
          <w:i/>
          <w:iCs/>
          <w:color w:val="auto"/>
          <w:sz w:val="21"/>
          <w:szCs w:val="21"/>
          <w:highlight w:val="none"/>
          <w:u w:val="single"/>
        </w:rPr>
        <w:t xml:space="preserve">：按 GB/T 16422.2-2014《塑料实验室光源暴露试验方法 第 2 部分：氙弧灯》A 法 9 号暴露循环开展氙灯老化试验，累计试验时长≥700h，报告明确标注完整试验条件，试样老化后外观无开裂、褪色、起皮等肉眼可见变化。</w:t>
      </w:r>
      <w:r/>
    </w:p>
    <w:p>
      <w:pPr>
        <w:numPr>
          <w:ilvl w:val="-1"/>
          <w:numId w:val="0"/>
        </w:numPr>
        <w:jc w:val="left"/>
        <w:spacing w:before="0" w:after="0" w:line="360" w:lineRule="auto"/>
        <w:rPr>
          <w:rFonts w:hint="eastAsia" w:ascii="宋体" w:hAnsi="宋体" w:eastAsia="宋体" w:cs="宋体"/>
          <w:b w:val="0"/>
          <w:bCs w:val="0"/>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9.2.</w:t>
      </w: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b w:val="0"/>
          <w:i/>
          <w:iCs/>
          <w:color w:val="auto"/>
          <w:sz w:val="21"/>
          <w:szCs w:val="21"/>
          <w:highlight w:val="none"/>
          <w:u w:val="single"/>
        </w:rPr>
        <w:t xml:space="preserve">哑光光泽指标</w:t>
      </w:r>
      <w:r>
        <w:rPr>
          <w:rFonts w:hint="eastAsia" w:ascii="宋体" w:hAnsi="宋体" w:eastAsia="宋体" w:cs="宋体"/>
          <w:i/>
          <w:iCs/>
          <w:color w:val="auto"/>
          <w:sz w:val="21"/>
          <w:szCs w:val="21"/>
          <w:highlight w:val="none"/>
          <w:u w:val="single"/>
        </w:rPr>
        <w:t xml:space="preserve">：台面为哑光漫反射饰面，成品光泽度检测数值控制在 16～30（单位：光泽度）。</w:t>
      </w:r>
      <w:r>
        <w:rPr>
          <w:rFonts w:hint="eastAsia" w:ascii="宋体" w:hAnsi="宋体" w:eastAsia="宋体" w:cs="宋体"/>
          <w:i/>
          <w:iCs/>
          <w:color w:val="auto"/>
          <w:sz w:val="21"/>
          <w:szCs w:val="21"/>
          <w:highlight w:val="none"/>
          <w:u w:val="single"/>
        </w:rPr>
        <w:br/>
      </w:r>
      <w:r>
        <w:rPr>
          <w:rFonts w:hint="eastAsia" w:ascii="宋体" w:hAnsi="宋体" w:cs="宋体"/>
          <w:i/>
          <w:iCs/>
          <w:color w:val="auto"/>
          <w:sz w:val="21"/>
          <w:szCs w:val="21"/>
          <w:highlight w:val="none"/>
          <w:u w:val="single"/>
          <w:lang w:val="en-US" w:eastAsia="zh-CN"/>
        </w:rPr>
        <w:t xml:space="preserve">9.2.</w:t>
      </w: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b w:val="0"/>
          <w:i/>
          <w:iCs/>
          <w:color w:val="auto"/>
          <w:sz w:val="21"/>
          <w:szCs w:val="21"/>
          <w:highlight w:val="none"/>
          <w:u w:val="single"/>
        </w:rPr>
        <w:t xml:space="preserve">破坏强度</w:t>
      </w:r>
      <w:r>
        <w:rPr>
          <w:rFonts w:hint="eastAsia" w:ascii="宋体" w:hAnsi="宋体" w:eastAsia="宋体" w:cs="宋体"/>
          <w:i/>
          <w:iCs/>
          <w:color w:val="auto"/>
          <w:sz w:val="21"/>
          <w:szCs w:val="21"/>
          <w:highlight w:val="none"/>
          <w:u w:val="single"/>
        </w:rPr>
        <w:t xml:space="preserve">：执行 GB/T 3810.4-2016 检测规范，有效送检样品不少于 6 块，样品破坏强度算术平均值≥16100N。</w:t>
      </w:r>
      <w:r/>
    </w:p>
    <w:p>
      <w:pPr>
        <w:numPr>
          <w:ilvl w:val="-1"/>
          <w:numId w:val="0"/>
        </w:numPr>
        <w:jc w:val="left"/>
        <w:spacing w:before="0" w:after="0" w:line="360" w:lineRule="auto"/>
        <w:rPr>
          <w:rFonts w:hint="default" w:ascii="宋体" w:hAnsi="宋体" w:eastAsia="宋体" w:cs="宋体"/>
          <w:i/>
          <w:iCs/>
          <w:color w:val="auto"/>
          <w:sz w:val="21"/>
          <w:szCs w:val="21"/>
          <w:highlight w:val="none"/>
          <w:u w:val="single"/>
        </w:rPr>
      </w:pPr>
      <w:r>
        <w:rPr>
          <w:rFonts w:hint="eastAsia" w:ascii="宋体" w:hAnsi="宋体" w:cs="宋体"/>
          <w:b w:val="0"/>
          <w:i/>
          <w:iCs/>
          <w:color w:val="auto"/>
          <w:sz w:val="21"/>
          <w:szCs w:val="21"/>
          <w:highlight w:val="none"/>
          <w:u w:val="single"/>
          <w:lang w:eastAsia="zh-CN"/>
        </w:rPr>
        <w:t xml:space="preserve">1</w:t>
      </w:r>
      <w:r>
        <w:rPr>
          <w:rFonts w:hint="eastAsia" w:ascii="宋体" w:hAnsi="宋体" w:cs="宋体"/>
          <w:b w:val="0"/>
          <w:i/>
          <w:iCs/>
          <w:color w:val="auto"/>
          <w:sz w:val="21"/>
          <w:szCs w:val="21"/>
          <w:highlight w:val="none"/>
          <w:u w:val="single"/>
          <w:lang w:val="en-US" w:eastAsia="zh-CN"/>
        </w:rPr>
        <w:t xml:space="preserve">0、</w:t>
      </w:r>
      <w:r>
        <w:rPr>
          <w:rFonts w:hint="eastAsia" w:ascii="宋体" w:hAnsi="宋体" w:eastAsia="宋体" w:cs="宋体"/>
          <w:b w:val="0"/>
          <w:i/>
          <w:iCs/>
          <w:color w:val="auto"/>
          <w:sz w:val="21"/>
          <w:szCs w:val="21"/>
          <w:highlight w:val="none"/>
          <w:u w:val="single"/>
        </w:rPr>
        <w:t xml:space="preserve">抽气罩</w:t>
      </w:r>
      <w:bookmarkEnd w:id="136"/>
      <w:r>
        <w:rPr>
          <w:rFonts w:hint="eastAsia" w:ascii="宋体" w:hAnsi="宋体" w:cs="宋体"/>
          <w:b w:val="0"/>
          <w:i/>
          <w:iCs/>
          <w:color w:val="auto"/>
          <w:sz w:val="21"/>
          <w:szCs w:val="21"/>
          <w:highlight w:val="none"/>
          <w:u w:val="single"/>
          <w:lang w:val="en-US" w:eastAsia="zh-CN"/>
        </w:rPr>
        <w:t xml:space="preserve">11套</w:t>
      </w:r>
      <w:r/>
    </w:p>
    <w:p>
      <w:pPr>
        <w:numPr>
          <w:ilvl w:val="0"/>
          <w:numId w:val="0"/>
        </w:numPr>
        <w:ind w:firstLine="210"/>
        <w:jc w:val="left"/>
        <w:spacing w:line="360" w:lineRule="auto"/>
        <w:rPr>
          <w:rFonts w:hint="eastAsia" w:ascii="宋体" w:hAnsi="宋体" w:eastAsia="宋体" w:cs="宋体"/>
          <w:b/>
          <w:bCs/>
          <w:i/>
          <w:iCs/>
          <w:color w:val="auto"/>
          <w:sz w:val="21"/>
          <w:szCs w:val="21"/>
          <w:highlight w:val="yellow"/>
          <w:u w:val="single"/>
          <w:lang w:eastAsia="zh-CN"/>
        </w:rPr>
      </w:pPr>
      <w:r/>
      <w:bookmarkStart w:id="137" w:name="heading_4"/>
      <w:r>
        <w:rPr>
          <w:rFonts w:hint="eastAsia" w:ascii="宋体" w:hAnsi="宋体" w:eastAsia="宋体" w:cs="宋体"/>
          <w:b w:val="0"/>
          <w:i/>
          <w:iCs/>
          <w:color w:val="auto"/>
          <w:sz w:val="21"/>
          <w:szCs w:val="21"/>
          <w:highlight w:val="none"/>
          <w:u w:val="single"/>
        </w:rPr>
        <w:t xml:space="preserve">理化性能检测要求</w:t>
      </w:r>
      <w:bookmarkEnd w:id="137"/>
      <w:r>
        <w:rPr>
          <w:rFonts w:hint="eastAsia" w:ascii="宋体" w:hAnsi="宋体" w:eastAsia="宋体" w:cs="宋体"/>
          <w:i/>
          <w:iCs/>
          <w:color w:val="auto"/>
          <w:sz w:val="21"/>
          <w:szCs w:val="21"/>
          <w:highlight w:val="none"/>
          <w:u w:val="single"/>
        </w:rPr>
        <w:br/>
      </w:r>
      <w:r>
        <w:rPr>
          <w:rFonts w:hint="eastAsia" w:ascii="宋体" w:hAnsi="宋体" w:cs="宋体"/>
          <w:b w:val="0"/>
          <w:i/>
          <w:iCs/>
          <w:color w:val="auto"/>
          <w:sz w:val="21"/>
          <w:szCs w:val="21"/>
          <w:highlight w:val="none"/>
          <w:u w:val="single"/>
          <w:lang w:val="en-US" w:eastAsia="zh-CN"/>
        </w:rPr>
        <w:t xml:space="preserve">10.</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b w:val="0"/>
          <w:i/>
          <w:iCs/>
          <w:color w:val="auto"/>
          <w:sz w:val="21"/>
          <w:szCs w:val="21"/>
          <w:highlight w:val="none"/>
          <w:u w:val="single"/>
        </w:rPr>
        <w:t xml:space="preserve">耐化学腐蚀性</w:t>
      </w:r>
      <w:r>
        <w:rPr>
          <w:rFonts w:hint="eastAsia" w:ascii="宋体" w:hAnsi="宋体" w:eastAsia="宋体" w:cs="宋体"/>
          <w:i/>
          <w:iCs/>
          <w:color w:val="auto"/>
          <w:sz w:val="21"/>
          <w:szCs w:val="21"/>
          <w:highlight w:val="none"/>
          <w:u w:val="single"/>
        </w:rPr>
        <w:t xml:space="preserve">：试样常温下分别浸入 30% 氢氧化钠溶液、30% 硫酸溶液、30% 盐酸溶液、甲苯、乙醚五种试剂中连续浸泡 48h，目视检查产品表面无溶胀、开裂、发白、腐蚀变形。</w:t>
      </w:r>
      <w:r>
        <w:rPr>
          <w:rFonts w:hint="eastAsia" w:ascii="宋体" w:hAnsi="宋体" w:eastAsia="宋体" w:cs="宋体"/>
          <w:i/>
          <w:iCs/>
          <w:color w:val="auto"/>
          <w:sz w:val="21"/>
          <w:szCs w:val="21"/>
          <w:highlight w:val="none"/>
          <w:u w:val="single"/>
        </w:rPr>
        <w:br/>
      </w:r>
      <w:r>
        <w:rPr>
          <w:rFonts w:hint="eastAsia" w:ascii="宋体" w:hAnsi="宋体" w:cs="宋体"/>
          <w:b w:val="0"/>
          <w:i/>
          <w:iCs/>
          <w:color w:val="auto"/>
          <w:sz w:val="21"/>
          <w:szCs w:val="21"/>
          <w:highlight w:val="none"/>
          <w:u w:val="single"/>
          <w:lang w:val="en-US" w:eastAsia="zh-CN"/>
        </w:rPr>
        <w:t xml:space="preserve">10.</w:t>
      </w: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eastAsia="宋体" w:cs="宋体"/>
          <w:b w:val="0"/>
          <w:i/>
          <w:iCs/>
          <w:color w:val="auto"/>
          <w:sz w:val="21"/>
          <w:szCs w:val="21"/>
          <w:highlight w:val="none"/>
          <w:u w:val="single"/>
        </w:rPr>
        <w:t xml:space="preserve">耐高温性能</w:t>
      </w:r>
      <w:r>
        <w:rPr>
          <w:rFonts w:hint="eastAsia" w:ascii="宋体" w:hAnsi="宋体" w:eastAsia="宋体" w:cs="宋体"/>
          <w:i/>
          <w:iCs/>
          <w:color w:val="auto"/>
          <w:sz w:val="21"/>
          <w:szCs w:val="21"/>
          <w:highlight w:val="none"/>
          <w:u w:val="single"/>
        </w:rPr>
        <w:t xml:space="preserve">：试样置于 110℃恒温环境持续烘烤 1h，产品外观、结构无变形、融化、开裂等异常。</w:t>
      </w:r>
      <w:r/>
    </w:p>
    <w:p>
      <w:pPr>
        <w:numPr>
          <w:ilvl w:val="0"/>
          <w:numId w:val="0"/>
        </w:numPr>
        <w:jc w:val="left"/>
        <w:spacing w:line="360" w:lineRule="auto"/>
        <w:rPr>
          <w:rFonts w:hint="eastAsia" w:ascii="宋体" w:hAnsi="宋体" w:eastAsia="宋体" w:cs="宋体"/>
          <w:b w:val="0"/>
          <w:bCs w:val="0"/>
          <w:i/>
          <w:iCs/>
          <w:color w:val="auto"/>
          <w:sz w:val="21"/>
          <w:szCs w:val="21"/>
          <w:highlight w:val="none"/>
          <w:u w:val="single"/>
          <w:lang w:eastAsia="zh-CN"/>
        </w:rPr>
      </w:pPr>
      <w:r>
        <w:rPr>
          <w:rFonts w:hint="eastAsia" w:ascii="宋体" w:hAnsi="宋体" w:cs="宋体"/>
          <w:b w:val="0"/>
          <w:i/>
          <w:iCs/>
          <w:color w:val="auto"/>
          <w:sz w:val="21"/>
          <w:szCs w:val="21"/>
          <w:highlight w:val="none"/>
          <w:u w:val="single"/>
          <w:lang w:val="en-US" w:eastAsia="zh-CN"/>
        </w:rPr>
        <w:t xml:space="preserve">10.3</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b w:val="0"/>
          <w:i/>
          <w:iCs/>
          <w:color w:val="auto"/>
          <w:sz w:val="21"/>
          <w:szCs w:val="21"/>
          <w:highlight w:val="none"/>
          <w:u w:val="single"/>
        </w:rPr>
        <w:t xml:space="preserve">管路压降性能</w:t>
      </w:r>
      <w:r>
        <w:rPr>
          <w:rFonts w:hint="eastAsia" w:ascii="宋体" w:hAnsi="宋体" w:eastAsia="宋体" w:cs="宋体"/>
          <w:i/>
          <w:iCs/>
          <w:color w:val="auto"/>
          <w:sz w:val="21"/>
          <w:szCs w:val="21"/>
          <w:highlight w:val="none"/>
          <w:u w:val="single"/>
        </w:rPr>
        <w:t xml:space="preserve">：依据 ISO 5167-1:2003 标准进行管道压降试验，出具上下游压差测试曲线，管路内壁材质与密封结构密闭性优良，无杂质淤积，排风性能不受损耗。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（二）水质、空气中重金属监测系统</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1.仪器总体要求</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该仪器应适用于不同应用领域的各类样品的元素分析、同位素分析和元素形态分析任务，满足环境、地质、化工、材料等分析要求。</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2.工作条件</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2.1环境温度：15~30℃；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2.2环境湿度：20~80%；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2.3电源：200~240V，30A，50/60Hz；</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3.技术参数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3.1硬件参数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3.1.1雾化器：耐高盐、高效石英同心雾化器；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▲3.1.2在线气体稀释耐高盐系统：耐盐度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b/>
          <w:bCs/>
          <w:color w:val="auto"/>
          <w:sz w:val="21"/>
          <w:szCs w:val="21"/>
          <w:highlight w:val="none"/>
        </w:rPr>
        <w:t xml:space="preserve">（提供实物图及稀释倍数设置软件截图证明</w:t>
      </w:r>
      <w:r>
        <w:rPr>
          <w:rFonts w:hint="eastAsia" w:ascii="宋体" w:hAnsi="宋体" w:cs="宋体"/>
          <w:b/>
          <w:bCs/>
          <w:color w:val="auto"/>
          <w:sz w:val="21"/>
          <w:szCs w:val="21"/>
          <w:highlight w:val="none"/>
          <w:lang w:val="en-US" w:eastAsia="zh-CN"/>
        </w:rPr>
        <w:t xml:space="preserve">加盖投标单位公章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3.1.3雾化室：Scott双通道石英雾化室，标配半导体控温装置，控温范围-5~20℃；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3.1.4气路控制：至少配备5个高精度气体质量流量计（MFC），控制包括等离子体气、辅助气、稀释气、载气、碰撞/反应气等气体流量；</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3.1.5炬管：拆卸和安装方便，一体式石英炬管，炬管X/Y/Z定位可由步进电机控制自动完成；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接口：镍制样品锥和截取锥组成的接口，要求锥数量≤2个，为防过多基体进入后续质谱系统，要求在保证灵敏度的前提下锥孔径尽可能小，采样锥孔径≤1.1mm，截取锥孔径≤0.5mm；采样锥与截取锥之间不得使用任何气体，如果使用嵌片设计，需要额外多配置3套高灵敏度嵌片和3套高基体嵌片；</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w:t>
      </w:r>
      <w:r>
        <w:rPr>
          <w:rFonts w:hint="eastAsia" w:ascii="宋体" w:hAnsi="宋体" w:eastAsia="宋体" w:cs="宋体"/>
          <w:b/>
          <w:bCs/>
          <w:color w:val="auto"/>
          <w:sz w:val="21"/>
          <w:szCs w:val="21"/>
          <w:highlight w:val="none"/>
        </w:rPr>
        <w:t xml:space="preserve">提供由锥组成的接口实物图</w:t>
      </w:r>
      <w:r>
        <w:rPr>
          <w:rFonts w:hint="eastAsia" w:ascii="宋体" w:hAnsi="宋体" w:cs="宋体"/>
          <w:b/>
          <w:bCs/>
          <w:color w:val="auto"/>
          <w:sz w:val="21"/>
          <w:szCs w:val="21"/>
          <w:highlight w:val="none"/>
          <w:lang w:val="en-US" w:eastAsia="zh-CN"/>
        </w:rPr>
        <w:t xml:space="preserve">照片加盖投标单位公章</w:t>
      </w:r>
      <w:r>
        <w:rPr>
          <w:rFonts w:hint="eastAsia" w:ascii="宋体" w:hAnsi="宋体" w:eastAsia="宋体" w:cs="宋体"/>
          <w:b/>
          <w:bCs/>
          <w:color w:val="auto"/>
          <w:sz w:val="21"/>
          <w:szCs w:val="21"/>
          <w:highlight w:val="none"/>
        </w:rPr>
        <w:t xml:space="preserve">，如使用嵌片设备须</w:t>
      </w: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额外增加配置的</w:t>
      </w:r>
      <w:r>
        <w:rPr>
          <w:rFonts w:hint="eastAsia" w:ascii="宋体" w:hAnsi="宋体" w:cs="宋体"/>
          <w:b/>
          <w:bCs/>
          <w:color w:val="auto"/>
          <w:sz w:val="21"/>
          <w:szCs w:val="21"/>
          <w:highlight w:val="none"/>
          <w:lang w:val="en-US" w:eastAsia="zh-CN"/>
        </w:rPr>
        <w:t xml:space="preserve">承诺书并加盖投标人公章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▲3.1.7离子源：数控式、固态射频发生器，射频频率≤27.12MHz，功率范围600~1600W，射频线圈水冷设计；</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w:t>
      </w:r>
      <w:r>
        <w:rPr>
          <w:rFonts w:hint="eastAsia" w:ascii="宋体" w:hAnsi="宋体" w:eastAsia="宋体" w:cs="宋体"/>
          <w:b/>
          <w:bCs/>
          <w:color w:val="auto"/>
          <w:sz w:val="21"/>
          <w:szCs w:val="21"/>
          <w:highlight w:val="none"/>
        </w:rPr>
        <w:t xml:space="preserve">提供射频频率软件截图</w:t>
      </w:r>
      <w:r>
        <w:rPr>
          <w:rFonts w:hint="eastAsia" w:ascii="宋体" w:hAnsi="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rPr>
        <w:t xml:space="preserve">产品彩页</w:t>
      </w:r>
      <w:r>
        <w:rPr>
          <w:rFonts w:hint="eastAsia" w:ascii="宋体" w:hAnsi="宋体" w:cs="宋体"/>
          <w:b/>
          <w:bCs/>
          <w:color w:val="auto"/>
          <w:sz w:val="21"/>
          <w:szCs w:val="21"/>
          <w:highlight w:val="none"/>
          <w:lang w:val="en-US" w:eastAsia="zh-CN"/>
        </w:rPr>
        <w:t xml:space="preserve">并加盖投标单位公章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离子源必须真实接地，采用屏蔽炬系统彻底消除二次放电，同时维持低功率下冷等离子体稳定运行，并增强动能歧视效果，如采用非屏蔽矩物理接地技术，需额外多配3套原装工作线圈和3套原装炬管，以预防意外放电造成的工作线圈击穿和炬管烧坏；</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投标时如采</w:t>
      </w:r>
      <w:r>
        <w:rPr>
          <w:rFonts w:hint="eastAsia" w:ascii="宋体" w:hAnsi="宋体" w:eastAsia="宋体" w:cs="宋体"/>
          <w:b/>
          <w:bCs/>
          <w:color w:val="auto"/>
          <w:sz w:val="21"/>
          <w:szCs w:val="21"/>
          <w:highlight w:val="none"/>
        </w:rPr>
        <w:t xml:space="preserve">用屏蔽炬技术的须提供屏蔽炬实物图片</w:t>
      </w:r>
      <w:r>
        <w:rPr>
          <w:rFonts w:hint="eastAsia" w:ascii="宋体" w:hAnsi="宋体" w:cs="宋体"/>
          <w:b/>
          <w:bCs/>
          <w:color w:val="auto"/>
          <w:sz w:val="21"/>
          <w:szCs w:val="21"/>
          <w:highlight w:val="none"/>
          <w:lang w:val="en-US" w:eastAsia="zh-CN"/>
        </w:rPr>
        <w:t xml:space="preserve">并加盖投标人公章</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采用非屏蔽矩物理接地技术的</w:t>
      </w:r>
      <w:r>
        <w:rPr>
          <w:rFonts w:hint="eastAsia" w:ascii="宋体" w:hAnsi="宋体" w:eastAsia="宋体" w:cs="宋体"/>
          <w:b/>
          <w:bCs/>
          <w:color w:val="auto"/>
          <w:sz w:val="21"/>
          <w:szCs w:val="21"/>
          <w:highlight w:val="none"/>
        </w:rPr>
        <w:t xml:space="preserve">须</w:t>
      </w: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额外增加配置的</w:t>
      </w:r>
      <w:r>
        <w:rPr>
          <w:rFonts w:hint="eastAsia" w:ascii="宋体" w:hAnsi="宋体" w:cs="宋体"/>
          <w:b/>
          <w:bCs/>
          <w:color w:val="auto"/>
          <w:sz w:val="21"/>
          <w:szCs w:val="21"/>
          <w:highlight w:val="none"/>
          <w:lang w:val="en-US" w:eastAsia="zh-CN"/>
        </w:rPr>
        <w:t xml:space="preserve">承诺书并加盖投标人公章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3.1.9离子透镜：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▲3.1.9.1由离子提取和离子偏转双系统组成，配备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2个提取透镜，可通过电压调节来控制离子提取效果，提升全质量范围内离子传输效率，若</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≤1个提取透镜，须额外提供3套采样锥和截取锥，以及6升机械泵油；</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投标时如配备≥2个提取透镜的须</w:t>
      </w:r>
      <w:r>
        <w:rPr>
          <w:rFonts w:hint="eastAsia" w:ascii="宋体" w:hAnsi="宋体" w:eastAsia="宋体" w:cs="宋体"/>
          <w:b/>
          <w:bCs/>
          <w:color w:val="auto"/>
          <w:sz w:val="21"/>
          <w:szCs w:val="21"/>
          <w:highlight w:val="none"/>
        </w:rPr>
        <w:t xml:space="preserve">提供提取透镜实物图及软件控制电压截图</w:t>
      </w:r>
      <w:r>
        <w:rPr>
          <w:rFonts w:hint="eastAsia" w:ascii="宋体" w:hAnsi="宋体" w:cs="宋体"/>
          <w:b/>
          <w:bCs/>
          <w:color w:val="auto"/>
          <w:sz w:val="21"/>
          <w:szCs w:val="21"/>
          <w:highlight w:val="none"/>
          <w:lang w:val="en-US" w:eastAsia="zh-CN"/>
        </w:rPr>
        <w:t xml:space="preserve">并加盖投标单位公章</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配备</w:t>
      </w:r>
      <w:r>
        <w:rPr>
          <w:rFonts w:hint="eastAsia" w:ascii="宋体" w:hAnsi="宋体" w:eastAsia="宋体" w:cs="宋体"/>
          <w:b/>
          <w:bCs/>
          <w:color w:val="auto"/>
          <w:sz w:val="21"/>
          <w:szCs w:val="21"/>
          <w:highlight w:val="none"/>
        </w:rPr>
        <w:t xml:space="preserve">≤1个提取透镜</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须</w:t>
      </w: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额外增加配置的</w:t>
      </w:r>
      <w:r>
        <w:rPr>
          <w:rFonts w:hint="eastAsia" w:ascii="宋体" w:hAnsi="宋体" w:cs="宋体"/>
          <w:b/>
          <w:bCs/>
          <w:color w:val="auto"/>
          <w:sz w:val="21"/>
          <w:szCs w:val="21"/>
          <w:highlight w:val="none"/>
          <w:lang w:val="en-US" w:eastAsia="zh-CN"/>
        </w:rPr>
        <w:t xml:space="preserve">承诺书并加盖投标人公章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3.1.9.2采用正负双电压调节实现离子束双重偏转，将待测离子与中性粒子及光子有效分离，同时平衡不同质量段灵敏度分布。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3.1.10碰撞/反应池：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▲3.1.10.1配备碰撞/反应池为八极杆设计，具有最佳离子聚焦及传输效率，如果是四极杆或六级杆设计，需要额外提供3套原装碰撞反应池备件；</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投标时如配备八极杆设计的须</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相关彩页证明并加盖投标单位公章</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配备四极杆或六级杆设计的</w:t>
      </w:r>
      <w:r>
        <w:rPr>
          <w:rFonts w:hint="eastAsia" w:ascii="宋体" w:hAnsi="宋体" w:eastAsia="宋体" w:cs="宋体"/>
          <w:b/>
          <w:bCs/>
          <w:color w:val="auto"/>
          <w:sz w:val="21"/>
          <w:szCs w:val="21"/>
          <w:highlight w:val="none"/>
        </w:rPr>
        <w:t xml:space="preserve">须</w:t>
      </w:r>
      <w:r>
        <w:rPr>
          <w:rFonts w:hint="eastAsia" w:ascii="宋体" w:hAnsi="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额外增加配置的</w:t>
      </w:r>
      <w:r>
        <w:rPr>
          <w:rFonts w:hint="eastAsia" w:ascii="宋体" w:hAnsi="宋体" w:cs="宋体"/>
          <w:b/>
          <w:bCs/>
          <w:color w:val="auto"/>
          <w:sz w:val="21"/>
          <w:szCs w:val="21"/>
          <w:highlight w:val="none"/>
          <w:lang w:val="en-US" w:eastAsia="zh-CN"/>
        </w:rPr>
        <w:t xml:space="preserve">承诺书并加盖投标人公章</w:t>
      </w:r>
      <w:r>
        <w:rPr>
          <w:rFonts w:hint="eastAsia" w:ascii="宋体" w:hAnsi="宋体" w:eastAsia="宋体" w:cs="宋体"/>
          <w:b/>
          <w:bCs/>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3.1.10.2碰撞/反应池具有控温功能，控温范围55~95℃，0.1℃步进可调，保证更好的洁净度；</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3.1.10.3碰撞/反应池至少拥有三种工作模式，标准模式、氦气碰撞模式、高能干扰消除模式，不同模式切换时间</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3秒；</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3.1.10.4碰撞/反应气流速：≥12mL/min；</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3.1.11质量分析器：采用Mo材质双曲面四极杆，提供最理想电场分布和最佳丰度灵敏度；</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3.1.11.1四极杆驱动频率：≥2.5MHz；</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3.1.11.2四极杆质量数范围：2~258amu；</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3.1.12检测器：脉冲模拟双模式电子倍增器，动态线性范围≥10个数量级，离子离开质量分析器，经90度偏转后进入检测器；</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3.2操作软件</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3.2.1专业版操作系统；</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3.2.2全自动工作条件调谐；</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3.2.3虚拟内标法通过在已有的多个内标元素之间的插入一个</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虚拟</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的内标进行校正，虚拟内标更接近目标元素质量数，更可靠地校正各种样品基体效应；</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3.2.4批量数据表功能质量控制标准的在线显示与控制数据直接输出到Excel表格（随机配置）或LIMS数据系统；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▲3.2.5自定义调谐的同时可以实时监测信号，实时任意更改调谐参数</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w:t>
      </w:r>
      <w:r>
        <w:rPr>
          <w:rFonts w:hint="eastAsia" w:ascii="宋体" w:hAnsi="宋体" w:eastAsia="宋体" w:cs="宋体"/>
          <w:b/>
          <w:bCs/>
          <w:color w:val="auto"/>
          <w:sz w:val="21"/>
          <w:szCs w:val="21"/>
          <w:highlight w:val="none"/>
        </w:rPr>
        <w:t xml:space="preserve">须提供软件截图证明</w:t>
      </w:r>
      <w:r>
        <w:rPr>
          <w:rFonts w:hint="eastAsia" w:ascii="宋体" w:hAnsi="宋体" w:cs="宋体"/>
          <w:b/>
          <w:bCs/>
          <w:color w:val="auto"/>
          <w:sz w:val="21"/>
          <w:szCs w:val="21"/>
          <w:highlight w:val="none"/>
          <w:lang w:val="en-US" w:eastAsia="zh-CN"/>
        </w:rPr>
        <w:t xml:space="preserve">并加盖投标人单位公章</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3.2.6可接入网络版软件，实现权限管理和数据库管理；</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3.3性能指标：（3.3.1~3.3.5指标须在同一条件下测定）；</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3.3.1灵敏度【cps/ppm】</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低质量数：7Li ≥ 110 M</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中质量数：115In ≥ 350 M</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高质量数：238U ≥ 500 M；</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3.3.2检测限【3*sigma，ppt】</w:t>
      </w:r>
      <w:r/>
    </w:p>
    <w:p>
      <w:pPr>
        <w:ind w:firstLine="63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9Be ≤ 0.5 ppt</w:t>
      </w:r>
      <w:r/>
    </w:p>
    <w:p>
      <w:pPr>
        <w:ind w:firstLine="63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115In ≤ 0.1 ppt</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209Bi ≤ 0.1 ppt；</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3.3.3背景：≤0.5cps（在质量数9amu处实测背景）；</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3.3.4氧化物产率（CeO+/Ce+）：≤2.0%；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3.3.5双电荷产率（Ce2+/Ce+）：≤3.0%；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3.3.6短期稳定性（RSD）：≤2%(20min)（须在1ppb标准溶液中测定）；</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3.3.7长期稳定性（RSD）：≤3%(2hrs)（须在1ppb标准溶液中测定）；</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3.3.8在线气体稀释高盐进样系统：</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3.3.8.1高盐测试指标：标准模式(No Gas)下，氧化物产率CeO+/Ce+≤0.3%；</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4.基本配置</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4.1 ICP-MS主机1台；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4.2 ICP-MS原装操作软件1套；</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4.3计算机1台：电脑配置</w:t>
      </w:r>
      <w:r>
        <w:rPr>
          <w:rFonts w:hint="eastAsia" w:ascii="宋体" w:hAnsi="宋体" w:cs="宋体"/>
          <w:i/>
          <w:iCs/>
          <w:color w:val="auto"/>
          <w:sz w:val="21"/>
          <w:szCs w:val="21"/>
          <w:highlight w:val="none"/>
          <w:u w:val="single"/>
          <w:lang w:val="en-US" w:eastAsia="zh-CN"/>
        </w:rPr>
        <w:t xml:space="preserve">:内存：</w:t>
      </w:r>
      <w:r>
        <w:rPr>
          <w:rFonts w:hint="eastAsia" w:ascii="宋体" w:hAnsi="宋体" w:cs="宋体"/>
          <w:i/>
          <w:iCs/>
          <w:color w:val="auto"/>
          <w:szCs w:val="21"/>
          <w:highlight w:val="none"/>
          <w:u w:val="single"/>
        </w:rPr>
        <w:t xml:space="preserve">≥</w:t>
      </w:r>
      <w:r>
        <w:rPr>
          <w:rFonts w:hint="eastAsia" w:ascii="宋体" w:hAnsi="宋体" w:eastAsia="宋体" w:cs="宋体"/>
          <w:i/>
          <w:iCs/>
          <w:color w:val="auto"/>
          <w:sz w:val="21"/>
          <w:szCs w:val="21"/>
          <w:highlight w:val="none"/>
          <w:u w:val="single"/>
        </w:rPr>
        <w:t xml:space="preserve">32G</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存储：</w:t>
      </w:r>
      <w:r>
        <w:rPr>
          <w:rFonts w:hint="eastAsia" w:ascii="宋体" w:hAnsi="宋体" w:cs="宋体"/>
          <w:i/>
          <w:iCs/>
          <w:color w:val="auto"/>
          <w:szCs w:val="21"/>
          <w:highlight w:val="none"/>
          <w:u w:val="single"/>
        </w:rPr>
        <w:t xml:space="preserve">≥</w:t>
      </w:r>
      <w:r>
        <w:rPr>
          <w:rFonts w:hint="eastAsia" w:ascii="宋体" w:hAnsi="宋体" w:eastAsia="宋体" w:cs="宋体"/>
          <w:i/>
          <w:iCs/>
          <w:color w:val="auto"/>
          <w:sz w:val="21"/>
          <w:szCs w:val="21"/>
          <w:highlight w:val="none"/>
          <w:u w:val="single"/>
        </w:rPr>
        <w:t xml:space="preserve">512G+1T硬盘</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显示器</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Cs w:val="21"/>
          <w:highlight w:val="none"/>
          <w:u w:val="single"/>
        </w:rPr>
        <w:t xml:space="preserve">≥</w:t>
      </w:r>
      <w:r>
        <w:rPr>
          <w:rFonts w:hint="eastAsia" w:ascii="宋体" w:hAnsi="宋体" w:cs="宋体"/>
          <w:i/>
          <w:iCs/>
          <w:color w:val="auto"/>
          <w:szCs w:val="21"/>
          <w:highlight w:val="none"/>
          <w:u w:val="single"/>
          <w:lang w:val="en-US" w:eastAsia="zh-CN"/>
        </w:rPr>
        <w:t xml:space="preserve">23英寸</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操作系统：</w:t>
      </w:r>
      <w:r>
        <w:rPr>
          <w:rFonts w:hint="eastAsia" w:ascii="宋体" w:hAnsi="宋体" w:eastAsia="宋体" w:cs="宋体"/>
          <w:i/>
          <w:iCs/>
          <w:color w:val="auto"/>
          <w:sz w:val="21"/>
          <w:szCs w:val="21"/>
          <w:highlight w:val="none"/>
          <w:u w:val="single"/>
        </w:rPr>
        <w:t xml:space="preserve">专业版</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打印机1台；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4.4 循环冷却水机1台；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4.5 6KVA的</w:t>
      </w:r>
      <w:r>
        <w:rPr>
          <w:rFonts w:hint="eastAsia" w:ascii="宋体" w:hAnsi="宋体" w:cs="宋体"/>
          <w:i/>
          <w:iCs/>
          <w:color w:val="auto"/>
          <w:sz w:val="21"/>
          <w:szCs w:val="21"/>
          <w:highlight w:val="none"/>
          <w:u w:val="single"/>
          <w:lang w:val="en-US" w:eastAsia="zh-CN"/>
        </w:rPr>
        <w:t xml:space="preserve">不低于</w:t>
      </w:r>
      <w:r>
        <w:rPr>
          <w:rFonts w:hint="eastAsia" w:ascii="宋体" w:hAnsi="宋体" w:eastAsia="宋体" w:cs="宋体"/>
          <w:i/>
          <w:iCs/>
          <w:color w:val="auto"/>
          <w:sz w:val="21"/>
          <w:szCs w:val="21"/>
          <w:highlight w:val="none"/>
          <w:u w:val="single"/>
        </w:rPr>
        <w:t xml:space="preserve">两个小时</w:t>
      </w:r>
      <w:r>
        <w:rPr>
          <w:rFonts w:hint="eastAsia" w:ascii="宋体" w:hAnsi="宋体" w:cs="宋体"/>
          <w:i/>
          <w:iCs/>
          <w:color w:val="auto"/>
          <w:sz w:val="21"/>
          <w:szCs w:val="21"/>
          <w:highlight w:val="none"/>
          <w:u w:val="single"/>
          <w:lang w:val="en-US" w:eastAsia="zh-CN"/>
        </w:rPr>
        <w:t xml:space="preserve">的稳压</w:t>
      </w:r>
      <w:r>
        <w:rPr>
          <w:rFonts w:hint="eastAsia" w:ascii="宋体" w:hAnsi="宋体" w:eastAsia="宋体" w:cs="宋体"/>
          <w:i/>
          <w:iCs/>
          <w:color w:val="auto"/>
          <w:sz w:val="21"/>
          <w:szCs w:val="21"/>
          <w:highlight w:val="none"/>
          <w:u w:val="single"/>
        </w:rPr>
        <w:t xml:space="preserve">电源1台；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4.6</w:t>
      </w:r>
      <w:r>
        <w:rPr>
          <w:rFonts w:hint="eastAsia" w:ascii="宋体" w:hAnsi="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 xml:space="preserve">ICP</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MS调谐液1瓶，ICP</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MS标准溶液1瓶，石墨垫圈3个，进样管线12根，内标管线12根，废液管线12根。</w:t>
      </w:r>
      <w:r/>
    </w:p>
    <w:p>
      <w:pPr>
        <w:spacing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（三）一氧化碳测定仪</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1.原理及适用范围</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采用非分散红外法原理测量环境空气中CO的浓度，可用于环境空气监测、公共场所、工作场所、劳动保护、人防系统、卫生防疫、隧道等场合中CO浓度测量，也可用于农村环境空气质量监测、在线监测仪器对比。</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2.执行标准</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GB 9801-1988 空气质量 一氧化碳的测定 非分散红外法</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HJ 965-2018</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 xml:space="preserve">环境空气 一氧化碳的自动测定 非分散红外法</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GB/T 18204.2-2014 公共场所卫生检验方法 第2部分：化学污染物</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GB 37488-2019 公共场所卫生指标及限值要求</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GBZ 2.1-2019 工作场所有害因素职业接触限值 第 1 部分：化学有害因素</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GBZ/T 300.37-2017 工作场所空气有毒物质测定 第 37 部分一氧化碳和二氧化碳</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3.技术要求</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 非分散红外光学法测量CO准确度高，检出限低；</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3.2 内置锂电池，可连续工作至少CO约20小时；</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3.3 设备具备分钟均值、小时均值、8小时均值、日均值显示、存储等功能；</w:t>
      </w:r>
      <w:r/>
    </w:p>
    <w:p>
      <w:pPr>
        <w:spacing w:line="360" w:lineRule="auto"/>
        <w:rPr>
          <w:rFonts w:hint="eastAsia" w:ascii="宋体" w:hAnsi="宋体" w:eastAsia="宋体" w:cs="宋体"/>
          <w:i/>
          <w:iCs/>
          <w:color w:val="auto"/>
          <w:sz w:val="21"/>
          <w:szCs w:val="21"/>
          <w:highlight w:val="yellow"/>
          <w:u w:val="single"/>
          <w:lang w:eastAsia="zh-CN"/>
        </w:rPr>
      </w:pPr>
      <w:r>
        <w:rPr>
          <w:rFonts w:hint="eastAsia" w:ascii="宋体" w:hAnsi="宋体" w:eastAsia="宋体" w:cs="宋体"/>
          <w:i/>
          <w:iCs/>
          <w:color w:val="auto"/>
          <w:sz w:val="21"/>
          <w:szCs w:val="21"/>
          <w:highlight w:val="none"/>
          <w:u w:val="single"/>
        </w:rPr>
        <w:t xml:space="preserve">3.4 设备需配备</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0.8米可延长取样管</w:t>
      </w:r>
      <w:r>
        <w:rPr>
          <w:rFonts w:hint="eastAsia" w:ascii="宋体" w:hAnsi="宋体" w:cs="宋体"/>
          <w:i/>
          <w:iCs/>
          <w:color w:val="auto"/>
          <w:sz w:val="21"/>
          <w:szCs w:val="21"/>
          <w:highlight w:val="none"/>
          <w:u w:val="single"/>
          <w:lang w:eastAsia="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设备具备彩色触摸屏，并且支持CO曲线显示</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投标时须</w:t>
      </w:r>
      <w:r>
        <w:rPr>
          <w:rFonts w:hint="eastAsia" w:ascii="宋体" w:hAnsi="宋体" w:eastAsia="宋体" w:cs="宋体"/>
          <w:b/>
          <w:bCs/>
          <w:color w:val="auto"/>
          <w:sz w:val="21"/>
          <w:szCs w:val="21"/>
          <w:highlight w:val="none"/>
        </w:rPr>
        <w:t xml:space="preserve">提供产品实物</w:t>
      </w:r>
      <w:r>
        <w:rPr>
          <w:rFonts w:hint="eastAsia" w:ascii="宋体" w:hAnsi="宋体" w:cs="宋体"/>
          <w:b/>
          <w:bCs/>
          <w:color w:val="auto"/>
          <w:sz w:val="21"/>
          <w:szCs w:val="21"/>
          <w:highlight w:val="none"/>
          <w:lang w:val="en-US" w:eastAsia="zh-CN"/>
        </w:rPr>
        <w:t xml:space="preserve">及曲线显示界面</w:t>
      </w:r>
      <w:r>
        <w:rPr>
          <w:rFonts w:hint="eastAsia" w:ascii="宋体" w:hAnsi="宋体" w:eastAsia="宋体" w:cs="宋体"/>
          <w:b/>
          <w:bCs/>
          <w:color w:val="auto"/>
          <w:sz w:val="21"/>
          <w:szCs w:val="21"/>
          <w:highlight w:val="none"/>
        </w:rPr>
        <w:t xml:space="preserve">照片</w:t>
      </w:r>
      <w:r>
        <w:rPr>
          <w:rFonts w:hint="eastAsia" w:ascii="宋体" w:hAnsi="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rPr>
        <w:t xml:space="preserve">加盖</w:t>
      </w:r>
      <w:r>
        <w:rPr>
          <w:rFonts w:hint="eastAsia" w:ascii="宋体" w:hAnsi="宋体"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3.6 具有超限报警功能，可以设定报警点浓度，超限自动声、光报警；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设备</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具备内置CO洗涤器，可使用环境空气进行调零</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投标时须</w:t>
      </w:r>
      <w:r>
        <w:rPr>
          <w:rFonts w:hint="eastAsia" w:ascii="宋体" w:hAnsi="宋体" w:eastAsia="宋体" w:cs="宋体"/>
          <w:b/>
          <w:bCs/>
          <w:color w:val="auto"/>
          <w:sz w:val="21"/>
          <w:szCs w:val="21"/>
          <w:highlight w:val="none"/>
        </w:rPr>
        <w:t xml:space="preserve">提供产品实物照片</w:t>
      </w:r>
      <w:r>
        <w:rPr>
          <w:rFonts w:hint="eastAsia" w:ascii="宋体" w:hAnsi="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rPr>
        <w:t xml:space="preserve">加盖</w:t>
      </w:r>
      <w:r>
        <w:rPr>
          <w:rFonts w:hint="eastAsia" w:ascii="宋体" w:hAnsi="宋体"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3.8 设备应具备环境温度、湿度、大气压读取和显示功能；</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3.9 仪器具有大容量存储，可进行数据的存储、查询、打印、导出，轻松掌握实时数据；</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3.10 实时测量大气压、环境温度、环境相对湿度等参数；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3.11 具备故障自检功能，可对仪器功能进行检测并提示故障，方便用户的维护、使用；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▲3.12设备应具备有自动定位和自动授时功能</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投标时须</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具备有自动定位和自动授时功能显示界面并</w:t>
      </w:r>
      <w:r>
        <w:rPr>
          <w:rFonts w:hint="eastAsia" w:ascii="宋体" w:hAnsi="宋体" w:eastAsia="宋体" w:cs="宋体"/>
          <w:b/>
          <w:bCs/>
          <w:color w:val="auto"/>
          <w:sz w:val="21"/>
          <w:szCs w:val="21"/>
          <w:highlight w:val="none"/>
        </w:rPr>
        <w:t xml:space="preserve">加盖</w:t>
      </w:r>
      <w:r>
        <w:rPr>
          <w:rFonts w:hint="eastAsia" w:ascii="宋体" w:hAnsi="宋体"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4.技术指标</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4.1</w:t>
      </w:r>
      <w:r>
        <w:rPr>
          <w:rFonts w:hint="eastAsia" w:ascii="宋体" w:hAnsi="宋体" w:eastAsia="宋体" w:cs="宋体"/>
          <w:i/>
          <w:iCs/>
          <w:color w:val="auto"/>
          <w:sz w:val="21"/>
          <w:szCs w:val="21"/>
          <w:highlight w:val="none"/>
          <w:u w:val="single"/>
          <w:lang w:val="en-US" w:eastAsia="zh-CN"/>
        </w:rPr>
        <w:t xml:space="preserve">量程</w:t>
      </w:r>
      <w:r>
        <w:rPr>
          <w:rFonts w:hint="eastAsia" w:ascii="宋体" w:hAnsi="宋体" w:eastAsia="宋体" w:cs="宋体"/>
          <w:i/>
          <w:iCs/>
          <w:color w:val="auto"/>
          <w:sz w:val="21"/>
          <w:szCs w:val="21"/>
          <w:highlight w:val="none"/>
          <w:u w:val="single"/>
        </w:rPr>
        <w:t xml:space="preserve">CO（0～50）μmol/mol；</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4.2响应时间 ≤45s；</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4.3示值误差 ≤±2%FS；</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4.4重复性≤1.0%；</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4.5零点/量程漂移≤±2%FS；</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4.6非被测组分干扰误差 ≤±2%FS；</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4.7抽气流量 </w:t>
      </w:r>
      <w:r>
        <w:rPr>
          <w:rFonts w:hint="eastAsia" w:ascii="宋体" w:hAnsi="宋体" w:eastAsia="宋体" w:cs="宋体"/>
          <w:i/>
          <w:iCs/>
          <w:color w:val="auto"/>
          <w:sz w:val="21"/>
          <w:szCs w:val="21"/>
          <w:highlight w:val="none"/>
          <w:u w:val="single"/>
          <w:lang w:val="en-US" w:eastAsia="zh-CN"/>
        </w:rPr>
        <w:t xml:space="preserve">0-</w:t>
      </w:r>
      <w:r>
        <w:rPr>
          <w:rFonts w:hint="eastAsia" w:ascii="宋体" w:hAnsi="宋体" w:eastAsia="宋体" w:cs="宋体"/>
          <w:i/>
          <w:iCs/>
          <w:color w:val="auto"/>
          <w:sz w:val="21"/>
          <w:szCs w:val="21"/>
          <w:highlight w:val="none"/>
          <w:u w:val="single"/>
        </w:rPr>
        <w:t xml:space="preserve">1.0L/min；</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4.8工作电源 内置锂电池(22.2V/5.2Ah）或交流供电（自带充电管理）；</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4.9功耗≤15W。</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5.单台仪器配置</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5.1</w:t>
      </w:r>
      <w:r>
        <w:rPr>
          <w:rFonts w:hint="eastAsia" w:ascii="宋体" w:hAnsi="宋体" w:cs="宋体"/>
          <w:i/>
          <w:iCs/>
          <w:color w:val="auto"/>
          <w:sz w:val="21"/>
          <w:szCs w:val="21"/>
          <w:highlight w:val="none"/>
          <w:u w:val="single"/>
          <w:lang w:val="en-US" w:eastAsia="zh-CN"/>
        </w:rPr>
        <w:t xml:space="preserve">仪器</w:t>
      </w:r>
      <w:r>
        <w:rPr>
          <w:rFonts w:hint="eastAsia" w:ascii="宋体" w:hAnsi="宋体" w:eastAsia="宋体" w:cs="宋体"/>
          <w:i/>
          <w:iCs/>
          <w:color w:val="auto"/>
          <w:sz w:val="21"/>
          <w:szCs w:val="21"/>
          <w:highlight w:val="none"/>
          <w:u w:val="single"/>
        </w:rPr>
        <w:t xml:space="preserve">主机1台；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5.2红外模块1套；</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5.3蓝牙打印机1台；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5.4三角支架1台；</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5.5主机电源线1套；</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5.6校准证书1份。</w:t>
      </w:r>
      <w:r/>
    </w:p>
    <w:p>
      <w:pPr>
        <w:spacing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（四）环境质量监测车</w:t>
      </w:r>
      <w:r/>
    </w:p>
    <w:p>
      <w:pPr>
        <w:spacing w:line="360" w:lineRule="auto"/>
        <w:rPr>
          <w:rFonts w:hint="eastAsia" w:ascii="宋体" w:hAnsi="宋体" w:cs="宋体"/>
          <w:b w:val="0"/>
          <w:bCs w:val="0"/>
          <w:i w:val="0"/>
          <w:iCs w:val="0"/>
          <w:color w:val="auto"/>
          <w:szCs w:val="21"/>
          <w:highlight w:val="none"/>
          <w:u w:val="none"/>
        </w:rPr>
      </w:pPr>
      <w:r>
        <w:rPr>
          <w:rFonts w:hint="eastAsia" w:ascii="宋体" w:hAnsi="宋体" w:cs="宋体"/>
          <w:b w:val="0"/>
          <w:bCs w:val="0"/>
          <w:i w:val="0"/>
          <w:iCs w:val="0"/>
          <w:color w:val="auto"/>
          <w:szCs w:val="21"/>
          <w:highlight w:val="none"/>
          <w:u w:val="none"/>
        </w:rPr>
        <w:t xml:space="preserve">1.检测车整体要求</w:t>
      </w:r>
      <w:r/>
    </w:p>
    <w:p>
      <w:p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（1）</w:t>
      </w:r>
      <w:r>
        <w:rPr>
          <w:rFonts w:hint="eastAsia" w:ascii="宋体" w:hAnsi="宋体" w:eastAsia="宋体" w:cs="宋体"/>
          <w:color w:val="auto"/>
          <w:sz w:val="21"/>
          <w:szCs w:val="21"/>
          <w:highlight w:val="none"/>
        </w:rPr>
        <w:t xml:space="preserve">车辆应具备</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工信部网站可查询</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检测车公告，</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投标时须提供工信部官网查询</w:t>
      </w:r>
      <w:r>
        <w:rPr>
          <w:rFonts w:hint="eastAsia" w:ascii="宋体" w:hAnsi="宋体" w:eastAsia="宋体" w:cs="宋体"/>
          <w:b/>
          <w:bCs/>
          <w:color w:val="auto"/>
          <w:sz w:val="21"/>
          <w:szCs w:val="21"/>
          <w:highlight w:val="none"/>
        </w:rPr>
        <w:t xml:space="preserve">截图</w:t>
      </w:r>
      <w:r>
        <w:rPr>
          <w:rFonts w:hint="eastAsia" w:ascii="宋体" w:hAnsi="宋体" w:cs="宋体"/>
          <w:b/>
          <w:bCs/>
          <w:color w:val="auto"/>
          <w:sz w:val="21"/>
          <w:szCs w:val="21"/>
          <w:highlight w:val="none"/>
          <w:lang w:val="en-US" w:eastAsia="zh-CN"/>
        </w:rPr>
        <w:t xml:space="preserve">加盖投标单位公章</w:t>
      </w:r>
      <w:r>
        <w:rPr>
          <w:rFonts w:hint="eastAsia" w:ascii="宋体" w:hAnsi="宋体" w:eastAsia="宋体" w:cs="宋体"/>
          <w:b/>
          <w:bCs/>
          <w:color w:val="auto"/>
          <w:sz w:val="21"/>
          <w:szCs w:val="21"/>
          <w:highlight w:val="none"/>
        </w:rPr>
        <w:t xml:space="preserve">）</w:t>
      </w:r>
      <w:r>
        <w:rPr>
          <w:rFonts w:hint="eastAsia" w:ascii="宋体" w:hAnsi="宋体" w:cs="宋体"/>
          <w:color w:val="auto"/>
          <w:szCs w:val="21"/>
          <w:highlight w:val="none"/>
        </w:rPr>
        <w:t xml:space="preserve">；</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（2）车辆参数具体要求如下：</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整车长：＜6000mm</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整车宽：＞2100mm</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整车高：＜3300mm</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整备质量：≥4100kg</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总质量：≤4500kg</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排放依据标准：国Ⅵ</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排量：≥2998ml</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最高车速≥130km/h</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转向形式：方向盘</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额定载客（含驾驶员）：2-3人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变速箱：自动</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2.改装技术要求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2.1车体基础改造</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（1）车辆分区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车内应分为驾驶区、实验综合区。其中实验综合区为后部独立舱体结构。</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（2）车辆开门</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后门应采用后双开门形式，副驾驶侧后部应配有侧开门，用于人员和仪器的进出，侧开门底部应设置电动踏板。</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（3）车辆窗户</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驾驶区应采用原厂车辆窗户，窗户应贴隔热膜保温处理，后侧开门设置观察窗。</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（4）车身加固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车身内部需要承重的区域进行加固处理，内部进行发泡保温处理。</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（5）车顶平台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车顶应设置有车顶平台，并加设不锈钢护栏，加强工作人员登顶工作的安全性。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（6）后爬梯</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尾部应设置一个爬梯，爬梯各梯步采取防滑措施处理。</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（7）车外照明</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车顶平台两侧应安装有车载场地灯，满足现场夜晚照明需求。车顶应安装可升降倒伏照明灯，满足应急情况下照明需求。</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（8）车辆遮阳棚</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应在车辆副驾驶侧安装遮阳棚。</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（9）车辆地板</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实验区地板应采用防腐车辆专用地板革。</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（10）防雷系统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车身应有良好的接地处理，可有效防止雷击及触电，在电源引入口安装电源防雷避雷器。</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（11）防静电</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整车应加装静电拖带，防止车辆静电引起仪器损坏。</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（12）车身标识</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外部字体、图案应根据采购人要求，字体图案明晰清楚。</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（13）淋雨试验</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车顶应保持完全密封状态，防止车辆进水。</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2.2车内改装</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（1）仪器设备柜及工作台面</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在实验区应设置有实验台面用于现场办公使用，实验台面板材选用具有耐热、耐撞击、耐腐蚀、防水等特点的实验室专用理化台面，具有结构稳定、抗弯和抗冲击的性能；实验台面下应设置仪器柜，用于存放实验所需的配件、耗材、工具等；仪器柜材质应具有一定数量的扎带用于固定设备，同时具备耐潮耐热、耐腐蚀、抗冲击的性能。实验台面应设置电源/网络插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（2）车内座椅</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驾驶区保持原车状态，可乘坐2-3人（包括驾驶员），实验区内应放置折叠座椅2张，可满足驻车实验条件下实验人员2人工作。</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（3）车内照明</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应符合移动实验室亮度要求，在连续进行工作的区域内的维持平均照度不宜低于200lx，车内均采用LED照明灯具。</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（4）内饰</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车辆内饰整体应采用实验室白色玻璃钢材质，便于后期的清理。</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（5）安防附件</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实验区应配备车用小型灭火器、温湿度计、烟雾报警器、应急医疗箱等安全防护物品。</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2.3供电系统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（1）应配置有市电供</w:t>
      </w:r>
      <w:r>
        <w:rPr>
          <w:rFonts w:hint="eastAsia" w:ascii="宋体" w:hAnsi="宋体" w:cs="宋体"/>
          <w:i/>
          <w:iCs/>
          <w:color w:val="auto"/>
          <w:szCs w:val="21"/>
          <w:highlight w:val="none"/>
          <w:u w:val="single"/>
        </w:rPr>
        <w:t xml:space="preserve">电系统、不间断稳压电源系统和发电机供电系统三套供电模式。在市电、发电机无法正常供电的紧急情况下，不间断稳压电源应实现对车内办公以及便携式监测设备的应急供电保护。整车电源应采用集中控制，不同设备之间需要分开供电，并可查看电路实时供电电流、电压情况，车辆应配有空调与设备市电接口。采用车辆专用稳压电源，输出波形:纯正弦波。不间断电源功率不低于3KVA（配套不间断电源系统的后备电瓶总蓄电量不少于8KWH），满足核心仪器的使用，在市电断电时≤20ms切换，从而保护核心仪器，持续供电时间≥30Min，确保仪器安全停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（2）车辆电路接口应进行防水处理，拥有良好的电气绝缘性能、优良的抗冲击性能和防尘、防潮及防腐蚀的性能；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（3）线缆盘：车辆应配置两个长度不小于30米的线缆盘，线缆盘配漏电保护开关，保护用电安全，带电源指示灯，配户外专用电缆线，耐折弯，耐磨损，耐高低温；</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（4）工作环境：供电系统可以在-20℃至60℃工作；</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（5）保护功能：具备过压、低压、过温、过载、交流短路保护功能；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（6）报警功能：具备低电量、高温、高电压蜂鸣报警功能；</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（7）车载发电机：车体设置发电机仓，发电机功率≥5KW。</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2.4空调系统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（1）应合理计算空调制冷量，驾驶舱选用底盘自带空调系统；综合实验舱空调为顶置驻车空调。</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2.5视频监控系统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（1）车内监控：在车内安装一个半球摄像机，可监控实验区的情况；</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（2）车外监控：应在车头方向安装摄像头，车头使用云台摄像机，可360度旋转，对周边情况进行监控；</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（3）存储空间：车载DVR应提供不少于1T的本地存储硬盘；</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（4）倒车影像：车辆中控台应配置可夜视倒车影像系统；</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（5）显示屏：车内应配置不小于43寸显示屏，用于设备数据展示及监控画面显示；</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2.6车载水系统</w:t>
      </w:r>
      <w:r/>
    </w:p>
    <w:p>
      <w:pPr>
        <w:spacing w:line="360" w:lineRule="auto"/>
        <w:rPr>
          <w:rFonts w:hint="eastAsia" w:ascii="宋体" w:hAnsi="宋体" w:eastAsia="宋体" w:cs="宋体"/>
          <w:i/>
          <w:iCs/>
          <w:color w:val="auto"/>
          <w:sz w:val="21"/>
          <w:szCs w:val="21"/>
          <w:highlight w:val="none"/>
          <w:u w:val="single"/>
        </w:rPr>
      </w:pPr>
      <w:r>
        <w:rPr>
          <w:rFonts w:hint="eastAsia" w:ascii="宋体" w:hAnsi="宋体" w:cs="宋体"/>
          <w:i/>
          <w:iCs/>
          <w:color w:val="auto"/>
          <w:szCs w:val="21"/>
          <w:highlight w:val="none"/>
          <w:u w:val="single"/>
        </w:rPr>
        <w:t xml:space="preserve">应配置实验室专用水槽、实验室水龙头和污水箱、外部水路接口、水泵、外路等。污水箱应配置有液位传感器及报警器；</w:t>
      </w:r>
      <w:r/>
    </w:p>
    <w:p>
      <w:pPr>
        <w:ind w:firstLine="422"/>
        <w:spacing w:line="400" w:lineRule="exact"/>
        <w:shd w:val="clear" w:color="auto" w:fill="ffffff"/>
        <w:widowControl/>
        <w:rPr>
          <w:rFonts w:hint="default" w:eastAsia="宋体"/>
          <w:b/>
          <w:bCs/>
          <w:color w:val="ff0000"/>
          <w:sz w:val="24"/>
          <w:lang w:val="en-US" w:eastAsia="zh-CN"/>
        </w:rPr>
      </w:pPr>
      <w:r>
        <w:rPr>
          <w:rFonts w:hint="eastAsia" w:ascii="宋体" w:hAnsi="宋体" w:eastAsia="宋体" w:cs="宋体"/>
          <w:b/>
          <w:bCs/>
          <w:i/>
          <w:iCs/>
          <w:color w:val="auto"/>
          <w:sz w:val="21"/>
          <w:szCs w:val="21"/>
          <w:highlight w:val="none"/>
        </w:rPr>
        <w:t xml:space="preserve">注：</w:t>
      </w:r>
      <w:r>
        <w:rPr>
          <w:rFonts w:hint="eastAsia"/>
          <w:b/>
          <w:bCs/>
          <w:color w:val="auto"/>
          <w:sz w:val="24"/>
          <w:lang w:val="en-US" w:eastAsia="zh-CN"/>
        </w:rPr>
        <w:t xml:space="preserve">本技术参数中未加</w:t>
      </w:r>
      <w:r>
        <w:rPr>
          <w:rFonts w:hint="eastAsia"/>
          <w:b/>
          <w:bCs/>
          <w:color w:val="auto"/>
          <w:sz w:val="24"/>
        </w:rPr>
        <w:t xml:space="preserve">“▲”</w:t>
      </w:r>
      <w:r>
        <w:rPr>
          <w:rFonts w:hint="eastAsia"/>
          <w:b/>
          <w:bCs/>
          <w:color w:val="auto"/>
          <w:sz w:val="24"/>
          <w:lang w:val="en-US" w:eastAsia="zh-CN"/>
        </w:rPr>
        <w:t xml:space="preserve">号</w:t>
      </w:r>
      <w:r>
        <w:rPr>
          <w:rFonts w:hint="eastAsia"/>
          <w:b/>
          <w:bCs/>
          <w:color w:val="auto"/>
          <w:sz w:val="24"/>
        </w:rPr>
        <w:t xml:space="preserve">的</w:t>
      </w:r>
      <w:r>
        <w:rPr>
          <w:rFonts w:hint="eastAsia"/>
          <w:b/>
          <w:bCs/>
          <w:color w:val="auto"/>
          <w:sz w:val="24"/>
          <w:lang w:val="en-US" w:eastAsia="zh-CN"/>
        </w:rPr>
        <w:t xml:space="preserve">倾斜且带有下划线的</w:t>
      </w:r>
      <w:r>
        <w:rPr>
          <w:rFonts w:hint="eastAsia"/>
          <w:b/>
          <w:bCs/>
          <w:color w:val="auto"/>
          <w:sz w:val="24"/>
        </w:rPr>
        <w:t xml:space="preserve">条款</w:t>
      </w:r>
      <w:r>
        <w:rPr>
          <w:rFonts w:hint="eastAsia"/>
          <w:b/>
          <w:bCs/>
          <w:color w:val="auto"/>
          <w:sz w:val="24"/>
          <w:lang w:val="en-US" w:eastAsia="zh-CN"/>
        </w:rPr>
        <w:t xml:space="preserve">为实质性条款投标人投标时需提供单独承诺符合采购需求，无负偏离。（承诺格式由投标人自拟）。如未单独提供承诺的</w:t>
      </w:r>
      <w:r>
        <w:rPr>
          <w:rFonts w:hint="eastAsia" w:ascii="宋体" w:hAnsi="宋体" w:eastAsia="宋体" w:cs="Courier New"/>
          <w:b/>
          <w:bCs/>
          <w:color w:val="auto"/>
          <w:sz w:val="24"/>
          <w:szCs w:val="24"/>
          <w:lang w:val="en-US" w:eastAsia="zh-CN" w:bidi="ar-SA"/>
        </w:rPr>
        <w:t xml:space="preserve">将视为未实质性响应采购要求。</w:t>
      </w:r>
      <w:r/>
    </w:p>
    <w:p>
      <w:pPr>
        <w:ind w:firstLine="422"/>
        <w:jc w:val="left"/>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138" w:name="_Toc120614281"/>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、项目服务要求</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投标人应根据本采购文件要求，围绕项目目标，制定全面完整、具体详细、科学合理、切实可行的服务方案，内容至少包括如下几个方面：</w:t>
      </w:r>
      <w:r>
        <w:rPr>
          <w:rFonts w:hint="eastAsia" w:ascii="宋体" w:hAnsi="宋体" w:eastAsia="宋体" w:cs="宋体"/>
          <w:color w:val="auto"/>
          <w:sz w:val="21"/>
          <w:szCs w:val="21"/>
          <w:highlight w:val="none"/>
        </w:rPr>
        <w:t xml:space="preserve">项目整体实施方案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售后服务方案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设备运行维保方案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质量保证方案</w:t>
      </w:r>
      <w:r>
        <w:rPr>
          <w:rFonts w:hint="eastAsia" w:ascii="宋体" w:hAnsi="宋体" w:eastAsia="宋体" w:cs="宋体"/>
          <w:b w:val="0"/>
          <w:bCs w:val="0"/>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项目整体实施方案</w:t>
      </w:r>
      <w:r>
        <w:rPr>
          <w:rFonts w:hint="eastAsia" w:ascii="宋体" w:hAnsi="宋体" w:eastAsia="宋体" w:cs="宋体"/>
          <w:color w:val="auto"/>
          <w:sz w:val="21"/>
          <w:szCs w:val="21"/>
          <w:highlight w:val="none"/>
          <w:lang w:val="en-US" w:eastAsia="zh-CN"/>
        </w:rPr>
        <w:t xml:space="preserve">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投标人须根据本项目的实际需求，针对所投环境监测设备制定详尽、可行、有针对性的项目整体实施方案。方案应至少包含以下五项核心内容，该方案将作为评价投标人项目实施能力的重要依据：</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1.项目进度安排：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提供详细的项目实施进度计划，需明确从合同签订到项目最终验收的全过程时间节点、各阶段工作任务划分（设备供货、设备安装、设备调试、培训、验收等）。进度安排需符合本项目规定的周期要求，且逻辑合理、切实可行。</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2.项目进度保障措施：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基于上述进度安排，投标人需提出确保项目按时、保质完成的具体保障措施。</w:t>
      </w:r>
      <w:r>
        <w:rPr>
          <w:rFonts w:hint="eastAsia" w:ascii="宋体" w:hAnsi="宋体" w:cs="宋体"/>
          <w:color w:val="auto"/>
          <w:sz w:val="21"/>
          <w:szCs w:val="21"/>
          <w:highlight w:val="none"/>
          <w:lang w:val="en-US" w:eastAsia="zh-CN"/>
        </w:rPr>
        <w:t xml:space="preserve">至少包含</w:t>
      </w:r>
      <w:r>
        <w:rPr>
          <w:rFonts w:hint="eastAsia" w:ascii="宋体" w:hAnsi="宋体" w:eastAsia="宋体" w:cs="宋体"/>
          <w:color w:val="auto"/>
          <w:sz w:val="21"/>
          <w:szCs w:val="21"/>
          <w:highlight w:val="none"/>
          <w:lang w:val="en-US" w:eastAsia="zh-CN"/>
        </w:rPr>
        <w:t xml:space="preserve">：投入本项目的人员配置及职责分工（明确项目负责人及核心技术人员）、内外部沟通协调机制、进度监控与预警机制、应对潜在延期风险的应对策略等。</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3.解决问题的方案：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针对本项目的建设目标、采购内容及潜在的难点（请投标人自行结合本项目特点进行分析），提出具体、有效的解决方案。方案需体现投标人对项目需求的理解深度，内容应</w:t>
      </w:r>
      <w:r>
        <w:rPr>
          <w:rFonts w:hint="eastAsia" w:ascii="宋体" w:hAnsi="宋体" w:cs="宋体"/>
          <w:color w:val="auto"/>
          <w:sz w:val="21"/>
          <w:szCs w:val="21"/>
          <w:highlight w:val="none"/>
          <w:lang w:val="en-US" w:eastAsia="zh-CN"/>
        </w:rPr>
        <w:t xml:space="preserve">至少包含</w:t>
      </w:r>
      <w:r>
        <w:rPr>
          <w:rFonts w:hint="eastAsia" w:ascii="宋体" w:hAnsi="宋体" w:eastAsia="宋体" w:cs="宋体"/>
          <w:color w:val="auto"/>
          <w:sz w:val="21"/>
          <w:szCs w:val="21"/>
          <w:highlight w:val="none"/>
          <w:lang w:val="en-US" w:eastAsia="zh-CN"/>
        </w:rPr>
        <w:t xml:space="preserve">关键问题的处理思路、解决策略、对接方案等，确保方案能够切实解决本项目实际运行中可能遇到的问题。</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4.紧急故障处理预案：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投标人需制定针对项目上线运行后可能出现的各类突发故障的应急处理预案。预案内容</w:t>
      </w:r>
      <w:r>
        <w:rPr>
          <w:rFonts w:hint="eastAsia" w:ascii="宋体" w:hAnsi="宋体" w:cs="宋体"/>
          <w:color w:val="auto"/>
          <w:sz w:val="21"/>
          <w:szCs w:val="21"/>
          <w:highlight w:val="none"/>
          <w:lang w:val="en-US" w:eastAsia="zh-CN"/>
        </w:rPr>
        <w:t xml:space="preserve">至少包含</w:t>
      </w:r>
      <w:r>
        <w:rPr>
          <w:rFonts w:hint="eastAsia" w:ascii="宋体" w:hAnsi="宋体" w:eastAsia="宋体" w:cs="宋体"/>
          <w:color w:val="auto"/>
          <w:sz w:val="21"/>
          <w:szCs w:val="21"/>
          <w:highlight w:val="none"/>
          <w:lang w:val="en-US" w:eastAsia="zh-CN"/>
        </w:rPr>
        <w:t xml:space="preserve">：故障分级分类标准、应急响应流程、故障排查与恢复措施、应急联系人及团队保障、预防性维护建议等，确保故障发生时能迅速响应，最大限度降低对业务的影响。</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安全生产和环境保护措施方案：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投标人需制定针对项目</w:t>
      </w:r>
      <w:r>
        <w:rPr>
          <w:rFonts w:hint="eastAsia" w:ascii="宋体" w:hAnsi="宋体" w:cs="宋体"/>
          <w:color w:val="auto"/>
          <w:sz w:val="21"/>
          <w:szCs w:val="21"/>
          <w:highlight w:val="none"/>
          <w:lang w:val="en-US" w:eastAsia="zh-CN"/>
        </w:rPr>
        <w:t xml:space="preserve">实施过程中的</w:t>
      </w:r>
      <w:r>
        <w:rPr>
          <w:rFonts w:hint="eastAsia" w:ascii="宋体" w:hAnsi="宋体" w:eastAsia="宋体" w:cs="宋体"/>
          <w:color w:val="auto"/>
          <w:sz w:val="21"/>
          <w:szCs w:val="21"/>
          <w:highlight w:val="none"/>
          <w:lang w:val="en-US" w:eastAsia="zh-CN"/>
        </w:rPr>
        <w:t xml:space="preserve">安全生产和环境保护措施方案。预案内容至少包含：安全责任体系与管理制度、安全防护与临时用电措施、环境保护与污染防控措施、固废及危废处置方案</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售后服务方案</w:t>
      </w:r>
      <w:r>
        <w:rPr>
          <w:rFonts w:hint="eastAsia" w:ascii="宋体" w:hAnsi="宋体" w:eastAsia="宋体" w:cs="宋体"/>
          <w:color w:val="auto"/>
          <w:sz w:val="21"/>
          <w:szCs w:val="21"/>
          <w:highlight w:val="none"/>
          <w:lang w:val="en-US" w:eastAsia="zh-CN"/>
        </w:rPr>
        <w:t xml:space="preserve">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投标人须根据本项目的实际需求，针对所投环境监测设备制定详尽、可行、有针对性的售后服务方案。方案应至少包含以下五项核心内容，该方案将作为评价投标人售后服务能力的重要依据：</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1.送货安装调试：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投标人需详细说明设备交付至采购人指定地点后的全过程服务。</w:t>
      </w:r>
      <w:r>
        <w:rPr>
          <w:rFonts w:hint="eastAsia" w:ascii="宋体" w:hAnsi="宋体" w:cs="宋体"/>
          <w:color w:val="auto"/>
          <w:sz w:val="21"/>
          <w:szCs w:val="21"/>
          <w:highlight w:val="none"/>
          <w:lang w:val="en-US" w:eastAsia="zh-CN"/>
        </w:rPr>
        <w:t xml:space="preserve">至少包含以下内容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.1送货及签收：明确设备的包装、运输方式、交货期限，以及到货后的开箱检验流程（核对型号、数量、配件、技术资料等），并提供到货签收标准。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.2安装环境要求：结合环境监测设备的运行条件，说明对安装场所的温度、湿度、电源、网络、防震、防尘等环境的具体要求及准备建议。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.3安装调试：描述设备的安装步骤、系统连接、参数设置、初始化调试过程，确保设备达到规定的性能指标。</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2.售后服务范围：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投标人须清晰界定所提供的售后服务边界。</w:t>
      </w:r>
      <w:r>
        <w:rPr>
          <w:rFonts w:hint="eastAsia" w:ascii="宋体" w:hAnsi="宋体" w:cs="宋体"/>
          <w:color w:val="auto"/>
          <w:sz w:val="21"/>
          <w:szCs w:val="21"/>
          <w:highlight w:val="none"/>
          <w:lang w:val="en-US" w:eastAsia="zh-CN"/>
        </w:rPr>
        <w:t xml:space="preserve">至少包含以下内容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2.1质保期限：明确整机及主要部件的免费质保期，以及质保期内免费维修、更换零部件的具体条件。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2.2技术支持：说明质保期内及质保期后提供的技术支持内容，如电话、邮件、远程协助等在线技术支持服务，以及技术咨询、软件升级、使用指导等服务。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2.3维修服务：明确维修服务的范围、维修的周期、质保期外的维修服务承诺，以及备品备件的供应保障等。</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3.故障处理机制：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投标人应建立完善的故障处理机制，确保设备出现故障时能快速响应并恢复运行。内容包括：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3.1故障接收与分级：设立固定的故障报修渠道（电话、在线平台等），并根据故障对监测工作的影响程度进行分级（如灾难性、严重、一般、轻微）。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3.2故障诊断与处理流程：描述从接到报修到问题解决的完整流程，包括初步远程诊断、派遣工程师现场处理、故障件更换、修复后测试等环节，并明确各环节的责任人。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3.3应急保障措施：针对关键监测设备或可能导致监测中断的重大故障，提供临时替代方案（如备机支持）或紧急恢复预案，确保监测数据的连续性。</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4售后服务响应：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投标人需对售后服务的响应速度做出具体承诺和说明。</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4.1响应时间：明确接到故障报修后，技术工程师在多少时间内响应（如电话响应时间、远程介入时间）。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4.2到达现场时间：根据项目所在地，承诺故障发生后的技术人员到达现场的最长时间，并区分不同故障级别或地域距离给出差异化承诺。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4.3故障解决时间：针对不同级别的故障，承诺预计的解决时间，或在规定时间内无法修复时的处理方案。</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5.设备使用情况回访：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投标人应制定主动的设备使用情况跟踪回访计划。</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2.1定期回访：明确质保期内及质保期后的定期回访频率（如每季度、每半年）和方式（电话、现场、在线问卷等），了解设备运行状态、使用问题及用户意见。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5.2巡检服务：提供定期的现场巡检计划，对设备进行预防性维护（如清洁传感器、检查气路/液路、软件检查等），并出具巡检报告。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5.3使用情况分析：结合回访和巡检情况，向采购人提供设备使用数据分析、维护建议及优化运行的建议，协助提升监测工作效率和设备使用寿命。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（三）培训方案要求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投标人须根据本项目的实际需求，针对所投环境监测设备制定全面、系统、切实可行的培训方案。以保障采购人相关人员能够熟练掌握设备的使用、维护及管理方案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应至少包含以下五项核心内容，：</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1.设备培训时间和人数：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投标人应详细规划培训的时间安排和覆盖人数。</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1.1培训时间规划：明确培训的总时长、课程天数、每日课时安排，以及培训拟开展的时间阶段（如设备安装调试完成后、试运行期间等）。需说明培训时间是否可灵活调整以适应采购人工作安排。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1.2培训人数承诺：明确可为采购人提供的免费培训名额总数，以及每批次建议的参训人数上限。若分批次培训，需说明分批计划和每批次的侧重内容。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1.3课时分配：提供理论授课、现场实操、答疑交流等环节的具体课时分配。</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2.师资力量：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投标人应介绍负责本次培训的师资团队整体情况。</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2.1师资团队构成：说明培训团队的人员组成（如资深技术工程师、设备研发人员、应用支持专家等），以及各自在培训中承担的任务。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2.2专业能力证明：提供师资团队在环境监测领域的技术背景、相关资质证书（如工程师职称、原厂认证讲师资格等）、参与过的类似培训项目经验等，证明其具备传授设备知识和操作技能的能力。</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3.培训内容：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投标人应详细阐述培训的具体课程内容，确保内容覆盖设备使用的各个方面，满足实际工作需要。</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3.1设备原理与结构：介绍所投环境监测设备的工作原理、技术特点、主要部件功能、数据采集与传输原理等。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3.2操作与使用：详细讲解设备的日常操作流程、软件界面使用、参数设置、模式切换、数据读取与导出等。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3.3维护与保养：教授设备的日常清洁、耗材更换、简单故障排查、校准方法、定期保养要点等，以延长设备寿命、保障数据准确性。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3.4安全与注意事项：强调设备使用过程中的安全规范、紧急停机操作、易损件注意事项等。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3.5数据分析与应用：针对环境监测数据的解读、报表生成、异常值判断等基础应用进行培训。</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4.培训授课人员：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投标人应明确具体承担授课任务的人员信息。</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4.1授课人员名单：列出拟安排的主讲教师、助教的姓名、职务/职称。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4.2个人资历介绍：针对每位授课人员，详细介绍其在环境监测设备领域的从业年限、专业特长、过往培训经验、相关资质等，以证明其具备承担本次培训授课的能力。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4.3职责分工：说明不同授课人员分别负责的培训模块。</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5.培训效果保障：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投标人应提出确保培训取得实效的具体措施。</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5.1培训资料：承诺提供完整、准确、易懂的培训教材（纸质或电子版），包括设备操作手册、维护指南、常见问题解答、培训课件等，且资料需为中文或配有中文说明。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5.2考核与评估：设计培训考核方式（理论考试、实操考核、课堂提问等），以检验学员学习效果。同时提供培训满意度调查，收集学员反馈以便改进。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5.3后续支持：培训结束后，提供持续的答疑渠道（电话、邮件、在线群组），在一定期限内解答学员在实际操作中遇到的问题。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（四）设备运行维保方案要求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投标人须根据本项目的实际需求，针对所投环境监测设备制定全面、系统、切实可行的设备运行维保方案。以保障设备在运行期间的稳定性、可靠性和数据准确性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方案应至少包含以下五项核心内容，</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1.设备维保保障人数：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投标人需明确承诺为本项目设备维保服务投入的专职人员数量及团队结构。</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1.1人员配置：说明维保团队的总人数，以及不同角色的配置。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1.2人员资质：说明主要维保人员的专业背景、技术资质、从业经验，特别是针对本项目所投环境监测设备的维护经验。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1.3人员常驻/覆盖能力：说明维保人员的服务覆盖范围，确保能够及时响应本项目所有设备的维保需求。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2.维保计划：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投标人应提供详细的、周期性的设备维保计划，确保设备始终处于良好运行状态。</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2.1日常维护：为使用人提供明确的日常检查内容清单（如设备运行状态、数据采集情况、电源/网络连接、传感器工作状态等）和维护要求。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2.2定期保养：制定定期的保养计划，包括设备清洁、传感器校准、气路/液路检查（如有）、易耗品更换（如滤芯、试剂等）、机械部件润滑等。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2.3预防性维修：基于设备历史数据和运行规律，提出预防性更换或维修的关键部件清单及更换周期，以降低突发故障概率。</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3.维保范围：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投标人需清晰界定维保服务所涵盖的具体内容。</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3.1服务内容：详细说明维保包含的具体工作，如故障诊断、现场维修、备件更换（需明确是否包含所有零部件，如传感器、电路板、显示屏、电源适配器等）、软件升级、技术咨询等。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3.2备件保障：说明常用备件库的建立情况、备件清单、备件供应渠道及供应保障能力，确保维修时能及时更换。</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4.运行维保时间：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投标人需对维保服务的时间安排做出明确承诺。</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4.1服务期限：明确本次维保方案对应的服务期限。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4.2服务时段：承诺提供维保服务的时间段，如7×24小时（每周7天，每天24小时）或5×8小时（工作日工作时间），并说明非工作时段是否提供紧急响应服务。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4.3响应时间承诺：针对不同故障级别，明确接到报修后的响应时间。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4.4现场到达时间：根据项目现场位置，承诺技术人员到达现场的最快时间。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4.5故障解决时限：承诺一般故障修复时限，若无法在规定时间内修复，是否提供备机或替代方案。</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5.维保应急响应机制：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投标人应建立完善的应急响应机制，确保在突发重大故障或影响监测任务时能快速恢复。</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包</w:t>
      </w:r>
      <w:r>
        <w:rPr>
          <w:rFonts w:hint="eastAsia" w:ascii="宋体" w:hAnsi="宋体" w:cs="宋体"/>
          <w:color w:val="auto"/>
          <w:sz w:val="21"/>
          <w:szCs w:val="21"/>
          <w:highlight w:val="none"/>
          <w:lang w:val="en-US" w:eastAsia="zh-CN"/>
        </w:rPr>
        <w:t xml:space="preserve">含以下内容</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5.1应急流程：制定详细的应急响应流程，包括故障报告、初步判断、应急调度、现场处置、事后分析等环节。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5.2应急团队：明确应急响应小组的组成及联系方式，确保24小时可联络。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5.3备机支持：针对关键监测设备，承诺在无法及时修复时提供备用设备临时替换，确保监测工作不中断，并说明备机数量、型号、调配机制。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5.4重大故障应急预案：针对可能影响环境监测数据连续性的重大故障，制定专项应急预案，包括数据补救措施、临时监测方案等。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5.5演练与改进：说明是否定期组织应急演练，以及如何根据演练和实际故障进行机制优化。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w:t>
      </w:r>
      <w:r>
        <w:rPr>
          <w:rFonts w:hint="eastAsia" w:ascii="宋体" w:hAnsi="宋体" w:cs="宋体"/>
          <w:szCs w:val="21"/>
          <w:highlight w:val="none"/>
        </w:rPr>
        <w:t xml:space="preserve">质量保证方案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为确保本项目高质量实施与长期稳定运行，</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根据本项目要求，提供细致完整、科学合理、分析透彻、措施有力、针对性和操作性强的质量保证方案。内容至少包含</w:t>
      </w:r>
      <w:r>
        <w:rPr>
          <w:rFonts w:hint="eastAsia" w:ascii="宋体" w:hAnsi="宋体" w:eastAsia="宋体" w:cs="宋体"/>
          <w:b w:val="0"/>
          <w:bCs w:val="0"/>
          <w:color w:val="auto"/>
          <w:sz w:val="21"/>
          <w:szCs w:val="21"/>
          <w:highlight w:val="none"/>
          <w:lang w:val="en-US" w:eastAsia="zh-CN"/>
        </w:rPr>
        <w:t xml:space="preserve">质量管理体系、质量控制措施、质量管理制度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岗位职责</w:t>
      </w:r>
      <w:r>
        <w:rPr>
          <w:rFonts w:hint="eastAsia" w:ascii="宋体" w:hAnsi="宋体" w:cs="宋体"/>
          <w:b w:val="0"/>
          <w:bCs w:val="0"/>
          <w:color w:val="auto"/>
          <w:sz w:val="21"/>
          <w:szCs w:val="21"/>
          <w:highlight w:val="none"/>
          <w:lang w:val="en-US" w:eastAsia="zh-CN"/>
        </w:rPr>
        <w:t xml:space="preserve">、项目合格验收保障措施</w:t>
      </w:r>
      <w:r>
        <w:rPr>
          <w:rFonts w:hint="eastAsia" w:ascii="宋体" w:hAnsi="宋体" w:eastAsia="宋体" w:cs="宋体"/>
          <w:color w:val="auto"/>
          <w:sz w:val="21"/>
          <w:szCs w:val="21"/>
          <w:highlight w:val="none"/>
          <w:lang w:val="en-US" w:eastAsia="zh-CN"/>
        </w:rPr>
        <w:t xml:space="preserve">等内容。</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质量管理体系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依据该体系要求对本项目实施全过程质量管理。体系运行至少包括：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1.1.1</w:t>
      </w:r>
      <w:r>
        <w:rPr>
          <w:rFonts w:hint="eastAsia" w:ascii="宋体" w:hAnsi="宋体" w:eastAsia="宋体" w:cs="宋体"/>
          <w:color w:val="auto"/>
          <w:sz w:val="21"/>
          <w:szCs w:val="21"/>
          <w:highlight w:val="none"/>
          <w:lang w:val="en-US" w:eastAsia="zh-CN"/>
        </w:rPr>
        <w:t xml:space="preserve">质量方针：科学管理、质量为先、顾客满意、持续改进。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1.1.2</w:t>
      </w:r>
      <w:r>
        <w:rPr>
          <w:rFonts w:hint="eastAsia" w:ascii="宋体" w:hAnsi="宋体" w:eastAsia="宋体" w:cs="宋体"/>
          <w:color w:val="auto"/>
          <w:sz w:val="21"/>
          <w:szCs w:val="21"/>
          <w:highlight w:val="none"/>
          <w:lang w:val="en-US" w:eastAsia="zh-CN"/>
        </w:rPr>
        <w:t xml:space="preserve">质量目标：设备验收合格率100%；安装调试一次成功率100%；客户满意度≥98%；质保期内故障响应率100%。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1.1.3</w:t>
      </w:r>
      <w:r>
        <w:rPr>
          <w:rFonts w:hint="eastAsia" w:ascii="宋体" w:hAnsi="宋体" w:eastAsia="宋体" w:cs="宋体"/>
          <w:color w:val="auto"/>
          <w:sz w:val="21"/>
          <w:szCs w:val="21"/>
          <w:highlight w:val="none"/>
          <w:lang w:val="en-US" w:eastAsia="zh-CN"/>
        </w:rPr>
        <w:t xml:space="preserve">体系运行机制：设立专门的项目质量管理小组；建立项目质量档案，全程记录质量活动；定期开展内部质量审核与管理评审；通过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计划-执行-检查-处理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实现持续改进。</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质量控制措施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 xml:space="preserve">设备采购与出厂前控制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所有设备均从原厂或授权渠道采购，确保来源正规、质量可靠；出厂前进行严格性能测试，提供出厂检验报告、合格证及技术文件。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en-US" w:eastAsia="zh-CN"/>
        </w:rPr>
        <w:t xml:space="preserve">运输与交付控制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采用防震、防潮、防尘的专业包装，符合《商品包装政府采购需求标准》；运输过程中实行GPS跟踪与保险全覆盖；到货后与采购人共同开箱验收，核对型号、数量、外观及附件。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安装调试质量控制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装前进行现场环境评估，确保符合设备运行条件；安装过程严格按设备厂家规范执行，使用专用工具与标准流程；调试阶段逐项验证技术参数，确保与招标文件要求一致；调试完成后出具调试报告，由采购人签字确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验收与试运行控制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初步验收：设备安装调试完毕组织初步验收</w:t>
      </w:r>
      <w:r>
        <w:rPr>
          <w:rFonts w:hint="eastAsia" w:ascii="宋体" w:hAnsi="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lang w:val="en-US" w:eastAsia="zh-CN"/>
        </w:rPr>
        <w:t xml:space="preserve">记录运行数据；最终验收：</w:t>
      </w:r>
      <w:r>
        <w:rPr>
          <w:rFonts w:hint="eastAsia" w:ascii="宋体" w:hAnsi="宋体" w:cs="宋体"/>
          <w:color w:val="auto"/>
          <w:sz w:val="21"/>
          <w:szCs w:val="21"/>
          <w:highlight w:val="none"/>
          <w:lang w:val="en-US" w:eastAsia="zh-CN"/>
        </w:rPr>
        <w:t xml:space="preserve">运行稳定后</w:t>
      </w:r>
      <w:r>
        <w:rPr>
          <w:rFonts w:hint="eastAsia" w:ascii="宋体" w:hAnsi="宋体" w:eastAsia="宋体" w:cs="宋体"/>
          <w:color w:val="auto"/>
          <w:sz w:val="21"/>
          <w:szCs w:val="21"/>
          <w:highlight w:val="none"/>
          <w:lang w:val="en-US" w:eastAsia="zh-CN"/>
        </w:rPr>
        <w:t xml:space="preserve">组织专家进行综合性能测试与验收，出具最终验收报告。</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质量管理制度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质量责任制度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明确项目</w:t>
      </w:r>
      <w:r>
        <w:rPr>
          <w:rFonts w:hint="eastAsia" w:ascii="宋体" w:hAnsi="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lang w:val="en-US" w:eastAsia="zh-CN"/>
        </w:rPr>
        <w:t xml:space="preserve">为质量第一责任人，各环节设质量专员；建立质量问题追溯机制，责任到人、到岗。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en-US" w:eastAsia="zh-CN"/>
        </w:rPr>
        <w:t xml:space="preserve">质量文档管理制度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编制《项目质量计划》《安装调试规范》《验收标准》等文件；所有质量记录（如检验报告、调试日志、验收单）归档保存，便于审计与追溯。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lang w:val="en-US" w:eastAsia="zh-CN"/>
        </w:rPr>
        <w:t xml:space="preserve">质量培训制度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对项目人员进行质量意识与专业技能培训；培训内容包括设备操作、维护保养、故障排查等。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val="en-US" w:eastAsia="zh-CN"/>
        </w:rPr>
        <w:t xml:space="preserve">质量问题处理制度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设立质量问题反馈渠道，接到问题后立即启动处理流程；重大问题上报质量管理小组，组织专题分析并制定纠正与预防措施。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lang w:val="en-US" w:eastAsia="zh-CN"/>
        </w:rPr>
        <w:t xml:space="preserve">质量评审与改进制度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定期</w:t>
      </w:r>
      <w:r>
        <w:rPr>
          <w:rFonts w:hint="eastAsia" w:ascii="宋体" w:hAnsi="宋体" w:eastAsia="宋体" w:cs="宋体"/>
          <w:color w:val="auto"/>
          <w:sz w:val="21"/>
          <w:szCs w:val="21"/>
          <w:highlight w:val="none"/>
          <w:lang w:val="en-US" w:eastAsia="zh-CN"/>
        </w:rPr>
        <w:t xml:space="preserve">度召开质量评审会，总结质量问题，提出改进措施；根据运行数据与用户反馈，持续优化质量管理流程。</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岗位职责</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en-US" w:eastAsia="zh-CN"/>
        </w:rPr>
        <w:t xml:space="preserve">项目</w:t>
      </w:r>
      <w:r>
        <w:rPr>
          <w:rFonts w:hint="eastAsia" w:ascii="宋体" w:hAnsi="宋体" w:cs="宋体"/>
          <w:color w:val="auto"/>
          <w:sz w:val="21"/>
          <w:szCs w:val="21"/>
          <w:highlight w:val="none"/>
          <w:lang w:val="en-US" w:eastAsia="zh-CN"/>
        </w:rPr>
        <w:t xml:space="preserve">负责人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全面负责项目质量管理工作；组织制定并落实质量计划；协调资源，确保质量目标实现。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质量专员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负责日常质量监督与检查；记录质量问题并跟踪处理；参与验收与评审工作。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en-US" w:eastAsia="zh-CN"/>
        </w:rPr>
        <w:t xml:space="preserve">技术工程师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负责设备安装、调试与性能验证；提供技术培训与操作指导；处理设备故障与技术支持请求。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项目合格验收保障措施</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5.1编制完整的验收流程图或进度表，涵盖到货验收环节（含开箱检查、数量核对、外观查验等）。</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5.2</w:t>
      </w:r>
      <w:r>
        <w:rPr>
          <w:rFonts w:hint="eastAsia" w:ascii="宋体" w:hAnsi="宋体" w:eastAsia="宋体" w:cs="宋体"/>
          <w:b w:val="0"/>
          <w:bCs w:val="0"/>
          <w:color w:val="auto"/>
          <w:sz w:val="21"/>
          <w:szCs w:val="21"/>
          <w:highlight w:val="none"/>
          <w:lang w:val="en-US" w:eastAsia="zh-CN"/>
        </w:rPr>
        <w:t xml:space="preserve">针对所投环境监测设备的关键性能指标（如灵敏度、精密度、准确度、检出限、线性范围、零点漂移、量程漂移等），列出</w:t>
      </w:r>
      <w:r>
        <w:rPr>
          <w:rFonts w:hint="eastAsia" w:ascii="宋体" w:hAnsi="宋体" w:cs="宋体"/>
          <w:b w:val="0"/>
          <w:bCs w:val="0"/>
          <w:color w:val="auto"/>
          <w:sz w:val="21"/>
          <w:szCs w:val="21"/>
          <w:highlight w:val="none"/>
          <w:lang w:val="en-US" w:eastAsia="zh-CN"/>
        </w:rPr>
        <w:t xml:space="preserve">切实可行的验收方案。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5.3编制</w:t>
      </w:r>
      <w:r>
        <w:rPr>
          <w:rFonts w:hint="eastAsia" w:ascii="宋体" w:hAnsi="宋体" w:eastAsia="宋体" w:cs="宋体"/>
          <w:b w:val="0"/>
          <w:bCs w:val="0"/>
          <w:color w:val="auto"/>
          <w:sz w:val="21"/>
          <w:szCs w:val="21"/>
          <w:highlight w:val="none"/>
          <w:lang w:val="en-US" w:eastAsia="zh-CN"/>
        </w:rPr>
        <w:t xml:space="preserve">验收不合格情形编制具体处置流程（如外观损坏、数量短缺、型号不符等），明确处理时限</w:t>
      </w:r>
      <w:r>
        <w:rPr>
          <w:rFonts w:hint="eastAsia" w:ascii="宋体" w:hAnsi="宋体" w:cs="宋体"/>
          <w:b w:val="0"/>
          <w:bCs w:val="0"/>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cs="宋体"/>
          <w:color w:val="auto"/>
          <w:sz w:val="21"/>
          <w:szCs w:val="21"/>
          <w:highlight w:val="none"/>
          <w:lang w:val="en-US" w:eastAsia="zh-CN"/>
        </w:rPr>
        <w:t xml:space="preserve">现场运维</w:t>
      </w:r>
      <w:r>
        <w:rPr>
          <w:rFonts w:hint="eastAsia" w:ascii="宋体" w:hAnsi="宋体" w:eastAsia="宋体" w:cs="宋体"/>
          <w:color w:val="auto"/>
          <w:sz w:val="21"/>
          <w:szCs w:val="21"/>
          <w:highlight w:val="none"/>
        </w:rPr>
        <w:t xml:space="preserve">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投标人需为</w:t>
      </w:r>
      <w:r>
        <w:rPr>
          <w:rFonts w:hint="eastAsia" w:ascii="宋体" w:hAnsi="宋体" w:eastAsia="宋体" w:cs="宋体"/>
          <w:color w:val="auto"/>
          <w:sz w:val="21"/>
          <w:szCs w:val="21"/>
          <w:highlight w:val="none"/>
        </w:rPr>
        <w:t xml:space="preserve">本项目需提供实验室驻场人员</w:t>
      </w:r>
      <w:r>
        <w:rPr>
          <w:rFonts w:hint="eastAsia" w:ascii="宋体" w:hAnsi="宋体" w:eastAsia="宋体" w:cs="宋体"/>
          <w:color w:val="auto"/>
          <w:sz w:val="21"/>
          <w:szCs w:val="21"/>
          <w:highlight w:val="none"/>
          <w:lang w:val="en-US" w:eastAsia="zh-CN"/>
        </w:rPr>
        <w:t xml:space="preserve">、现场驻场人员以及</w:t>
      </w:r>
      <w:r>
        <w:rPr>
          <w:rFonts w:hint="eastAsia" w:ascii="宋体" w:hAnsi="宋体" w:eastAsia="宋体" w:cs="宋体"/>
          <w:color w:val="auto"/>
          <w:sz w:val="21"/>
          <w:szCs w:val="21"/>
          <w:highlight w:val="none"/>
        </w:rPr>
        <w:t xml:space="preserve">应急驻场人员，地点为用户指定场所（盐城市范围内），负责</w:t>
      </w:r>
      <w:r>
        <w:rPr>
          <w:rFonts w:hint="eastAsia" w:ascii="宋体" w:hAnsi="宋体" w:eastAsia="宋体" w:cs="宋体"/>
          <w:color w:val="auto"/>
          <w:sz w:val="21"/>
          <w:szCs w:val="21"/>
          <w:highlight w:val="none"/>
          <w:lang w:val="en-US" w:eastAsia="zh-CN"/>
        </w:rPr>
        <w:t xml:space="preserve">本项目所有</w:t>
      </w:r>
      <w:r>
        <w:rPr>
          <w:rFonts w:hint="eastAsia" w:ascii="宋体" w:hAnsi="宋体" w:eastAsia="宋体" w:cs="宋体"/>
          <w:color w:val="auto"/>
          <w:sz w:val="21"/>
          <w:szCs w:val="21"/>
          <w:highlight w:val="none"/>
        </w:rPr>
        <w:t xml:space="preserve">设备3年维护保养等服务工作（包括但不限于）：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常仪器维护保养，基础故障现场维修，应急解决用户平时做样中突发问题等；遇到特殊情况（如突发应急来样、各类监测能力考核、比武活动等），需根据用户要求对设备逐一进行调试测试，确保设备保持最佳状态运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满足用户其他合理范围内的协助要求。为用户及时提供所用设备升级换代信息，如用户需要编制设备调研方案以供参考。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实验室驻场人员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质保期内，中标方需</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名实验室驻场人员，地点为用户指定场所（盐城市范围内），负责实验室设备工作，工作内容至少包含以下内容：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协调解决分析仪器</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维护保养，基础故障现场维修，应急解决用户平时做样中突发问题等；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遇到特殊情况（如突发应急来样、各类监测能力考核、比武活动等），需根据用户要求对设备逐一进行调试测试，确保设备保持最佳状态运行；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满足用户其他合理范围内的协助要求。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为用户及时提供所用设备升级换代信息，如用户需要编制设备调研方案以供参考。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现场驻场人员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质保期内，中标方需</w:t>
      </w:r>
      <w:r>
        <w:rPr>
          <w:rFonts w:hint="eastAsia" w:ascii="宋体" w:hAnsi="宋体" w:eastAsia="宋体" w:cs="宋体"/>
          <w:color w:val="auto"/>
          <w:sz w:val="21"/>
          <w:szCs w:val="21"/>
          <w:highlight w:val="none"/>
          <w:lang w:val="en-US" w:eastAsia="zh-CN"/>
        </w:rPr>
        <w:t xml:space="preserve">提供2</w:t>
      </w:r>
      <w:r>
        <w:rPr>
          <w:rFonts w:hint="eastAsia" w:ascii="宋体" w:hAnsi="宋体" w:eastAsia="宋体" w:cs="宋体"/>
          <w:color w:val="auto"/>
          <w:sz w:val="21"/>
          <w:szCs w:val="21"/>
          <w:highlight w:val="none"/>
        </w:rPr>
        <w:t xml:space="preserve">名现场驻场人员，地点为用户指定场所（盐城市范围内），负责现场设备3年维护保养等服务工作，工作内容至少包含以下内容；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日常仪器维护保养，设备每次外出归来需及时调试测试；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如遇特殊情况（如突发应急情况、各类监测能力考核、比武活动等），需根据用户要求对设备逐一进行外出前调试测试工作，确保设备保持最佳状态运行，并配合用户前往相关地点，现场进一步做好保障服务。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为用户及时提供所用设备升级换代信息，如用户需要编制设备调研方案以供参考。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应急驻场人员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质保期内，中标方需</w:t>
      </w:r>
      <w:r>
        <w:rPr>
          <w:rFonts w:hint="eastAsia" w:ascii="宋体" w:hAnsi="宋体" w:eastAsia="宋体" w:cs="宋体"/>
          <w:color w:val="auto"/>
          <w:sz w:val="21"/>
          <w:szCs w:val="21"/>
          <w:highlight w:val="none"/>
          <w:lang w:val="en-US" w:eastAsia="zh-CN"/>
        </w:rPr>
        <w:t xml:space="preserve">提供2</w:t>
      </w:r>
      <w:r>
        <w:rPr>
          <w:rFonts w:hint="eastAsia" w:ascii="宋体" w:hAnsi="宋体" w:eastAsia="宋体" w:cs="宋体"/>
          <w:color w:val="auto"/>
          <w:sz w:val="21"/>
          <w:szCs w:val="21"/>
          <w:highlight w:val="none"/>
        </w:rPr>
        <w:t xml:space="preserve">名应急驻场人员，地点为用户指定场所（盐城市范围内），负责本次项目现场设备3年维护保养工作，工作内容包括但不限于：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日常仪器维护保养，每次设备外出回来需及时调试测试；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协助用户应急方案编制、数据整理等工作。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为用户及时提供所用设备升级换代信息，如用户需要编制设备调研方案以供参考。</w:t>
      </w:r>
      <w:r/>
    </w:p>
    <w:p>
      <w:pPr>
        <w:pStyle w:val="134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招标文件提出的相关技术要求，并未对一切细节做出规定，也未充分引述全部有关标准和规范的条文，投标人提供的所有货物、服务都应符合已颁布的现行中华人民共和国认可的国家、行业、地方相关标准以及等效或更优的其他权威性标准和规范的有关条文。如果这些标准内容有矛盾时，应按采购人要求的高标准的条款执行。</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、商务要求</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交付时间：合同签订后60日历天内完成项目供货、安装、调试，交付采购人使用。</w:t>
      </w:r>
      <w:r>
        <w:rPr>
          <w:rFonts w:hint="eastAsia" w:ascii="宋体" w:hAnsi="宋体" w:cs="宋体"/>
          <w:color w:val="auto"/>
          <w:sz w:val="21"/>
          <w:szCs w:val="21"/>
          <w:highlight w:val="none"/>
        </w:rPr>
        <w:t xml:space="preserve">合同签订后</w:t>
      </w:r>
      <w:r>
        <w:rPr>
          <w:rFonts w:hint="eastAsia" w:ascii="宋体" w:hAnsi="宋体" w:cs="宋体"/>
          <w:color w:val="auto"/>
          <w:sz w:val="21"/>
          <w:szCs w:val="21"/>
          <w:highlight w:val="none"/>
          <w:lang w:val="en-US" w:eastAsia="zh-CN"/>
        </w:rPr>
        <w:t xml:space="preserve">65</w:t>
      </w:r>
      <w:r>
        <w:rPr>
          <w:rFonts w:hint="eastAsia" w:ascii="宋体" w:hAnsi="宋体" w:cs="宋体"/>
          <w:color w:val="auto"/>
          <w:sz w:val="21"/>
          <w:szCs w:val="21"/>
          <w:highlight w:val="none"/>
        </w:rPr>
        <w:t xml:space="preserve">天内，完成仪器设备技术审查</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最终验收。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交付地点：盐城市生态环境监控中心（盐城市盐都区研创大厦11楼）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投标报价要求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3.1.招标人拒绝高于最高限价的投标报价。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投标报价应是在投标文件所承诺的服务期限内，并达到投标人所承诺的质量标准，为完成招标文件所确定的招标范围的全部内容所需费用的全部价格体现。投标报价主要包含但不限于：货物价格、包装费、运输费、装卸费、保险费、税金、利润、</w:t>
      </w:r>
      <w:r>
        <w:rPr>
          <w:rFonts w:hint="eastAsia" w:ascii="宋体" w:hAnsi="宋体" w:cs="宋体"/>
          <w:color w:val="auto"/>
          <w:sz w:val="21"/>
          <w:szCs w:val="21"/>
          <w:highlight w:val="none"/>
          <w:lang w:val="en-US" w:eastAsia="zh-CN"/>
        </w:rPr>
        <w:t xml:space="preserve">人员工资及福利待遇、</w:t>
      </w:r>
      <w:r>
        <w:rPr>
          <w:rFonts w:hint="eastAsia" w:ascii="宋体" w:hAnsi="宋体" w:eastAsia="宋体" w:cs="宋体"/>
          <w:color w:val="auto"/>
          <w:sz w:val="21"/>
          <w:szCs w:val="21"/>
          <w:highlight w:val="none"/>
          <w:lang w:val="en-US" w:eastAsia="zh-CN"/>
        </w:rPr>
        <w:t xml:space="preserve">不可预见费及其他相关所有费用，以及合同履行过程中包含的所有风险、责任、政策性文件规定以及不可竞争费等所需的全部费用，投标报价中若有漏项、缺项、少算部分，视同分摊至报价中，结算时不予增加。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付款方式：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4.1.合同款项的支付方式及进度安排：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①自合同签订生效之日起，甲方收到乙方合规发票10个工作日内，甲方向乙方支付合同总价的30%款项作为预付款。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项目所有货物安装完毕，甲方组织验收，验收合格后，乙方向甲方出具本合同总金额10%的保函（保函的有效期为36个月）；甲方收到乙方的保函及合规发票后，10个工作日内甲方向乙方支付合同总价的70%款项。质保期满且无任何质量问题后，退还10%的履约保函。</w:t>
      </w:r>
      <w:r/>
    </w:p>
    <w:p>
      <w:pPr>
        <w:ind w:firstLine="420"/>
        <w:spacing w:line="360" w:lineRule="auto"/>
        <w:rPr>
          <w:rFonts w:hint="eastAsia"/>
          <w:color w:val="auto"/>
          <w:highlight w:val="none"/>
          <w:lang w:val="en-US" w:eastAsia="zh-CN"/>
        </w:rPr>
      </w:pPr>
      <w:r>
        <w:rPr>
          <w:rFonts w:hint="eastAsia" w:ascii="宋体" w:hAnsi="宋体" w:cs="宋体"/>
          <w:color w:val="auto"/>
          <w:szCs w:val="21"/>
          <w:highlight w:val="none"/>
          <w:lang w:val="en-US" w:eastAsia="zh-CN"/>
        </w:rPr>
        <w:t xml:space="preserve">注：如中标方为第三方信用服务机构依据标准规范评定为AA级及以上的政府采购供应商（需在签订采购合同前提供信用管理部门备案的第三方信用报告，且信用报告通过“信用盐城网”可查实），AA级的降低履约保证金缴纳比例为5%，AAA级的免缴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③如果乙方没有按照本合同约定的期限、地点和方式交付项目，甲方可要求中标人支付违约金，违约金按每迟延交付货物一日的应交付而未交付货物价格的1%计算，违约金最高额度不超过本合同总价的20%。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 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 质量保证：所供货物及软件应为成熟、稳定的在售型号。免费质保期不少于</w:t>
      </w:r>
      <w:r>
        <w:rPr>
          <w:rFonts w:hint="eastAsia" w:ascii="宋体" w:hAnsi="宋体" w:eastAsia="宋体" w:cs="宋体"/>
          <w:b w:val="0"/>
          <w:bCs w:val="0"/>
          <w:color w:val="auto"/>
          <w:sz w:val="21"/>
          <w:szCs w:val="21"/>
          <w:highlight w:val="none"/>
          <w:u w:val="none"/>
          <w:lang w:val="en-US" w:eastAsia="zh-CN"/>
        </w:rPr>
        <w:t xml:space="preserve">三</w:t>
      </w:r>
      <w:r>
        <w:rPr>
          <w:rFonts w:hint="eastAsia" w:ascii="宋体" w:hAnsi="宋体" w:eastAsia="宋体" w:cs="宋体"/>
          <w:color w:val="auto"/>
          <w:sz w:val="21"/>
          <w:szCs w:val="21"/>
          <w:highlight w:val="none"/>
          <w:lang w:val="en-US" w:eastAsia="zh-CN"/>
        </w:rPr>
        <w:t xml:space="preserve">年，自最终验收合格之日起计算。质保期内，提供7×24小时技术支持，故障15分钟内电话响应，24小时内现场到位（如需），一般故障48小时内解决问题。质保期外，应能提供持续的技术支持与维护服务，收费标准不高于其官方公示价格或同期市场公允价格。质量等级为“合格”，并符合招标文件中技术要求、国家现行的相关规范标准及有关部门最新颁布的相应的最新标准。</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七</w:t>
      </w:r>
      <w:r>
        <w:rPr>
          <w:rFonts w:hint="eastAsia" w:ascii="宋体" w:hAnsi="宋体" w:eastAsia="宋体" w:cs="宋体"/>
          <w:b w:val="0"/>
          <w:bCs w:val="0"/>
          <w:color w:val="auto"/>
          <w:sz w:val="21"/>
          <w:szCs w:val="21"/>
          <w:highlight w:val="none"/>
        </w:rPr>
        <w:t xml:space="preserve">、项目负责人及项目组成员</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本项目包含3年售后及运维服务，投标人应为本项目配备具有丰富经验的服务团队：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1、投标人拟派项目负责人应具备环保类专业技术高级及以上职称的优先。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2、投标人拟派项目组成员（除项目负责人外）具备中级及以上职称的优先。</w:t>
      </w:r>
      <w:r/>
    </w:p>
    <w:p>
      <w:pPr>
        <w:ind w:left="0" w:firstLine="420"/>
        <w:spacing w:beforeAutospacing="0" w:afterAutospacing="0"/>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八</w:t>
      </w:r>
      <w:r>
        <w:rPr>
          <w:rFonts w:hint="eastAsia" w:ascii="宋体" w:hAnsi="宋体" w:eastAsia="宋体" w:cs="宋体"/>
          <w:b w:val="0"/>
          <w:bCs w:val="0"/>
          <w:color w:val="auto"/>
          <w:sz w:val="21"/>
          <w:szCs w:val="21"/>
          <w:highlight w:val="none"/>
        </w:rPr>
        <w:t xml:space="preserve">、业绩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投标人需要具备丰富的经验，确保本项目的顺利实施、按时完成。投标人自202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年1月1日（以合同签订日期为准）以来承接过类似本项目的成功案例业绩优先。</w:t>
      </w:r>
      <w:r/>
    </w:p>
    <w:p>
      <w:pPr>
        <w:ind w:firstLine="482"/>
        <w:spacing w:line="360" w:lineRule="auto"/>
        <w:rPr>
          <w:rFonts w:hint="eastAsia" w:ascii="宋体" w:hAnsi="宋体" w:eastAsia="宋体" w:cs="宋体"/>
          <w:color w:val="auto"/>
          <w:sz w:val="18"/>
          <w:szCs w:val="18"/>
          <w:highlight w:val="none"/>
        </w:rPr>
      </w:pPr>
      <w:r>
        <w:rPr>
          <w:rFonts w:hint="eastAsia" w:ascii="宋体" w:hAnsi="宋体" w:cs="宋体"/>
          <w:b/>
          <w:bCs/>
          <w:color w:val="auto"/>
          <w:sz w:val="18"/>
          <w:szCs w:val="18"/>
          <w:highlight w:val="none"/>
          <w:lang w:val="en-US" w:eastAsia="zh-CN"/>
        </w:rPr>
        <w:t xml:space="preserve">九</w:t>
      </w:r>
      <w:r>
        <w:rPr>
          <w:rFonts w:hint="eastAsia" w:ascii="宋体" w:hAnsi="宋体" w:eastAsia="宋体" w:cs="宋体"/>
          <w:b/>
          <w:bCs/>
          <w:color w:val="auto"/>
          <w:sz w:val="18"/>
          <w:szCs w:val="18"/>
          <w:highlight w:val="none"/>
        </w:rPr>
        <w:t xml:space="preserve">、采购标的对应的中小企业划分标准所属行业一览表</w:t>
      </w:r>
      <w:r/>
    </w:p>
    <w:tbl>
      <w:tblPr>
        <w:tblStyle w:val="1135"/>
        <w:tblW w:w="86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8"/>
        <w:gridCol w:w="5264"/>
        <w:gridCol w:w="2438"/>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346"/>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264" w:type="dxa"/>
            <w:vAlign w:val="center"/>
            <w:textDirection w:val="lrTb"/>
            <w:noWrap w:val="false"/>
          </w:tcPr>
          <w:p>
            <w:pPr>
              <w:pStyle w:val="1346"/>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438" w:type="dxa"/>
            <w:vAlign w:val="center"/>
            <w:textDirection w:val="lrTb"/>
            <w:noWrap w:val="false"/>
          </w:tcPr>
          <w:p>
            <w:pPr>
              <w:pStyle w:val="1346"/>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jc w:val="center"/>
          <w:tblCellSpacing w:w="0" w:type="dxa"/>
          <w:trHeight w:val="646"/>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346"/>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264" w:type="dxa"/>
            <w:vAlign w:val="center"/>
            <w:textDirection w:val="lrTb"/>
            <w:noWrap w:val="false"/>
          </w:tcPr>
          <w:p>
            <w:pPr>
              <w:pStyle w:val="1346"/>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盐城市生态环境监测监控中心应急监测能力提升项目</w:t>
            </w:r>
            <w:r/>
          </w:p>
        </w:tc>
        <w:tc>
          <w:tcPr>
            <w:tcBorders>
              <w:top w:val="single" w:color="000000" w:sz="4" w:space="0"/>
              <w:left w:val="single" w:color="000000" w:sz="4" w:space="0"/>
              <w:bottom w:val="single" w:color="000000" w:sz="4" w:space="0"/>
              <w:right w:val="single" w:color="000000" w:sz="4" w:space="0"/>
            </w:tcBorders>
            <w:tcW w:w="2438" w:type="dxa"/>
            <w:vAlign w:val="center"/>
            <w:textDirection w:val="lrTb"/>
            <w:noWrap w:val="false"/>
          </w:tcPr>
          <w:p>
            <w:pPr>
              <w:pStyle w:val="1346"/>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一、定标原则</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本项目采用</w:t>
      </w:r>
      <w:r>
        <w:rPr>
          <w:rFonts w:hint="eastAsia" w:ascii="宋体" w:hAnsi="宋体" w:cs="宋体"/>
          <w:bCs/>
          <w:color w:val="auto"/>
          <w:szCs w:val="21"/>
          <w:highlight w:val="none"/>
          <w:u w:val="single"/>
        </w:rPr>
        <w:t xml:space="preserve">综合评分</w:t>
      </w:r>
      <w:r>
        <w:rPr>
          <w:rFonts w:hint="eastAsia" w:ascii="宋体" w:hAnsi="宋体" w:cs="宋体"/>
          <w:bCs/>
          <w:color w:val="auto"/>
          <w:szCs w:val="21"/>
          <w:highlight w:val="none"/>
        </w:rPr>
        <w:t xml:space="preserve">法。</w:t>
      </w:r>
      <w:r>
        <w:rPr>
          <w:rFonts w:hint="eastAsia" w:ascii="宋体" w:hAnsi="宋体" w:cs="宋体"/>
          <w:color w:val="auto"/>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政府采购政策功能落实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eastAsia="宋体" w:cs="宋体"/>
          <w:color w:val="auto"/>
          <w:sz w:val="21"/>
          <w:szCs w:val="21"/>
          <w:highlight w:val="none"/>
        </w:rPr>
        <w:t xml:space="preserve">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2、残疾人福利单位价格扣除</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（1）本项目对残疾人福利性单位视同小型、微型企业。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rPr>
        <w:t xml:space="preserve">6%</w:t>
      </w:r>
      <w:r>
        <w:rPr>
          <w:rFonts w:hint="eastAsia" w:ascii="宋体" w:hAnsi="宋体" w:cs="宋体"/>
          <w:color w:val="auto"/>
          <w:szCs w:val="21"/>
          <w:highlight w:val="none"/>
        </w:rPr>
        <w:t xml:space="preserve">的价格扣除，用扣除后的价格参与评审。</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Cs w:val="21"/>
          <w:highlight w:val="none"/>
          <w:u w:val="single"/>
        </w:rPr>
        <w:t xml:space="preserve"> 20%</w:t>
      </w:r>
      <w:r>
        <w:rPr>
          <w:rFonts w:hint="eastAsia" w:ascii="宋体" w:hAnsi="宋体" w:eastAsia="宋体" w:cs="宋体"/>
          <w:color w:val="auto"/>
          <w:szCs w:val="21"/>
          <w:highlight w:val="none"/>
        </w:rPr>
        <w:t xml:space="preserve">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Cs w:val="21"/>
          <w:highlight w:val="none"/>
          <w:u w:val="single"/>
        </w:rPr>
        <w:t xml:space="preserve">80%</w:t>
      </w:r>
      <w:r>
        <w:rPr>
          <w:rFonts w:hint="eastAsia" w:ascii="宋体" w:hAnsi="宋体" w:eastAsia="宋体" w:cs="宋体"/>
          <w:color w:val="auto"/>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Cs w:val="21"/>
          <w:highlight w:val="none"/>
          <w:u w:val="single"/>
        </w:rPr>
        <w:t xml:space="preserve">20%</w:t>
      </w:r>
      <w:r>
        <w:rPr>
          <w:rFonts w:hint="eastAsia" w:ascii="宋体" w:hAnsi="宋体" w:eastAsia="宋体" w:cs="宋体"/>
          <w:color w:val="auto"/>
          <w:szCs w:val="21"/>
          <w:highlight w:val="none"/>
        </w:rPr>
        <w:t xml:space="preserve">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供应商需在《声明函》中逐一、准确填写产品名称、厂名、生产厂址三项信息（《声明函》中用</w:t>
      </w:r>
      <w:r>
        <w:rPr>
          <w:rFonts w:hint="eastAsia" w:ascii="宋体" w:hAnsi="宋体" w:eastAsia="宋体" w:cs="宋体"/>
          <w:color w:val="auto"/>
          <w:szCs w:val="21"/>
          <w:highlight w:val="none"/>
          <w:lang w:val="en-US" w:eastAsia="zh-CN"/>
        </w:rPr>
        <w:t xml:space="preserve">横</w:t>
      </w:r>
      <w:r>
        <w:rPr>
          <w:rFonts w:hint="eastAsia" w:ascii="宋体" w:hAnsi="宋体" w:eastAsia="宋体" w:cs="宋体"/>
          <w:color w:val="auto"/>
          <w:szCs w:val="21"/>
          <w:highlight w:val="none"/>
        </w:rPr>
        <w:t xml:space="preserve">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Cs w:val="21"/>
          <w:highlight w:val="none"/>
          <w:lang w:val="en-US" w:eastAsia="zh-CN"/>
        </w:rPr>
        <w:t xml:space="preserve">在苏采云系统</w:t>
      </w:r>
      <w:r>
        <w:rPr>
          <w:rFonts w:hint="eastAsia" w:ascii="宋体" w:hAnsi="宋体" w:eastAsia="宋体" w:cs="宋体"/>
          <w:color w:val="auto"/>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.6</w:t>
      </w:r>
      <w:r>
        <w:rPr>
          <w:rFonts w:hint="eastAsia" w:ascii="宋体" w:hAnsi="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、严格执行政府采购关于支持</w:t>
      </w:r>
      <w:r>
        <w:rPr>
          <w:rFonts w:hint="eastAsia" w:ascii="宋体" w:hAnsi="宋体" w:eastAsia="宋体" w:cs="宋体"/>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评标方法与评标标准</w:t>
      </w:r>
      <w:r/>
    </w:p>
    <w:p>
      <w:pPr>
        <w:rPr>
          <w:color w:val="auto"/>
          <w:highlight w:val="none"/>
        </w:rPr>
      </w:pPr>
      <w:r>
        <w:rPr>
          <w:rFonts w:hint="eastAsia"/>
          <w:color w:val="auto"/>
          <w:highlight w:val="none"/>
        </w:rPr>
        <w:t xml:space="preserve"> </w:t>
      </w:r>
      <w:r/>
    </w:p>
    <w:tbl>
      <w:tblPr>
        <w:tblStyle w:val="1135"/>
        <w:tblW w:w="8880"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328"/>
        <w:gridCol w:w="6128"/>
        <w:gridCol w:w="752"/>
      </w:tblGrid>
      <w:tr>
        <w:trPr>
          <w:trHeight w:val="673"/>
        </w:trPr>
        <w:tc>
          <w:tcPr>
            <w:tcW w:w="672"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328"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评分要素</w:t>
            </w:r>
            <w:r/>
          </w:p>
        </w:tc>
        <w:tc>
          <w:tcPr>
            <w:tcW w:w="6128"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评分标准</w:t>
            </w:r>
            <w:r/>
          </w:p>
        </w:tc>
        <w:tc>
          <w:tcPr>
            <w:tcW w:w="752"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分值</w:t>
            </w:r>
            <w:r/>
          </w:p>
        </w:tc>
      </w:tr>
      <w:tr>
        <w:trPr>
          <w:trHeight w:val="1296"/>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132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价格</w:t>
            </w:r>
            <w:r/>
          </w:p>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6128" w:type="dxa"/>
            <w:vAlign w:val="center"/>
            <w:textDirection w:val="lrTb"/>
            <w:noWrap w:val="false"/>
          </w:tcPr>
          <w:p>
            <w:pPr>
              <w:ind w:firstLine="210"/>
              <w:jc w:val="left"/>
              <w:widowControl/>
              <w:rPr>
                <w:rFonts w:hint="eastAsia" w:ascii="宋体" w:hAnsi="宋体" w:cs="宋体"/>
                <w:color w:val="auto"/>
                <w:highlight w:val="none"/>
              </w:rPr>
            </w:pPr>
            <w:r>
              <w:rPr>
                <w:rFonts w:hint="eastAsia" w:ascii="宋体" w:hAnsi="宋体" w:cs="宋体"/>
                <w:color w:val="auto"/>
                <w:highlight w:val="none"/>
              </w:rPr>
              <w:t xml:space="preserve">采用低价优先法计算，即满足招标文件要求且投标价格最低的投标报价为评标基准价，其价格分为满分30分。其他供应商的价格分统一按照下列公式计算：投标报价得分=(评标基准价／投标报价)×30（按四舍五入取至小数点后两位）。</w:t>
            </w:r>
            <w:r/>
          </w:p>
        </w:tc>
        <w:tc>
          <w:tcPr>
            <w:tcW w:w="75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0分</w:t>
            </w:r>
            <w:r/>
          </w:p>
        </w:tc>
      </w:tr>
      <w:tr>
        <w:trPr>
          <w:trHeight w:val="1668"/>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132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技术参数</w:t>
            </w:r>
            <w:r/>
          </w:p>
        </w:tc>
        <w:tc>
          <w:tcPr>
            <w:tcW w:w="6128" w:type="dxa"/>
            <w:vAlign w:val="center"/>
            <w:textDirection w:val="lrTb"/>
            <w:noWrap w:val="false"/>
          </w:tcPr>
          <w:p>
            <w:pPr>
              <w:ind w:firstLine="210"/>
              <w:jc w:val="left"/>
              <w:widowControl/>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   </w:t>
            </w:r>
            <w:bookmarkStart w:id="139" w:name="OLE_LINK32"/>
            <w:r>
              <w:rPr>
                <w:rFonts w:hint="eastAsia" w:ascii="宋体" w:hAnsi="宋体" w:cs="宋体"/>
                <w:color w:val="auto"/>
                <w:highlight w:val="none"/>
                <w:lang w:val="en-US" w:eastAsia="zh-CN" w:bidi="ar"/>
              </w:rPr>
              <w:t xml:space="preserve">评委根据《技术要求响应及偏离表》，结合投标文件提供的佐证材料等进行评审：</w:t>
            </w:r>
            <w:r/>
          </w:p>
          <w:p>
            <w:pPr>
              <w:ind w:firstLine="210"/>
              <w:jc w:val="left"/>
              <w:widowControl/>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设备技术参数全部满足招标要求的得满分，在此基础上，招标文件中标注“▲”的内容为重要参数（共20项），供应商必须在投标文件内提供对应技术证明材料，满足招标文件要求的，每项加1.5分。</w:t>
            </w:r>
            <w:r/>
          </w:p>
          <w:p>
            <w:pPr>
              <w:ind w:firstLine="210"/>
              <w:jc w:val="left"/>
              <w:widowControl/>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注：“技术参数”中明确要求提供证明材料的需提供证明材料加盖投标人公章，</w:t>
            </w:r>
            <w:r>
              <w:rPr>
                <w:rFonts w:hint="eastAsia" w:ascii="宋体" w:hAnsi="宋体" w:cs="宋体"/>
                <w:b w:val="0"/>
                <w:color w:val="auto"/>
                <w:sz w:val="21"/>
                <w:szCs w:val="24"/>
                <w:highlight w:val="none"/>
                <w:lang w:bidi="ar"/>
              </w:rPr>
              <w:t xml:space="preserve">经评标委员会审核证明材料有效，视为满足；未提供有效证明材料或证明材料中内容与所填报指标不一致的，该指标按不满足处理。</w:t>
            </w:r>
            <w:r>
              <w:rPr>
                <w:rFonts w:hint="eastAsia" w:ascii="宋体" w:hAnsi="宋体" w:cs="宋体"/>
                <w:color w:val="auto"/>
                <w:highlight w:val="none"/>
                <w:lang w:val="en-US" w:eastAsia="zh-CN" w:bidi="ar"/>
              </w:rPr>
              <w:t xml:space="preserve">需在《技术要求响应及偏离表》中清楚标注每一个证明材料对应项的具体页码。供应商需如实填写《技术要求响应及偏离表》，如虚假响应或提供虚假证明材料，一经发现将取消中标资格，并上报财政主管部门。</w:t>
            </w:r>
            <w:bookmarkEnd w:id="139"/>
            <w:r/>
            <w:r/>
          </w:p>
        </w:tc>
        <w:tc>
          <w:tcPr>
            <w:tcW w:w="75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30分</w:t>
            </w:r>
            <w:r/>
          </w:p>
        </w:tc>
      </w:tr>
      <w:tr>
        <w:trPr>
          <w:trHeight w:val="535"/>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132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28"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（1）体系认证</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投标人具有有效的质量管理体系认证证书、职业健康体系认证证书、环境体系认证证书、售后服务认证证书，同时提供全部4个证书的得2分，缺一项扣0.5分。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注：投标时需提供证书原件扫描件和国家认监委网站查询截图并加盖投标人公章，未提供或提供不全不得分。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（2）项目负责人及项目组成员</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①本项目的项目负责人具备环保类专业技术高级及以上职称的得3分，具备注册环保工程师的得3分，本项最高得6分；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②除项目负责人外项目组成员中具备</w:t>
            </w:r>
            <w:r>
              <w:rPr>
                <w:rFonts w:hint="eastAsia" w:ascii="宋体" w:hAnsi="宋体" w:cs="宋体"/>
                <w:color w:val="auto"/>
                <w:highlight w:val="none"/>
                <w:lang w:val="en-US" w:eastAsia="zh-CN" w:bidi="ar"/>
              </w:rPr>
              <w:t xml:space="preserve">环保类专业</w:t>
            </w:r>
            <w:r>
              <w:rPr>
                <w:rFonts w:hint="eastAsia" w:ascii="宋体" w:hAnsi="宋体" w:eastAsia="宋体" w:cs="宋体"/>
                <w:color w:val="auto"/>
                <w:highlight w:val="none"/>
                <w:lang w:val="en-US" w:eastAsia="zh-CN" w:bidi="ar"/>
              </w:rPr>
              <w:t xml:space="preserve">中级及以上职称的，每提供1人得0.5分，最多得2分。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注：同一人员具有多项证书不重复加分。须提供证书原件扫描件及投标单位为其缴纳近一个月社保扫描件并加盖单位公章，否则不得分。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（3）类似业绩</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投标人提供2023年1月1日以来，类似销售业绩（类似销售业绩是指应急监测或实验室检测相关的仪器设备销售合同），每提供一份得</w:t>
            </w:r>
            <w:r>
              <w:rPr>
                <w:rFonts w:hint="eastAsia" w:ascii="宋体" w:hAnsi="宋体" w:cs="宋体"/>
                <w:color w:val="auto"/>
                <w:highlight w:val="none"/>
                <w:lang w:val="en-US" w:eastAsia="zh-CN" w:bidi="ar"/>
              </w:rPr>
              <w:t xml:space="preserve">1</w:t>
            </w:r>
            <w:r>
              <w:rPr>
                <w:rFonts w:hint="eastAsia" w:ascii="宋体" w:hAnsi="宋体" w:eastAsia="宋体" w:cs="宋体"/>
                <w:color w:val="auto"/>
                <w:highlight w:val="none"/>
                <w:lang w:val="en-US" w:eastAsia="zh-CN" w:bidi="ar"/>
              </w:rPr>
              <w:t xml:space="preserve">分，最高得3分。</w:t>
            </w:r>
            <w:r/>
          </w:p>
          <w:p>
            <w:pPr>
              <w:ind w:firstLine="210"/>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highlight w:val="none"/>
                <w:lang w:val="en-US" w:eastAsia="zh-CN" w:bidi="ar"/>
              </w:rPr>
              <w:t xml:space="preserve">注：以合同签订日期为准，需提供合同原件及合同发票原件扫描件并加盖投标人公章。 </w:t>
            </w:r>
            <w:r/>
          </w:p>
        </w:tc>
        <w:tc>
          <w:tcPr>
            <w:tcW w:w="75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分</w:t>
            </w:r>
            <w:r/>
          </w:p>
        </w:tc>
      </w:tr>
      <w:tr>
        <w:trPr>
          <w:trHeight w:val="573"/>
        </w:trPr>
        <w:tc>
          <w:tcPr>
            <w:tcW w:w="672"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4</w:t>
            </w:r>
            <w:r/>
          </w:p>
        </w:tc>
        <w:tc>
          <w:tcPr>
            <w:tcW w:w="1328" w:type="dxa"/>
            <w:vAlign w:val="center"/>
            <w:textDirection w:val="lrTb"/>
            <w:noWrap w:val="false"/>
          </w:tcPr>
          <w:p>
            <w:pPr>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项目整体实施方案</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r>
            <w:r/>
          </w:p>
        </w:tc>
        <w:tc>
          <w:tcPr>
            <w:tcW w:w="6128" w:type="dxa"/>
            <w:vAlign w:val="center"/>
            <w:textDirection w:val="lrTb"/>
            <w:noWrap w:val="false"/>
          </w:tcPr>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评委根据投标人为本项目制定的整体实施方案（包括1、项目进度安排；2、项目进度保障措施；3、解决问题的方案；4、紧急故障处理预案；5、安全生产和环境保护措施方案）五项内容进行评审。</w:t>
            </w:r>
            <w:r/>
          </w:p>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以上方案内容满足全部要求且符合本项目实际需求的得5分，每缺一项扣1分；每一项内容不完整或针对性不强的得0.5分；每一项有偏差或不符合本项目实际情况的不得分。（偏差或不符合本项目实际情况是指不适用于本项目，表述前后不一致或内容矛盾，语句有歧义，仅有框架或标题，涉及的规范及标准错误，套用其他项目内容等任意一种情形）</w:t>
            </w:r>
            <w:r/>
          </w:p>
        </w:tc>
        <w:tc>
          <w:tcPr>
            <w:tcW w:w="752" w:type="dxa"/>
            <w:vAlign w:val="center"/>
            <w:textDirection w:val="lrTb"/>
            <w:noWrap w:val="false"/>
          </w:tcPr>
          <w:p>
            <w:pPr>
              <w:jc w:val="left"/>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5分</w:t>
            </w:r>
            <w:r/>
          </w:p>
        </w:tc>
      </w:tr>
      <w:tr>
        <w:trPr>
          <w:trHeight w:val="445"/>
        </w:trPr>
        <w:tc>
          <w:tcPr>
            <w:tcW w:w="672"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w:t>
            </w:r>
            <w:r/>
          </w:p>
        </w:tc>
        <w:tc>
          <w:tcPr>
            <w:tcW w:w="1328" w:type="dxa"/>
            <w:vAlign w:val="center"/>
            <w:textDirection w:val="lrTb"/>
            <w:noWrap w:val="false"/>
          </w:tcPr>
          <w:p>
            <w:pPr>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售后服务方案</w:t>
            </w:r>
            <w:r/>
          </w:p>
          <w:p>
            <w:pPr>
              <w:ind w:firstLine="210"/>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r>
            <w:r/>
          </w:p>
        </w:tc>
        <w:tc>
          <w:tcPr>
            <w:tcW w:w="6128" w:type="dxa"/>
            <w:vAlign w:val="center"/>
            <w:textDirection w:val="lrTb"/>
            <w:noWrap w:val="false"/>
          </w:tcPr>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评委根据投标人针对本项目的售后服务方案（包括针对本次项目提供的1、送货安装调试；2、售后服务范围；3、故障处理机制；4、售后服务响应；5、设备使用情况回访）五项内容进行综合评分。</w:t>
            </w:r>
            <w:r/>
          </w:p>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以上方案内容满足全部要求且符合本项目实际需求的得5分，每缺一项扣1分；每一项内容不完整或针对性不强的得0.5分；每一项有偏差或不符合本项目实际情况的不得分。（偏差或不符合本项目实际情况是指不适用于本项目，表述前后不一致或内容矛盾，语句有歧义，仅有框架或标题，涉及的规范及标准错误，套用其他项目内容等任意一种情形）</w:t>
            </w:r>
            <w:r/>
          </w:p>
        </w:tc>
        <w:tc>
          <w:tcPr>
            <w:tcW w:w="752" w:type="dxa"/>
            <w:vAlign w:val="center"/>
            <w:textDirection w:val="lrTb"/>
            <w:noWrap w:val="false"/>
          </w:tcPr>
          <w:p>
            <w:pPr>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5分</w:t>
            </w:r>
            <w:r/>
          </w:p>
        </w:tc>
      </w:tr>
      <w:tr>
        <w:trPr>
          <w:trHeight w:val="90"/>
        </w:trPr>
        <w:tc>
          <w:tcPr>
            <w:tcW w:w="672"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6</w:t>
            </w:r>
            <w:r/>
          </w:p>
        </w:tc>
        <w:tc>
          <w:tcPr>
            <w:tcW w:w="1328" w:type="dxa"/>
            <w:vAlign w:val="center"/>
            <w:textDirection w:val="lrTb"/>
            <w:noWrap w:val="false"/>
          </w:tcPr>
          <w:p>
            <w:pPr>
              <w:ind w:firstLine="210"/>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培训方案</w:t>
            </w:r>
            <w:r/>
          </w:p>
          <w:p>
            <w:pPr>
              <w:ind w:firstLine="210"/>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r>
            <w:r/>
          </w:p>
        </w:tc>
        <w:tc>
          <w:tcPr>
            <w:tcW w:w="6128" w:type="dxa"/>
            <w:vAlign w:val="center"/>
            <w:textDirection w:val="lrTb"/>
            <w:noWrap w:val="false"/>
          </w:tcPr>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评委根据投标人针对本项目的培训方案（包括针对本次项目提供的1、设备培训时间和人数；2、师资力量；3、培训内容；4、培训授课人员；5、培训效果保障）五项内容进行综合评分。</w:t>
            </w:r>
            <w:r/>
          </w:p>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以上方案内容满足全部要求且符合本项目实际需求的得5分，每缺一项扣1分；每一项内容不完整或针对性不强的得0.5分；每一项有偏差或不符合本项目实际情况的不得分。（偏差或不符合本项目实际情况是指不适用于本项目，表述前后不一致或内容矛盾，语句有歧义，仅有框架或标题，涉及的规范及标准错误，套用其他项目内容等任意一种情形）</w:t>
            </w:r>
            <w:r/>
          </w:p>
        </w:tc>
        <w:tc>
          <w:tcPr>
            <w:tcW w:w="752" w:type="dxa"/>
            <w:vAlign w:val="center"/>
            <w:textDirection w:val="lrTb"/>
            <w:noWrap w:val="false"/>
          </w:tcPr>
          <w:p>
            <w:pPr>
              <w:jc w:val="left"/>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5分</w:t>
            </w:r>
            <w:r/>
          </w:p>
        </w:tc>
      </w:tr>
      <w:tr>
        <w:trPr>
          <w:trHeight w:val="296"/>
        </w:trPr>
        <w:tc>
          <w:tcPr>
            <w:tcW w:w="672"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7</w:t>
            </w:r>
            <w:r/>
          </w:p>
        </w:tc>
        <w:tc>
          <w:tcPr>
            <w:tcW w:w="1328" w:type="dxa"/>
            <w:vAlign w:val="center"/>
            <w:textDirection w:val="lrTb"/>
            <w:noWrap w:val="false"/>
          </w:tcPr>
          <w:p>
            <w:pPr>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设备运行维保方案</w:t>
            </w:r>
            <w:r/>
          </w:p>
          <w:p>
            <w:pPr>
              <w:ind w:firstLine="210"/>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r>
            <w:r/>
          </w:p>
        </w:tc>
        <w:tc>
          <w:tcPr>
            <w:tcW w:w="6128" w:type="dxa"/>
            <w:vAlign w:val="center"/>
            <w:textDirection w:val="lrTb"/>
            <w:noWrap w:val="false"/>
          </w:tcPr>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评委根据投标人为本项目制定的设备运行维保方案（至少包括1、设备维保保障人数；2、维保计划；3、维保范围；4、运行维保时间；5、维保应急响应机制）五项内容进行综合评分（满分5分）：</w:t>
            </w:r>
            <w:r/>
          </w:p>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以上方案内容满足全部要求且符合本项目实际需求的得5分，每缺一项扣1分；每一项内容不完整或针对性不强的得0.5分；每一项有偏差或不符合本项目实际情况的不得分。（偏差或不符合本项目实际情况是指不适用于本项目，表述前后不一致或内容矛盾，语句有歧义，仅有框架或标题，涉及的规范及标准错误，套用其他项目内容等任意一种情形）</w:t>
            </w:r>
            <w:r/>
          </w:p>
        </w:tc>
        <w:tc>
          <w:tcPr>
            <w:tcW w:w="752" w:type="dxa"/>
            <w:vAlign w:val="center"/>
            <w:textDirection w:val="lrTb"/>
            <w:noWrap w:val="false"/>
          </w:tcPr>
          <w:p>
            <w:pPr>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5分</w:t>
            </w:r>
            <w:r/>
          </w:p>
        </w:tc>
      </w:tr>
      <w:tr>
        <w:trPr>
          <w:trHeight w:val="296"/>
        </w:trPr>
        <w:tc>
          <w:tcPr>
            <w:tcW w:w="672" w:type="dxa"/>
            <w:vAlign w:val="center"/>
            <w:textDirection w:val="lrTb"/>
            <w:noWrap w:val="false"/>
          </w:tcPr>
          <w:p>
            <w:pPr>
              <w:ind w:firstLine="210"/>
              <w:jc w:val="left"/>
              <w:widowControl/>
              <w:rPr>
                <w:rFonts w:hint="default"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8</w:t>
            </w:r>
            <w:r/>
          </w:p>
        </w:tc>
        <w:tc>
          <w:tcPr>
            <w:tcW w:w="1328" w:type="dxa"/>
            <w:vAlign w:val="center"/>
            <w:textDirection w:val="lrTb"/>
            <w:noWrap w:val="false"/>
          </w:tcPr>
          <w:p>
            <w:pPr>
              <w:ind w:firstLine="210"/>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质量保证方案</w:t>
            </w:r>
            <w:r/>
          </w:p>
        </w:tc>
        <w:tc>
          <w:tcPr>
            <w:tcW w:w="6128" w:type="dxa"/>
            <w:vAlign w:val="center"/>
            <w:textDirection w:val="lrTb"/>
            <w:noWrap w:val="false"/>
          </w:tcPr>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评委根据投标人为本项目制定的设备质量保证方案（至少包括1、质量管理体系；2、质量控制措施；3、质量管理制度；4、岗位职责；5、项目合格验收保障措施）五项内容进行综合评分（满分5分）：</w:t>
            </w:r>
            <w:r/>
          </w:p>
          <w:p>
            <w:pPr>
              <w:ind w:firstLine="42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以上方案内容满足全部要求且符合本项目实际需求的得5分，每缺一项扣1分；每一项内容不完整或针对性不强的得0.5分；每一项有偏差或不符合本项目实际情况的不得分。（偏差或不符合本项目实际情况是指不适用于本项目，表述前后不一致或内容矛盾，语句有歧义，仅有框架或标题，涉及的规范及标准错误，套用其他项目内容等任意一种情形）</w:t>
            </w:r>
            <w:r/>
          </w:p>
        </w:tc>
        <w:tc>
          <w:tcPr>
            <w:tcW w:w="752" w:type="dxa"/>
            <w:vAlign w:val="center"/>
            <w:textDirection w:val="lrTb"/>
            <w:noWrap w:val="false"/>
          </w:tcPr>
          <w:p>
            <w:pPr>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r>
            <w:r/>
          </w:p>
        </w:tc>
      </w:tr>
      <w:tr>
        <w:trPr>
          <w:trHeight w:val="296"/>
        </w:trPr>
        <w:tc>
          <w:tcPr>
            <w:tcW w:w="672" w:type="dxa"/>
            <w:vAlign w:val="center"/>
            <w:textDirection w:val="lrTb"/>
            <w:noWrap w:val="false"/>
          </w:tcPr>
          <w:p>
            <w:pPr>
              <w:ind w:firstLine="210"/>
              <w:jc w:val="left"/>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9</w:t>
            </w:r>
            <w:r/>
          </w:p>
        </w:tc>
        <w:tc>
          <w:tcPr>
            <w:tcW w:w="1328" w:type="dxa"/>
            <w:vAlign w:val="center"/>
            <w:textDirection w:val="lrTb"/>
            <w:noWrap w:val="false"/>
          </w:tcPr>
          <w:p>
            <w:pPr>
              <w:ind w:firstLine="210"/>
              <w:jc w:val="center"/>
              <w:widowControl/>
              <w:rPr>
                <w:rFonts w:hint="eastAsia" w:ascii="宋体" w:hAnsi="宋体" w:eastAsia="宋体" w:cs="宋体"/>
                <w:color w:val="auto"/>
                <w:highlight w:val="none"/>
                <w:lang w:val="en-US" w:eastAsia="zh-CN" w:bidi="ar"/>
              </w:rPr>
            </w:pPr>
            <w:r/>
            <w:bookmarkStart w:id="140" w:name="OLE_LINK20"/>
            <w:r>
              <w:rPr>
                <w:rFonts w:hint="eastAsia" w:ascii="宋体" w:hAnsi="宋体" w:eastAsia="宋体" w:cs="宋体"/>
                <w:color w:val="auto"/>
                <w:highlight w:val="none"/>
                <w:lang w:val="en-US" w:eastAsia="zh-CN" w:bidi="ar"/>
              </w:rPr>
              <w:t xml:space="preserve">节能环保</w:t>
            </w:r>
            <w:bookmarkEnd w:id="140"/>
            <w:r/>
            <w:r/>
          </w:p>
        </w:tc>
        <w:tc>
          <w:tcPr>
            <w:tcW w:w="6128" w:type="dxa"/>
            <w:vAlign w:val="center"/>
            <w:textDirection w:val="lrTb"/>
            <w:noWrap w:val="false"/>
          </w:tcPr>
          <w:p>
            <w:pPr>
              <w:ind w:firstLine="210"/>
              <w:jc w:val="left"/>
              <w:widowControl/>
              <w:rPr>
                <w:rFonts w:hint="eastAsia" w:ascii="宋体" w:hAnsi="宋体" w:eastAsia="宋体" w:cs="宋体"/>
                <w:color w:val="auto"/>
                <w:highlight w:val="none"/>
                <w:lang w:val="zh-CN" w:eastAsia="zh-CN" w:bidi="ar"/>
              </w:rPr>
            </w:pPr>
            <w:r>
              <w:rPr>
                <w:rFonts w:hint="eastAsia" w:ascii="宋体" w:hAnsi="宋体" w:eastAsia="宋体" w:cs="宋体"/>
                <w:color w:val="auto"/>
                <w:highlight w:val="none"/>
                <w:lang w:val="zh-CN" w:eastAsia="zh-CN"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210"/>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zh-CN" w:eastAsia="zh-CN" w:bidi="ar"/>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752" w:type="dxa"/>
            <w:vAlign w:val="center"/>
            <w:textDirection w:val="lrTb"/>
            <w:noWrap w:val="false"/>
          </w:tcPr>
          <w:p>
            <w:pPr>
              <w:jc w:val="left"/>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2分</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1161"/>
        <w:rPr>
          <w:rFonts w:hint="eastAsia"/>
          <w:color w:val="auto"/>
          <w:highlight w:val="none"/>
        </w:rPr>
      </w:pPr>
      <w:r>
        <w:rPr>
          <w:rFonts w:hint="eastAsia"/>
          <w:color w:val="auto"/>
          <w:highlight w:val="none"/>
        </w:rPr>
      </w:r>
      <w:r/>
    </w:p>
    <w:p>
      <w:pPr>
        <w:pStyle w:val="133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1330"/>
        <w:jc w:val="center"/>
        <w:spacing w:beforeAutospacing="0" w:afterAutospacing="0"/>
        <w:rPr>
          <w:rFonts w:hint="eastAsia" w:ascii="宋体" w:hAnsi="宋体" w:cs="宋体"/>
          <w:b/>
          <w:color w:val="auto"/>
          <w:sz w:val="72"/>
          <w:szCs w:val="72"/>
          <w:highlight w:val="none"/>
        </w:rPr>
      </w:pPr>
      <w:r/>
      <w:bookmarkStart w:id="141" w:name="_Toc49090576"/>
      <w:r/>
      <w:bookmarkEnd w:id="141"/>
      <w:r/>
      <w:bookmarkStart w:id="142" w:name="_Toc120614282"/>
      <w:r/>
      <w:bookmarkEnd w:id="142"/>
      <w:r/>
      <w:bookmarkStart w:id="143" w:name="_Hlt26671244"/>
      <w:r/>
      <w:bookmarkStart w:id="144" w:name="_Toc26554094"/>
      <w:r/>
      <w:bookmarkStart w:id="145" w:name="_Hlt26955039"/>
      <w:r/>
      <w:r/>
    </w:p>
    <w:p>
      <w:pPr>
        <w:pStyle w:val="1330"/>
        <w:jc w:val="center"/>
        <w:spacing w:beforeAutospacing="0" w:afterAutospacing="0"/>
        <w:rPr>
          <w:color w:val="auto"/>
          <w:highlight w:val="none"/>
        </w:rPr>
      </w:pPr>
      <w:r>
        <w:rPr>
          <w:rFonts w:hint="eastAsia" w:ascii="宋体" w:hAnsi="宋体" w:cs="宋体"/>
          <w:b/>
          <w:color w:val="auto"/>
          <w:sz w:val="72"/>
          <w:szCs w:val="72"/>
          <w:highlight w:val="none"/>
        </w:rPr>
        <w:t xml:space="preserve">投  标  文  件</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ind w:firstLine="1084"/>
        <w:jc w:val="both"/>
        <w:spacing w:beforeAutospacing="0" w:afterAutospacing="0"/>
        <w:rPr>
          <w:color w:val="auto"/>
          <w:highlight w:val="none"/>
        </w:rPr>
      </w:pPr>
      <w:r>
        <w:rPr>
          <w:rFonts w:hint="eastAsia" w:ascii="宋体" w:hAnsi="宋体" w:cs="宋体"/>
          <w:b/>
          <w:color w:val="auto"/>
          <w:sz w:val="36"/>
          <w:szCs w:val="36"/>
          <w:highlight w:val="none"/>
        </w:rPr>
        <w:t xml:space="preserve">项 目 名 称：</w:t>
      </w:r>
      <w:r>
        <w:rPr>
          <w:rFonts w:hint="eastAsia" w:ascii="宋体" w:hAnsi="宋体" w:cs="宋体"/>
          <w:b/>
          <w:color w:val="auto"/>
          <w:sz w:val="36"/>
          <w:szCs w:val="36"/>
          <w:highlight w:val="none"/>
          <w:u w:val="single"/>
        </w:rPr>
        <w:t xml:space="preserve">             </w:t>
      </w:r>
      <w:r/>
    </w:p>
    <w:p>
      <w:pPr>
        <w:pStyle w:val="1330"/>
        <w:ind w:firstLine="1084"/>
        <w:jc w:val="both"/>
        <w:spacing w:beforeAutospacing="0" w:afterAutospacing="0"/>
        <w:rPr>
          <w:color w:val="auto"/>
          <w:highlight w:val="none"/>
        </w:rPr>
      </w:pPr>
      <w:r>
        <w:rPr>
          <w:rFonts w:hint="eastAsia" w:ascii="宋体" w:hAnsi="宋体" w:cs="宋体"/>
          <w:b/>
          <w:color w:val="auto"/>
          <w:sz w:val="36"/>
          <w:szCs w:val="36"/>
          <w:highlight w:val="none"/>
        </w:rPr>
        <w:t xml:space="preserve">项 目 编 号：</w:t>
      </w:r>
      <w:r>
        <w:rPr>
          <w:rFonts w:hint="eastAsia" w:ascii="宋体" w:hAnsi="宋体" w:cs="宋体"/>
          <w:b/>
          <w:color w:val="auto"/>
          <w:sz w:val="36"/>
          <w:szCs w:val="36"/>
          <w:highlight w:val="none"/>
          <w:u w:val="single"/>
        </w:rPr>
        <w:t xml:space="preserve">             </w:t>
      </w:r>
      <w:r/>
    </w:p>
    <w:p>
      <w:pPr>
        <w:pStyle w:val="1330"/>
        <w:jc w:val="both"/>
        <w:spacing w:beforeAutospacing="0" w:afterAutospacing="0"/>
        <w:rPr>
          <w:color w:val="auto"/>
          <w:highlight w:val="none"/>
        </w:rPr>
      </w:pPr>
      <w:r>
        <w:rPr>
          <w:rFonts w:hint="eastAsia" w:ascii="宋体" w:hAnsi="宋体" w:cs="宋体"/>
          <w:b/>
          <w:color w:val="auto"/>
          <w:sz w:val="36"/>
          <w:szCs w:val="36"/>
          <w:highlight w:val="none"/>
        </w:rPr>
        <w:t xml:space="preserve">   投标人名称 ：</w:t>
      </w:r>
      <w:r>
        <w:rPr>
          <w:rFonts w:hint="eastAsia" w:ascii="宋体" w:hAnsi="宋体" w:cs="宋体"/>
          <w:b/>
          <w:color w:val="auto"/>
          <w:sz w:val="36"/>
          <w:szCs w:val="36"/>
          <w:highlight w:val="none"/>
          <w:u w:val="single"/>
        </w:rPr>
        <w:t xml:space="preserve">（加盖CA电子公章）</w:t>
      </w:r>
      <w:r/>
    </w:p>
    <w:p>
      <w:pPr>
        <w:pStyle w:val="1330"/>
        <w:jc w:val="both"/>
        <w:spacing w:beforeAutospacing="0" w:afterAutospacing="0"/>
        <w:rPr>
          <w:color w:val="auto"/>
          <w:highlight w:val="none"/>
        </w:rPr>
      </w:pPr>
      <w:r>
        <w:rPr>
          <w:rFonts w:hint="eastAsia" w:ascii="宋体" w:hAnsi="宋体" w:cs="宋体"/>
          <w:b/>
          <w:color w:val="auto"/>
          <w:sz w:val="36"/>
          <w:szCs w:val="36"/>
          <w:highlight w:val="none"/>
        </w:rPr>
        <w:t xml:space="preserve">   日   期 ：</w:t>
      </w:r>
      <w:r>
        <w:rPr>
          <w:rFonts w:hint="eastAsia" w:ascii="宋体" w:hAnsi="宋体" w:cs="宋体"/>
          <w:b/>
          <w:color w:val="auto"/>
          <w:sz w:val="36"/>
          <w:szCs w:val="36"/>
          <w:highlight w:val="none"/>
          <w:u w:val="single"/>
        </w:rPr>
        <w:t xml:space="preserve">             </w:t>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rFonts w:hint="eastAsia" w:ascii="宋体" w:hAnsi="宋体" w:cs="宋体"/>
          <w:b/>
          <w:color w:val="auto"/>
          <w:sz w:val="32"/>
          <w:szCs w:val="32"/>
          <w:highlight w:val="none"/>
        </w:rPr>
        <w:t xml:space="preserve">投标文件目录</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ind w:left="480"/>
        <w:jc w:val="both"/>
        <w:spacing w:beforeAutospacing="0" w:afterAutospacing="0" w:line="360" w:lineRule="auto"/>
        <w:rPr>
          <w:iCs/>
          <w:color w:val="auto"/>
          <w:sz w:val="21"/>
          <w:szCs w:val="21"/>
          <w:highlight w:val="none"/>
        </w:rPr>
      </w:pPr>
      <w:r>
        <w:rPr>
          <w:rFonts w:hint="eastAsia" w:ascii="宋体" w:hAnsi="宋体" w:cs="宋体"/>
          <w:iCs/>
          <w:color w:val="auto"/>
          <w:sz w:val="21"/>
          <w:szCs w:val="21"/>
          <w:highlight w: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rPr>
        <w:t xml:space="preserve">二、</w:t>
      </w:r>
      <w:r>
        <w:rPr>
          <w:rFonts w:hint="eastAsia" w:ascii="宋体" w:hAnsi="宋体" w:eastAsia="宋体" w:cs="宋体"/>
          <w:iCs/>
          <w:color w:val="auto"/>
          <w:sz w:val="21"/>
          <w:szCs w:val="21"/>
          <w:highlight w:val="none"/>
          <w:lang w:val="en-US" w:eastAsia="zh-CN" w:bidi="ar-SA"/>
        </w:rPr>
        <w:t xml:space="preserve">上一年度的财务状况报告（上至少提供资产负债表、利润表、现金流量表，成立不满一年不需提供）</w:t>
      </w:r>
      <w:r/>
    </w:p>
    <w:p>
      <w:pPr>
        <w:pStyle w:val="1330"/>
        <w:ind w:left="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三、具备履行合同所必需的设备和专业技术能力的书面声明</w:t>
      </w:r>
      <w:r/>
    </w:p>
    <w:p>
      <w:pPr>
        <w:pStyle w:val="1330"/>
        <w:ind w:left="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330"/>
        <w:ind w:firstLine="480"/>
        <w:jc w:val="both"/>
        <w:spacing w:beforeAutospacing="0" w:afterAutospacing="0" w:line="360" w:lineRule="auto"/>
        <w:rPr>
          <w:iCs/>
          <w:color w:val="auto"/>
          <w:sz w:val="21"/>
          <w:szCs w:val="21"/>
          <w:highlight w:val="none"/>
        </w:rPr>
      </w:pPr>
      <w:r>
        <w:rPr>
          <w:rFonts w:hint="eastAsia" w:ascii="宋体" w:hAnsi="宋体" w:cs="宋体"/>
          <w:iCs/>
          <w:color w:val="auto"/>
          <w:sz w:val="21"/>
          <w:szCs w:val="21"/>
          <w:highlight w:val="none"/>
        </w:rPr>
        <w:t xml:space="preserve">五、参加政府采购活动前3年内在经营活动中没有重大违法记录的书面声明</w:t>
      </w:r>
      <w:r/>
    </w:p>
    <w:p>
      <w:pPr>
        <w:pStyle w:val="1330"/>
        <w:ind w:firstLine="480"/>
        <w:jc w:val="both"/>
        <w:spacing w:beforeAutospacing="0" w:afterAutospacing="0" w:line="360" w:lineRule="auto"/>
        <w:rPr>
          <w:iCs/>
          <w:color w:val="auto"/>
          <w:sz w:val="21"/>
          <w:szCs w:val="21"/>
          <w:highlight w:val="none"/>
        </w:rPr>
      </w:pPr>
      <w:r>
        <w:rPr>
          <w:rFonts w:hint="eastAsia" w:ascii="宋体" w:hAnsi="宋体" w:cs="宋体"/>
          <w:iCs/>
          <w:color w:val="auto"/>
          <w:sz w:val="21"/>
          <w:szCs w:val="21"/>
          <w:highlight w:val="none"/>
        </w:rPr>
        <w:t xml:space="preserve">六、特定资格要求的证明文件（如果本项目设置特定资格要求，则需要提供）</w:t>
      </w:r>
      <w:r/>
    </w:p>
    <w:p>
      <w:pPr>
        <w:pStyle w:val="1330"/>
        <w:ind w:firstLine="480"/>
        <w:jc w:val="both"/>
        <w:spacing w:beforeAutospacing="0" w:afterAutospacing="0" w:line="360" w:lineRule="auto"/>
        <w:rPr>
          <w:iCs/>
          <w:color w:val="auto"/>
          <w:sz w:val="21"/>
          <w:szCs w:val="21"/>
          <w:highlight w:val="none"/>
        </w:rPr>
      </w:pPr>
      <w:r>
        <w:rPr>
          <w:rFonts w:hint="eastAsia" w:ascii="宋体" w:hAnsi="宋体" w:cs="宋体"/>
          <w:iCs/>
          <w:color w:val="auto"/>
          <w:sz w:val="21"/>
          <w:szCs w:val="21"/>
          <w:highlight w:val="none"/>
        </w:rPr>
        <w:t xml:space="preserve">七、法人授权书</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八、投标函</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九、中小企业声明函</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十、残疾人福利性单位声明函</w:t>
      </w:r>
      <w:r/>
    </w:p>
    <w:p>
      <w:pPr>
        <w:pStyle w:val="1330"/>
        <w:ind w:firstLine="480"/>
        <w:jc w:val="both"/>
        <w:spacing w:beforeAutospacing="0" w:afterAutospacing="0" w:line="360" w:lineRule="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 xml:space="preserve">十一、</w:t>
      </w:r>
      <w:r>
        <w:rPr>
          <w:rFonts w:hint="eastAsia" w:ascii="宋体" w:hAnsi="宋体" w:eastAsia="宋体" w:cs="宋体"/>
          <w:iCs/>
          <w:color w:val="auto"/>
          <w:sz w:val="21"/>
          <w:szCs w:val="21"/>
          <w:highlight w:val="none"/>
        </w:rPr>
        <w:t xml:space="preserve">关于符合本国产品标准的声明函</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二</w:t>
      </w:r>
      <w:r>
        <w:rPr>
          <w:rFonts w:hint="eastAsia" w:ascii="宋体" w:hAnsi="宋体" w:cs="宋体"/>
          <w:iCs/>
          <w:color w:val="auto"/>
          <w:sz w:val="21"/>
          <w:szCs w:val="21"/>
          <w:highlight w:val="none"/>
        </w:rPr>
        <w:t xml:space="preserve">、投标分项报价表</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三</w:t>
      </w:r>
      <w:r>
        <w:rPr>
          <w:rFonts w:hint="eastAsia" w:ascii="宋体" w:hAnsi="宋体" w:cs="宋体"/>
          <w:iCs/>
          <w:color w:val="auto"/>
          <w:sz w:val="21"/>
          <w:szCs w:val="21"/>
          <w:highlight w:val="none"/>
        </w:rPr>
        <w:t xml:space="preserve">、技术要求响应及偏离表</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四</w:t>
      </w:r>
      <w:r>
        <w:rPr>
          <w:rFonts w:hint="eastAsia" w:ascii="宋体" w:hAnsi="宋体" w:cs="宋体"/>
          <w:iCs/>
          <w:color w:val="auto"/>
          <w:sz w:val="21"/>
          <w:szCs w:val="21"/>
          <w:highlight w:val="none"/>
        </w:rPr>
        <w:t xml:space="preserve">、商务要求响应及偏离表</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五</w:t>
      </w:r>
      <w:r>
        <w:rPr>
          <w:rFonts w:hint="eastAsia" w:ascii="宋体" w:hAnsi="宋体" w:cs="宋体"/>
          <w:iCs/>
          <w:color w:val="auto"/>
          <w:sz w:val="21"/>
          <w:szCs w:val="21"/>
          <w:highlight w:val="none"/>
        </w:rPr>
        <w:t xml:space="preserve">、开标一览表</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十六、技术方案、服务承诺、培训承诺等</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七</w:t>
      </w:r>
      <w:r>
        <w:rPr>
          <w:rFonts w:hint="eastAsia" w:ascii="宋体" w:hAnsi="宋体" w:cs="宋体"/>
          <w:iCs/>
          <w:color w:val="auto"/>
          <w:sz w:val="21"/>
          <w:szCs w:val="21"/>
          <w:highlight w:val="none"/>
        </w:rPr>
        <w:t xml:space="preserve">、投标人认为需要提供的其他材料</w:t>
      </w:r>
      <w:r/>
    </w:p>
    <w:p>
      <w:pPr>
        <w:pStyle w:val="1330"/>
        <w:ind w:firstLine="480"/>
        <w:jc w:val="both"/>
        <w:spacing w:beforeAutospacing="0" w:afterAutospacing="0" w:line="360" w:lineRule="auto"/>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十</w:t>
      </w:r>
      <w:r>
        <w:rPr>
          <w:rFonts w:hint="eastAsia" w:ascii="宋体" w:hAnsi="宋体" w:cs="宋体"/>
          <w:iCs/>
          <w:color w:val="auto"/>
          <w:sz w:val="21"/>
          <w:szCs w:val="21"/>
          <w:highlight w:val="none"/>
          <w:lang w:val="en-US" w:eastAsia="zh-CN"/>
        </w:rPr>
        <w:t xml:space="preserve">八</w:t>
      </w:r>
      <w:r>
        <w:rPr>
          <w:rFonts w:hint="eastAsia" w:ascii="宋体" w:hAnsi="宋体" w:cs="宋体"/>
          <w:iCs/>
          <w:color w:val="auto"/>
          <w:sz w:val="21"/>
          <w:szCs w:val="21"/>
          <w:highlight w:val="none"/>
        </w:rPr>
        <w:t xml:space="preserve">、盐城市政府采购事前信用承诺书</w:t>
      </w:r>
      <w:r/>
    </w:p>
    <w:p>
      <w:pPr>
        <w:pStyle w:val="1330"/>
        <w:ind w:firstLine="480"/>
        <w:jc w:val="both"/>
        <w:spacing w:beforeAutospacing="0" w:afterAutospacing="0" w:line="0" w:lineRule="atLeast"/>
        <w:rPr>
          <w:rFonts w:hint="eastAsia" w:eastAsia="宋体"/>
          <w:color w:val="auto"/>
          <w:sz w:val="21"/>
          <w:szCs w:val="21"/>
          <w:highlight w:val="none"/>
          <w:lang w:val="en-US" w:eastAsia="zh-CN"/>
        </w:rPr>
      </w:pPr>
      <w:r>
        <w:rPr>
          <w:color w:val="auto"/>
          <w:sz w:val="21"/>
          <w:szCs w:val="21"/>
          <w:highlight w:val="none"/>
        </w:rPr>
        <w:t xml:space="preserve"> </w:t>
      </w:r>
      <w:r/>
    </w:p>
    <w:p>
      <w:pPr>
        <w:pStyle w:val="1330"/>
        <w:ind w:firstLine="48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1330"/>
        <w:ind w:firstLine="48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t xml:space="preserve"> </w:t>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ind w:firstLine="48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1330"/>
        <w:ind w:firstLine="480"/>
        <w:jc w:val="both"/>
        <w:spacing w:beforeAutospacing="0" w:afterAutospacing="0" w:line="360" w:lineRule="auto"/>
        <w:rPr>
          <w:color w:val="auto"/>
          <w:sz w:val="21"/>
          <w:szCs w:val="21"/>
          <w:highlight w:val="none"/>
        </w:rPr>
      </w:pPr>
      <w:r>
        <w:rPr>
          <w:color w:val="auto"/>
          <w:sz w:val="21"/>
          <w:szCs w:val="21"/>
          <w:highlight w:val="none"/>
        </w:rPr>
        <w:t xml:space="preserve"> </w:t>
      </w:r>
      <w:r/>
    </w:p>
    <w:p>
      <w:pPr>
        <w:ind w:firstLine="420"/>
        <w:jc w:val="left"/>
        <w:spacing w:line="360" w:lineRule="auto"/>
        <w:tabs>
          <w:tab w:val="left" w:pos="1331" w:leader="none"/>
        </w:tabs>
        <w:rPr>
          <w:color w:val="auto"/>
          <w:sz w:val="21"/>
          <w:szCs w:val="21"/>
          <w:highlight w:val="none"/>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bidi="ar-SA"/>
        </w:rPr>
        <w:t xml:space="preserve">上一年度的财务状况报告（至少提供资产负债表、利润表、现金流量表，成立不满一年不需提供）。</w:t>
      </w:r>
      <w:r/>
    </w:p>
    <w:p>
      <w:pPr>
        <w:pStyle w:val="1330"/>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1330"/>
        <w:ind w:firstLine="492"/>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1330"/>
        <w:ind w:firstLine="492"/>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主要设备有：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33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33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1330"/>
        <w:ind w:firstLine="480"/>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133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330"/>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1330"/>
        <w:jc w:val="both"/>
        <w:spacing w:beforeAutospacing="0" w:afterAutospacing="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                </w:t>
      </w:r>
      <w:r/>
    </w:p>
    <w:p>
      <w:pPr>
        <w:pStyle w:val="1330"/>
        <w:jc w:val="center"/>
        <w:spacing w:beforeAutospacing="0" w:afterAutospacing="0"/>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 声  明</w:t>
      </w:r>
      <w:r/>
    </w:p>
    <w:p>
      <w:pPr>
        <w:pStyle w:val="1330"/>
        <w:jc w:val="both"/>
        <w:spacing w:beforeAutospacing="0" w:afterAutospacing="0" w:line="360" w:lineRule="auto"/>
        <w:rPr>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33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330"/>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六、特定资格要求的证明文件</w:t>
      </w:r>
      <w:r/>
    </w:p>
    <w:p>
      <w:pPr>
        <w:pStyle w:val="1330"/>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   如果本项目申请人的特定资格要求中要求提供的，必须提供。</w:t>
      </w:r>
      <w:r/>
    </w:p>
    <w:p>
      <w:pPr>
        <w:pStyle w:val="1330"/>
        <w:jc w:val="center"/>
        <w:spacing w:beforeAutospacing="0" w:afterAutospacing="0" w:line="360" w:lineRule="auto"/>
        <w:rPr>
          <w:rFonts w:hint="eastAsia" w:ascii="黑体" w:hAnsi="宋体" w:eastAsia="黑体" w:cs="黑体"/>
          <w:i/>
          <w:color w:val="auto"/>
          <w:sz w:val="21"/>
          <w:szCs w:val="21"/>
          <w:highlight w:val="none"/>
          <w:u w:val="single"/>
        </w:rPr>
      </w:pPr>
      <w:r/>
      <w:bookmarkStart w:id="146" w:name="_Toc120614284"/>
      <w:r/>
      <w:r/>
    </w:p>
    <w:p>
      <w:pPr>
        <w:pStyle w:val="133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330"/>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1330"/>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1330"/>
        <w:ind w:firstLine="688"/>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133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1330"/>
        <w:jc w:val="both"/>
        <w:spacing w:beforeAutospacing="0" w:afterAutospacing="0" w:line="360" w:lineRule="auto"/>
        <w:tabs>
          <w:tab w:val="left" w:pos="360" w:leader="none"/>
        </w:tabs>
        <w:rPr>
          <w:rFonts w:ascii="Times New Roman" w:hAnsi="Times New Roman"/>
          <w:color w:val="auto"/>
          <w:sz w:val="21"/>
          <w:szCs w:val="21"/>
          <w:highlight w:val="non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1330"/>
        <w:ind w:firstLine="63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1330"/>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1330"/>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日期：</w:t>
      </w:r>
      <w:bookmarkStart w:id="147" w:name="_格式3__银行出具的资信证明"/>
      <w:r/>
      <w:bookmarkStart w:id="148" w:name="_Hlt26955070"/>
      <w:r/>
      <w:bookmarkStart w:id="149" w:name="_Hlt26671380"/>
      <w:r>
        <w:rPr>
          <w:rFonts w:ascii="Times New Roman" w:hAnsi="Times New Roman"/>
          <w:color w:val="auto"/>
          <w:sz w:val="21"/>
          <w:szCs w:val="21"/>
          <w:highlight w:val="none"/>
          <w:u w:val="single"/>
        </w:rPr>
        <w:t xml:space="preserve">                                         </w:t>
      </w:r>
      <w:r/>
    </w:p>
    <w:p>
      <w:pPr>
        <w:pStyle w:val="1330"/>
        <w:ind w:firstLine="42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line="0" w:lineRule="atLeast"/>
        <w:rPr>
          <w:color w:val="auto"/>
          <w:highlight w:val="none"/>
        </w:rPr>
      </w:pPr>
      <w:r>
        <w:rPr>
          <w:color w:val="auto"/>
          <w:highlight w:val="none"/>
        </w:rPr>
        <w:t xml:space="preserve"> </w:t>
      </w:r>
      <w:r/>
    </w:p>
    <w:p>
      <w:pPr>
        <w:pStyle w:val="1330"/>
        <w:ind w:firstLine="3390"/>
        <w:jc w:val="both"/>
        <w:keepLines/>
        <w:keepNext/>
        <w:spacing w:before="260" w:beforeAutospacing="0" w:after="260" w:afterAutospacing="0" w:line="415" w:lineRule="auto"/>
        <w:rPr>
          <w:color w:val="auto"/>
          <w:highlight w:val="none"/>
        </w:rPr>
      </w:pPr>
      <w:r>
        <w:rPr>
          <w:rFonts w:hint="eastAsia" w:ascii="宋体" w:hAnsi="宋体" w:cs="宋体"/>
          <w:b/>
          <w:color w:val="auto"/>
          <w:highlight w:val="none"/>
        </w:rPr>
        <w:br w:type="page" w:clear="all"/>
      </w:r>
      <w:r>
        <w:rPr>
          <w:rFonts w:hint="eastAsia" w:ascii="宋体" w:hAnsi="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r/>
    </w:p>
    <w:p>
      <w:pPr>
        <w:pStyle w:val="133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致：采购人</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根据贵方的JSZC-***</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t xml:space="preserve">号招标文件，正式授权下述签字人_________________(姓名)代表我方______________（投标人的名称），全权处理本次项目投标的有关事宜。</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1.按招标文件规定的各项要求，向买方提供所需货物（包含与货物相关的服务）。</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330"/>
        <w:ind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330"/>
        <w:ind w:left="425"/>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地          址：</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邮          编：</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电          话：</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传          真：</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投标人开户行：</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账          号： </w:t>
      </w:r>
      <w:r/>
    </w:p>
    <w:p>
      <w:pPr>
        <w:pStyle w:val="1330"/>
        <w:ind w:left="420" w:firstLine="480"/>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330"/>
        <w:ind w:firstLine="240"/>
        <w:jc w:val="center"/>
        <w:spacing w:beforeAutospacing="0" w:afterAutospacing="0" w:line="0" w:lineRule="atLeast"/>
        <w:rPr>
          <w:color w:val="auto"/>
          <w:highlight w:val="none"/>
        </w:rPr>
      </w:pPr>
      <w:r>
        <w:rPr>
          <w:color w:val="auto"/>
          <w:highlight w:val="none"/>
        </w:rPr>
        <w:t xml:space="preserve"> </w:t>
      </w:r>
      <w:r/>
    </w:p>
    <w:p>
      <w:pPr>
        <w:pStyle w:val="1330"/>
        <w:ind w:firstLine="240"/>
        <w:jc w:val="center"/>
        <w:spacing w:beforeAutospacing="0" w:afterAutospacing="0" w:line="0" w:lineRule="atLeast"/>
        <w:rPr>
          <w:color w:val="auto"/>
          <w:highlight w:val="none"/>
        </w:rPr>
      </w:pPr>
      <w:r>
        <w:rPr>
          <w:color w:val="auto"/>
          <w:highlight w:val="none"/>
        </w:rPr>
        <w:t xml:space="preserve"> </w:t>
      </w:r>
      <w:r/>
    </w:p>
    <w:p>
      <w:pPr>
        <w:pStyle w:val="1330"/>
        <w:ind w:firstLine="240"/>
        <w:jc w:val="center"/>
        <w:spacing w:beforeAutospacing="0" w:afterAutospacing="0" w:line="0" w:lineRule="atLeast"/>
        <w:rPr>
          <w:color w:val="auto"/>
          <w:highlight w:val="none"/>
        </w:rPr>
      </w:pPr>
      <w:r>
        <w:rPr>
          <w:color w:val="auto"/>
          <w:highlight w:val="none"/>
        </w:rPr>
        <w:t xml:space="preserve"> </w:t>
      </w:r>
      <w:r/>
    </w:p>
    <w:p>
      <w:pPr>
        <w:pStyle w:val="1330"/>
        <w:ind w:firstLine="240"/>
        <w:jc w:val="center"/>
        <w:spacing w:beforeAutospacing="0" w:afterAutospacing="0" w:line="0" w:lineRule="atLeast"/>
        <w:rPr>
          <w:color w:val="auto"/>
          <w:highlight w:val="none"/>
        </w:rPr>
      </w:pPr>
      <w:r>
        <w:rPr>
          <w:color w:val="auto"/>
          <w:highlight w:val="none"/>
        </w:rPr>
        <w:t xml:space="preserve"> </w:t>
      </w:r>
      <w:r/>
    </w:p>
    <w:p>
      <w:pPr>
        <w:pStyle w:val="1330"/>
        <w:ind w:firstLine="240"/>
        <w:jc w:val="center"/>
        <w:spacing w:beforeAutospacing="0" w:afterAutospacing="0" w:line="0" w:lineRule="atLeast"/>
        <w:rPr>
          <w:color w:val="auto"/>
          <w:highlight w:val="none"/>
        </w:rPr>
      </w:pPr>
      <w:r>
        <w:rPr>
          <w:color w:val="auto"/>
          <w:highlight w:val="none"/>
        </w:rPr>
      </w:r>
      <w:r/>
    </w:p>
    <w:p>
      <w:pPr>
        <w:pStyle w:val="1330"/>
        <w:ind w:firstLine="240"/>
        <w:jc w:val="center"/>
        <w:spacing w:beforeAutospacing="0" w:afterAutospacing="0" w:line="0" w:lineRule="atLeast"/>
        <w:rPr>
          <w:color w:val="auto"/>
          <w:highlight w:val="none"/>
        </w:rPr>
      </w:pPr>
      <w:r>
        <w:rPr>
          <w:color w:val="auto"/>
          <w:highlight w:val="none"/>
        </w:rPr>
      </w:r>
      <w:r/>
    </w:p>
    <w:p>
      <w:pPr>
        <w:pStyle w:val="1330"/>
        <w:ind w:firstLine="240"/>
        <w:jc w:val="center"/>
        <w:spacing w:beforeAutospacing="0" w:afterAutospacing="0" w:line="0" w:lineRule="atLeast"/>
        <w:rPr>
          <w:color w:val="auto"/>
          <w:highlight w:val="none"/>
        </w:rPr>
      </w:pPr>
      <w:r>
        <w:rPr>
          <w:color w:val="auto"/>
          <w:highlight w:val="none"/>
        </w:rPr>
      </w:r>
      <w:r/>
    </w:p>
    <w:p>
      <w:pPr>
        <w:pStyle w:val="1330"/>
        <w:ind w:firstLine="240"/>
        <w:jc w:val="center"/>
        <w:spacing w:beforeAutospacing="0" w:afterAutospacing="0" w:line="0" w:lineRule="atLeast"/>
        <w:rPr>
          <w:color w:val="auto"/>
          <w:highlight w:val="none"/>
        </w:rPr>
      </w:pPr>
      <w:r>
        <w:rPr>
          <w:color w:val="auto"/>
          <w:highlight w:val="none"/>
        </w:rPr>
      </w:r>
      <w:r/>
    </w:p>
    <w:p>
      <w:pPr>
        <w:pStyle w:val="1330"/>
        <w:ind w:firstLine="240"/>
        <w:jc w:val="center"/>
        <w:spacing w:beforeAutospacing="0" w:afterAutospacing="0" w:line="0" w:lineRule="atLeast"/>
        <w:rPr>
          <w:color w:val="auto"/>
          <w:highlight w:val="none"/>
        </w:rPr>
      </w:pPr>
      <w:r>
        <w:rPr>
          <w:color w:val="auto"/>
          <w:highlight w:val="none"/>
        </w:rPr>
      </w:r>
      <w:r/>
    </w:p>
    <w:p>
      <w:pPr>
        <w:pStyle w:val="1330"/>
        <w:ind w:firstLine="240"/>
        <w:jc w:val="center"/>
        <w:spacing w:beforeAutospacing="0" w:afterAutospacing="0" w:line="0" w:lineRule="atLeast"/>
        <w:rPr>
          <w:color w:val="auto"/>
          <w:highlight w:val="none"/>
        </w:rPr>
      </w:pPr>
      <w:r>
        <w:rPr>
          <w:color w:val="auto"/>
          <w:highlight w:val="none"/>
        </w:rPr>
        <w:t xml:space="preserve"> </w:t>
      </w:r>
      <w:r/>
    </w:p>
    <w:p>
      <w:pPr>
        <w:pStyle w:val="1154"/>
        <w:ind w:firstLine="240"/>
        <w:jc w:val="center"/>
        <w:spacing w:line="0" w:lineRule="atLeast"/>
        <w:rPr>
          <w:color w:val="auto"/>
          <w:sz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黑体" w:hAnsi="宋体" w:eastAsia="黑体" w:cs="黑体"/>
          <w:b/>
          <w:color w:val="auto"/>
          <w:sz w:val="32"/>
          <w:szCs w:val="32"/>
          <w:highlight w:val="none"/>
        </w:rPr>
        <w:t xml:space="preserve">九、</w:t>
      </w:r>
      <w:r>
        <w:rPr>
          <w:rFonts w:hint="eastAsia" w:ascii="黑体" w:hAnsi="宋体" w:eastAsia="黑体" w:cs="黑体"/>
          <w:b/>
          <w:bCs w:val="0"/>
          <w:color w:val="auto"/>
          <w:sz w:val="32"/>
          <w:szCs w:val="32"/>
          <w:highlight w:val="none"/>
        </w:rPr>
        <w:t xml:space="preserve">中小微企业声明函（货物类项目）（采购包号：**）</w:t>
      </w:r>
      <w:r/>
    </w:p>
    <w:p>
      <w:pPr>
        <w:pStyle w:val="1154"/>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1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15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15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1154"/>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115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1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1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1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154"/>
        <w:ind w:left="540" w:hanging="1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115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133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33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33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33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w:t>
      </w:r>
      <w:r/>
    </w:p>
    <w:p>
      <w:pPr>
        <w:pStyle w:val="1330"/>
        <w:ind w:firstLine="480"/>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项目（分包号：**）采购活动提供本单位制造的货物，或者提供其他残疾人福利性单位制造的货物（不包括使用非残疾人福利性单位注册商标的货物）。</w:t>
      </w:r>
      <w:r/>
    </w:p>
    <w:p>
      <w:pPr>
        <w:pStyle w:val="1330"/>
        <w:ind w:firstLine="480"/>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1330"/>
        <w:ind w:firstLine="48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330"/>
        <w:ind w:firstLine="480"/>
        <w:jc w:val="both"/>
        <w:spacing w:beforeAutospacing="0" w:afterAutospacing="0" w:line="360" w:lineRule="auto"/>
        <w:rPr>
          <w:color w:val="auto"/>
          <w:sz w:val="21"/>
          <w:szCs w:val="21"/>
          <w:highlight w:val="none"/>
        </w:rPr>
      </w:pPr>
      <w:r>
        <w:rPr>
          <w:rFonts w:hint="eastAsia" w:ascii="宋体" w:hAnsi="宋体" w:cs="宋体"/>
          <w:color w:val="auto"/>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330"/>
        <w:ind w:firstLine="624"/>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330"/>
        <w:ind w:right="1560" w:firstLine="624"/>
        <w:jc w:val="center"/>
        <w:spacing w:beforeAutospacing="0" w:afterAutospacing="0" w:line="360" w:lineRule="auto"/>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cs="宋体"/>
          <w:color w:val="auto"/>
          <w:sz w:val="21"/>
          <w:szCs w:val="21"/>
          <w:highlight w:val="none"/>
        </w:rPr>
        <w:t xml:space="preserve">          供应商全称（加盖CA电子公章）：</w:t>
      </w:r>
      <w:r/>
    </w:p>
    <w:p>
      <w:pPr>
        <w:pStyle w:val="1330"/>
        <w:ind w:right="1560" w:firstLine="480"/>
        <w:jc w:val="center"/>
        <w:spacing w:beforeAutospacing="0" w:afterAutospacing="0" w:line="360" w:lineRule="auto"/>
        <w:tabs>
          <w:tab w:val="left" w:pos="4864" w:leader="none"/>
        </w:tabs>
        <w:rPr>
          <w:color w:val="auto"/>
          <w:sz w:val="21"/>
          <w:szCs w:val="21"/>
          <w:highlight w:val="none"/>
        </w:rPr>
      </w:pPr>
      <w:r>
        <w:rPr>
          <w:rFonts w:hint="eastAsia" w:ascii="宋体" w:hAnsi="宋体" w:cs="宋体"/>
          <w:color w:val="auto"/>
          <w:sz w:val="21"/>
          <w:szCs w:val="21"/>
          <w:highlight w:val="none"/>
        </w:rPr>
        <w:t xml:space="preserve">        日  期：</w:t>
      </w:r>
      <w:r/>
    </w:p>
    <w:p>
      <w:pPr>
        <w:pStyle w:val="1330"/>
        <w:jc w:val="center"/>
        <w:spacing w:beforeAutospacing="0" w:afterAutospacing="0" w:line="360" w:lineRule="auto"/>
        <w:rPr>
          <w:color w:val="auto"/>
          <w:sz w:val="21"/>
          <w:szCs w:val="21"/>
          <w:highlight w:val="none"/>
        </w:rPr>
      </w:pPr>
      <w:r>
        <w:rPr>
          <w:color w:val="auto"/>
          <w:sz w:val="21"/>
          <w:szCs w:val="21"/>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t xml:space="preserve"> </w:t>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center"/>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t xml:space="preserve"> </w:t>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330"/>
        <w:jc w:val="both"/>
        <w:spacing w:beforeAutospacing="0" w:afterAutospacing="0" w:line="0" w:lineRule="atLeast"/>
        <w:rPr>
          <w:color w:val="auto"/>
          <w:highlight w:val="none"/>
        </w:rPr>
      </w:pPr>
      <w:r>
        <w:rPr>
          <w:color w:val="auto"/>
          <w:highlight w:val="none"/>
        </w:rPr>
      </w:r>
      <w:r/>
    </w:p>
    <w:p>
      <w:pPr>
        <w:pStyle w:val="115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w:t>
      </w:r>
      <w:r>
        <w:rPr>
          <w:rFonts w:hint="eastAsia" w:ascii="宋体" w:hAnsi="宋体" w:eastAsia="宋体" w:cs="宋体"/>
          <w:b/>
          <w:bCs/>
          <w:color w:val="333333"/>
          <w:sz w:val="30"/>
          <w:szCs w:val="30"/>
          <w:shd w:val="clear" w:color="auto" w:fill="ffffff"/>
        </w:rPr>
        <w:t xml:space="preserve">关于符合本国产品标准的声明函</w:t>
      </w:r>
      <w:r/>
    </w:p>
    <w:p>
      <w:pPr>
        <w:pStyle w:val="115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5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15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15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15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15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5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15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15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5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5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15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15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15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15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15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154"/>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both"/>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1161"/>
        <w:rPr>
          <w:rFonts w:ascii="Arial"/>
          <w:color w:val="auto"/>
          <w:sz w:val="21"/>
          <w:highlight w:val="none"/>
        </w:rPr>
      </w:pPr>
      <w:r>
        <w:rPr>
          <w:rFonts w:ascii="Arial"/>
          <w:color w:val="auto"/>
          <w:sz w:val="21"/>
          <w:highlight w:val="none"/>
        </w:rPr>
      </w:r>
      <w:r/>
    </w:p>
    <w:p>
      <w:pPr>
        <w:pStyle w:val="1154"/>
        <w:jc w:val="both"/>
        <w:spacing w:beforeAutospacing="0" w:afterAutospacing="0" w:line="0" w:lineRule="atLeast"/>
        <w:rPr>
          <w:color w:val="auto"/>
          <w:highlight w:val="none"/>
        </w:rPr>
      </w:pPr>
      <w:r>
        <w:rPr>
          <w:color w:val="auto"/>
          <w:highlight w:val="none"/>
        </w:rPr>
      </w:r>
      <w:r/>
    </w:p>
    <w:p>
      <w:pPr>
        <w:pStyle w:val="133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Start w:id="150" w:name="OLE_LINK22"/>
      <w:r>
        <w:rPr>
          <w:rFonts w:hint="eastAsia" w:ascii="黑体" w:hAnsi="宋体" w:eastAsia="黑体" w:cs="黑体"/>
          <w:b/>
          <w:color w:val="auto"/>
          <w:sz w:val="32"/>
          <w:szCs w:val="32"/>
          <w:highlight w:val="none"/>
        </w:rPr>
        <w:t xml:space="preserve">投标分项报价表（分包号：***）</w:t>
      </w:r>
      <w:r/>
    </w:p>
    <w:tbl>
      <w:tblPr>
        <w:tblStyle w:val="113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both"/>
              <w:spacing w:beforeAutospacing="0" w:afterAutospacing="0" w:line="0" w:lineRule="atLeast"/>
              <w:rPr>
                <w:color w:val="auto"/>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54"/>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5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154"/>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54"/>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154"/>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133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3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33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“投标分项报价表”中“投标总报价”数额应当与“开标一览表”中“投标总报价”数额一致。</w:t>
      </w:r>
      <w:r/>
    </w:p>
    <w:p>
      <w:pPr>
        <w:pStyle w:val="133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150"/>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w:t>
      </w:r>
      <w:bookmarkStart w:id="151" w:name="OLE_LINK25"/>
      <w:r>
        <w:rPr>
          <w:rFonts w:hint="eastAsia" w:ascii="黑体" w:hAnsi="宋体" w:eastAsia="黑体" w:cs="黑体"/>
          <w:b/>
          <w:color w:val="auto"/>
          <w:sz w:val="32"/>
          <w:szCs w:val="32"/>
          <w:highlight w:val="none"/>
        </w:rPr>
        <w:t xml:space="preserve">技术要求响应及偏离表（分包号：**）</w:t>
      </w:r>
      <w:r/>
    </w:p>
    <w:tbl>
      <w:tblPr>
        <w:tblStyle w:val="113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bl>
    <w:p>
      <w:pPr>
        <w:pStyle w:val="1330"/>
        <w:jc w:val="both"/>
        <w:spacing w:beforeAutospacing="0" w:afterAutospacing="0"/>
        <w:rPr>
          <w:color w:val="auto"/>
          <w:highlight w:val="none"/>
        </w:rPr>
      </w:pPr>
      <w:r>
        <w:rPr>
          <w:rFonts w:hint="eastAsia" w:ascii="宋体" w:hAnsi="宋体" w:cs="宋体"/>
          <w:color w:val="auto"/>
          <w:sz w:val="21"/>
          <w:szCs w:val="21"/>
          <w:highlight w:val="none"/>
        </w:rPr>
        <w:t xml:space="preserve">注： 行数不够，可自行添加。</w:t>
      </w:r>
      <w:bookmarkEnd w:id="151"/>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r>
      <w:r/>
    </w:p>
    <w:p>
      <w:pPr>
        <w:pStyle w:val="1330"/>
        <w:jc w:val="both"/>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bookmarkStart w:id="152"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w:t>
      </w:r>
      <w:bookmarkStart w:id="153" w:name="OLE_LINK18"/>
      <w:r/>
      <w:bookmarkStart w:id="154" w:name="OLE_LINK24"/>
      <w:r>
        <w:rPr>
          <w:rFonts w:hint="eastAsia" w:ascii="黑体" w:hAnsi="宋体" w:eastAsia="黑体" w:cs="黑体"/>
          <w:b/>
          <w:color w:val="auto"/>
          <w:sz w:val="32"/>
          <w:szCs w:val="32"/>
          <w:highlight w:val="none"/>
        </w:rPr>
        <w:t xml:space="preserve">商务要求响应及偏离表</w:t>
      </w:r>
      <w:bookmarkEnd w:id="153"/>
      <w:r>
        <w:rPr>
          <w:rFonts w:hint="eastAsia" w:ascii="黑体" w:hAnsi="宋体" w:eastAsia="黑体" w:cs="黑体"/>
          <w:b/>
          <w:color w:val="auto"/>
          <w:sz w:val="32"/>
          <w:szCs w:val="32"/>
          <w:highlight w:val="none"/>
        </w:rPr>
        <w:t xml:space="preserve">（分包号：**）</w:t>
      </w:r>
      <w:r/>
    </w:p>
    <w:tbl>
      <w:tblPr>
        <w:tblStyle w:val="113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bookmarkStart w:id="155" w:name="_Hlt26671343"/>
            <w:r/>
            <w:bookmarkStart w:id="156" w:name="_Hlt26955056"/>
            <w:r/>
            <w:bookmarkStart w:id="157" w:name="_Hlt26782999"/>
            <w:r/>
            <w:bookmarkStart w:id="158" w:name="_Hlt26955064"/>
            <w:r/>
            <w:bookmarkStart w:id="159" w:name="_Hlt26580838"/>
            <w:r/>
            <w:bookmarkStart w:id="160" w:name="_Hlt26609391"/>
            <w:r/>
            <w:bookmarkStart w:id="161" w:name="_Hlt26671372"/>
            <w:r/>
            <w:bookmarkStart w:id="162" w:name="_Hlt24879081"/>
            <w:r/>
            <w:bookmarkStart w:id="163" w:name="OLE_LINK23"/>
            <w:r>
              <w:rPr>
                <w:rFonts w:hint="eastAsia" w:ascii="宋体" w:hAnsi="宋体" w:cs="宋体"/>
                <w:color w:val="auto"/>
                <w:sz w:val="21"/>
                <w:szCs w:val="21"/>
                <w:highlight w:val="none"/>
              </w:rPr>
              <w:t xml:space="preserve">序号</w:t>
            </w:r>
            <w:bookmarkEnd w:id="155"/>
            <w:r/>
            <w:bookmarkEnd w:id="156"/>
            <w:r/>
            <w:bookmarkEnd w:id="157"/>
            <w:r/>
            <w:bookmarkEnd w:id="158"/>
            <w:r/>
            <w:bookmarkEnd w:id="159"/>
            <w:r/>
            <w:bookmarkEnd w:id="160"/>
            <w:r/>
            <w:bookmarkEnd w:id="161"/>
            <w:r/>
            <w:bookmarkEnd w:id="16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330"/>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330"/>
              <w:jc w:val="center"/>
              <w:spacing w:beforeAutospacing="0" w:afterAutospacing="0"/>
              <w:rPr>
                <w:color w:val="auto"/>
                <w:sz w:val="21"/>
                <w:szCs w:val="21"/>
                <w:highlight w:val="none"/>
              </w:rPr>
            </w:pPr>
            <w:r>
              <w:rPr>
                <w:color w:val="auto"/>
                <w:sz w:val="21"/>
                <w:szCs w:val="21"/>
                <w:highlight w:val="none"/>
              </w:rPr>
              <w:t xml:space="preserve"> </w:t>
            </w:r>
            <w:bookmarkEnd w:id="163"/>
            <w:r/>
            <w:r/>
          </w:p>
        </w:tc>
      </w:tr>
    </w:tbl>
    <w:p>
      <w:pPr>
        <w:pStyle w:val="1330"/>
        <w:jc w:val="both"/>
        <w:spacing w:beforeAutospacing="0" w:afterAutospacing="0"/>
        <w:rPr>
          <w:color w:val="auto"/>
          <w:sz w:val="21"/>
          <w:szCs w:val="21"/>
          <w:highlight w:val="none"/>
        </w:rPr>
      </w:pPr>
      <w:r>
        <w:rPr>
          <w:rFonts w:hint="eastAsia" w:ascii="宋体" w:hAnsi="宋体" w:cs="宋体"/>
          <w:color w:val="auto"/>
          <w:sz w:val="21"/>
          <w:szCs w:val="21"/>
          <w:highlight w:val="none"/>
        </w:rPr>
        <w:t xml:space="preserve">注： 行数不够，可自行添加。</w:t>
      </w:r>
      <w:bookmarkEnd w:id="154"/>
      <w:r/>
      <w:r/>
    </w:p>
    <w:p>
      <w:pPr>
        <w:pStyle w:val="1330"/>
        <w:jc w:val="both"/>
        <w:spacing w:beforeAutospacing="0" w:afterAutospacing="0" w:line="480" w:lineRule="auto"/>
        <w:rPr>
          <w:color w:val="auto"/>
          <w:highlight w:val="none"/>
        </w:rPr>
      </w:pPr>
      <w:r>
        <w:rPr>
          <w:color w:val="auto"/>
          <w:sz w:val="21"/>
          <w:szCs w:val="21"/>
          <w:highlight w:val="none"/>
        </w:rPr>
        <w:t xml:space="preserve"> </w:t>
      </w:r>
      <w:r/>
    </w:p>
    <w:p>
      <w:pPr>
        <w:pStyle w:val="1330"/>
        <w:jc w:val="both"/>
        <w:spacing w:beforeAutospacing="0" w:afterAutospacing="0" w:line="480" w:lineRule="auto"/>
        <w:rPr>
          <w:color w:val="auto"/>
          <w:highlight w:val="none"/>
        </w:rPr>
      </w:pPr>
      <w:r>
        <w:rPr>
          <w:color w:val="auto"/>
          <w:highlight w:val="none"/>
        </w:rPr>
        <w:t xml:space="preserve"> </w:t>
      </w:r>
      <w:r/>
    </w:p>
    <w:p>
      <w:pPr>
        <w:pStyle w:val="1330"/>
        <w:jc w:val="center"/>
        <w:spacing w:beforeAutospacing="0" w:afterAutospacing="0"/>
        <w:rPr>
          <w:color w:val="auto"/>
          <w:highlight w:val="none"/>
        </w:rPr>
      </w:pPr>
      <w:r/>
      <w:bookmarkStart w:id="164" w:name="_Hlt26955066"/>
      <w:r/>
      <w:bookmarkStart w:id="165" w:name="_Hlt26609389"/>
      <w:r/>
      <w:bookmarkStart w:id="166" w:name="_格式2__法定代表人授权书"/>
      <w:r/>
      <w:bookmarkStart w:id="167" w:name="_Toc462564146"/>
      <w:r/>
      <w:bookmarkStart w:id="168" w:name="_Hlt26671374"/>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color w:val="auto"/>
          <w:highlight w:val="none"/>
        </w:rPr>
      </w:pPr>
      <w:r>
        <w:rPr>
          <w:color w:val="auto"/>
          <w:highlight w:val="none"/>
        </w:rPr>
        <w:t xml:space="preserve"> </w:t>
      </w:r>
      <w:r/>
    </w:p>
    <w:p>
      <w:pPr>
        <w:pStyle w:val="1330"/>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 </w:t>
      </w:r>
      <w:r/>
    </w:p>
    <w:p>
      <w:pPr>
        <w:ind w:left="0" w:right="0" w:firstLine="0"/>
        <w:jc w:val="center"/>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ind w:left="0" w:right="0" w:firstLine="0"/>
        <w:jc w:val="both"/>
        <w:spacing w:before="240" w:after="240"/>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ind w:left="0" w:right="0" w:firstLine="0"/>
        <w:jc w:val="center"/>
        <w:spacing w:before="240" w:after="240"/>
        <w:rPr>
          <w:rFonts w:ascii="黑体" w:hAnsi="黑体" w:eastAsia="黑体" w:cs="黑体"/>
          <w:b/>
          <w:bCs/>
          <w:i/>
          <w:color w:val="auto"/>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t xml:space="preserve">十</w:t>
      </w:r>
      <w:r>
        <w:rPr>
          <w:rFonts w:hint="eastAsia" w:ascii="黑体" w:hAnsi="黑体" w:eastAsia="黑体" w:cs="黑体"/>
          <w:b/>
          <w:i/>
          <w:color w:val="auto"/>
          <w:sz w:val="32"/>
          <w:highlight w:val="none"/>
          <w:u w:val="single"/>
          <w:lang w:val="en-US" w:eastAsia="zh-CN"/>
        </w:rPr>
        <w:t xml:space="preserve">五</w:t>
      </w:r>
      <w:r>
        <w:rPr>
          <w:rFonts w:ascii="黑体" w:hAnsi="黑体" w:eastAsia="黑体" w:cs="黑体"/>
          <w:b/>
          <w:i/>
          <w:color w:val="auto"/>
          <w:sz w:val="32"/>
          <w:highlight w:val="none"/>
          <w:u w:val="single"/>
        </w:rPr>
        <w:t xml:space="preserve">、开标一览表（总价）</w:t>
      </w:r>
      <w:r/>
    </w:p>
    <w:p>
      <w:pPr>
        <w:pStyle w:val="1154"/>
        <w:ind w:firstLine="0"/>
        <w:jc w:val="both"/>
        <w:spacing w:beforeAutospacing="0" w:afterAutospacing="0" w:line="500" w:lineRule="exact"/>
        <w:rPr>
          <w:color w:val="auto"/>
          <w:highlight w:val="none"/>
        </w:rPr>
      </w:pPr>
      <w:r>
        <w:rPr>
          <w:rFonts w:hint="eastAsia"/>
          <w:color w:val="auto"/>
          <w:highlight w:val="none"/>
        </w:rPr>
        <w:t xml:space="preserve">项目编号 :JSZC-320900-MWGS-G2026-0001</w:t>
      </w:r>
      <w:r>
        <w:rPr>
          <w:rFonts w:hint="eastAsia"/>
          <w:color w:val="auto"/>
          <w:highlight w:val="none"/>
          <w:lang w:val="en-US" w:eastAsia="zh-CN"/>
        </w:rPr>
        <w:t xml:space="preserve"> </w:t>
      </w:r>
      <w:r/>
    </w:p>
    <w:p>
      <w:pPr>
        <w:pStyle w:val="1154"/>
        <w:ind w:firstLine="0"/>
        <w:jc w:val="both"/>
        <w:spacing w:beforeAutospacing="0" w:afterAutospacing="0" w:line="500" w:lineRule="exact"/>
        <w:rPr>
          <w:rFonts w:eastAsia="宋体"/>
          <w:color w:val="auto"/>
          <w:highlight w:val="none"/>
        </w:rPr>
      </w:pPr>
      <w:r>
        <w:rPr>
          <w:color w:val="auto"/>
          <w:highlight w:val="none"/>
        </w:rPr>
        <w:t xml:space="preserve">货币单位：人民币元</w:t>
      </w:r>
      <w:r>
        <w:rPr>
          <w:rFonts w:eastAsia="宋体"/>
          <w:color w:val="auto"/>
          <w:highlight w:val="none"/>
        </w:rPr>
        <w:t xml:space="preserve"> </w:t>
      </w:r>
      <w:r>
        <w:rPr>
          <w:rFonts w:ascii="宋体" w:hAnsi="宋体" w:eastAsia="宋体" w:cs="宋体"/>
          <w:color w:val="auto"/>
          <w:highlight w:val="none"/>
        </w:rPr>
        <w:t xml:space="preserve"> </w:t>
      </w:r>
      <w:r/>
    </w:p>
    <w:tbl>
      <w:tblPr>
        <w:tblStyle w:val="1135"/>
        <w:tblW w:w="8364"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677"/>
        <w:gridCol w:w="2487"/>
        <w:gridCol w:w="3147"/>
      </w:tblGrid>
      <w:tr>
        <w:trPr>
          <w:tblCellSpacing w:w="15" w:type="dxa"/>
        </w:trPr>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3102"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pStyle w:val="1154"/>
              <w:widowControl/>
              <w:rPr>
                <w:color w:val="auto"/>
                <w:highlight w:val="none"/>
              </w:rPr>
            </w:pPr>
            <w:r>
              <w:rPr>
                <w:rFonts w:hint="eastAsia"/>
                <w:color w:val="auto"/>
                <w:highlight w:val="none"/>
                <w:lang w:eastAsia="zh-CN"/>
              </w:rPr>
              <w:t xml:space="preserve">盐城市生态环境监测监控中心应急监测能力提升项目</w:t>
            </w:r>
            <w:r/>
          </w:p>
        </w:tc>
        <w:tc>
          <w:tcPr>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详见投标文件</w:t>
            </w:r>
            <w:r/>
          </w:p>
        </w:tc>
        <w:tc>
          <w:tcPr>
            <w:tcBorders>
              <w:top w:val="single" w:color="auto" w:sz="4" w:space="0"/>
              <w:left w:val="single" w:color="auto" w:sz="4" w:space="0"/>
              <w:bottom w:val="single" w:color="auto" w:sz="4" w:space="0"/>
              <w:right w:val="single" w:color="auto" w:sz="4" w:space="0"/>
            </w:tcBorders>
            <w:tcW w:w="3102"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7620" b="0"/>
                      <wp:docPr id="14"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auto"/>
                <w:sz w:val="24"/>
                <w:highlight w:val="none"/>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金额大写  </w:t>
            </w:r>
            <w:r/>
          </w:p>
        </w:tc>
      </w:tr>
    </w:tbl>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 </w:t>
      </w:r>
      <w:r/>
    </w:p>
    <w:p>
      <w:pPr>
        <w:pStyle w:val="1154"/>
        <w:ind w:firstLine="482"/>
        <w:jc w:val="both"/>
        <w:spacing w:beforeAutospacing="0" w:afterAutospacing="0" w:line="500" w:lineRule="exact"/>
        <w:rPr>
          <w:rFonts w:eastAsia="宋体"/>
          <w:color w:val="auto"/>
          <w:highlight w:val="none"/>
        </w:rPr>
      </w:pPr>
      <w:r>
        <w:rPr>
          <w:rFonts w:eastAsia="宋体"/>
          <w:color w:val="auto"/>
          <w:highlight w:val="none"/>
        </w:rPr>
      </w:r>
      <w:r/>
    </w:p>
    <w:p>
      <w:pPr>
        <w:pStyle w:val="1154"/>
        <w:ind w:firstLine="480"/>
        <w:jc w:val="both"/>
        <w:spacing w:beforeAutospacing="0" w:afterAutospacing="0"/>
        <w:rPr>
          <w:color w:val="auto"/>
          <w:highlight w:val="none"/>
        </w:rPr>
      </w:pPr>
      <w:r>
        <w:rPr>
          <w:rFonts w:hint="eastAsia"/>
          <w:color w:val="auto"/>
          <w:highlight w:val="none"/>
        </w:rPr>
        <w:t xml:space="preserve">   </w:t>
      </w:r>
      <w:r/>
    </w:p>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投标人公章：           （电子签章）</w:t>
      </w:r>
      <w:r/>
    </w:p>
    <w:p>
      <w:pPr>
        <w:jc w:val="righ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 </w:t>
      </w:r>
      <w:r/>
    </w:p>
    <w:p>
      <w:pPr>
        <w:jc w:val="righ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 </w:t>
      </w:r>
      <w:r/>
    </w:p>
    <w:p>
      <w:pPr>
        <w:jc w:val="righ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日期：</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7620" b="0"/>
                <wp:docPr id="15"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auto"/>
          <w:sz w:val="24"/>
          <w:highlight w:val="none"/>
        </w:rPr>
        <w:t xml:space="preserve"> 年</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7620" b="0"/>
                <wp:docPr id="16"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auto"/>
          <w:sz w:val="24"/>
          <w:highlight w:val="none"/>
        </w:rPr>
        <w:t xml:space="preserve"> 月</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7620" b="0"/>
                <wp:docPr id="17"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auto"/>
          <w:sz w:val="24"/>
          <w:highlight w:val="none"/>
        </w:rPr>
        <w:t xml:space="preserve"> 日</w:t>
      </w:r>
      <w:r/>
    </w:p>
    <w:p>
      <w:pPr>
        <w:pStyle w:val="1330"/>
        <w:ind w:firstLine="48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30"/>
        <w:ind w:firstLine="48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30"/>
        <w:ind w:firstLine="480"/>
        <w:jc w:val="both"/>
        <w:spacing w:beforeAutospacing="0" w:afterAutospacing="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30"/>
        <w:ind w:firstLine="480"/>
        <w:jc w:val="both"/>
        <w:spacing w:beforeAutospacing="0" w:afterAutospacing="0"/>
        <w:rPr>
          <w:color w:val="auto"/>
          <w:highlight w:val="none"/>
        </w:rPr>
      </w:pPr>
      <w:r>
        <w:rPr>
          <w:color w:val="auto"/>
          <w:highlight w:val="none"/>
        </w:rPr>
      </w:r>
      <w:r/>
    </w:p>
    <w:p>
      <w:pPr>
        <w:pStyle w:val="1330"/>
        <w:ind w:firstLine="480"/>
        <w:jc w:val="both"/>
        <w:spacing w:beforeAutospacing="0" w:afterAutospacing="0"/>
        <w:rPr>
          <w:color w:val="auto"/>
          <w:highlight w:val="none"/>
        </w:rPr>
      </w:pPr>
      <w:r>
        <w:rPr>
          <w:color w:val="auto"/>
          <w:highlight w:val="none"/>
        </w:rPr>
      </w:r>
      <w:r/>
    </w:p>
    <w:p>
      <w:pPr>
        <w:pStyle w:val="1330"/>
        <w:ind w:firstLine="480"/>
        <w:jc w:val="both"/>
        <w:spacing w:beforeAutospacing="0" w:afterAutospacing="0"/>
        <w:rPr>
          <w:color w:val="auto"/>
          <w:highlight w:val="none"/>
        </w:rPr>
      </w:pPr>
      <w:r>
        <w:rPr>
          <w:color w:val="auto"/>
          <w:highlight w:val="none"/>
        </w:rPr>
      </w:r>
      <w:r/>
    </w:p>
    <w:p>
      <w:pPr>
        <w:pStyle w:val="1330"/>
        <w:ind w:firstLine="480"/>
        <w:jc w:val="both"/>
        <w:spacing w:beforeAutospacing="0" w:afterAutospacing="0"/>
        <w:rPr>
          <w:color w:val="auto"/>
          <w:highlight w:val="none"/>
        </w:rPr>
      </w:pPr>
      <w:r>
        <w:rPr>
          <w:color w:val="auto"/>
          <w:highlight w:val="none"/>
        </w:rPr>
        <w:t xml:space="preserve"> </w:t>
      </w:r>
      <w:r/>
    </w:p>
    <w:p>
      <w:pPr>
        <w:pStyle w:val="1330"/>
        <w:ind w:firstLine="48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color w:val="auto"/>
          <w:highlight w:val="none"/>
        </w:rPr>
      </w:pPr>
      <w:r>
        <w:rPr>
          <w:color w:val="auto"/>
          <w:highlight w:val="none"/>
        </w:rPr>
        <w:t xml:space="preserve"> </w:t>
      </w:r>
      <w:r/>
    </w:p>
    <w:p>
      <w:pPr>
        <w:pStyle w:val="1330"/>
        <w:jc w:val="both"/>
        <w:spacing w:beforeAutospacing="0" w:afterAutospacing="0"/>
        <w:rPr>
          <w:rFonts w:hint="eastAsia" w:ascii="宋体" w:hAnsi="宋体" w:cs="宋体"/>
          <w:color w:val="auto"/>
          <w:highlight w:val="none"/>
        </w:rPr>
      </w:pPr>
      <w:r>
        <w:rPr>
          <w:rFonts w:hint="eastAsia" w:ascii="宋体" w:hAnsi="宋体" w:cs="宋体"/>
          <w:color w:val="auto"/>
          <w:highlight w:val="none"/>
        </w:rPr>
        <w:t xml:space="preserve">             </w:t>
      </w:r>
      <w:r/>
    </w:p>
    <w:p>
      <w:pPr>
        <w:pStyle w:val="1330"/>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pStyle w:val="1330"/>
        <w:jc w:val="both"/>
        <w:spacing w:beforeAutospacing="0" w:afterAutospacing="0"/>
        <w:rPr>
          <w:color w:val="auto"/>
          <w:highlight w:val="none"/>
        </w:rPr>
      </w:pPr>
      <w:r>
        <w:rPr>
          <w:rFonts w:hint="eastAsia" w:ascii="宋体" w:hAnsi="宋体" w:cs="宋体"/>
          <w:color w:val="auto"/>
          <w:highlight w:val="none"/>
        </w:rPr>
        <w:t xml:space="preserve">                        </w:t>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before="50" w:after="50"/>
        <w:widowControl/>
        <w:rPr>
          <w:rFonts w:hint="eastAsia" w:ascii="宋体" w:hAnsi="宋体" w:cs="宋体"/>
          <w:color w:val="auto"/>
          <w:sz w:val="32"/>
          <w:szCs w:val="32"/>
          <w:highlight w:val="none"/>
        </w:rPr>
      </w:pPr>
      <w:r>
        <w:rPr>
          <w:color w:val="auto"/>
          <w:highlight w:val="none"/>
        </w:rPr>
        <w:tab/>
      </w:r>
      <w:r>
        <w:rPr>
          <w:rFonts w:hint="eastAsia" w:ascii="宋体" w:hAnsi="宋体" w:cs="宋体"/>
          <w:color w:val="auto"/>
          <w:sz w:val="32"/>
          <w:szCs w:val="32"/>
          <w:highlight w:val="none"/>
        </w:rPr>
        <w:t xml:space="preserve">十</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、技术方案、服务承诺、培训承诺等</w:t>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54"/>
        <w:jc w:val="center"/>
        <w:spacing w:beforeAutospacing="0" w:afterAutospacing="0"/>
        <w:rPr>
          <w:b/>
          <w:bCs/>
          <w:color w:val="auto"/>
          <w:sz w:val="32"/>
          <w:szCs w:val="32"/>
          <w:highlight w:val="none"/>
        </w:rPr>
      </w:pPr>
      <w:r>
        <w:rPr>
          <w:rFonts w:hint="eastAsia" w:ascii="宋体" w:hAnsi="宋体" w:cs="宋体"/>
          <w:color w:val="auto"/>
          <w:sz w:val="32"/>
          <w:szCs w:val="32"/>
          <w:highlight w:val="none"/>
        </w:rPr>
        <w:t xml:space="preserve">十</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w:t>
      </w:r>
      <w:r>
        <w:rPr>
          <w:b/>
          <w:bCs/>
          <w:color w:val="auto"/>
          <w:sz w:val="32"/>
          <w:highlight w:val="none"/>
        </w:rPr>
        <w:t xml:space="preserve">投标人认为需要提供的其他材料</w:t>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24"/>
          <w:highlight w:val="none"/>
        </w:rPr>
      </w:pPr>
      <w:r>
        <w:rPr>
          <w:rFonts w:hint="eastAsia" w:ascii="宋体" w:hAnsi="宋体" w:cs="宋体"/>
          <w:color w:val="auto"/>
          <w:sz w:val="32"/>
          <w:szCs w:val="32"/>
          <w:highlight w:val="none"/>
          <w:lang w:val="en-US" w:eastAsia="zh-CN"/>
        </w:rPr>
        <w:t xml:space="preserve">十八、</w:t>
      </w:r>
      <w:r>
        <w:rPr>
          <w:rFonts w:hint="eastAsia" w:ascii="宋体" w:hAnsi="宋体" w:cs="宋体"/>
          <w:color w:val="auto"/>
          <w:sz w:val="32"/>
          <w:szCs w:val="32"/>
          <w:highlight w:val="none"/>
        </w:rPr>
        <w:t xml:space="preserve">盐城市政府采购事前信用承诺书 </w:t>
      </w:r>
      <w:r/>
    </w:p>
    <w:p>
      <w:pPr>
        <w:ind w:firstLine="480"/>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法定代表人签名：</w:t>
      </w:r>
      <w:r/>
    </w:p>
    <w:p>
      <w:pPr>
        <w:jc w:val="center"/>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单位名称（盖章）：</w:t>
      </w:r>
      <w:r/>
    </w:p>
    <w:p>
      <w:pPr>
        <w:jc w:val="center"/>
        <w:spacing w:line="499"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年月日</w:t>
      </w:r>
      <w:bookmarkEnd w:id="6"/>
      <w:r/>
      <w:bookmarkEnd w:id="53"/>
      <w:r/>
      <w:bookmarkEnd w:id="100"/>
      <w:r/>
      <w:bookmarkEnd w:id="101"/>
      <w:r/>
      <w:bookmarkEnd w:id="102"/>
      <w:r/>
      <w:bookmarkEnd w:id="103"/>
      <w:r/>
      <w:bookmarkEnd w:id="104"/>
      <w:r/>
      <w:bookmarkEnd w:id="105"/>
      <w:r/>
      <w:bookmarkEnd w:id="106"/>
      <w:r/>
      <w:bookmarkEnd w:id="107"/>
      <w:r/>
      <w:bookmarkEnd w:id="123"/>
      <w:r/>
      <w:bookmarkEnd w:id="124"/>
      <w:r/>
      <w:bookmarkEnd w:id="125"/>
      <w:r/>
      <w:bookmarkEnd w:id="126"/>
      <w:r/>
      <w:bookmarkEnd w:id="138"/>
      <w:r/>
      <w:bookmarkEnd w:id="143"/>
      <w:r/>
      <w:bookmarkEnd w:id="144"/>
      <w:r/>
      <w:bookmarkEnd w:id="145"/>
      <w:r/>
      <w:bookmarkEnd w:id="146"/>
      <w:r/>
      <w:bookmarkEnd w:id="147"/>
      <w:r/>
      <w:bookmarkEnd w:id="148"/>
      <w:r/>
      <w:bookmarkEnd w:id="149"/>
      <w:r/>
      <w:bookmarkEnd w:id="152"/>
      <w:r/>
      <w:bookmarkEnd w:id="164"/>
      <w:r/>
      <w:bookmarkEnd w:id="165"/>
      <w:r/>
      <w:bookmarkEnd w:id="166"/>
      <w:r/>
      <w:bookmarkEnd w:id="167"/>
      <w:r/>
      <w:bookmarkEnd w:id="168"/>
      <w:r/>
      <w:r/>
    </w:p>
    <w:p>
      <w:pPr>
        <w:pStyle w:val="1330"/>
        <w:jc w:val="center"/>
        <w:spacing w:beforeAutospacing="0" w:afterAutospacing="0"/>
        <w:rPr>
          <w:color w:val="auto"/>
          <w:sz w:val="21"/>
          <w:szCs w:val="21"/>
          <w:highlight w:val="none"/>
        </w:rPr>
      </w:pPr>
      <w:r>
        <w:rPr>
          <w:color w:val="auto"/>
          <w:sz w:val="21"/>
          <w:szCs w:val="21"/>
          <w:highlight w:val="none"/>
        </w:rPr>
      </w:r>
      <w:r/>
    </w:p>
    <w:p>
      <w:pPr>
        <w:jc w:val="center"/>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3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1330"/>
        <w:jc w:val="both"/>
        <w:spacing w:before="290"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133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133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1330"/>
        <w:jc w:val="both"/>
        <w:spacing w:beforeAutospacing="0" w:afterAutospacing="0"/>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1330"/>
        <w:jc w:val="both"/>
        <w:spacing w:beforeAutospacing="0" w:afterAutospacing="0" w:line="0" w:lineRule="atLeas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1330"/>
        <w:ind w:firstLine="480"/>
        <w:spacing w:beforeAutospacing="0" w:afterAutospacing="0" w:line="0" w:lineRule="atLeast"/>
        <w:widowControl/>
        <w:rPr>
          <w:rFonts w:hint="eastAsia"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even" r:id="rId9"/>
      <w:headerReference w:type="first" r:id="rId10"/>
      <w:footerReference w:type="default" r:id="rId12"/>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华文中宋">
    <w:panose1 w:val="02010600040101010101"/>
  </w:font>
  <w:font w:name="黑体">
    <w:panose1 w:val="02010609060101010101"/>
  </w:font>
  <w:font w:name="方正仿宋简体">
    <w:panose1 w:val="020B0503020202020204"/>
  </w:font>
  <w:font w:name="Cambria">
    <w:panose1 w:val="02040503050406030204"/>
  </w:font>
  <w:font w:name="方正仿宋_GBK">
    <w:panose1 w:val="020B0503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101</w:t>
    </w:r>
    <w:r>
      <w:rPr>
        <w:b/>
        <w:sz w:val="24"/>
        <w:szCs w:val="24"/>
      </w:rPr>
      <w:fldChar w:fldCharType="end"/>
    </w:r>
    <w:r/>
  </w:p>
  <w:p>
    <w:pPr>
      <w:pStyle w:val="13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4" w:default="1">
    <w:name w:val="Normal"/>
    <w:link w:val="1323"/>
    <w:uiPriority w:val="0"/>
    <w:qFormat/>
    <w:pPr>
      <w:jc w:val="both"/>
      <w:widowControl w:val="off"/>
    </w:pPr>
    <w:rPr>
      <w:rFonts w:hint="default" w:ascii="Calibri" w:hAnsi="Calibri" w:eastAsia="宋体" w:cs="Times New Roman"/>
      <w:sz w:val="21"/>
      <w:szCs w:val="24"/>
      <w:lang w:val="en-US" w:eastAsia="zh-CN" w:bidi="ar-SA"/>
    </w:rPr>
  </w:style>
  <w:style w:type="paragraph" w:styleId="1125">
    <w:name w:val="Heading 1"/>
    <w:basedOn w:val="1124"/>
    <w:next w:val="1124"/>
    <w:link w:val="1162"/>
    <w:uiPriority w:val="9"/>
    <w:qFormat/>
    <w:pPr>
      <w:keepLines/>
      <w:keepNext/>
      <w:spacing w:before="480" w:after="200"/>
      <w:outlineLvl w:val="0"/>
    </w:pPr>
    <w:rPr>
      <w:rFonts w:ascii="Arial" w:hAnsi="Arial" w:eastAsia="Arial" w:cs="Arial"/>
      <w:sz w:val="40"/>
      <w:szCs w:val="40"/>
    </w:rPr>
  </w:style>
  <w:style w:type="paragraph" w:styleId="1126">
    <w:name w:val="Heading 2"/>
    <w:basedOn w:val="1124"/>
    <w:next w:val="1124"/>
    <w:link w:val="1163"/>
    <w:uiPriority w:val="9"/>
    <w:unhideWhenUsed/>
    <w:qFormat/>
    <w:pPr>
      <w:keepLines/>
      <w:keepNext/>
      <w:spacing w:before="360" w:after="200"/>
      <w:outlineLvl w:val="1"/>
    </w:pPr>
    <w:rPr>
      <w:rFonts w:ascii="Arial" w:hAnsi="Arial" w:eastAsia="Arial" w:cs="Arial"/>
      <w:sz w:val="34"/>
    </w:rPr>
  </w:style>
  <w:style w:type="paragraph" w:styleId="1127">
    <w:name w:val="Heading 3"/>
    <w:basedOn w:val="1124"/>
    <w:next w:val="1124"/>
    <w:link w:val="1164"/>
    <w:uiPriority w:val="9"/>
    <w:unhideWhenUsed/>
    <w:qFormat/>
    <w:pPr>
      <w:keepLines/>
      <w:keepNext/>
      <w:spacing w:before="320" w:after="200"/>
      <w:outlineLvl w:val="2"/>
    </w:pPr>
    <w:rPr>
      <w:rFonts w:ascii="Arial" w:hAnsi="Arial" w:eastAsia="Arial" w:cs="Arial"/>
      <w:sz w:val="30"/>
      <w:szCs w:val="30"/>
    </w:rPr>
  </w:style>
  <w:style w:type="paragraph" w:styleId="1128">
    <w:name w:val="Heading 4"/>
    <w:basedOn w:val="1124"/>
    <w:next w:val="1124"/>
    <w:link w:val="1165"/>
    <w:uiPriority w:val="9"/>
    <w:unhideWhenUsed/>
    <w:qFormat/>
    <w:pPr>
      <w:keepLines/>
      <w:keepNext/>
      <w:spacing w:before="320" w:after="200"/>
      <w:outlineLvl w:val="3"/>
    </w:pPr>
    <w:rPr>
      <w:rFonts w:ascii="Arial" w:hAnsi="Arial" w:eastAsia="Arial" w:cs="Arial"/>
      <w:b/>
      <w:bCs/>
      <w:sz w:val="26"/>
      <w:szCs w:val="26"/>
    </w:rPr>
  </w:style>
  <w:style w:type="paragraph" w:styleId="1129">
    <w:name w:val="Heading 5"/>
    <w:basedOn w:val="1124"/>
    <w:next w:val="1124"/>
    <w:link w:val="1166"/>
    <w:uiPriority w:val="9"/>
    <w:unhideWhenUsed/>
    <w:qFormat/>
    <w:pPr>
      <w:keepLines/>
      <w:keepNext/>
      <w:spacing w:before="320" w:after="200"/>
      <w:outlineLvl w:val="4"/>
    </w:pPr>
    <w:rPr>
      <w:rFonts w:ascii="Arial" w:hAnsi="Arial" w:eastAsia="Arial" w:cs="Arial"/>
      <w:b/>
      <w:bCs/>
      <w:sz w:val="24"/>
      <w:szCs w:val="24"/>
    </w:rPr>
  </w:style>
  <w:style w:type="paragraph" w:styleId="1130">
    <w:name w:val="Heading 6"/>
    <w:basedOn w:val="1124"/>
    <w:next w:val="1124"/>
    <w:link w:val="1167"/>
    <w:uiPriority w:val="9"/>
    <w:unhideWhenUsed/>
    <w:qFormat/>
    <w:pPr>
      <w:keepLines/>
      <w:keepNext/>
      <w:spacing w:before="320" w:after="200"/>
      <w:outlineLvl w:val="5"/>
    </w:pPr>
    <w:rPr>
      <w:rFonts w:ascii="Arial" w:hAnsi="Arial" w:eastAsia="Arial" w:cs="Arial"/>
      <w:b/>
      <w:bCs/>
      <w:sz w:val="22"/>
      <w:szCs w:val="22"/>
    </w:rPr>
  </w:style>
  <w:style w:type="paragraph" w:styleId="1131">
    <w:name w:val="Heading 7"/>
    <w:basedOn w:val="1124"/>
    <w:next w:val="1124"/>
    <w:link w:val="1168"/>
    <w:uiPriority w:val="9"/>
    <w:unhideWhenUsed/>
    <w:qFormat/>
    <w:pPr>
      <w:keepLines/>
      <w:keepNext/>
      <w:spacing w:before="320" w:after="200"/>
      <w:outlineLvl w:val="6"/>
    </w:pPr>
    <w:rPr>
      <w:rFonts w:ascii="Arial" w:hAnsi="Arial" w:eastAsia="Arial" w:cs="Arial"/>
      <w:b/>
      <w:bCs/>
      <w:i/>
      <w:iCs/>
      <w:sz w:val="22"/>
      <w:szCs w:val="22"/>
    </w:rPr>
  </w:style>
  <w:style w:type="paragraph" w:styleId="1132">
    <w:name w:val="Heading 8"/>
    <w:basedOn w:val="1124"/>
    <w:next w:val="1124"/>
    <w:link w:val="1169"/>
    <w:uiPriority w:val="9"/>
    <w:unhideWhenUsed/>
    <w:qFormat/>
    <w:pPr>
      <w:keepLines/>
      <w:keepNext/>
      <w:spacing w:before="320" w:after="200"/>
      <w:outlineLvl w:val="7"/>
    </w:pPr>
    <w:rPr>
      <w:rFonts w:ascii="Arial" w:hAnsi="Arial" w:eastAsia="Arial" w:cs="Arial"/>
      <w:i/>
      <w:iCs/>
      <w:sz w:val="22"/>
      <w:szCs w:val="22"/>
    </w:rPr>
  </w:style>
  <w:style w:type="paragraph" w:styleId="1133">
    <w:name w:val="Heading 9"/>
    <w:basedOn w:val="1124"/>
    <w:next w:val="1124"/>
    <w:link w:val="1170"/>
    <w:uiPriority w:val="9"/>
    <w:unhideWhenUsed/>
    <w:qFormat/>
    <w:pPr>
      <w:keepLines/>
      <w:keepNext/>
      <w:spacing w:before="320" w:after="200"/>
      <w:outlineLvl w:val="8"/>
    </w:pPr>
    <w:rPr>
      <w:rFonts w:ascii="Arial" w:hAnsi="Arial" w:eastAsia="Arial" w:cs="Arial"/>
      <w:i/>
      <w:iCs/>
      <w:sz w:val="21"/>
      <w:szCs w:val="21"/>
    </w:rPr>
  </w:style>
  <w:style w:type="character" w:styleId="1134" w:default="1">
    <w:name w:val="Default Paragraph Font"/>
    <w:uiPriority w:val="1"/>
    <w:semiHidden/>
    <w:unhideWhenUsed/>
    <w:qFormat/>
  </w:style>
  <w:style w:type="table" w:styleId="1135" w:default="1">
    <w:name w:val="Normal Table"/>
    <w:uiPriority w:val="99"/>
    <w:semiHidden/>
    <w:unhideWhenUsed/>
    <w:qFormat/>
    <w:tblPr>
      <w:tblCellMar>
        <w:left w:w="108" w:type="dxa"/>
        <w:top w:w="0" w:type="dxa"/>
        <w:right w:w="108" w:type="dxa"/>
        <w:bottom w:w="0" w:type="dxa"/>
      </w:tblCellMar>
    </w:tblPr>
  </w:style>
  <w:style w:type="paragraph" w:styleId="1136">
    <w:name w:val="toc 7"/>
    <w:basedOn w:val="1124"/>
    <w:next w:val="1124"/>
    <w:uiPriority w:val="39"/>
    <w:unhideWhenUsed/>
    <w:qFormat/>
    <w:pPr>
      <w:ind w:left="1701" w:right="0" w:firstLine="0"/>
      <w:spacing w:after="57"/>
    </w:pPr>
  </w:style>
  <w:style w:type="paragraph" w:styleId="1137">
    <w:name w:val="Caption"/>
    <w:basedOn w:val="1124"/>
    <w:next w:val="11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38">
    <w:name w:val="Body Text Indent"/>
    <w:basedOn w:val="1124"/>
    <w:uiPriority w:val="99"/>
    <w:qFormat/>
    <w:pPr>
      <w:ind w:left="420"/>
      <w:spacing w:after="120"/>
    </w:pPr>
  </w:style>
  <w:style w:type="paragraph" w:styleId="1139">
    <w:name w:val="toc 5"/>
    <w:basedOn w:val="1124"/>
    <w:next w:val="1124"/>
    <w:uiPriority w:val="39"/>
    <w:unhideWhenUsed/>
    <w:qFormat/>
    <w:pPr>
      <w:ind w:left="1134" w:right="0" w:firstLine="0"/>
      <w:spacing w:after="57"/>
    </w:pPr>
  </w:style>
  <w:style w:type="paragraph" w:styleId="1140">
    <w:name w:val="toc 3"/>
    <w:basedOn w:val="1124"/>
    <w:next w:val="1124"/>
    <w:uiPriority w:val="39"/>
    <w:unhideWhenUsed/>
    <w:qFormat/>
    <w:pPr>
      <w:ind w:left="567" w:right="0" w:firstLine="0"/>
      <w:spacing w:after="57"/>
    </w:pPr>
  </w:style>
  <w:style w:type="paragraph" w:styleId="1141">
    <w:name w:val="toc 8"/>
    <w:basedOn w:val="1124"/>
    <w:next w:val="1124"/>
    <w:uiPriority w:val="39"/>
    <w:unhideWhenUsed/>
    <w:qFormat/>
    <w:pPr>
      <w:ind w:left="1984" w:right="0" w:firstLine="0"/>
      <w:spacing w:after="57"/>
    </w:pPr>
  </w:style>
  <w:style w:type="paragraph" w:styleId="1142">
    <w:name w:val="endnote text"/>
    <w:basedOn w:val="1124"/>
    <w:link w:val="1308"/>
    <w:uiPriority w:val="99"/>
    <w:semiHidden/>
    <w:unhideWhenUsed/>
    <w:qFormat/>
    <w:pPr>
      <w:spacing w:after="0" w:line="240" w:lineRule="auto"/>
    </w:pPr>
    <w:rPr>
      <w:sz w:val="20"/>
    </w:rPr>
  </w:style>
  <w:style w:type="paragraph" w:styleId="1143">
    <w:name w:val="Footer"/>
    <w:basedOn w:val="1124"/>
    <w:link w:val="1181"/>
    <w:uiPriority w:val="99"/>
    <w:unhideWhenUsed/>
    <w:qFormat/>
    <w:pPr>
      <w:spacing w:after="0" w:line="240" w:lineRule="auto"/>
      <w:tabs>
        <w:tab w:val="center" w:pos="7143" w:leader="none"/>
        <w:tab w:val="right" w:pos="14287" w:leader="none"/>
      </w:tabs>
    </w:pPr>
  </w:style>
  <w:style w:type="paragraph" w:styleId="1144">
    <w:name w:val="Header"/>
    <w:basedOn w:val="1124"/>
    <w:link w:val="1179"/>
    <w:uiPriority w:val="99"/>
    <w:unhideWhenUsed/>
    <w:qFormat/>
    <w:pPr>
      <w:spacing w:after="0" w:line="240" w:lineRule="auto"/>
      <w:tabs>
        <w:tab w:val="center" w:pos="7143" w:leader="none"/>
        <w:tab w:val="right" w:pos="14287" w:leader="none"/>
      </w:tabs>
    </w:pPr>
  </w:style>
  <w:style w:type="paragraph" w:styleId="1145">
    <w:name w:val="toc 1"/>
    <w:basedOn w:val="1124"/>
    <w:next w:val="1124"/>
    <w:uiPriority w:val="39"/>
    <w:unhideWhenUsed/>
    <w:qFormat/>
    <w:pPr>
      <w:ind w:left="0" w:right="0" w:firstLine="0"/>
      <w:spacing w:after="57"/>
    </w:pPr>
  </w:style>
  <w:style w:type="paragraph" w:styleId="1146">
    <w:name w:val="toc 4"/>
    <w:basedOn w:val="1124"/>
    <w:next w:val="1124"/>
    <w:uiPriority w:val="39"/>
    <w:unhideWhenUsed/>
    <w:qFormat/>
    <w:pPr>
      <w:ind w:left="850" w:right="0" w:firstLine="0"/>
      <w:spacing w:after="57"/>
    </w:pPr>
  </w:style>
  <w:style w:type="paragraph" w:styleId="1147">
    <w:name w:val="Subtitle"/>
    <w:basedOn w:val="1124"/>
    <w:next w:val="1124"/>
    <w:link w:val="1174"/>
    <w:uiPriority w:val="11"/>
    <w:qFormat/>
    <w:pPr>
      <w:spacing w:before="200" w:after="200"/>
    </w:pPr>
    <w:rPr>
      <w:sz w:val="24"/>
      <w:szCs w:val="24"/>
    </w:rPr>
  </w:style>
  <w:style w:type="paragraph" w:styleId="1148">
    <w:name w:val="footnote text"/>
    <w:basedOn w:val="1124"/>
    <w:link w:val="1307"/>
    <w:uiPriority w:val="99"/>
    <w:semiHidden/>
    <w:unhideWhenUsed/>
    <w:qFormat/>
    <w:pPr>
      <w:spacing w:after="40" w:line="240" w:lineRule="auto"/>
    </w:pPr>
    <w:rPr>
      <w:sz w:val="18"/>
    </w:rPr>
  </w:style>
  <w:style w:type="paragraph" w:styleId="1149">
    <w:name w:val="toc 6"/>
    <w:basedOn w:val="1124"/>
    <w:next w:val="1124"/>
    <w:uiPriority w:val="39"/>
    <w:unhideWhenUsed/>
    <w:qFormat/>
    <w:pPr>
      <w:ind w:left="1417" w:right="0" w:firstLine="0"/>
      <w:spacing w:after="57"/>
    </w:pPr>
  </w:style>
  <w:style w:type="paragraph" w:styleId="1150">
    <w:name w:val="index 9"/>
    <w:basedOn w:val="1124"/>
    <w:next w:val="1124"/>
    <w:uiPriority w:val="99"/>
    <w:unhideWhenUsed/>
    <w:qFormat/>
    <w:pPr>
      <w:ind w:left="1600"/>
    </w:pPr>
  </w:style>
  <w:style w:type="paragraph" w:styleId="1151">
    <w:name w:val="table of figures"/>
    <w:basedOn w:val="1124"/>
    <w:next w:val="1124"/>
    <w:uiPriority w:val="99"/>
    <w:unhideWhenUsed/>
    <w:qFormat/>
    <w:pPr>
      <w:spacing w:after="0" w:afterAutospacing="0"/>
    </w:pPr>
  </w:style>
  <w:style w:type="paragraph" w:styleId="1152">
    <w:name w:val="toc 2"/>
    <w:basedOn w:val="1124"/>
    <w:next w:val="1124"/>
    <w:uiPriority w:val="39"/>
    <w:unhideWhenUsed/>
    <w:qFormat/>
    <w:pPr>
      <w:ind w:left="283" w:right="0" w:firstLine="0"/>
      <w:spacing w:after="57"/>
    </w:pPr>
  </w:style>
  <w:style w:type="paragraph" w:styleId="1153">
    <w:name w:val="toc 9"/>
    <w:basedOn w:val="1124"/>
    <w:next w:val="1124"/>
    <w:uiPriority w:val="39"/>
    <w:unhideWhenUsed/>
    <w:qFormat/>
    <w:pPr>
      <w:ind w:left="2268" w:right="0" w:firstLine="0"/>
      <w:spacing w:after="57"/>
    </w:pPr>
  </w:style>
  <w:style w:type="paragraph" w:styleId="1154">
    <w:name w:val="Normal (Web)"/>
    <w:basedOn w:val="1124"/>
    <w:uiPriority w:val="99"/>
    <w:semiHidden/>
    <w:unhideWhenUsed/>
    <w:qFormat/>
    <w:pPr>
      <w:ind w:left="0" w:right="0"/>
      <w:jc w:val="left"/>
      <w:spacing w:before="0" w:beforeAutospacing="1" w:after="0" w:afterAutospacing="1"/>
    </w:pPr>
    <w:rPr>
      <w:sz w:val="24"/>
      <w:lang w:val="en-US" w:eastAsia="zh-CN" w:bidi="ar"/>
    </w:rPr>
  </w:style>
  <w:style w:type="paragraph" w:styleId="1155">
    <w:name w:val="Title"/>
    <w:basedOn w:val="1124"/>
    <w:next w:val="1124"/>
    <w:link w:val="1173"/>
    <w:uiPriority w:val="10"/>
    <w:qFormat/>
    <w:pPr>
      <w:contextualSpacing/>
      <w:spacing w:before="300" w:after="200"/>
    </w:pPr>
    <w:rPr>
      <w:sz w:val="48"/>
      <w:szCs w:val="48"/>
    </w:rPr>
  </w:style>
  <w:style w:type="paragraph" w:styleId="1156">
    <w:name w:val="Body Text First Indent 2"/>
    <w:basedOn w:val="1138"/>
    <w:uiPriority w:val="99"/>
    <w:qFormat/>
    <w:pPr>
      <w:ind w:left="0" w:firstLine="632"/>
      <w:spacing w:line="590" w:lineRule="exact"/>
    </w:pPr>
    <w:rPr>
      <w:rFonts w:ascii="方正仿宋_GBK" w:hAnsi="方正仿宋简体"/>
      <w:szCs w:val="32"/>
    </w:rPr>
  </w:style>
  <w:style w:type="table" w:styleId="11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8">
    <w:name w:val="endnote reference"/>
    <w:uiPriority w:val="99"/>
    <w:semiHidden/>
    <w:unhideWhenUsed/>
    <w:qFormat/>
    <w:rPr>
      <w:vertAlign w:val="superscript"/>
    </w:rPr>
  </w:style>
  <w:style w:type="character" w:styleId="1159">
    <w:name w:val="Hyperlink"/>
    <w:uiPriority w:val="99"/>
    <w:unhideWhenUsed/>
    <w:qFormat/>
    <w:rPr>
      <w:color w:val="0000ff" w:themeColor="hyperlink"/>
      <w:u w:val="single"/>
      <w14:textFill>
        <w14:solidFill>
          <w14:schemeClr w14:val="hlink"/>
        </w14:solidFill>
      </w14:textFill>
    </w:rPr>
  </w:style>
  <w:style w:type="character" w:styleId="1160">
    <w:name w:val="footnote reference"/>
    <w:uiPriority w:val="99"/>
    <w:unhideWhenUsed/>
    <w:qFormat/>
    <w:rPr>
      <w:vertAlign w:val="superscript"/>
    </w:rPr>
  </w:style>
  <w:style w:type="paragraph" w:styleId="1161" w:customStyle="1">
    <w:name w:val="正文文本缩进111"/>
    <w:basedOn w:val="1124"/>
    <w:next w:val="1124"/>
    <w:uiPriority w:val="99"/>
    <w:unhideWhenUsed/>
    <w:qFormat/>
    <w:pPr>
      <w:ind w:left="-105" w:firstLine="742"/>
    </w:pPr>
    <w:rPr>
      <w:rFonts w:eastAsia="仿宋_GB2312"/>
      <w:sz w:val="32"/>
      <w:szCs w:val="24"/>
    </w:rPr>
  </w:style>
  <w:style w:type="character" w:styleId="1162" w:customStyle="1">
    <w:name w:val="Heading 1 Char"/>
    <w:link w:val="1125"/>
    <w:uiPriority w:val="9"/>
    <w:qFormat/>
    <w:rPr>
      <w:rFonts w:ascii="Arial" w:hAnsi="Arial" w:eastAsia="Arial" w:cs="Arial"/>
      <w:sz w:val="40"/>
      <w:szCs w:val="40"/>
    </w:rPr>
  </w:style>
  <w:style w:type="character" w:styleId="1163" w:customStyle="1">
    <w:name w:val="Heading 2 Char"/>
    <w:link w:val="1126"/>
    <w:uiPriority w:val="9"/>
    <w:qFormat/>
    <w:rPr>
      <w:rFonts w:ascii="Arial" w:hAnsi="Arial" w:eastAsia="Arial" w:cs="Arial"/>
      <w:sz w:val="34"/>
    </w:rPr>
  </w:style>
  <w:style w:type="character" w:styleId="1164" w:customStyle="1">
    <w:name w:val="Heading 3 Char"/>
    <w:link w:val="1127"/>
    <w:uiPriority w:val="9"/>
    <w:qFormat/>
    <w:rPr>
      <w:rFonts w:ascii="Arial" w:hAnsi="Arial" w:eastAsia="Arial" w:cs="Arial"/>
      <w:sz w:val="30"/>
      <w:szCs w:val="30"/>
    </w:rPr>
  </w:style>
  <w:style w:type="character" w:styleId="1165" w:customStyle="1">
    <w:name w:val="Heading 4 Char"/>
    <w:link w:val="1128"/>
    <w:uiPriority w:val="9"/>
    <w:qFormat/>
    <w:rPr>
      <w:rFonts w:ascii="Arial" w:hAnsi="Arial" w:eastAsia="Arial" w:cs="Arial"/>
      <w:b/>
      <w:bCs/>
      <w:sz w:val="26"/>
      <w:szCs w:val="26"/>
    </w:rPr>
  </w:style>
  <w:style w:type="character" w:styleId="1166" w:customStyle="1">
    <w:name w:val="Heading 5 Char"/>
    <w:link w:val="1129"/>
    <w:uiPriority w:val="9"/>
    <w:qFormat/>
    <w:rPr>
      <w:rFonts w:ascii="Arial" w:hAnsi="Arial" w:eastAsia="Arial" w:cs="Arial"/>
      <w:b/>
      <w:bCs/>
      <w:sz w:val="24"/>
      <w:szCs w:val="24"/>
    </w:rPr>
  </w:style>
  <w:style w:type="character" w:styleId="1167" w:customStyle="1">
    <w:name w:val="Heading 6 Char"/>
    <w:link w:val="1130"/>
    <w:uiPriority w:val="9"/>
    <w:qFormat/>
    <w:rPr>
      <w:rFonts w:ascii="Arial" w:hAnsi="Arial" w:eastAsia="Arial" w:cs="Arial"/>
      <w:b/>
      <w:bCs/>
      <w:sz w:val="22"/>
      <w:szCs w:val="22"/>
    </w:rPr>
  </w:style>
  <w:style w:type="character" w:styleId="1168" w:customStyle="1">
    <w:name w:val="Heading 7 Char"/>
    <w:link w:val="1131"/>
    <w:uiPriority w:val="9"/>
    <w:qFormat/>
    <w:rPr>
      <w:rFonts w:ascii="Arial" w:hAnsi="Arial" w:eastAsia="Arial" w:cs="Arial"/>
      <w:b/>
      <w:bCs/>
      <w:i/>
      <w:iCs/>
      <w:sz w:val="22"/>
      <w:szCs w:val="22"/>
    </w:rPr>
  </w:style>
  <w:style w:type="character" w:styleId="1169" w:customStyle="1">
    <w:name w:val="Heading 8 Char"/>
    <w:link w:val="1132"/>
    <w:uiPriority w:val="9"/>
    <w:qFormat/>
    <w:rPr>
      <w:rFonts w:ascii="Arial" w:hAnsi="Arial" w:eastAsia="Arial" w:cs="Arial"/>
      <w:i/>
      <w:iCs/>
      <w:sz w:val="22"/>
      <w:szCs w:val="22"/>
    </w:rPr>
  </w:style>
  <w:style w:type="character" w:styleId="1170" w:customStyle="1">
    <w:name w:val="Heading 9 Char"/>
    <w:link w:val="1133"/>
    <w:uiPriority w:val="9"/>
    <w:qFormat/>
    <w:rPr>
      <w:rFonts w:ascii="Arial" w:hAnsi="Arial" w:eastAsia="Arial" w:cs="Arial"/>
      <w:i/>
      <w:iCs/>
      <w:sz w:val="21"/>
      <w:szCs w:val="21"/>
    </w:rPr>
  </w:style>
  <w:style w:type="paragraph" w:styleId="1171">
    <w:name w:val="List Paragraph"/>
    <w:basedOn w:val="1124"/>
    <w:uiPriority w:val="34"/>
    <w:qFormat/>
    <w:pPr>
      <w:contextualSpacing/>
      <w:ind w:left="720"/>
    </w:pPr>
  </w:style>
  <w:style w:type="paragraph" w:styleId="1172">
    <w:name w:val="No Spacing"/>
    <w:uiPriority w:val="1"/>
    <w:qFormat/>
    <w:pPr>
      <w:spacing w:before="0" w:after="0" w:line="240" w:lineRule="auto"/>
    </w:pPr>
    <w:rPr>
      <w:rFonts w:hint="default" w:ascii="Times New Roman" w:hAnsi="Times New Roman" w:eastAsia="宋体" w:cs="Times New Roman"/>
    </w:rPr>
  </w:style>
  <w:style w:type="character" w:styleId="1173" w:customStyle="1">
    <w:name w:val="Title Char"/>
    <w:link w:val="1155"/>
    <w:uiPriority w:val="10"/>
    <w:qFormat/>
    <w:rPr>
      <w:sz w:val="48"/>
      <w:szCs w:val="48"/>
    </w:rPr>
  </w:style>
  <w:style w:type="character" w:styleId="1174" w:customStyle="1">
    <w:name w:val="Subtitle Char"/>
    <w:link w:val="1147"/>
    <w:uiPriority w:val="11"/>
    <w:qFormat/>
    <w:rPr>
      <w:sz w:val="24"/>
      <w:szCs w:val="24"/>
    </w:rPr>
  </w:style>
  <w:style w:type="paragraph" w:styleId="1175">
    <w:name w:val="Quote"/>
    <w:basedOn w:val="1124"/>
    <w:next w:val="1124"/>
    <w:link w:val="1176"/>
    <w:uiPriority w:val="29"/>
    <w:qFormat/>
    <w:pPr>
      <w:ind w:left="720" w:right="720"/>
    </w:pPr>
    <w:rPr>
      <w:i/>
    </w:rPr>
  </w:style>
  <w:style w:type="character" w:styleId="1176" w:customStyle="1">
    <w:name w:val="Quote Char"/>
    <w:link w:val="1175"/>
    <w:uiPriority w:val="29"/>
    <w:qFormat/>
    <w:rPr>
      <w:i/>
    </w:rPr>
  </w:style>
  <w:style w:type="paragraph" w:styleId="1177">
    <w:name w:val="Intense Quote"/>
    <w:basedOn w:val="1124"/>
    <w:next w:val="1124"/>
    <w:link w:val="11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8" w:customStyle="1">
    <w:name w:val="Intense Quote Char"/>
    <w:link w:val="1177"/>
    <w:uiPriority w:val="30"/>
    <w:qFormat/>
    <w:rPr>
      <w:i/>
    </w:rPr>
  </w:style>
  <w:style w:type="character" w:styleId="1179" w:customStyle="1">
    <w:name w:val="Header Char"/>
    <w:link w:val="1144"/>
    <w:uiPriority w:val="99"/>
    <w:qFormat/>
  </w:style>
  <w:style w:type="character" w:styleId="1180" w:customStyle="1">
    <w:name w:val="Footer Char"/>
    <w:link w:val="1143"/>
    <w:uiPriority w:val="99"/>
    <w:qFormat/>
  </w:style>
  <w:style w:type="character" w:styleId="1181" w:customStyle="1">
    <w:name w:val="Caption Char"/>
    <w:link w:val="1143"/>
    <w:uiPriority w:val="99"/>
    <w:qFormat/>
  </w:style>
  <w:style w:type="table" w:styleId="11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07" w:customStyle="1">
    <w:name w:val="Footnote Text Char"/>
    <w:link w:val="1148"/>
    <w:uiPriority w:val="99"/>
    <w:qFormat/>
    <w:rPr>
      <w:sz w:val="18"/>
    </w:rPr>
  </w:style>
  <w:style w:type="character" w:styleId="1308" w:customStyle="1">
    <w:name w:val="Endnote Text Char"/>
    <w:link w:val="1142"/>
    <w:uiPriority w:val="99"/>
    <w:qFormat/>
    <w:rPr>
      <w:sz w:val="20"/>
    </w:rPr>
  </w:style>
  <w:style w:type="paragraph" w:styleId="1309" w:customStyle="1">
    <w:name w:val="TOC Heading"/>
    <w:uiPriority w:val="39"/>
    <w:unhideWhenUsed/>
    <w:qFormat/>
    <w:rPr>
      <w:rFonts w:hint="default" w:ascii="Times New Roman" w:hAnsi="Times New Roman" w:eastAsia="宋体" w:cs="Times New Roman"/>
    </w:rPr>
  </w:style>
  <w:style w:type="paragraph" w:styleId="1310" w:customStyle="1">
    <w:name w:val="标题 21"/>
    <w:basedOn w:val="1124"/>
    <w:next w:val="1311"/>
    <w:uiPriority w:val="0"/>
    <w:qFormat/>
    <w:pPr>
      <w:jc w:val="left"/>
      <w:spacing w:beforeAutospacing="1" w:afterAutospacing="1"/>
      <w:outlineLvl w:val="1"/>
    </w:pPr>
    <w:rPr>
      <w:rFonts w:hint="eastAsia" w:ascii="宋体" w:hAnsi="宋体" w:eastAsia="宋体" w:cs="Times New Roman"/>
      <w:b/>
      <w:bCs/>
      <w:sz w:val="36"/>
      <w:szCs w:val="36"/>
    </w:rPr>
  </w:style>
  <w:style w:type="paragraph" w:styleId="1311" w:customStyle="1">
    <w:name w:val="正文缩进1"/>
    <w:basedOn w:val="1124"/>
    <w:uiPriority w:val="0"/>
    <w:qFormat/>
    <w:pPr>
      <w:ind w:firstLine="420"/>
    </w:pPr>
    <w:rPr>
      <w:szCs w:val="20"/>
    </w:rPr>
  </w:style>
  <w:style w:type="character" w:styleId="1312" w:customStyle="1">
    <w:name w:val="默认段落字体1"/>
    <w:link w:val="1124"/>
    <w:uiPriority w:val="1"/>
    <w:unhideWhenUsed/>
    <w:qFormat/>
  </w:style>
  <w:style w:type="table" w:styleId="1313" w:customStyle="1">
    <w:name w:val="普通表格1"/>
    <w:uiPriority w:val="99"/>
    <w:unhideWhenUsed/>
    <w:qFormat/>
    <w:tblPr/>
  </w:style>
  <w:style w:type="character" w:styleId="1314" w:customStyle="1">
    <w:name w:val="批注引用1"/>
    <w:basedOn w:val="1312"/>
    <w:link w:val="1124"/>
    <w:uiPriority w:val="0"/>
    <w:qFormat/>
    <w:rPr>
      <w:sz w:val="21"/>
      <w:szCs w:val="21"/>
    </w:rPr>
  </w:style>
  <w:style w:type="character" w:styleId="1315" w:customStyle="1">
    <w:name w:val="NormalCharacter1"/>
    <w:link w:val="1124"/>
    <w:uiPriority w:val="0"/>
    <w:semiHidden/>
    <w:qFormat/>
    <w:rPr>
      <w:rFonts w:ascii="Calibri" w:hAnsi="Calibri" w:eastAsia="宋体" w:cs="Times New Roman"/>
      <w:sz w:val="21"/>
      <w:szCs w:val="24"/>
      <w:lang w:val="en-US" w:eastAsia="zh-CN" w:bidi="ar-SA"/>
    </w:rPr>
  </w:style>
  <w:style w:type="character" w:styleId="1316" w:customStyle="1">
    <w:name w:val="页眉 Char"/>
    <w:basedOn w:val="1312"/>
    <w:link w:val="1317"/>
    <w:uiPriority w:val="0"/>
    <w:qFormat/>
    <w:rPr>
      <w:rFonts w:ascii="Calibri" w:hAnsi="Calibri" w:eastAsia="宋体" w:cs="Times New Roman"/>
      <w:sz w:val="18"/>
      <w:szCs w:val="18"/>
    </w:rPr>
  </w:style>
  <w:style w:type="paragraph" w:styleId="1317" w:customStyle="1">
    <w:name w:val="页眉1"/>
    <w:basedOn w:val="1124"/>
    <w:link w:val="1316"/>
    <w:uiPriority w:val="0"/>
    <w:qFormat/>
    <w:pPr>
      <w:jc w:val="center"/>
      <w:tabs>
        <w:tab w:val="center" w:pos="4153" w:leader="none"/>
        <w:tab w:val="right" w:pos="8306" w:leader="none"/>
      </w:tabs>
      <w:pBdr>
        <w:bottom w:val="single" w:color="000000" w:sz="6" w:space="1"/>
      </w:pBdr>
    </w:pPr>
    <w:rPr>
      <w:sz w:val="18"/>
      <w:szCs w:val="18"/>
    </w:rPr>
  </w:style>
  <w:style w:type="character" w:styleId="1318" w:customStyle="1">
    <w:name w:val="页脚 Char"/>
    <w:basedOn w:val="1312"/>
    <w:link w:val="1319"/>
    <w:uiPriority w:val="0"/>
    <w:qFormat/>
    <w:rPr>
      <w:rFonts w:ascii="Calibri" w:hAnsi="Calibri" w:eastAsia="宋体" w:cs="Times New Roman"/>
      <w:sz w:val="18"/>
      <w:szCs w:val="18"/>
    </w:rPr>
  </w:style>
  <w:style w:type="paragraph" w:styleId="1319" w:customStyle="1">
    <w:name w:val="页脚11"/>
    <w:basedOn w:val="1124"/>
    <w:link w:val="1318"/>
    <w:uiPriority w:val="0"/>
    <w:qFormat/>
    <w:pPr>
      <w:jc w:val="left"/>
      <w:tabs>
        <w:tab w:val="center" w:pos="4153" w:leader="none"/>
        <w:tab w:val="right" w:pos="8306" w:leader="none"/>
      </w:tabs>
    </w:pPr>
    <w:rPr>
      <w:sz w:val="18"/>
      <w:szCs w:val="18"/>
    </w:rPr>
  </w:style>
  <w:style w:type="character" w:styleId="1320" w:customStyle="1">
    <w:name w:val="font11"/>
    <w:basedOn w:val="1312"/>
    <w:link w:val="1124"/>
    <w:uiPriority w:val="0"/>
    <w:qFormat/>
    <w:rPr>
      <w:rFonts w:hint="eastAsia" w:ascii="微软雅黑" w:hAnsi="微软雅黑" w:eastAsia="微软雅黑" w:cs="微软雅黑"/>
      <w:color w:val="000000"/>
      <w:sz w:val="24"/>
      <w:szCs w:val="24"/>
      <w:u w:val="none"/>
    </w:rPr>
  </w:style>
  <w:style w:type="character" w:styleId="1321" w:customStyle="1">
    <w:name w:val="font31"/>
    <w:basedOn w:val="1312"/>
    <w:link w:val="1124"/>
    <w:uiPriority w:val="0"/>
    <w:qFormat/>
    <w:rPr>
      <w:rFonts w:hint="eastAsia" w:ascii="宋体" w:hAnsi="宋体" w:eastAsia="宋体" w:cs="宋体"/>
      <w:color w:val="000000"/>
      <w:sz w:val="24"/>
      <w:szCs w:val="24"/>
      <w:u w:val="none"/>
    </w:rPr>
  </w:style>
  <w:style w:type="character" w:styleId="1322" w:customStyle="1">
    <w:name w:val="custom-tag-placeholder-class"/>
    <w:basedOn w:val="1134"/>
    <w:link w:val="1124"/>
    <w:uiPriority w:val="0"/>
    <w:qFormat/>
  </w:style>
  <w:style w:type="character" w:styleId="1323" w:customStyle="1">
    <w:name w:val="font21"/>
    <w:basedOn w:val="1312"/>
    <w:link w:val="1124"/>
    <w:uiPriority w:val="0"/>
    <w:qFormat/>
    <w:rPr>
      <w:rFonts w:hint="eastAsia" w:ascii="宋体" w:hAnsi="宋体" w:eastAsia="宋体" w:cs="宋体"/>
      <w:color w:val="000000"/>
      <w:sz w:val="24"/>
      <w:szCs w:val="24"/>
      <w:u w:val="none"/>
    </w:rPr>
  </w:style>
  <w:style w:type="paragraph" w:styleId="1324" w:customStyle="1">
    <w:name w:val="纯文本1"/>
    <w:basedOn w:val="1124"/>
    <w:uiPriority w:val="0"/>
    <w:unhideWhenUsed/>
    <w:qFormat/>
    <w:rPr>
      <w:rFonts w:ascii="宋体" w:hAnsi="Courier New" w:cs="Courier New"/>
      <w:szCs w:val="21"/>
    </w:rPr>
  </w:style>
  <w:style w:type="paragraph" w:styleId="1325" w:customStyle="1">
    <w:name w:val="批注文字1"/>
    <w:basedOn w:val="1124"/>
    <w:uiPriority w:val="0"/>
    <w:qFormat/>
    <w:pPr>
      <w:jc w:val="left"/>
    </w:pPr>
  </w:style>
  <w:style w:type="paragraph" w:styleId="1326" w:customStyle="1">
    <w:name w:val="引文目录标题1"/>
    <w:basedOn w:val="1124"/>
    <w:next w:val="1124"/>
    <w:uiPriority w:val="99"/>
    <w:unhideWhenUsed/>
    <w:qFormat/>
    <w:pPr>
      <w:spacing w:before="120"/>
    </w:pPr>
    <w:rPr>
      <w:rFonts w:ascii="Cambria" w:hAnsi="Cambria" w:eastAsia="宋体" w:cs="Times New Roman"/>
      <w:sz w:val="24"/>
      <w:szCs w:val="21"/>
    </w:rPr>
  </w:style>
  <w:style w:type="paragraph" w:styleId="1327" w:customStyle="1">
    <w:name w:val="正文首行缩进 2111"/>
    <w:basedOn w:val="1161"/>
    <w:uiPriority w:val="0"/>
    <w:qFormat/>
    <w:pPr>
      <w:ind w:firstLine="420"/>
    </w:pPr>
    <w:rPr>
      <w:sz w:val="20"/>
      <w:szCs w:val="20"/>
    </w:rPr>
  </w:style>
  <w:style w:type="paragraph" w:styleId="1328" w:customStyle="1">
    <w:name w:val="正文文本1"/>
    <w:basedOn w:val="1124"/>
    <w:next w:val="1124"/>
    <w:uiPriority w:val="0"/>
    <w:unhideWhenUsed/>
    <w:qFormat/>
    <w:pPr>
      <w:spacing w:after="120"/>
    </w:pPr>
    <w:rPr>
      <w:rFonts w:ascii="Calibri" w:hAnsi="Calibri"/>
      <w:szCs w:val="22"/>
    </w:rPr>
  </w:style>
  <w:style w:type="paragraph" w:styleId="1329" w:customStyle="1">
    <w:name w:val="正文首行缩进1"/>
    <w:basedOn w:val="1328"/>
    <w:next w:val="1327"/>
    <w:uiPriority w:val="0"/>
    <w:qFormat/>
    <w:pPr>
      <w:ind w:firstLine="200"/>
      <w:spacing w:line="360" w:lineRule="auto"/>
    </w:pPr>
    <w:rPr>
      <w:rFonts w:ascii="仿宋_GB2312" w:eastAsia="仿宋_GB2312"/>
      <w:sz w:val="30"/>
      <w:szCs w:val="30"/>
    </w:rPr>
  </w:style>
  <w:style w:type="paragraph" w:styleId="1330" w:customStyle="1">
    <w:name w:val="普通(网站)1"/>
    <w:basedOn w:val="1124"/>
    <w:uiPriority w:val="0"/>
    <w:qFormat/>
    <w:pPr>
      <w:jc w:val="left"/>
      <w:spacing w:beforeAutospacing="1" w:afterAutospacing="1"/>
    </w:pPr>
    <w:rPr>
      <w:rFonts w:cs="Times New Roman"/>
      <w:sz w:val="24"/>
    </w:rPr>
  </w:style>
  <w:style w:type="paragraph" w:styleId="1331" w:customStyle="1">
    <w:name w:val="正文首行缩进 21"/>
    <w:basedOn w:val="1332"/>
    <w:uiPriority w:val="0"/>
    <w:qFormat/>
    <w:pPr>
      <w:ind w:firstLine="420"/>
    </w:pPr>
  </w:style>
  <w:style w:type="paragraph" w:styleId="1332" w:customStyle="1">
    <w:name w:val="正文文本缩进1"/>
    <w:basedOn w:val="1124"/>
    <w:uiPriority w:val="0"/>
    <w:qFormat/>
    <w:pPr>
      <w:ind w:left="420"/>
      <w:spacing w:after="120"/>
    </w:pPr>
  </w:style>
  <w:style w:type="paragraph" w:styleId="1333" w:customStyle="1">
    <w:name w:val="页脚1"/>
    <w:basedOn w:val="1124"/>
    <w:uiPriority w:val="99"/>
    <w:unhideWhenUsed/>
    <w:qFormat/>
    <w:pPr>
      <w:jc w:val="left"/>
      <w:tabs>
        <w:tab w:val="center" w:pos="4153" w:leader="none"/>
        <w:tab w:val="right" w:pos="8306" w:leader="none"/>
      </w:tabs>
    </w:pPr>
    <w:rPr>
      <w:sz w:val="18"/>
      <w:szCs w:val="18"/>
    </w:rPr>
  </w:style>
  <w:style w:type="paragraph" w:styleId="1334" w:customStyle="1">
    <w:name w:val="样式 标题 3 + (中文) 黑体 小四 非加粗 段前: 7.8 磅 段后: 0 磅 行距: 固定值 20 磅_0"/>
    <w:basedOn w:val="1124"/>
    <w:uiPriority w:val="0"/>
    <w:qFormat/>
    <w:pPr>
      <w:keepLines/>
      <w:keepNext/>
      <w:spacing w:line="400" w:lineRule="exact"/>
      <w:outlineLvl w:val="2"/>
    </w:pPr>
    <w:rPr>
      <w:rFonts w:eastAsia="黑体" w:cs="宋体"/>
      <w:szCs w:val="21"/>
    </w:rPr>
  </w:style>
  <w:style w:type="paragraph" w:styleId="1335" w:customStyle="1">
    <w:name w:val="段"/>
    <w:next w:val="112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336" w:customStyle="1">
    <w:name w:val="普通正文"/>
    <w:basedOn w:val="1124"/>
    <w:uiPriority w:val="0"/>
    <w:qFormat/>
    <w:pPr>
      <w:ind w:firstLine="480"/>
      <w:jc w:val="left"/>
      <w:spacing w:before="120" w:after="120" w:line="360" w:lineRule="auto"/>
    </w:pPr>
    <w:rPr>
      <w:rFonts w:ascii="Arial" w:hAnsi="Arial" w:eastAsia="等线" w:cs="Arial"/>
      <w:sz w:val="24"/>
    </w:rPr>
  </w:style>
  <w:style w:type="paragraph" w:styleId="1337" w:customStyle="1">
    <w:name w:val="正文首行缩进 211"/>
    <w:basedOn w:val="1338"/>
    <w:next w:val="1334"/>
    <w:uiPriority w:val="0"/>
    <w:qFormat/>
    <w:pPr>
      <w:ind w:left="420" w:firstLine="420"/>
      <w:spacing w:after="120"/>
    </w:pPr>
    <w:rPr>
      <w:sz w:val="21"/>
      <w:szCs w:val="24"/>
    </w:rPr>
  </w:style>
  <w:style w:type="paragraph" w:styleId="1338" w:customStyle="1">
    <w:name w:val="正文文本缩进11"/>
    <w:basedOn w:val="1124"/>
    <w:next w:val="1339"/>
    <w:uiPriority w:val="99"/>
    <w:qFormat/>
    <w:pPr>
      <w:ind w:left="-105" w:firstLine="232"/>
    </w:pPr>
    <w:rPr>
      <w:rFonts w:eastAsia="仿宋_GB2312"/>
      <w:sz w:val="32"/>
      <w:szCs w:val="32"/>
    </w:rPr>
  </w:style>
  <w:style w:type="paragraph" w:styleId="1339" w:customStyle="1">
    <w:name w:val="寄信人地址11"/>
    <w:basedOn w:val="1124"/>
    <w:uiPriority w:val="0"/>
    <w:qFormat/>
    <w:rPr>
      <w:rFonts w:ascii="Arial" w:hAnsi="Arial" w:cs="Arial"/>
    </w:rPr>
  </w:style>
  <w:style w:type="paragraph" w:styleId="1340" w:customStyle="1">
    <w:name w:val="Default"/>
    <w:basedOn w:val="1124"/>
    <w:uiPriority w:val="0"/>
    <w:semiHidden/>
    <w:qFormat/>
    <w:pPr>
      <w:jc w:val="left"/>
    </w:pPr>
    <w:rPr>
      <w:rFonts w:ascii="宋体" w:hAnsi="Calibri" w:cs="宋体"/>
      <w:color w:val="000000"/>
      <w:sz w:val="24"/>
    </w:rPr>
  </w:style>
  <w:style w:type="paragraph" w:styleId="13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42" w:customStyle="1">
    <w:name w:val="一级条标题"/>
    <w:basedOn w:val="1343"/>
    <w:next w:val="133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343" w:customStyle="1">
    <w:name w:val="章标题"/>
    <w:next w:val="11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344" w:customStyle="1">
    <w:name w:val="Table Text"/>
    <w:basedOn w:val="1124"/>
    <w:uiPriority w:val="0"/>
    <w:semiHidden/>
    <w:qFormat/>
    <w:rPr>
      <w:rFonts w:ascii="宋体" w:hAnsi="宋体" w:eastAsia="宋体" w:cs="宋体"/>
      <w:sz w:val="24"/>
      <w:szCs w:val="24"/>
    </w:rPr>
  </w:style>
  <w:style w:type="table" w:styleId="1345" w:customStyle="1">
    <w:name w:val="网格型1"/>
    <w:basedOn w:val="1313"/>
    <w:uiPriority w:val="0"/>
    <w:qFormat/>
    <w:pPr>
      <w:jc w:val="both"/>
      <w:widowControl w:val="off"/>
    </w:pPr>
    <w:tblPr/>
  </w:style>
  <w:style w:type="paragraph" w:styleId="1346" w:customStyle="1">
    <w:name w:val="普通(网站)12"/>
    <w:basedOn w:val="1124"/>
    <w:uiPriority w:val="0"/>
    <w:qFormat/>
    <w:pPr>
      <w:spacing w:beforeAutospacing="1" w:afterAutospacing="1"/>
    </w:pPr>
    <w:rPr>
      <w:sz w:val="24"/>
    </w:rPr>
  </w:style>
  <w:style w:type="character" w:styleId="1347" w:customStyle="1">
    <w:name w:val="NormalCharacter"/>
    <w:uiPriority w:val="0"/>
    <w:qFormat/>
    <w:rPr>
      <w:rFonts w:ascii="Times New Roman" w:hAnsi="Times New Roman" w:eastAsia="宋体" w:cs="Times New Roman"/>
    </w:rPr>
  </w:style>
  <w:style w:type="paragraph" w:styleId="1348" w:customStyle="1">
    <w:name w:val="标题 11"/>
    <w:basedOn w:val="1124"/>
    <w:next w:val="1124"/>
    <w:uiPriority w:val="0"/>
    <w:qFormat/>
    <w:pPr>
      <w:ind w:left="120"/>
      <w:spacing w:before="39"/>
      <w:outlineLvl w:val="0"/>
    </w:pPr>
    <w:rPr>
      <w:sz w:val="27"/>
      <w:szCs w:val="27"/>
    </w:rPr>
  </w:style>
  <w:style w:type="paragraph" w:styleId="1349" w:customStyle="1">
    <w:name w:val="普通(网站)11"/>
    <w:basedOn w:val="1124"/>
    <w:uiPriority w:val="0"/>
    <w:qFormat/>
    <w:pPr>
      <w:jc w:val="left"/>
      <w:spacing w:beforeAutospacing="1" w:afterAutospacing="1"/>
    </w:pPr>
    <w:rPr>
      <w:rFonts w:cs="Times New Roman"/>
      <w:sz w:val="24"/>
    </w:rPr>
  </w:style>
  <w:style w:type="numbering" w:styleId="1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江苏铭洧项目管理有限公司</cp:lastModifiedBy>
  <cp:revision>9</cp:revision>
  <dcterms:created xsi:type="dcterms:W3CDTF">2025-12-18T07:48:00Z</dcterms:created>
  <dcterms:modified xsi:type="dcterms:W3CDTF">2026-07-14T01:55:44Z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eyJoZGlkIjoiZmVmMjNlYTZhZTU3ZjFlYjZhNDJjZjM5ZDE4ZDgxNjciLCJ1c2VySWQiOiIyMjMxMTIxNTMifQ==</vt:lpwstr>
  </property>
  <property fmtid="{D5CDD505-2E9C-101B-9397-08002B2CF9AE}" pid="4" name="ICV">
    <vt:lpwstr>DBDE2592CEE74AC19824E9375CAD9639_13</vt:lpwstr>
  </property>
</Properties>
</file>