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420"/>
        <w:jc w:val="center"/>
        <w:rPr>
          <w:rFonts w:ascii="Times New Roman" w:hAnsi="Times New Roman" w:eastAsia="黑体"/>
          <w:sz w:val="40"/>
          <w:szCs w:val="36"/>
          <w:highlight w:val="none"/>
        </w:rPr>
      </w:pPr>
      <w:r/>
      <w:bookmarkStart w:id="60" w:name="_GoBack"/>
      <w:r/>
      <w:r/>
    </w:p>
    <w:p>
      <w:pPr>
        <w:jc w:val="center"/>
        <w:spacing w:before="120" w:after="120" w:line="360" w:lineRule="auto"/>
        <w:rPr>
          <w:rFonts w:ascii="黑体" w:eastAsia="黑体" w:cs="黑体"/>
          <w:b/>
          <w:bCs/>
          <w:sz w:val="84"/>
          <w:szCs w:val="24"/>
          <w:highlight w:val="none"/>
        </w:rPr>
      </w:pPr>
      <w:r>
        <w:rPr>
          <w:rFonts w:hint="eastAsia" w:ascii="黑体" w:eastAsia="黑体" w:cs="黑体"/>
          <w:b/>
          <w:bCs/>
          <w:sz w:val="84"/>
          <w:szCs w:val="24"/>
          <w:highlight w:val="none"/>
        </w:rPr>
        <w:t xml:space="preserve">招 标 文 件</w:t>
      </w:r>
      <w:r/>
    </w:p>
    <w:p>
      <w:pPr>
        <w:jc w:val="center"/>
        <w:spacing w:before="120" w:after="120" w:line="360" w:lineRule="auto"/>
        <w:rPr>
          <w:rFonts w:ascii="楷体" w:eastAsia="楷体" w:cs="楷体"/>
          <w:b/>
          <w:sz w:val="36"/>
          <w:szCs w:val="36"/>
          <w:highlight w:val="none"/>
        </w:rPr>
      </w:pPr>
      <w:r>
        <w:rPr>
          <w:rFonts w:ascii="楷体" w:eastAsia="楷体" w:cs="楷体"/>
          <w:b/>
          <w:sz w:val="36"/>
          <w:szCs w:val="36"/>
          <w:highlight w:val="none"/>
        </w:rPr>
      </w:r>
      <w:r/>
    </w:p>
    <w:p>
      <w:pPr>
        <w:jc w:val="center"/>
        <w:spacing w:before="120" w:after="120" w:line="360" w:lineRule="auto"/>
        <w:rPr>
          <w:rFonts w:hint="eastAsia" w:ascii="楷体" w:eastAsia="楷体" w:cs="楷体"/>
          <w:b/>
          <w:sz w:val="36"/>
          <w:szCs w:val="36"/>
          <w:highlight w:val="none"/>
          <w:lang w:eastAsia="zh-CN"/>
        </w:rPr>
      </w:pPr>
      <w:r>
        <w:rPr>
          <w:rFonts w:hint="eastAsia" w:ascii="楷体" w:eastAsia="楷体" w:cs="楷体"/>
          <w:b/>
          <w:sz w:val="36"/>
          <w:szCs w:val="36"/>
          <w:highlight w:val="none"/>
        </w:rPr>
        <w:t xml:space="preserve">项目名称：</w:t>
      </w:r>
      <w:r>
        <w:rPr>
          <w:rFonts w:hint="eastAsia" w:ascii="楷体" w:eastAsia="楷体" w:cs="楷体"/>
          <w:b/>
          <w:sz w:val="36"/>
          <w:szCs w:val="36"/>
          <w:highlight w:val="none"/>
          <w:lang w:eastAsia="zh-CN"/>
        </w:rPr>
        <w:t xml:space="preserve">江苏省医疗保障局第三方软件评测服务项目(2026</w:t>
      </w:r>
      <w:r>
        <w:rPr>
          <w:rFonts w:hint="eastAsia" w:ascii="楷体" w:eastAsia="楷体" w:cs="楷体"/>
          <w:b/>
          <w:sz w:val="36"/>
          <w:szCs w:val="36"/>
          <w:highlight w:val="none"/>
          <w:lang w:eastAsia="zh-CN"/>
        </w:rPr>
        <w:t xml:space="preserve">）</w:t>
      </w:r>
      <w:r/>
    </w:p>
    <w:p>
      <w:pPr>
        <w:ind w:firstLine="1807"/>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项目编号：</w:t>
      </w:r>
      <w:r>
        <w:rPr>
          <w:rFonts w:hint="eastAsia" w:ascii="楷体" w:eastAsia="楷体" w:cs="楷体"/>
          <w:b/>
          <w:sz w:val="36"/>
          <w:szCs w:val="36"/>
          <w:highlight w:val="none"/>
          <w:lang w:eastAsia="zh-CN"/>
        </w:rPr>
        <w:t xml:space="preserve">JSZC-320000-ZTZB-G2026-0046</w:t>
      </w:r>
      <w:r>
        <w:rPr>
          <w:rFonts w:hint="eastAsia" w:ascii="楷体" w:eastAsia="楷体" w:cs="楷体"/>
          <w:b/>
          <w:sz w:val="36"/>
          <w:szCs w:val="36"/>
          <w:highlight w:val="none"/>
        </w:rPr>
        <w:t xml:space="preserve"> </w:t>
      </w:r>
      <w:r/>
    </w:p>
    <w:p>
      <w:pPr>
        <w:pStyle w:val="951"/>
        <w:ind w:firstLine="0"/>
        <w:spacing w:before="0" w:after="0"/>
        <w:rPr>
          <w:rFonts w:ascii="楷体" w:eastAsia="楷体" w:cs="楷体"/>
          <w:highlight w:val="none"/>
        </w:rPr>
      </w:pPr>
      <w:r>
        <w:rPr>
          <w:rFonts w:hint="eastAsia" w:ascii="楷体" w:eastAsia="楷体" w:cs="楷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481330</wp:posOffset>
                </wp:positionH>
                <wp:positionV relativeFrom="paragraph">
                  <wp:posOffset>78105</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9pt;mso-position-horizontal:absolute;mso-position-vertical-relative:text;margin-top:6.1pt;mso-position-vertical:absolute;width:365.0pt;height:237.2pt;mso-wrap-distance-left:9.0pt;mso-wrap-distance-top:0.0pt;mso-wrap-distance-right:9.0pt;mso-wrap-distance-bottom:0.0pt;" stroked="f" strokeweight="0.75pt">
                <v:path textboxrect="0,0,0,0"/>
                <v:imagedata r:id="rId15" o:title=""/>
              </v:shape>
            </w:pict>
          </mc:Fallback>
        </mc:AlternateContent>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招标人：江苏省医疗保障局</w:t>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招标代理机构：中通服咨询设计研究院有限公司</w:t>
      </w:r>
      <w:r/>
    </w:p>
    <w:p>
      <w:pPr>
        <w:jc w:val="center"/>
        <w:spacing w:line="360" w:lineRule="auto"/>
        <w:rPr>
          <w:rFonts w:ascii="楷体" w:eastAsia="楷体" w:cs="楷体"/>
          <w:sz w:val="28"/>
          <w:szCs w:val="28"/>
          <w:highlight w:val="none"/>
        </w:rPr>
      </w:pPr>
      <w:r>
        <w:rPr>
          <w:rFonts w:hint="eastAsia" w:ascii="楷体" w:eastAsia="楷体" w:cs="楷体"/>
          <w:sz w:val="30"/>
          <w:szCs w:val="30"/>
          <w:highlight w:val="none"/>
        </w:rPr>
        <w:t xml:space="preserve">2026年7月</w:t>
      </w:r>
      <w:r/>
    </w:p>
    <w:p>
      <w:pPr>
        <w:jc w:val="center"/>
        <w:widowControl/>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widowControl/>
        <w:rPr>
          <w:rFonts w:ascii="黑体" w:eastAsia="黑体"/>
          <w:sz w:val="36"/>
          <w:szCs w:val="36"/>
          <w:highlight w:val="none"/>
        </w:rPr>
      </w:pPr>
      <w:r>
        <w:rPr>
          <w:rFonts w:hint="eastAsia" w:ascii="黑体" w:eastAsia="黑体"/>
          <w:sz w:val="36"/>
          <w:szCs w:val="36"/>
          <w:highlight w:val="none"/>
        </w:rPr>
        <w:t xml:space="preserve">目  录</w:t>
      </w:r>
      <w:r/>
    </w:p>
    <w:sdt>
      <w:sdtPr>
        <w15:appearance w15:val="boundingBox"/>
        <w:id w:val="340240639"/>
        <w:docPartObj>
          <w:docPartGallery w:val="Table of Contents"/>
          <w:docPartUnique w:val="true"/>
        </w:docPartObj>
        <w:rPr>
          <w:rFonts w:ascii="Calibri Light" w:hAnsi="Calibri Light" w:eastAsia="宋体"/>
          <w:sz w:val="32"/>
          <w:szCs w:val="32"/>
          <w:highlight w:val="none"/>
          <w:lang w:val="zh-CN"/>
        </w:rPr>
      </w:sdtPr>
      <w:sdtContent>
        <w:p>
          <w:pPr>
            <w:pStyle w:val="935"/>
            <w:rPr>
              <w:highlight w:val="none"/>
            </w:rPr>
          </w:pPr>
          <w:r>
            <w:rPr>
              <w:highlight w:val="none"/>
            </w:rPr>
            <w:fldChar w:fldCharType="begin"/>
          </w:r>
          <w:r>
            <w:rPr>
              <w:highlight w:val="none"/>
            </w:rPr>
            <w:instrText xml:space="preserve"> TOC \o "1-3" \h \z \u </w:instrText>
          </w:r>
          <w:r>
            <w:rPr>
              <w:highlight w:val="none"/>
            </w:rPr>
            <w:fldChar w:fldCharType="separate"/>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"_Toc24580" </w:instrText>
          </w:r>
          <w:r>
            <w:rPr>
              <w:highlight w:val="none"/>
            </w:rPr>
            <w:fldChar w:fldCharType="separate"/>
          </w:r>
          <w:r>
            <w:rPr>
              <w:rFonts w:ascii="黑体" w:cs="黑体"/>
              <w:szCs w:val="36"/>
              <w:highlight w:val="none"/>
              <w:lang w:val="zh-TW" w:eastAsia="zh-TW"/>
            </w:rPr>
            <w:t xml:space="preserve">第一章  </w:t>
          </w:r>
          <w:r>
            <w:rPr>
              <w:rFonts w:hint="eastAsia" w:ascii="黑体" w:cs="黑体"/>
              <w:szCs w:val="36"/>
              <w:highlight w:val="none"/>
              <w:lang w:val="zh-TW"/>
            </w:rPr>
            <w:t xml:space="preserve">招标</w:t>
          </w:r>
          <w:r>
            <w:rPr>
              <w:rFonts w:ascii="黑体" w:cs="黑体"/>
              <w:szCs w:val="36"/>
              <w:highlight w:val="none"/>
              <w:lang w:val="zh-TW" w:eastAsia="zh-TW"/>
            </w:rPr>
            <w:t xml:space="preserve">公告</w:t>
          </w:r>
          <w:r>
            <w:rPr>
              <w:highlight w:val="none"/>
            </w:rPr>
            <w:tab/>
          </w:r>
          <w:r>
            <w:rPr>
              <w:highlight w:val="none"/>
            </w:rPr>
            <w:fldChar w:fldCharType="begin"/>
          </w:r>
          <w:r>
            <w:rPr>
              <w:highlight w:val="none"/>
            </w:rPr>
            <w:instrText xml:space="preserve"> PAGEREF _Toc24580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"_Toc10216" </w:instrText>
          </w:r>
          <w:r>
            <w:rPr>
              <w:highlight w:val="none"/>
            </w:rPr>
            <w:fldChar w:fldCharType="separate"/>
          </w:r>
          <w:r>
            <w:rPr>
              <w:rFonts w:ascii="黑体" w:cs="黑体"/>
              <w:szCs w:val="36"/>
              <w:highlight w:val="none"/>
              <w:lang w:val="zh-TW" w:eastAsia="zh-TW"/>
            </w:rPr>
            <w:t xml:space="preserve">第二章  </w:t>
          </w:r>
          <w:r>
            <w:rPr>
              <w:rFonts w:hint="eastAsia" w:ascii="黑体" w:cs="黑体"/>
              <w:szCs w:val="36"/>
              <w:highlight w:val="none"/>
              <w:lang w:val="zh-TW"/>
            </w:rPr>
            <w:t xml:space="preserve">投标人</w:t>
          </w:r>
          <w:r>
            <w:rPr>
              <w:rFonts w:ascii="黑体" w:cs="黑体"/>
              <w:szCs w:val="36"/>
              <w:highlight w:val="none"/>
              <w:lang w:val="zh-TW" w:eastAsia="zh-TW"/>
            </w:rPr>
            <w:t xml:space="preserve">须知</w:t>
          </w:r>
          <w:r>
            <w:rPr>
              <w:highlight w:val="none"/>
            </w:rPr>
            <w:tab/>
          </w:r>
          <w:r>
            <w:rPr>
              <w:highlight w:val="none"/>
            </w:rPr>
            <w:fldChar w:fldCharType="begin"/>
          </w:r>
          <w:r>
            <w:rPr>
              <w:highlight w:val="none"/>
            </w:rPr>
            <w:instrText xml:space="preserve"> PAGEREF _Toc10216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"_Toc28020"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三</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合同条款及格式</w:t>
          </w:r>
          <w:r>
            <w:rPr>
              <w:highlight w:val="none"/>
            </w:rPr>
            <w:tab/>
          </w:r>
          <w:r>
            <w:rPr>
              <w:highlight w:val="none"/>
            </w:rPr>
            <w:fldChar w:fldCharType="begin"/>
          </w:r>
          <w:r>
            <w:rPr>
              <w:highlight w:val="none"/>
            </w:rPr>
            <w:instrText xml:space="preserve"> PAGEREF _Toc28020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"_Toc14170" </w:instrText>
          </w:r>
          <w:r>
            <w:rPr>
              <w:highlight w:val="none"/>
            </w:rPr>
            <w:fldChar w:fldCharType="separate"/>
          </w:r>
          <w:r>
            <w:rPr>
              <w:rFonts w:hint="eastAsia" w:ascii="黑体" w:cs="黑体"/>
              <w:szCs w:val="36"/>
              <w:highlight w:val="none"/>
              <w:lang w:val="zh-TW" w:eastAsia="zh-TW"/>
            </w:rPr>
            <w:t xml:space="preserve">第四章 </w:t>
          </w:r>
          <w:r>
            <w:rPr>
              <w:rFonts w:hint="eastAsia" w:ascii="黑体" w:cs="黑体"/>
              <w:szCs w:val="36"/>
              <w:highlight w:val="none"/>
            </w:rPr>
            <w:t xml:space="preserve"> </w:t>
          </w:r>
          <w:r>
            <w:rPr>
              <w:rFonts w:hint="eastAsia" w:ascii="黑体" w:cs="黑体"/>
              <w:szCs w:val="36"/>
              <w:highlight w:val="none"/>
              <w:lang w:val="zh-TW" w:eastAsia="zh-TW"/>
            </w:rPr>
            <w:t xml:space="preserve">项目需求</w:t>
          </w:r>
          <w:r>
            <w:rPr>
              <w:highlight w:val="none"/>
            </w:rPr>
            <w:tab/>
          </w:r>
          <w:r>
            <w:rPr>
              <w:highlight w:val="none"/>
            </w:rPr>
            <w:fldChar w:fldCharType="begin"/>
          </w:r>
          <w:r>
            <w:rPr>
              <w:highlight w:val="none"/>
            </w:rPr>
            <w:instrText xml:space="preserve"> PAGEREF _Toc14170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"_Toc29558"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eastAsia="zh-TW"/>
            </w:rPr>
            <w:t xml:space="preserve">五</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评标方法与评标标准</w:t>
          </w:r>
          <w:r>
            <w:rPr>
              <w:highlight w:val="none"/>
            </w:rPr>
            <w:tab/>
          </w:r>
          <w:r>
            <w:rPr>
              <w:highlight w:val="none"/>
            </w:rPr>
            <w:fldChar w:fldCharType="end"/>
          </w:r>
          <w:r>
            <w:rPr>
              <w:rFonts w:hint="eastAsia"/>
              <w:highlight w:val="none"/>
            </w:rPr>
            <w:t xml:space="preserve">42</w:t>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"_Toc30059"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六</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投标文件格式</w:t>
          </w:r>
          <w:r>
            <w:rPr>
              <w:highlight w:val="none"/>
            </w:rPr>
            <w:tab/>
          </w:r>
          <w:r>
            <w:rPr>
              <w:highlight w:val="none"/>
            </w:rPr>
            <w:fldChar w:fldCharType="begin"/>
          </w:r>
          <w:r>
            <w:rPr>
              <w:highlight w:val="none"/>
            </w:rPr>
            <w:instrText xml:space="preserve"> PAGEREF _Toc30059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929"/>
            <w:tabs>
              <w:tab w:val="right" w:pos="8787" w:leader="dot"/>
            </w:tabs>
            <w:rPr>
              <w:highlight w:val="none"/>
            </w:rPr>
          </w:pPr>
          <w:r>
            <w:rPr>
              <w:highlight w:val="none"/>
            </w:rPr>
          </w:r>
          <w:r/>
        </w:p>
        <w:p>
          <w:pPr>
            <w:pStyle w:val="935"/>
            <w:rPr>
              <w:highlight w:val="none"/>
            </w:rPr>
          </w:pPr>
          <w:r>
            <w:rPr>
              <w:highlight w:val="none"/>
            </w:rPr>
            <w:fldChar w:fldCharType="end"/>
          </w:r>
          <w:r/>
        </w:p>
      </w:sdtContent>
    </w:sdt>
    <w:p>
      <w:pPr>
        <w:jc w:val="left"/>
        <w:widowControl/>
        <w:rPr>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highlight w:val="none"/>
        </w:rPr>
      </w:r>
      <w:r/>
    </w:p>
    <w:p>
      <w:pPr>
        <w:jc w:val="center"/>
        <w:keepLines/>
        <w:keepNext/>
        <w:spacing w:before="240" w:after="240" w:line="360" w:lineRule="auto"/>
        <w:rPr>
          <w:rFonts w:ascii="黑体" w:eastAsia="黑体" w:cs="黑体"/>
          <w:sz w:val="36"/>
          <w:szCs w:val="36"/>
          <w:highlight w:val="none"/>
          <w:lang w:val="zh-TW" w:eastAsia="zh-TW"/>
        </w:rPr>
        <w:outlineLvl w:val="0"/>
      </w:pPr>
      <w:r/>
      <w:bookmarkStart w:id="0" w:name="_Toc24580"/>
      <w:r/>
      <w:bookmarkStart w:id="1" w:name="_Toc448069940"/>
      <w:r/>
      <w:bookmarkStart w:id="2" w:name="_Toc"/>
      <w:r/>
      <w:bookmarkStart w:id="3" w:name="_Toc415494523"/>
      <w:r>
        <w:rPr>
          <w:rFonts w:ascii="黑体" w:eastAsia="黑体" w:cs="黑体"/>
          <w:sz w:val="36"/>
          <w:szCs w:val="36"/>
          <w:highlight w:val="none"/>
          <w:lang w:val="zh-TW" w:eastAsia="zh-TW"/>
        </w:rPr>
        <w:t xml:space="preserve">第一章  </w:t>
      </w:r>
      <w:r>
        <w:rPr>
          <w:rFonts w:hint="eastAsia" w:ascii="黑体" w:eastAsia="黑体" w:cs="黑体"/>
          <w:sz w:val="36"/>
          <w:szCs w:val="36"/>
          <w:highlight w:val="none"/>
          <w:lang w:val="zh-TW"/>
        </w:rPr>
        <w:t xml:space="preserve">招标</w:t>
      </w:r>
      <w:r>
        <w:rPr>
          <w:rFonts w:ascii="黑体" w:eastAsia="黑体" w:cs="黑体"/>
          <w:sz w:val="36"/>
          <w:szCs w:val="36"/>
          <w:highlight w:val="none"/>
          <w:lang w:val="zh-TW" w:eastAsia="zh-TW"/>
        </w:rPr>
        <w:t xml:space="preserve">公告</w:t>
      </w:r>
      <w:bookmarkEnd w:id="0"/>
      <w:r/>
      <w:bookmarkEnd w:id="1"/>
      <w:r/>
      <w:bookmarkEnd w:id="2"/>
      <w:r/>
      <w:bookmarkEnd w:id="3"/>
      <w:r/>
      <w:r/>
    </w:p>
    <w:p>
      <w:pPr>
        <w:ind w:firstLine="482"/>
        <w:spacing w:line="360" w:lineRule="auto"/>
        <w:rPr>
          <w:rFonts w:ascii="Times New Roman" w:hAnsi="Times New Roman" w:cs="Times New Roman"/>
          <w:b/>
          <w:sz w:val="24"/>
          <w:szCs w:val="24"/>
          <w:highlight w:val="none"/>
        </w:rPr>
      </w:pPr>
      <w:r/>
      <w:bookmarkStart w:id="4" w:name="_Toc415494524"/>
      <w:r/>
      <w:bookmarkStart w:id="5" w:name="_Toc1"/>
      <w:r/>
      <w:bookmarkStart w:id="6" w:name="_Toc448069941"/>
      <w:r>
        <w:rPr>
          <w:rFonts w:hint="eastAsia" w:ascii="Times New Roman" w:hAnsi="Times New Roman" w:cs="Times New Roman"/>
          <w:b/>
          <w:sz w:val="24"/>
          <w:szCs w:val="24"/>
          <w:highlight w:val="none"/>
          <w:u w:val="single"/>
          <w:lang w:eastAsia="zh-CN"/>
        </w:rPr>
        <w:t xml:space="preserve">江苏省医疗保障局第三方软件评测服务项目(2026）</w:t>
      </w:r>
      <w:r>
        <w:rPr>
          <w:rFonts w:hint="eastAsia" w:ascii="Times New Roman" w:hAnsi="Times New Roman" w:cs="Times New Roman"/>
          <w:sz w:val="24"/>
          <w:szCs w:val="24"/>
          <w:highlight w:val="none"/>
        </w:rPr>
        <w:t xml:space="preserve">的潜在投标人应在</w:t>
      </w:r>
      <w:r>
        <w:rPr>
          <w:rFonts w:hint="eastAsia" w:ascii="Times New Roman" w:hAnsi="Times New Roman" w:cs="Times New Roman"/>
          <w:b/>
          <w:sz w:val="24"/>
          <w:szCs w:val="24"/>
          <w:highlight w:val="none"/>
          <w:u w:val="single"/>
        </w:rPr>
        <w:t xml:space="preserve">江苏省政府采购网（苏采云平台）</w:t>
      </w:r>
      <w:r>
        <w:rPr>
          <w:rFonts w:hint="eastAsia" w:ascii="Times New Roman" w:hAnsi="Times New Roman" w:cs="Times New Roman"/>
          <w:sz w:val="24"/>
          <w:szCs w:val="24"/>
          <w:highlight w:val="none"/>
        </w:rPr>
        <w:t xml:space="preserve">获取招标文件，并于</w:t>
      </w:r>
      <w:r>
        <w:rPr>
          <w:rFonts w:hint="eastAsia" w:ascii="Times New Roman" w:hAnsi="Times New Roman" w:cs="Times New Roman"/>
          <w:b/>
          <w:sz w:val="24"/>
          <w:szCs w:val="24"/>
          <w:highlight w:val="none"/>
        </w:rPr>
        <w:t xml:space="preserve">2026年8</w:t>
      </w:r>
      <w:r>
        <w:rPr>
          <w:rFonts w:hint="eastAsia" w:ascii="Times New Roman" w:hAnsi="Times New Roman" w:cs="Times New Roman"/>
          <w:b/>
          <w:sz w:val="24"/>
          <w:szCs w:val="24"/>
          <w:highlight w:val="none"/>
        </w:rPr>
        <w:t xml:space="preserve">月24</w:t>
      </w:r>
      <w:r>
        <w:rPr>
          <w:rFonts w:hint="eastAsia" w:ascii="Times New Roman" w:hAnsi="Times New Roman" w:cs="Times New Roman"/>
          <w:b/>
          <w:sz w:val="24"/>
          <w:szCs w:val="24"/>
          <w:highlight w:val="none"/>
        </w:rPr>
        <w:t xml:space="preserve">日14</w:t>
      </w:r>
      <w:r>
        <w:rPr>
          <w:rFonts w:hint="eastAsia" w:ascii="Times New Roman" w:hAnsi="Times New Roman" w:cs="Times New Roman"/>
          <w:b/>
          <w:sz w:val="24"/>
          <w:szCs w:val="24"/>
          <w:highlight w:val="none"/>
        </w:rPr>
        <w:t xml:space="preserve">时30</w:t>
      </w:r>
      <w:r>
        <w:rPr>
          <w:rFonts w:hint="eastAsia" w:ascii="Times New Roman" w:hAnsi="Times New Roman" w:cs="Times New Roman"/>
          <w:b/>
          <w:sz w:val="24"/>
          <w:szCs w:val="24"/>
          <w:highlight w:val="none"/>
        </w:rPr>
        <w:t xml:space="preserve">分</w:t>
      </w:r>
      <w:r>
        <w:rPr>
          <w:rFonts w:hint="eastAsia" w:ascii="Times New Roman" w:hAnsi="Times New Roman" w:cs="Times New Roman"/>
          <w:sz w:val="24"/>
          <w:szCs w:val="24"/>
          <w:highlight w:val="none"/>
        </w:rPr>
        <w:t xml:space="preserve">北京时间）前递交投标文件。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一、项目基本情况</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1.1项目编号：</w:t>
      </w:r>
      <w:r>
        <w:rPr>
          <w:rFonts w:hint="eastAsia" w:ascii="Times New Roman" w:hAnsi="Times New Roman" w:cs="Times New Roman"/>
          <w:sz w:val="24"/>
          <w:szCs w:val="24"/>
          <w:highlight w:val="none"/>
          <w:lang w:eastAsia="zh-CN"/>
        </w:rPr>
        <w:t xml:space="preserve">JSZC-320000-ZTZB-G2026-0046</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1.2项目名称：</w:t>
      </w:r>
      <w:r>
        <w:rPr>
          <w:rFonts w:hint="eastAsia" w:ascii="Times New Roman" w:hAnsi="Times New Roman" w:cs="Times New Roman"/>
          <w:sz w:val="24"/>
          <w:szCs w:val="24"/>
          <w:highlight w:val="none"/>
          <w:lang w:eastAsia="zh-CN"/>
        </w:rPr>
        <w:t xml:space="preserve">江苏省医疗保障局第三方软件评测服务项目（</w:t>
      </w:r>
      <w:r>
        <w:rPr>
          <w:rFonts w:hint="eastAsia" w:ascii="Times New Roman" w:hAnsi="Times New Roman" w:cs="Times New Roman"/>
          <w:sz w:val="24"/>
          <w:szCs w:val="24"/>
          <w:highlight w:val="none"/>
          <w:lang w:val="en-US" w:eastAsia="zh-CN"/>
        </w:rPr>
        <w:t xml:space="preserve">2026）</w:t>
      </w:r>
      <w:r>
        <w:rPr>
          <w:rFonts w:hint="eastAsia"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1.3预算金额：345.6万元</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1.4最高限价：345.6万元</w:t>
      </w:r>
      <w:r/>
    </w:p>
    <w:p>
      <w:pPr>
        <w:ind w:firstLine="480"/>
        <w:spacing w:line="360" w:lineRule="auto"/>
        <w:rPr>
          <w:rFonts w:ascii="宋体" w:cs="仿宋"/>
          <w:sz w:val="24"/>
          <w:szCs w:val="24"/>
          <w:highlight w:val="none"/>
        </w:rPr>
      </w:pPr>
      <w:r>
        <w:rPr>
          <w:rFonts w:hint="eastAsia" w:ascii="Times New Roman" w:hAnsi="Times New Roman" w:cs="Times New Roman"/>
          <w:sz w:val="24"/>
          <w:szCs w:val="24"/>
          <w:highlight w:val="none"/>
        </w:rPr>
        <w:t xml:space="preserve">1.5</w:t>
      </w:r>
      <w:r>
        <w:rPr>
          <w:rFonts w:hint="eastAsia" w:ascii="宋体" w:cs="仿宋"/>
          <w:sz w:val="24"/>
          <w:szCs w:val="24"/>
          <w:highlight w:val="none"/>
        </w:rPr>
        <w:t xml:space="preserve">采购需求：为了加强医保信息化项目全生命周期管理，提升全省统一医疗保障信息平台（以下简称省平台）建设质效，拟委托第三方专业机构开展项目监理、软件造价评估、软件测试等专项服务，具体详见招标文件“第四章 项目需求”。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1.6合同履行期限：</w:t>
      </w:r>
      <w:r>
        <w:rPr>
          <w:rFonts w:ascii="Times New Roman" w:hAnsi="Times New Roman" w:cs="Times New Roman"/>
          <w:sz w:val="24"/>
          <w:szCs w:val="24"/>
          <w:highlight w:val="none"/>
        </w:rPr>
        <w:t xml:space="preserve">服务期</w:t>
      </w:r>
      <w:r>
        <w:rPr>
          <w:rFonts w:hint="eastAsia" w:ascii="Times New Roman" w:hAnsi="Times New Roman" w:cs="Times New Roman"/>
          <w:sz w:val="24"/>
          <w:szCs w:val="24"/>
          <w:highlight w:val="none"/>
        </w:rPr>
        <w:t xml:space="preserve">自合同签订之日起2年。</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1.7本项目采购标的所属行业为：软件和信息技术服务业。</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二、申请人的资格要求：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2.1.满足《中华人民共和国政府采购法》第二十二条规定：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（1）具有独立承担民事责任的能力（提供法人或者其他组织的营业执照等证明文件，如投标人为自然人的，提供其身份证明）；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（4）供应商具有履行合同所必需的设备和专业技术能力的书面声明；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（5）供应商参加政府采购活动前3年内在经营活动中没有重大违法记录的书面声明；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（6）供应商须提供在“信用中国”（www.creditchina.gov.cn）或“诚信江苏”（www.jscredit.gov.cn）或中国政府采购网（www.ccgp.gov.cn）查询的、自本招标公告发布之日至投标截止前的信用记录的截图（</w:t>
      </w:r>
      <w:r>
        <w:rPr>
          <w:rFonts w:hint="eastAsia" w:ascii="Times New Roman" w:hAnsi="Times New Roman" w:cs="Times New Roman"/>
          <w:sz w:val="24"/>
          <w:szCs w:val="24"/>
          <w:highlight w:val="none"/>
        </w:rPr>
        <w:t xml:space="preserve">提供不存在被列入失信被执行人、重大税收违法失信主体名单、政府采购严重失信行为记录名单的截图，</w:t>
      </w:r>
      <w:r>
        <w:rPr>
          <w:rFonts w:hint="eastAsia" w:ascii="Times New Roman" w:hAnsi="Times New Roman" w:cs="Times New Roman"/>
          <w:sz w:val="24"/>
          <w:szCs w:val="24"/>
          <w:highlight w:val="none"/>
        </w:rPr>
        <w:t xml:space="preserve">截图须加盖公章）。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2.2.落实政府采购政策需满足的资格要求：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（1）本项目整体专门面向中小企业采购货物。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（2）本项目整体专门面向小微企业采购货物。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（3）本项目通过以下第（/） 种方式预留部分采购份额采购中小企业货物：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①要求供应商以联合体形式参加，企业合同金额应当达到的比例为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②要求供应商进行合同分包，企业合同金额应当达到的比例为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rPr>
        <w:t xml:space="preserve">本项目为非预留份额的采购项目或采购包，执行价格扣除优惠政策，具体详见评标办法与标准。</w:t>
      </w:r>
      <w:r>
        <w:rPr>
          <w:rFonts w:ascii="Times New Roman" w:hAnsi="Times New Roman" w:cs="Times New Roman"/>
          <w:sz w:val="24"/>
          <w:szCs w:val="24"/>
          <w:highlight w:val="none"/>
        </w:rPr>
        <w:t xml:space="preserve"> </w:t>
      </w:r>
      <w:r/>
    </w:p>
    <w:p>
      <w:pPr>
        <w:ind w:firstLine="480"/>
        <w:spacing w:after="120"/>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2.3.本项目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进口产品投标；本项目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联合体参与投标；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2.4.本项目的特定资格要求：无。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2.5拒绝以下投标人参加本次采购活动：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诚信江苏”（www.jscredit.gov.cn）、“中国政府采购网”(www.ccgp.gov.cn)列入失信被执行人、重大税收违法失信主体名单、政府采购严重失信行为记录名单，及其他不符合《中华人民共和国政府采购法》第二十二条规定条件的信用记录。</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三、获取招标文件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时间:自招标文件公告发布之日起5个工作日</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地点:江苏省政府采购网（苏采云平台）</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方式:在“江苏政府采购网”自行免费下载招标文件。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四、提交投标文件截止时间、开标时间和地点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2026</w:t>
      </w:r>
      <w:r>
        <w:rPr>
          <w:rFonts w:hint="eastAsia"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24</w:t>
      </w:r>
      <w:r>
        <w:rPr>
          <w:rFonts w:hint="eastAsia" w:ascii="Times New Roman" w:hAnsi="Times New Roman" w:cs="Times New Roman"/>
          <w:sz w:val="24"/>
          <w:szCs w:val="24"/>
          <w:highlight w:val="none"/>
        </w:rPr>
        <w:t xml:space="preserve">日</w:t>
      </w:r>
      <w:r>
        <w:rPr>
          <w:rFonts w:hint="eastAsia" w:ascii="Times New Roman" w:hAnsi="Times New Roman" w:cs="Times New Roman"/>
          <w:sz w:val="24"/>
          <w:szCs w:val="24"/>
          <w:highlight w:val="none"/>
        </w:rPr>
        <w:t xml:space="preserve">14</w:t>
      </w:r>
      <w:r>
        <w:rPr>
          <w:rFonts w:ascii="Times New Roman" w:hAnsi="Times New Roman" w:cs="Times New Roman"/>
          <w:sz w:val="24"/>
          <w:szCs w:val="24"/>
          <w:highlight w:val="none"/>
        </w:rPr>
        <w:t xml:space="preserve">:30 (</w:t>
      </w:r>
      <w:r>
        <w:rPr>
          <w:rFonts w:hint="eastAsia" w:ascii="Times New Roman" w:hAnsi="Times New Roman" w:cs="Times New Roman"/>
          <w:sz w:val="24"/>
          <w:szCs w:val="24"/>
          <w:highlight w:val="none"/>
        </w:rPr>
        <w:t xml:space="preserve">北京时间</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地点:“苏采云”政府采购交易系统网上开标大厅。</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五、公告期限</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5.1自本公告发布之日起5个工作日。</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六、其他补充事宜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6.1</w:t>
      </w:r>
      <w:r>
        <w:rPr>
          <w:rFonts w:ascii="Times New Roman" w:hAnsi="Times New Roman" w:cs="Times New Roman"/>
          <w:sz w:val="24"/>
          <w:szCs w:val="24"/>
          <w:highlight w:val="none"/>
        </w:rPr>
        <w:t xml:space="preserve">有关本次招标的事项若存在变动或修改，敬请及时关注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发布的信息更正公告。</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七、对本次招标提出询问，请按以下方式联系。</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7.1.采购人信息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称：江苏省医疗保障局</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地址：南京市秦淮区建邺路168号</w:t>
      </w:r>
      <w:r/>
    </w:p>
    <w:p>
      <w:pPr>
        <w:ind w:firstLine="480"/>
        <w:spacing w:after="120"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联系方式：江峰，025-83290285</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7.2.采购代理机构信息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w:t>
      </w:r>
      <w:r>
        <w:rPr>
          <w:rFonts w:ascii="Times New Roman" w:hAnsi="Times New Roman" w:cs="Times New Roman"/>
          <w:sz w:val="24"/>
          <w:szCs w:val="24"/>
          <w:highlight w:val="none"/>
        </w:rPr>
        <w:t xml:space="preserve">中通服咨询设计研究院有限公司</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　址：</w:t>
      </w:r>
      <w:r>
        <w:rPr>
          <w:rFonts w:ascii="Times New Roman" w:hAnsi="Times New Roman" w:cs="Times New Roman"/>
          <w:sz w:val="24"/>
          <w:szCs w:val="24"/>
          <w:highlight w:val="none"/>
        </w:rPr>
        <w:t xml:space="preserve">南京市建邺区楠溪江东街58号</w:t>
      </w:r>
      <w:r/>
    </w:p>
    <w:p>
      <w:pPr>
        <w:ind w:left="1679" w:hanging="120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联系人：朱晓琦、陈沭</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联系电话：18021521325</w:t>
      </w:r>
      <w:r/>
    </w:p>
    <w:p>
      <w:pPr>
        <w:jc w:val="right"/>
        <w:spacing w:line="360" w:lineRule="auto"/>
        <w:rPr>
          <w:rFonts w:ascii="Times New Roman" w:hAnsi="Times New Roman" w:cs="Times New Roman"/>
          <w:highlight w:val="none"/>
        </w:rPr>
      </w:pPr>
      <w:r>
        <w:rPr>
          <w:rFonts w:ascii="Times New Roman" w:hAnsi="Times New Roman" w:cs="Times New Roman"/>
          <w:highlight w:val="none"/>
        </w:rPr>
      </w:r>
      <w:r/>
    </w:p>
    <w:p>
      <w:pPr>
        <w:rPr>
          <w:rFonts w:ascii="黑体" w:eastAsia="黑体" w:cs="黑体"/>
          <w:sz w:val="36"/>
          <w:szCs w:val="36"/>
          <w:highlight w:val="none"/>
          <w:lang w:val="zh-TW" w:eastAsia="zh-TW"/>
        </w:rPr>
      </w:pPr>
      <w:r/>
      <w:bookmarkStart w:id="7" w:name="_Toc10216"/>
      <w:r>
        <w:rPr>
          <w:rFonts w:ascii="黑体" w:eastAsia="黑体" w:cs="黑体"/>
          <w:sz w:val="36"/>
          <w:szCs w:val="36"/>
          <w:highlight w:val="none"/>
          <w:lang w:val="zh-TW" w:eastAsia="zh-TW"/>
        </w:rPr>
        <w:br w:type="page" w:clear="all"/>
      </w:r>
      <w:r/>
    </w:p>
    <w:p>
      <w:pPr>
        <w:ind w:right="720"/>
        <w:jc w:val="center"/>
        <w:spacing w:line="360" w:lineRule="auto"/>
        <w:widowControl/>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第二章  </w:t>
      </w:r>
      <w:r>
        <w:rPr>
          <w:rFonts w:hint="eastAsia" w:ascii="黑体" w:eastAsia="黑体" w:cs="黑体"/>
          <w:sz w:val="36"/>
          <w:szCs w:val="36"/>
          <w:highlight w:val="none"/>
          <w:lang w:val="zh-TW"/>
        </w:rPr>
        <w:t xml:space="preserve">投标人</w:t>
      </w:r>
      <w:r>
        <w:rPr>
          <w:rFonts w:ascii="黑体" w:eastAsia="黑体" w:cs="黑体"/>
          <w:sz w:val="36"/>
          <w:szCs w:val="36"/>
          <w:highlight w:val="none"/>
          <w:lang w:val="zh-TW" w:eastAsia="zh-TW"/>
        </w:rPr>
        <w:t xml:space="preserve">须知</w:t>
      </w:r>
      <w:bookmarkEnd w:id="4"/>
      <w:r/>
      <w:bookmarkEnd w:id="5"/>
      <w:r/>
      <w:bookmarkEnd w:id="6"/>
      <w:r/>
      <w:bookmarkEnd w:id="7"/>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一、总则</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w:t>
      </w:r>
      <w:r>
        <w:rPr>
          <w:rFonts w:ascii="Times New Roman" w:hAnsi="Times New Roman" w:cs="Times New Roman"/>
          <w:b/>
          <w:sz w:val="24"/>
          <w:szCs w:val="24"/>
          <w:highlight w:val="none"/>
        </w:rPr>
        <w:t xml:space="preserve">、采购方式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1.1本次采购采用公开招标方式，本招标文件仅适用于招标公告中所述项目。</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2、合格的投标人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2.1满足招标公告中投标人资质要求的规定。</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满足本文件实质性条款的规定。</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3、适用法律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3.1本次采购及由本次采购产生的合同受中华人民共和国有关法律法规制约和保护。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 政策功能</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 促进中小企业发展。在政府采购活动中，供应商提供的货物、项目或者服务符合下列情形的，享受中小企业扶持政策：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（2）在项目采购项目中，项目由中小企业承建，即项目施工单位为中小企业；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3.2.5 采购的产品属于信息安全产品的，供应商应当选择经国家认证的信息安全产品投标，并提供由中国信息安全认证中心按国家标准认证颁发的有效认证证书。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3.2.6 采购的产品属于政府强制采购节能产品的，供应商应当选择依据国家标准中二级能效（水效）指标认证的节能产品投标，并提供有效的节能产品认证证书。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3.2.7 采购的产品属于环境标志产品的,供应商应当选择依据相关标准的最新版本认证的环境标志产品投标,并提供有效的环境标志产品认证证书。</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ascii="Times New Roman" w:hAnsi="Times New Roman" w:cs="Times New Roman"/>
          <w:sz w:val="24"/>
          <w:szCs w:val="24"/>
          <w:highlight w:val="none"/>
        </w:rPr>
        <w:t xml:space="preserve">.2.8 除招标公告载明接受进口产品参加外</w:t>
      </w:r>
      <w:r>
        <w:rPr>
          <w:rFonts w:hint="eastAsia"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不允许进口产品参加</w:t>
      </w:r>
      <w:r>
        <w:rPr>
          <w:rFonts w:hint="eastAsia" w:ascii="Times New Roman" w:hAnsi="Times New Roman" w:cs="Times New Roman"/>
          <w:sz w:val="24"/>
          <w:szCs w:val="24"/>
          <w:highlight w:val="none"/>
        </w:rPr>
        <w:t xml:space="preserve">。进口产品认定依照《财政部办公厅关于政府采购进口产品管理有关问题的通知》（财办库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sz w:val="24"/>
          <w:szCs w:val="24"/>
          <w:highlight w:val="none"/>
        </w:rPr>
        <w:t xml:space="preserve">）的规定。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3.2.9本国产品支持政策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3.2.10 根据财库〔2026〕2号文件，评标委员会启动异常低价投标审查的情形和具体要求，包括：</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3.投标报价低于采购项目最高限价45%的，即投标报价&lt;采购项目最高限价×45%；</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二）评标委员会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w:t>
      </w: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1 未按要求提供相关材料的，不享受相关政策。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3.2.12 在本项目政府采购活动过程中，如果所执行的标准有更新的，按照最新标准执行。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4、投标费用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4.2</w:t>
      </w:r>
      <w:r>
        <w:rPr>
          <w:rFonts w:hint="eastAsia" w:ascii="Times New Roman" w:hAnsi="Times New Roman" w:cs="Times New Roman"/>
          <w:sz w:val="24"/>
          <w:szCs w:val="24"/>
          <w:highlight w:val="none"/>
        </w:rPr>
        <w:t xml:space="preserve">本项目不收取标书费，投标人免费从苏采云系统下载招标文件，招标代理服务费、本项目招标文件专家论证费由中标人支付，参照《江苏省政府采购代理服务收费指导意见》（苏政采协[2024]20号）所列招标代理服务费收费标准的55%收取。</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5、招标文件的约束力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5.1 </w:t>
      </w:r>
      <w:r>
        <w:rPr>
          <w:rFonts w:hint="eastAsia" w:ascii="宋体" w:hAnsi="宋体"/>
          <w:sz w:val="24"/>
          <w:szCs w:val="24"/>
          <w:highlight w:val="none"/>
        </w:rPr>
        <w:t xml:space="preserve">投标人一旦参加本项目采购活动，即被认为接受了本招标文件的规定和约束。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二、招标文件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6、招标文件的构成</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6.1招标文件由以下部分组成：</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公告</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（2）投标人须知</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（3）合同条款及格式</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（4）项目需求</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（5）评标方法与评标标准</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（6）投标文件格式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请仔细检查招标文件是否齐全，如有缺漏请立即与</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代理机构联系解决。</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7、招标文件的澄清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任何要求对招标文件进行澄清的投标人，均应在投标截止期前十日前以书面形式通知采购人。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8、招标文件的修改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8.l在投标截止日期前，无论何种原因，采购人均可主动或在解答投标人提出的澄清问题时对招标文件进行修改。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8.2招标文件的修改将在“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”网站上公布，并对所有投标人具有约束力。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8.3为使投标人编写标书有充分时间对标书文件的修改部分进行分析、研究，采购人有权</w:t>
      </w:r>
      <w:r>
        <w:rPr>
          <w:rFonts w:hint="eastAsia" w:ascii="Times New Roman" w:hAnsi="Times New Roman" w:cs="Times New Roman"/>
          <w:sz w:val="24"/>
          <w:szCs w:val="24"/>
          <w:highlight w:val="none"/>
        </w:rPr>
        <w:t xml:space="preserve">按照法定要求</w:t>
      </w:r>
      <w:r>
        <w:rPr>
          <w:rFonts w:ascii="Times New Roman" w:hAnsi="Times New Roman" w:cs="Times New Roman"/>
          <w:sz w:val="24"/>
          <w:szCs w:val="24"/>
          <w:highlight w:val="none"/>
        </w:rPr>
        <w:t xml:space="preserve">推迟投标截止日期和开标日期。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三、投标文件的编制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9、投标语言及度量衡单位</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9.1投标人提供的投标文件以及投标人与采购人就有关投标的所有来往通知、函件和文件均使用</w:t>
      </w:r>
      <w:r>
        <w:rPr>
          <w:rFonts w:ascii="Times New Roman" w:hAnsi="Times New Roman" w:cs="Times New Roman"/>
          <w:b/>
          <w:sz w:val="24"/>
          <w:szCs w:val="24"/>
          <w:highlight w:val="none"/>
        </w:rPr>
        <w:t xml:space="preserve">简体中文</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10、投标文件的构成</w:t>
      </w:r>
      <w:r>
        <w:rPr>
          <w:rFonts w:hint="eastAsia" w:ascii="Times New Roman" w:hAnsi="Times New Roman" w:cs="Times New Roman"/>
          <w:b/>
          <w:sz w:val="24"/>
          <w:szCs w:val="24"/>
          <w:highlight w:val="none"/>
        </w:rPr>
        <w:t xml:space="preserve">（相应内容上传至投标客户端，并签电子公章）</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投标人编写的投标文件应包括下列部分：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10.1投标文件目录；</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10.2投标函：须含投标人的开户名称、开户银行、账号、电话、传真、E-mail等联系方式；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10.3投标人资格证明材料；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详见招标文件第六章6.9 资格证明文件</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10.4开标一览表</w:t>
      </w:r>
      <w:r>
        <w:rPr>
          <w:rFonts w:hint="eastAsia" w:ascii="Times New Roman" w:hAnsi="Times New Roman" w:cs="Times New Roman"/>
          <w:sz w:val="24"/>
          <w:szCs w:val="24"/>
          <w:highlight w:val="none"/>
        </w:rPr>
        <w:t xml:space="preserve">: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中技术条款对本项目所投产品的技术指标响应进行准确描述，并附《</w:t>
      </w:r>
      <w:r>
        <w:rPr>
          <w:rFonts w:hint="eastAsia" w:ascii="Times New Roman" w:hAnsi="Times New Roman" w:cs="Times New Roman"/>
          <w:sz w:val="24"/>
          <w:szCs w:val="24"/>
          <w:highlight w:val="none"/>
        </w:rPr>
        <w:t xml:space="preserve">技术要求响应及偏离表</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t xml:space="preserve">定型产品</w:t>
      </w:r>
      <w:r>
        <w:rPr>
          <w:rFonts w:ascii="Times New Roman" w:hAnsi="Times New Roman" w:cs="Times New Roman"/>
          <w:sz w:val="24"/>
          <w:szCs w:val="24"/>
          <w:highlight w:val="none"/>
        </w:rPr>
        <w:t xml:space="preserve">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10.6投标人按照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中商务条款提供</w:t>
      </w:r>
      <w:r>
        <w:rPr>
          <w:rFonts w:hint="eastAsia" w:ascii="Times New Roman" w:hAnsi="Times New Roman" w:cs="Times New Roman"/>
          <w:sz w:val="24"/>
          <w:szCs w:val="24"/>
          <w:highlight w:val="none"/>
        </w:rPr>
        <w:t xml:space="preserve">交货安装、工期保证等方案以及产品售后服务和质量承诺</w:t>
      </w:r>
      <w:r>
        <w:rPr>
          <w:rFonts w:ascii="Times New Roman" w:hAnsi="Times New Roman" w:cs="Times New Roman"/>
          <w:sz w:val="24"/>
          <w:szCs w:val="24"/>
          <w:highlight w:val="none"/>
        </w:rPr>
        <w:t xml:space="preserve">，并附《</w:t>
      </w:r>
      <w:r>
        <w:rPr>
          <w:rFonts w:hint="eastAsia" w:ascii="Times New Roman" w:hAnsi="Times New Roman" w:cs="Times New Roman"/>
          <w:sz w:val="24"/>
          <w:szCs w:val="24"/>
          <w:highlight w:val="none"/>
        </w:rPr>
        <w:t xml:space="preserve">商务要求响应及偏离表</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10.7投标人的业绩情况；</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10.8投标人认为有必要提供的文件材料；</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10.9</w:t>
      </w:r>
      <w:r>
        <w:rPr>
          <w:rFonts w:hint="eastAsia" w:ascii="Times New Roman" w:hAnsi="Times New Roman" w:cs="Times New Roman"/>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11、其它费用处理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招标文件未列明，而投标单位认为必需的费用也需列入报价。</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12、投标保证金</w:t>
      </w:r>
      <w:r/>
    </w:p>
    <w:p>
      <w:pPr>
        <w:ind w:firstLine="482"/>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本次招标不收取投标保证金</w:t>
      </w:r>
      <w:r>
        <w:rPr>
          <w:rFonts w:hint="eastAsia" w:ascii="Times New Roman" w:hAnsi="Times New Roman" w:cs="Times New Roman"/>
          <w:b/>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13、投标有效期</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投标有效期为采购人规定的开标之日后九十</w:t>
      </w:r>
      <w:r>
        <w:rPr>
          <w:rFonts w:hint="eastAsia" w:ascii="Times New Roman" w:hAnsi="Times New Roman" w:cs="Times New Roman"/>
          <w:sz w:val="24"/>
          <w:szCs w:val="24"/>
          <w:highlight w:val="none"/>
        </w:rPr>
        <w:t xml:space="preserve">（90）</w:t>
      </w:r>
      <w:r>
        <w:rPr>
          <w:rFonts w:ascii="Times New Roman" w:hAnsi="Times New Roman" w:cs="Times New Roman"/>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sz w:val="24"/>
          <w:szCs w:val="24"/>
          <w:highlight w:val="none"/>
        </w:rPr>
        <w:t xml:space="preserve">投标人可以拒绝采购人的这一要求而放弃投标，</w:t>
      </w:r>
      <w:r>
        <w:rPr>
          <w:rFonts w:ascii="Times New Roman" w:hAnsi="Times New Roman" w:cs="Times New Roman"/>
          <w:sz w:val="24"/>
          <w:szCs w:val="24"/>
          <w:highlight w:val="none"/>
        </w:rPr>
        <w:t xml:space="preserve">采购人在接到投标人书面答复后，将在原投标有效期满后五日内</w:t>
      </w:r>
      <w:r>
        <w:rPr>
          <w:rFonts w:ascii="Times New Roman" w:hAnsi="Times New Roman" w:cs="Times New Roman"/>
          <w:bCs/>
          <w:sz w:val="24"/>
          <w:szCs w:val="24"/>
          <w:highlight w:val="none"/>
        </w:rPr>
        <w:t xml:space="preserve">无息退还其投标保证金</w:t>
      </w:r>
      <w:r>
        <w:rPr>
          <w:rFonts w:ascii="Times New Roman" w:hAnsi="Times New Roman" w:cs="Times New Roman"/>
          <w:sz w:val="24"/>
          <w:szCs w:val="24"/>
          <w:highlight w:val="none"/>
        </w:rPr>
        <w:t xml:space="preserve">。</w:t>
      </w:r>
      <w:r>
        <w:rPr>
          <w:rFonts w:ascii="Times New Roman" w:hAnsi="Times New Roman" w:cs="Times New Roman"/>
          <w:bCs/>
          <w:sz w:val="24"/>
          <w:szCs w:val="24"/>
          <w:highlight w:val="none"/>
        </w:rPr>
        <w:t xml:space="preserve">同意延</w:t>
      </w:r>
      <w:r>
        <w:rPr>
          <w:rFonts w:ascii="Times New Roman" w:hAnsi="Times New Roman" w:cs="Times New Roman"/>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14、</w:t>
      </w:r>
      <w:r>
        <w:rPr>
          <w:rFonts w:hint="eastAsia" w:ascii="Times New Roman" w:hAnsi="Times New Roman" w:cs="Times New Roman"/>
          <w:b/>
          <w:sz w:val="24"/>
          <w:szCs w:val="24"/>
          <w:highlight w:val="none"/>
        </w:rPr>
        <w:t xml:space="preserve">投标文件的编制要求和签署要求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14.2投标人应对 CA 证书妥善保管，如被他人盗用投标，因此带来的后果均由投标人自行承担。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14.3投标人应当对招标文件提出的要求和条件作出实质性响应，并在电子投标系统逐条应答。</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14.4投标人应对要求提供的资格证明文件（如资质证书、资格证书）、技术资料（如白皮书、彩页、手册、检测报告等）扫描上传至投标系统。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四、投标文件的递交</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15.电子投标文件的递交</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15.1投标人应当按照规定，在投标截止时间前制作并上传电子投标文件。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16.投标截止日期</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16.1 投标人上传电子投标文件的时间不得迟于招标公告中规定的投标截止时间。</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投标人应充分考虑到网络环境、网络带宽等风险因素，如因投标人自身原因造成的电子投标文件上传不成功的做无效投标处理。</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16.2 采购人及采购代理机构可以按照规定，通过修改招标文件酌情延长投标截止日期，在此情况下，投标人的所有权利和义务以及投标人受制的截止日期均应以延长后新的截止日期为准。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17.投标文件的拒收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17.1 采购人及采购代理机构拒绝接收在其规定的投标截止时间后上传的任何投标文件。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18.投标文件的撤回和修改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 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18.1.1 电子投标文件的撤回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投标人可在投标截止时间前，撤回其电子投标文件。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18.1.2 投标人撤回电子投标文件，则认为其不再参与本项目投标活动。</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 投标文件的修改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18.2.1投标人可在投标截止时间前，对其电子投标文件进行修改。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18.2.2 在投标截止时间之后，投标人不得对其电子投标文件作任何修改。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18.3 在投标截止时间至招标文件中规定的投标有效期满之间的这段时间内，投标人不得撤回其投标。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五、开标与评标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19、开标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19.1开标时间及地点。开标应当在招标文件确定的提交投标文件截止时间的同一时间公开进行；开标地点应当为招标文件中预先确定的地点。</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19.2由电子招标投标交易平台主持，邀请投标人参加。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19.3所有投标单位使用 CA 证书在开标时间时，解密各自投标文件，由工作人员操作系统进行开标，投标人不足3家的，不得开标。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20、评标过程的保密与公正</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21、投标的澄清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21.2 评标委员会应当通过“苏采云”系统要求投标人作出澄清、说明或者补正，并规定回复时间。投标人回复应当采用通过“苏采云”系统（使用“CA数字证书”,加盖电子签章）形式，将作为投标文件内容的一部分。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22、对投标文件的初审</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22.1投标文件初审分为资格性检查和符合性检查。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资格性检查：依据法律法规和招标文件的规定，由采购人对投标文件中的资格证明文件进行审查。资格审查的结论，采购人以书面形式向</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进行反馈。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符合性检查：依据招标文件的规定，由</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从投标文件的有效性、完整性和对招标文件的响应程度进行审查，以确定是否对招标文件的实质性要求作出响应。</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22.2在详细评标之前，</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三分</w:t>
      </w:r>
      <w:r>
        <w:rPr>
          <w:rFonts w:hint="eastAsia" w:ascii="Times New Roman" w:hAnsi="Times New Roman" w:cs="Times New Roman"/>
          <w:sz w:val="24"/>
          <w:szCs w:val="24"/>
          <w:highlight w:val="none"/>
        </w:rPr>
        <w:t xml:space="preserve">之</w:t>
      </w:r>
      <w:r>
        <w:rPr>
          <w:rFonts w:ascii="Times New Roman" w:hAnsi="Times New Roman" w:cs="Times New Roman"/>
          <w:sz w:val="24"/>
          <w:szCs w:val="24"/>
          <w:highlight w:val="none"/>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22.3如果投标文件实质上没有响应招标文件的要求，</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将予以拒绝，投标人不得通过修改或撤销不合要求的偏离或保留而使其投标成为实质性响应的投标。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22.4</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（1）投标文件中开标一览表（报价表）内容与投标文件中相应内容不一致的，以开标一览表（报价表）为准；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（2）大写金额和小写金额不一致的，以大写金额为准；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（3）单价金额小数点或者百分比有明显错位的，以开标一览表的总价为准，并修改单价；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（4）总价金额与按单价汇总金额不一致的，以单价金额计算结果为准。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22.5</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将按上述修正错误的方法调整投标文件中的投标报价，调整后的价格应对投标人具有约束力。如果投标人不接受修正后的价格，则其投标将被拒绝，其投标保证金不予退还。</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22.6</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将允许修正投标文件中不构成重大偏离的、微小的、非正规的、不一致的或不规则的地方，但这些修改不能影响任何投标人相应的名次排列。</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82"/>
        <w:spacing w:line="360" w:lineRule="auto"/>
        <w:shd w:val="clear" w:color="auto" w:fill="ffffff"/>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23、无效投标条款和废标条款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23.1无效投标条款：</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（1）投标人在苏采云系统规定的时间内未成功解密电子投标文件的。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（2）投标人未按照招标文件要求上传电子投标文件的。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（3）供应商不具备招标文件中规定资格要求的；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（4）供应商在报价时采用选择性报价；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（5）报价超过招标文件中规定的预算金额或者最高限价的；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（6）投标文件含有采购人不能接受的附加条件的；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（7）不同供应商的投标文件由同一单位或者个人编制；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（8）不同供应商委托同一单位或者个人办理投标事宜；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（9）不同供应商的投标文件载明的项目管理成员或联系人员为同一人；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（10）不同供应商的投标文件异常一致或者投标报价呈规律性差异；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（11）不同供应商的投标文件相互混装；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（12）不同供应商的法定代表人或委托代理人有夫妻、直系血亲关系的；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（13）不同供应商的负责人为同一人或者存在控股、管理关系的；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（14）不同供应商的委托代理人(或法定代表人、项目经理、项目总监、项目负责人等)在招标文件发布日上月至投标截止日当月在同一单位缴纳社会保险的；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（15）提供虚假材料的（包括工商营业执照、财务报表、资格证明文件等）；</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（16）未通过符合性检查的；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（18）不符合招标文件中规定的其它实质性要求的；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（19）投标人所投标产品不符合招标文件中所列国家强制性标准的；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（20）法律、法规和招标文件规定的其他无效情形。</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23.2</w:t>
      </w:r>
      <w:r>
        <w:rPr>
          <w:rFonts w:ascii="Times New Roman" w:hAnsi="Times New Roman" w:cs="Times New Roman"/>
          <w:bCs/>
          <w:sz w:val="24"/>
          <w:szCs w:val="24"/>
          <w:highlight w:val="none"/>
        </w:rPr>
        <w:t xml:space="preserve">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（1）符合专业条件的供应商或者对招标文件作实质响应的投标人不足三家的；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（2）出现影响采购公正的违法、违规行为的；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（3）因重大变故，采购任务取消的；</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（4）</w:t>
      </w:r>
      <w:r>
        <w:rPr>
          <w:rFonts w:hint="eastAsia" w:ascii="Times New Roman" w:hAnsi="Times New Roman" w:cs="Times New Roman"/>
          <w:sz w:val="24"/>
          <w:szCs w:val="24"/>
          <w:highlight w:val="none"/>
        </w:rPr>
        <w:t xml:space="preserve">评标委员会</w:t>
      </w:r>
      <w:r>
        <w:rPr>
          <w:rFonts w:ascii="Times New Roman" w:hAnsi="Times New Roman" w:cs="Times New Roman"/>
          <w:bCs/>
          <w:sz w:val="24"/>
          <w:szCs w:val="24"/>
          <w:highlight w:val="none"/>
        </w:rPr>
        <w:t xml:space="preserve">认定招标文件存在歧义、重大缺陷导致评审工作无法进行。</w:t>
      </w:r>
      <w:r/>
    </w:p>
    <w:p>
      <w:pPr>
        <w:pStyle w:val="923"/>
        <w:ind w:left="911" w:hanging="67"/>
        <w:rPr>
          <w:rFonts w:ascii="Times New Roman" w:eastAsia="宋体"/>
          <w:sz w:val="24"/>
          <w:szCs w:val="24"/>
          <w:highlight w:val="none"/>
        </w:rPr>
      </w:pPr>
      <w:r>
        <w:rPr>
          <w:rFonts w:hint="eastAsia" w:ascii="Times New Roman" w:eastAsia="宋体"/>
          <w:sz w:val="24"/>
          <w:szCs w:val="24"/>
          <w:highlight w:val="none"/>
        </w:rPr>
        <w:t xml:space="preserve">在评标期间，通过资格审查或符合性审查的投标人不足3家情形的，比照22.7款执行。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六、定标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24、确定中标单位</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24.1评标委员会首先对所有合格投标人按评标办法进行打分，根据综合得分，由高到低排列，向采购人推荐中标候选人。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24.2中标人名单将在“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”上进行公示。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24.3若有充分证据证明，中标人出现下列情况之一的，一经查实，将被取消中标资格：</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（1）提供虚假材料谋取中标的；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（2）与评审专家、采购人或者其他供应商恶意串通的；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（3）向评审专家、采购人行贿或者提供其它不正当利益的；</w:t>
      </w:r>
      <w:r/>
    </w:p>
    <w:p>
      <w:pPr>
        <w:ind w:left="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（4）恶意竞争，投标总报价明显低于其自身合理成本且又无法提供证明的；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（5）不满足本招标文件规定的实质性要求，但在评标过程中又未被</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发现的；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（6）不符合法律、法规的规定的其它情形。</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24.4有下列情形之一的，视为投标人串通投标，投标无效：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（1）不同投标人的投标文件由同一单位或者个人编制。</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（2）不同投标人委托同一单位或者个人办理投标事宜。</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（4）不同投标人的投标文件异常一致或者投标报价呈规律性差异。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（5）不同投标人的投标文件相互混装。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（6）不同投标人的投标保证金从同一单位或者个人的账户转出。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25、质疑处理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（1）对可以质疑的招标文件提出质疑的，为收到招标文件之日或者招标文件公告期限届满之日；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（2）对采购过程提出质疑的，为各采购程序环节结束之日；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（3）对中标或者成交结果提出质疑的，为中标或者成交结果公告期限届满之日。</w:t>
      </w:r>
      <w:r/>
    </w:p>
    <w:p>
      <w:pPr>
        <w:ind w:firstLine="472"/>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25.3未参加投标的供应商或在投标活动中本身权益未受到损害或从投标活动中受益的供应商所提出的质疑也不予受理。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25.5采购人将在收到投标供应商的书面质疑后在规定时间内作出答复，但答复的内容不得涉及商业秘密。</w:t>
      </w:r>
      <w:r/>
    </w:p>
    <w:p>
      <w:pPr>
        <w:ind w:firstLine="470"/>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26、中标通知书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26.l中标结果质疑期满后，采购人将向中标供应商发出中标通知书。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七、授予合同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27、签订合同</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27.1中标人在</w:t>
      </w:r>
      <w:r>
        <w:rPr>
          <w:rFonts w:ascii="Times New Roman" w:hAnsi="Times New Roman" w:cs="Times New Roman"/>
          <w:sz w:val="24"/>
          <w:szCs w:val="24"/>
          <w:highlight w:val="none"/>
        </w:rPr>
        <w:t xml:space="preserve">中标通知书发出之日</w:t>
      </w:r>
      <w:r>
        <w:rPr>
          <w:rFonts w:ascii="Times New Roman" w:hAnsi="Times New Roman" w:cs="Times New Roman"/>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27.2招标文件、中标人的投标文件及澄清文件等，均为签订合同的依据。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p>
    <w:p>
      <w:pPr>
        <w:pStyle w:val="922"/>
        <w:ind w:firstLine="241"/>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八、其他</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28、踏勘现场</w:t>
      </w:r>
      <w:r/>
    </w:p>
    <w:p>
      <w:pPr>
        <w:ind w:firstLine="480"/>
        <w:jc w:val="left"/>
        <w:spacing w:line="360" w:lineRule="auto"/>
        <w:widowControl/>
        <w:rPr>
          <w:rFonts w:ascii="Times New Roman" w:hAnsi="Times New Roman" w:cs="Times New Roman"/>
          <w:highlight w:val="none"/>
        </w:rPr>
      </w:pPr>
      <w:r>
        <w:rPr>
          <w:rFonts w:hint="eastAsia" w:ascii="Times New Roman" w:hAnsi="Times New Roman" w:cs="Times New Roman"/>
          <w:sz w:val="24"/>
          <w:szCs w:val="28"/>
          <w:highlight w:val="none"/>
        </w:rPr>
        <w:t xml:space="preserve">28.1招标人不组织投标人踏勘现场。</w:t>
      </w:r>
      <w:r/>
    </w:p>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rPr>
        <w:outlineLvl w:val="0"/>
      </w:pPr>
      <w:r/>
      <w:bookmarkStart w:id="8" w:name="_Toc28020"/>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三</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合同条款及格式</w:t>
      </w:r>
      <w:bookmarkEnd w:id="8"/>
      <w:r/>
      <w:r/>
    </w:p>
    <w:p>
      <w:pPr>
        <w:ind w:firstLine="480"/>
        <w:jc w:val="left"/>
        <w:spacing w:line="400" w:lineRule="exact"/>
        <w:rPr>
          <w:rFonts w:ascii="宋体" w:cs="宋体"/>
          <w:sz w:val="24"/>
          <w:szCs w:val="24"/>
          <w:highlight w:val="none"/>
        </w:rPr>
      </w:pPr>
      <w:r/>
      <w:bookmarkStart w:id="9" w:name="_Toc20823315"/>
      <w:r/>
      <w:bookmarkStart w:id="10" w:name="_Toc513029243"/>
      <w:r/>
      <w:bookmarkStart w:id="11" w:name="_Toc16938559"/>
      <w:r>
        <w:rPr>
          <w:rFonts w:hint="eastAsia" w:ascii="宋体" w:cs="宋体"/>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bookmarkEnd w:id="10"/>
      <w:r/>
      <w:bookmarkEnd w:id="11"/>
      <w:r/>
      <w:r/>
    </w:p>
    <w:p>
      <w:pPr>
        <w:rPr>
          <w:highlight w:val="none"/>
        </w:rPr>
      </w:pPr>
      <w:r>
        <w:rPr>
          <w:highlight w:val="none"/>
        </w:rPr>
      </w:r>
      <w:r/>
    </w:p>
    <w:p>
      <w:pPr>
        <w:jc w:val="center"/>
        <w:spacing w:before="145" w:after="145"/>
        <w:rPr>
          <w:rFonts w:ascii="Times New Roman" w:hAnsi="Times New Roman" w:cs="Times New Roman"/>
          <w:b/>
          <w:sz w:val="30"/>
          <w:szCs w:val="20"/>
          <w:highlight w:val="none"/>
        </w:rPr>
      </w:pPr>
      <w:r>
        <w:rPr>
          <w:rFonts w:hint="eastAsia" w:ascii="Times New Roman" w:hAnsi="Times New Roman" w:cs="Times New Roman"/>
          <w:b/>
          <w:sz w:val="30"/>
          <w:highlight w:val="none"/>
        </w:rPr>
        <w:t xml:space="preserve">江苏省政府采购合同（服务）（合同编号）</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项目名称：江苏省医疗保障局第三方软件评测服务</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甲方：（买方）江苏省医疗保障局</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乙方：（卖方）</w:t>
      </w:r>
      <w:r>
        <w:rPr>
          <w:rFonts w:ascii="Times New Roman" w:hAnsi="Times New Roman" w:eastAsia="方正仿宋_GBK" w:cs="Times New Roman"/>
          <w:sz w:val="28"/>
          <w:szCs w:val="28"/>
          <w:highlight w:val="none"/>
          <w:u w:val="single"/>
        </w:rPr>
        <w:t xml:space="preserve">                    </w:t>
      </w:r>
      <w:r/>
    </w:p>
    <w:p>
      <w:pPr>
        <w:ind w:firstLine="552"/>
        <w:spacing w:line="560" w:lineRule="exact"/>
        <w:rPr>
          <w:rFonts w:ascii="Times New Roman" w:hAnsi="Times New Roman" w:eastAsia="方正仿宋_GBK" w:cs="Times New Roman"/>
          <w:b/>
          <w:sz w:val="28"/>
          <w:szCs w:val="28"/>
          <w:highlight w:val="none"/>
        </w:rPr>
      </w:pPr>
      <w:r>
        <w:rPr>
          <w:rFonts w:hint="eastAsia" w:ascii="Times New Roman" w:hAnsi="Times New Roman" w:eastAsia="方正仿宋_GBK" w:cs="Times New Roman"/>
          <w:sz w:val="28"/>
          <w:szCs w:val="28"/>
          <w:highlight w:val="none"/>
        </w:rPr>
        <w:t xml:space="preserve">甲、乙双方根据江苏省政府采购中心</w:t>
      </w:r>
      <w:r>
        <w:rPr>
          <w:rFonts w:hint="eastAsia" w:ascii="Times New Roman" w:hAnsi="Times New Roman" w:eastAsia="方正仿宋_GBK" w:cs="Times New Roman"/>
          <w:sz w:val="28"/>
          <w:szCs w:val="28"/>
          <w:highlight w:val="none"/>
          <w:lang w:eastAsia="zh-CN"/>
        </w:rPr>
        <w:t xml:space="preserve">江苏省医疗保障局第三方软件评测服务项目(2026）</w:t>
      </w:r>
      <w:r>
        <w:rPr>
          <w:rFonts w:hint="eastAsia" w:ascii="Times New Roman" w:hAnsi="Times New Roman" w:eastAsia="方正仿宋_GBK" w:cs="Times New Roman"/>
          <w:sz w:val="28"/>
          <w:szCs w:val="28"/>
          <w:highlight w:val="none"/>
        </w:rPr>
        <w:t xml:space="preserve">公开招标的结果，签署本合同。</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一、合同内容</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1.1 标的名称：</w:t>
      </w:r>
      <w:r>
        <w:rPr>
          <w:rFonts w:hint="eastAsia" w:ascii="Times New Roman" w:hAnsi="Times New Roman" w:eastAsia="方正仿宋_GBK"/>
          <w:sz w:val="28"/>
          <w:szCs w:val="28"/>
          <w:highlight w:val="none"/>
          <w:lang w:eastAsia="zh-CN"/>
        </w:rPr>
        <w:t xml:space="preserve">江苏省医疗保障局第三方软件评测服务项目(2026）</w:t>
      </w:r>
      <w:r>
        <w:rPr>
          <w:rFonts w:hint="eastAsia" w:ascii="Times New Roman" w:hAnsi="Times New Roman" w:eastAsia="方正仿宋_GBK"/>
          <w:sz w:val="28"/>
          <w:szCs w:val="28"/>
          <w:highlight w:val="none"/>
        </w:rPr>
        <w:t xml:space="preserve"> (2026)</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1.2 标的质量：按招标文件要求</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1.3 标的数量（规模）：1套</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1.4 服务期限：自合同签订之日起24个月。</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1.5 履行地点：甲方指定</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1.6 服务内容及履行方式：甲方指定，并且乙方应按照招投标文件的要求提供服务，包括但不限于招投标文件采购需求第四条服务范围及内容中的服务范围、监理服务内容、造价服务内容、测试服务内容，第六条中的服务依据、服务要求成果和考核、人员要求、履约能力要求、项目文档要求、项目验收要求、知识产权要求、保密要求及其他要求。</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二、合同金额</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 </w:t>
      </w:r>
      <w:r>
        <w:rPr>
          <w:rFonts w:hint="eastAsia" w:ascii="Times New Roman" w:hAnsi="Times New Roman" w:eastAsia="方正仿宋_GBK"/>
          <w:sz w:val="28"/>
          <w:szCs w:val="28"/>
          <w:highlight w:val="none"/>
        </w:rPr>
        <w:t xml:space="preserve">本合同金额为人民币</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元（含税），大写</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圆（含税）。</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三、技术资料</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3.1 </w:t>
      </w:r>
      <w:r>
        <w:rPr>
          <w:rFonts w:hint="eastAsia" w:ascii="Times New Roman" w:hAnsi="Times New Roman" w:eastAsia="方正仿宋_GBK"/>
          <w:sz w:val="28"/>
          <w:szCs w:val="28"/>
          <w:highlight w:val="none"/>
        </w:rPr>
        <w:t xml:space="preserve">乙方应按照招投标文件规定的时间及内容向甲方提供服务（包含与服务相关的货物）的有关技术资料。</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3.2 </w:t>
      </w:r>
      <w:r>
        <w:rPr>
          <w:rFonts w:hint="eastAsia" w:ascii="Times New Roman" w:hAnsi="Times New Roman" w:eastAsia="方正仿宋_GBK"/>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四、知识产权</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 </w:t>
      </w:r>
      <w:r>
        <w:rPr>
          <w:rFonts w:hint="eastAsia" w:ascii="Times New Roman" w:hAnsi="Times New Roman" w:eastAsia="方正仿宋_GBK"/>
          <w:sz w:val="28"/>
          <w:szCs w:val="28"/>
          <w:highlight w:val="none"/>
        </w:rPr>
        <w:t xml:space="preserve">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 </w:t>
      </w:r>
      <w:r>
        <w:rPr>
          <w:rFonts w:hint="eastAsia" w:ascii="Times New Roman" w:hAnsi="Times New Roman" w:eastAsia="方正仿宋_GBK"/>
          <w:sz w:val="28"/>
          <w:szCs w:val="28"/>
          <w:highlight w:val="none"/>
        </w:rPr>
        <w:t xml:space="preserve">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4.3 </w:t>
      </w:r>
      <w:r>
        <w:rPr>
          <w:rFonts w:hint="eastAsia" w:ascii="Times New Roman" w:hAnsi="Times New Roman" w:eastAsia="方正仿宋_GBK"/>
          <w:sz w:val="28"/>
          <w:szCs w:val="28"/>
          <w:highlight w:val="none"/>
        </w:rPr>
        <w:t xml:space="preserve">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4.4 </w:t>
      </w:r>
      <w:r>
        <w:rPr>
          <w:rFonts w:hint="eastAsia" w:ascii="Times New Roman" w:hAnsi="Times New Roman" w:eastAsia="方正仿宋_GBK"/>
          <w:sz w:val="28"/>
          <w:szCs w:val="28"/>
          <w:highlight w:val="none"/>
        </w:rPr>
        <w:t xml:space="preserve">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五、产权担保</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5.1 </w:t>
      </w:r>
      <w:r>
        <w:rPr>
          <w:rFonts w:hint="eastAsia" w:ascii="Times New Roman" w:hAnsi="Times New Roman" w:eastAsia="方正仿宋_GBK"/>
          <w:sz w:val="28"/>
          <w:szCs w:val="28"/>
          <w:highlight w:val="none"/>
        </w:rPr>
        <w:t xml:space="preserve">乙方保证所交付的服务（包含与服务相关的货物）的所有权完全属于乙方且无任何抵押、查封等产权瑕疵。</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5.2 </w:t>
      </w:r>
      <w:r>
        <w:rPr>
          <w:rFonts w:hint="eastAsia" w:ascii="Times New Roman" w:hAnsi="Times New Roman" w:eastAsia="方正仿宋_GBK"/>
          <w:sz w:val="28"/>
          <w:szCs w:val="28"/>
          <w:highlight w:val="none"/>
        </w:rPr>
        <w:t xml:space="preserve">如果因乙方交付的服务权属有瑕疵导致合同中止履行或造成甲方损失的，乙方应支付相当于合同总价款30%的违约金，如果因此造成甲方损失的，乙方应另行赔偿实际损失。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5.3 </w:t>
      </w:r>
      <w:r>
        <w:rPr>
          <w:rFonts w:hint="eastAsia" w:ascii="Times New Roman" w:hAnsi="Times New Roman" w:eastAsia="方正仿宋_GBK"/>
          <w:sz w:val="28"/>
          <w:szCs w:val="28"/>
          <w:highlight w:val="none"/>
        </w:rPr>
        <w:t xml:space="preserve">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六、履约保证金</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6.1 </w:t>
      </w:r>
      <w:r>
        <w:rPr>
          <w:rFonts w:hint="eastAsia" w:ascii="Times New Roman" w:hAnsi="Times New Roman" w:eastAsia="方正仿宋_GBK"/>
          <w:sz w:val="28"/>
          <w:szCs w:val="28"/>
          <w:highlight w:val="none"/>
        </w:rPr>
        <w:t xml:space="preserve">本项目履约保证金为合同总价的5%，</w:t>
      </w:r>
      <w:bookmarkStart w:id="12" w:name="_Hlk200004316"/>
      <w:r>
        <w:rPr>
          <w:rFonts w:hint="eastAsia" w:ascii="Times New Roman" w:hAnsi="Times New Roman" w:eastAsia="方正仿宋_GBK"/>
          <w:sz w:val="28"/>
          <w:szCs w:val="28"/>
          <w:highlight w:val="none"/>
        </w:rPr>
        <w:t xml:space="preserve">乙方以电子履约保函（保险）的形式提交给甲方</w:t>
      </w:r>
      <w:bookmarkEnd w:id="12"/>
      <w:r>
        <w:rPr>
          <w:rFonts w:hint="eastAsia" w:ascii="Times New Roman" w:hAnsi="Times New Roman" w:eastAsia="方正仿宋_GBK"/>
          <w:sz w:val="28"/>
          <w:szCs w:val="28"/>
          <w:highlight w:val="none"/>
        </w:rPr>
        <w:t xml:space="preserve">，乙方未缴纳履约保证金的，甲方有权拒绝签订书面合同，并不承担任何法律责任。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6.2 </w:t>
      </w:r>
      <w:r>
        <w:rPr>
          <w:rFonts w:hint="eastAsia" w:ascii="Times New Roman" w:hAnsi="Times New Roman" w:eastAsia="方正仿宋_GBK"/>
          <w:sz w:val="28"/>
          <w:szCs w:val="28"/>
          <w:highlight w:val="none"/>
        </w:rPr>
        <w:t xml:space="preserve">履约保证金的有效期为截至甲方书面验收合格之日止，甲方应在验收合格后7个工作日内且扣除乙方应支付的违约金或赔偿金等后将履约保证金无息退还给乙方。乙方因自身原因未能完全履行合同导致合同终止或解除的，履约保证金不予退回。</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6.3 </w:t>
      </w:r>
      <w:r>
        <w:rPr>
          <w:rFonts w:hint="eastAsia" w:ascii="Times New Roman" w:hAnsi="Times New Roman" w:eastAsia="方正仿宋_GBK"/>
          <w:sz w:val="28"/>
          <w:szCs w:val="28"/>
          <w:highlight w:val="none"/>
        </w:rPr>
        <w:t xml:space="preserve">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6.4 </w:t>
      </w:r>
      <w:r>
        <w:rPr>
          <w:rFonts w:hint="eastAsia" w:ascii="Times New Roman" w:hAnsi="Times New Roman" w:eastAsia="方正仿宋_GBK"/>
          <w:sz w:val="28"/>
          <w:szCs w:val="28"/>
          <w:highlight w:val="none"/>
        </w:rPr>
        <w:t xml:space="preserve">履约保证金账号信息：</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名称：</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纳税人识别号：</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地址：</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电话：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开户行：</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账号：</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七、合同转包或分包</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7.1 </w:t>
      </w:r>
      <w:r>
        <w:rPr>
          <w:rFonts w:hint="eastAsia" w:ascii="Times New Roman" w:hAnsi="Times New Roman" w:eastAsia="方正仿宋_GBK"/>
          <w:sz w:val="28"/>
          <w:szCs w:val="28"/>
          <w:highlight w:val="none"/>
        </w:rPr>
        <w:t xml:space="preserve">乙方不得将合同标的转包给他人履行。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7.2 </w:t>
      </w:r>
      <w:r>
        <w:rPr>
          <w:rFonts w:hint="eastAsia" w:ascii="Times New Roman" w:hAnsi="Times New Roman" w:eastAsia="方正仿宋_GBK"/>
          <w:sz w:val="28"/>
          <w:szCs w:val="28"/>
          <w:highlight w:val="none"/>
        </w:rPr>
        <w:t xml:space="preserve">乙方不得将合同标的分包给他人履行。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7.3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八、合同款项支付</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8.1</w:t>
      </w:r>
      <w:r>
        <w:rPr>
          <w:rFonts w:hint="eastAsia" w:ascii="Times New Roman" w:hAnsi="Times New Roman" w:eastAsia="方正仿宋_GBK"/>
          <w:sz w:val="28"/>
          <w:szCs w:val="28"/>
          <w:highlight w:val="none"/>
        </w:rPr>
        <w:t xml:space="preserve">签订合同且本项目所需的全部服务人员进场后，甲方向乙方支付合同总价3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8.2</w:t>
      </w:r>
      <w:r>
        <w:rPr>
          <w:rFonts w:hint="eastAsia" w:ascii="Times New Roman" w:hAnsi="Times New Roman" w:eastAsia="方正仿宋_GBK"/>
          <w:sz w:val="28"/>
          <w:szCs w:val="28"/>
          <w:highlight w:val="none"/>
        </w:rPr>
        <w:t xml:space="preserve">签订合同后服务满12个月，乙方需向甲方提供12个月内的项目服务报告和文档，甲方应成立验收组对服务内容、质量和效果开展阶段性验收，并根据项目绩效考核评分细则形成考核评价分数。甲方应在乙方考核评价分数出具后支付该阶段的合同价款，如果乙方考核评价分数为100分的，甲方应自乙方考核评价分数出具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该节点合同款项原则上不予支付，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8.3</w:t>
      </w:r>
      <w:r>
        <w:rPr>
          <w:rFonts w:hint="eastAsia" w:ascii="Times New Roman" w:hAnsi="Times New Roman" w:eastAsia="方正仿宋_GBK"/>
          <w:sz w:val="28"/>
          <w:szCs w:val="28"/>
          <w:highlight w:val="none"/>
        </w:rPr>
        <w:t xml:space="preserve">服务期满后，乙方需向甲方提供完整的本项目维护报告和文档，甲方应成立验收组对服务内容、质量和效果开展最终验收，并根据项目绩效考核评分细则形成考核评价分数。甲方应在乙方考核评价分数出具后支付该阶段的合同价款，如果乙方考核评价分数为100分的，甲方应自乙方考核评价分数出具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8.4</w:t>
      </w:r>
      <w:r>
        <w:rPr>
          <w:rFonts w:hint="eastAsia" w:ascii="Times New Roman" w:hAnsi="Times New Roman" w:eastAsia="方正仿宋_GBK"/>
          <w:sz w:val="28"/>
          <w:szCs w:val="28"/>
          <w:highlight w:val="none"/>
        </w:rPr>
        <w:t xml:space="preserve">每次付款前，乙方应提前向甲方开具等额增值税发票，甲方在收到乙方发票后1个月内支付相应款项，甲方未收到开票或乙方开具发票不合格的，有权拒绝付款。</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九、税费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9.1 </w:t>
      </w:r>
      <w:r>
        <w:rPr>
          <w:rFonts w:hint="eastAsia" w:ascii="Times New Roman" w:hAnsi="Times New Roman" w:eastAsia="方正仿宋_GBK"/>
          <w:sz w:val="28"/>
          <w:szCs w:val="28"/>
          <w:highlight w:val="none"/>
        </w:rPr>
        <w:t xml:space="preserve">本合同执行中产生的相关一切税费均由乙方负担。</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十、项目验收</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10.1</w:t>
      </w:r>
      <w:r>
        <w:rPr>
          <w:rFonts w:hint="eastAsia" w:ascii="Times New Roman" w:hAnsi="Times New Roman" w:eastAsia="方正仿宋_GBK"/>
          <w:sz w:val="28"/>
          <w:szCs w:val="28"/>
          <w:highlight w:val="none"/>
        </w:rPr>
        <w:t xml:space="preserve">甲方有权组织验收工作，包括签订合同后服务满12个月的阶段性验收以及服务期满后的最终验收，甲方在验收的同时可以根据招投标文件及合同的约定进行综合考核评价。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10.2 </w:t>
      </w:r>
      <w:r>
        <w:rPr>
          <w:rFonts w:hint="eastAsia" w:ascii="Times New Roman" w:hAnsi="Times New Roman" w:eastAsia="方正仿宋_GBK"/>
          <w:sz w:val="28"/>
          <w:szCs w:val="28"/>
          <w:highlight w:val="none"/>
        </w:rPr>
        <w:t xml:space="preserve">甲方在每次组织履约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10.3 </w:t>
      </w:r>
      <w:r>
        <w:rPr>
          <w:rFonts w:hint="eastAsia" w:ascii="Times New Roman" w:hAnsi="Times New Roman" w:eastAsia="方正仿宋_GBK"/>
          <w:sz w:val="28"/>
          <w:szCs w:val="28"/>
          <w:highlight w:val="none"/>
        </w:rPr>
        <w:t xml:space="preserve">对于实际使用人和甲方分离的项目，甲方有权邀请实际使用人参与验收和综合考核评价。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10.4 </w:t>
      </w:r>
      <w:r>
        <w:rPr>
          <w:rFonts w:hint="eastAsia" w:ascii="Times New Roman" w:hAnsi="Times New Roman" w:eastAsia="方正仿宋_GBK"/>
          <w:sz w:val="28"/>
          <w:szCs w:val="28"/>
          <w:highlight w:val="none"/>
        </w:rPr>
        <w:t xml:space="preserve">如有必要，甲方有权邀请参加江苏省医疗保障信息平台建设的其他承建厂商或第三方专业机构及专家参与验收和综合考核评价。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10.5</w:t>
      </w:r>
      <w:r>
        <w:rPr>
          <w:rFonts w:hint="eastAsia" w:ascii="Times New Roman" w:hAnsi="Times New Roman" w:eastAsia="方正仿宋_GBK"/>
          <w:sz w:val="28"/>
          <w:szCs w:val="28"/>
          <w:highlight w:val="none"/>
        </w:rPr>
        <w:t xml:space="preserve">乙方应在每次验收时间到达后主动向甲方提供相应服务期内的项目维护报告和文档，甲方在收到上述材料后五个工作日成立验收小组，并按照招投标文件及合同约定对乙方的履约情况进行验收。验收时，甲方有权按照招投标文件及合同约定对每一项技术、服务、安全标准的履约情况进行确认。</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10.6 </w:t>
      </w:r>
      <w:r>
        <w:rPr>
          <w:rFonts w:hint="eastAsia" w:ascii="Times New Roman" w:hAnsi="Times New Roman" w:eastAsia="方正仿宋_GBK"/>
          <w:sz w:val="28"/>
          <w:szCs w:val="28"/>
          <w:highlight w:val="none"/>
        </w:rPr>
        <w:t xml:space="preserve">甲方验收小组应于每次验收结束后3个工作日内出具验收书，列明各项标准的验收情况及项目总体评价，由验收双方共同签署。如甲方未在上述期内验收且未就乙方服务质量提出书面异议，视为验收合格。</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10.7 </w:t>
      </w:r>
      <w:r>
        <w:rPr>
          <w:rFonts w:hint="eastAsia" w:ascii="Times New Roman" w:hAnsi="Times New Roman" w:eastAsia="方正仿宋_GBK"/>
          <w:sz w:val="28"/>
          <w:szCs w:val="28"/>
          <w:highlight w:val="none"/>
        </w:rPr>
        <w:t xml:space="preserve">验收结果与招投标文件及合同约定的合同价款支付条件挂钩，履约验收的各项资料存档备查。验收合格的项目，甲方根据合同的约定及时向乙方支付合同款项。验收不合格的项目，乙方应在甲方要求的期限内进行整改。</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10.8 </w:t>
      </w:r>
      <w:r>
        <w:rPr>
          <w:rFonts w:hint="eastAsia" w:ascii="Times New Roman" w:hAnsi="Times New Roman" w:eastAsia="方正仿宋_GBK"/>
          <w:sz w:val="28"/>
          <w:szCs w:val="28"/>
          <w:highlight w:val="none"/>
        </w:rPr>
        <w:t xml:space="preserve">乙方在履约过程中出现政府采购法律法规规定的违法违规情形的，甲方将及时报告本级财政部门。</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十一、违约责任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如果因乙方原因，导致医保信息平台运行故障不能正常运行或医保数据泄露，只要乙方一旦发生上述情形且不管持续时间长短，乙方应支付合同总价款10%的违约金，违约金不足以弥补损失的（包括给甲方及其他第三人造成的损失），甲方有权要求乙方按照实际损失赔偿；乙方在服务期内连续两次发生一级故障或引发重大社会舆情的严重网络安全事件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根据第8.2条第（4）款及第8.3条第（4）款约定，乙方考核评价得分在75分以下，且甲方直接解除合同的，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未按约定足额配备服务人员，或未经甲方许可更换服务人员，且在甲方发出书面整改通知之后10个工作日未完成整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.5</w:t>
      </w:r>
      <w:r>
        <w:rPr>
          <w:rFonts w:hint="eastAsia" w:ascii="Times New Roman" w:hAnsi="Times New Roman" w:eastAsia="方正仿宋_GBK"/>
          <w:sz w:val="28"/>
          <w:szCs w:val="28"/>
          <w:highlight w:val="none"/>
        </w:rPr>
        <w:t xml:space="preserve">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.6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.7 </w:t>
      </w:r>
      <w:r>
        <w:rPr>
          <w:rFonts w:hint="eastAsia" w:ascii="Times New Roman" w:hAnsi="Times New Roman" w:eastAsia="方正仿宋_GBK"/>
          <w:sz w:val="28"/>
          <w:szCs w:val="28"/>
          <w:highlight w:val="none"/>
        </w:rPr>
        <w:t xml:space="preserve">乙方在提供服务时，如果造成甲方财产、甲方人员人身财产损失的，由乙方负责赔偿。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.8 </w:t>
      </w:r>
      <w:r>
        <w:rPr>
          <w:rFonts w:hint="eastAsia" w:ascii="Times New Roman" w:hAnsi="Times New Roman" w:eastAsia="方正仿宋_GBK"/>
          <w:sz w:val="28"/>
          <w:szCs w:val="28"/>
          <w:highlight w:val="none"/>
        </w:rPr>
        <w:t xml:space="preserve">乙方在提供服务时，应对自身人员的安全负责，乙方人员发生的人身财产损失与甲方无关。</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.9 </w:t>
      </w:r>
      <w:r>
        <w:rPr>
          <w:rFonts w:hint="eastAsia" w:ascii="Times New Roman" w:hAnsi="Times New Roman" w:eastAsia="方正仿宋_GBK"/>
          <w:sz w:val="28"/>
          <w:szCs w:val="28"/>
          <w:highlight w:val="none"/>
        </w:rPr>
        <w:t xml:space="preserve">如果因乙方原因（包括但不限于乙方提供的服务不当、乙方违约等）造成第三人人身财产损失的，乙方除按本合同约定向甲方支付违约赔偿金外，还应赔偿第三人因此造成的损失。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.10 </w:t>
      </w:r>
      <w:r>
        <w:rPr>
          <w:rFonts w:hint="eastAsia" w:ascii="Times New Roman" w:hAnsi="Times New Roman" w:eastAsia="方正仿宋_GBK"/>
          <w:sz w:val="28"/>
          <w:szCs w:val="28"/>
          <w:highlight w:val="none"/>
        </w:rPr>
        <w:t xml:space="preserve">因一方违约产生的费用，包括但不限于律师费、差旅费、诉讼费、保全费、执行费、诉讼财产保全责任险费、执行费等，由败诉方全额承担。</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十二、保密责任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双方确认本项目中所有内部资料、技术文档、开发源代码、系统部署资料、系统数据（包含原始数据和衍生数据）全部为甲方所有，全部列入保密范围，乙方不得未经甲方许可的情况下复制、加工、共享、应用和提供给第三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乙方必须与甲方签订保密协议并严格遵守。乙方提供的全部项目服务人员必须通过安全背景审查并签订保密承诺书，承诺内容需得到甲方认可，并与保密协议一并提交给甲方。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本条约定的乙方保密责任，不因合同终止或解除而予以免除，在未经甲方书面免除乙方保密责任的情况下，乙方应当一直遵守本条款的保密责任。</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十三、不可抗力事件处理</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在合同有效期内，任何一方因不可抗力事件导致不能履行合同，则合同履行期可延长，其延长期与不可抗力影响期相同。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不可抗力事件发生后，应立即通知对方，并寄送有关权威机构出具的证明。</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不可抗力事件延续120天以上，双方应通过友好协商，确定是否继续履行合同。</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十四、解决争议的方法</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14.1 双方在签订、履行合同中所发生的一切争议，应通过友好协商解决。如协商不成，向甲方所在地有管辖权的人民法院提起诉讼。</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十五、合同生效及其它</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合同经双方法定代表人或授权委托代表人签字并加盖单位公章后生效。</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本合同未尽事宜，遵照中华人民共和国现行法律法规有关条文执行。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本合同正本一式肆份，具有同等法律效力，甲方叁份，乙方一份。</w:t>
      </w:r>
      <w:r/>
    </w:p>
    <w:p>
      <w:pPr>
        <w:ind w:firstLine="552"/>
        <w:spacing w:line="560" w:lineRule="exact"/>
        <w:rPr>
          <w:rFonts w:ascii="Times New Roman" w:hAnsi="Times New Roman" w:eastAsia="方正仿宋_GBK" w:cs="Courier New"/>
          <w:sz w:val="28"/>
          <w:szCs w:val="28"/>
          <w:highlight w:val="none"/>
        </w:rPr>
      </w:pPr>
      <w:r>
        <w:rPr>
          <w:rFonts w:ascii="Times New Roman" w:hAnsi="Times New Roman" w:eastAsia="方正仿宋_GBK" w:cs="Courier New"/>
          <w:sz w:val="28"/>
          <w:szCs w:val="28"/>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甲方：江苏省医疗保障局           乙方：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地址：南京市秦淮区建邺路168号   地址：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法定代表人或授权代表：           法定代表人或授权代表：</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联系电话：                       联系电话：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签订日期：      年    月   日</w:t>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p>
    <w:p>
      <w:pPr>
        <w:rPr>
          <w:rFonts w:asciiTheme="minorEastAsia" w:hAnsiTheme="minorEastAsia" w:eastAsiaTheme="minorEastAsia" w:cstheme="minorEastAsia"/>
          <w:sz w:val="36"/>
          <w:szCs w:val="36"/>
          <w:highlight w:val="none"/>
          <w:lang w:val="zh-TW" w:eastAsia="zh-TW"/>
        </w:rPr>
        <w:sectPr>
          <w:footerReference w:type="default" r:id="rId12"/>
          <w:footnotePr/>
          <w:endnotePr/>
          <w:type w:val="nextPage"/>
          <w:pgSz w:w="11907" w:h="16840"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sz w:val="36"/>
          <w:szCs w:val="36"/>
          <w:highlight w:val="none"/>
          <w:lang w:val="zh-TW" w:eastAsia="zh-TW"/>
        </w:rPr>
      </w:r>
      <w:r/>
    </w:p>
    <w:p>
      <w:pPr>
        <w:numPr>
          <w:ilvl w:val="0"/>
          <w:numId w:val="1"/>
        </w:numPr>
        <w:jc w:val="center"/>
        <w:keepLines/>
        <w:keepNext/>
        <w:spacing w:before="240" w:after="240" w:line="360" w:lineRule="auto"/>
        <w:rPr>
          <w:rFonts w:ascii="黑体" w:eastAsia="黑体" w:cs="黑体"/>
          <w:sz w:val="36"/>
          <w:szCs w:val="36"/>
          <w:highlight w:val="none"/>
          <w:lang w:val="zh-TW" w:eastAsia="zh-TW"/>
        </w:rPr>
        <w:outlineLvl w:val="0"/>
      </w:pPr>
      <w:r>
        <w:rPr>
          <w:rFonts w:hint="eastAsia" w:ascii="黑体" w:eastAsia="黑体" w:cs="黑体"/>
          <w:sz w:val="36"/>
          <w:szCs w:val="36"/>
          <w:highlight w:val="none"/>
          <w:lang w:val="zh-TW"/>
        </w:rPr>
        <w:t xml:space="preserve"> </w:t>
      </w:r>
      <w:bookmarkStart w:id="13" w:name="_Toc14170"/>
      <w:r>
        <w:rPr>
          <w:rFonts w:hint="eastAsia" w:ascii="黑体" w:eastAsia="黑体" w:cs="黑体"/>
          <w:sz w:val="36"/>
          <w:szCs w:val="36"/>
          <w:highlight w:val="none"/>
          <w:lang w:val="zh-TW" w:eastAsia="zh-TW"/>
        </w:rPr>
        <w:t xml:space="preserve">项目需求</w:t>
      </w:r>
      <w:bookmarkEnd w:id="13"/>
      <w:r/>
      <w:r/>
    </w:p>
    <w:p>
      <w:pPr>
        <w:ind w:firstLine="482"/>
        <w:keepLines/>
        <w:keepNext/>
        <w:spacing w:line="440" w:lineRule="exact"/>
        <w:rPr>
          <w:rFonts w:ascii="仿宋" w:hAnsi="仿宋" w:eastAsia="仿宋" w:cs="仿宋"/>
          <w:b/>
          <w:bCs/>
          <w:sz w:val="24"/>
          <w:szCs w:val="24"/>
          <w:highlight w:val="none"/>
        </w:rPr>
        <w:outlineLvl w:val="0"/>
      </w:pPr>
      <w:r/>
      <w:bookmarkStart w:id="14" w:name="_Toc29558"/>
      <w:r>
        <w:rPr>
          <w:rFonts w:hint="eastAsia" w:ascii="仿宋" w:hAnsi="仿宋" w:eastAsia="仿宋" w:cs="仿宋"/>
          <w:b/>
          <w:bCs/>
          <w:sz w:val="24"/>
          <w:szCs w:val="24"/>
          <w:highlight w:val="none"/>
        </w:rPr>
        <w:t xml:space="preserve">一、采购标的清单</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630"/>
        <w:gridCol w:w="2890"/>
      </w:tblGrid>
      <w:tr>
        <w:trPr>
          <w:cantSplit/>
          <w:jc w:val="center"/>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采购包</w:t>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采购标的</w:t>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对应中小企业划分标准所属行业</w:t>
            </w:r>
            <w:r/>
          </w:p>
        </w:tc>
      </w:tr>
      <w:tr>
        <w:trPr>
          <w:cantSplit/>
          <w:jc w:val="center"/>
          <w:trHeight w:val="901"/>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江苏省医疗保障局第三方软件评测服务项目(2026）</w:t>
            </w:r>
            <w:r>
              <w:rPr>
                <w:rFonts w:hint="eastAsia" w:ascii="仿宋" w:hAnsi="仿宋" w:eastAsia="仿宋" w:cs="仿宋"/>
                <w:sz w:val="24"/>
                <w:szCs w:val="24"/>
                <w:highlight w:val="none"/>
              </w:rPr>
              <w:t xml:space="preserve"> (2026)</w:t>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软件与信息服务业</w:t>
            </w:r>
            <w:r/>
          </w:p>
        </w:tc>
      </w:tr>
    </w:tbl>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二、项目概述</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为贯彻落实《江苏省省级政务信息化项目建设管理办法》《江苏省省级政务信息化项目申报审核细则》等文件要求，加强医保信息化项目全生命周期管理，提升全省统一医疗保障信息平台（以下简称省平台）建设质效，拟委托第三方专业机构开展项目监理、软件造价评估、软件测试等专项服务，切实保障项目建设规范有序推进，财政资金使用真实合规、安全高效。</w:t>
      </w:r>
      <w:r/>
    </w:p>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三、服务范围及内容</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（一）服务范围</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包括但不限于省平台各业务中台、数据中台、业务子系统和功能模块，以及省医保局按照国家医保局和省委省政府相关工作要求，结合自身业务发展实际开展的信息化项目。</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（二）监理服务内容</w:t>
      </w:r>
      <w:r/>
    </w:p>
    <w:p>
      <w:pPr>
        <w:ind w:firstLine="480"/>
        <w:spacing w:line="44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按照信息化项目监理行业标准规范，为省医保局信息化项目实施提供全过程和全方位项目监理服务，通过标准化、信息化的监理工具和措施，开展质量控制、进度控制、投资控制、变更控制、合同管理、信息管理、安全管理等工作，沟通并协调各相关方，确保项目按期、按计划、高质量完成。</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1.质量控制</w:t>
      </w:r>
      <w:r/>
    </w:p>
    <w:p>
      <w:pPr>
        <w:pStyle w:val="981"/>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合同要求和有关技术标准，审查、监督、控制本工程设备采购及设备安装的质量，采取事前预防、事中控制、事后纠正的方式，依据国家法律、法规、标准以及项目合同、设计方案、监理规划、监理实施细则等文件控制工程质量。 协助采购人进行设计方案的审核和确认，对采购的系统软件质量进行检验和验收审核。</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2.进度控制</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审核承建单位的进度分解计划及项目实施过程的衔接性，监督检查项目进度执行情况，对项目实施进度进行实时跟踪，并要求承建单位对进度计划进行动态调整，以确保项目的阶段和总体进度目标的实施。当工期严重偏离计划时，应及时指出，同时督促承建单位尽快采取措施。</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3.成本控制</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通过对项目实施方案的把关，确保投资控制在计划范围内合理使用。当发现资金使用严重偏离计划时，应及时指出，并提出对策建议，同时督促承建单位尽快采取措施。</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4.变更控制</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生命周期的整个过程中对项目的变更进行识别、管理和控制，对可能发生的变更要保持预控能力，对变更申请要快速响应，明确界定项目变更的目标，加强变更风险以及变更效果评估。协助采购人对影响变更的因素进行分析、引导和控制，监督项目的变更是否严格按照变更流程完成，做好变更记录，及时发布变更信息，使其朝着有利于项目的方向发展。</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5.合同管理</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协助采购人与承建单位签订合同并跟踪检查合同的执行情况，确保承建单位按时履约，同时，对承建单位提交的付款申请，提出付款建议。协助采购人处理项目实施的每个过程出现的合同变更、违约、索赔、延期、分包、纠纷调解及仲裁等问题。</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6.信息管理</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项目建设期间文档的编写，包括但不限于项目建设监理周报、月报及项目大事记、项目协调会、技术研讨会等各类会议的纪要、阶段性项目监理总结、各类监理通知等。协助采购人开展省级信息化主管部门的项目验收相关工作，包括材料的收集、整理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7.安全管理</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负责监督项目建设过程中所涉及的数据和资料的安全保护，保证不被非授权使用。</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8.沟通协调</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监督各方履行职责，定期召集项目例会，协调各方的工作关系。建立畅通的沟通平台和沟通渠道，采取有效措施使项目信息在有关各方之间保持顺畅流通，推动项目实施过程中问题的解决。</w:t>
      </w:r>
      <w:r/>
    </w:p>
    <w:p>
      <w:pPr>
        <w:ind w:firstLine="480"/>
        <w:keepLines/>
        <w:keepNext/>
        <w:spacing w:line="440" w:lineRule="exact"/>
        <w:rPr>
          <w:rFonts w:ascii="仿宋" w:hAnsi="仿宋" w:eastAsia="仿宋" w:cs="仿宋"/>
          <w:bCs/>
          <w:sz w:val="24"/>
          <w:szCs w:val="24"/>
          <w:highlight w:val="none"/>
        </w:rPr>
        <w:outlineLvl w:val="1"/>
      </w:pPr>
      <w:r/>
      <w:bookmarkStart w:id="15" w:name="_Hlk178067035"/>
      <w:r>
        <w:rPr>
          <w:rFonts w:hint="eastAsia" w:ascii="仿宋" w:hAnsi="仿宋" w:eastAsia="仿宋" w:cs="仿宋"/>
          <w:bCs/>
          <w:sz w:val="24"/>
          <w:szCs w:val="24"/>
          <w:highlight w:val="none"/>
        </w:rPr>
        <w:t xml:space="preserve">（三）造价服务内容</w:t>
      </w:r>
      <w:r/>
    </w:p>
    <w:p>
      <w:pPr>
        <w:ind w:firstLine="480"/>
        <w:keepLines/>
        <w:keepNext/>
        <w:spacing w:line="440" w:lineRule="exact"/>
        <w:rPr>
          <w:rFonts w:ascii="仿宋" w:hAnsi="仿宋" w:eastAsia="仿宋" w:cs="仿宋"/>
          <w:sz w:val="24"/>
          <w:szCs w:val="24"/>
          <w:highlight w:val="none"/>
        </w:rPr>
        <w:outlineLvl w:val="1"/>
      </w:pPr>
      <w:r>
        <w:rPr>
          <w:rFonts w:hint="eastAsia" w:ascii="仿宋" w:hAnsi="仿宋" w:eastAsia="仿宋" w:cs="仿宋"/>
          <w:sz w:val="24"/>
          <w:szCs w:val="24"/>
          <w:highlight w:val="none"/>
        </w:rPr>
        <w:t xml:space="preserve">按照国家和省政务信息化项目相关建设管理规范，运用造价评估方法，对省局软件开发、数据服务等各类信息化项目进行工作量和建设费用评估。</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（四）测试服务内容</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严格遵照国家法律法规、行业标准规范，为省局各类信息系统应用软件制定系统化、科学化、全维度的测试方案，对功能性、易用性、可靠性、兼容性、性能效率、信息安全性、可维护性、可移植性、用户文档集等核心指标开展定量分析和全面评估。对国家局下发的中台和业务子系统版本，以及省局开发的涉及医保实时结算、群众待遇享受和医保公共服务的重要系统升级版本开展专项测试。针对人工智能新技术应用场景，结合医保业务实际，制定配套的测试规范、作业流程、测试方法及技术方案。</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1.功能性测试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通过设计测试用例、执行用例、获取结果，对系统的功能适合性、完备性、正确性等分别进行测试，保证系统功能符合用户的业务需求。</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适合性：分析被测对象功能需求，依据《需求规格说明书》要求验证系统是否实现了全部需求，确保各项功能是可执行的；对系统业务数据进行严格的正确性测试（包括数据是否超出正常的值范围、数据准确性等），确保系统实时数据和历史数据准确无误。</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依据因果图法、判定表驱动法、场景法等测试方法设计测试用例进行充分验证，确保软件逻辑的正确性；根据软件计算功能的精度（如数据处理精度、时间控制精度、时间测量精度）要求，设计测试用例，验证软件运算功能结果精度及有效位，是否与用户需求或需求规格说明书中对精度和有效位的要求相一致。</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2.性能效率测试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项目设计文档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资源利用率：在执行并发任务时，通过资源监控工具，监控服务器的CPU和内存占用情况。</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3.信息安全性测试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应用系统、环境等多个方面进行测试，验证系统是否满足用户安全方面的需求。包括但不限于安全软件功能验证、访问权限测试、加密测试、审计测试，漏洞扫描、SQL注入、跨站脚本攻击、DDos攻击等模拟渗透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完整性：验证对软件产品是否具有对未授权用户非法访问的控制能力；在模拟非法入侵攻击事件的条件下，验证软件产品是否有控制和处理能力。</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4.易用性测试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测试系统的可辨识性、易学性、易操作性、界面舒适性等方面。</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易学性：系统是否提供及时帮助功能；帮助内容描述得是否准确，详细到可以解决问题；利用帮助索引是否能定位到帮助主题和内容；是否具有打印功能；目录是否划分有层次。</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进行分组；是否可以通过鼠标访问所有的菜单功能；不同的目标是否采用不同的图标等。</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界面舒适性：界面中元素的文字、颜色等信息是否与功能不一致：布局是否一致，如所有窗口按钮的位置和对其方式要一致；窗口的比例是否合适；界面中的元素大小和布局是否协调等。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5.可靠性测试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在指定条件下使用时，软件产品维持规定的性能级别的能力。检验样品避免由软件中的故障（内部错误）而导致失效的能力。</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成熟性：在24小时（特殊情况下至少8小时）正常运行情况下，验证软件产品是否出现故障；在非正常运行情况下（如：有用户接口出错、应用程序自身的逻辑出错、系统或网络资源可用性引发差错），验证软件产品是否有继续运行的能力。</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可用性：测试软件是否在用户需要使用时可用。</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6.兼容性测试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测试产品、系统或组建与其他产品、系统或组建交换信息、执行所需功能的适应能力、获取信息的程度。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共存性：在与其他产品共享通用的环境和资源的条件下，产品能够有效执行其所需的功能并且不会对其他产品造成负面影响。</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互操作性：两个或多个系统、产品或组件能够交换信息并使用已交换的信息的程度。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7.维护性测试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测试产品或系统在原有模块的基础上扩展、删减能力，测试系统参数可维护性；软件产品的多运行环境测试。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模块化：有多个独立组件组成的系统，其中一个组件的变更对其他组件的影响最小的程度。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可重用性：资产能够被用于多个系统，或其他资产建设的程度。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易分析性：可以评估预期变更（变更系统的一个或多个部分）对系统的影响、诊断系统的缺陷或失效原因、识别待修改部分的有效性和效率的程度。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易修改性：系统可以被有效地、有效率地修改，且不会引入缺陷或降低现有产品质量的程度。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易测试性：能够为系统或组件建立测试准则，并通过测试执行来确定测试准则是否被满足的有效性和效率的程度。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8.可移植性测试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测试系统对不同操作系统、浏览器、分辨率、数据库等的适应能力；测试软件安装的工作量、安装的可定制性、安装设计的完备性、安装卸载操作的简易性。</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适应性：系统能够有效地、有效率地适应不同的或演变的硬件、软件、或者其他运行（或使用）环境的程度。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易安装性：在指定环境中，系统能够成功地安装和/或卸载的有效性和效率的程度。</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易替换性：在相同的环境中，产品能够替换另一个相同用途的指定软件产品的程度。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9.用户文档集测试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检验用户文档（用户手册、在线帮助、安装手册等）的完备性、一致性、正确性、易理解性。</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完备性：用户文档集应包含使用该软件必需的信息，用户文档集应说明在产品说明中陈述的所有功能以及最终用户能调用的所有功能。</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 。</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一致性：用户文档集中的各文档不应自相矛盾、互相矛盾以及与产品说明矛盾。</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正确性：用户文档集中的所有信息对主要的目标用户应是恰当的。用户文档集不应有歧义的信息。</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易理解性：用户文档集应采用该软件特定读者可理解的术语和文体，应通过经编排的文档清单为理解用户文档集提供便利。</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10.新技术测试</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结合人工智能等新技术应用场景，适配省局业务实际，为被测系统上线运行提供真实、客观、有效的决策依据。</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功能与性能：对准确率、召回率等核心指标验证。</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鲁棒性与安全性：对抗攻击、输入扰动下的稳定性。</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算法公平性：性别、年龄等敏感维度的偏见检测。</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可解释性：SHAP/LIME归因分析，决策逻辑透明。</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数据质量：偏差、泄露、标注一致性评估。</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专项合规：生成式AI幻觉率、有害内容拦截能力。</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上下文记忆：验证AI能否在多轮交互或长文本中，有效地保留、recalling和利用信息。</w:t>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输出稳定性：验证在面对相同或相似的输入时，模型输出的一致性和可靠性。</w:t>
      </w:r>
      <w:bookmarkEnd w:id="15"/>
      <w:r/>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四、服务要求</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（一）服务依据</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包括不限于以下标准规范和文档要求：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1.GB/T 19668.1-2014《信息技术服务 监理 第1部分：总则》；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2.GB/T 19668.2-2017《信息技术服务 监理 第2部分：基础设施工程监理规范》；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3.GB/T 19668.3-2017《信息技术服务 监理 第3部分：运行维护监理规范》；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4.GB/T 19668.4-2017《信息技术服务 监理 第4部分：信息安全监理规范》；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5.GB/T 19668.5-2018《信息技术服务 监理 第5部分：软件工程监理规范》；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6.GB/T 19668.6-2019《信息技术服务 监理 第6部分:应用系统:数据中心工程监理规范》；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7.GB/T 19668.7-2022《信息技术服务 监理 第7部分：监理工作量度量要求》；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8.GB/T 25000.51-2016《系统与软件工程系统与软件质量要求和评价（SQuaRE）第51部分：就绪可用软件产品（RUSP）的质量要求和测试细则》；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9.GB/T25000.10-2016《系统与软件工程 系统与软件质量要求和评价（SQuaRE）第10部分：系统与软件质量模型》；</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10.GB/T 20984-2022《信息安全技术 信息安全风险评估方法》；</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11.GB/T 11457-2006《信息技术 软件工程术语》；</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12.GB/T 34943-2017《C/C++语言源代码漏洞测试规范》；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13.GB/T 34944-2017《Java语言源代码漏洞测试规范》；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14.GB/T 34946-2017《C#语言源代码漏洞测试规范》；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15.GB/T 36964-2018《软件工程 软件开发成本度量规范》；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16.GB/T 21671-2018《基于以太网技术的局域网系统验收测评规范》；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17.GB 50174-2017《数据中心设计规范》；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18.GB 50462-2015《数据中心基础设施施工及验收规范》；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19.GB/T 2887-2011《计算机场地通用规范》；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20.GB/T 50312-2016《综合布线系统工程验收规范》；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21.《需求规格说明书》；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22.《系统详细设计文档》；</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23.《用户操作手册》；</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24.建设单位能够出具的相关行业标准及其他具体意见和要求。</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（二）服务要求</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1.监理服务要求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投标人须根据采购人要求的信息化项目开展监理工作。监理工作贯穿信息化项目的整个生命周期：</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（1）项目采购及启动阶段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协助采购人确定与项目承建单位的商务与技术条款，参与合同谈判，协助合同编制及签订过程。在协助理清项目详细需求的基础上，提交项目监理规划，审定项目实施方案、工期安排计划等。</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严格按照启动阶段获得采购人认可的监理规划进行全过程监理，督促、检查项目承建单位严格按照合同约定进行项目实施。严格监督、审核承建单位的项目实施，审核所提交的需求分析文档和设计文档，针对实施过程中出现的问题及时向采购人以及项目承建单位发出预警，组织项目协调会，签发会议纪要。按照合同约定的要求，与采购人一起进行项目里程碑节点审核以及验收，参与撰写阶段验收报告，并签署里程碑验收文件以及阶段付款凭证。协调采购人与项目承建单位间的工作，保证项目顺利进行。</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（3）项目验收阶段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督各方做好验收准备，督促项目承建单位制定验收方案，审查验收方案、计划，检查、审核承建单位的最终交付物是否完整、齐备，是否符合合同的约定，是否已经按照指定的时间和方式提交给采购人。在系统的试运行阶段，提交试运行阶段监理监控报告，并检查项目是否已经完成合同中所规定的各项内容、是否已经满足合同中的各项技术和应用指标、最终交付系统是否已经经过验收测试并处于正常工作状态、是否已经完成合同中提及的相关培训、是否已经提交相关资料。最后，协助相关方撰写项目竣工报告，进行监理总结，移交监理资料和其他有关资料。</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2.造价服务要求</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接到项目造价服务要求后，投标人应在10个工作日之内根据建设单位提出的建设需求、建设内容和项目预算，对项目建设的工作量进行审核，运用造价评估方法，对涉及的软件开发、数据服务等进行评估。每个项目单独形成一份造价评估报告，列出审核的基本过程和方法。</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3.测试服务要求</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测试工作。测试工作贯穿信息化项目的整个生命周期，各级别、类型的测试应包括测试计划、测试准备、测试执行、测试总结等阶段，每个阶段的工作内容和完成时限，均需得到采购人的认可和授权。具体描述如下：</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2180"/>
        <w:gridCol w:w="4929"/>
      </w:tblGrid>
      <w:tr>
        <w:trPr>
          <w:jc w:val="center"/>
          <w:trHeight w:val="567"/>
          <w:tblHeader/>
        </w:trPr>
        <w:tc>
          <w:tcPr>
            <w:tcW w:w="1647"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测试阶段</w:t>
            </w:r>
            <w:r/>
          </w:p>
        </w:tc>
        <w:tc>
          <w:tcPr>
            <w:tcW w:w="218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主要内容</w:t>
            </w:r>
            <w:r/>
          </w:p>
        </w:tc>
        <w:tc>
          <w:tcPr>
            <w:tcW w:w="492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描述</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测试计划阶段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测试需求分析</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从产品需求阶段开始介入，了解需求并确认需求的可测性，完成需求的分析评审。</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测试方案/计划设计</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依据需求文档/需求规格说明书，制定测试方案/计划并对方案或计划的可行性进行评审。</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测试准备阶段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测试用例/脚本设计</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依据测试方案/计划，完成测试用例/脚本的设计和评审工作。</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测试环境准备</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完成项目测试环境的部署以及所需的数据准备。</w:t>
            </w:r>
            <w:r/>
          </w:p>
        </w:tc>
      </w:tr>
      <w:tr>
        <w:trPr>
          <w:jc w:val="center"/>
          <w:trHeight w:val="567"/>
        </w:trPr>
        <w:tc>
          <w:tcPr>
            <w:tcW w:w="1647"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根据项目实际依次实施分级测试，编写测试用例，执行测试用例/脚本，对需求的准确性、一致性、完整性进行验证测试，记录执行结果，完成缺陷提交和指派。</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测试总结阶段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测试结果分析</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对执行结果进行分析。</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测试报告撰写</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完成测试报告撰写。</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测试归档</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提交并保存测试相关过程文档。</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（三）人员要求</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1.人数要求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本项目要求组建一支不少于8人的专职工程师集中驻场提供服务，集中驻场地点按照采购人要求。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服务期间人员名单原则上不得调整，如确需调整，需提前一周向采购人报告人员变更情况，且调入人员的资历和从业经验不低于调出人员，在确认不影响服务并经采购人许可后方可调换，并保证一段时间的并行转换期，否则可视为供应商违约，采购人可在项目验收综合考评时扣分，并减值支付合同款项。</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2.人员岗位要求</w:t>
      </w:r>
      <w:r/>
    </w:p>
    <w:p>
      <w:pPr>
        <w:ind w:firstLine="482"/>
        <w:spacing w:line="440" w:lineRule="exact"/>
        <w:rPr>
          <w:rFonts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投标人需提供项目团队人员名单（包括签订的正式劳动合同和近3个月（2026年4月-2026年6月）内任一自然月的社保缴费证明），所配置监理团队人员均需具有信息系统监理师证书，并加盖公章。</w:t>
      </w:r>
      <w:r/>
    </w:p>
    <w:tbl>
      <w:tblPr>
        <w:tblStyle w:val="917"/>
        <w:tblW w:w="8893"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850"/>
        <w:gridCol w:w="608"/>
        <w:gridCol w:w="5390"/>
        <w:gridCol w:w="709"/>
        <w:gridCol w:w="802"/>
      </w:tblGrid>
      <w:tr>
        <w:trPr>
          <w:jc w:val="center"/>
          <w:trHeight w:val="6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主要任务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配置人数</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是否驻场</w:t>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整体保障</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w:t>
            </w:r>
            <w:bookmarkStart w:id="16" w:name="OLE_LINK4"/>
            <w:r>
              <w:rPr>
                <w:rFonts w:hint="eastAsia" w:ascii="仿宋" w:hAnsi="仿宋" w:eastAsia="仿宋" w:cs="仿宋"/>
                <w:sz w:val="24"/>
                <w:szCs w:val="24"/>
                <w:highlight w:val="none"/>
              </w:rPr>
              <w:t xml:space="preserve">医保</w:t>
            </w:r>
            <w:bookmarkEnd w:id="16"/>
            <w:r>
              <w:rPr>
                <w:rFonts w:hint="eastAsia" w:ascii="仿宋" w:hAnsi="仿宋" w:eastAsia="仿宋" w:cs="仿宋"/>
                <w:sz w:val="24"/>
                <w:szCs w:val="24"/>
                <w:highlight w:val="none"/>
              </w:rPr>
              <w:t xml:space="preserve">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监理服务</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监理工程师</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医保局信息化项目开展质量控制、进度控制、投资控制、变更控制、合同管理、信息管理、安全管理等工作，沟通并协调各相关方，编写监理规划、监理细则、监理周报、月报、会议纪要、监理联系单、监理通知单、费用支付意见和监理工作总结等过程文档，确保项目按期、按计划、高质量完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r>
        <w:trPr>
          <w:jc w:val="center"/>
          <w:trHeight w:val="297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软件测试及造价服务</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测试及造价工程师</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针对省医保局各类应用系统，重点测试应用软件功能性、易用性、可靠性、兼容性、性能效率、信息安全性、可维护性、可移植性及用户文档集等核心指标，并针对系统不同等级的日常版本升级开展专项测试。同时，结合人工智能等新技术应用场景，适配省医保局业务实际，制定配套的测试规范、作业流程、测试方法及技术方案。同时，对江苏省医疗保障局软件开发、数据服务类项目进行工作量和建设费用评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（四）评测服务考核要求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采购人将对中标方提供的运维服务情况进行考核，并在签订合同后服务满12个月、以及服务期满后分别出具考核评价分数(采购人有权按照实际工作需要调整考核要求)。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考核要求如下：</w:t>
      </w:r>
      <w:r/>
    </w:p>
    <w:tbl>
      <w:tblPr>
        <w:tblStyle w:val="917"/>
        <w:tblW w:w="10490" w:type="dxa"/>
        <w:tblInd w:w="-572"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792"/>
        <w:gridCol w:w="4820"/>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评价指标</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79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评价内容</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tcPr>
          <w:p>
            <w:pPr>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评分标准</w:t>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验收组意见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验收组对供应商提供的货物、系统和服务按照采购文件、投标（响应）文件、政府采购合同等进行逐一核对、验收。</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验收通过，得70分。</w:t>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日常考核</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信息管理部门和总集服务团队在项目合同履约期内，每周对该项目驻场人员管理、项目实施管理、系统运行维护、信息安全等方面进行评价。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合同履约期内项目每周考核平均得分÷5</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业务处室满意度</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牵头业务处室根据供应商沟通配合、服务质量、响应速度、工作成效等情况进行评价。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1.需求理解清晰,主动定期汇报，得2分；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2.服务流程规范，交付符合需求，得2分；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3.问题响应迅速，评估处理及时，得3分；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4.成果达到预期，有效支撑业务运转，得3分。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加分项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对工作成效进行评价。.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1.执行重大保障、应急处置、专项攻坚等任务成效突出，获省局书面肯定的，每次得2分；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2.项目成果获得国家级以上奖项的，得2分；获得省级以上奖项的，得1分。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扣分项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对系统开发实施质量、网络和信息安全等方面进行评价。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1.每发生一次一级故障，扣2分；每发生一次二级故障，扣1.5分；每发生一次三级故障，扣1分；每发生一次四级故障，扣0.5分；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2.每发生一起医保数据泄露事件，扣2分；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3.每发生一起被国家相关部委通报的安全事件，扣2分；每发生一起被省级相关部门通报的安全事件，扣1分。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4.每发生一次打版回退，扣0.5分；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5.系统上线前，未一次性通过省局组织的第三方软件测试的，扣0.5分；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6.系统上线前，未一次性通过省局组织的第三方安全测试的，扣0.5分。</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（五）履约能力要求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1.投标人应当投入充足的技术力量保证本项目顺利实施，</w:t>
      </w:r>
      <w:r>
        <w:rPr>
          <w:rFonts w:hint="eastAsia" w:ascii="仿宋" w:hAnsi="仿宋" w:eastAsia="仿宋" w:cs="仿宋"/>
          <w:color w:val="000000" w:themeColor="text1"/>
          <w:sz w:val="24"/>
          <w:szCs w:val="24"/>
          <w:highlight w:val="none"/>
          <w14:textFill>
            <w14:solidFill>
              <w14:schemeClr w14:val="tx1"/>
            </w14:solidFill>
          </w14:textFill>
        </w:rPr>
        <w:t xml:space="preserve">项目实施团队成员人数不少于8人，其中项目经理（限1名）需</w:t>
      </w:r>
      <w:r>
        <w:rPr>
          <w:rFonts w:hint="eastAsia" w:ascii="仿宋" w:hAnsi="仿宋" w:eastAsia="仿宋" w:cs="仿宋"/>
          <w:color w:val="000000" w:themeColor="text1"/>
          <w:sz w:val="24"/>
          <w:szCs w:val="24"/>
          <w:highlight w:val="none"/>
          <w14:textFill>
            <w14:solidFill>
              <w14:schemeClr w14:val="tx1"/>
            </w14:solidFill>
          </w14:textFill>
        </w:rPr>
        <w:t xml:space="preserve">能够对省医保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投标人需提供项目实施团队人员名单（包括签订的正式劳动合同和近半年内任一自然月的社保缴费证明）及其资质证明材料扫描件或复印件并加盖公章。</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2.项目实施期间人员名单原则上不得调整，如</w:t>
      </w:r>
      <w:r>
        <w:rPr>
          <w:rFonts w:hint="eastAsia" w:ascii="仿宋" w:hAnsi="仿宋" w:eastAsia="仿宋" w:cs="仿宋"/>
          <w:sz w:val="24"/>
          <w:szCs w:val="24"/>
          <w:highlight w:val="none"/>
        </w:rPr>
        <w:t xml:space="preserve">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3.如项目实施团队成员不能有效完成采购人工作要求，自采购人提</w:t>
      </w:r>
      <w:r>
        <w:rPr>
          <w:rFonts w:hint="eastAsia" w:ascii="仿宋" w:hAnsi="仿宋" w:eastAsia="仿宋" w:cs="仿宋"/>
          <w:color w:val="000000" w:themeColor="text1"/>
          <w:sz w:val="24"/>
          <w:szCs w:val="24"/>
          <w:highlight w:val="none"/>
          <w14:textFill>
            <w14:solidFill>
              <w14:schemeClr w14:val="tx1"/>
            </w14:solidFill>
          </w14:textFill>
        </w:rPr>
        <w:t xml:space="preserve">出更换要求之日起，中标人需在5个工作日内更换为符合要求的人员。</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4.投标人需提供以下服务能力证明材料：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企业资信：ISO9001质量管理体系认证证书、ISO27001信息安全管理体系认证证书、ISO20000信息技术服务管理体系认证证书、测试管理工具、安全测试工具、性能测试工具（开源工具不计算）以及中国网络安全审查认证和市场监管大数据中心颁发的信息安全服务资质认证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和</w:t>
      </w:r>
      <w:r>
        <w:rPr>
          <w:rFonts w:hint="eastAsia" w:ascii="Times New Roman" w:hAnsi="Times New Roman" w:eastAsia="方正仿宋_GBK" w:cs="宋体"/>
          <w:sz w:val="24"/>
          <w:szCs w:val="24"/>
          <w:highlight w:val="none"/>
        </w:rPr>
        <w:t xml:space="preserve">中国软件评测中心颁发的数据安全服务能力评定资格证书</w:t>
      </w:r>
      <w:r>
        <w:rPr>
          <w:rFonts w:hint="eastAsia" w:ascii="仿宋" w:hAnsi="仿宋" w:eastAsia="仿宋" w:cs="仿宋"/>
          <w:color w:val="000000" w:themeColor="text1"/>
          <w:sz w:val="24"/>
          <w:szCs w:val="24"/>
          <w:highlight w:val="none"/>
          <w14:textFill>
            <w14:solidFill>
              <w14:schemeClr w14:val="tx1"/>
            </w14:solidFill>
          </w14:textFill>
        </w:rPr>
        <w:t xml:space="preserve">等。</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（2）人员配备：项目实施团队成员人数不少于8人，其中项目经理（限1名）。</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需自2023年7月1日以来担任过类似信息化项目总监理工程师、测试负责人和造价负责人，具有软件工程造价师、信息系统监理师、软件评测师、系统规划与管理师、信息安全工程师、信息系统项目管理师、系统集成项目管理工程师、软件设计师、网络工程师、数据库系统工程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监理团队人员均应具有信息系统监理师证书，还应具有软件工程造价师、数据库系统工程师证书、信息系统项目管理师、信息安全工程师、系统规划与管理师、软件设计师等专业资质证书。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测试及造价团队人员具有软件工程造价师、注册渗透测试工程师、系统分析师、软件评测师、数据库系统工程师证书、信息安全工程师、系统规划与管理师、软件设计师等专业资质证书。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（3）类似业绩：包括与本项目类似的信息系统项目监理、测试及造价案例业绩等。</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（六）项目文档要求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投标人应按采购人要求提供完备的项目文档资料，包括但不限于：</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sz w:val="24"/>
          <w:szCs w:val="24"/>
          <w:highlight w:val="none"/>
        </w:rPr>
        <w:t xml:space="preserve">监理规划、监理细则；</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sz w:val="24"/>
          <w:szCs w:val="24"/>
          <w:highlight w:val="none"/>
        </w:rPr>
        <w:t xml:space="preserve">监理周报、月报；</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sz w:val="24"/>
          <w:szCs w:val="24"/>
          <w:highlight w:val="none"/>
        </w:rPr>
        <w:t xml:space="preserve">会议纪要（包括项目例会、项目专题会议等）；</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sz w:val="24"/>
          <w:szCs w:val="24"/>
          <w:highlight w:val="none"/>
        </w:rPr>
        <w:t xml:space="preserve">各类文档评审意见；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sz w:val="24"/>
          <w:szCs w:val="24"/>
          <w:highlight w:val="none"/>
        </w:rPr>
        <w:t xml:space="preserve">针对各种事项提出的监理意见；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sz w:val="24"/>
          <w:szCs w:val="24"/>
          <w:highlight w:val="none"/>
        </w:rPr>
        <w:t xml:space="preserve">监理联系单；</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sz w:val="24"/>
          <w:szCs w:val="24"/>
          <w:highlight w:val="none"/>
        </w:rPr>
        <w:t xml:space="preserve">监理通知单；</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8.</w:t>
      </w:r>
      <w:r>
        <w:rPr>
          <w:rFonts w:hint="eastAsia" w:ascii="仿宋" w:hAnsi="仿宋" w:eastAsia="仿宋" w:cs="仿宋"/>
          <w:sz w:val="24"/>
          <w:szCs w:val="24"/>
          <w:highlight w:val="none"/>
        </w:rPr>
        <w:t xml:space="preserve">费用支付意见；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rPr>
          <w:rFonts w:hint="eastAsia" w:ascii="仿宋" w:hAnsi="仿宋" w:eastAsia="仿宋" w:cs="仿宋"/>
          <w:sz w:val="24"/>
          <w:szCs w:val="24"/>
          <w:highlight w:val="none"/>
        </w:rPr>
        <w:t xml:space="preserve">监理工作总结；</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10.造价评估报告。</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11.测试方案；</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12.测试用例；</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13.测试报告；</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14.测试归档。</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（七）项目验收要求</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投标人需在投标文件中承诺，如果本项目未完成验收前，由于相关政策调整导致业务需求或技术标准发生变化，应按照最新政策完成本项目建设。（投标人需提供承诺函并加盖公章）</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（八）知识产权要求</w:t>
      </w:r>
      <w:r/>
    </w:p>
    <w:p>
      <w:pPr>
        <w:ind w:firstLine="47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投标人应保证采购人在使用、接受本合同服务（包含与服务相关的货物）或其任何一部分时不受第三方提出侵犯其专利权、版权、商标权和工业设计权等知识产权的起诉。一旦出现侵权，投标人应承担全部责任。（投标人需提供承诺函并加盖公章）</w:t>
      </w:r>
      <w:r/>
    </w:p>
    <w:p>
      <w:pPr>
        <w:ind w:firstLine="47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2.若涉及项目功能开发，建设完成后，投标人应保证将该项目功能所有权完整、无瑕疵转让给采购人。</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（九）保密要求</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本项目中所有技术文件以及采购人提供的内部资料、技术文档和信息等全部为采购人所有，全部列入保密范围，投标人不得在未经采购人许可的情况下复制、加工、共享、应用和提供给第三方。（投标人需提供承诺函并加盖公章）</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2.投标人必须与采购人签订保密协议并严格遵守。投标人提供的全部项目人员必须通过安全背景审查并签订保密承诺书，承诺内容需得到采购人认可，并与保密协议一并提交给采购人。（投标人需提供承诺函并加盖公章）</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3.如果投标人或投标人聘用、委派的人员违反双方约定的保密责任的，投标人应按合同总价款的20%支付违约金，并承担另一方因此支付的律师费、差旅费、诉讼费、保全费、诉讼财产保全责任险费、执行费等，违约金不足以弥补损失的，采购人有权要求投标人按照实际损失赔偿。（投标人需提供承诺函并加盖公章）</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（十）其他要求</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1.规范各系统文档资料，协调测试和造价计划时间安排。根据监理过程，编写并提交监理总结报告；根据测试结果，编写并提交测试报告；根据造价结果，编写并提交造价报告；</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2.严格管理项目参加人员，把控方案、计划、实施工作，确保工作按时保质完成；</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3.根据信息系统需求、系统设计编写测试用例、测试报告等相关文档，确保文档质量； </w:t>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4.及时向采购人报告测试过程中发现的缺陷，在承建方完成整改后进行一轮回归测试；</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5.投标人应遵循“面向应用、保证质量、客观公正、诚信守诺”的原则开展项目监理、造价和软件测试工作。 </w:t>
      </w:r>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五、商务条款</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（一）服务期</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项目服务期：自合同签订生效之日起24个月。</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（二）预算说明</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项目预算包含投标人开展本项目工作所需一切费用。</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（三）货款支付</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1.签订合同且本项目所需的全部服务人员进场后，采购人向供应商支付合同总价30%；</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签订合同后服务满12个月，采购人或其委托人组织对项目服务内容、质量和效果进行阶段性验收，并根据项目绩效考核评分细则形成考核评价分数。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30%，如果供应商未能将全部问题改进和完善的，采购人有权减值支付，采购人有权根据实际情况自主决定减值金额；</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该节点合同款项原则上不予支付，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服务期满后，采购人或其委托人组织对项目服务内容、质量和效果进行最终验收，并根据项目绩效考核评分细则形成考核评价分数。采购人应在供应商考核评价分数出具后支付该阶段的合同价款，如果供应商考核评价分数为100分的，采购人应自供应商考核评价分数出具后支付合同总价款的40%，如果供应商考核评价分数不足100分的，采购人有权按约定在合同总价款40%的基础上减值支付合同价款且扣除的合同价款后期不再支付，供应商不得持任何异议，具体支付方式如下：</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40%，如果供应商未能将全部问题改进和完善的，采购人有权减值支付，采购人有权根据实际情况自主决定减值金额；</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 每次付款前，供应商应提前向采购人开具等额增值税发票，采购人在收到供应商发票后1个月内支付相应款项，采购人未收到开票或供应商开具发票不合格的，有权拒绝付款。</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（四）履约保证金</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本项目履约保证金为合同总价的5%，中标人应在合同签订前以电子履约保函（保险）的形式提交给采购人，中标人未缴纳履约保证金的，采购人有权拒绝签订书面合同。</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（五）投标货币</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人民币。</w:t>
      </w:r>
      <w:r/>
    </w:p>
    <w:p>
      <w:pPr>
        <w:spacing w:line="440" w:lineRule="exact"/>
        <w:rPr>
          <w:highlight w:val="none"/>
        </w:rPr>
      </w:pPr>
      <w:r>
        <w:rPr>
          <w:highlight w:val="none"/>
        </w:rPr>
        <w:br w:type="page" w:clear="all"/>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eastAsia="zh-TW"/>
        </w:rPr>
        <w:t xml:space="preserve">五</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评标方法与评标标准</w:t>
      </w:r>
      <w:bookmarkEnd w:id="14"/>
      <w:r/>
      <w:r/>
    </w:p>
    <w:p>
      <w:pPr>
        <w:ind w:firstLine="482"/>
        <w:spacing w:line="360" w:lineRule="auto"/>
        <w:rPr>
          <w:rFonts w:ascii="宋体"/>
          <w:b/>
          <w:sz w:val="24"/>
          <w:szCs w:val="24"/>
          <w:highlight w:val="none"/>
        </w:rPr>
      </w:pPr>
      <w:r>
        <w:rPr>
          <w:rFonts w:hint="eastAsia" w:ascii="宋体"/>
          <w:b/>
          <w:sz w:val="24"/>
          <w:szCs w:val="24"/>
          <w:highlight w:val="none"/>
        </w:rPr>
        <w:t xml:space="preserve">一</w:t>
      </w:r>
      <w:r>
        <w:rPr>
          <w:rFonts w:ascii="宋体"/>
          <w:b/>
          <w:sz w:val="24"/>
          <w:szCs w:val="24"/>
          <w:highlight w:val="none"/>
        </w:rPr>
        <w:t xml:space="preserve">、评标方法与定标原则</w:t>
      </w:r>
      <w:r/>
    </w:p>
    <w:p>
      <w:pPr>
        <w:ind w:firstLine="480"/>
        <w:spacing w:line="360" w:lineRule="auto"/>
        <w:rPr>
          <w:rFonts w:ascii="宋体"/>
          <w:bCs/>
          <w:sz w:val="24"/>
          <w:szCs w:val="24"/>
          <w:highlight w:val="none"/>
        </w:rPr>
      </w:pPr>
      <w:r>
        <w:rPr>
          <w:rFonts w:hint="eastAsia" w:ascii="宋体"/>
          <w:bCs/>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auto"/>
        <w:rPr>
          <w:rFonts w:ascii="宋体"/>
          <w:sz w:val="24"/>
          <w:szCs w:val="24"/>
          <w:highlight w:val="none"/>
        </w:rPr>
      </w:pPr>
      <w:r>
        <w:rPr>
          <w:rFonts w:hint="eastAsia" w:ascii="宋体"/>
          <w:bCs/>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p>
    <w:p>
      <w:pPr>
        <w:numPr>
          <w:ilvl w:val="0"/>
          <w:numId w:val="2"/>
        </w:numPr>
        <w:ind w:firstLine="482"/>
        <w:spacing w:line="360" w:lineRule="auto"/>
        <w:tabs>
          <w:tab w:val="left" w:pos="2721" w:leader="none"/>
        </w:tabs>
        <w:rPr>
          <w:rFonts w:ascii="宋体"/>
          <w:b/>
          <w:sz w:val="24"/>
          <w:szCs w:val="24"/>
          <w:highlight w:val="none"/>
        </w:rPr>
      </w:pPr>
      <w:r>
        <w:rPr>
          <w:rFonts w:ascii="宋体"/>
          <w:b/>
          <w:sz w:val="24"/>
          <w:szCs w:val="24"/>
          <w:highlight w:val="none"/>
        </w:rPr>
        <w:t xml:space="preserve">评标标准</w:t>
      </w:r>
      <w:r>
        <w:rPr>
          <w:rFonts w:hint="eastAsia" w:ascii="宋体"/>
          <w:b/>
          <w:sz w:val="24"/>
          <w:szCs w:val="24"/>
          <w:highlight w:val="none"/>
        </w:rPr>
        <w:tab/>
      </w:r>
      <w:r/>
    </w:p>
    <w:tbl>
      <w:tblPr>
        <w:tblStyle w:val="917"/>
        <w:tblW w:w="50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2"/>
        <w:gridCol w:w="7033"/>
        <w:gridCol w:w="1103"/>
      </w:tblGrid>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left"/>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ind w:firstLine="482"/>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分值</w:t>
            </w:r>
            <w:r/>
          </w:p>
        </w:tc>
      </w:tr>
      <w:tr>
        <w:trPr>
          <w:trHeight w:val="20"/>
        </w:trPr>
        <w:tc>
          <w:tcPr>
            <w:gridSpan w:val="3"/>
            <w:shd w:val="clear" w:color="auto" w:fill="ffffff"/>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一、价格：10分</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投标价格</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eastAsia="方正仿宋_GBK" w:cs="宋体"/>
                <w:b/>
                <w:bCs/>
                <w:sz w:val="24"/>
                <w:szCs w:val="24"/>
                <w:highlight w:val="none"/>
              </w:rPr>
            </w:pPr>
            <w:r>
              <w:rPr>
                <w:rFonts w:hint="eastAsia" w:ascii="Times New Roman" w:hAnsi="Times New Roman" w:eastAsia="方正仿宋_GBK" w:cs="宋体"/>
                <w:b/>
                <w:bCs/>
                <w:sz w:val="24"/>
                <w:szCs w:val="24"/>
                <w:highlight w:val="none"/>
              </w:rPr>
              <w:t xml:space="preserve">二、服务能力：45分</w:t>
            </w:r>
            <w:r/>
          </w:p>
        </w:tc>
      </w:tr>
      <w:tr>
        <w:trPr>
          <w:cantSplit/>
          <w:trHeight w:val="20"/>
        </w:trPr>
        <w:tc>
          <w:tcPr>
            <w:tcBorders>
              <w:left w:val="single" w:color="000000" w:sz="4" w:space="0"/>
              <w:right w:val="single" w:color="000000" w:sz="4" w:space="0"/>
            </w:tcBorders>
            <w:tcW w:w="1674"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2.1企业资信</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2.1.1投标人通过ISO9001质量管理体系认证、ISO27001信息安全管理体系认证和ISO20000信息技术服务管理体系认证证书，每提供1项证书得1分，本项最高得3分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（必须提供有效期内的相应认证资质证明复印件加盖公章，三项体系证书认证范围覆盖信息系统工程咨询或造价、信息系统工程监理以及软件系统评测，否则不计分。）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投标人具有中国网络安全审查认证和市场监管大数据中心颁发的信息安全服务资质认证证书，得2分，未提供不得分。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（必须提供有效期内的相应认证资质证明复印件，并加盖投标人公章，否则不计分。）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3</w:t>
            </w:r>
            <w:r>
              <w:rPr>
                <w:rFonts w:hint="eastAsia" w:ascii="Times New Roman" w:hAnsi="Times New Roman" w:eastAsia="方正仿宋_GBK" w:cs="宋体"/>
                <w:sz w:val="24"/>
                <w:szCs w:val="24"/>
                <w:highlight w:val="none"/>
              </w:rPr>
              <w:t xml:space="preserve">投标人具有中国软件评测中心颁发的数据安全服务能力评定资格证书，有1个得</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本项最高得</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分，未提供不得分。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（必须提供证明文件复印件，并加盖投标人公章，否则不计分。）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hint="eastAsia" w:ascii="Times New Roman" w:hAnsi="Times New Roman" w:eastAsia="方正仿宋_GBK" w:cs="宋体"/>
                <w:sz w:val="24"/>
                <w:szCs w:val="24"/>
                <w:highlight w:val="none"/>
                <w:lang w:eastAsia="zh-CN"/>
              </w:rPr>
            </w:pPr>
            <w:r>
              <w:rPr>
                <w:rFonts w:hint="eastAsia" w:ascii="Times New Roman" w:hAnsi="Times New Roman" w:eastAsia="方正仿宋_GBK" w:cs="宋体"/>
                <w:sz w:val="24"/>
                <w:szCs w:val="24"/>
                <w:highlight w:val="none"/>
                <w:lang w:val="en-US" w:eastAsia="zh-CN"/>
              </w:rPr>
              <w:t xml:space="preserve">2</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4</w:t>
            </w:r>
            <w:r>
              <w:rPr>
                <w:rFonts w:hint="eastAsia" w:ascii="Times New Roman" w:hAnsi="Times New Roman" w:eastAsia="方正仿宋_GBK" w:cs="宋体"/>
                <w:sz w:val="24"/>
                <w:szCs w:val="24"/>
                <w:highlight w:val="none"/>
              </w:rPr>
              <w:t xml:space="preserve">投标人具备相应的测试工具，提供测试管理工具、安全测试工具、性能测试工具（开源工具不计算），每提供一个得1分，本项最高得</w:t>
            </w:r>
            <w:r>
              <w:rPr>
                <w:rFonts w:ascii="Times New Roman" w:hAnsi="Times New Roman" w:eastAsia="方正仿宋_GBK" w:cs="宋体"/>
                <w:sz w:val="24"/>
                <w:szCs w:val="24"/>
                <w:highlight w:val="none"/>
              </w:rPr>
              <w:t xml:space="preserve">3</w:t>
            </w:r>
            <w:r>
              <w:rPr>
                <w:rFonts w:hint="eastAsia" w:ascii="Times New Roman" w:hAnsi="Times New Roman" w:eastAsia="方正仿宋_GBK" w:cs="宋体"/>
                <w:sz w:val="24"/>
                <w:szCs w:val="24"/>
                <w:highlight w:val="none"/>
              </w:rPr>
              <w:t xml:space="preserve">分，不提供不得分。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（投标人须在投标文件中说明所用工具名称及功能，并提供投标人采购相应工具的有效采购合同或发票或授权文件等复印件，并加盖投标人单位公章，否则不得分）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t xml:space="preserve">3</w:t>
            </w:r>
            <w:r/>
          </w:p>
        </w:tc>
      </w:tr>
      <w:tr>
        <w:trPr>
          <w:cantSplit/>
          <w:trHeight w:val="57"/>
        </w:trPr>
        <w:tc>
          <w:tcPr>
            <w:tcBorders>
              <w:top w:val="single" w:color="000000" w:sz="4" w:space="0"/>
              <w:left w:val="single" w:color="000000" w:sz="4" w:space="0"/>
              <w:right w:val="single" w:color="000000" w:sz="4" w:space="0"/>
            </w:tcBorders>
            <w:tcW w:w="1674"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2.2人员配备</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2.2.1投标人拟投入的项目经理（限1名）：</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投标人提供项目经理自2023年7月1日以来担任过类似信息化项目总监理工程师、测试负责人和造价负责人的业绩案例，得2分。</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（需提供项目经理参与信息化项目并担任过上述三项岗位的相关证明材料扫描件或复印件并加盖投标人公章，证明材料需包括项目合同或项目委托单位提供的证明材料，否则不得分。）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p>
        </w:tc>
      </w:tr>
      <w:tr>
        <w:trPr>
          <w:cantSplit/>
          <w:trHeight w:val="57"/>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2.2.2投标人拟投入的项目经理（限 1 名）具有：</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（2）信息系统监理师证书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（3）软件评测师证书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（4）系统规划与管理师证书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（5）信息安全工程师证书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（6）信息系统项目管理师证书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（7）系统集成项目管理工程师证书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（9）网络工程师证书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（10）数据库系统工程师证书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以上2-10项需为全国计算机技术与软件专业技术资格（水平）考试证书。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以上证书每提供1个得1分，此项最多得10分。</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（投标人必须提供与项目经理签订的正式劳动合同和投标人为其缴纳的近3个月（2026年4月至2026年6月）任意一个月的社保缴费证明，以及相关证书或证明材料扫描件或复印件并加盖投标人公章，否则不得分。）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2.2.3投标人拟投入的监理团队人员（不包括项目经理）在具有：</w:t>
            </w:r>
            <w:r>
              <w:rPr>
                <w:rFonts w:ascii="Times New Roman" w:hAnsi="Times New Roman" w:eastAsia="方正仿宋_GBK" w:cs="宋体"/>
                <w:sz w:val="24"/>
                <w:szCs w:val="24"/>
                <w:highlight w:val="none"/>
              </w:rPr>
              <w:t xml:space="preserve"> </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（2）数据库系统工程师证书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（3）信息系统项目管理师证书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（4）信息安全工程师证书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（5）系统规划与管理师证书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（6）软件设计师证书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以上2-6项需为全国计算机技术与软件专业技术资格（水平）考试证书。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以上证书每提供1个得1分，同一人有多个证书不可重复得分，不同人有相同证书不可重复得分，此项最多得6分。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监理团队人员签订的正式劳动合同和投标人为其缴纳的近3个月（2026年4月至2026年6月）任意一个月的社保缴费证明，以及相关证书或证明材料扫描件或复印件并加盖投标人公章，否则不得分。）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2.2.4投标人拟投入的测试及造价团队人员（不包括项目经理及监理团队人员）具有：</w:t>
            </w:r>
            <w:r>
              <w:rPr>
                <w:rFonts w:ascii="Times New Roman" w:hAnsi="Times New Roman" w:eastAsia="方正仿宋_GBK" w:cs="宋体"/>
                <w:sz w:val="24"/>
                <w:szCs w:val="24"/>
                <w:highlight w:val="none"/>
              </w:rPr>
              <w:t xml:space="preserve"> </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（2）中国信息安全测评中心颁发的注册渗透测试工程师证书；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（3）系统分析师；</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（4）软件评测师证书；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（5）数据库系统工程师证书；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（6）信息安全工程师证书；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（7）系统规划与管理师证书；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以上3-8项需为全国计算机技术与软件专业技术资格（水平）考试证书。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以上证书每提供1个得1分，同一人有多个证书不可重复得分，不同人有相同证书不可重复得分，此项最多得8分。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测试团队人员签订的正式劳动合同和投标人为其缴纳的近3个月（2026年4月至2026年6月）任意一个月的社保缴费证明，以及相关证书或证明材料扫描件或复印件并加盖投标人公章，否则不得分。）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2.3类似业绩</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投标人自2023年7月1日以来参与过类似信息化项目第三方测试服务案例的，每提供一个测试案例得1分，最多得3分。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投标人自2023年7月1日以来参与过类似信息化项目第三方监理服务案例的，每提供一个监理案例得1分，最多得3分。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投标人自2023年7月1日以来参与过类似信息化项目第三方造价服务案例的，每提供一个造价案例得1分，最多得</w:t>
            </w:r>
            <w:r>
              <w:rPr>
                <w:rFonts w:hint="eastAsia" w:ascii="Times New Roman" w:hAnsi="Times New Roman" w:eastAsia="方正仿宋_GBK" w:cs="宋体"/>
                <w:sz w:val="24"/>
                <w:szCs w:val="24"/>
                <w:highlight w:val="none"/>
                <w:lang w:val="en-US" w:eastAsia="zh-CN"/>
              </w:rPr>
              <w:t xml:space="preserve">3</w:t>
            </w:r>
            <w:r>
              <w:rPr>
                <w:rFonts w:hint="eastAsia" w:ascii="Times New Roman" w:hAnsi="Times New Roman" w:eastAsia="方正仿宋_GBK" w:cs="宋体"/>
                <w:sz w:val="24"/>
                <w:szCs w:val="24"/>
                <w:highlight w:val="none"/>
              </w:rPr>
              <w:t xml:space="preserve">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（以上案例不可重复得分，必须提供合同等有效证明材料扫描件或复印件并加盖投标人公章，否则不得分。）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hint="eastAsia" w:ascii="Times New Roman" w:hAnsi="Times New Roman" w:eastAsia="方正仿宋_GBK" w:cs="宋体"/>
                <w:sz w:val="24"/>
                <w:szCs w:val="24"/>
                <w:highlight w:val="none"/>
                <w:lang w:eastAsia="zh-CN"/>
              </w:rPr>
            </w:pPr>
            <w:r>
              <w:rPr>
                <w:rFonts w:hint="eastAsia" w:ascii="Times New Roman" w:hAnsi="Times New Roman" w:eastAsia="方正仿宋_GBK" w:cs="宋体"/>
                <w:sz w:val="24"/>
                <w:szCs w:val="24"/>
                <w:highlight w:val="none"/>
                <w:lang w:val="en-US" w:eastAsia="zh-CN"/>
              </w:rPr>
              <w:t xml:space="preserve">9</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三、技术要求：45分</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3.1监理服务大纲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投标人应根据招标文件要求及本项目特点，提供具体详实的项目监理服务大纲，大纲优于招标文件要求的得5分，符合招标文件要求的得3分，不符合招标文件要求或未提供的不得分。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3.2质量控制方案、进度控制方案、投资控制方案和变更控制方案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质量控制方案、进度控制方案、投资控制方案和变更控制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817"/>
        </w:trPr>
        <w:tc>
          <w:tcPr>
            <w:tcBorders>
              <w:top w:val="single" w:color="000000" w:sz="4" w:space="0"/>
              <w:left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3.3合同管理方案、安全管理方案、信息管理方案和组织协调方案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合同管理方案、安全管理方案、信息管理方案和组织协调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3.4测试服务大纲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投标人应根据招标文件要求及本项目特点，提供具体详实的项目测试服务大纲，大纲优于招标文件要求的得5分，符合招标文件要求的得3分，不符合招标文件要求或未提供的不得分。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3.5功能测试、性能测试和安全测试方案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投标人应根据招标文件要求及本项目特点，提供功能测试、性能测试和安全测试方案，方案优于招标文件要求的得5分，符合招标文件要求的得3分，不符合招标文件要求或未提供的不得分。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3.6兼容性测试、可移植性测试、可维护性测试、易用性测试、可靠性测试和代码审计方案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兼容性测试、可移植性测试、可维护性测试、易用性测试、可靠性测试和代码审计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3.7造价服务大纲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投标人应根据招标文件要求及本项目特点，提供具体详实的项目造价服务大纲，大纲优于招标文件要求的得5分，符合招标文件要求的得3分，不符合招标文件要求或未提供的不得分。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3.8造价实施方案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投标人应根据招标文件要求及本项目特点，提供项目造价实施方案，方案优于招标文件要求的得5分，符合招标文件要求的得3分，不符合招标文件要求或未提供的不得分。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3.9重点及难点</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投标人应根据招标文件要求及本项目特点，分析项目实施过程中的重点及难点，方案优于招标文件要求的得5分，符合招标文件要求的得3分，不符合招标文件要求或未提供的不得分。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ind w:left="420"/>
              <w:jc w:val="cente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sz w:val="24"/>
                <w:szCs w:val="24"/>
                <w:highlight w:val="none"/>
              </w:rPr>
              <w:t xml:space="preserve">合计：100分</w:t>
            </w:r>
            <w:r/>
          </w:p>
        </w:tc>
      </w:tr>
    </w:tbl>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说明：</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1、小微企业的价格扣除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2、监狱和戒毒企业的价格扣除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2.1. 本项目对监狱和戒毒企业（简称监狱企业），给予等同于小微企业的价格扣除，用扣除后的价格参与评审。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2.2. 监狱企业需提供由省级以上监狱管理局、戒毒管理局（含新疆生产建设兵团）出具的属于监狱企业的证明文件。</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2.3. 监狱企业标准请参照《关于政府采购支持监狱企业发展有关问题的通知》（财库[2014]68号）。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3、残疾人福利性单位的价格扣除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3.1. 本项目对残疾人福利性单位，给予等同于小微企业的价格扣除，用扣除后的价格参与评审。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3.2. 残疾人福利单位需按照招标文件的要求提供《残疾人福利性单位声明函》。</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3.3. 残疾人福利单位标准请参照《关于促进残疾人就业政府采购政策的通知》（财库〔2017〕141号）。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4、监狱企业、残疾人福利单位属于小型、微型企业的，不重复享受政策。</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5、</w:t>
      </w:r>
      <w:r>
        <w:rPr>
          <w:rFonts w:ascii="Times New Roman" w:hAnsi="Times New Roman" w:cs="Times New Roman"/>
          <w:highlight w:val="none"/>
        </w:rPr>
        <w:t xml:space="preserve">除招标公告载明接受进口产品参加外</w:t>
      </w:r>
      <w:r>
        <w:rPr>
          <w:rFonts w:hint="eastAsia" w:ascii="Times New Roman" w:hAnsi="Times New Roman" w:cs="Times New Roman"/>
          <w:highlight w:val="none"/>
        </w:rPr>
        <w:t xml:space="preserve">，</w:t>
      </w:r>
      <w:r>
        <w:rPr>
          <w:rFonts w:ascii="Times New Roman" w:hAnsi="Times New Roman" w:cs="Times New Roman"/>
          <w:highlight w:val="none"/>
        </w:rPr>
        <w:t xml:space="preserve">不允许进口产品参加</w:t>
      </w:r>
      <w:r>
        <w:rPr>
          <w:rFonts w:hint="eastAsia" w:ascii="Times New Roman" w:hAnsi="Times New Roman" w:cs="Times New Roman"/>
          <w:highlight w:val="none"/>
        </w:rPr>
        <w:t xml:space="preserve">。进口产品认定依照《财政部办公厅关于政府采购进口产品管理有关问题的通知》（</w:t>
      </w:r>
      <w:r>
        <w:rPr>
          <w:rFonts w:hint="eastAsia" w:ascii="Times New Roman" w:hAnsi="Times New Roman" w:cs="Times New Roman"/>
          <w:sz w:val="24"/>
          <w:szCs w:val="24"/>
          <w:highlight w:val="none"/>
        </w:rPr>
        <w:t xml:space="preserve">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highlight w:val="none"/>
        </w:rPr>
        <w:t xml:space="preserve">）的规定。</w:t>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lang w:val="zh-TW" w:eastAsia="zh-TW"/>
        </w:rPr>
      </w:pPr>
      <w:r/>
      <w:bookmarkStart w:id="17" w:name="_Toc30059"/>
      <w:r/>
      <w:r/>
    </w:p>
    <w:p>
      <w:pPr>
        <w:jc w:val="center"/>
        <w:keepLines/>
        <w:keepNext/>
        <w:spacing w:before="240" w:after="240" w:line="360" w:lineRule="auto"/>
        <w:rPr>
          <w:rFonts w:ascii="黑体" w:eastAsia="黑体" w:cs="黑体"/>
          <w:sz w:val="36"/>
          <w:szCs w:val="36"/>
          <w:highlight w:val="none"/>
          <w:lang w:val="zh-TW" w:eastAsia="zh-TW"/>
        </w:rPr>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六</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投标文件格式</w:t>
      </w:r>
      <w:bookmarkEnd w:id="17"/>
      <w:r/>
      <w:r/>
    </w:p>
    <w:p>
      <w:pPr>
        <w:jc w:val="center"/>
        <w:widowControl/>
        <w:rPr>
          <w:rFonts w:ascii="Times New Roman" w:hAnsi="Times New Roman" w:cs="Times New Roman"/>
          <w:sz w:val="24"/>
          <w:highlight w:val="none"/>
        </w:rPr>
      </w:pPr>
      <w:r>
        <w:rPr>
          <w:rFonts w:ascii="宋体" w:hAnsi="宋体" w:cs="宋体"/>
          <w:b/>
          <w:bCs/>
          <w:sz w:val="36"/>
          <w:szCs w:val="36"/>
          <w:highlight w:val="none"/>
        </w:rPr>
        <w:t xml:space="preserve"> </w:t>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项 目 名 称：</w:t>
      </w:r>
      <w:r>
        <w:rPr>
          <w:rFonts w:ascii="宋体" w:hAnsi="宋体" w:cs="宋体"/>
          <w:b/>
          <w:bCs/>
          <w:sz w:val="36"/>
          <w:szCs w:val="36"/>
          <w:highlight w:val="none"/>
          <w:u w:val="single"/>
        </w:rPr>
        <w:t xml:space="preserve">          </w:t>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招 标 编 号：</w:t>
      </w:r>
      <w:r>
        <w:rPr>
          <w:rFonts w:ascii="宋体" w:hAnsi="宋体" w:cs="宋体"/>
          <w:b/>
          <w:bCs/>
          <w:sz w:val="36"/>
          <w:szCs w:val="36"/>
          <w:highlight w:val="none"/>
          <w:u w:val="single"/>
        </w:rPr>
        <w:t xml:space="preserve">          </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投标人名称 ：</w:t>
      </w:r>
      <w:r>
        <w:rPr>
          <w:rFonts w:ascii="宋体" w:hAnsi="宋体" w:cs="宋体"/>
          <w:b/>
          <w:bCs/>
          <w:sz w:val="36"/>
          <w:szCs w:val="36"/>
          <w:highlight w:val="none"/>
          <w:u w:val="single"/>
        </w:rPr>
        <w:t xml:space="preserve">（加盖CA电子公章）</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日 </w:t>
      </w:r>
      <w:r>
        <w:rPr>
          <w:rFonts w:hint="eastAsia" w:ascii="Times New Roman" w:hAnsi="Times New Roman" w:cs="宋体"/>
          <w:b/>
          <w:bCs/>
          <w:sz w:val="36"/>
          <w:szCs w:val="36"/>
          <w:highlight w:val="none"/>
        </w:rPr>
        <w:t xml:space="preserve">    </w:t>
      </w:r>
      <w:r>
        <w:rPr>
          <w:rFonts w:ascii="宋体" w:hAnsi="宋体" w:cs="宋体"/>
          <w:b/>
          <w:bCs/>
          <w:sz w:val="36"/>
          <w:szCs w:val="36"/>
          <w:highlight w:val="none"/>
        </w:rPr>
        <w:t xml:space="preserve">期 ：</w:t>
      </w:r>
      <w:r>
        <w:rPr>
          <w:rFonts w:ascii="宋体" w:hAnsi="宋体" w:cs="宋体"/>
          <w:b/>
          <w:bCs/>
          <w:sz w:val="36"/>
          <w:szCs w:val="36"/>
          <w:highlight w:val="none"/>
          <w:u w:val="single"/>
        </w:rPr>
        <w:t xml:space="preserve">          </w:t>
      </w:r>
      <w:r/>
    </w:p>
    <w:p>
      <w:pPr>
        <w:jc w:val="center"/>
        <w:spacing w:line="360" w:lineRule="auto"/>
        <w:rPr>
          <w:rFonts w:ascii="Times New Roman" w:hAnsi="Times New Roman" w:cs="Times New Roman"/>
          <w:highlight w:val="none"/>
        </w:rPr>
      </w:pPr>
      <w:r>
        <w:rPr>
          <w:rFonts w:ascii="Times New Roman" w:hAnsi="Times New Roman" w:cs="Times New Roman"/>
          <w:highlight w:val="none"/>
        </w:rPr>
        <w:br w:type="page" w:clear="all"/>
      </w:r>
      <w:r/>
    </w:p>
    <w:p>
      <w:pPr>
        <w:spacing w:before="120" w:after="120" w:line="360" w:lineRule="auto"/>
        <w:tabs>
          <w:tab w:val="left" w:pos="576" w:leader="none"/>
        </w:tabs>
        <w:rPr>
          <w:rFonts w:ascii="Times New Roman" w:hAnsi="Times New Roman" w:eastAsia="黑体" w:cs="Times New Roman"/>
          <w:sz w:val="24"/>
          <w:szCs w:val="24"/>
          <w:highlight w:val="none"/>
        </w:rPr>
        <w:outlineLvl w:val="2"/>
      </w:pPr>
      <w:r/>
      <w:bookmarkStart w:id="18" w:name="_Toc50"/>
      <w:r/>
      <w:bookmarkStart w:id="19" w:name="_Toc448069988"/>
      <w:r/>
      <w:bookmarkStart w:id="20" w:name="_Toc415494574"/>
      <w:r/>
      <w:bookmarkStart w:id="21" w:name="_Toc11859491"/>
      <w:r/>
      <w:bookmarkStart w:id="22" w:name="_Toc417"/>
      <w:r>
        <w:rPr>
          <w:rFonts w:ascii="Times New Roman" w:hAnsi="Times New Roman" w:eastAsia="黑体" w:cs="Times New Roman"/>
          <w:sz w:val="24"/>
          <w:szCs w:val="24"/>
          <w:highlight w:val="none"/>
        </w:rPr>
        <w:t xml:space="preserve">6.1 </w:t>
      </w:r>
      <w:bookmarkEnd w:id="18"/>
      <w:r/>
      <w:bookmarkEnd w:id="19"/>
      <w:r/>
      <w:bookmarkEnd w:id="20"/>
      <w:r>
        <w:rPr>
          <w:rFonts w:hint="eastAsia" w:ascii="Times New Roman" w:hAnsi="Times New Roman" w:eastAsia="黑体" w:cs="Times New Roman"/>
          <w:sz w:val="24"/>
          <w:szCs w:val="24"/>
          <w:highlight w:val="none"/>
        </w:rPr>
        <w:t xml:space="preserve">投标函</w:t>
      </w:r>
      <w:bookmarkEnd w:id="21"/>
      <w:r/>
      <w:bookmarkEnd w:id="22"/>
      <w:r/>
      <w:r/>
    </w:p>
    <w:p>
      <w:pPr>
        <w:jc w:val="center"/>
        <w:spacing w:line="360" w:lineRule="auto"/>
        <w:rPr>
          <w:rFonts w:ascii="黑体" w:eastAsia="黑体" w:cs="Times New Roman"/>
          <w:sz w:val="28"/>
          <w:szCs w:val="24"/>
          <w:highlight w:val="none"/>
          <w:lang w:val="zh-TW" w:eastAsia="zh-TW"/>
        </w:rPr>
      </w:pPr>
      <w:r>
        <w:rPr>
          <w:rFonts w:hint="eastAsia" w:ascii="黑体" w:eastAsia="黑体" w:cs="Times New Roman"/>
          <w:sz w:val="28"/>
          <w:szCs w:val="24"/>
          <w:highlight w:val="none"/>
          <w:lang w:val="zh-TW" w:eastAsia="zh-TW"/>
        </w:rPr>
        <w:t xml:space="preserve">投标函</w:t>
      </w:r>
      <w:r/>
    </w:p>
    <w:p>
      <w:pPr>
        <w:pStyle w:val="951"/>
        <w:ind w:firstLine="0"/>
        <w:spacing w:before="0" w:after="0" w:line="300" w:lineRule="auto"/>
        <w:rPr>
          <w:rFonts w:ascii="Times New Roman" w:hAnsi="Times New Roman"/>
          <w:szCs w:val="21"/>
          <w:highlight w:val="none"/>
        </w:rPr>
      </w:pPr>
      <w:r>
        <w:rPr>
          <w:rFonts w:ascii="Times New Roman" w:hAnsi="Times New Roman"/>
          <w:szCs w:val="21"/>
          <w:highlight w:val="none"/>
        </w:rPr>
        <w:t xml:space="preserve">致：</w:t>
      </w:r>
      <w:r>
        <w:rPr>
          <w:rFonts w:hint="eastAsia" w:ascii="Times New Roman" w:hAnsi="Times New Roman"/>
          <w:szCs w:val="21"/>
          <w:highlight w:val="none"/>
        </w:rPr>
        <w:t xml:space="preserve">江苏省医疗保障局</w:t>
      </w:r>
      <w:r/>
    </w:p>
    <w:p>
      <w:pPr>
        <w:pStyle w:val="951"/>
        <w:spacing w:before="0" w:after="0" w:line="300" w:lineRule="auto"/>
        <w:rPr>
          <w:rFonts w:ascii="Times New Roman" w:hAnsi="Times New Roman"/>
          <w:szCs w:val="21"/>
          <w:highlight w:val="none"/>
        </w:rPr>
      </w:pPr>
      <w:r>
        <w:rPr>
          <w:rFonts w:ascii="Times New Roman" w:hAnsi="Times New Roman"/>
          <w:szCs w:val="21"/>
          <w:highlight w:val="none"/>
        </w:rPr>
        <w:t xml:space="preserve">根据贵方</w:t>
      </w:r>
      <w:r>
        <w:rPr>
          <w:rFonts w:hint="eastAsia" w:ascii="Times New Roman" w:hAnsi="Times New Roman"/>
          <w:szCs w:val="21"/>
          <w:highlight w:val="none"/>
          <w:u w:val="single"/>
        </w:rPr>
        <w:t xml:space="preserve">                               项目（</w:t>
      </w:r>
      <w:r>
        <w:rPr>
          <w:rFonts w:ascii="Times New Roman" w:hAnsi="Times New Roman"/>
          <w:szCs w:val="21"/>
          <w:highlight w:val="none"/>
          <w:u w:val="single"/>
        </w:rPr>
        <w:t xml:space="preserve">项目编号</w:t>
      </w:r>
      <w:r>
        <w:rPr>
          <w:rFonts w:hint="eastAsia" w:ascii="Times New Roman" w:hAnsi="Times New Roman"/>
          <w:szCs w:val="21"/>
          <w:highlight w:val="none"/>
          <w:u w:val="single"/>
        </w:rPr>
        <w:t xml:space="preserve">： ）</w:t>
      </w:r>
      <w:r>
        <w:rPr>
          <w:rFonts w:ascii="Times New Roman" w:hAnsi="Times New Roman"/>
          <w:szCs w:val="21"/>
          <w:highlight w:val="none"/>
        </w:rPr>
        <w:t xml:space="preserve">的招标文件，正式授权下述签字人____________</w:t>
      </w:r>
      <w:r>
        <w:rPr>
          <w:rFonts w:hint="eastAsia" w:ascii="Times New Roman" w:hAnsi="Times New Roman"/>
          <w:szCs w:val="21"/>
          <w:highlight w:val="none"/>
        </w:rPr>
        <w:t xml:space="preserve">（</w:t>
      </w:r>
      <w:r>
        <w:rPr>
          <w:rFonts w:ascii="Times New Roman" w:hAnsi="Times New Roman"/>
          <w:szCs w:val="21"/>
          <w:highlight w:val="none"/>
        </w:rPr>
        <w:t xml:space="preserve">姓名和职务</w:t>
      </w:r>
      <w:r>
        <w:rPr>
          <w:rFonts w:hint="eastAsia" w:ascii="Times New Roman" w:hAnsi="Times New Roman"/>
          <w:szCs w:val="21"/>
          <w:highlight w:val="none"/>
        </w:rPr>
        <w:t xml:space="preserve">）</w:t>
      </w:r>
      <w:r>
        <w:rPr>
          <w:rFonts w:ascii="Times New Roman" w:hAnsi="Times New Roman"/>
          <w:szCs w:val="21"/>
          <w:highlight w:val="none"/>
        </w:rPr>
        <w:t xml:space="preserve">代表我方____________（投标人的名称），全权处理本次项目投标的有关事宜。</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据此函，__________签字人兹宣布同意如下：</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1.按招标文件规定的各项要求，向买方提供所需服务（包含与服务相关的货物）。</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2.我们完全理解贵方不一定将合同授予最低报价的投标人。</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3.我们已详细审核全部招标文件及其有效补充文件。</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5</w:t>
      </w:r>
      <w:r>
        <w:rPr>
          <w:rFonts w:hint="eastAsia" w:ascii="宋体" w:hAnsi="宋体" w:cs="Times New Roman"/>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6</w:t>
      </w:r>
      <w:r>
        <w:rPr>
          <w:rFonts w:hint="eastAsia" w:ascii="宋体" w:hAnsi="宋体" w:cs="Times New Roman"/>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7</w:t>
      </w:r>
      <w:r>
        <w:rPr>
          <w:rFonts w:hint="eastAsia" w:ascii="宋体" w:hAnsi="宋体" w:cs="Times New Roman"/>
          <w:sz w:val="24"/>
          <w:szCs w:val="21"/>
          <w:highlight w:val="none"/>
        </w:rPr>
        <w:t xml:space="preserve">.与本投标有关的正式通讯地址为：</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地          址：</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邮          编：</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电          话：</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传          真：</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投标人开户行：</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账          号： </w:t>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hint="eastAsia" w:ascii="Times New Roman" w:hAnsi="Times New Roman" w:cs="Times New Roman"/>
          <w:sz w:val="24"/>
          <w:szCs w:val="21"/>
          <w:highlight w:val="none"/>
        </w:rPr>
        <w:t xml:space="preserve">投标人(加盖CA电子公章)：     </w:t>
      </w:r>
      <w:r/>
    </w:p>
    <w:p>
      <w:pPr>
        <w:ind w:firstLine="480"/>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eastAsia="黑体"/>
          <w:bCs/>
          <w:sz w:val="24"/>
          <w:szCs w:val="24"/>
          <w:highlight w:val="none"/>
        </w:rPr>
        <w:t xml:space="preserve">日           期：___年____月____日</w:t>
      </w:r>
      <w:r/>
    </w:p>
    <w:p>
      <w:pPr>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23" w:name="_Toc18412"/>
      <w:r/>
      <w:bookmarkStart w:id="24" w:name="_Toc415494579"/>
      <w:r/>
      <w:bookmarkStart w:id="25" w:name="_Toc11859492"/>
      <w:r/>
      <w:bookmarkStart w:id="26" w:name="_Toc448069992"/>
      <w:r/>
      <w:bookmarkStart w:id="27" w:name="_Toc448069989"/>
      <w:r/>
      <w:bookmarkStart w:id="28" w:name="_Toc51"/>
      <w:r/>
      <w:bookmarkStart w:id="29" w:name="_Toc415494575"/>
      <w:r/>
      <w:bookmarkStart w:id="30" w:name="_Toc452541709"/>
      <w:r>
        <w:rPr>
          <w:rFonts w:ascii="Times New Roman" w:hAnsi="Times New Roman" w:eastAsia="黑体" w:cs="Times New Roman"/>
          <w:sz w:val="24"/>
          <w:szCs w:val="24"/>
          <w:highlight w:val="none"/>
        </w:rPr>
        <w:t xml:space="preserve">6.2 </w:t>
      </w:r>
      <w:bookmarkEnd w:id="23"/>
      <w:r/>
      <w:bookmarkEnd w:id="24"/>
      <w:r/>
      <w:bookmarkEnd w:id="25"/>
      <w:r/>
      <w:bookmarkEnd w:id="26"/>
      <w:r>
        <w:rPr>
          <w:rFonts w:hint="eastAsia" w:ascii="Times New Roman" w:hAnsi="Times New Roman" w:eastAsia="黑体" w:cs="Times New Roman"/>
          <w:sz w:val="24"/>
          <w:szCs w:val="24"/>
          <w:highlight w:val="none"/>
        </w:rPr>
        <w:t xml:space="preserve">开标一览表</w:t>
      </w:r>
      <w:r/>
    </w:p>
    <w:p>
      <w:pPr>
        <w:jc w:val="center"/>
        <w:spacing w:line="360" w:lineRule="auto"/>
        <w:rPr>
          <w:rFonts w:ascii="黑体" w:eastAsia="黑体" w:cs="Times New Roman"/>
          <w:sz w:val="28"/>
          <w:szCs w:val="24"/>
          <w:highlight w:val="none"/>
          <w:lang w:val="zh-TW"/>
        </w:rPr>
      </w:pPr>
      <w:r>
        <w:rPr>
          <w:rFonts w:hint="eastAsia" w:ascii="黑体" w:eastAsia="黑体" w:cs="Times New Roman"/>
          <w:sz w:val="28"/>
          <w:szCs w:val="24"/>
          <w:highlight w:val="none"/>
          <w:lang w:val="zh-TW"/>
        </w:rPr>
        <w:t xml:space="preserve">开标一览表(格式系统生成)：</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投标人全称（加盖CA电子公章）：</w:t>
      </w:r>
      <w:r/>
    </w:p>
    <w:p>
      <w:pPr>
        <w:ind w:firstLine="482"/>
        <w:spacing w:line="0" w:lineRule="atLeast"/>
        <w:rPr>
          <w:rFonts w:ascii="Times New Roman" w:hAnsi="Times New Roman" w:cs="Times New Roman"/>
          <w:sz w:val="24"/>
          <w:szCs w:val="24"/>
          <w:highlight w:val="none"/>
        </w:rPr>
      </w:pPr>
      <w:r>
        <w:rPr>
          <w:rFonts w:hint="eastAsia" w:ascii="宋体" w:hAnsi="宋体" w:cs="Times New Roman"/>
          <w:sz w:val="24"/>
          <w:szCs w:val="24"/>
          <w:highlight w:val="none"/>
        </w:rPr>
        <w:t xml:space="preserve">项目名称：</w:t>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采购编号：                                   </w:t>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s="Times New Roman"/>
                <w:sz w:val="24"/>
                <w:szCs w:val="24"/>
                <w:highlight w:val="none"/>
              </w:rPr>
            </w:pPr>
            <w:r>
              <w:rPr>
                <w:rFonts w:hint="eastAsia" w:ascii="宋体" w:hAnsi="宋体" w:cs="宋体"/>
                <w:sz w:val="24"/>
                <w:szCs w:val="24"/>
                <w:highlight w:val="none"/>
              </w:rPr>
              <w:t xml:space="preserve">                      </w:t>
            </w:r>
            <w:r>
              <w:rPr>
                <w:rFonts w:hint="eastAsia" w:ascii="宋体" w:hAnsi="宋体" w:cs="Times New Roman"/>
                <w:sz w:val="24"/>
                <w:szCs w:val="24"/>
                <w:highlight w:val="none"/>
              </w:rPr>
              <w:t xml:space="preserve">投标总报价</w:t>
            </w:r>
            <w:r/>
          </w:p>
        </w:tc>
      </w:tr>
      <w:tr>
        <w:trPr>
          <w:cantSplit/>
          <w:trHeight w:val="612"/>
        </w:trPr>
        <w:tc>
          <w:tcPr>
            <w:tcW w:w="8206" w:type="dxa"/>
            <w:vAlign w:val="center"/>
            <w:textDirection w:val="lrTb"/>
            <w:noWrap w:val="false"/>
          </w:tcPr>
          <w:p>
            <w:pPr>
              <w:jc w:val="left"/>
              <w:spacing w:line="500" w:lineRule="exact"/>
              <w:rPr>
                <w:rFonts w:ascii="宋体" w:hAnsi="宋体" w:cs="Times New Roman"/>
                <w:sz w:val="24"/>
                <w:szCs w:val="21"/>
                <w:highlight w:val="none"/>
              </w:rPr>
            </w:pPr>
            <w:r>
              <w:rPr>
                <w:rFonts w:hint="eastAsia" w:ascii="宋体" w:hAnsi="宋体" w:cs="宋体"/>
                <w:sz w:val="24"/>
                <w:szCs w:val="24"/>
                <w:highlight w:val="none"/>
              </w:rPr>
              <w:t xml:space="preserve">小写：                             （人民币：元）</w:t>
            </w:r>
            <w:r/>
          </w:p>
        </w:tc>
      </w:tr>
    </w:tbl>
    <w:p>
      <w:pPr>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rPr>
          <w:rFonts w:ascii="Times New Roman" w:hAnsi="Times New Roman" w:eastAsia="黑体" w:cs="Times New Roman"/>
          <w:sz w:val="24"/>
          <w:szCs w:val="24"/>
          <w:highlight w:val="none"/>
        </w:rPr>
      </w:pPr>
      <w:r/>
      <w:bookmarkStart w:id="31" w:name="_Toc4277"/>
      <w:r>
        <w:rPr>
          <w:rFonts w:hint="eastAsia" w:ascii="Times New Roman" w:hAnsi="Times New Roman" w:eastAsia="黑体" w:cs="Times New Roman"/>
          <w:sz w:val="24"/>
          <w:szCs w:val="24"/>
          <w:highlight w:val="none"/>
        </w:rPr>
        <w:br w:type="page" w:clear="all"/>
      </w:r>
      <w:r/>
    </w:p>
    <w:p>
      <w:pPr>
        <w:spacing w:line="360" w:lineRule="auto"/>
        <w:rPr>
          <w:rFonts w:ascii="黑体" w:eastAsia="黑体" w:cs="Times New Roman"/>
          <w:sz w:val="28"/>
          <w:szCs w:val="24"/>
          <w:highlight w:val="none"/>
          <w:lang w:val="zh-TW" w:eastAsia="zh-TW"/>
        </w:rPr>
        <w:outlineLvl w:val="2"/>
      </w:pPr>
      <w:r>
        <w:rPr>
          <w:rFonts w:hint="eastAsia" w:ascii="Times New Roman" w:hAnsi="Times New Roman" w:eastAsia="黑体" w:cs="Times New Roman"/>
          <w:sz w:val="24"/>
          <w:szCs w:val="24"/>
          <w:highlight w:val="none"/>
        </w:rPr>
        <w:t xml:space="preserve">6.3分项报价表</w:t>
      </w:r>
      <w:bookmarkEnd w:id="31"/>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 投标分项报价表（采购包号：</w:t>
      </w:r>
      <w:r>
        <w:rPr>
          <w:rFonts w:hint="eastAsia" w:ascii="Times New Roman" w:hAnsi="Times New Roman" w:eastAsia="方正仿宋_GBK" w:cs="Times New Roman"/>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jc w:val="center"/>
        <w:rPr>
          <w:rFonts w:ascii="宋体" w:hAnsi="宋体"/>
          <w:b/>
          <w:sz w:val="24"/>
          <w:szCs w:val="24"/>
          <w:highlight w:val="none"/>
        </w:rPr>
      </w:pPr>
      <w:r>
        <w:rPr>
          <w:rFonts w:ascii="宋体" w:hAnsi="宋体"/>
          <w:b/>
          <w:sz w:val="24"/>
          <w:szCs w:val="24"/>
          <w:highlight w:val="none"/>
        </w:rPr>
      </w:r>
      <w:r/>
    </w:p>
    <w:tbl>
      <w:tblPr>
        <w:tblStyle w:val="917"/>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交付期/服务期</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bl>
    <w:p>
      <w:pPr>
        <w:spacing w:line="0" w:lineRule="atLeast"/>
        <w:rPr>
          <w:rFonts w:ascii="宋体" w:hAnsi="宋体"/>
          <w:sz w:val="24"/>
          <w:szCs w:val="24"/>
          <w:highlight w:val="none"/>
        </w:rPr>
      </w:pPr>
      <w:r>
        <w:rPr>
          <w:rFonts w:hint="eastAsia" w:ascii="宋体" w:hAnsi="宋体"/>
          <w:sz w:val="24"/>
          <w:szCs w:val="24"/>
          <w:highlight w:val="none"/>
        </w:rPr>
        <w:t xml:space="preserve">备注：</w:t>
      </w:r>
      <w:r/>
    </w:p>
    <w:p>
      <w:pPr>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0" w:lineRule="atLeast"/>
        <w:rPr>
          <w:rFonts w:ascii="宋体" w:hAnsi="宋体"/>
          <w:sz w:val="24"/>
          <w:szCs w:val="24"/>
          <w:highlight w:val="none"/>
        </w:rPr>
      </w:pPr>
      <w:r>
        <w:rPr>
          <w:rFonts w:hint="eastAsia" w:ascii="宋体" w:hAnsi="宋体"/>
          <w:sz w:val="24"/>
          <w:szCs w:val="24"/>
          <w:highlight w:val="none"/>
        </w:rPr>
        <w:t xml:space="preserve">3.项目经办人可以根据项目实际需要对表格结构进行调整。</w:t>
      </w:r>
      <w:r/>
    </w:p>
    <w:p>
      <w:pPr>
        <w:spacing w:line="0" w:lineRule="atLeast"/>
        <w:rPr>
          <w:rFonts w:ascii="宋体" w:hAnsi="宋体"/>
          <w:sz w:val="24"/>
          <w:szCs w:val="24"/>
          <w:highlight w:val="none"/>
        </w:rPr>
      </w:pPr>
      <w:r>
        <w:rPr>
          <w:rFonts w:hint="eastAsia" w:ascii="宋体" w:hAnsi="宋体"/>
          <w:sz w:val="24"/>
          <w:szCs w:val="24"/>
          <w:highlight w:val="none"/>
        </w:rPr>
        <w:t xml:space="preserve">4.投标供应商应按照采购文件的相关要求填写此表。</w:t>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left"/>
        <w:rPr>
          <w:rFonts w:ascii="Times New Roman" w:hAnsi="Times New Roman" w:eastAsia="黑体" w:cs="Times New Roman"/>
          <w:sz w:val="24"/>
          <w:szCs w:val="24"/>
          <w:highlight w:val="none"/>
        </w:rPr>
      </w:pPr>
      <w:r>
        <w:rPr>
          <w:rFonts w:ascii="Times New Roman" w:hAnsi="Times New Roman" w:cs="Times New Roman"/>
          <w:sz w:val="24"/>
          <w:szCs w:val="24"/>
          <w:highlight w:val="none"/>
        </w:rPr>
        <w:br w:type="page" w:clear="all"/>
      </w:r>
      <w:bookmarkStart w:id="32" w:name="_Toc359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4</w:t>
      </w:r>
      <w:r>
        <w:rPr>
          <w:rFonts w:ascii="Times New Roman" w:hAnsi="Times New Roman" w:eastAsia="黑体" w:cs="Times New Roman"/>
          <w:sz w:val="24"/>
          <w:szCs w:val="24"/>
          <w:highlight w:val="none"/>
        </w:rPr>
        <w:t xml:space="preserve"> </w:t>
      </w:r>
      <w:bookmarkEnd w:id="32"/>
      <w:r>
        <w:rPr>
          <w:rFonts w:hint="eastAsia" w:ascii="Times New Roman" w:hAnsi="Times New Roman" w:eastAsia="黑体" w:cs="Times New Roman"/>
          <w:sz w:val="24"/>
          <w:szCs w:val="24"/>
          <w:highlight w:val="none"/>
        </w:rPr>
        <w:t xml:space="preserve">商务要求响应及偏离表</w:t>
      </w:r>
      <w:r/>
    </w:p>
    <w:p>
      <w:pPr>
        <w:jc w:val="center"/>
        <w:rPr>
          <w:rFonts w:ascii="宋体" w:hAnsi="宋体"/>
          <w:b/>
          <w:sz w:val="24"/>
          <w:szCs w:val="24"/>
          <w:highlight w:val="none"/>
        </w:rPr>
      </w:pPr>
      <w:r/>
      <w:bookmarkStart w:id="33" w:name="_Toc14276"/>
      <w:r/>
      <w:bookmarkStart w:id="34" w:name="_Toc4854"/>
      <w:r/>
      <w:r/>
    </w:p>
    <w:p>
      <w:pPr>
        <w:jc w:val="center"/>
        <w:rPr>
          <w:rFonts w:ascii="宋体" w:hAnsi="宋体"/>
          <w:b/>
          <w:sz w:val="24"/>
          <w:szCs w:val="24"/>
          <w:highlight w:val="none"/>
        </w:rPr>
      </w:pPr>
      <w:r>
        <w:rPr>
          <w:rFonts w:hint="eastAsia" w:ascii="宋体" w:hAnsi="宋体"/>
          <w:b/>
          <w:sz w:val="24"/>
          <w:szCs w:val="24"/>
          <w:highlight w:val="none"/>
        </w:rPr>
        <w:t xml:space="preserve">商务要求响应及偏离表（采购包号：**）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）逐条做出明确响应。</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33"/>
      <w:r/>
      <w:bookmarkEnd w:id="34"/>
      <w:r/>
      <w:r/>
    </w:p>
    <w:p>
      <w:pPr>
        <w:spacing w:line="460" w:lineRule="exact"/>
        <w:widowControl/>
        <w:rPr>
          <w:rFonts w:ascii="Times New Roman" w:hAnsi="Times New Roman" w:eastAsia="仿宋_GB2312" w:cs="Times New Roman"/>
          <w:sz w:val="32"/>
          <w:szCs w:val="28"/>
          <w:highlight w:val="none"/>
        </w:rPr>
      </w:pPr>
      <w:r>
        <w:rPr>
          <w:rFonts w:ascii="Times New Roman" w:hAnsi="Times New Roman" w:eastAsia="仿宋_GB2312" w:cs="Times New Roman"/>
          <w:sz w:val="32"/>
          <w:szCs w:val="28"/>
          <w:highlight w:val="none"/>
        </w:rPr>
      </w:r>
      <w:r/>
    </w:p>
    <w:p>
      <w:pPr>
        <w:jc w:val="left"/>
        <w:widowControl/>
        <w:rPr>
          <w:rFonts w:ascii="黑体" w:eastAsia="黑体" w:cs="黑体"/>
          <w:sz w:val="24"/>
          <w:szCs w:val="24"/>
          <w:highlight w:val="none"/>
        </w:rPr>
        <w:outlineLvl w:val="2"/>
      </w:pPr>
      <w:r/>
      <w:bookmarkStart w:id="35" w:name="_Toc535"/>
      <w:r/>
      <w:bookmarkStart w:id="36" w:name="_Toc11859496"/>
      <w:r/>
      <w:bookmarkStart w:id="37" w:name="_Toc5105"/>
      <w:r/>
      <w:bookmarkStart w:id="38" w:name="_Toc73708347"/>
      <w:r>
        <w:rPr>
          <w:rFonts w:ascii="黑体" w:eastAsia="黑体" w:cs="黑体"/>
          <w:sz w:val="24"/>
          <w:szCs w:val="24"/>
          <w:highlight w:val="none"/>
        </w:rPr>
        <w:br w:type="page" w:clear="all"/>
      </w:r>
      <w:bookmarkStart w:id="39" w:name="_Toc20209"/>
      <w:r>
        <w:rPr>
          <w:rFonts w:hint="eastAsia" w:ascii="黑体" w:eastAsia="黑体" w:cs="黑体"/>
          <w:sz w:val="24"/>
          <w:szCs w:val="24"/>
          <w:highlight w:val="none"/>
        </w:rPr>
        <w:t xml:space="preserve">6.5 </w:t>
      </w:r>
      <w:bookmarkEnd w:id="35"/>
      <w:r/>
      <w:bookmarkEnd w:id="36"/>
      <w:r/>
      <w:bookmarkEnd w:id="37"/>
      <w:r/>
      <w:bookmarkEnd w:id="38"/>
      <w:r/>
      <w:bookmarkEnd w:id="39"/>
      <w:r>
        <w:rPr>
          <w:rFonts w:hint="eastAsia" w:ascii="黑体" w:eastAsia="黑体" w:cs="黑体"/>
          <w:sz w:val="24"/>
          <w:szCs w:val="24"/>
          <w:highlight w:val="none"/>
        </w:rPr>
        <w:t xml:space="preserve">技术要求响应及偏离表</w:t>
      </w:r>
      <w:r/>
    </w:p>
    <w:p>
      <w:pPr>
        <w:jc w:val="center"/>
        <w:rPr>
          <w:rFonts w:ascii="宋体" w:hAnsi="宋体"/>
          <w:b/>
          <w:sz w:val="24"/>
          <w:szCs w:val="24"/>
          <w:highlight w:val="none"/>
        </w:rPr>
      </w:pPr>
      <w:r/>
      <w:bookmarkStart w:id="40" w:name="_Toc25027"/>
      <w:r/>
      <w:bookmarkStart w:id="41" w:name="_Toc30587"/>
      <w:r/>
      <w:r/>
    </w:p>
    <w:p>
      <w:pPr>
        <w:jc w:val="center"/>
        <w:rPr>
          <w:rFonts w:ascii="宋体" w:hAnsi="宋体"/>
          <w:b/>
          <w:sz w:val="24"/>
          <w:szCs w:val="24"/>
          <w:highlight w:val="none"/>
        </w:rPr>
      </w:pPr>
      <w:r>
        <w:rPr>
          <w:rFonts w:hint="eastAsia" w:ascii="宋体" w:hAnsi="宋体"/>
          <w:b/>
          <w:sz w:val="24"/>
          <w:szCs w:val="24"/>
          <w:highlight w:val="none"/>
        </w:rPr>
        <w:t xml:space="preserve">技术要求响应及偏离表（采购包号：**）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w:t>
      </w:r>
      <w:r>
        <w:rPr>
          <w:rFonts w:hint="eastAsia" w:ascii="宋体" w:hAnsi="宋体"/>
          <w:sz w:val="24"/>
          <w:szCs w:val="24"/>
          <w:highlight w:val="none"/>
        </w:rPr>
        <w:t xml:space="preserve">逐条做出明确响应。</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40"/>
      <w:r/>
      <w:bookmarkEnd w:id="41"/>
      <w:r/>
      <w:r/>
    </w:p>
    <w:p>
      <w:pPr>
        <w:jc w:val="center"/>
        <w:spacing w:before="156" w:after="156"/>
        <w:widowControl/>
        <w:rPr>
          <w:rFonts w:ascii="Times New Roman" w:hAnsi="Times New Roman" w:eastAsia="黑体" w:cs="Times New Roman"/>
          <w:b/>
          <w:sz w:val="36"/>
          <w:szCs w:val="24"/>
          <w:highlight w:val="none"/>
        </w:rPr>
      </w:pPr>
      <w:r>
        <w:rPr>
          <w:rFonts w:ascii="Times New Roman" w:hAnsi="Times New Roman" w:eastAsia="黑体" w:cs="Times New Roman"/>
          <w:b/>
          <w:sz w:val="36"/>
          <w:szCs w:val="24"/>
          <w:highlight w:val="none"/>
        </w:rPr>
        <w:br w:type="page" w:clear="all"/>
      </w:r>
      <w:bookmarkStart w:id="42" w:name="_Hlt26955054"/>
      <w:r/>
      <w:bookmarkEnd w:id="42"/>
      <w:r/>
      <w:r/>
    </w:p>
    <w:p>
      <w:pPr>
        <w:jc w:val="left"/>
        <w:widowControl/>
        <w:rPr>
          <w:rFonts w:ascii="黑体" w:eastAsia="黑体" w:cs="黑体"/>
          <w:bCs/>
          <w:sz w:val="24"/>
          <w:szCs w:val="24"/>
          <w:highlight w:val="none"/>
        </w:rPr>
      </w:pPr>
      <w:r/>
      <w:bookmarkStart w:id="43" w:name="_Toc4505"/>
      <w:r>
        <w:rPr>
          <w:rFonts w:hint="eastAsia" w:ascii="黑体" w:eastAsia="黑体" w:cs="黑体"/>
          <w:bCs/>
          <w:sz w:val="24"/>
          <w:szCs w:val="24"/>
          <w:highlight w:val="none"/>
        </w:rPr>
        <w:t xml:space="preserve">6.6服务方案</w:t>
      </w:r>
      <w:bookmarkEnd w:id="43"/>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6.7技术要求</w:t>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6.8对应详细评审的其他要求项目</w:t>
      </w:r>
      <w:r>
        <w:rPr>
          <w:rFonts w:hint="eastAsia" w:ascii="黑体" w:eastAsia="黑体" w:cs="黑体"/>
          <w:bCs/>
          <w:sz w:val="24"/>
          <w:szCs w:val="24"/>
          <w:highlight w:val="none"/>
        </w:rPr>
        <w:br w:type="page" w:clear="all"/>
      </w:r>
      <w:r/>
    </w:p>
    <w:p>
      <w:pPr>
        <w:ind w:right="181"/>
        <w:spacing w:line="360" w:lineRule="auto"/>
        <w:rPr>
          <w:rFonts w:ascii="黑体" w:eastAsia="黑体" w:cs="黑体"/>
          <w:bCs/>
          <w:sz w:val="24"/>
          <w:szCs w:val="24"/>
          <w:highlight w:val="none"/>
        </w:rPr>
        <w:outlineLvl w:val="2"/>
      </w:pPr>
      <w:r/>
      <w:bookmarkStart w:id="44" w:name="_Toc14491"/>
      <w:r>
        <w:rPr>
          <w:rFonts w:hint="eastAsia" w:ascii="黑体" w:eastAsia="黑体" w:cs="黑体"/>
          <w:bCs/>
          <w:sz w:val="24"/>
          <w:szCs w:val="24"/>
          <w:highlight w:val="none"/>
        </w:rPr>
        <w:t xml:space="preserve">6.9 </w:t>
      </w:r>
      <w:r>
        <w:rPr>
          <w:rFonts w:ascii="Times New Roman" w:hAnsi="Times New Roman" w:eastAsia="黑体" w:cs="Times New Roman"/>
          <w:sz w:val="24"/>
          <w:szCs w:val="24"/>
          <w:highlight w:val="none"/>
        </w:rPr>
        <w:t xml:space="preserve">资格证明文件</w:t>
      </w:r>
      <w:bookmarkEnd w:id="44"/>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提供法人或者其他组织的营业执照等证明文件，如投标人为自然人的，提供其身份证明</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00" w:lineRule="exact"/>
        <w:rPr>
          <w:rFonts w:ascii="宋体" w:cs="宋体"/>
          <w:sz w:val="24"/>
          <w:szCs w:val="24"/>
          <w:highlight w:val="none"/>
        </w:rPr>
      </w:pPr>
      <w:r>
        <w:rPr>
          <w:rFonts w:hint="eastAsia" w:ascii="宋体" w:cs="宋体"/>
          <w:sz w:val="24"/>
          <w:szCs w:val="24"/>
          <w:highlight w:val="none"/>
        </w:rPr>
        <w:t xml:space="preserve">文件2 授权委托书（格式见附件1）</w:t>
      </w:r>
      <w:r/>
    </w:p>
    <w:p>
      <w:pPr>
        <w:ind w:firstLine="480"/>
        <w:spacing w:line="400" w:lineRule="exact"/>
        <w:rPr>
          <w:rFonts w:ascii="宋体" w:cs="宋体"/>
          <w:sz w:val="24"/>
          <w:szCs w:val="24"/>
          <w:highlight w:val="none"/>
        </w:rPr>
      </w:pPr>
      <w:r>
        <w:rPr>
          <w:rFonts w:ascii="宋体" w:cs="宋体"/>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文件3 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文件4</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在提交投标文件截止时间前一年内（至少一个月）依法缴纳税收和社会保障资金的有效证明材料（投标人依法享受缓缴、免缴税收或社会保障资金的，须提供有效证明材料（扫描上传）</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文件5 具备履行合同所必需的设备和专业技术能力的书面声明（格式见附件2）</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文件6</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供应商参加政府采购活动前3年内在经营活动中没有重大违法记录的书面声明（格式见附件3）</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w:t>
      </w:r>
      <w:r>
        <w:rPr>
          <w:rFonts w:ascii="Times New Roman" w:hAnsi="Times New Roman" w:cs="Times New Roman"/>
          <w:sz w:val="24"/>
          <w:szCs w:val="24"/>
          <w:highlight w:val="none"/>
        </w:rPr>
        <w:t xml:space="preserve">7 </w:t>
      </w:r>
      <w:r>
        <w:rPr>
          <w:rFonts w:hint="eastAsia" w:ascii="Times New Roman" w:hAnsi="Times New Roman" w:cs="Times New Roman"/>
          <w:sz w:val="24"/>
          <w:szCs w:val="24"/>
          <w:highlight w:val="none"/>
        </w:rPr>
        <w:t xml:space="preserve">自招标公告发布之日至投标截止前的“信用中国”（</w:t>
      </w:r>
      <w:r>
        <w:rPr>
          <w:rFonts w:ascii="Times New Roman" w:hAnsi="Times New Roman" w:cs="Times New Roman"/>
          <w:sz w:val="24"/>
          <w:szCs w:val="24"/>
          <w:highlight w:val="none"/>
        </w:rPr>
        <w:t xml:space="preserve">www.creditchina.gov.cn</w:t>
      </w:r>
      <w:r>
        <w:rPr>
          <w:rFonts w:hint="eastAsia" w:ascii="Times New Roman" w:hAnsi="Times New Roman" w:cs="Times New Roman"/>
          <w:sz w:val="24"/>
          <w:szCs w:val="24"/>
          <w:highlight w:val="none"/>
        </w:rPr>
        <w:t xml:space="preserve">）或“诚信江苏”（</w:t>
      </w:r>
      <w:r>
        <w:rPr>
          <w:rFonts w:ascii="Times New Roman" w:hAnsi="Times New Roman" w:cs="Times New Roman"/>
          <w:sz w:val="24"/>
          <w:szCs w:val="24"/>
          <w:highlight w:val="none"/>
        </w:rPr>
        <w:t xml:space="preserve">www.jscredit.gov.cn</w:t>
      </w:r>
      <w:r>
        <w:rPr>
          <w:rFonts w:hint="eastAsia" w:ascii="Times New Roman" w:hAnsi="Times New Roman" w:cs="Times New Roman"/>
          <w:sz w:val="24"/>
          <w:szCs w:val="24"/>
          <w:highlight w:val="none"/>
        </w:rPr>
        <w:t xml:space="preserve">）或中国政府采购网（</w:t>
      </w:r>
      <w:r>
        <w:rPr>
          <w:rFonts w:ascii="Times New Roman" w:hAnsi="Times New Roman" w:cs="Times New Roman"/>
          <w:sz w:val="24"/>
          <w:szCs w:val="24"/>
          <w:highlight w:val="none"/>
        </w:rPr>
        <w:t xml:space="preserve">www.ccgp.gov.cn</w:t>
      </w:r>
      <w:r>
        <w:rPr>
          <w:rFonts w:hint="eastAsia" w:ascii="Times New Roman" w:hAnsi="Times New Roman" w:cs="Times New Roman"/>
          <w:sz w:val="24"/>
          <w:szCs w:val="24"/>
          <w:highlight w:val="none"/>
        </w:rPr>
        <w:t xml:space="preserve">）查询的、自本招标公告发布之日至投标截止前的信用记录的截图（提供不存在被列入失信被执行人、重大税收违法失信主体名单、政府采购严重失信行为记录名单的截图）</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文件8 其他投标声明（格式见附件5）：</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文件9招标文件中的其他资格性要求（详见招标公告第二条投标人资格要求）。</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spacing w:line="360" w:lineRule="auto"/>
        <w:widowControl/>
        <w:rPr>
          <w:rFonts w:ascii="Times New Roman" w:hAnsi="Times New Roman" w:cs="Times New Roman"/>
          <w:b/>
          <w:bCs/>
          <w:sz w:val="24"/>
          <w:szCs w:val="24"/>
          <w:highlight w:val="none"/>
        </w:rPr>
        <w:outlineLvl w:val="2"/>
      </w:pPr>
      <w:r>
        <w:rPr>
          <w:rFonts w:ascii="Times New Roman" w:hAnsi="Times New Roman" w:cs="Times New Roman"/>
          <w:b/>
          <w:bCs/>
          <w:sz w:val="24"/>
          <w:szCs w:val="24"/>
          <w:highlight w:val="none"/>
        </w:rPr>
        <w:t xml:space="preserve">6.10 </w:t>
      </w:r>
      <w:r>
        <w:rPr>
          <w:rFonts w:hint="eastAsia" w:ascii="Times New Roman" w:hAnsi="Times New Roman" w:cs="Times New Roman"/>
          <w:b/>
          <w:bCs/>
          <w:sz w:val="24"/>
          <w:szCs w:val="24"/>
          <w:highlight w:val="none"/>
        </w:rPr>
        <w:t xml:space="preserve">符合性审查内容证明文件</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投标人必须对招标文件（含技术要求和商务要求）中斜体且有下划线部分或加*号条款的实质性要求逐条做出响应，并按照招标文件要求提供证明材料，否则作无效投标处理。（格式见附件6）</w:t>
      </w:r>
      <w:r/>
    </w:p>
    <w:p>
      <w:pPr>
        <w:jc w:val="left"/>
        <w:rPr>
          <w:highlight w:val="none"/>
        </w:rPr>
      </w:pPr>
      <w:r/>
      <w:bookmarkStart w:id="45" w:name="_Toc26673"/>
      <w:r/>
      <w:bookmarkStart w:id="46" w:name="_Toc24629"/>
      <w:r>
        <w:rPr>
          <w:rFonts w:hint="eastAsia"/>
          <w:highlight w:val="none"/>
        </w:rPr>
        <w:br w:type="page" w:clear="all"/>
      </w:r>
      <w:r/>
    </w:p>
    <w:p>
      <w:pPr>
        <w:spacing w:line="460" w:lineRule="exact"/>
        <w:widowControl/>
        <w:rPr>
          <w:b/>
          <w:bCs/>
          <w:sz w:val="24"/>
          <w:szCs w:val="28"/>
          <w:highlight w:val="none"/>
        </w:rPr>
      </w:pPr>
      <w:r>
        <w:rPr>
          <w:rFonts w:hint="eastAsia"/>
          <w:b/>
          <w:bCs/>
          <w:sz w:val="24"/>
          <w:szCs w:val="28"/>
          <w:highlight w:val="none"/>
        </w:rPr>
        <w:t xml:space="preserve">附件1</w:t>
      </w:r>
      <w:r/>
    </w:p>
    <w:p>
      <w:pPr>
        <w:jc w:val="center"/>
        <w:spacing w:before="312" w:after="312" w:line="360" w:lineRule="auto"/>
        <w:widowControl/>
        <w:rPr>
          <w:rFonts w:ascii="黑体" w:eastAsia="黑体" w:cs="Times New Roman"/>
          <w:sz w:val="28"/>
          <w:szCs w:val="28"/>
          <w:highlight w:val="none"/>
        </w:rPr>
      </w:pPr>
      <w:r>
        <w:rPr>
          <w:rFonts w:hint="eastAsia" w:ascii="黑体" w:eastAsia="黑体" w:cs="宋体"/>
          <w:bCs/>
          <w:sz w:val="28"/>
          <w:szCs w:val="28"/>
          <w:highlight w:val="none"/>
          <w:lang w:val="zh-TW"/>
        </w:rPr>
        <w:t xml:space="preserve">法定</w:t>
      </w:r>
      <w:r>
        <w:rPr>
          <w:rFonts w:ascii="黑体" w:eastAsia="黑体" w:cs="宋体"/>
          <w:bCs/>
          <w:sz w:val="28"/>
          <w:szCs w:val="28"/>
          <w:highlight w:val="none"/>
          <w:lang w:val="zh-TW"/>
        </w:rPr>
        <w:t xml:space="preserve">代表人</w:t>
      </w:r>
      <w:r>
        <w:rPr>
          <w:rFonts w:hint="eastAsia" w:ascii="黑体" w:eastAsia="黑体" w:cs="宋体"/>
          <w:bCs/>
          <w:sz w:val="28"/>
          <w:szCs w:val="28"/>
          <w:highlight w:val="none"/>
          <w:lang w:val="zh-TW" w:eastAsia="zh-TW"/>
        </w:rPr>
        <w:t xml:space="preserve">授权</w:t>
      </w:r>
      <w:r>
        <w:rPr>
          <w:rFonts w:hint="eastAsia" w:ascii="黑体" w:eastAsia="黑体" w:cs="宋体"/>
          <w:bCs/>
          <w:sz w:val="28"/>
          <w:szCs w:val="28"/>
          <w:highlight w:val="none"/>
          <w:lang w:val="zh-TW"/>
        </w:rPr>
        <w:t xml:space="preserve">委托</w:t>
      </w:r>
      <w:r>
        <w:rPr>
          <w:rFonts w:hint="eastAsia" w:ascii="黑体" w:eastAsia="黑体" w:cs="宋体"/>
          <w:bCs/>
          <w:sz w:val="28"/>
          <w:szCs w:val="28"/>
          <w:highlight w:val="none"/>
          <w:lang w:val="zh-TW" w:eastAsia="zh-TW"/>
        </w:rPr>
        <w:t xml:space="preserve">书</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本授权书声明：____________（</w:t>
      </w:r>
      <w:r>
        <w:rPr>
          <w:rFonts w:hint="eastAsia" w:ascii="Times New Roman" w:hAnsi="Times New Roman" w:cs="Times New Roman"/>
          <w:bCs/>
          <w:sz w:val="24"/>
          <w:szCs w:val="24"/>
          <w:highlight w:val="none"/>
        </w:rPr>
        <w:t xml:space="preserve">投标人</w:t>
      </w:r>
      <w:r>
        <w:rPr>
          <w:rFonts w:ascii="Times New Roman" w:hAnsi="Times New Roman" w:cs="Times New Roman"/>
          <w:bCs/>
          <w:sz w:val="24"/>
          <w:szCs w:val="24"/>
          <w:highlight w:val="none"/>
        </w:rPr>
        <w:t xml:space="preserve">名称）授权________________（被授权人的姓名、职务）为我方就</w:t>
      </w:r>
      <w:r>
        <w:rPr>
          <w:rFonts w:hint="eastAsia" w:ascii="Times New Roman" w:hAnsi="Times New Roman" w:cs="Times New Roman"/>
          <w:bCs/>
          <w:sz w:val="24"/>
          <w:szCs w:val="24"/>
          <w:highlight w:val="none"/>
          <w:u w:val="single"/>
        </w:rPr>
        <w:t xml:space="preserve">                 项目</w:t>
      </w:r>
      <w:r>
        <w:rPr>
          <w:rFonts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hint="eastAsia" w:ascii="Times New Roman" w:hAnsi="Times New Roman" w:cs="Times New Roman"/>
          <w:bCs/>
          <w:sz w:val="24"/>
          <w:szCs w:val="24"/>
          <w:highlight w:val="none"/>
        </w:rPr>
        <w:t xml:space="preserve">项目</w:t>
      </w:r>
      <w:r>
        <w:rPr>
          <w:rFonts w:ascii="Times New Roman" w:hAnsi="Times New Roman" w:cs="Times New Roman"/>
          <w:bCs/>
          <w:sz w:val="24"/>
          <w:szCs w:val="24"/>
          <w:highlight w:val="none"/>
        </w:rPr>
        <w:t xml:space="preserve">编号</w:t>
      </w:r>
      <w:r>
        <w:rPr>
          <w:rFonts w:hint="eastAsia"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）采购活动的合法代理人，以本单位名义全权处理一切与该项目采购有关的事务。</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本授权书于______年____月____日起生效，特此声明。</w:t>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spacing w:line="400" w:lineRule="exact"/>
        <w:tabs>
          <w:tab w:val="left" w:pos="360" w:leader="none"/>
        </w:tabs>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ind w:firstLine="480"/>
        <w:spacing w:line="400" w:lineRule="exact"/>
        <w:tabs>
          <w:tab w:val="left" w:pos="360" w:leader="none"/>
        </w:tabs>
        <w:rPr>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p>
    <w:p>
      <w:pPr>
        <w:jc w:val="left"/>
        <w:spacing w:line="360" w:lineRule="auto"/>
        <w:widowControl/>
        <w:rPr>
          <w:rFonts w:ascii="宋体" w:cs="宋体"/>
          <w:b/>
          <w:bCs/>
          <w:sz w:val="24"/>
          <w:szCs w:val="21"/>
          <w:highlight w:val="none"/>
          <w:u w:val="single"/>
          <w:lang w:val="zh-TW"/>
        </w:rPr>
      </w:pPr>
      <w:r>
        <w:rPr>
          <w:rFonts w:ascii="宋体" w:cs="宋体"/>
          <w:b/>
          <w:bCs/>
          <w:sz w:val="24"/>
          <w:szCs w:val="21"/>
          <w:highlight w:val="none"/>
          <w:u w:val="single"/>
          <w:lang w:val="zh-TW"/>
        </w:rPr>
      </w:r>
      <w:r/>
    </w:p>
    <w:p>
      <w:pPr>
        <w:ind w:right="420"/>
        <w:jc w:val="left"/>
        <w:spacing w:line="360" w:lineRule="auto"/>
        <w:widowControl/>
        <w:rPr>
          <w:rFonts w:ascii="宋体" w:hAnsi="宋体" w:eastAsia="Microsoft JhengHei UI" w:cs="宋体"/>
          <w:sz w:val="24"/>
          <w:szCs w:val="21"/>
          <w:highlight w:val="none"/>
          <w:lang w:val="zh-TW" w:eastAsia="zh-TW"/>
        </w:rPr>
      </w:pPr>
      <w:r>
        <w:rPr>
          <w:rFonts w:ascii="宋体" w:hAnsi="宋体" w:eastAsia="Microsoft JhengHei UI" w:cs="宋体"/>
          <w:sz w:val="24"/>
          <w:szCs w:val="21"/>
          <w:highlight w:val="none"/>
          <w:lang w:val="zh-TW" w:eastAsia="zh-TW"/>
        </w:rPr>
      </w:r>
      <w:r/>
    </w:p>
    <w:p>
      <w:pPr>
        <w:rPr>
          <w:rFonts w:ascii="黑体" w:eastAsia="黑体" w:cs="Times New Roman"/>
          <w:sz w:val="28"/>
          <w:szCs w:val="21"/>
          <w:highlight w:val="none"/>
        </w:rPr>
      </w:pPr>
      <w:r>
        <w:rPr>
          <w:rFonts w:hint="eastAsia" w:ascii="黑体" w:eastAsia="黑体" w:cs="Times New Roman"/>
          <w:sz w:val="28"/>
          <w:szCs w:val="21"/>
          <w:highlight w:val="none"/>
        </w:rPr>
        <w:br w:type="page" w:clear="all"/>
      </w:r>
      <w:r/>
    </w:p>
    <w:p>
      <w:pP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附件2</w:t>
      </w:r>
      <w:r/>
    </w:p>
    <w:p>
      <w:pPr>
        <w:jc w:val="cente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具备履行合同所必需的设备和专业技术能力的书面声明</w:t>
      </w:r>
      <w:bookmarkEnd w:id="45"/>
      <w:r/>
      <w:bookmarkEnd w:id="46"/>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主要设备有：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主要专业技术能力有：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w:t>
      </w:r>
      <w:r>
        <w:rPr>
          <w:rFonts w:ascii="Times New Roman" w:hAnsi="Times New Roman" w:cs="Times New Roman"/>
          <w:bCs/>
          <w:sz w:val="24"/>
          <w:szCs w:val="24"/>
          <w:highlight w:val="none"/>
        </w:rPr>
        <w:t xml:space="preserve">日期：年月日</w:t>
      </w:r>
      <w:r/>
    </w:p>
    <w:p>
      <w:pPr>
        <w:jc w:val="cente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br w:type="page" w:clear="all"/>
      </w:r>
      <w:r/>
    </w:p>
    <w:p>
      <w:pPr>
        <w:spacing w:before="156" w:after="156" w:line="360" w:lineRule="auto"/>
        <w:widowControl/>
        <w:rPr>
          <w:rFonts w:ascii="黑体" w:eastAsia="黑体" w:cs="Times New Roman"/>
          <w:sz w:val="28"/>
          <w:szCs w:val="28"/>
          <w:highlight w:val="none"/>
        </w:rPr>
      </w:pPr>
      <w:r/>
      <w:bookmarkStart w:id="47" w:name="_Toc18196"/>
      <w:r/>
      <w:bookmarkStart w:id="48" w:name="_Toc26774"/>
      <w:r>
        <w:rPr>
          <w:rFonts w:hint="eastAsia" w:ascii="黑体" w:eastAsia="黑体" w:cs="Times New Roman"/>
          <w:sz w:val="28"/>
          <w:szCs w:val="28"/>
          <w:highlight w:val="none"/>
        </w:rPr>
        <w:t xml:space="preserve">附件3</w:t>
      </w:r>
      <w:r/>
    </w:p>
    <w:p>
      <w:pPr>
        <w:jc w:val="center"/>
        <w:spacing w:before="156" w:after="156" w:line="360" w:lineRule="auto"/>
        <w:widowControl/>
        <w:rPr>
          <w:rFonts w:ascii="黑体" w:eastAsia="黑体" w:cs="Times New Roman"/>
          <w:sz w:val="28"/>
          <w:szCs w:val="28"/>
          <w:highlight w:val="none"/>
        </w:rPr>
      </w:pPr>
      <w:r>
        <w:rPr>
          <w:rFonts w:ascii="黑体" w:eastAsia="黑体" w:cs="Times New Roman"/>
          <w:sz w:val="28"/>
          <w:szCs w:val="28"/>
          <w:highlight w:val="none"/>
        </w:rPr>
        <w:t xml:space="preserve">无违法违规记录声明</w:t>
      </w:r>
      <w:bookmarkEnd w:id="47"/>
      <w:r/>
      <w:bookmarkEnd w:id="48"/>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本单位参加政府采购活动近三年内，在经营活动中没有因违法经营受到刑事处罚或责令停产停业、吊销许可证或者执照、较大数额等行政处罚。</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企业名称（加盖CA电子公章）：</w:t>
      </w:r>
      <w:r/>
    </w:p>
    <w:p>
      <w:pPr>
        <w:ind w:firstLine="4320"/>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日期：年月日</w:t>
      </w:r>
      <w:r/>
    </w:p>
    <w:p>
      <w:pP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jc w:val="left"/>
        <w:shd w:val="clear" w:color="auto" w:fill="ffffff"/>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widowControl/>
        <w:rPr>
          <w:rFonts w:ascii="宋体" w:cs="宋体"/>
          <w:sz w:val="24"/>
          <w:szCs w:val="24"/>
          <w:highlight w:val="none"/>
        </w:rPr>
      </w:pPr>
      <w:r>
        <w:rPr>
          <w:rFonts w:ascii="宋体" w:cs="宋体"/>
          <w:sz w:val="24"/>
          <w:szCs w:val="24"/>
          <w:highlight w:val="none"/>
        </w:rPr>
      </w:r>
      <w:r/>
    </w:p>
    <w:p>
      <w:pPr>
        <w:jc w:val="center"/>
        <w:spacing w:line="460" w:lineRule="exact"/>
        <w:widowControl/>
        <w:rPr>
          <w:rFonts w:ascii="Times New Roman" w:hAnsi="Times New Roman" w:eastAsia="黑体" w:cs="Times New Roman"/>
          <w:sz w:val="24"/>
          <w:szCs w:val="24"/>
          <w:highlight w:val="none"/>
        </w:rPr>
      </w:pPr>
      <w:r>
        <w:rPr>
          <w:rFonts w:ascii="Times New Roman" w:hAnsi="Times New Roman" w:eastAsia="仿宋_GB2312" w:cs="Times New Roman"/>
          <w:sz w:val="32"/>
          <w:szCs w:val="28"/>
          <w:highlight w:val="none"/>
        </w:rPr>
        <w:br w:type="page" w:clear="all"/>
      </w:r>
      <w:bookmarkStart w:id="49" w:name="_Toc231787673"/>
      <w:r/>
      <w:bookmarkEnd w:id="49"/>
      <w:r/>
      <w:bookmarkStart w:id="50" w:name="_Toc322444605"/>
      <w:r/>
      <w:bookmarkEnd w:id="50"/>
      <w:r/>
      <w:bookmarkStart w:id="51" w:name="_Toc164497044"/>
      <w:r/>
      <w:bookmarkEnd w:id="51"/>
      <w:r/>
      <w:bookmarkStart w:id="52" w:name="_Toc264974211"/>
      <w:r/>
      <w:bookmarkEnd w:id="52"/>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pPr>
      <w:r/>
      <w:bookmarkStart w:id="53" w:name="_Toc28247"/>
      <w:r>
        <w:rPr>
          <w:rFonts w:hint="eastAsia" w:ascii="Times New Roman" w:hAnsi="Times New Roman" w:eastAsia="黑体" w:cs="Times New Roman"/>
          <w:sz w:val="24"/>
          <w:szCs w:val="24"/>
          <w:highlight w:val="none"/>
        </w:rPr>
        <w:t xml:space="preserve">附件4</w:t>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非联合体投标声明</w:t>
      </w:r>
      <w:bookmarkEnd w:id="53"/>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本次投标非联合体投标。</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0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080"/>
        <w:jc w:val="left"/>
        <w:spacing w:before="156" w:after="156" w:line="360" w:lineRule="auto"/>
        <w:widowControl/>
        <w:tabs>
          <w:tab w:val="left" w:pos="576" w:leader="none"/>
        </w:tabs>
        <w:rPr>
          <w:rFonts w:ascii="Times New Roman" w:hAnsi="Times New Roman" w:cs="Times New Roman"/>
          <w:bCs/>
          <w:sz w:val="24"/>
          <w:szCs w:val="24"/>
          <w:highlight w:val="none"/>
        </w:rPr>
      </w:pPr>
      <w:r/>
      <w:bookmarkStart w:id="54" w:name="_Toc21265"/>
      <w:r>
        <w:rPr>
          <w:rFonts w:ascii="Times New Roman" w:hAnsi="Times New Roman" w:cs="Times New Roman"/>
          <w:bCs/>
          <w:sz w:val="24"/>
          <w:szCs w:val="24"/>
          <w:highlight w:val="none"/>
        </w:rPr>
        <w:t xml:space="preserve">日期：年月日</w:t>
      </w:r>
      <w:bookmarkEnd w:id="54"/>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非进口产品投标声明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本次投标非进口产品。</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right="181" w:firstLine="480"/>
        <w:jc w:val="center"/>
        <w:spacing w:line="360" w:lineRule="auto"/>
        <w:rPr>
          <w:rFonts w:ascii="宋体" w:cs="宋体"/>
          <w:b/>
          <w:bCs/>
          <w:sz w:val="24"/>
          <w:szCs w:val="24"/>
          <w:highlight w:val="none"/>
        </w:rPr>
      </w:pP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日期：年月日</w:t>
      </w:r>
      <w:r/>
    </w:p>
    <w:p>
      <w:pPr>
        <w:jc w:val="center"/>
        <w:widowControl/>
        <w:rPr>
          <w:rFonts w:ascii="宋体" w:cs="宋体"/>
          <w:b/>
          <w:bCs/>
          <w:sz w:val="24"/>
          <w:szCs w:val="24"/>
          <w:highlight w:val="none"/>
        </w:rPr>
      </w:pPr>
      <w:r>
        <w:rPr>
          <w:rFonts w:ascii="宋体" w:cs="宋体"/>
          <w:b/>
          <w:bCs/>
          <w:sz w:val="24"/>
          <w:szCs w:val="24"/>
          <w:highlight w:val="none"/>
        </w:rPr>
      </w:r>
      <w:r/>
    </w:p>
    <w:p>
      <w:pPr>
        <w:jc w:val="center"/>
        <w:widowControl/>
        <w:rPr>
          <w:rFonts w:ascii="宋体" w:cs="宋体"/>
          <w:b/>
          <w:bCs/>
          <w:sz w:val="24"/>
          <w:szCs w:val="24"/>
          <w:highlight w:val="none"/>
        </w:rPr>
      </w:pPr>
      <w:r>
        <w:rPr>
          <w:rFonts w:ascii="宋体" w:cs="宋体"/>
          <w:b/>
          <w:bCs/>
          <w:sz w:val="24"/>
          <w:szCs w:val="24"/>
          <w:highlight w:val="none"/>
        </w:rPr>
      </w:r>
      <w:r/>
    </w:p>
    <w:p>
      <w:pPr>
        <w:rPr>
          <w:rFonts w:ascii="宋体" w:cs="宋体"/>
          <w:b/>
          <w:bCs/>
          <w:sz w:val="24"/>
          <w:szCs w:val="24"/>
          <w:highlight w:val="none"/>
        </w:rPr>
      </w:pPr>
      <w:r>
        <w:rPr>
          <w:rFonts w:hint="eastAsia" w:ascii="宋体" w:cs="宋体"/>
          <w:b/>
          <w:bCs/>
          <w:sz w:val="24"/>
          <w:szCs w:val="24"/>
          <w:highlight w:val="none"/>
        </w:rPr>
        <w:br w:type="page" w:clear="all"/>
      </w:r>
      <w:r/>
    </w:p>
    <w:p>
      <w:pPr>
        <w:widowControl/>
        <w:rPr>
          <w:rFonts w:ascii="宋体" w:cs="宋体"/>
          <w:b/>
          <w:bCs/>
          <w:sz w:val="24"/>
          <w:szCs w:val="24"/>
          <w:highlight w:val="none"/>
        </w:rPr>
      </w:pPr>
      <w:r>
        <w:rPr>
          <w:rFonts w:hint="eastAsia" w:ascii="宋体" w:cs="宋体"/>
          <w:b/>
          <w:bCs/>
          <w:sz w:val="24"/>
          <w:szCs w:val="24"/>
          <w:highlight w:val="none"/>
        </w:rPr>
        <w:t xml:space="preserve">附件5</w:t>
      </w:r>
      <w:r/>
    </w:p>
    <w:p>
      <w:pPr>
        <w:jc w:val="center"/>
        <w:widowControl/>
        <w:rPr>
          <w:rFonts w:ascii="宋体" w:cs="宋体"/>
          <w:b/>
          <w:bCs/>
          <w:sz w:val="24"/>
          <w:szCs w:val="24"/>
          <w:highlight w:val="none"/>
        </w:rPr>
      </w:pPr>
      <w:r>
        <w:rPr>
          <w:rFonts w:hint="eastAsia" w:ascii="宋体" w:cs="宋体"/>
          <w:b/>
          <w:bCs/>
          <w:sz w:val="24"/>
          <w:szCs w:val="24"/>
          <w:highlight w:val="none"/>
        </w:rPr>
        <w:t xml:space="preserve">其他投标声明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本次投标不存在以下情况：</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720"/>
        <w:spacing w:line="420" w:lineRule="exact"/>
        <w:widowControl/>
        <w:rPr>
          <w:rFonts w:ascii="宋体" w:cs="宋体"/>
          <w:sz w:val="24"/>
          <w:szCs w:val="24"/>
          <w:highlight w:val="none"/>
        </w:rPr>
      </w:pPr>
      <w:r>
        <w:rPr>
          <w:rFonts w:hint="eastAsia" w:ascii="宋体" w:cs="宋体"/>
          <w:sz w:val="24"/>
          <w:szCs w:val="24"/>
          <w:highlight w:val="none"/>
        </w:rPr>
        <w:t xml:space="preserve">特此声明。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3840"/>
        <w:spacing w:line="420" w:lineRule="exact"/>
        <w:widowControl/>
        <w:rPr>
          <w:rFonts w:ascii="宋体" w:cs="宋体"/>
          <w:b/>
          <w:bCs/>
          <w:sz w:val="24"/>
          <w:szCs w:val="24"/>
          <w:highlight w:val="none"/>
        </w:rPr>
      </w:pPr>
      <w:r>
        <w:rPr>
          <w:rFonts w:ascii="Times New Roman" w:hAnsi="Times New Roman" w:cs="Times New Roman"/>
          <w:bCs/>
          <w:sz w:val="24"/>
          <w:szCs w:val="24"/>
          <w:highlight w:val="none"/>
        </w:rPr>
        <w:t xml:space="preserve">日期：年月日</w:t>
      </w:r>
      <w:r/>
    </w:p>
    <w:p>
      <w:pPr>
        <w:rPr>
          <w:rFonts w:ascii="宋体" w:cs="宋体"/>
          <w:sz w:val="24"/>
          <w:szCs w:val="24"/>
          <w:highlight w:val="none"/>
        </w:rPr>
      </w:pPr>
      <w:r>
        <w:rPr>
          <w:rFonts w:hint="eastAsia" w:ascii="宋体" w:cs="宋体"/>
          <w:sz w:val="24"/>
          <w:szCs w:val="24"/>
          <w:highlight w:val="none"/>
        </w:rPr>
        <w:br w:type="page" w:clear="all"/>
      </w:r>
      <w:r>
        <w:rPr>
          <w:rFonts w:hint="eastAsia" w:ascii="宋体" w:cs="宋体"/>
          <w:sz w:val="24"/>
          <w:szCs w:val="24"/>
          <w:highlight w:val="none"/>
        </w:rPr>
        <w:t xml:space="preserve">附件6</w:t>
      </w:r>
      <w:r/>
    </w:p>
    <w:p>
      <w:pPr>
        <w:jc w:val="center"/>
        <w:rPr>
          <w:rFonts w:ascii="宋体" w:hAnsi="宋体"/>
          <w:b/>
          <w:sz w:val="24"/>
          <w:szCs w:val="24"/>
          <w:highlight w:val="none"/>
        </w:rPr>
      </w:pPr>
      <w:r>
        <w:rPr>
          <w:rFonts w:hint="eastAsia" w:ascii="宋体" w:hAnsi="宋体"/>
          <w:b/>
          <w:sz w:val="24"/>
          <w:szCs w:val="24"/>
          <w:highlight w:val="none"/>
        </w:rPr>
        <w:t xml:space="preserve">实质性要求响应及偏离表（采购包号：**）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附件6-1 证明材料1，证明材料2，……</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1.投标人必须对</w:t>
      </w: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或加*号条款为实质性要求）</w:t>
      </w:r>
      <w:r>
        <w:rPr>
          <w:rFonts w:hint="eastAsia" w:ascii="宋体" w:hAnsi="宋体"/>
          <w:sz w:val="24"/>
          <w:szCs w:val="24"/>
          <w:highlight w:val="none"/>
        </w:rPr>
        <w:t xml:space="preserve">逐条做出明确响应，</w:t>
      </w:r>
      <w:r>
        <w:rPr>
          <w:rFonts w:hint="eastAsia" w:ascii="宋体" w:hAnsi="宋体"/>
          <w:sz w:val="24"/>
          <w:szCs w:val="21"/>
          <w:highlight w:val="none"/>
        </w:rPr>
        <w:t xml:space="preserve">否则作无效投标处理。</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2.如果招标文件要求提供证明材料，投标人必须将证明材料列于该表之下。</w:t>
      </w:r>
      <w:r/>
    </w:p>
    <w:p>
      <w:pPr>
        <w:rPr>
          <w:rFonts w:ascii="宋体" w:cs="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rPr>
          <w:rFonts w:hint="eastAsia" w:ascii="宋体" w:cs="宋体"/>
          <w:sz w:val="24"/>
          <w:szCs w:val="24"/>
          <w:highlight w:val="none"/>
        </w:rPr>
        <w:br w:type="page" w:clear="all"/>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outlineLvl w:val="2"/>
      </w:pPr>
      <w:r/>
      <w:bookmarkStart w:id="55" w:name="_Toc1424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11企业声明函格式</w:t>
      </w:r>
      <w:bookmarkEnd w:id="55"/>
      <w:r>
        <w:rPr>
          <w:rFonts w:hint="eastAsia" w:ascii="Times New Roman" w:hAnsi="Times New Roman" w:eastAsia="黑体" w:cs="Times New Roman"/>
          <w:sz w:val="24"/>
          <w:szCs w:val="24"/>
          <w:highlight w:val="none"/>
        </w:rPr>
        <w:t xml:space="preserve">（供应商若符合相关要求，请提供企业声明函）</w:t>
      </w:r>
      <w:r/>
    </w:p>
    <w:p>
      <w:pPr>
        <w:jc w:val="center"/>
        <w:spacing w:line="460" w:lineRule="exact"/>
        <w:rPr>
          <w:rFonts w:ascii="宋体" w:hAnsi="宋体" w:cs="Times New Roman"/>
          <w:b/>
          <w:sz w:val="24"/>
          <w:szCs w:val="24"/>
          <w:highlight w:val="none"/>
        </w:rPr>
      </w:pPr>
      <w:r>
        <w:rPr>
          <w:rFonts w:hint="eastAsia" w:ascii="宋体" w:hAnsi="宋体" w:cs="Times New Roman"/>
          <w:b/>
          <w:sz w:val="24"/>
          <w:szCs w:val="24"/>
          <w:highlight w:val="none"/>
        </w:rPr>
        <w:t xml:space="preserve">中小微企业声明函（服务类项目）</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s="Times New Roman"/>
          <w:sz w:val="24"/>
          <w:szCs w:val="24"/>
          <w:highlight w:val="none"/>
          <w:u w:val="single"/>
        </w:rPr>
        <w:t xml:space="preserve">（单位名称）</w:t>
      </w:r>
      <w:r>
        <w:rPr>
          <w:rFonts w:hint="eastAsia" w:ascii="宋体" w:hAnsi="宋体" w:cs="Times New Roman"/>
          <w:sz w:val="24"/>
          <w:szCs w:val="24"/>
          <w:highlight w:val="none"/>
        </w:rPr>
        <w:t xml:space="preserve">采购编号为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w:t>
      </w:r>
      <w:r>
        <w:rPr>
          <w:rFonts w:hint="eastAsia" w:ascii="宋体" w:hAnsi="宋体" w:cs="Times New Roman"/>
          <w:sz w:val="24"/>
          <w:szCs w:val="24"/>
          <w:highlight w:val="none"/>
          <w:u w:val="single"/>
        </w:rPr>
        <w:t xml:space="preserve">（项目名称）（采购包号：/）</w:t>
      </w:r>
      <w:r>
        <w:rPr>
          <w:rFonts w:hint="eastAsia" w:ascii="宋体" w:hAnsi="宋体" w:cs="Times New Roman"/>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1.</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2.</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cs="宋体"/>
          <w:sz w:val="24"/>
          <w:szCs w:val="24"/>
          <w:highlight w:val="none"/>
        </w:rPr>
      </w:pPr>
      <w:r>
        <w:rPr>
          <w:rFonts w:hint="eastAsia" w:ascii="宋体" w:hAnsi="宋体" w:cs="Times New Roman"/>
          <w:sz w:val="24"/>
          <w:szCs w:val="24"/>
          <w:highlight w:val="none"/>
        </w:rPr>
        <w:t xml:space="preserve">本企业对上述声明内容的真实性负责。如有虚假，将依法承担相应责任</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企业名称（加盖CA电子公章）：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w:t>
      </w:r>
      <w:r/>
    </w:p>
    <w:p>
      <w:pPr>
        <w:ind w:firstLine="480"/>
        <w:spacing w:line="360" w:lineRule="exact"/>
        <w:rPr>
          <w:rFonts w:ascii="宋体" w:cs="宋体"/>
          <w:sz w:val="24"/>
          <w:szCs w:val="24"/>
          <w:highlight w:val="none"/>
        </w:rPr>
      </w:pPr>
      <w:r>
        <w:rPr>
          <w:rFonts w:ascii="宋体" w:cs="宋体"/>
          <w:sz w:val="24"/>
          <w:szCs w:val="24"/>
          <w:highlight w:val="none"/>
        </w:rPr>
      </w:r>
      <w:r/>
    </w:p>
    <w:p>
      <w:pPr>
        <w:jc w:val="left"/>
        <w:widowControl/>
        <w:rPr>
          <w:rFonts w:ascii="宋体" w:cs="宋体"/>
          <w:bCs/>
          <w:sz w:val="24"/>
          <w:szCs w:val="24"/>
          <w:highlight w:val="none"/>
        </w:rPr>
      </w:pPr>
      <w:r>
        <w:rPr>
          <w:rFonts w:ascii="宋体" w:cs="宋体"/>
          <w:bCs/>
          <w:sz w:val="24"/>
          <w:szCs w:val="24"/>
          <w:highlight w:val="none"/>
        </w:rPr>
      </w:r>
      <w:r/>
    </w:p>
    <w:p>
      <w:pPr>
        <w:rPr>
          <w:rFonts w:ascii="宋体" w:cs="宋体"/>
          <w:szCs w:val="21"/>
          <w:highlight w:val="none"/>
        </w:rPr>
      </w:pPr>
      <w:r/>
      <w:bookmarkStart w:id="56" w:name="_Toc253"/>
      <w:r>
        <w:rPr>
          <w:rFonts w:hint="eastAsia" w:ascii="宋体" w:cs="宋体"/>
          <w:szCs w:val="21"/>
          <w:highlight w:val="none"/>
        </w:rPr>
        <w:t xml:space="preserve">备注：</w:t>
      </w:r>
      <w:r/>
    </w:p>
    <w:p>
      <w:pPr>
        <w:rPr>
          <w:rFonts w:ascii="宋体" w:cs="宋体"/>
          <w:szCs w:val="21"/>
          <w:highlight w:val="none"/>
        </w:rPr>
      </w:pPr>
      <w:r>
        <w:rPr>
          <w:rFonts w:hint="eastAsia" w:ascii="宋体" w:cs="宋体"/>
          <w:szCs w:val="21"/>
          <w:highlight w:val="none"/>
        </w:rPr>
        <w:t xml:space="preserve">1.从业人员、营业收入、资产总额填报上一年度数据，无上一年度数据的新成立企业可不填报。</w:t>
      </w:r>
      <w:r/>
    </w:p>
    <w:p>
      <w:pPr>
        <w:rPr>
          <w:rFonts w:ascii="宋体" w:cs="宋体"/>
          <w:szCs w:val="21"/>
          <w:highlight w:val="none"/>
        </w:rPr>
      </w:pPr>
      <w:r>
        <w:rPr>
          <w:rFonts w:hint="eastAsia" w:ascii="宋体" w:cs="宋体"/>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rPr>
          <w:rFonts w:ascii="宋体" w:cs="宋体"/>
          <w:szCs w:val="21"/>
          <w:highlight w:val="none"/>
        </w:rPr>
      </w:pPr>
      <w:r>
        <w:rPr>
          <w:rFonts w:hint="eastAsia" w:ascii="宋体" w:cs="宋体"/>
          <w:szCs w:val="21"/>
          <w:highlight w:val="none"/>
        </w:rPr>
        <w:t xml:space="preserve">3.供应商应对照《工业和信息化部、国家统计局、国家发展和改革委员会、财政部</w:t>
      </w:r>
      <w:r/>
    </w:p>
    <w:p>
      <w:pPr>
        <w:rPr>
          <w:rFonts w:ascii="宋体" w:cs="宋体"/>
          <w:b/>
          <w:bCs/>
          <w:sz w:val="24"/>
          <w:szCs w:val="24"/>
          <w:highlight w:val="none"/>
        </w:rPr>
      </w:pPr>
      <w:r>
        <w:rPr>
          <w:rFonts w:hint="eastAsia" w:ascii="宋体" w:cs="宋体"/>
          <w:szCs w:val="21"/>
          <w:highlight w:val="none"/>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cs="宋体"/>
          <w:b/>
          <w:bCs/>
          <w:sz w:val="24"/>
          <w:szCs w:val="24"/>
          <w:highlight w:val="none"/>
        </w:rPr>
        <w:br w:type="page" w:clear="all"/>
      </w:r>
      <w:r/>
    </w:p>
    <w:p>
      <w:pPr>
        <w:ind w:firstLine="482"/>
        <w:spacing w:line="360" w:lineRule="exact"/>
        <w:rPr>
          <w:rFonts w:ascii="宋体" w:cs="宋体"/>
          <w:b/>
          <w:bCs/>
          <w:sz w:val="24"/>
          <w:szCs w:val="24"/>
          <w:highlight w:val="none"/>
        </w:rPr>
      </w:pPr>
      <w:r>
        <w:rPr>
          <w:rFonts w:hint="eastAsia" w:ascii="宋体" w:cs="宋体"/>
          <w:b/>
          <w:bCs/>
          <w:sz w:val="24"/>
          <w:szCs w:val="24"/>
          <w:highlight w:val="none"/>
        </w:rPr>
        <w:t xml:space="preserve">残疾人福利性单位声明函</w:t>
      </w:r>
      <w:bookmarkEnd w:id="56"/>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的</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项目（采购包号：**）采购活动由本单位提供服务。</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本单位对上述声明的真实性负责。如有虚假，将依法承担相应责任。</w:t>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备注：</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1</w:t>
      </w:r>
      <w:r>
        <w:rPr>
          <w:rFonts w:ascii="宋体" w:hAnsi="宋体" w:cs="Times New Roman"/>
          <w:sz w:val="24"/>
          <w:szCs w:val="21"/>
          <w:highlight w:val="none"/>
        </w:rPr>
        <w:t xml:space="preserve">.</w:t>
      </w:r>
      <w:r>
        <w:rPr>
          <w:rFonts w:hint="eastAsia" w:ascii="宋体" w:hAnsi="宋体" w:cs="Times New Roman"/>
          <w:sz w:val="24"/>
          <w:szCs w:val="21"/>
          <w:highlight w:val="none"/>
        </w:rPr>
        <w:t xml:space="preserve">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，供应商为残疾人福利性单位并提供服务的必须提供此</w:t>
      </w:r>
      <w:r>
        <w:rPr>
          <w:rFonts w:ascii="宋体" w:hAnsi="宋体" w:cs="Times New Roman"/>
          <w:sz w:val="24"/>
          <w:szCs w:val="21"/>
          <w:highlight w:val="none"/>
        </w:rPr>
        <w:t xml:space="preserve">声明函</w:t>
      </w:r>
      <w:r>
        <w:rPr>
          <w:rFonts w:hint="eastAsia" w:ascii="宋体" w:hAnsi="宋体" w:cs="Times New Roman"/>
          <w:sz w:val="24"/>
          <w:szCs w:val="21"/>
          <w:highlight w:val="none"/>
        </w:rPr>
        <w:t xml:space="preserve">，</w:t>
      </w:r>
      <w:r>
        <w:rPr>
          <w:rFonts w:ascii="宋体" w:hAnsi="宋体" w:cs="Times New Roman"/>
          <w:sz w:val="24"/>
          <w:szCs w:val="21"/>
          <w:highlight w:val="none"/>
        </w:rPr>
        <w:t xml:space="preserve">否则将</w:t>
      </w:r>
      <w:r>
        <w:rPr>
          <w:rFonts w:hint="eastAsia" w:ascii="宋体" w:hAnsi="宋体" w:cs="Times New Roman"/>
          <w:sz w:val="24"/>
          <w:szCs w:val="21"/>
          <w:highlight w:val="none"/>
        </w:rPr>
        <w:t xml:space="preserve">不能</w:t>
      </w:r>
      <w:r>
        <w:rPr>
          <w:rFonts w:ascii="宋体" w:hAnsi="宋体" w:cs="Times New Roman"/>
          <w:sz w:val="24"/>
          <w:szCs w:val="21"/>
          <w:highlight w:val="none"/>
        </w:rPr>
        <w:t xml:space="preserve">通过资格审查</w:t>
      </w:r>
      <w:r>
        <w:rPr>
          <w:rFonts w:hint="eastAsia" w:ascii="宋体" w:hAnsi="宋体" w:cs="Times New Roman"/>
          <w:sz w:val="24"/>
          <w:szCs w:val="21"/>
          <w:highlight w:val="none"/>
        </w:rPr>
        <w:t xml:space="preserve">。</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2.非专门面向中小微型企业采购的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，供应商如不提供此声明函，价格将不做相应扣除。</w:t>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t xml:space="preserve">3</w:t>
      </w:r>
      <w:r>
        <w:rPr>
          <w:rFonts w:hint="eastAsia" w:ascii="宋体" w:hAnsi="宋体" w:cs="Times New Roman"/>
          <w:sz w:val="24"/>
          <w:szCs w:val="21"/>
          <w:highlight w:val="none"/>
        </w:rPr>
        <w:t xml:space="preserve">.中标/成交供应商为残疾人福利性单位的，此声明函将随中标/成交结果同时公告，接受社会监督</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供应商（盖章）：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日期：年月</w:t>
      </w:r>
      <w:r>
        <w:rPr>
          <w:rFonts w:hint="eastAsia" w:ascii="宋体" w:cs="宋体"/>
          <w:spacing w:val="-3"/>
          <w:sz w:val="24"/>
          <w:szCs w:val="24"/>
          <w:highlight w:val="none"/>
        </w:rPr>
        <w:t xml:space="preserve">日</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pStyle w:val="966"/>
        <w:rPr>
          <w:sz w:val="24"/>
          <w:szCs w:val="24"/>
          <w:highlight w:val="none"/>
        </w:rPr>
        <w:outlineLvl w:val="9"/>
      </w:pPr>
      <w:r>
        <w:rPr>
          <w:rFonts w:hint="eastAsia" w:cs="宋体"/>
          <w:sz w:val="24"/>
          <w:szCs w:val="24"/>
          <w:highlight w:val="none"/>
        </w:rPr>
        <w:br w:type="page" w:clear="all"/>
      </w:r>
      <w:r>
        <w:rPr>
          <w:rFonts w:hint="eastAsia"/>
          <w:sz w:val="24"/>
          <w:szCs w:val="24"/>
          <w:highlight w:val="none"/>
        </w:rPr>
        <w:t xml:space="preserve">关于符合本国产品标准的声明函</w:t>
      </w:r>
      <w:r/>
    </w:p>
    <w:p>
      <w:pPr>
        <w:pStyle w:val="968"/>
        <w:ind w:firstLine="420"/>
        <w:spacing w:before="0" w:beforeAutospacing="0" w:after="0" w:afterAutospacing="0" w:line="0" w:lineRule="atLeast"/>
        <w:rPr>
          <w:rFonts w:hint="default" w:ascii="方正魏碑_GBK" w:hAnsi="方正魏碑_GBK" w:eastAsia="方正魏碑_GBK" w:cs="方正魏碑_GBK"/>
          <w:szCs w:val="24"/>
          <w:highlight w:val="none"/>
        </w:rPr>
      </w:pPr>
      <w:r>
        <w:rPr>
          <w:rFonts w:hint="default" w:ascii="方正魏碑_GBK" w:hAnsi="方正魏碑_GBK" w:eastAsia="方正魏碑_GBK" w:cs="方正魏碑_GBK"/>
          <w:szCs w:val="24"/>
          <w:highlight w:val="none"/>
        </w:rPr>
      </w:r>
      <w:r/>
    </w:p>
    <w:p>
      <w:pPr>
        <w:pStyle w:val="968"/>
        <w:ind w:firstLine="420"/>
        <w:spacing w:before="0" w:beforeAutospacing="0" w:after="0" w:afterAutospacing="0" w:line="360" w:lineRule="auto"/>
        <w:rPr>
          <w:rFonts w:hint="default" w:cs="方正魏碑_GBK"/>
          <w:szCs w:val="24"/>
          <w:highlight w:val="none"/>
        </w:rPr>
      </w:pPr>
      <w:r>
        <w:rPr>
          <w:rFonts w:cs="方正魏碑_GBK"/>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w:t>
      </w:r>
      <w:r>
        <w:rPr>
          <w:rStyle w:val="969"/>
          <w:rFonts w:hint="default" w:ascii="Times New Roman" w:hAnsi="Times New Roman" w:cs="方正魏碑_GBK"/>
          <w:szCs w:val="24"/>
          <w:highlight w:val="none"/>
          <w:u w:val="single"/>
          <w:shd w:val="clear" w:color="auto" w:fill="ffffff"/>
        </w:rPr>
        <w:t xml:space="preserve">（产品名称1）</w:t>
      </w:r>
      <w:r>
        <w:rPr>
          <w:rStyle w:val="969"/>
          <w:rFonts w:hint="default" w:ascii="Times New Roman" w:hAnsi="Times New Roman" w:cs="方正魏碑_GBK"/>
          <w:szCs w:val="24"/>
          <w:highlight w:val="none"/>
          <w:shd w:val="clear" w:color="auto" w:fill="ffffff"/>
          <w:vertAlign w:val="superscript"/>
        </w:rPr>
        <w:t xml:space="preserve">1</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Style w:val="969"/>
          <w:rFonts w:hint="default" w:ascii="Times New Roman" w:hAnsi="Times New Roman" w:cs="方正魏碑_GBK"/>
          <w:szCs w:val="24"/>
          <w:highlight w:val="none"/>
          <w:shd w:val="clear" w:color="auto" w:fill="ffffff"/>
          <w:vertAlign w:val="superscript"/>
        </w:rPr>
        <w:t xml:space="preserve">2</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Fonts w:cs="方正魏碑_GBK"/>
          <w:szCs w:val="24"/>
          <w:highlight w:val="none"/>
          <w:u w:val="single"/>
          <w:shd w:val="clear" w:color="auto" w:fill="ffffff"/>
        </w:rPr>
        <w:t xml:space="preserve"> </w:t>
      </w:r>
      <w:r>
        <w:rPr>
          <w:rStyle w:val="969"/>
          <w:rFonts w:hint="default" w:ascii="Times New Roman" w:hAnsi="Times New Roman" w:cs="方正魏碑_GBK"/>
          <w:szCs w:val="24"/>
          <w:highlight w:val="none"/>
          <w:u w:val="single"/>
          <w:shd w:val="clear" w:color="auto" w:fill="ffffff"/>
        </w:rPr>
        <w:t xml:space="preserve">（产品名称1） </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Style w:val="969"/>
          <w:rFonts w:hint="default" w:ascii="Times New Roman" w:hAnsi="Times New Roman" w:cs="方正魏碑_GBK"/>
          <w:szCs w:val="24"/>
          <w:highlight w:val="none"/>
          <w:shd w:val="clear" w:color="auto" w:fill="ffffff"/>
          <w:vertAlign w:val="superscript"/>
        </w:rPr>
        <w:t xml:space="preserve">3</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Style w:val="969"/>
          <w:rFonts w:hint="default" w:ascii="Times New Roman" w:hAnsi="Times New Roman" w:cs="方正魏碑_GBK"/>
          <w:szCs w:val="24"/>
          <w:highlight w:val="none"/>
          <w:shd w:val="clear" w:color="auto" w:fill="ffffff"/>
          <w:vertAlign w:val="superscript"/>
        </w:rPr>
        <w:t xml:space="preserve">4</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Style w:val="969"/>
          <w:rFonts w:hint="default" w:ascii="Times New Roman" w:hAnsi="Times New Roman" w:cs="方正魏碑_GBK"/>
          <w:szCs w:val="24"/>
          <w:highlight w:val="none"/>
          <w:shd w:val="clear" w:color="auto" w:fill="ffffff"/>
          <w:vertAlign w:val="superscript"/>
        </w:rPr>
        <w:t xml:space="preserve">5</w:t>
      </w:r>
      <w:r>
        <w:rPr>
          <w:rFonts w:cs="方正魏碑_GBK"/>
          <w:szCs w:val="24"/>
          <w:highlight w:val="none"/>
          <w:shd w:val="clear" w:color="auto" w:fill="ffffff"/>
        </w:rPr>
        <w:t xml:space="preserve">在中国境内完成。</w:t>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Fonts w:cs="方正魏碑_GBK"/>
          <w:szCs w:val="24"/>
          <w:highlight w:val="none"/>
          <w:shd w:val="clear" w:color="auto" w:fill="ffffff"/>
        </w:rPr>
        <w:t xml:space="preserve">在中国境内完成。</w:t>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w:t>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本公司（单位）对上述声明内容的真实性负责。如有虚假，愿承担相应法律责任。</w:t>
      </w:r>
      <w:r/>
    </w:p>
    <w:p>
      <w:pPr>
        <w:pStyle w:val="968"/>
        <w:spacing w:before="30" w:beforeAutospacing="0" w:after="30" w:afterAutospacing="0" w:line="360" w:lineRule="auto"/>
        <w:rPr>
          <w:rFonts w:hint="default" w:cs="方正魏碑_GBK"/>
          <w:szCs w:val="24"/>
          <w:highlight w:val="none"/>
        </w:rPr>
      </w:pPr>
      <w:r>
        <w:rPr>
          <w:rFonts w:hint="default" w:cs="方正魏碑_GBK"/>
          <w:szCs w:val="24"/>
          <w:highlight w:val="none"/>
        </w:rPr>
      </w:r>
      <w:r/>
    </w:p>
    <w:p>
      <w:pPr>
        <w:pStyle w:val="968"/>
        <w:ind w:right="480" w:firstLine="444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公司（单位）名称（盖章）：</w:t>
      </w:r>
      <w:r>
        <w:rPr>
          <w:rFonts w:cs="方正魏碑_GBK"/>
          <w:szCs w:val="24"/>
          <w:highlight w:val="none"/>
        </w:rPr>
        <w:t xml:space="preserve">  </w:t>
      </w:r>
      <w:r/>
    </w:p>
    <w:p>
      <w:pPr>
        <w:pStyle w:val="968"/>
        <w:jc w:val="center"/>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             日期：   </w:t>
      </w:r>
      <w:r>
        <w:rPr>
          <w:rFonts w:cs="宋体"/>
          <w:szCs w:val="24"/>
          <w:highlight w:val="none"/>
          <w:shd w:val="clear" w:color="auto" w:fill="ffffff"/>
        </w:rPr>
        <w:t xml:space="preserve">年</w:t>
      </w:r>
      <w:r>
        <w:rPr>
          <w:rFonts w:cs="方正魏碑_GBK"/>
          <w:szCs w:val="24"/>
          <w:highlight w:val="none"/>
          <w:shd w:val="clear" w:color="auto" w:fill="ffffff"/>
        </w:rPr>
        <w:t xml:space="preserve">  </w:t>
      </w:r>
      <w:r>
        <w:rPr>
          <w:rFonts w:cs="宋体"/>
          <w:szCs w:val="24"/>
          <w:highlight w:val="none"/>
          <w:shd w:val="clear" w:color="auto" w:fill="ffffff"/>
        </w:rPr>
        <w:t xml:space="preserve">月 </w:t>
      </w:r>
      <w:r>
        <w:rPr>
          <w:rFonts w:cs="方正魏碑_GBK"/>
          <w:szCs w:val="24"/>
          <w:highlight w:val="none"/>
          <w:shd w:val="clear" w:color="auto" w:fill="ffffff"/>
        </w:rPr>
        <w:t xml:space="preserve"> </w:t>
      </w:r>
      <w:r>
        <w:rPr>
          <w:rFonts w:cs="宋体"/>
          <w:szCs w:val="24"/>
          <w:highlight w:val="none"/>
          <w:shd w:val="clear" w:color="auto" w:fill="ffffff"/>
        </w:rPr>
        <w:t xml:space="preserve">日</w:t>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__________________</w:t>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1.产品如有型号，请在“产品名称”栏一并填写。</w:t>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2.生产厂名与厂址应与生产厂营业执照载明的相关信息保持一致。</w:t>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3.该产品的中国境内生产的组件成本占比相关要求实施前，“规定比例”栏可不填，下同。</w:t>
      </w:r>
      <w:r/>
    </w:p>
    <w:p>
      <w:pPr>
        <w:pStyle w:val="968"/>
        <w:spacing w:before="30" w:beforeAutospacing="0" w:after="30" w:afterAutospacing="0" w:line="360" w:lineRule="auto"/>
        <w:rPr>
          <w:rFonts w:hint="default" w:cs="方正魏碑_GBK"/>
          <w:szCs w:val="24"/>
          <w:highlight w:val="none"/>
          <w:shd w:val="clear" w:color="auto" w:fill="ffffff"/>
        </w:rPr>
      </w:pPr>
      <w:r>
        <w:rPr>
          <w:rFonts w:cs="方正魏碑_GBK"/>
          <w:szCs w:val="24"/>
          <w:highlight w:val="none"/>
          <w:shd w:val="clear" w:color="auto" w:fill="ffffff"/>
        </w:rPr>
        <w:t xml:space="preserve">4.该产品的关键组件要求实施前，“关键组件”栏可不填，下同。</w:t>
      </w:r>
      <w:r/>
    </w:p>
    <w:p>
      <w:pPr>
        <w:jc w:val="left"/>
        <w:widowControl/>
        <w:rPr>
          <w:rFonts w:ascii="宋体" w:hAnsi="宋体" w:cs="宋体"/>
          <w:sz w:val="24"/>
          <w:szCs w:val="24"/>
          <w:highlight w:val="none"/>
        </w:rPr>
      </w:pPr>
      <w:r>
        <w:rPr>
          <w:rFonts w:ascii="Times New Roman" w:hAnsi="Times New Roman" w:cs="方正魏碑_GBK"/>
          <w:sz w:val="24"/>
          <w:szCs w:val="24"/>
          <w:highlight w:val="none"/>
          <w:shd w:val="clear" w:color="auto" w:fill="ffffff"/>
        </w:rPr>
        <w:t xml:space="preserve">5.该产品的关键工序要求实施前，“关键工序”栏可不填，下同。</w:t>
      </w:r>
      <w:r/>
    </w:p>
    <w:p>
      <w:pPr>
        <w:jc w:val="left"/>
        <w:widowControl/>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bookmarkStart w:id="57" w:name="_Toc9297"/>
      <w:r>
        <w:rPr>
          <w:rFonts w:hint="eastAsia" w:ascii="宋体" w:cs="宋体"/>
          <w:sz w:val="24"/>
          <w:szCs w:val="24"/>
          <w:highlight w:val="none"/>
        </w:rPr>
        <w:br w:type="page" w:clear="all"/>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属于监狱企业的证明文件</w:t>
      </w:r>
      <w:bookmarkEnd w:id="57"/>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（提供由省级以上监狱管理局、戒毒管理局(含新疆生产建设兵团)出具的属于监狱企业的证 明文件）</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8" w:name="_Toc27518"/>
      <w:r>
        <w:rPr>
          <w:rFonts w:hint="eastAsia" w:ascii="宋体" w:cs="宋体"/>
          <w:sz w:val="24"/>
          <w:szCs w:val="24"/>
          <w:highlight w:val="none"/>
        </w:rPr>
        <w:t xml:space="preserve">节能产品认证文件</w:t>
      </w:r>
      <w:bookmarkEnd w:id="58"/>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（提供产品在《节能产品政府采购清单》中相应的页面）</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9" w:name="_Toc12203"/>
      <w:r>
        <w:rPr>
          <w:rFonts w:hint="eastAsia" w:ascii="宋体" w:cs="宋体"/>
          <w:sz w:val="24"/>
          <w:szCs w:val="24"/>
          <w:highlight w:val="none"/>
        </w:rPr>
        <w:t xml:space="preserve">环境标志产品认证文件</w:t>
      </w:r>
      <w:bookmarkEnd w:id="59"/>
      <w:r/>
      <w:r/>
    </w:p>
    <w:p>
      <w:pPr>
        <w:jc w:val="left"/>
        <w:widowControl/>
        <w:rPr>
          <w:rFonts w:ascii="宋体" w:cs="宋体"/>
          <w:sz w:val="24"/>
          <w:szCs w:val="24"/>
          <w:highlight w:val="none"/>
        </w:rPr>
      </w:pPr>
      <w:r>
        <w:rPr>
          <w:rFonts w:hint="eastAsia" w:ascii="宋体" w:cs="宋体"/>
          <w:sz w:val="24"/>
          <w:szCs w:val="24"/>
          <w:highlight w:val="none"/>
        </w:rPr>
        <w:t xml:space="preserve">（提供产品在《环境标志产品政府采购清单》中相应的页面）</w:t>
      </w:r>
      <w:r/>
    </w:p>
    <w:p>
      <w:pPr>
        <w:pStyle w:val="922"/>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ind w:firstLine="420"/>
        <w:spacing w:line="360" w:lineRule="auto"/>
        <w:rPr>
          <w:rFonts w:ascii="Times New Roman" w:hAnsi="Times New Roman" w:cs="Times New Roman"/>
          <w:szCs w:val="21"/>
          <w:highlight w:val="none"/>
        </w:rPr>
      </w:pPr>
      <w:r>
        <w:rPr>
          <w:rFonts w:ascii="Times New Roman" w:hAnsi="Times New Roman" w:cs="Times New Roman"/>
          <w:szCs w:val="21"/>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bookmarkEnd w:id="27"/>
      <w:r/>
      <w:bookmarkEnd w:id="28"/>
      <w:r/>
      <w:bookmarkEnd w:id="29"/>
      <w:r/>
      <w:bookmarkEnd w:id="30"/>
      <w:r/>
      <w:r/>
    </w:p>
    <w:p>
      <w:pPr>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bookmarkEnd w:id="60"/>
      <w:r/>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华文彩云">
    <w:panose1 w:val="02010800040101010101"/>
  </w:font>
  <w:font w:name="Courier New">
    <w:panose1 w:val="02070309020205020404"/>
  </w:font>
  <w:font w:name="仿宋">
    <w:panose1 w:val="02010609060101010101"/>
  </w:font>
  <w:font w:name="Microsoft JhengHei UI">
    <w:panose1 w:val="020B0604030504040204"/>
  </w:font>
  <w:font w:name="Symbol">
    <w:panose1 w:val="05050102010706020507"/>
  </w:font>
  <w:font w:name="楷体">
    <w:panose1 w:val="02010609060101010101"/>
  </w:font>
  <w:font w:name="仿宋_GB2312">
    <w:panose1 w:val="02010609060101010101"/>
  </w:font>
  <w:font w:name="黑体">
    <w:panose1 w:val="02010609060101010101"/>
  </w:font>
  <w:font w:name="方正魏碑_GBK">
    <w:panose1 w:val="020B0503020202020204"/>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rPr>
        <w:rFonts w:ascii="Times New Roman" w:hAnsi="Times New Roman" w:cs="Times New Roman"/>
        <w:sz w:val="21"/>
        <w:szCs w:val="21"/>
      </w:rPr>
    </w:pPr>
    <w:r>
      <w:rPr>
        <w:rFonts w:hint="eastAsia" w:ascii="Times New Roman" w:hAnsi="Times New Roman" w:cs="Times New Roman"/>
        <w:sz w:val="21"/>
        <w:lang w:eastAsia="zh-CN"/>
      </w:rPr>
      <w:t xml:space="preserve">江苏省医疗保障局第三方软件评测服务项目(2026）</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ascii="Times New Roman" w:hAnsi="Times New Roman" w:cs="Times New Roman"/>
      </w:rPr>
    </w:pPr>
    <w:r>
      <w:rPr>
        <w:rFonts w:hint="eastAsia" w:ascii="Times New Roman" w:hAnsi="Times New Roman" w:cs="Times New Roman"/>
        <w:sz w:val="21"/>
      </w:rPr>
      <w:t xml:space="preserve">               </w:t>
    </w:r>
    <w:r>
      <w:rPr>
        <w:rFonts w:hint="eastAsia" w:ascii="Times New Roman" w:hAnsi="Times New Roman" w:cs="Times New Roman"/>
        <w:sz w:val="21"/>
        <w:lang w:eastAsia="zh-CN"/>
      </w:rPr>
      <w:t xml:space="preserve">江苏省医疗保障局第三方软件评测服务项目(2026）</w:t>
    </w:r>
    <w:r>
      <w:rPr>
        <w:rFonts w:hint="eastAsia" w:ascii="Times New Roman" w:hAnsi="Times New Roman" w:cs="Times New Roman"/>
        <w:sz w:val="21"/>
      </w:rPr>
      <w:t xml:space="preserve">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6"/>
    <w:link w:val="912"/>
    <w:uiPriority w:val="9"/>
    <w:rPr>
      <w:rFonts w:ascii="Arial" w:hAnsi="Arial" w:eastAsia="Arial" w:cs="Arial"/>
      <w:sz w:val="40"/>
      <w:szCs w:val="40"/>
    </w:rPr>
  </w:style>
  <w:style w:type="character" w:styleId="747">
    <w:name w:val="Heading 2 Char"/>
    <w:basedOn w:val="916"/>
    <w:link w:val="913"/>
    <w:uiPriority w:val="9"/>
    <w:rPr>
      <w:rFonts w:ascii="Arial" w:hAnsi="Arial" w:eastAsia="Arial" w:cs="Arial"/>
      <w:sz w:val="34"/>
    </w:rPr>
  </w:style>
  <w:style w:type="character" w:styleId="748">
    <w:name w:val="Heading 3 Char"/>
    <w:basedOn w:val="916"/>
    <w:link w:val="914"/>
    <w:uiPriority w:val="9"/>
    <w:rPr>
      <w:rFonts w:ascii="Arial" w:hAnsi="Arial" w:eastAsia="Arial" w:cs="Arial"/>
      <w:sz w:val="30"/>
      <w:szCs w:val="30"/>
    </w:rPr>
  </w:style>
  <w:style w:type="character" w:styleId="749">
    <w:name w:val="Heading 4 Char"/>
    <w:basedOn w:val="916"/>
    <w:link w:val="915"/>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6"/>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6"/>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6"/>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6"/>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6"/>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1"/>
    <w:next w:val="911"/>
    <w:link w:val="762"/>
    <w:uiPriority w:val="10"/>
    <w:qFormat/>
    <w:pPr>
      <w:contextualSpacing/>
      <w:spacing w:before="300" w:after="200"/>
    </w:pPr>
    <w:rPr>
      <w:sz w:val="48"/>
      <w:szCs w:val="48"/>
    </w:rPr>
  </w:style>
  <w:style w:type="character" w:styleId="762">
    <w:name w:val="Title Char"/>
    <w:basedOn w:val="916"/>
    <w:link w:val="761"/>
    <w:uiPriority w:val="10"/>
    <w:rPr>
      <w:sz w:val="48"/>
      <w:szCs w:val="48"/>
    </w:rPr>
  </w:style>
  <w:style w:type="paragraph" w:styleId="763">
    <w:name w:val="Subtitle"/>
    <w:basedOn w:val="911"/>
    <w:next w:val="911"/>
    <w:link w:val="764"/>
    <w:uiPriority w:val="11"/>
    <w:qFormat/>
    <w:pPr>
      <w:spacing w:before="200" w:after="200"/>
    </w:pPr>
    <w:rPr>
      <w:sz w:val="24"/>
      <w:szCs w:val="24"/>
    </w:rPr>
  </w:style>
  <w:style w:type="character" w:styleId="764">
    <w:name w:val="Subtitle Char"/>
    <w:basedOn w:val="916"/>
    <w:link w:val="763"/>
    <w:uiPriority w:val="11"/>
    <w:rPr>
      <w:sz w:val="24"/>
      <w:szCs w:val="24"/>
    </w:rPr>
  </w:style>
  <w:style w:type="paragraph" w:styleId="765">
    <w:name w:val="Quote"/>
    <w:basedOn w:val="911"/>
    <w:next w:val="911"/>
    <w:link w:val="766"/>
    <w:uiPriority w:val="29"/>
    <w:qFormat/>
    <w:pPr>
      <w:ind w:left="720" w:right="720"/>
    </w:pPr>
    <w:rPr>
      <w:i/>
    </w:rPr>
  </w:style>
  <w:style w:type="character" w:styleId="766">
    <w:name w:val="Quote Char"/>
    <w:link w:val="765"/>
    <w:uiPriority w:val="29"/>
    <w:rPr>
      <w:i/>
    </w:rPr>
  </w:style>
  <w:style w:type="paragraph" w:styleId="767">
    <w:name w:val="Intense Quote"/>
    <w:basedOn w:val="911"/>
    <w:next w:val="911"/>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6"/>
    <w:link w:val="934"/>
    <w:uiPriority w:val="99"/>
  </w:style>
  <w:style w:type="character" w:styleId="770">
    <w:name w:val="Footer Char"/>
    <w:basedOn w:val="916"/>
    <w:link w:val="933"/>
    <w:uiPriority w:val="99"/>
  </w:style>
  <w:style w:type="paragraph" w:styleId="771">
    <w:name w:val="Caption"/>
    <w:basedOn w:val="911"/>
    <w:next w:val="911"/>
    <w:uiPriority w:val="35"/>
    <w:semiHidden/>
    <w:unhideWhenUsed/>
    <w:qFormat/>
    <w:pPr>
      <w:spacing w:line="276" w:lineRule="auto"/>
    </w:pPr>
    <w:rPr>
      <w:b/>
      <w:bCs/>
      <w:color w:val="4f81bd" w:themeColor="accent1"/>
      <w:sz w:val="18"/>
      <w:szCs w:val="18"/>
    </w:rPr>
  </w:style>
  <w:style w:type="character" w:styleId="772">
    <w:name w:val="Caption Char"/>
    <w:basedOn w:val="771"/>
    <w:link w:val="933"/>
    <w:uiPriority w:val="99"/>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36"/>
    <w:uiPriority w:val="99"/>
    <w:rPr>
      <w:sz w:val="18"/>
    </w:rPr>
  </w:style>
  <w:style w:type="character" w:styleId="899">
    <w:name w:val="footnote reference"/>
    <w:basedOn w:val="916"/>
    <w:uiPriority w:val="99"/>
    <w:unhideWhenUsed/>
    <w:rPr>
      <w:vertAlign w:val="superscript"/>
    </w:rPr>
  </w:style>
  <w:style w:type="paragraph" w:styleId="900">
    <w:name w:val="endnote text"/>
    <w:basedOn w:val="911"/>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6"/>
    <w:uiPriority w:val="99"/>
    <w:semiHidden/>
    <w:unhideWhenUsed/>
    <w:rPr>
      <w:vertAlign w:val="superscript"/>
    </w:r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jc w:val="both"/>
      <w:widowControl w:val="off"/>
    </w:pPr>
    <w:rPr>
      <w:rFonts w:ascii="Calibri" w:hAnsi="Calibri" w:eastAsia="宋体" w:cs="Arial"/>
      <w:sz w:val="21"/>
      <w:szCs w:val="22"/>
      <w:lang w:val="en-US" w:eastAsia="zh-CN" w:bidi="ar-SA"/>
    </w:rPr>
  </w:style>
  <w:style w:type="paragraph" w:styleId="912">
    <w:name w:val="Heading 1"/>
    <w:basedOn w:val="911"/>
    <w:next w:val="911"/>
    <w:uiPriority w:val="0"/>
    <w:qFormat/>
    <w:pPr>
      <w:keepLines/>
      <w:keepNext/>
      <w:spacing w:before="340" w:after="330" w:line="578" w:lineRule="auto"/>
      <w:outlineLvl w:val="0"/>
    </w:pPr>
    <w:rPr>
      <w:b/>
      <w:bCs/>
      <w:sz w:val="44"/>
      <w:szCs w:val="44"/>
    </w:rPr>
  </w:style>
  <w:style w:type="paragraph" w:styleId="913">
    <w:name w:val="Heading 2"/>
    <w:basedOn w:val="911"/>
    <w:next w:val="911"/>
    <w:uiPriority w:val="0"/>
    <w:qFormat/>
    <w:pPr>
      <w:jc w:val="center"/>
      <w:keepLines/>
      <w:keepNext/>
      <w:spacing w:before="260" w:after="260" w:line="415" w:lineRule="auto"/>
      <w:outlineLvl w:val="1"/>
    </w:pPr>
    <w:rPr>
      <w:rFonts w:ascii="Arial" w:hAnsi="Arial"/>
      <w:b/>
      <w:bCs/>
      <w:sz w:val="44"/>
      <w:szCs w:val="44"/>
    </w:rPr>
  </w:style>
  <w:style w:type="paragraph" w:styleId="914">
    <w:name w:val="Heading 3"/>
    <w:basedOn w:val="911"/>
    <w:next w:val="911"/>
    <w:uiPriority w:val="0"/>
    <w:qFormat/>
    <w:pPr>
      <w:keepLines/>
      <w:keepNext/>
      <w:spacing w:before="260" w:after="260" w:line="413" w:lineRule="auto"/>
      <w:outlineLvl w:val="2"/>
    </w:pPr>
    <w:rPr>
      <w:b/>
      <w:sz w:val="32"/>
    </w:rPr>
  </w:style>
  <w:style w:type="paragraph" w:styleId="915">
    <w:name w:val="Heading 4"/>
    <w:basedOn w:val="911"/>
    <w:next w:val="911"/>
    <w:uiPriority w:val="0"/>
    <w:qFormat/>
    <w:pPr>
      <w:keepLines/>
      <w:keepNext/>
      <w:spacing w:before="280" w:after="290" w:line="377" w:lineRule="auto"/>
      <w:outlineLvl w:val="3"/>
    </w:pPr>
    <w:rPr>
      <w:rFonts w:ascii="Calibri Light" w:hAnsi="Calibri Light" w:cs="Times New Roman"/>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11"/>
    <w:uiPriority w:val="0"/>
    <w:qFormat/>
    <w:pPr>
      <w:ind w:firstLine="420"/>
    </w:pPr>
    <w:rPr>
      <w:rFonts w:ascii="Times New Roman" w:hAnsi="Times New Roman" w:cs="Times New Roman"/>
      <w:szCs w:val="20"/>
    </w:rPr>
  </w:style>
  <w:style w:type="paragraph" w:styleId="919">
    <w:name w:val="index 5"/>
    <w:next w:val="911"/>
    <w:uiPriority w:val="0"/>
    <w:qFormat/>
    <w:pPr>
      <w:ind w:left="380"/>
      <w:widowControl w:val="off"/>
    </w:pPr>
    <w:rPr>
      <w:rFonts w:ascii="Calibri" w:hAnsi="Calibri" w:eastAsia="宋体" w:cs="Times New Roman"/>
      <w:sz w:val="21"/>
      <w:szCs w:val="24"/>
      <w:lang w:val="en-US" w:eastAsia="zh-CN" w:bidi="ar-SA"/>
    </w:rPr>
  </w:style>
  <w:style w:type="paragraph" w:styleId="920">
    <w:name w:val="annotation text"/>
    <w:basedOn w:val="911"/>
    <w:uiPriority w:val="0"/>
    <w:qFormat/>
    <w:pPr>
      <w:jc w:val="left"/>
    </w:pPr>
    <w:rPr>
      <w:rFonts w:ascii="Times New Roman" w:hAnsi="Times New Roman" w:cs="Times New Roman"/>
      <w:szCs w:val="20"/>
    </w:rPr>
  </w:style>
  <w:style w:type="paragraph" w:styleId="921">
    <w:name w:val="Body Text 3"/>
    <w:basedOn w:val="911"/>
    <w:uiPriority w:val="0"/>
    <w:qFormat/>
    <w:pPr>
      <w:spacing w:after="120"/>
    </w:pPr>
    <w:rPr>
      <w:rFonts w:ascii="Times New Roman" w:hAnsi="Times New Roman" w:cs="Times New Roman"/>
      <w:sz w:val="16"/>
      <w:szCs w:val="16"/>
    </w:rPr>
  </w:style>
  <w:style w:type="paragraph" w:styleId="922">
    <w:name w:val="Body Text"/>
    <w:basedOn w:val="911"/>
    <w:next w:val="923"/>
    <w:uiPriority w:val="0"/>
    <w:qFormat/>
    <w:pPr>
      <w:spacing w:after="120"/>
    </w:pPr>
  </w:style>
  <w:style w:type="paragraph" w:styleId="923" w:customStyle="1">
    <w:name w:val="一级条标题"/>
    <w:next w:val="924"/>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924" w:customStyle="1">
    <w:name w:val="段"/>
    <w:next w:val="91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25">
    <w:name w:val="Body Text Indent"/>
    <w:basedOn w:val="911"/>
    <w:next w:val="926"/>
    <w:uiPriority w:val="0"/>
    <w:qFormat/>
    <w:pPr>
      <w:ind w:left="900"/>
      <w:spacing w:after="120" w:line="360" w:lineRule="atLeast"/>
    </w:pPr>
    <w:rPr>
      <w:rFonts w:ascii="楷体" w:eastAsia="楷体" w:cs="Times New Roman"/>
      <w:sz w:val="28"/>
      <w:szCs w:val="20"/>
    </w:rPr>
  </w:style>
  <w:style w:type="paragraph" w:styleId="926">
    <w:name w:val="envelope return"/>
    <w:basedOn w:val="911"/>
    <w:uiPriority w:val="0"/>
    <w:qFormat/>
    <w:rPr>
      <w:rFonts w:ascii="Arial" w:hAnsi="Arial"/>
    </w:rPr>
  </w:style>
  <w:style w:type="paragraph" w:styleId="927">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928">
    <w:name w:val="index 4"/>
    <w:next w:val="911"/>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929">
    <w:name w:val="toc 3"/>
    <w:basedOn w:val="911"/>
    <w:next w:val="911"/>
    <w:uiPriority w:val="0"/>
    <w:qFormat/>
    <w:pPr>
      <w:ind w:left="440"/>
      <w:jc w:val="left"/>
      <w:spacing w:after="100" w:line="259" w:lineRule="auto"/>
      <w:widowControl/>
    </w:pPr>
    <w:rPr>
      <w:rFonts w:ascii="Times New Roman" w:hAnsi="Times New Roman" w:cs="Times New Roman"/>
      <w:sz w:val="22"/>
    </w:rPr>
  </w:style>
  <w:style w:type="paragraph" w:styleId="930">
    <w:name w:val="Plain Text"/>
    <w:basedOn w:val="911"/>
    <w:uiPriority w:val="0"/>
    <w:qFormat/>
    <w:rPr>
      <w:rFonts w:ascii="宋体" w:cs="Times New Roman"/>
      <w:szCs w:val="20"/>
    </w:rPr>
  </w:style>
  <w:style w:type="paragraph" w:styleId="931">
    <w:name w:val="Date"/>
    <w:basedOn w:val="911"/>
    <w:next w:val="911"/>
    <w:uiPriority w:val="0"/>
    <w:qFormat/>
    <w:pPr>
      <w:ind w:left="2500"/>
    </w:pPr>
  </w:style>
  <w:style w:type="paragraph" w:styleId="932">
    <w:name w:val="Balloon Text"/>
    <w:basedOn w:val="911"/>
    <w:uiPriority w:val="0"/>
    <w:qFormat/>
    <w:rPr>
      <w:sz w:val="18"/>
      <w:szCs w:val="18"/>
    </w:rPr>
  </w:style>
  <w:style w:type="paragraph" w:styleId="933">
    <w:name w:val="Footer"/>
    <w:basedOn w:val="911"/>
    <w:uiPriority w:val="0"/>
    <w:qFormat/>
    <w:pPr>
      <w:jc w:val="left"/>
      <w:tabs>
        <w:tab w:val="center" w:pos="4153" w:leader="none"/>
        <w:tab w:val="right" w:pos="8306" w:leader="none"/>
      </w:tabs>
    </w:pPr>
    <w:rPr>
      <w:sz w:val="18"/>
      <w:szCs w:val="18"/>
    </w:rPr>
  </w:style>
  <w:style w:type="paragraph" w:styleId="934">
    <w:name w:val="Header"/>
    <w:basedOn w:val="911"/>
    <w:uiPriority w:val="0"/>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1"/>
    <w:next w:val="911"/>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936">
    <w:name w:val="footnote text"/>
    <w:next w:val="919"/>
    <w:uiPriority w:val="0"/>
    <w:qFormat/>
    <w:pPr>
      <w:widowControl w:val="off"/>
    </w:pPr>
    <w:rPr>
      <w:rFonts w:ascii="Calibri" w:hAnsi="Calibri" w:eastAsia="宋体" w:cs="Times New Roman"/>
      <w:sz w:val="18"/>
      <w:szCs w:val="24"/>
      <w:lang w:val="en-US" w:eastAsia="zh-CN" w:bidi="ar-SA"/>
    </w:rPr>
  </w:style>
  <w:style w:type="paragraph" w:styleId="937">
    <w:name w:val="index 9"/>
    <w:basedOn w:val="911"/>
    <w:next w:val="911"/>
    <w:uiPriority w:val="0"/>
    <w:qFormat/>
    <w:pPr>
      <w:ind w:left="1600"/>
      <w:widowControl/>
    </w:pPr>
    <w:rPr>
      <w:rFonts w:ascii="Times New Roman" w:hAnsi="Times New Roman" w:cs="Times New Roman"/>
      <w:szCs w:val="21"/>
    </w:rPr>
  </w:style>
  <w:style w:type="paragraph" w:styleId="938">
    <w:name w:val="toc 2"/>
    <w:basedOn w:val="911"/>
    <w:next w:val="911"/>
    <w:uiPriority w:val="0"/>
    <w:qFormat/>
    <w:pPr>
      <w:ind w:left="221"/>
      <w:jc w:val="left"/>
      <w:spacing w:line="360" w:lineRule="auto"/>
      <w:widowControl/>
    </w:pPr>
    <w:rPr>
      <w:rFonts w:ascii="Times New Roman" w:hAnsi="Times New Roman" w:cs="Times New Roman"/>
      <w:sz w:val="22"/>
    </w:rPr>
  </w:style>
  <w:style w:type="paragraph" w:styleId="939">
    <w:name w:val="Normal (Web)"/>
    <w:basedOn w:val="911"/>
    <w:uiPriority w:val="0"/>
    <w:qFormat/>
    <w:pPr>
      <w:jc w:val="left"/>
      <w:spacing w:before="100" w:beforeAutospacing="1" w:after="100" w:afterAutospacing="1"/>
      <w:widowControl/>
    </w:pPr>
    <w:rPr>
      <w:rFonts w:ascii="宋体" w:cs="宋体"/>
      <w:sz w:val="24"/>
      <w:szCs w:val="24"/>
    </w:rPr>
  </w:style>
  <w:style w:type="paragraph" w:styleId="940">
    <w:name w:val="annotation subject"/>
    <w:basedOn w:val="920"/>
    <w:next w:val="920"/>
    <w:uiPriority w:val="0"/>
    <w:qFormat/>
    <w:rPr>
      <w:rFonts w:ascii="Calibri" w:hAnsi="Calibri" w:cs="Arial"/>
      <w:b/>
      <w:bCs/>
      <w:szCs w:val="22"/>
    </w:rPr>
  </w:style>
  <w:style w:type="paragraph" w:styleId="941">
    <w:name w:val="Body Text First Indent"/>
    <w:basedOn w:val="922"/>
    <w:uiPriority w:val="0"/>
    <w:qFormat/>
    <w:pPr>
      <w:ind w:firstLine="100"/>
    </w:pPr>
    <w:rPr>
      <w:rFonts w:cs="Times New Roman"/>
      <w:szCs w:val="24"/>
    </w:rPr>
  </w:style>
  <w:style w:type="paragraph" w:styleId="942">
    <w:name w:val="Body Text First Indent 2"/>
    <w:basedOn w:val="925"/>
    <w:next w:val="911"/>
    <w:uiPriority w:val="0"/>
    <w:qFormat/>
    <w:pPr>
      <w:spacing w:line="480" w:lineRule="auto"/>
    </w:pPr>
    <w:rPr>
      <w:sz w:val="24"/>
    </w:rPr>
  </w:style>
  <w:style w:type="table" w:styleId="94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uiPriority w:val="0"/>
    <w:qFormat/>
    <w:rPr>
      <w:b/>
      <w:bCs/>
    </w:rPr>
  </w:style>
  <w:style w:type="character" w:styleId="945">
    <w:name w:val="Hyperlink"/>
    <w:basedOn w:val="916"/>
    <w:uiPriority w:val="0"/>
    <w:qFormat/>
    <w:rPr>
      <w:color w:val="0563c1"/>
      <w:u w:val="single"/>
    </w:rPr>
  </w:style>
  <w:style w:type="character" w:styleId="946">
    <w:name w:val="annotation reference"/>
    <w:uiPriority w:val="0"/>
    <w:qFormat/>
    <w:rPr>
      <w:sz w:val="21"/>
      <w:szCs w:val="21"/>
    </w:rPr>
  </w:style>
  <w:style w:type="paragraph" w:styleId="947" w:customStyle="1">
    <w:name w:val="TOC 标题1"/>
    <w:basedOn w:val="912"/>
    <w:next w:val="911"/>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948">
    <w:name w:val="List Paragraph"/>
    <w:basedOn w:val="911"/>
    <w:uiPriority w:val="0"/>
    <w:qFormat/>
    <w:pPr>
      <w:ind w:firstLine="200"/>
      <w:jc w:val="left"/>
      <w:spacing w:before="60" w:after="60"/>
      <w:widowControl/>
    </w:pPr>
    <w:rPr>
      <w:rFonts w:ascii="宋体" w:hAnsi="宋体" w:eastAsia="Times New Roman" w:cs="宋体"/>
      <w:color w:val="000000"/>
      <w:sz w:val="20"/>
      <w:szCs w:val="20"/>
    </w:rPr>
  </w:style>
  <w:style w:type="paragraph" w:styleId="949" w:customStyle="1">
    <w:name w:val="蓝色显示"/>
    <w:basedOn w:val="911"/>
    <w:uiPriority w:val="0"/>
    <w:qFormat/>
    <w:pPr>
      <w:spacing w:before="340" w:after="330" w:line="400" w:lineRule="exact"/>
    </w:pPr>
    <w:rPr>
      <w:rFonts w:ascii="Times New Roman" w:hAnsi="Times New Roman" w:cs="Times New Roman"/>
      <w:b/>
      <w:color w:val="0070c0"/>
      <w:szCs w:val="24"/>
    </w:rPr>
  </w:style>
  <w:style w:type="paragraph" w:styleId="950" w:customStyle="1">
    <w:name w:val="正文00"/>
    <w:basedOn w:val="911"/>
    <w:uiPriority w:val="0"/>
    <w:qFormat/>
    <w:pPr>
      <w:ind w:firstLine="200"/>
      <w:spacing w:line="360" w:lineRule="auto"/>
    </w:pPr>
    <w:rPr>
      <w:rFonts w:ascii="Times New Roman" w:hAnsi="Times New Roman" w:cs="Times New Roman"/>
      <w:sz w:val="24"/>
      <w:szCs w:val="21"/>
    </w:rPr>
  </w:style>
  <w:style w:type="paragraph" w:styleId="951" w:customStyle="1">
    <w:name w:val="普通正文"/>
    <w:basedOn w:val="911"/>
    <w:uiPriority w:val="0"/>
    <w:qFormat/>
    <w:pPr>
      <w:ind w:firstLine="480"/>
      <w:jc w:val="left"/>
      <w:spacing w:before="120" w:after="120" w:line="360" w:lineRule="auto"/>
    </w:pPr>
    <w:rPr>
      <w:rFonts w:ascii="Arial" w:hAnsi="Arial" w:cs="Times New Roman"/>
      <w:sz w:val="24"/>
      <w:szCs w:val="24"/>
    </w:rPr>
  </w:style>
  <w:style w:type="paragraph" w:styleId="952" w:customStyle="1">
    <w:name w:val="Default"/>
    <w:uiPriority w:val="0"/>
    <w:qFormat/>
    <w:rPr>
      <w:rFonts w:ascii="宋体" w:hAnsi="Times New Roman" w:eastAsia="宋体" w:cs="宋体"/>
      <w:color w:val="000000"/>
      <w:sz w:val="24"/>
      <w:szCs w:val="24"/>
      <w:lang w:val="en-US" w:eastAsia="zh-CN" w:bidi="ar-SA"/>
    </w:rPr>
  </w:style>
  <w:style w:type="paragraph" w:styleId="953" w:customStyle="1">
    <w:name w:val="Table Paragraph"/>
    <w:basedOn w:val="911"/>
    <w:uiPriority w:val="0"/>
    <w:qFormat/>
    <w:pPr>
      <w:jc w:val="left"/>
    </w:pPr>
    <w:rPr>
      <w:rFonts w:ascii="Times New Roman" w:hAnsi="Times New Roman" w:cs="Times New Roman"/>
      <w:sz w:val="24"/>
      <w:szCs w:val="24"/>
    </w:rPr>
  </w:style>
  <w:style w:type="paragraph" w:styleId="954" w:customStyle="1">
    <w:name w:val="*正文"/>
    <w:basedOn w:val="911"/>
    <w:uiPriority w:val="0"/>
    <w:qFormat/>
    <w:pPr>
      <w:ind w:firstLine="200"/>
      <w:spacing w:line="340" w:lineRule="exact"/>
    </w:pPr>
    <w:rPr>
      <w:sz w:val="24"/>
      <w:szCs w:val="24"/>
    </w:rPr>
  </w:style>
  <w:style w:type="paragraph" w:styleId="955" w:customStyle="1">
    <w:name w:val="招标文件_标题3"/>
    <w:basedOn w:val="948"/>
    <w:next w:val="911"/>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956" w:customStyle="1">
    <w:name w:val="sh141"/>
    <w:uiPriority w:val="0"/>
    <w:qFormat/>
    <w:rPr>
      <w:color w:val="2b2b2b"/>
      <w:sz w:val="21"/>
      <w:szCs w:val="21"/>
    </w:rPr>
  </w:style>
  <w:style w:type="paragraph" w:styleId="957" w:customStyle="1">
    <w:name w:val="标准文本"/>
    <w:basedOn w:val="911"/>
    <w:uiPriority w:val="0"/>
    <w:qFormat/>
    <w:pPr>
      <w:ind w:firstLine="200"/>
      <w:spacing w:line="360" w:lineRule="auto"/>
    </w:pPr>
    <w:rPr>
      <w:rFonts w:ascii="Times New Roman" w:hAnsi="Times New Roman" w:cs="宋体"/>
      <w:sz w:val="24"/>
      <w:szCs w:val="24"/>
    </w:rPr>
  </w:style>
  <w:style w:type="character" w:styleId="958" w:customStyle="1">
    <w:name w:val="NormalCharacter"/>
    <w:basedOn w:val="916"/>
    <w:uiPriority w:val="0"/>
    <w:qFormat/>
  </w:style>
  <w:style w:type="character" w:styleId="959" w:customStyle="1">
    <w:name w:val="列表段落 字符"/>
    <w:basedOn w:val="916"/>
    <w:uiPriority w:val="0"/>
    <w:qFormat/>
    <w:rPr>
      <w:rFonts w:ascii="Times New Roman" w:hAnsi="Times New Roman" w:eastAsia="宋体" w:cs="Times New Roman"/>
      <w:szCs w:val="21"/>
    </w:rPr>
  </w:style>
  <w:style w:type="character" w:styleId="960" w:customStyle="1">
    <w:name w:val="正文文本首行缩进 2 字符"/>
    <w:uiPriority w:val="0"/>
    <w:qFormat/>
    <w:rPr>
      <w:rFonts w:ascii="Calibri" w:hAnsi="Calibri" w:eastAsia="宋体" w:cs="Times New Roman"/>
      <w:szCs w:val="20"/>
    </w:rPr>
  </w:style>
  <w:style w:type="paragraph" w:styleId="961" w:customStyle="1">
    <w:name w:val="正文1"/>
    <w:basedOn w:val="911"/>
    <w:uiPriority w:val="0"/>
    <w:qFormat/>
    <w:pPr>
      <w:ind w:firstLine="200"/>
      <w:jc w:val="left"/>
      <w:spacing w:before="120" w:after="120" w:line="180" w:lineRule="auto"/>
      <w:widowControl/>
    </w:pPr>
    <w:rPr>
      <w:rFonts w:cs="Times New Roman"/>
      <w:szCs w:val="21"/>
    </w:rPr>
  </w:style>
  <w:style w:type="character" w:styleId="962" w:customStyle="1">
    <w:name w:val="font31"/>
    <w:basedOn w:val="916"/>
    <w:uiPriority w:val="0"/>
    <w:qFormat/>
    <w:rPr>
      <w:rFonts w:ascii="仿宋" w:eastAsia="仿宋"/>
      <w:color w:val="000000"/>
      <w:sz w:val="24"/>
      <w:szCs w:val="24"/>
      <w:u w:val="none"/>
    </w:rPr>
  </w:style>
  <w:style w:type="paragraph" w:styleId="963" w:customStyle="1">
    <w:name w:val="_Style 25"/>
    <w:basedOn w:val="911"/>
    <w:next w:val="948"/>
    <w:uiPriority w:val="0"/>
    <w:qFormat/>
    <w:pPr>
      <w:ind w:firstLine="200"/>
      <w:spacing w:line="360" w:lineRule="auto"/>
    </w:pPr>
    <w:rPr>
      <w:sz w:val="24"/>
      <w:szCs w:val="24"/>
    </w:rPr>
  </w:style>
  <w:style w:type="paragraph" w:styleId="964" w:customStyle="1">
    <w:name w:val="章标题"/>
    <w:next w:val="91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5"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966" w:customStyle="1">
    <w:name w:val="B2"/>
    <w:uiPriority w:val="0"/>
    <w:qFormat/>
    <w:pPr>
      <w:jc w:val="both"/>
      <w:keepLines/>
      <w:keepNext/>
      <w:spacing w:line="360" w:lineRule="auto"/>
      <w:widowControl w:val="off"/>
      <w:outlineLvl w:val="2"/>
    </w:pPr>
    <w:rPr>
      <w:rFonts w:ascii="宋体" w:hAnsi="宋体" w:eastAsia="宋体" w:cs="Arial"/>
      <w:b/>
      <w:sz w:val="21"/>
      <w:lang w:val="en-US" w:eastAsia="zh-CN" w:bidi="ar-SA"/>
    </w:rPr>
  </w:style>
  <w:style w:type="paragraph" w:styleId="967" w:customStyle="1">
    <w:name w:val="标题 31"/>
    <w:next w:val="911"/>
    <w:uiPriority w:val="0"/>
    <w:qFormat/>
    <w:pPr>
      <w:jc w:val="both"/>
      <w:keepLines/>
      <w:keepNext/>
      <w:spacing w:before="260" w:after="260" w:line="413" w:lineRule="auto"/>
      <w:widowControl w:val="off"/>
      <w:outlineLvl w:val="2"/>
    </w:pPr>
    <w:rPr>
      <w:rFonts w:ascii="Times New Roman" w:hAnsi="Times New Roman" w:eastAsia="宋体" w:cs="Times New Roman"/>
      <w:b/>
      <w:sz w:val="32"/>
      <w:lang w:val="en-US" w:eastAsia="zh-CN" w:bidi="ar-SA"/>
    </w:rPr>
  </w:style>
  <w:style w:type="paragraph" w:styleId="968" w:customStyle="1">
    <w:name w:val="普通(网站)1"/>
    <w:uiPriority w:val="99"/>
    <w:qFormat/>
    <w:pPr>
      <w:jc w:val="both"/>
      <w:spacing w:before="100" w:beforeAutospacing="1" w:after="100" w:afterAutospacing="1"/>
    </w:pPr>
    <w:rPr>
      <w:rFonts w:hint="eastAsia" w:ascii="宋体" w:hAnsi="宋体" w:eastAsia="宋体" w:cs="Times New Roman"/>
      <w:sz w:val="24"/>
      <w:lang w:val="en-US" w:eastAsia="zh-CN" w:bidi="ar-SA"/>
    </w:rPr>
  </w:style>
  <w:style w:type="character" w:styleId="969" w:customStyle="1">
    <w:name w:val="强调1"/>
    <w:uiPriority w:val="0"/>
    <w:qFormat/>
    <w:rPr>
      <w:rFonts w:ascii="Calibri" w:hAnsi="Calibri" w:eastAsia="宋体" w:cs="Arial"/>
      <w:sz w:val="21"/>
      <w:szCs w:val="22"/>
      <w:lang w:val="en-US" w:eastAsia="zh-CN" w:bidi="ar-SA"/>
    </w:rPr>
  </w:style>
  <w:style w:type="paragraph" w:styleId="970" w:customStyle="1">
    <w:name w:val="正文文本11"/>
    <w:next w:val="971"/>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971" w:customStyle="1">
    <w:name w:val="目录 21"/>
    <w:next w:val="911"/>
    <w:uiPriority w:val="39"/>
    <w:unhideWhenUsed/>
    <w:qFormat/>
    <w:pPr>
      <w:ind w:left="420"/>
      <w:jc w:val="both"/>
      <w:widowControl w:val="off"/>
    </w:pPr>
    <w:rPr>
      <w:rFonts w:ascii="Calibri" w:hAnsi="Calibri" w:eastAsia="宋体" w:cs="Arial"/>
      <w:sz w:val="21"/>
      <w:szCs w:val="21"/>
      <w:lang w:val="en-US" w:eastAsia="zh-CN" w:bidi="ar-SA"/>
    </w:rPr>
  </w:style>
  <w:style w:type="paragraph" w:styleId="972" w:customStyle="1">
    <w:name w:val="样式 正文缩进 + 首行缩进:  2 字符"/>
    <w:uiPriority w:val="0"/>
    <w:qFormat/>
    <w:pPr>
      <w:ind w:firstLine="200"/>
      <w:jc w:val="both"/>
      <w:spacing w:line="360" w:lineRule="auto"/>
      <w:widowControl w:val="off"/>
    </w:pPr>
    <w:rPr>
      <w:rFonts w:ascii="Times New Roman" w:hAnsi="Times New Roman" w:eastAsia="宋体" w:cs="宋体"/>
      <w:sz w:val="24"/>
      <w:lang w:val="en-US" w:eastAsia="zh-CN" w:bidi="ar-SA"/>
    </w:rPr>
  </w:style>
  <w:style w:type="paragraph" w:styleId="973" w:customStyle="1">
    <w:name w:val="修订1"/>
    <w:hidden/>
    <w:uiPriority w:val="99"/>
    <w:unhideWhenUsed/>
    <w:qFormat/>
    <w:rPr>
      <w:rFonts w:ascii="Calibri" w:hAnsi="Calibri" w:eastAsia="宋体" w:cs="Arial"/>
      <w:sz w:val="21"/>
      <w:szCs w:val="22"/>
      <w:lang w:val="en-US" w:eastAsia="zh-CN" w:bidi="ar-SA"/>
    </w:rPr>
  </w:style>
  <w:style w:type="paragraph" w:styleId="974" w:customStyle="1">
    <w:name w:val="页眉1"/>
    <w:basedOn w:val="911"/>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975" w:customStyle="1">
    <w:name w:val="页脚1"/>
    <w:basedOn w:val="911"/>
    <w:uiPriority w:val="99"/>
    <w:unhideWhenUsed/>
    <w:qFormat/>
    <w:pPr>
      <w:jc w:val="left"/>
      <w:tabs>
        <w:tab w:val="center" w:pos="4153" w:leader="none"/>
        <w:tab w:val="right" w:pos="8306" w:leader="none"/>
      </w:tabs>
    </w:pPr>
    <w:rPr>
      <w:sz w:val="18"/>
      <w:szCs w:val="18"/>
      <w:lang w:eastAsia="en-US"/>
    </w:rPr>
  </w:style>
  <w:style w:type="character" w:styleId="976" w:customStyle="1">
    <w:name w:val="页码1"/>
    <w:uiPriority w:val="0"/>
    <w:unhideWhenUsed/>
    <w:qFormat/>
    <w:rPr>
      <w:rFonts w:hint="default"/>
      <w:sz w:val="24"/>
      <w:szCs w:val="24"/>
    </w:rPr>
  </w:style>
  <w:style w:type="paragraph" w:styleId="977" w:customStyle="1">
    <w:name w:val="修订2"/>
    <w:hidden/>
    <w:uiPriority w:val="99"/>
    <w:unhideWhenUsed/>
    <w:qFormat/>
    <w:rPr>
      <w:rFonts w:ascii="Calibri" w:hAnsi="Calibri" w:eastAsia="宋体" w:cs="Arial"/>
      <w:sz w:val="21"/>
      <w:szCs w:val="22"/>
      <w:lang w:val="en-US" w:eastAsia="zh-CN" w:bidi="ar-SA"/>
    </w:rPr>
  </w:style>
  <w:style w:type="paragraph" w:styleId="978" w:customStyle="1">
    <w:name w:val="修订3"/>
    <w:hidden/>
    <w:uiPriority w:val="99"/>
    <w:unhideWhenUsed/>
    <w:qFormat/>
    <w:rPr>
      <w:rFonts w:ascii="Calibri" w:hAnsi="Calibri" w:eastAsia="宋体" w:cs="Arial"/>
      <w:sz w:val="21"/>
      <w:szCs w:val="22"/>
      <w:lang w:val="en-US" w:eastAsia="zh-CN" w:bidi="ar-SA"/>
    </w:rPr>
  </w:style>
  <w:style w:type="paragraph" w:styleId="979" w:customStyle="1">
    <w:name w:val="修订4"/>
    <w:hidden/>
    <w:uiPriority w:val="99"/>
    <w:unhideWhenUsed/>
    <w:qFormat/>
    <w:rPr>
      <w:rFonts w:ascii="Calibri" w:hAnsi="Calibri" w:eastAsia="宋体" w:cs="Arial"/>
      <w:sz w:val="21"/>
      <w:szCs w:val="22"/>
      <w:lang w:val="en-US" w:eastAsia="zh-CN" w:bidi="ar-SA"/>
    </w:rPr>
  </w:style>
  <w:style w:type="paragraph" w:styleId="980" w:customStyle="1">
    <w:name w:val="修订5"/>
    <w:hidden/>
    <w:uiPriority w:val="99"/>
    <w:unhideWhenUsed/>
    <w:qFormat/>
    <w:rPr>
      <w:rFonts w:ascii="Calibri" w:hAnsi="Calibri" w:eastAsia="宋体" w:cs="Arial"/>
      <w:sz w:val="21"/>
      <w:szCs w:val="22"/>
      <w:lang w:val="en-US" w:eastAsia="zh-CN" w:bidi="ar-SA"/>
    </w:rPr>
  </w:style>
  <w:style w:type="paragraph" w:styleId="981" w:customStyle="1">
    <w:name w:val="正文缩进1"/>
    <w:uiPriority w:val="0"/>
    <w:qFormat/>
    <w:pPr>
      <w:ind w:firstLine="420"/>
      <w:jc w:val="both"/>
      <w:widowControl w:val="off"/>
    </w:pPr>
    <w:rPr>
      <w:rFonts w:asciiTheme="minorHAnsi" w:hAnsiTheme="minorHAnsi" w:eastAsiaTheme="minorEastAsia" w:cstheme="minorBidi"/>
      <w:sz w:val="21"/>
      <w:szCs w:val="22"/>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朱晓琦</cp:lastModifiedBy>
  <cp:revision>6</cp:revision>
  <dcterms:created xsi:type="dcterms:W3CDTF">2026-07-29T00:38:00Z</dcterms:created>
  <dcterms:modified xsi:type="dcterms:W3CDTF">2026-08-07T01:28:35Z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FD5FE484476341828BBEF50AA0224309_13</vt:lpwstr>
  </property>
  <property fmtid="{D5CDD505-2E9C-101B-9397-08002B2CF9AE}" pid="4" name="KSOTemplateDocerSaveRecord">
    <vt:lpwstr>eyJoZGlkIjoiZGZiZTQ5OTQ2ZDdkMDQ5YjllZGNjODE2Yzg2ZWZmOTkiLCJ1c2VySWQiOiI0NDY2NDAwIn0=</vt:lpwstr>
  </property>
</Properties>
</file>